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59BF8" w14:textId="77777777" w:rsidR="009533EA" w:rsidRPr="009533EA" w:rsidRDefault="009533EA" w:rsidP="00282359">
      <w:pPr>
        <w:pStyle w:val="Heading1"/>
        <w:numPr>
          <w:ilvl w:val="0"/>
          <w:numId w:val="0"/>
        </w:numPr>
        <w:spacing w:before="0" w:after="0"/>
        <w:ind w:left="720" w:firstLine="720"/>
      </w:pPr>
      <w:bookmarkStart w:id="0" w:name="_GoBack"/>
      <w:bookmarkEnd w:id="0"/>
      <w:r w:rsidRPr="009533EA">
        <w:t>Supporting Statement for a Request for OMB Review under</w:t>
      </w:r>
    </w:p>
    <w:p w14:paraId="139D4CDE" w14:textId="77777777" w:rsidR="009533EA" w:rsidRPr="009533EA" w:rsidRDefault="00C453B6" w:rsidP="009533EA">
      <w:pPr>
        <w:jc w:val="center"/>
        <w:outlineLvl w:val="0"/>
        <w:rPr>
          <w:rFonts w:eastAsia="Times New Roman" w:cs="Times New Roman"/>
          <w:b/>
        </w:rPr>
      </w:pPr>
      <w:r>
        <w:rPr>
          <w:rFonts w:eastAsia="Times New Roman" w:cs="Times New Roman"/>
          <w:b/>
        </w:rPr>
        <w:t>t</w:t>
      </w:r>
      <w:r w:rsidR="009533EA" w:rsidRPr="009533EA">
        <w:rPr>
          <w:rFonts w:eastAsia="Times New Roman" w:cs="Times New Roman"/>
          <w:b/>
        </w:rPr>
        <w:t>he Paperwork Reduction Act</w:t>
      </w:r>
    </w:p>
    <w:p w14:paraId="099E9C63" w14:textId="39454121" w:rsidR="009533EA" w:rsidRPr="009533EA" w:rsidRDefault="009533EA" w:rsidP="000D2D6D">
      <w:pPr>
        <w:pStyle w:val="Heading1"/>
      </w:pPr>
      <w:r w:rsidRPr="009533EA">
        <w:t xml:space="preserve">IDENTIFICATION OF THE INFORMATION COLLECTION </w:t>
      </w:r>
    </w:p>
    <w:p w14:paraId="24E231D9" w14:textId="77777777" w:rsidR="009533EA" w:rsidRPr="009533EA" w:rsidRDefault="009533EA" w:rsidP="000D2D6D">
      <w:pPr>
        <w:pStyle w:val="Heading2"/>
      </w:pPr>
      <w:r w:rsidRPr="009533EA">
        <w:t>Title of the Information Collection</w:t>
      </w:r>
    </w:p>
    <w:p w14:paraId="340014D9" w14:textId="5640861D" w:rsidR="009533EA" w:rsidRPr="009533EA" w:rsidRDefault="009533EA" w:rsidP="00584F5A">
      <w:pPr>
        <w:tabs>
          <w:tab w:val="left" w:pos="2160"/>
        </w:tabs>
        <w:ind w:left="2160" w:hanging="720"/>
        <w:rPr>
          <w:rFonts w:eastAsia="Times New Roman" w:cs="Times New Roman"/>
          <w:b/>
        </w:rPr>
      </w:pPr>
      <w:r w:rsidRPr="009533EA">
        <w:rPr>
          <w:rFonts w:eastAsia="Times New Roman" w:cs="Times New Roman"/>
          <w:b/>
        </w:rPr>
        <w:t xml:space="preserve">Title: </w:t>
      </w:r>
      <w:r w:rsidR="00584F5A">
        <w:rPr>
          <w:rFonts w:eastAsia="Times New Roman" w:cs="Times New Roman"/>
          <w:b/>
        </w:rPr>
        <w:tab/>
      </w:r>
      <w:bookmarkStart w:id="1" w:name="_Hlk527459088"/>
      <w:r w:rsidRPr="009533EA">
        <w:rPr>
          <w:rFonts w:eastAsia="Times New Roman" w:cs="Times New Roman"/>
          <w:b/>
        </w:rPr>
        <w:t>Chemical Data Reporting</w:t>
      </w:r>
      <w:r w:rsidR="00584F5A">
        <w:rPr>
          <w:rFonts w:eastAsia="Times New Roman" w:cs="Times New Roman"/>
          <w:b/>
        </w:rPr>
        <w:t xml:space="preserve"> under the Toxic Substances Control Act (TSCA section 8(</w:t>
      </w:r>
      <w:r w:rsidR="00D15137">
        <w:rPr>
          <w:rFonts w:eastAsia="Times New Roman" w:cs="Times New Roman"/>
          <w:b/>
        </w:rPr>
        <w:t>a</w:t>
      </w:r>
      <w:r w:rsidR="00584F5A">
        <w:rPr>
          <w:rFonts w:eastAsia="Times New Roman" w:cs="Times New Roman"/>
          <w:b/>
        </w:rPr>
        <w:t>)</w:t>
      </w:r>
      <w:r w:rsidRPr="009533EA">
        <w:rPr>
          <w:rFonts w:eastAsia="Times New Roman" w:cs="Times New Roman"/>
          <w:b/>
        </w:rPr>
        <w:t>)</w:t>
      </w:r>
      <w:bookmarkEnd w:id="1"/>
      <w:r w:rsidR="00584F5A">
        <w:rPr>
          <w:rStyle w:val="FootnoteReference"/>
          <w:rFonts w:eastAsia="Times New Roman" w:cs="Times New Roman"/>
          <w:b/>
        </w:rPr>
        <w:footnoteReference w:id="1"/>
      </w:r>
    </w:p>
    <w:p w14:paraId="022C8514" w14:textId="77777777" w:rsidR="009533EA" w:rsidRPr="009533EA" w:rsidRDefault="009533EA" w:rsidP="009533EA">
      <w:pPr>
        <w:ind w:left="1080" w:firstLine="360"/>
        <w:rPr>
          <w:rFonts w:eastAsia="Times New Roman" w:cs="Times New Roman"/>
          <w:b/>
        </w:rPr>
      </w:pPr>
    </w:p>
    <w:p w14:paraId="00FA053E" w14:textId="346B2560" w:rsidR="009533EA" w:rsidRDefault="00CE0180" w:rsidP="009533EA">
      <w:pPr>
        <w:ind w:left="1080" w:firstLine="360"/>
        <w:rPr>
          <w:rFonts w:eastAsia="Times New Roman" w:cs="Times New Roman"/>
          <w:b/>
        </w:rPr>
      </w:pPr>
      <w:r>
        <w:rPr>
          <w:rFonts w:eastAsia="Times New Roman" w:cs="Times New Roman"/>
          <w:b/>
        </w:rPr>
        <w:t>EPA ICR No.: 1884.10</w:t>
      </w:r>
      <w:r w:rsidR="009533EA" w:rsidRPr="009533EA">
        <w:rPr>
          <w:rFonts w:eastAsia="Times New Roman" w:cs="Times New Roman"/>
          <w:b/>
        </w:rPr>
        <w:tab/>
        <w:t>OMB Control No.: 2070-0162</w:t>
      </w:r>
    </w:p>
    <w:p w14:paraId="0D8598AA" w14:textId="522BC8E1" w:rsidR="00282359" w:rsidRDefault="00282359" w:rsidP="009533EA">
      <w:pPr>
        <w:ind w:left="1080" w:firstLine="360"/>
        <w:rPr>
          <w:rFonts w:eastAsia="Times New Roman" w:cs="Times New Roman"/>
          <w:b/>
        </w:rPr>
      </w:pPr>
    </w:p>
    <w:p w14:paraId="74C633A8" w14:textId="3E33EE2A" w:rsidR="00282359" w:rsidRPr="00282359" w:rsidRDefault="00282359" w:rsidP="009533EA">
      <w:pPr>
        <w:ind w:left="1080" w:firstLine="360"/>
        <w:rPr>
          <w:b/>
          <w:bCs/>
        </w:rPr>
      </w:pPr>
      <w:r>
        <w:rPr>
          <w:rFonts w:eastAsia="Times New Roman" w:cs="Times New Roman"/>
          <w:b/>
        </w:rPr>
        <w:t xml:space="preserve">EPA Form </w:t>
      </w:r>
      <w:r w:rsidRPr="00282359">
        <w:rPr>
          <w:rFonts w:eastAsia="Times New Roman" w:cs="Times New Roman"/>
          <w:b/>
        </w:rPr>
        <w:t xml:space="preserve">No. </w:t>
      </w:r>
      <w:r w:rsidRPr="00282359">
        <w:rPr>
          <w:b/>
          <w:bCs/>
        </w:rPr>
        <w:t>7740-8</w:t>
      </w:r>
    </w:p>
    <w:p w14:paraId="69448883" w14:textId="690053C0" w:rsidR="00282359" w:rsidRPr="00282359" w:rsidRDefault="00282359" w:rsidP="009533EA">
      <w:pPr>
        <w:ind w:left="1080" w:firstLine="360"/>
        <w:rPr>
          <w:rFonts w:eastAsia="Times New Roman" w:cs="Times New Roman"/>
          <w:b/>
        </w:rPr>
      </w:pPr>
    </w:p>
    <w:p w14:paraId="4C99D81F" w14:textId="4856879F" w:rsidR="00282359" w:rsidRPr="00282359" w:rsidRDefault="00282359" w:rsidP="009533EA">
      <w:pPr>
        <w:ind w:left="1080" w:firstLine="360"/>
        <w:rPr>
          <w:rFonts w:eastAsia="Times New Roman" w:cs="Times New Roman"/>
          <w:b/>
        </w:rPr>
      </w:pPr>
      <w:r w:rsidRPr="00282359">
        <w:rPr>
          <w:b/>
        </w:rPr>
        <w:t xml:space="preserve">Docket ID No. </w:t>
      </w:r>
      <w:hyperlink r:id="rId13" w:history="1">
        <w:r w:rsidRPr="009F4C2D">
          <w:rPr>
            <w:rStyle w:val="Hyperlink"/>
          </w:rPr>
          <w:t>EPA-HQ-OPPT-2017-0648</w:t>
        </w:r>
      </w:hyperlink>
    </w:p>
    <w:p w14:paraId="12A7DF1D" w14:textId="77777777" w:rsidR="009533EA" w:rsidRPr="009533EA" w:rsidRDefault="009533EA" w:rsidP="000D2D6D">
      <w:pPr>
        <w:pStyle w:val="Heading2"/>
      </w:pPr>
      <w:r w:rsidRPr="009533EA">
        <w:t>Short Characterization/Abstract</w:t>
      </w:r>
    </w:p>
    <w:p w14:paraId="37BDAFD8" w14:textId="21BB22F0" w:rsidR="00824DCD" w:rsidRDefault="00C453B6" w:rsidP="00100514">
      <w:pPr>
        <w:pStyle w:val="BodyText"/>
      </w:pPr>
      <w:r w:rsidRPr="009533EA">
        <w:t>Th</w:t>
      </w:r>
      <w:r w:rsidR="00210DCA">
        <w:t xml:space="preserve">is </w:t>
      </w:r>
      <w:r w:rsidRPr="009533EA">
        <w:t>information collection request (ICR) addresses the paperwork requirements contained in the most recent Chemical Data Reporting (CDR) rule</w:t>
      </w:r>
      <w:r>
        <w:t xml:space="preserve"> </w:t>
      </w:r>
      <w:r w:rsidR="0080173E" w:rsidRPr="009533EA">
        <w:t>(</w:t>
      </w:r>
      <w:hyperlink r:id="rId14" w:history="1">
        <w:r w:rsidR="0080173E" w:rsidRPr="009F4C2D">
          <w:rPr>
            <w:rStyle w:val="Hyperlink"/>
          </w:rPr>
          <w:t>40 CFR Part 711</w:t>
        </w:r>
      </w:hyperlink>
      <w:r w:rsidR="0080173E" w:rsidRPr="009533EA">
        <w:t>)</w:t>
      </w:r>
      <w:r w:rsidR="0080173E">
        <w:t xml:space="preserve"> </w:t>
      </w:r>
      <w:r w:rsidRPr="009533EA">
        <w:t xml:space="preserve">under the Toxic Substances Control Act (TSCA). Under TSCA section 8(a) (15 USC 2607), the Environmental Protection Agency (EPA) is authorized to collect certain information on chemical substances manufactured (including imported) or processed in the United States. </w:t>
      </w:r>
      <w:r>
        <w:t>The CDR was</w:t>
      </w:r>
      <w:r w:rsidRPr="009533EA">
        <w:t xml:space="preserve"> formerly known as the Inventory Update Rule (IUR)</w:t>
      </w:r>
      <w:r>
        <w:t>.</w:t>
      </w:r>
      <w:r w:rsidRPr="009533EA">
        <w:t xml:space="preserve"> </w:t>
      </w:r>
    </w:p>
    <w:p w14:paraId="4D271FDD" w14:textId="2C730430" w:rsidR="00272F4D" w:rsidRPr="009533EA" w:rsidRDefault="00C453B6" w:rsidP="00100514">
      <w:pPr>
        <w:pStyle w:val="BodyText"/>
      </w:pPr>
      <w:r w:rsidRPr="009533EA">
        <w:t>The CDR collection provides chemical manufacture, processing, and use information that helps EPA identify what chemicals the public may be exposed to as consumers or in commercial and industrial settings</w:t>
      </w:r>
      <w:r>
        <w:t>. The data also helps EPA</w:t>
      </w:r>
      <w:r w:rsidRPr="009533EA">
        <w:t xml:space="preserve"> assess routes of potential exposure to those chemicals. </w:t>
      </w:r>
      <w:r w:rsidR="00824DCD">
        <w:t>EPA</w:t>
      </w:r>
      <w:r w:rsidRPr="009533EA">
        <w:t xml:space="preserve"> has used the CDR rule to collect basic manufacturing information for selected chemical substances on the TSCA Inventory eight times beginning in 1986. More recent collections, beginning in 2006, included additional information relating to the manufacture, processing, and use of those chemical substances. The reporting requirements have been modified through rulemaking, </w:t>
      </w:r>
      <w:r w:rsidR="00BD329A">
        <w:t>with the most recent major changes occurring</w:t>
      </w:r>
      <w:r w:rsidRPr="009533EA">
        <w:t xml:space="preserve"> in 2011 when EPA promulgated the IUR Modifications Rule (76 FR 50815, August 16, 2011).  </w:t>
      </w:r>
      <w:r>
        <w:t>The 2011 rule phased in some provisions; a</w:t>
      </w:r>
      <w:r w:rsidRPr="009533EA">
        <w:t xml:space="preserve">ll changes were </w:t>
      </w:r>
      <w:r>
        <w:t xml:space="preserve">fully </w:t>
      </w:r>
      <w:r w:rsidRPr="009533EA">
        <w:t xml:space="preserve">implemented </w:t>
      </w:r>
      <w:r>
        <w:t>with</w:t>
      </w:r>
      <w:r w:rsidRPr="009533EA">
        <w:t xml:space="preserve"> the 2016 CDR and are slated to continue for the next submissio</w:t>
      </w:r>
      <w:r w:rsidR="001462C0">
        <w:t xml:space="preserve">n of data in 2020. The CDR </w:t>
      </w:r>
      <w:r w:rsidRPr="009533EA">
        <w:t xml:space="preserve">collection is on a four-year reporting cycle and contains </w:t>
      </w:r>
      <w:r>
        <w:t xml:space="preserve">detailed manufacturing and processing </w:t>
      </w:r>
      <w:r w:rsidRPr="009533EA">
        <w:t>information drawn from the principal reporting year</w:t>
      </w:r>
      <w:r>
        <w:t>; the rule</w:t>
      </w:r>
      <w:r w:rsidRPr="009533EA">
        <w:t xml:space="preserve"> also contains </w:t>
      </w:r>
      <w:r>
        <w:t>basic</w:t>
      </w:r>
      <w:r w:rsidRPr="009533EA">
        <w:t xml:space="preserve"> information</w:t>
      </w:r>
      <w:r>
        <w:t xml:space="preserve"> on production volume</w:t>
      </w:r>
      <w:r w:rsidRPr="009533EA">
        <w:t>, by year, f</w:t>
      </w:r>
      <w:r>
        <w:t>or</w:t>
      </w:r>
      <w:r w:rsidRPr="009533EA">
        <w:t xml:space="preserve"> the three years prior to the principal reporting year</w:t>
      </w:r>
      <w:r w:rsidR="00B3552E">
        <w:t xml:space="preserve"> (e.g.</w:t>
      </w:r>
      <w:r>
        <w:t xml:space="preserve">, </w:t>
      </w:r>
      <w:r w:rsidR="00210DCA">
        <w:t>f</w:t>
      </w:r>
      <w:r>
        <w:t>or the 2020 reporting cycle, the principal reporting year will be 2019; the three years pr</w:t>
      </w:r>
      <w:r w:rsidR="00B3552E">
        <w:t>ior will be 2016, 2017, and 2018</w:t>
      </w:r>
      <w:r>
        <w:t>)</w:t>
      </w:r>
      <w:r w:rsidR="00B3552E">
        <w:t>.</w:t>
      </w:r>
      <w:r w:rsidRPr="009533EA">
        <w:t xml:space="preserve">  </w:t>
      </w:r>
      <w:r w:rsidR="00100514">
        <w:t>In addition, changes have been made to the list of chemical substances (see 40 CFR 711.6(b)(ii)(4)) that are partially exempt, most recently in 2016 (</w:t>
      </w:r>
      <w:r w:rsidR="00B3552E">
        <w:t>81 FR 17395, March</w:t>
      </w:r>
      <w:r w:rsidR="00100514" w:rsidRPr="00100514">
        <w:t xml:space="preserve"> 29, 2016</w:t>
      </w:r>
      <w:r w:rsidR="00100514">
        <w:t xml:space="preserve">). </w:t>
      </w:r>
      <w:r w:rsidRPr="009533EA">
        <w:t xml:space="preserve"> </w:t>
      </w:r>
      <w:r w:rsidR="00272F4D" w:rsidRPr="009533EA">
        <w:t xml:space="preserve">    </w:t>
      </w:r>
    </w:p>
    <w:p w14:paraId="70FE412C" w14:textId="13C127B5" w:rsidR="00C453B6" w:rsidRDefault="00100514" w:rsidP="00272F4D">
      <w:pPr>
        <w:pStyle w:val="BodyText"/>
      </w:pPr>
      <w:r>
        <w:lastRenderedPageBreak/>
        <w:t>C</w:t>
      </w:r>
      <w:r w:rsidR="00C453B6">
        <w:t>ertain other</w:t>
      </w:r>
      <w:r w:rsidR="00C453B6" w:rsidRPr="009533EA">
        <w:t xml:space="preserve"> changes to CDR </w:t>
      </w:r>
      <w:r w:rsidR="00C453B6">
        <w:t xml:space="preserve">were put in place following enactment of </w:t>
      </w:r>
      <w:r w:rsidR="00C453B6" w:rsidRPr="009533EA">
        <w:t>the Frank R. Lautenberg Chemical Safety for the 21st Century Act, which amended TSCA on June 22, 201</w:t>
      </w:r>
      <w:r w:rsidR="00C453B6">
        <w:t>6</w:t>
      </w:r>
      <w:r w:rsidR="00C453B6" w:rsidRPr="009533EA">
        <w:t xml:space="preserve">. </w:t>
      </w:r>
      <w:r w:rsidR="00C453B6">
        <w:t>For example, t</w:t>
      </w:r>
      <w:r w:rsidR="00C453B6" w:rsidRPr="009533EA">
        <w:t xml:space="preserve">he CDR certification statement was updated </w:t>
      </w:r>
      <w:r w:rsidR="00C453B6">
        <w:t xml:space="preserve">in June 2016 </w:t>
      </w:r>
      <w:r w:rsidR="00C453B6" w:rsidRPr="009533EA">
        <w:t>to be consistent with the revised statutory requirements. The requirement for substantiation of claims of confidential business information (CBI) at the time the claim is made is being implemented though a separate action, initiated in 2017 (</w:t>
      </w:r>
      <w:hyperlink r:id="rId15" w:history="1">
        <w:r w:rsidR="00C453B6" w:rsidRPr="009533EA">
          <w:rPr>
            <w:color w:val="0000FF"/>
            <w:u w:val="single"/>
          </w:rPr>
          <w:t>82 FR 6522</w:t>
        </w:r>
      </w:hyperlink>
      <w:r w:rsidR="00C453B6" w:rsidRPr="009533EA">
        <w:t xml:space="preserve">, January 19, 2017). EPA is providing questions to help submitters develop their substantiation of CBI at the time of claim. These changes </w:t>
      </w:r>
      <w:r w:rsidR="00C453B6">
        <w:t xml:space="preserve">and the reporting burden estimates associated with them </w:t>
      </w:r>
      <w:r w:rsidR="00C453B6" w:rsidRPr="009533EA">
        <w:t>have been incorporated into this ICR supporting statement</w:t>
      </w:r>
      <w:r w:rsidR="0030529E">
        <w:t>.</w:t>
      </w:r>
    </w:p>
    <w:p w14:paraId="651729DF" w14:textId="77777777" w:rsidR="00272F4D" w:rsidRPr="008A25D9" w:rsidRDefault="00272F4D" w:rsidP="00272F4D">
      <w:pPr>
        <w:pStyle w:val="BodyText"/>
      </w:pPr>
      <w:r w:rsidRPr="002F29F3">
        <w:t>The 2020 CDR data collec</w:t>
      </w:r>
      <w:r w:rsidRPr="00A15430">
        <w:t>tion is expected to involve an average of approximately 5,662</w:t>
      </w:r>
      <w:r w:rsidRPr="008A25D9">
        <w:t xml:space="preserve"> respondents at an annual cost of $5</w:t>
      </w:r>
      <w:r w:rsidR="004C1CD1">
        <w:t>7</w:t>
      </w:r>
      <w:r w:rsidRPr="008A25D9">
        <w:t xml:space="preserve"> million during the ICR period. The details of the paperwork burden and cost estimates are discussed in this document.</w:t>
      </w:r>
    </w:p>
    <w:p w14:paraId="44AE37A3" w14:textId="77777777" w:rsidR="00272F4D" w:rsidRPr="00CA1FD0" w:rsidRDefault="00272F4D" w:rsidP="00272F4D">
      <w:pPr>
        <w:pStyle w:val="Heading1"/>
      </w:pPr>
      <w:r w:rsidRPr="00CA1FD0">
        <w:t>NEED FOR AND USE OF THE COLLECTION</w:t>
      </w:r>
    </w:p>
    <w:p w14:paraId="6A994A12" w14:textId="77777777" w:rsidR="00272F4D" w:rsidRPr="00A15430" w:rsidRDefault="00272F4D" w:rsidP="00C453B6">
      <w:pPr>
        <w:pStyle w:val="Heading2"/>
      </w:pPr>
      <w:r w:rsidRPr="002F29F3">
        <w:t>Need</w:t>
      </w:r>
      <w:r w:rsidRPr="00A15430">
        <w:t xml:space="preserve">/Authority for the </w:t>
      </w:r>
      <w:r w:rsidR="00C453B6" w:rsidRPr="00A15430">
        <w:rPr>
          <w:rFonts w:cstheme="minorBidi"/>
          <w:bCs w:val="0"/>
          <w:iCs w:val="0"/>
          <w:szCs w:val="24"/>
        </w:rPr>
        <w:t>Collection</w:t>
      </w:r>
    </w:p>
    <w:p w14:paraId="503893F8" w14:textId="46E7D659" w:rsidR="006011E4" w:rsidRDefault="00C453B6" w:rsidP="00C453B6">
      <w:pPr>
        <w:pStyle w:val="BodyText"/>
      </w:pPr>
      <w:r w:rsidRPr="009533EA">
        <w:t>Under TSCA as amended by the Lautenberg Act</w:t>
      </w:r>
      <w:r w:rsidR="006011E4">
        <w:t xml:space="preserve"> in 2016</w:t>
      </w:r>
      <w:r w:rsidRPr="009533EA">
        <w:t xml:space="preserve">, EPA is charged with protecting human health and the environment from potential chemical risks. </w:t>
      </w:r>
      <w:r w:rsidR="00711BB3">
        <w:t>EPA’s Office of Pollution and Toxics (</w:t>
      </w:r>
      <w:r w:rsidRPr="009533EA">
        <w:t>OPPT</w:t>
      </w:r>
      <w:r w:rsidR="00711BB3">
        <w:t>)</w:t>
      </w:r>
      <w:r w:rsidRPr="009533EA">
        <w:t xml:space="preserve"> carries out its responsibilities by</w:t>
      </w:r>
      <w:r>
        <w:t>, among other things,</w:t>
      </w:r>
      <w:r w:rsidRPr="009533EA">
        <w:t xml:space="preserve"> </w:t>
      </w:r>
      <w:r>
        <w:t xml:space="preserve">prioritizing chemicals for evaluation, </w:t>
      </w:r>
      <w:r w:rsidRPr="009533EA">
        <w:t xml:space="preserve">conducting risk </w:t>
      </w:r>
      <w:r>
        <w:t>evaluations</w:t>
      </w:r>
      <w:r w:rsidRPr="009533EA">
        <w:t xml:space="preserve"> and, where necessary, taking risk management actions under TSCA, as well as by making non-confidential information publicly available in order to promote informed decision-making and transparency. CDR data helps the Agency to identify, assess, and control potential risks to human health and the environment posed by commercial chemical substances. TSCA section 8(a) authorizes the Administrator to promulgate rules to provide for the maintenance and collection of records from manufacturers</w:t>
      </w:r>
      <w:r w:rsidRPr="009533EA" w:rsidDel="00EA76B3">
        <w:t xml:space="preserve"> </w:t>
      </w:r>
      <w:r w:rsidRPr="009533EA">
        <w:t xml:space="preserve">(including importers) and processors of commercial chemical substances. Sections 8(a)(1) and (2) of TSCA also authorize the Agency to collect information on the chemical substance manufacturing (including importing) industry. EPA possesses broad discretion in determining the information to be reported under TSCA section 8(a). </w:t>
      </w:r>
      <w:r w:rsidR="006011E4">
        <w:t>See Attachment 1.</w:t>
      </w:r>
    </w:p>
    <w:p w14:paraId="53CE022B" w14:textId="457289D0" w:rsidR="00272F4D" w:rsidRPr="009533EA" w:rsidRDefault="00C453B6" w:rsidP="00272F4D">
      <w:pPr>
        <w:pStyle w:val="BodyText"/>
      </w:pPr>
      <w:r w:rsidRPr="009533EA">
        <w:t>Through the CDR regulation</w:t>
      </w:r>
      <w:r w:rsidR="006011E4">
        <w:rPr>
          <w:rStyle w:val="FootnoteReference"/>
        </w:rPr>
        <w:footnoteReference w:id="2"/>
      </w:r>
      <w:r w:rsidR="006011E4">
        <w:t xml:space="preserve"> (See Attachment 2)</w:t>
      </w:r>
      <w:r w:rsidRPr="009533EA">
        <w:t>, EPA collects basic exposure-related manufacturing, processing, and use information used by the Agency and others in a wide range of activities. The CDR data collection is on a four-year reporting cycle and mainly contains information drawn from the principal reporting year but also contains some information, by year, from the previous three years. The information collected enable</w:t>
      </w:r>
      <w:r>
        <w:t>s</w:t>
      </w:r>
      <w:r w:rsidRPr="009533EA">
        <w:t xml:space="preserve"> EPA to better understand and interpret the state of U.S. chemical manufacturing, processing, and use, and further enhance</w:t>
      </w:r>
      <w:r>
        <w:t>s</w:t>
      </w:r>
      <w:r w:rsidRPr="009533EA">
        <w:t xml:space="preserve"> EPA’s ability to identify, </w:t>
      </w:r>
      <w:r>
        <w:t>evaluate</w:t>
      </w:r>
      <w:r w:rsidRPr="009533EA">
        <w:t>, and manage potential chemical risks.</w:t>
      </w:r>
      <w:r w:rsidR="00272F4D" w:rsidRPr="009533EA">
        <w:t xml:space="preserve"> </w:t>
      </w:r>
    </w:p>
    <w:p w14:paraId="2135FB92" w14:textId="77777777" w:rsidR="00C453B6" w:rsidRPr="009533EA" w:rsidRDefault="00C453B6" w:rsidP="00C453B6">
      <w:pPr>
        <w:pStyle w:val="BodyText"/>
      </w:pPr>
      <w:r>
        <w:t xml:space="preserve">Under </w:t>
      </w:r>
      <w:r w:rsidRPr="009533EA">
        <w:t>CDR</w:t>
      </w:r>
      <w:r>
        <w:t>,</w:t>
      </w:r>
      <w:r w:rsidRPr="009533EA">
        <w:t xml:space="preserve"> manufacturers (including importers) </w:t>
      </w:r>
      <w:r>
        <w:t>are</w:t>
      </w:r>
      <w:r w:rsidRPr="009533EA">
        <w:t xml:space="preserve"> required to report if, for any calendar year since the last principle reporting year (i.e., 2015</w:t>
      </w:r>
      <w:r w:rsidR="00D11D17">
        <w:t xml:space="preserve"> for the 2016 reporting cycle</w:t>
      </w:r>
      <w:r w:rsidRPr="009533EA">
        <w:t xml:space="preserve">), a chemical substance was manufactured (including imported) at a site in production volumes of </w:t>
      </w:r>
      <w:r w:rsidRPr="009533EA">
        <w:rPr>
          <w:iCs/>
        </w:rPr>
        <w:t>25,000 pounds</w:t>
      </w:r>
      <w:r w:rsidRPr="009533EA">
        <w:t xml:space="preserve"> or greater for most chemical substances. The reporting threshold is </w:t>
      </w:r>
      <w:r>
        <w:t>lower (</w:t>
      </w:r>
      <w:r w:rsidRPr="009533EA">
        <w:rPr>
          <w:iCs/>
        </w:rPr>
        <w:t>2,500 pounds</w:t>
      </w:r>
      <w:r>
        <w:rPr>
          <w:iCs/>
        </w:rPr>
        <w:t>)</w:t>
      </w:r>
      <w:r w:rsidRPr="009533EA">
        <w:t> for chemical substances that are the subject of</w:t>
      </w:r>
      <w:r>
        <w:t xml:space="preserve"> certain TSCA actions, including</w:t>
      </w:r>
      <w:r w:rsidRPr="009533EA">
        <w:t>:</w:t>
      </w:r>
    </w:p>
    <w:p w14:paraId="2F00E29D" w14:textId="77777777" w:rsidR="00272F4D" w:rsidRPr="009533EA" w:rsidRDefault="00272F4D" w:rsidP="00282359">
      <w:pPr>
        <w:numPr>
          <w:ilvl w:val="0"/>
          <w:numId w:val="8"/>
        </w:numPr>
        <w:shd w:val="clear" w:color="auto" w:fill="FFFFFF"/>
        <w:spacing w:line="285" w:lineRule="atLeast"/>
        <w:ind w:left="1080" w:right="720"/>
        <w:rPr>
          <w:rFonts w:eastAsia="Times New Roman" w:cs="Times New Roman"/>
        </w:rPr>
      </w:pPr>
      <w:r w:rsidRPr="009533EA">
        <w:rPr>
          <w:rFonts w:eastAsia="Times New Roman" w:cs="Times New Roman"/>
        </w:rPr>
        <w:lastRenderedPageBreak/>
        <w:t>A rule proposed or promulgated under TSCA sections 5(a)(2), 5(b)(4), or 6;</w:t>
      </w:r>
    </w:p>
    <w:p w14:paraId="50025AF4" w14:textId="77777777" w:rsidR="00272F4D" w:rsidRPr="009533EA" w:rsidRDefault="00272F4D" w:rsidP="00282359">
      <w:pPr>
        <w:numPr>
          <w:ilvl w:val="0"/>
          <w:numId w:val="8"/>
        </w:numPr>
        <w:shd w:val="clear" w:color="auto" w:fill="FFFFFF"/>
        <w:spacing w:line="285" w:lineRule="atLeast"/>
        <w:ind w:left="1080" w:right="720"/>
        <w:rPr>
          <w:rFonts w:eastAsia="Times New Roman" w:cs="Times New Roman"/>
        </w:rPr>
      </w:pPr>
      <w:r w:rsidRPr="009533EA">
        <w:rPr>
          <w:rFonts w:eastAsia="Times New Roman" w:cs="Times New Roman"/>
        </w:rPr>
        <w:t>An order issued under TSCA sections 5(e) or 5(f); or</w:t>
      </w:r>
    </w:p>
    <w:p w14:paraId="05682C25" w14:textId="77777777" w:rsidR="00272F4D" w:rsidRDefault="00272F4D" w:rsidP="00282359">
      <w:pPr>
        <w:numPr>
          <w:ilvl w:val="0"/>
          <w:numId w:val="8"/>
        </w:numPr>
        <w:shd w:val="clear" w:color="auto" w:fill="FFFFFF"/>
        <w:spacing w:line="285" w:lineRule="atLeast"/>
        <w:ind w:left="1080" w:right="720"/>
        <w:rPr>
          <w:rFonts w:eastAsia="Times New Roman" w:cs="Times New Roman"/>
        </w:rPr>
      </w:pPr>
      <w:r w:rsidRPr="009533EA">
        <w:rPr>
          <w:rFonts w:eastAsia="Times New Roman" w:cs="Times New Roman"/>
        </w:rPr>
        <w:t>Relief that has been granted under a civil action under TSCA sections 5 or 7.</w:t>
      </w:r>
    </w:p>
    <w:p w14:paraId="08723154" w14:textId="77777777" w:rsidR="00272F4D" w:rsidRPr="009533EA" w:rsidRDefault="00272F4D" w:rsidP="00272F4D">
      <w:pPr>
        <w:shd w:val="clear" w:color="auto" w:fill="FFFFFF"/>
        <w:spacing w:line="285" w:lineRule="atLeast"/>
        <w:ind w:left="1440" w:right="720"/>
        <w:rPr>
          <w:rFonts w:eastAsia="Times New Roman" w:cs="Times New Roman"/>
        </w:rPr>
      </w:pPr>
    </w:p>
    <w:p w14:paraId="1FDB2B99" w14:textId="77777777" w:rsidR="00272F4D" w:rsidRPr="009533EA" w:rsidRDefault="00C453B6" w:rsidP="00272F4D">
      <w:pPr>
        <w:pStyle w:val="BodyText"/>
      </w:pPr>
      <w:r w:rsidRPr="009533EA">
        <w:t xml:space="preserve">The </w:t>
      </w:r>
      <w:r>
        <w:t xml:space="preserve">CDR </w:t>
      </w:r>
      <w:r w:rsidRPr="009533EA">
        <w:t>exposure-related data on manufacturing, processing, and use will enable EPA to conduct a more effective and efficient screening-level review of chemical substances to identify candidates for further evaluation or action. This is particularly important in light of EPA’s requirement under TSCA</w:t>
      </w:r>
      <w:r>
        <w:t>,</w:t>
      </w:r>
      <w:r w:rsidRPr="009533EA">
        <w:t xml:space="preserve"> as amended by the</w:t>
      </w:r>
      <w:r>
        <w:t xml:space="preserve"> </w:t>
      </w:r>
      <w:r w:rsidRPr="009533EA">
        <w:t>Lautenberg</w:t>
      </w:r>
      <w:r>
        <w:t xml:space="preserve"> </w:t>
      </w:r>
      <w:r w:rsidRPr="009533EA">
        <w:t>Act</w:t>
      </w:r>
      <w:r>
        <w:t>,</w:t>
      </w:r>
      <w:r w:rsidRPr="009533EA">
        <w:t xml:space="preserve"> to identify chemicals in commerce as high priority or low priority for risk</w:t>
      </w:r>
      <w:r>
        <w:t xml:space="preserve"> evaluation (TSCA section 6(b))</w:t>
      </w:r>
      <w:r w:rsidR="00272F4D" w:rsidRPr="009533EA">
        <w:t xml:space="preserve">. </w:t>
      </w:r>
    </w:p>
    <w:p w14:paraId="36245C62" w14:textId="458E15B2" w:rsidR="00C453B6" w:rsidRPr="009533EA" w:rsidRDefault="00C453B6" w:rsidP="00C453B6">
      <w:pPr>
        <w:pStyle w:val="BodyText"/>
      </w:pPr>
      <w:r w:rsidRPr="009533EA">
        <w:t xml:space="preserve">Additionally, under TSCA </w:t>
      </w:r>
      <w:r>
        <w:t>section 14</w:t>
      </w:r>
      <w:r w:rsidRPr="009533EA">
        <w:t xml:space="preserve">, claims of CBI (other than for production volume) must be substantiated at the time </w:t>
      </w:r>
      <w:r>
        <w:t xml:space="preserve">information is submitted </w:t>
      </w:r>
      <w:r w:rsidRPr="009533EA">
        <w:t>to EPA, including as part of CDR (</w:t>
      </w:r>
      <w:r>
        <w:t xml:space="preserve">See </w:t>
      </w:r>
      <w:hyperlink r:id="rId16" w:history="1">
        <w:r w:rsidRPr="009533EA">
          <w:rPr>
            <w:color w:val="0000FF"/>
            <w:u w:val="single"/>
          </w:rPr>
          <w:t>82 FR 6522</w:t>
        </w:r>
      </w:hyperlink>
      <w:r w:rsidRPr="009533EA">
        <w:t>, January 19, 2017).  In order to make sure EPA can use CDR data most effectively, including sharing it with the public, TSCA necessitates the submission of CB</w:t>
      </w:r>
      <w:r w:rsidR="00260B5E">
        <w:t>I substantiation and EPA review of</w:t>
      </w:r>
      <w:r w:rsidRPr="009533EA">
        <w:t xml:space="preserve"> the legitimacy of CBI claims. For instance, the data that are claimed confidential should not already be publicly available and submitters should demonstrate that the disclosure of confidentially-claimed information would cause harm to a business’ competitive position.  </w:t>
      </w:r>
    </w:p>
    <w:p w14:paraId="2BF8E03D" w14:textId="77777777" w:rsidR="00272F4D" w:rsidRPr="009533EA" w:rsidRDefault="00272F4D" w:rsidP="00272F4D">
      <w:pPr>
        <w:pStyle w:val="Heading2"/>
      </w:pPr>
      <w:r w:rsidRPr="009533EA">
        <w:t>Practical Utility/Users of the Data</w:t>
      </w:r>
    </w:p>
    <w:p w14:paraId="05BF4653" w14:textId="77777777" w:rsidR="00C453B6" w:rsidRPr="009533EA" w:rsidRDefault="00C453B6" w:rsidP="00C453B6">
      <w:pPr>
        <w:pStyle w:val="BodyText"/>
      </w:pPr>
      <w:r w:rsidRPr="009533EA">
        <w:t>The reporting methods, including the reporting tool and electronic registration, help to ensure that the information reported to EPA is accurate and in compliance with the CDR requirements.</w:t>
      </w:r>
      <w:r>
        <w:t xml:space="preserve"> In addition, the data elements reported have practical utility for users of the data within EPA and for the public.</w:t>
      </w:r>
    </w:p>
    <w:p w14:paraId="15F9A08B" w14:textId="77777777" w:rsidR="00272F4D" w:rsidRPr="009533EA"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i/>
          <w:szCs w:val="18"/>
        </w:rPr>
      </w:pPr>
      <w:r w:rsidRPr="009533EA">
        <w:rPr>
          <w:rFonts w:eastAsia="Times New Roman" w:cs="Times New Roman"/>
          <w:szCs w:val="18"/>
        </w:rPr>
        <w:tab/>
      </w:r>
      <w:r w:rsidRPr="009533EA">
        <w:rPr>
          <w:rFonts w:eastAsia="Times New Roman" w:cs="Times New Roman"/>
          <w:i/>
          <w:szCs w:val="18"/>
        </w:rPr>
        <w:t>e-CDRweb Reporting Tool</w:t>
      </w:r>
    </w:p>
    <w:p w14:paraId="2490A56D" w14:textId="77777777" w:rsidR="00272F4D" w:rsidRPr="009533EA" w:rsidRDefault="00272F4D" w:rsidP="00272F4D">
      <w:pPr>
        <w:ind w:firstLine="720"/>
        <w:rPr>
          <w:rFonts w:eastAsia="Times New Roman" w:cs="Times New Roman"/>
        </w:rPr>
      </w:pPr>
    </w:p>
    <w:p w14:paraId="5C271186" w14:textId="77777777" w:rsidR="00272F4D" w:rsidRPr="009533EA" w:rsidRDefault="00272F4D" w:rsidP="00272F4D">
      <w:pPr>
        <w:pStyle w:val="BodyText"/>
      </w:pPr>
      <w:r w:rsidRPr="009533EA">
        <w:t xml:space="preserve">For the 2020 submission period, EPA will continue to require electronic reporting for all CDR submissions, including joint submissions and amendments. </w:t>
      </w:r>
      <w:r w:rsidRPr="009533EA">
        <w:rPr>
          <w:szCs w:val="18"/>
        </w:rPr>
        <w:t xml:space="preserve">Persons submitting information under the CDR rule are required to use e-CDRweb, the Agency-provided, web-based tool to complete Form U (the CDR reporting form). The information is submitted electronically via the Internet, through EPA’s Central Data Exchange (CDX). </w:t>
      </w:r>
      <w:r w:rsidRPr="009533EA">
        <w:t>Users of CDX are required to register with the system, including submitting an authorized signature agreement to EPA.</w:t>
      </w:r>
    </w:p>
    <w:p w14:paraId="61D83418" w14:textId="77777777" w:rsidR="00272F4D" w:rsidRPr="009533EA"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eastAsia="Times New Roman" w:cs="Times New Roman"/>
          <w:i/>
          <w:szCs w:val="18"/>
        </w:rPr>
      </w:pPr>
      <w:r w:rsidRPr="009533EA">
        <w:rPr>
          <w:rFonts w:eastAsia="Times New Roman" w:cs="Times New Roman"/>
          <w:i/>
          <w:szCs w:val="18"/>
        </w:rPr>
        <w:tab/>
        <w:t>CDX Registration</w:t>
      </w:r>
    </w:p>
    <w:p w14:paraId="3E536492" w14:textId="77777777" w:rsidR="00272F4D" w:rsidRPr="009533EA"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i/>
          <w:szCs w:val="18"/>
        </w:rPr>
      </w:pPr>
    </w:p>
    <w:p w14:paraId="20460570" w14:textId="77777777" w:rsidR="00272F4D" w:rsidRPr="009533EA" w:rsidRDefault="00272F4D" w:rsidP="00272F4D">
      <w:pPr>
        <w:pStyle w:val="BodyText"/>
      </w:pPr>
      <w:r w:rsidRPr="009533EA">
        <w:t xml:space="preserve">Each CDR submission must have an associated authorized official. The authorized official signs the certification statement and submits the CDR report via CDX. To register in CDX, the CDX registrant (also referred to as “Electronic Signature Holder”) completes an electronic signature agreement (ESA) form. For identity authentication, the registrant will complete the ESA, and </w:t>
      </w:r>
      <w:r w:rsidR="00EE1004">
        <w:t xml:space="preserve">either </w:t>
      </w:r>
      <w:r w:rsidRPr="009533EA">
        <w:t>submit the form electronically</w:t>
      </w:r>
      <w:r w:rsidR="00EE1004">
        <w:t xml:space="preserve"> or mail</w:t>
      </w:r>
      <w:r w:rsidRPr="009533EA">
        <w:t xml:space="preserve"> to EPA. Once EPA receives the form, EPA will activate the registrant’s CDX account and send a notification via email. </w:t>
      </w:r>
    </w:p>
    <w:p w14:paraId="394B6FB5" w14:textId="77777777" w:rsidR="00272F4D" w:rsidRPr="009533EA" w:rsidRDefault="00272F4D" w:rsidP="00272F4D">
      <w:pPr>
        <w:pStyle w:val="BodyText"/>
      </w:pPr>
      <w:r w:rsidRPr="009533EA">
        <w:t xml:space="preserve">A company may need or desire to have more than one individual complete an electronic signature agreement, so that more than one person can add information to an original CDR submission. Persons submitting supplemental information for a CDR submission on behalf of a company need to register with CDX by signing an ESA. The company official can authorize an unlimited number of agent or support registrants and agent or support registrants can work with an unlimited number of company officials. An agent registrant has abilities very similar to those of the authorized official, but the agent does not have the abilities to submit completed forms and assign agent or support registrants. A support registrant is more limited in their abilities, but they can enter and edit submission information. An agent or support registrant may be an employee of the company, an outside consultant for the company, or an authorized representative agent for the company. While this individual is not able to sign the certification statement required for the initial CDR submission, they are able to provide additional information, if needed, using CDX. </w:t>
      </w:r>
    </w:p>
    <w:p w14:paraId="1E093A50" w14:textId="77777777" w:rsidR="00272F4D"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eastAsia="Times New Roman" w:cs="Times New Roman"/>
          <w:i/>
        </w:rPr>
      </w:pPr>
      <w:r w:rsidRPr="009533EA">
        <w:rPr>
          <w:rFonts w:eastAsia="Times New Roman" w:cs="Times New Roman"/>
          <w:i/>
        </w:rPr>
        <w:tab/>
        <w:t>Data Elements for CDR Submissions</w:t>
      </w:r>
    </w:p>
    <w:p w14:paraId="630ED472" w14:textId="77777777" w:rsidR="00272F4D" w:rsidRPr="009533EA"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eastAsia="Times New Roman" w:cs="Times New Roman"/>
          <w:i/>
        </w:rPr>
      </w:pPr>
    </w:p>
    <w:p w14:paraId="4AF8FAE5" w14:textId="77777777" w:rsidR="00272F4D" w:rsidRPr="009533EA" w:rsidRDefault="00272F4D" w:rsidP="00272F4D">
      <w:pPr>
        <w:pStyle w:val="BodyText"/>
      </w:pPr>
      <w:r w:rsidRPr="009533EA">
        <w:t>The CDR information collection is the only mechanism through which EPA</w:t>
      </w:r>
      <w:r w:rsidR="00C453B6">
        <w:t xml:space="preserve"> routinely</w:t>
      </w:r>
      <w:r w:rsidRPr="009533EA">
        <w:t xml:space="preserve"> collects basic information on commercial chemical substances listed on the TSCA Inventory, including production volume and other manufacturing (including importing), processing, and use exposure-related data. EPA will use the information collecting in the following ways:</w:t>
      </w:r>
    </w:p>
    <w:p w14:paraId="4CBE0918" w14:textId="77777777" w:rsidR="00272F4D" w:rsidRPr="009533EA" w:rsidRDefault="00272F4D" w:rsidP="004D4DC1">
      <w:pPr>
        <w:numPr>
          <w:ilvl w:val="0"/>
          <w:numId w:val="16"/>
        </w:numPr>
        <w:tabs>
          <w:tab w:val="left" w:pos="1080"/>
          <w:tab w:val="left" w:pos="1260"/>
        </w:tabs>
        <w:ind w:left="360"/>
        <w:rPr>
          <w:rFonts w:eastAsia="Times New Roman" w:cs="Times New Roman"/>
        </w:rPr>
      </w:pPr>
      <w:r w:rsidRPr="009533EA">
        <w:rPr>
          <w:rFonts w:eastAsia="Times New Roman" w:cs="Times New Roman"/>
          <w:i/>
        </w:rPr>
        <w:t>U.S. parent company, site,</w:t>
      </w:r>
      <w:r w:rsidR="0056533F">
        <w:rPr>
          <w:rFonts w:eastAsia="Times New Roman" w:cs="Times New Roman"/>
          <w:i/>
        </w:rPr>
        <w:t xml:space="preserve"> </w:t>
      </w:r>
      <w:r w:rsidRPr="009533EA">
        <w:rPr>
          <w:rFonts w:eastAsia="Times New Roman" w:cs="Times New Roman"/>
          <w:i/>
        </w:rPr>
        <w:t>and technical contact information</w:t>
      </w:r>
      <w:r w:rsidRPr="009533EA">
        <w:rPr>
          <w:rFonts w:eastAsia="Times New Roman" w:cs="Times New Roman"/>
        </w:rPr>
        <w:t xml:space="preserve">: EPA requires that company information </w:t>
      </w:r>
      <w:r>
        <w:rPr>
          <w:rFonts w:eastAsia="Times New Roman" w:cs="Times New Roman"/>
        </w:rPr>
        <w:t xml:space="preserve">be provided for </w:t>
      </w:r>
      <w:r w:rsidRPr="009533EA">
        <w:rPr>
          <w:rFonts w:eastAsia="Times New Roman" w:cs="Times New Roman"/>
        </w:rPr>
        <w:t xml:space="preserve">the U.S. parent company associated with the reporting site. Consistent use of parent company names makes for more meaningful comparisons of data, especially for protecting information claimed as confidential when there are multiple sites for the same parent company. Site information is important because EPA and stakeholders need to know where chemical manufacturing (including import) occurs. EPA uses the technical contact information to contact submitters in the event of questions about the submission. </w:t>
      </w:r>
      <w:r w:rsidRPr="009533EA">
        <w:rPr>
          <w:rFonts w:eastAsia="Times New Roman" w:cs="Times New Roman"/>
        </w:rPr>
        <w:br/>
      </w:r>
    </w:p>
    <w:p w14:paraId="316FB8C2" w14:textId="77777777" w:rsidR="00C453B6" w:rsidRPr="009533EA" w:rsidRDefault="00C453B6" w:rsidP="004D4DC1">
      <w:pPr>
        <w:keepNext/>
        <w:numPr>
          <w:ilvl w:val="0"/>
          <w:numId w:val="16"/>
        </w:numPr>
        <w:ind w:left="360"/>
        <w:rPr>
          <w:rFonts w:eastAsia="Times New Roman" w:cs="Times New Roman"/>
          <w:i/>
        </w:rPr>
      </w:pPr>
      <w:r w:rsidRPr="009533EA">
        <w:rPr>
          <w:rFonts w:eastAsia="Times New Roman" w:cs="Times New Roman"/>
          <w:i/>
        </w:rPr>
        <w:t>Manufacturing-related information:</w:t>
      </w:r>
    </w:p>
    <w:p w14:paraId="260FB88E" w14:textId="77777777" w:rsidR="00272F4D" w:rsidRPr="009533EA" w:rsidRDefault="00272F4D" w:rsidP="004D4DC1">
      <w:pPr>
        <w:numPr>
          <w:ilvl w:val="1"/>
          <w:numId w:val="16"/>
        </w:numPr>
        <w:autoSpaceDE w:val="0"/>
        <w:autoSpaceDN w:val="0"/>
        <w:adjustRightInd w:val="0"/>
        <w:ind w:left="720"/>
        <w:rPr>
          <w:rFonts w:eastAsia="Times New Roman" w:cs="Times New Roman"/>
          <w:szCs w:val="18"/>
        </w:rPr>
      </w:pPr>
      <w:r w:rsidRPr="009533EA">
        <w:rPr>
          <w:rFonts w:eastAsia="Times New Roman" w:cs="Times New Roman"/>
          <w:i/>
        </w:rPr>
        <w:t>The production volume of a manufactured (including imported) chemical substance used</w:t>
      </w:r>
      <w:r w:rsidRPr="009533EA">
        <w:rPr>
          <w:rFonts w:eastAsia="Times New Roman" w:cs="Times New Roman"/>
          <w:i/>
          <w:shd w:val="clear" w:color="auto" w:fill="FFFFFF"/>
        </w:rPr>
        <w:t xml:space="preserve"> at the reporting site:</w:t>
      </w:r>
      <w:r w:rsidRPr="009533EA">
        <w:rPr>
          <w:rFonts w:eastAsia="Times New Roman" w:cs="Times New Roman"/>
          <w:color w:val="000000"/>
          <w:szCs w:val="18"/>
          <w:shd w:val="clear" w:color="auto" w:fill="FFFFFF"/>
        </w:rPr>
        <w:t xml:space="preserve"> This data element identifies whether a chemical substance is used on site. Either domestically manufactured or imported chemical subs</w:t>
      </w:r>
      <w:r w:rsidRPr="009533EA">
        <w:rPr>
          <w:rFonts w:eastAsia="Times New Roman" w:cs="Times New Roman"/>
          <w:color w:val="000000"/>
          <w:szCs w:val="18"/>
        </w:rPr>
        <w:t xml:space="preserve">tances can be reported as used at the reporting site. </w:t>
      </w:r>
      <w:r w:rsidRPr="009533EA">
        <w:rPr>
          <w:rFonts w:eastAsia="Times New Roman" w:cs="Times New Roman"/>
          <w:szCs w:val="18"/>
        </w:rPr>
        <w:t xml:space="preserve">This information is related to potential exposures associated with the on-site volumes, and provides the Agency with information for exposure assessments and other data analyses. </w:t>
      </w:r>
    </w:p>
    <w:p w14:paraId="4427DD67" w14:textId="77777777" w:rsidR="00C453B6" w:rsidRPr="009533EA" w:rsidRDefault="00C453B6" w:rsidP="004D4DC1">
      <w:pPr>
        <w:numPr>
          <w:ilvl w:val="1"/>
          <w:numId w:val="16"/>
        </w:numPr>
        <w:autoSpaceDE w:val="0"/>
        <w:autoSpaceDN w:val="0"/>
        <w:adjustRightInd w:val="0"/>
        <w:ind w:left="720"/>
        <w:rPr>
          <w:rFonts w:eastAsia="Times New Roman" w:cs="Times New Roman"/>
          <w:szCs w:val="18"/>
        </w:rPr>
      </w:pPr>
      <w:r w:rsidRPr="009533EA">
        <w:rPr>
          <w:rFonts w:eastAsia="Times New Roman" w:cs="Times New Roman"/>
          <w:i/>
        </w:rPr>
        <w:t>The production volume for each of the years since the last principal reporting year</w:t>
      </w:r>
      <w:r w:rsidRPr="009533EA">
        <w:rPr>
          <w:rFonts w:eastAsia="Times New Roman" w:cs="Times New Roman"/>
        </w:rPr>
        <w:t xml:space="preserve">: </w:t>
      </w:r>
      <w:r>
        <w:rPr>
          <w:rFonts w:eastAsia="Times New Roman" w:cs="Times New Roman"/>
          <w:shd w:val="clear" w:color="auto" w:fill="FFFFFF"/>
        </w:rPr>
        <w:t>M</w:t>
      </w:r>
      <w:r w:rsidRPr="009533EA">
        <w:rPr>
          <w:rFonts w:eastAsia="Times New Roman" w:cs="Times New Roman"/>
          <w:shd w:val="clear" w:color="auto" w:fill="FFFFFF"/>
        </w:rPr>
        <w:t xml:space="preserve">anufacturers (including importers) need to report production volume information for </w:t>
      </w:r>
      <w:r>
        <w:rPr>
          <w:rFonts w:eastAsia="Times New Roman" w:cs="Times New Roman"/>
          <w:shd w:val="clear" w:color="auto" w:fill="FFFFFF"/>
        </w:rPr>
        <w:t xml:space="preserve">the principal reporting year (the year before the collection; i.e., for 2020 the principal reporting year would be 2019) and for each of the </w:t>
      </w:r>
      <w:r w:rsidRPr="009533EA">
        <w:rPr>
          <w:rFonts w:eastAsia="Times New Roman" w:cs="Times New Roman"/>
          <w:shd w:val="clear" w:color="auto" w:fill="FFFFFF"/>
        </w:rPr>
        <w:t>calendar years</w:t>
      </w:r>
      <w:r>
        <w:rPr>
          <w:rFonts w:eastAsia="Times New Roman" w:cs="Times New Roman"/>
          <w:shd w:val="clear" w:color="auto" w:fill="FFFFFF"/>
        </w:rPr>
        <w:t xml:space="preserve"> since the last report (i.e., </w:t>
      </w:r>
      <w:r w:rsidRPr="009533EA">
        <w:rPr>
          <w:rFonts w:eastAsia="Times New Roman" w:cs="Times New Roman"/>
          <w:shd w:val="clear" w:color="auto" w:fill="FFFFFF"/>
        </w:rPr>
        <w:t>2016, 2017, 2018</w:t>
      </w:r>
      <w:r>
        <w:rPr>
          <w:rFonts w:eastAsia="Times New Roman" w:cs="Times New Roman"/>
          <w:shd w:val="clear" w:color="auto" w:fill="FFFFFF"/>
        </w:rPr>
        <w:t>)</w:t>
      </w:r>
      <w:r w:rsidRPr="009533EA">
        <w:rPr>
          <w:rFonts w:eastAsia="Times New Roman" w:cs="Times New Roman"/>
          <w:shd w:val="clear" w:color="auto" w:fill="FFFFFF"/>
        </w:rPr>
        <w:t xml:space="preserve">, </w:t>
      </w:r>
      <w:r w:rsidRPr="009533EA">
        <w:rPr>
          <w:rFonts w:eastAsia="Times New Roman" w:cs="Times New Roman"/>
          <w:szCs w:val="18"/>
        </w:rPr>
        <w:t>if a chemical substance was manufactured (including imported) at a site in excess of the relevant production volume threshold (25,000 pounds or 2,500 pounds if subject to certain TSCA actions) for any of the four calendar years</w:t>
      </w:r>
      <w:r w:rsidRPr="009533EA">
        <w:rPr>
          <w:rFonts w:eastAsia="Times New Roman" w:cs="Times New Roman"/>
          <w:shd w:val="clear" w:color="auto" w:fill="FFFFFF"/>
        </w:rPr>
        <w:t xml:space="preserve">. Examples of how </w:t>
      </w:r>
      <w:r w:rsidRPr="009533EA">
        <w:rPr>
          <w:rFonts w:eastAsia="Times New Roman" w:cs="Times New Roman"/>
          <w:szCs w:val="18"/>
        </w:rPr>
        <w:t>EPA will use these data include: chemical prioritization efforts; chemical manufacturing, processing, and use trend analyses; and assessment of Agency and public programs.</w:t>
      </w:r>
    </w:p>
    <w:p w14:paraId="48658CA3" w14:textId="77777777" w:rsidR="00272F4D" w:rsidRPr="009533EA" w:rsidRDefault="00272F4D" w:rsidP="004D4DC1">
      <w:pPr>
        <w:numPr>
          <w:ilvl w:val="1"/>
          <w:numId w:val="16"/>
        </w:numPr>
        <w:autoSpaceDE w:val="0"/>
        <w:autoSpaceDN w:val="0"/>
        <w:adjustRightInd w:val="0"/>
        <w:ind w:left="720"/>
        <w:rPr>
          <w:rFonts w:eastAsia="Times New Roman" w:cs="Times New Roman"/>
          <w:szCs w:val="18"/>
        </w:rPr>
      </w:pPr>
      <w:r w:rsidRPr="009533EA">
        <w:rPr>
          <w:rFonts w:eastAsia="Times New Roman" w:cs="Times New Roman"/>
          <w:i/>
          <w:szCs w:val="18"/>
        </w:rPr>
        <w:t>Whether an imported chemical substance i</w:t>
      </w:r>
      <w:r w:rsidRPr="009533EA">
        <w:rPr>
          <w:rFonts w:eastAsia="Times New Roman" w:cs="Times New Roman"/>
          <w:i/>
          <w:szCs w:val="18"/>
          <w:shd w:val="clear" w:color="auto" w:fill="FFFFFF"/>
        </w:rPr>
        <w:t>s p</w:t>
      </w:r>
      <w:r w:rsidRPr="009533EA">
        <w:rPr>
          <w:rFonts w:eastAsia="Times New Roman" w:cs="Times New Roman"/>
          <w:i/>
          <w:szCs w:val="18"/>
        </w:rPr>
        <w:t>hysically at the reporting site</w:t>
      </w:r>
      <w:r w:rsidRPr="009533EA">
        <w:rPr>
          <w:rFonts w:eastAsia="Times New Roman" w:cs="Times New Roman"/>
          <w:szCs w:val="18"/>
        </w:rPr>
        <w:t>: Imported chemical substances may never physically be located at the reporting site because, upon import, they are shipped directly to another site. This data element enables the Agency and others to better assess manufacturing-related potential exposures, thereby enabling information for screening-level analyses and other uses of the CDR data.</w:t>
      </w:r>
    </w:p>
    <w:p w14:paraId="7AD12958" w14:textId="77777777" w:rsidR="00272F4D" w:rsidRPr="009533EA" w:rsidRDefault="00272F4D" w:rsidP="004D4DC1">
      <w:pPr>
        <w:numPr>
          <w:ilvl w:val="1"/>
          <w:numId w:val="16"/>
        </w:numPr>
        <w:autoSpaceDE w:val="0"/>
        <w:autoSpaceDN w:val="0"/>
        <w:adjustRightInd w:val="0"/>
        <w:ind w:left="720"/>
        <w:rPr>
          <w:rFonts w:eastAsia="Times New Roman" w:cs="Times New Roman"/>
        </w:rPr>
      </w:pPr>
      <w:r w:rsidRPr="009533EA">
        <w:rPr>
          <w:rFonts w:eastAsia="Times New Roman" w:cs="Times New Roman"/>
          <w:i/>
          <w:szCs w:val="18"/>
        </w:rPr>
        <w:t xml:space="preserve">The production volume directly exported and not domestically processed or </w:t>
      </w:r>
      <w:r w:rsidRPr="009533EA">
        <w:rPr>
          <w:rFonts w:eastAsia="Times New Roman" w:cs="Times New Roman"/>
          <w:i/>
        </w:rPr>
        <w:t>used</w:t>
      </w:r>
      <w:r w:rsidRPr="009533EA">
        <w:rPr>
          <w:rFonts w:eastAsia="Times New Roman" w:cs="Times New Roman"/>
        </w:rPr>
        <w:t>:</w:t>
      </w:r>
      <w:r w:rsidRPr="009533EA">
        <w:rPr>
          <w:rFonts w:eastAsia="Times New Roman" w:cs="Times New Roman"/>
          <w:szCs w:val="18"/>
        </w:rPr>
        <w:t xml:space="preserve"> This data element allows EPA to identify the completeness of the reported processing and use information by indicating the proportion of the production volume potentially covered by the reported processing and use information. CDR processing and use information is required only for domestic use situations and is not required for any volumes directly exported. This data element informs the exposure profile for the U.S. public.</w:t>
      </w:r>
    </w:p>
    <w:p w14:paraId="452C16E5" w14:textId="77777777" w:rsidR="00272F4D" w:rsidRPr="009533EA" w:rsidRDefault="00272F4D" w:rsidP="004D4DC1">
      <w:pPr>
        <w:numPr>
          <w:ilvl w:val="1"/>
          <w:numId w:val="16"/>
        </w:numPr>
        <w:autoSpaceDE w:val="0"/>
        <w:autoSpaceDN w:val="0"/>
        <w:adjustRightInd w:val="0"/>
        <w:ind w:left="720"/>
        <w:rPr>
          <w:rFonts w:eastAsia="Times New Roman" w:cs="Times New Roman"/>
        </w:rPr>
      </w:pPr>
      <w:r w:rsidRPr="009533EA">
        <w:rPr>
          <w:rFonts w:eastAsia="Times New Roman" w:cs="Times New Roman"/>
          <w:i/>
          <w:szCs w:val="18"/>
        </w:rPr>
        <w:t xml:space="preserve">The number of workers exposed: </w:t>
      </w:r>
      <w:r w:rsidRPr="009533EA">
        <w:rPr>
          <w:rFonts w:eastAsia="Times New Roman" w:cs="Times New Roman"/>
          <w:szCs w:val="18"/>
        </w:rPr>
        <w:t>This data element allows EPA to identify the number of workers reasonably likely to be exposed to each reportable chemical substance during manufacture at each site. This e</w:t>
      </w:r>
      <w:r w:rsidRPr="009533EA">
        <w:rPr>
          <w:rFonts w:eastAsia="Times New Roman" w:cs="Times New Roman"/>
        </w:rPr>
        <w:t>xposure-related information allows OPPT to screen chemical substances based on the potential for risk in order to protect human health.</w:t>
      </w:r>
    </w:p>
    <w:p w14:paraId="477727D5" w14:textId="77777777" w:rsidR="00272F4D" w:rsidRPr="009533EA" w:rsidRDefault="00272F4D" w:rsidP="004D4DC1">
      <w:pPr>
        <w:numPr>
          <w:ilvl w:val="1"/>
          <w:numId w:val="16"/>
        </w:numPr>
        <w:autoSpaceDE w:val="0"/>
        <w:autoSpaceDN w:val="0"/>
        <w:adjustRightInd w:val="0"/>
        <w:ind w:left="720"/>
        <w:rPr>
          <w:rFonts w:eastAsia="Times New Roman" w:cs="Times New Roman"/>
        </w:rPr>
      </w:pPr>
      <w:r w:rsidRPr="009533EA">
        <w:rPr>
          <w:rFonts w:eastAsia="Times New Roman" w:cs="Times New Roman"/>
          <w:i/>
          <w:szCs w:val="18"/>
        </w:rPr>
        <w:t xml:space="preserve">The maximum concentration of a chemical: </w:t>
      </w:r>
      <w:r w:rsidRPr="009533EA">
        <w:rPr>
          <w:rFonts w:eastAsia="Times New Roman" w:cs="Times New Roman"/>
          <w:szCs w:val="18"/>
        </w:rPr>
        <w:t>This data element provides maximum concentration measured by percentage of weight of a reportable chemical substance at the time it is reacted on-site to produce a different chemical substance or as it leaves the site.</w:t>
      </w:r>
      <w:r w:rsidR="007D0334" w:rsidRPr="007D0334">
        <w:rPr>
          <w:rFonts w:eastAsia="Times New Roman" w:cs="Times New Roman"/>
          <w:szCs w:val="18"/>
        </w:rPr>
        <w:t xml:space="preserve"> </w:t>
      </w:r>
      <w:r w:rsidR="007D0334">
        <w:rPr>
          <w:rFonts w:eastAsia="Times New Roman" w:cs="Times New Roman"/>
          <w:szCs w:val="18"/>
        </w:rPr>
        <w:t>This data element</w:t>
      </w:r>
      <w:r w:rsidR="007D0334" w:rsidRPr="009533EA">
        <w:rPr>
          <w:rFonts w:eastAsia="Times New Roman" w:cs="Times New Roman"/>
          <w:szCs w:val="18"/>
        </w:rPr>
        <w:t xml:space="preserve"> provide</w:t>
      </w:r>
      <w:r w:rsidR="007D0334">
        <w:rPr>
          <w:rFonts w:eastAsia="Times New Roman" w:cs="Times New Roman"/>
          <w:szCs w:val="18"/>
        </w:rPr>
        <w:t>s</w:t>
      </w:r>
      <w:r w:rsidR="007D0334" w:rsidRPr="009533EA">
        <w:rPr>
          <w:rFonts w:eastAsia="Times New Roman" w:cs="Times New Roman"/>
          <w:szCs w:val="18"/>
        </w:rPr>
        <w:t xml:space="preserve"> information relevant to the exposure profile of a chemical substance</w:t>
      </w:r>
      <w:r w:rsidR="007D0334">
        <w:rPr>
          <w:rFonts w:eastAsia="Times New Roman" w:cs="Times New Roman"/>
          <w:szCs w:val="18"/>
        </w:rPr>
        <w:t>.</w:t>
      </w:r>
    </w:p>
    <w:p w14:paraId="413FEBA6" w14:textId="77777777" w:rsidR="00272F4D" w:rsidRDefault="00272F4D" w:rsidP="004D4DC1">
      <w:pPr>
        <w:widowControl w:val="0"/>
        <w:numPr>
          <w:ilvl w:val="1"/>
          <w:numId w:val="16"/>
        </w:numPr>
        <w:autoSpaceDE w:val="0"/>
        <w:autoSpaceDN w:val="0"/>
        <w:adjustRightInd w:val="0"/>
        <w:ind w:left="720"/>
        <w:rPr>
          <w:rFonts w:eastAsia="Times New Roman" w:cs="Times New Roman"/>
          <w:szCs w:val="18"/>
        </w:rPr>
      </w:pPr>
      <w:r w:rsidRPr="009533EA">
        <w:rPr>
          <w:rFonts w:eastAsia="Times New Roman" w:cs="Times New Roman"/>
          <w:i/>
        </w:rPr>
        <w:t xml:space="preserve">Whether a manufactured (including imported) chemical substance is being </w:t>
      </w:r>
      <w:r w:rsidRPr="009533EA">
        <w:rPr>
          <w:rFonts w:eastAsia="Times New Roman" w:cs="Times New Roman"/>
          <w:i/>
          <w:szCs w:val="18"/>
        </w:rPr>
        <w:t>recycled, remanufactured, reprocessed, or reused</w:t>
      </w:r>
      <w:r w:rsidRPr="009533EA">
        <w:rPr>
          <w:rFonts w:eastAsia="Times New Roman" w:cs="Times New Roman"/>
          <w:szCs w:val="18"/>
        </w:rPr>
        <w:t xml:space="preserve">: </w:t>
      </w:r>
      <w:r>
        <w:rPr>
          <w:rFonts w:eastAsia="Times New Roman" w:cs="Times New Roman"/>
          <w:szCs w:val="18"/>
        </w:rPr>
        <w:t>This data element</w:t>
      </w:r>
      <w:r w:rsidRPr="009533EA">
        <w:rPr>
          <w:rFonts w:eastAsia="Times New Roman" w:cs="Times New Roman"/>
          <w:szCs w:val="18"/>
        </w:rPr>
        <w:t xml:space="preserve"> provide</w:t>
      </w:r>
      <w:r>
        <w:rPr>
          <w:rFonts w:eastAsia="Times New Roman" w:cs="Times New Roman"/>
          <w:szCs w:val="18"/>
        </w:rPr>
        <w:t>s</w:t>
      </w:r>
      <w:r w:rsidRPr="009533EA">
        <w:rPr>
          <w:rFonts w:eastAsia="Times New Roman" w:cs="Times New Roman"/>
          <w:szCs w:val="18"/>
        </w:rPr>
        <w:t xml:space="preserve"> information relevant to the exposure profile of a chemical substance and indicate efficiencies within the chemical manufacturing industry. </w:t>
      </w:r>
    </w:p>
    <w:p w14:paraId="4C400DE7" w14:textId="77777777" w:rsidR="00272F4D" w:rsidRPr="009533EA" w:rsidRDefault="00272F4D" w:rsidP="004D4DC1">
      <w:pPr>
        <w:widowControl w:val="0"/>
        <w:numPr>
          <w:ilvl w:val="1"/>
          <w:numId w:val="16"/>
        </w:numPr>
        <w:autoSpaceDE w:val="0"/>
        <w:autoSpaceDN w:val="0"/>
        <w:adjustRightInd w:val="0"/>
        <w:ind w:left="720"/>
        <w:rPr>
          <w:rFonts w:eastAsia="Times New Roman" w:cs="Times New Roman"/>
          <w:szCs w:val="18"/>
        </w:rPr>
      </w:pPr>
      <w:r w:rsidRPr="009533EA">
        <w:rPr>
          <w:rFonts w:eastAsia="Times New Roman" w:cs="Times New Roman"/>
          <w:i/>
          <w:szCs w:val="18"/>
        </w:rPr>
        <w:t xml:space="preserve">The physical form of a chemical: </w:t>
      </w:r>
      <w:r w:rsidRPr="009533EA">
        <w:rPr>
          <w:rFonts w:eastAsia="Times New Roman" w:cs="Times New Roman"/>
          <w:szCs w:val="18"/>
        </w:rPr>
        <w:t>This data element provides information needed for the Agency to understanding potential routes of exposure to the chemical substance, which is dependent in part on the physical form of the chemical substance.</w:t>
      </w:r>
    </w:p>
    <w:p w14:paraId="50624583" w14:textId="77777777" w:rsidR="00272F4D" w:rsidRPr="009533EA" w:rsidRDefault="00272F4D" w:rsidP="00272F4D">
      <w:pPr>
        <w:widowControl w:val="0"/>
        <w:autoSpaceDE w:val="0"/>
        <w:autoSpaceDN w:val="0"/>
        <w:adjustRightInd w:val="0"/>
        <w:ind w:left="720"/>
        <w:rPr>
          <w:rFonts w:eastAsia="Times New Roman" w:cs="Times New Roman"/>
          <w:szCs w:val="18"/>
        </w:rPr>
      </w:pPr>
    </w:p>
    <w:p w14:paraId="65119053" w14:textId="77777777" w:rsidR="00272F4D" w:rsidRPr="009533EA" w:rsidRDefault="00272F4D" w:rsidP="004D4DC1">
      <w:pPr>
        <w:widowControl w:val="0"/>
        <w:numPr>
          <w:ilvl w:val="0"/>
          <w:numId w:val="16"/>
        </w:numPr>
        <w:autoSpaceDE w:val="0"/>
        <w:autoSpaceDN w:val="0"/>
        <w:adjustRightInd w:val="0"/>
        <w:ind w:left="360"/>
        <w:rPr>
          <w:rFonts w:eastAsia="Times New Roman" w:cs="Times New Roman"/>
        </w:rPr>
      </w:pPr>
      <w:r w:rsidRPr="009533EA">
        <w:rPr>
          <w:rFonts w:eastAsia="Times New Roman" w:cs="Times New Roman"/>
          <w:i/>
          <w:szCs w:val="18"/>
        </w:rPr>
        <w:t xml:space="preserve">Processing and use information: </w:t>
      </w:r>
      <w:r w:rsidRPr="009533EA">
        <w:rPr>
          <w:rFonts w:eastAsia="Times New Roman" w:cs="Times New Roman"/>
        </w:rPr>
        <w:t xml:space="preserve">Data elements that relate to processing and use help EPA, </w:t>
      </w:r>
      <w:r w:rsidR="00C453B6">
        <w:rPr>
          <w:rFonts w:eastAsia="Times New Roman" w:cs="Times New Roman"/>
        </w:rPr>
        <w:t xml:space="preserve">and </w:t>
      </w:r>
      <w:r w:rsidRPr="009533EA">
        <w:rPr>
          <w:rFonts w:eastAsia="Times New Roman" w:cs="Times New Roman"/>
        </w:rPr>
        <w:t>other agencies to readily screen and prioritize chemicals for the purpose of identifying potential human health and environmental effects. For example, the data are used in exposure and risk screening, testing and/or priority setting, and exposure estimates required by TSCA section 4; for EPA monitoring activities of newly manufactured substances that have completed pre-manufacture notification (PMN) review under TSCA section 5(a); and to measure potential human and environmental exposure which helps inform chemical risk evaluations, such as those required under TSCA section 6. Each data element corresponds to a data point necessary for basic risk screening.</w:t>
      </w:r>
    </w:p>
    <w:p w14:paraId="6DDAA2E8" w14:textId="77777777" w:rsidR="00272F4D" w:rsidRPr="009533EA" w:rsidRDefault="00272F4D" w:rsidP="004D4DC1">
      <w:pPr>
        <w:numPr>
          <w:ilvl w:val="1"/>
          <w:numId w:val="16"/>
        </w:numPr>
        <w:autoSpaceDE w:val="0"/>
        <w:autoSpaceDN w:val="0"/>
        <w:adjustRightInd w:val="0"/>
        <w:ind w:left="720"/>
        <w:rPr>
          <w:rFonts w:eastAsia="Times New Roman" w:cs="Times New Roman"/>
          <w:i/>
        </w:rPr>
      </w:pPr>
      <w:r w:rsidRPr="009533EA">
        <w:rPr>
          <w:rFonts w:eastAsia="Times New Roman" w:cs="Times New Roman"/>
          <w:i/>
        </w:rPr>
        <w:t>Industrial processing and use data</w:t>
      </w:r>
      <w:r w:rsidRPr="009533EA">
        <w:rPr>
          <w:rFonts w:eastAsia="Times New Roman" w:cs="Times New Roman"/>
        </w:rPr>
        <w:t xml:space="preserve">: These data elements identify how the chemical is processed or used in an industrial setting, including the function of the chemical substance in any formulation or product. The industrial data elements include the type of process or use operation (TPU), the industrial sector (IS) and the industrial function category (IFC). Both IS and IFC codes were designed to consolidate information based on potential exposure-related scenarios, thereby reducing the number of choices available to the respondent, streamlining the reporting process, and making the data easier to use. </w:t>
      </w:r>
      <w:r w:rsidRPr="009533EA">
        <w:rPr>
          <w:rFonts w:eastAsia="Times New Roman" w:cs="Times New Roman"/>
          <w:color w:val="151515"/>
        </w:rPr>
        <w:t>Also included in this industrial processing and use section are data elements for percent production volume, number of sites, and number of workers. These data elements help to characterize the potential exposures associated with the TPU, IS, and IFC data elements.</w:t>
      </w:r>
    </w:p>
    <w:p w14:paraId="77A8878D" w14:textId="77777777" w:rsidR="00272F4D" w:rsidRPr="009533EA" w:rsidRDefault="00272F4D" w:rsidP="004D4DC1">
      <w:pPr>
        <w:numPr>
          <w:ilvl w:val="1"/>
          <w:numId w:val="16"/>
        </w:numPr>
        <w:autoSpaceDE w:val="0"/>
        <w:autoSpaceDN w:val="0"/>
        <w:adjustRightInd w:val="0"/>
        <w:ind w:left="720"/>
        <w:rPr>
          <w:rFonts w:eastAsia="Times New Roman" w:cs="Times New Roman"/>
          <w:i/>
        </w:rPr>
      </w:pPr>
      <w:r w:rsidRPr="009533EA">
        <w:rPr>
          <w:rFonts w:eastAsia="Times New Roman" w:cs="Times New Roman"/>
          <w:i/>
        </w:rPr>
        <w:t>Consumer and commercial use data:</w:t>
      </w:r>
      <w:r w:rsidRPr="009533EA">
        <w:rPr>
          <w:rFonts w:eastAsia="Times New Roman" w:cs="Times New Roman"/>
        </w:rPr>
        <w:t xml:space="preserve"> These data are reported separately from the industrial data and are used to determine exposure potential based on uses by consumer and commercial populations. The specific data elements include product category; whether the application is intended for consumer or commercial populations (or both), including specifically for use by children, and characterizing data elements (percent production volume, maximum concentration, and number of commercial workers). </w:t>
      </w:r>
      <w:r w:rsidRPr="009533EA">
        <w:rPr>
          <w:rFonts w:eastAsia="Times New Roman" w:cs="Times New Roman"/>
          <w:color w:val="151515"/>
        </w:rPr>
        <w:t>This information allows EPA and the public to better understand the consumer and commercial uses</w:t>
      </w:r>
      <w:r w:rsidR="00230BC8">
        <w:rPr>
          <w:rFonts w:eastAsia="Times New Roman" w:cs="Times New Roman"/>
          <w:color w:val="151515"/>
        </w:rPr>
        <w:t xml:space="preserve"> of CDR chemicals</w:t>
      </w:r>
      <w:r w:rsidRPr="009533EA">
        <w:rPr>
          <w:rFonts w:eastAsia="Times New Roman" w:cs="Times New Roman"/>
          <w:color w:val="151515"/>
        </w:rPr>
        <w:t>, including what is in children’s products, thereby enabling the Age</w:t>
      </w:r>
      <w:r w:rsidRPr="009533EA">
        <w:rPr>
          <w:rFonts w:eastAsia="Times New Roman" w:cs="Times New Roman"/>
        </w:rPr>
        <w:t>ncy to</w:t>
      </w:r>
      <w:r w:rsidR="00230BC8">
        <w:rPr>
          <w:rFonts w:eastAsia="Times New Roman" w:cs="Times New Roman"/>
        </w:rPr>
        <w:t xml:space="preserve"> better characterize</w:t>
      </w:r>
      <w:r w:rsidRPr="009533EA">
        <w:rPr>
          <w:rFonts w:eastAsia="Times New Roman" w:cs="Times New Roman"/>
        </w:rPr>
        <w:t xml:space="preserve"> chemical </w:t>
      </w:r>
      <w:r w:rsidR="00230BC8">
        <w:rPr>
          <w:rFonts w:eastAsia="Times New Roman" w:cs="Times New Roman"/>
        </w:rPr>
        <w:t>exposures</w:t>
      </w:r>
      <w:r w:rsidRPr="009533EA">
        <w:rPr>
          <w:rFonts w:eastAsia="Times New Roman" w:cs="Times New Roman"/>
        </w:rPr>
        <w:t xml:space="preserve"> related to children’s health.</w:t>
      </w:r>
    </w:p>
    <w:p w14:paraId="1765345F" w14:textId="77777777" w:rsidR="00272F4D" w:rsidRPr="009533EA" w:rsidRDefault="00272F4D" w:rsidP="00272F4D">
      <w:pPr>
        <w:autoSpaceDE w:val="0"/>
        <w:autoSpaceDN w:val="0"/>
        <w:adjustRightInd w:val="0"/>
        <w:ind w:left="720"/>
        <w:rPr>
          <w:rFonts w:eastAsia="Times New Roman" w:cs="Times New Roman"/>
          <w:i/>
        </w:rPr>
      </w:pPr>
    </w:p>
    <w:p w14:paraId="2096D5A3" w14:textId="77777777" w:rsidR="00272F4D" w:rsidRPr="009533EA" w:rsidRDefault="00272F4D" w:rsidP="004D4DC1">
      <w:pPr>
        <w:numPr>
          <w:ilvl w:val="0"/>
          <w:numId w:val="16"/>
        </w:numPr>
        <w:ind w:left="360"/>
        <w:outlineLvl w:val="0"/>
        <w:rPr>
          <w:rFonts w:eastAsia="Times New Roman" w:cs="Times New Roman"/>
          <w:szCs w:val="18"/>
        </w:rPr>
      </w:pPr>
      <w:r w:rsidRPr="009533EA">
        <w:rPr>
          <w:rFonts w:eastAsia="Times New Roman" w:cs="Times New Roman"/>
          <w:i/>
        </w:rPr>
        <w:t>Special considerations for Joint Submitters when Chemical Identity is Unknown</w:t>
      </w:r>
      <w:r w:rsidRPr="009533EA">
        <w:rPr>
          <w:rFonts w:eastAsia="Times New Roman" w:cs="Times New Roman"/>
        </w:rPr>
        <w:t xml:space="preserve">: </w:t>
      </w:r>
      <w:r w:rsidRPr="009533EA">
        <w:rPr>
          <w:rFonts w:eastAsia="Times New Roman" w:cs="Times New Roman"/>
          <w:szCs w:val="18"/>
        </w:rPr>
        <w:t xml:space="preserve">In certain situations, CDR submitters are allowed to report the information jointly with the supplier(s) of the chemical substance for which the submitter is reporting. For example, importers may not know the specific chemical identity of the imported TSCA chemical substance because the foreign </w:t>
      </w:r>
      <w:r w:rsidRPr="009533EA">
        <w:rPr>
          <w:rFonts w:eastAsia="Times New Roman" w:cs="Times New Roman"/>
          <w:color w:val="151515"/>
          <w:szCs w:val="18"/>
        </w:rPr>
        <w:t>s</w:t>
      </w:r>
      <w:r w:rsidRPr="009533EA">
        <w:rPr>
          <w:rFonts w:eastAsia="Times New Roman" w:cs="Times New Roman"/>
          <w:szCs w:val="18"/>
        </w:rPr>
        <w:t>upplier chooses to keep the information confidential. In addition,</w:t>
      </w:r>
      <w:r w:rsidRPr="009533EA">
        <w:rPr>
          <w:rFonts w:eastAsia="Times New Roman" w:cs="Times New Roman"/>
          <w:color w:val="151515"/>
          <w:szCs w:val="18"/>
        </w:rPr>
        <w:t xml:space="preserve"> a manufacturer may not know the specific chemical identity of the substance being manufactured because the supplier of </w:t>
      </w:r>
      <w:r w:rsidRPr="009533EA">
        <w:rPr>
          <w:rFonts w:eastAsia="Times New Roman" w:cs="Times New Roman"/>
          <w:color w:val="151515"/>
        </w:rPr>
        <w:t>a reactant used to manufacture the substance chooses to keep the information confiden</w:t>
      </w:r>
      <w:r w:rsidRPr="009533EA">
        <w:rPr>
          <w:rFonts w:eastAsia="Times New Roman" w:cs="Times New Roman"/>
        </w:rPr>
        <w:t xml:space="preserve">tial. </w:t>
      </w:r>
      <w:r w:rsidRPr="009533EA">
        <w:rPr>
          <w:rFonts w:eastAsia="Times New Roman" w:cs="Times New Roman"/>
          <w:szCs w:val="18"/>
        </w:rPr>
        <w:t>In such situations, the manufacturer (including importer)</w:t>
      </w:r>
      <w:r w:rsidRPr="009533EA">
        <w:rPr>
          <w:rFonts w:eastAsia="Times New Roman" w:cs="Times New Roman"/>
          <w:i/>
          <w:szCs w:val="18"/>
        </w:rPr>
        <w:t xml:space="preserve"> </w:t>
      </w:r>
      <w:r w:rsidRPr="009533EA">
        <w:rPr>
          <w:rFonts w:eastAsia="Times New Roman" w:cs="Times New Roman"/>
          <w:szCs w:val="18"/>
        </w:rPr>
        <w:t>is still responsible for ensuring that the CDR information is submitted to EPA and may do so by submitting a joint report.</w:t>
      </w:r>
    </w:p>
    <w:p w14:paraId="558E9FBC" w14:textId="77777777" w:rsidR="00272F4D" w:rsidRPr="009533EA" w:rsidRDefault="00272F4D" w:rsidP="00272F4D">
      <w:pPr>
        <w:ind w:left="360"/>
        <w:outlineLvl w:val="0"/>
        <w:rPr>
          <w:rFonts w:eastAsia="Times New Roman" w:cs="Times New Roman"/>
          <w:szCs w:val="18"/>
        </w:rPr>
      </w:pPr>
    </w:p>
    <w:p w14:paraId="5B92E11D" w14:textId="77777777" w:rsidR="00272F4D" w:rsidRPr="009533EA" w:rsidRDefault="00272F4D" w:rsidP="00272F4D">
      <w:pPr>
        <w:ind w:left="360" w:firstLine="360"/>
        <w:outlineLvl w:val="0"/>
        <w:rPr>
          <w:rFonts w:eastAsia="Times New Roman" w:cs="Times New Roman"/>
        </w:rPr>
      </w:pPr>
      <w:r w:rsidRPr="009533EA">
        <w:rPr>
          <w:rFonts w:eastAsia="Times New Roman" w:cs="Times New Roman"/>
        </w:rPr>
        <w:t>In the case of an imported substance, the U.S.-based importer, as the primary submitter, initiates and completes the majority of the required information on Form U, and provides a trade name in Part II.2.A.4 of Form U to identify the chemical substance. Using e-CDRweb (the electronic reporting tool), the primary submitter then contacts the foreign supplier, as the secondary submitter, to notify them of the need to report the specific chemical identity information directly to EPA in the joint submission section (Part IV) of Form U. Because signatures are required by each party of a joint submission, each party must register with CDX, complete their own company information sections on Form U, and submit their respective portions of the same report electronically to EPA. The secondary submitter will not be able to access the information provided by the primary submitter and vice versa. EPA combines information provided separately by the primary and secondary submitters, thereby providing a complete picture of the CDR data for the subject chemical substance without breaching confidentiality.</w:t>
      </w:r>
    </w:p>
    <w:p w14:paraId="2CD2EC01" w14:textId="77777777" w:rsidR="00272F4D" w:rsidRPr="009533EA" w:rsidRDefault="00272F4D" w:rsidP="00272F4D">
      <w:pPr>
        <w:ind w:left="360"/>
        <w:outlineLvl w:val="0"/>
        <w:rPr>
          <w:rFonts w:eastAsia="Times New Roman" w:cs="Times New Roman"/>
          <w:i/>
        </w:rPr>
      </w:pPr>
    </w:p>
    <w:p w14:paraId="32B4AD5E" w14:textId="77777777" w:rsidR="00272F4D" w:rsidRPr="009533EA" w:rsidRDefault="00272F4D" w:rsidP="00272F4D">
      <w:pPr>
        <w:ind w:left="360" w:firstLine="360"/>
        <w:outlineLvl w:val="0"/>
        <w:rPr>
          <w:rFonts w:eastAsia="Times New Roman" w:cs="Times New Roman"/>
          <w:szCs w:val="18"/>
        </w:rPr>
      </w:pPr>
      <w:r w:rsidRPr="009533EA">
        <w:rPr>
          <w:rFonts w:eastAsia="Times New Roman" w:cs="Times New Roman"/>
          <w:szCs w:val="18"/>
        </w:rPr>
        <w:t>EPA collects certain data to enable the joint submission and to combine information from the two parties. These data will be used in the following ways:</w:t>
      </w:r>
    </w:p>
    <w:p w14:paraId="586BC22B" w14:textId="77777777" w:rsidR="00272F4D" w:rsidRPr="009533EA" w:rsidRDefault="00272F4D" w:rsidP="00272F4D">
      <w:pPr>
        <w:ind w:left="360"/>
        <w:outlineLvl w:val="0"/>
        <w:rPr>
          <w:rFonts w:eastAsia="Times New Roman" w:cs="Times New Roman"/>
          <w:szCs w:val="18"/>
        </w:rPr>
      </w:pPr>
    </w:p>
    <w:p w14:paraId="3904CF5A" w14:textId="77777777" w:rsidR="00272F4D" w:rsidRPr="009533EA" w:rsidRDefault="00272F4D" w:rsidP="004D4DC1">
      <w:pPr>
        <w:numPr>
          <w:ilvl w:val="1"/>
          <w:numId w:val="16"/>
        </w:numPr>
        <w:ind w:left="720"/>
        <w:rPr>
          <w:rFonts w:eastAsia="Times New Roman" w:cs="Times New Roman"/>
          <w:i/>
        </w:rPr>
      </w:pPr>
      <w:r w:rsidRPr="009533EA">
        <w:rPr>
          <w:rFonts w:eastAsia="Times New Roman" w:cs="Times New Roman"/>
          <w:i/>
        </w:rPr>
        <w:t xml:space="preserve">Joint submission information (primary submitter): </w:t>
      </w:r>
      <w:r w:rsidRPr="009533EA">
        <w:rPr>
          <w:rFonts w:eastAsia="Times New Roman" w:cs="Times New Roman"/>
        </w:rPr>
        <w:t xml:space="preserve">The primary submitter provides </w:t>
      </w:r>
      <w:r w:rsidRPr="009533EA">
        <w:rPr>
          <w:rFonts w:eastAsia="Times New Roman" w:cs="Times New Roman"/>
          <w:szCs w:val="18"/>
        </w:rPr>
        <w:t>a trade name or other designation in place of the specific chemical identification and the secondary company contact information (name, address, email address)</w:t>
      </w:r>
      <w:r w:rsidRPr="009533EA">
        <w:rPr>
          <w:rFonts w:eastAsia="Times New Roman" w:cs="Times New Roman"/>
        </w:rPr>
        <w:t xml:space="preserve">. This information is used by the electronic reporting tool to contact the secondary submitter and by EPA to connect the information from both parts of the submission. </w:t>
      </w:r>
    </w:p>
    <w:p w14:paraId="08938079" w14:textId="77777777" w:rsidR="00272F4D" w:rsidRPr="009533EA" w:rsidRDefault="00272F4D" w:rsidP="004D4DC1">
      <w:pPr>
        <w:numPr>
          <w:ilvl w:val="1"/>
          <w:numId w:val="16"/>
        </w:numPr>
        <w:ind w:left="720"/>
        <w:rPr>
          <w:rFonts w:eastAsia="Times New Roman" w:cs="Times New Roman"/>
        </w:rPr>
      </w:pPr>
      <w:r w:rsidRPr="009533EA">
        <w:rPr>
          <w:rFonts w:eastAsia="Times New Roman" w:cs="Times New Roman"/>
          <w:i/>
        </w:rPr>
        <w:t xml:space="preserve">Secondary company identification information (secondary submitter): </w:t>
      </w:r>
      <w:r w:rsidRPr="009533EA">
        <w:rPr>
          <w:rFonts w:eastAsia="Times New Roman" w:cs="Times New Roman"/>
        </w:rPr>
        <w:t xml:space="preserve">These data identify the </w:t>
      </w:r>
      <w:r w:rsidRPr="009533EA">
        <w:rPr>
          <w:rFonts w:eastAsia="Times New Roman" w:cs="Times New Roman"/>
          <w:color w:val="000000"/>
        </w:rPr>
        <w:t>secondary</w:t>
      </w:r>
      <w:r w:rsidRPr="009533EA">
        <w:rPr>
          <w:rFonts w:eastAsia="Times New Roman" w:cs="Times New Roman"/>
          <w:color w:val="000000"/>
          <w:szCs w:val="18"/>
        </w:rPr>
        <w:t xml:space="preserve"> submitter’s </w:t>
      </w:r>
      <w:r w:rsidRPr="009533EA">
        <w:rPr>
          <w:rFonts w:eastAsia="Times New Roman" w:cs="Times New Roman"/>
          <w:szCs w:val="18"/>
        </w:rPr>
        <w:t xml:space="preserve">company name and the complete mailing address of the company. The information helps ensure </w:t>
      </w:r>
      <w:r w:rsidRPr="009533EA">
        <w:rPr>
          <w:rFonts w:eastAsia="Times New Roman" w:cs="Times New Roman"/>
        </w:rPr>
        <w:t xml:space="preserve">that the </w:t>
      </w:r>
      <w:r w:rsidRPr="009533EA">
        <w:rPr>
          <w:rFonts w:eastAsia="Times New Roman" w:cs="Times New Roman"/>
          <w:szCs w:val="18"/>
        </w:rPr>
        <w:t>company information is provided consistently and is used to associate the secondary submitter’s company with the primary submitter’s company and site plant.</w:t>
      </w:r>
    </w:p>
    <w:p w14:paraId="1DB44E18" w14:textId="77777777" w:rsidR="00272F4D" w:rsidRPr="009533EA" w:rsidRDefault="00272F4D" w:rsidP="004D4DC1">
      <w:pPr>
        <w:numPr>
          <w:ilvl w:val="1"/>
          <w:numId w:val="16"/>
        </w:numPr>
        <w:ind w:left="720"/>
        <w:rPr>
          <w:rFonts w:eastAsia="Times New Roman" w:cs="Times New Roman"/>
        </w:rPr>
      </w:pPr>
      <w:r w:rsidRPr="009533EA">
        <w:rPr>
          <w:rFonts w:eastAsia="Times New Roman" w:cs="Times New Roman"/>
          <w:i/>
        </w:rPr>
        <w:t>Technical contact information (secondary submitter):</w:t>
      </w:r>
      <w:r w:rsidRPr="009533EA">
        <w:rPr>
          <w:rFonts w:eastAsia="Times New Roman" w:cs="Times New Roman"/>
        </w:rPr>
        <w:t xml:space="preserve"> The company’s technical contact information provides EPA with the name and complete mailing address of the </w:t>
      </w:r>
      <w:r w:rsidRPr="009533EA">
        <w:rPr>
          <w:rFonts w:eastAsia="Times New Roman" w:cs="Times New Roman"/>
          <w:szCs w:val="18"/>
        </w:rPr>
        <w:t>person who will be able to answer questions that EPA may have about the reported chemical substance.</w:t>
      </w:r>
    </w:p>
    <w:p w14:paraId="2924A1AC" w14:textId="77777777" w:rsidR="00272F4D" w:rsidRPr="009533EA" w:rsidRDefault="00272F4D" w:rsidP="004D4DC1">
      <w:pPr>
        <w:numPr>
          <w:ilvl w:val="1"/>
          <w:numId w:val="16"/>
        </w:numPr>
        <w:ind w:left="720"/>
        <w:rPr>
          <w:rFonts w:eastAsia="Times New Roman" w:cs="Times New Roman"/>
        </w:rPr>
      </w:pPr>
      <w:r w:rsidRPr="009533EA">
        <w:rPr>
          <w:rFonts w:eastAsia="Times New Roman" w:cs="Times New Roman"/>
          <w:i/>
        </w:rPr>
        <w:t>Trade product identification information (secondary submitter)</w:t>
      </w:r>
      <w:r w:rsidRPr="009533EA">
        <w:rPr>
          <w:rFonts w:eastAsia="Times New Roman" w:cs="Times New Roman"/>
        </w:rPr>
        <w:t xml:space="preserve">: These data </w:t>
      </w:r>
      <w:r w:rsidRPr="009533EA">
        <w:rPr>
          <w:rFonts w:eastAsia="Times New Roman" w:cs="Times New Roman"/>
          <w:color w:val="000000"/>
        </w:rPr>
        <w:t>identify chemicals associated with the primary submitters supplied trade product name, and include the associated chemical name and Chemical Abstract Services (CAS) Registry Number. If the product contains multiple chemicals, the secondary submitter includes also the percent of formulation for each chemical substance. The trade product information is the portion that is considered confidential by the secondary submitter, and will be used as discussed in sections 2(b)(2) and 2(b)(3) of this document.</w:t>
      </w:r>
    </w:p>
    <w:p w14:paraId="7D5B0ABD" w14:textId="77777777" w:rsidR="00272F4D" w:rsidRPr="009533EA" w:rsidRDefault="00272F4D" w:rsidP="00272F4D">
      <w:pPr>
        <w:ind w:left="360"/>
        <w:rPr>
          <w:rFonts w:eastAsia="Times New Roman" w:cs="Times New Roman"/>
        </w:rPr>
      </w:pPr>
    </w:p>
    <w:p w14:paraId="28B7EAE6" w14:textId="77777777" w:rsidR="00272F4D" w:rsidRPr="00230BC8" w:rsidRDefault="00230BC8" w:rsidP="004D4DC1">
      <w:pPr>
        <w:numPr>
          <w:ilvl w:val="0"/>
          <w:numId w:val="16"/>
        </w:numPr>
        <w:ind w:left="360"/>
        <w:rPr>
          <w:rFonts w:eastAsia="Times New Roman" w:cs="Times New Roman"/>
          <w:i/>
        </w:rPr>
      </w:pPr>
      <w:r w:rsidRPr="009533EA">
        <w:rPr>
          <w:rFonts w:eastAsia="Times New Roman" w:cs="Times New Roman"/>
          <w:i/>
        </w:rPr>
        <w:t xml:space="preserve">CBI Substantiation: </w:t>
      </w:r>
      <w:r w:rsidRPr="009533EA">
        <w:rPr>
          <w:rFonts w:eastAsia="Times New Roman" w:cs="Times New Roman"/>
        </w:rPr>
        <w:t xml:space="preserve">Most CDR data can be claimed as CBI when the CDR reporting form is submitted to EPA. As required under TSCA as amended by the Lautenberg Act, substantiation for CBI claims </w:t>
      </w:r>
      <w:r>
        <w:rPr>
          <w:rFonts w:eastAsia="Times New Roman" w:cs="Times New Roman"/>
        </w:rPr>
        <w:t>must</w:t>
      </w:r>
      <w:r w:rsidRPr="009533EA">
        <w:rPr>
          <w:rFonts w:eastAsia="Times New Roman" w:cs="Times New Roman"/>
        </w:rPr>
        <w:t xml:space="preserve"> be submitted at the time the claim is made, except for CBI claims for production volume information (excludes percent production volume). The e-CDRweb electronic reporting tool </w:t>
      </w:r>
      <w:r>
        <w:rPr>
          <w:rFonts w:eastAsia="Times New Roman" w:cs="Times New Roman"/>
        </w:rPr>
        <w:t>is the mechanism</w:t>
      </w:r>
      <w:r w:rsidRPr="009533EA">
        <w:rPr>
          <w:rFonts w:eastAsia="Times New Roman" w:cs="Times New Roman"/>
        </w:rPr>
        <w:t xml:space="preserve"> for submi</w:t>
      </w:r>
      <w:r>
        <w:rPr>
          <w:rFonts w:eastAsia="Times New Roman" w:cs="Times New Roman"/>
        </w:rPr>
        <w:t>tting</w:t>
      </w:r>
      <w:r w:rsidRPr="009533EA">
        <w:rPr>
          <w:rFonts w:eastAsia="Times New Roman" w:cs="Times New Roman"/>
        </w:rPr>
        <w:t xml:space="preserve"> substantiation information. For certain data elements, submitters must answer EPA substantiation questions related to whether the information is publicly known and whether public knowledge of the information would hurt a business’ competitive position. EPA provides additional questions for chemical identification that is claimed CBI. </w:t>
      </w:r>
      <w:r w:rsidR="00272F4D" w:rsidRPr="00230BC8">
        <w:rPr>
          <w:rFonts w:eastAsia="Times New Roman" w:cs="Times New Roman"/>
        </w:rPr>
        <w:t xml:space="preserve"> </w:t>
      </w:r>
    </w:p>
    <w:p w14:paraId="32BB454F" w14:textId="77777777" w:rsidR="00272F4D" w:rsidRPr="009533EA" w:rsidRDefault="00272F4D" w:rsidP="00272F4D">
      <w:pPr>
        <w:ind w:left="360"/>
        <w:outlineLvl w:val="0"/>
        <w:rPr>
          <w:rFonts w:eastAsia="Times New Roman" w:cs="Times New Roman"/>
          <w:szCs w:val="18"/>
        </w:rPr>
      </w:pPr>
    </w:p>
    <w:p w14:paraId="555EB3AD" w14:textId="77777777" w:rsidR="00272F4D" w:rsidRPr="009533EA" w:rsidRDefault="00272F4D" w:rsidP="00272F4D">
      <w:pPr>
        <w:ind w:firstLine="720"/>
        <w:rPr>
          <w:rFonts w:eastAsia="Times New Roman" w:cs="Times New Roman"/>
          <w:i/>
        </w:rPr>
      </w:pPr>
      <w:r w:rsidRPr="009533EA">
        <w:rPr>
          <w:rFonts w:eastAsia="Times New Roman" w:cs="Times New Roman"/>
          <w:i/>
        </w:rPr>
        <w:t>Uses of CDR Data</w:t>
      </w:r>
    </w:p>
    <w:p w14:paraId="2D1FD4BB" w14:textId="77777777" w:rsidR="00272F4D" w:rsidRPr="009533EA" w:rsidRDefault="00272F4D" w:rsidP="00272F4D">
      <w:pPr>
        <w:ind w:firstLine="720"/>
        <w:rPr>
          <w:rFonts w:eastAsia="Times New Roman" w:cs="Times New Roman"/>
          <w:i/>
        </w:rPr>
      </w:pPr>
    </w:p>
    <w:p w14:paraId="3930DE74" w14:textId="77777777" w:rsidR="00272F4D" w:rsidRPr="009533EA" w:rsidRDefault="00272F4D" w:rsidP="00272F4D">
      <w:pPr>
        <w:pStyle w:val="BodyText"/>
      </w:pPr>
      <w:r w:rsidRPr="009533EA">
        <w:t xml:space="preserve">This collection of information is key to strengthening EPA’s TSCA program, by providing exposure-related data needed to develop an understanding of chemical risks. Past improvements of the CDR collection during the last three reporting cycles resulted in data that are more transparent, more useful, and in a more useable format. An increased quality and reliability of the data, faster access to the data, and an increased amount of data for the public have vastly expanded the usefulness of the CDR data.  </w:t>
      </w:r>
    </w:p>
    <w:p w14:paraId="22D2DDC9" w14:textId="77777777" w:rsidR="007C1271" w:rsidRPr="007C1271" w:rsidRDefault="007C1271" w:rsidP="007C1271">
      <w:pPr>
        <w:pStyle w:val="BodyText"/>
      </w:pPr>
      <w:r w:rsidRPr="007C1271">
        <w:t>CDR data provide basic exposure information which helps EPA fulfill its environmental protection mandate. For example, CDR data:</w:t>
      </w:r>
    </w:p>
    <w:p w14:paraId="0E93331A" w14:textId="77777777" w:rsidR="007C1271" w:rsidRPr="007C1271" w:rsidRDefault="007C1271" w:rsidP="007C1271">
      <w:pPr>
        <w:pStyle w:val="BodyText"/>
        <w:numPr>
          <w:ilvl w:val="0"/>
          <w:numId w:val="14"/>
        </w:numPr>
        <w:spacing w:after="0"/>
      </w:pPr>
      <w:r w:rsidRPr="007C1271">
        <w:t xml:space="preserve">Provide a “current picture” of a chemical, industry, or use by reporting information not otherwise available for chemicals listed on the TSCA Inventory. </w:t>
      </w:r>
    </w:p>
    <w:p w14:paraId="401C2012" w14:textId="77777777" w:rsidR="007C1271" w:rsidRPr="007C1271" w:rsidRDefault="007C1271" w:rsidP="007C1271">
      <w:pPr>
        <w:pStyle w:val="BodyText"/>
        <w:numPr>
          <w:ilvl w:val="0"/>
          <w:numId w:val="14"/>
        </w:numPr>
        <w:spacing w:after="0"/>
      </w:pPr>
      <w:r w:rsidRPr="007C1271">
        <w:t>Enable more effective screening of chemicals, their uses, and potential exposures so EPA can prioritize efforts.</w:t>
      </w:r>
    </w:p>
    <w:p w14:paraId="12073227" w14:textId="77777777" w:rsidR="007C1271" w:rsidRPr="007C1271" w:rsidRDefault="007C1271" w:rsidP="007C1271">
      <w:pPr>
        <w:pStyle w:val="BodyText"/>
        <w:numPr>
          <w:ilvl w:val="0"/>
          <w:numId w:val="14"/>
        </w:numPr>
        <w:spacing w:after="0"/>
      </w:pPr>
      <w:r w:rsidRPr="007C1271">
        <w:t>Provide information useful for measuring the progress of regulatory or voluntary programs.</w:t>
      </w:r>
    </w:p>
    <w:p w14:paraId="391BACF4" w14:textId="77777777" w:rsidR="007C1271" w:rsidRDefault="007C1271" w:rsidP="007C1271">
      <w:pPr>
        <w:pStyle w:val="BodyText"/>
        <w:numPr>
          <w:ilvl w:val="0"/>
          <w:numId w:val="14"/>
        </w:numPr>
        <w:spacing w:after="0"/>
      </w:pPr>
      <w:r w:rsidRPr="007C1271">
        <w:t>Allow EPA to identify industry trends.</w:t>
      </w:r>
    </w:p>
    <w:p w14:paraId="75C6DB9D" w14:textId="77777777" w:rsidR="007C1271" w:rsidRPr="007C1271" w:rsidRDefault="007C1271" w:rsidP="007C1271">
      <w:pPr>
        <w:pStyle w:val="BodyText"/>
        <w:spacing w:after="0"/>
        <w:ind w:left="720" w:firstLine="0"/>
      </w:pPr>
    </w:p>
    <w:p w14:paraId="68E4011B" w14:textId="77777777" w:rsidR="00272F4D" w:rsidRPr="009533EA" w:rsidRDefault="00272F4D" w:rsidP="00272F4D">
      <w:pPr>
        <w:pStyle w:val="BodyText"/>
      </w:pPr>
      <w:r w:rsidRPr="009533EA">
        <w:t>Although EPA has used CDR data for past efforts, changes to TSCA by the Lautenberg Act make the data even more important for statutorily-required Agency</w:t>
      </w:r>
      <w:r w:rsidR="00230BC8">
        <w:t xml:space="preserve"> prioritization</w:t>
      </w:r>
      <w:r w:rsidRPr="009533EA">
        <w:t xml:space="preserve"> activities. TSCA section 6 now requires EPA to develop and use a process to designate the priority of chemical substances, and that the process:</w:t>
      </w:r>
    </w:p>
    <w:p w14:paraId="0E0B5861" w14:textId="77777777" w:rsidR="00272F4D" w:rsidRDefault="00272F4D" w:rsidP="00272F4D">
      <w:pPr>
        <w:spacing w:before="160" w:after="240"/>
        <w:ind w:left="720"/>
        <w:rPr>
          <w:rFonts w:eastAsia="Times New Roman" w:cs="Times New Roman"/>
        </w:rPr>
      </w:pPr>
      <w:r w:rsidRPr="009533EA">
        <w:rPr>
          <w:rFonts w:eastAsia="Times New Roman" w:cs="Times New Roman"/>
        </w:rPr>
        <w:t>…shall include a consideration of the hazard and exposure potential of a chemical substance or a category of chemical substances (including consideration of persistence and bioaccumulation, potentially exposed or susceptible subpopulations and storage near significant sources of drinking water), the conditions of use or significant changes in the conditions of use of the chemical substance, and the volume or significant changes in the volume of the chemical substance manufactured or proce</w:t>
      </w:r>
      <w:r>
        <w:rPr>
          <w:rFonts w:eastAsia="Times New Roman" w:cs="Times New Roman"/>
        </w:rPr>
        <w:t>ssed. [TSCA section 6(b)(1)(A)]</w:t>
      </w:r>
    </w:p>
    <w:p w14:paraId="644A4678" w14:textId="77777777" w:rsidR="00745D9A" w:rsidRPr="000C2497" w:rsidRDefault="00745D9A" w:rsidP="00745D9A">
      <w:pPr>
        <w:ind w:firstLine="720"/>
        <w:rPr>
          <w:rFonts w:eastAsia="Times New Roman" w:cs="Times New Roman"/>
        </w:rPr>
      </w:pPr>
      <w:r w:rsidRPr="000C2497">
        <w:rPr>
          <w:rFonts w:eastAsia="Times New Roman" w:cs="Times New Roman"/>
        </w:rPr>
        <w:t>CDR data will be i</w:t>
      </w:r>
      <w:r>
        <w:rPr>
          <w:rFonts w:eastAsia="Times New Roman" w:cs="Times New Roman"/>
        </w:rPr>
        <w:t>mportant for characterizing</w:t>
      </w:r>
      <w:r w:rsidRPr="000C2497">
        <w:rPr>
          <w:rFonts w:eastAsia="Times New Roman" w:cs="Times New Roman"/>
        </w:rPr>
        <w:t xml:space="preserve"> the exposure potential, potentially exposed or susceptible subpopulations, the conditions of use, and the </w:t>
      </w:r>
      <w:r>
        <w:rPr>
          <w:rFonts w:eastAsia="Times New Roman" w:cs="Times New Roman"/>
        </w:rPr>
        <w:t xml:space="preserve">production </w:t>
      </w:r>
      <w:r w:rsidRPr="000C2497">
        <w:rPr>
          <w:rFonts w:eastAsia="Times New Roman" w:cs="Times New Roman"/>
        </w:rPr>
        <w:t xml:space="preserve">volume or significant changes in the </w:t>
      </w:r>
      <w:r>
        <w:rPr>
          <w:rFonts w:eastAsia="Times New Roman" w:cs="Times New Roman"/>
        </w:rPr>
        <w:t xml:space="preserve">production </w:t>
      </w:r>
      <w:r w:rsidRPr="000C2497">
        <w:rPr>
          <w:rFonts w:eastAsia="Times New Roman" w:cs="Times New Roman"/>
        </w:rPr>
        <w:t>volume</w:t>
      </w:r>
      <w:r>
        <w:rPr>
          <w:rFonts w:eastAsia="Times New Roman" w:cs="Times New Roman"/>
        </w:rPr>
        <w:t xml:space="preserve"> of chemical substances being considered for priority designation for risk evaluation</w:t>
      </w:r>
      <w:r w:rsidRPr="000C2497">
        <w:rPr>
          <w:rFonts w:eastAsia="Times New Roman" w:cs="Times New Roman"/>
        </w:rPr>
        <w:t xml:space="preserve">.  </w:t>
      </w:r>
    </w:p>
    <w:p w14:paraId="107E6381" w14:textId="77777777" w:rsidR="00745D9A" w:rsidRDefault="00745D9A" w:rsidP="00745D9A">
      <w:pPr>
        <w:pStyle w:val="BodyText"/>
        <w:spacing w:after="0"/>
        <w:ind w:firstLine="0"/>
      </w:pPr>
    </w:p>
    <w:p w14:paraId="5BBC13A5" w14:textId="77777777" w:rsidR="00745D9A" w:rsidRPr="009533EA" w:rsidRDefault="00745D9A" w:rsidP="00DF6BBC">
      <w:pPr>
        <w:pStyle w:val="BodyText"/>
        <w:spacing w:after="0"/>
      </w:pPr>
      <w:r>
        <w:t>Also</w:t>
      </w:r>
      <w:r w:rsidRPr="009533EA">
        <w:t>, CDR data are used in risk evaluation (including scope development and exposure assessment) to:</w:t>
      </w:r>
    </w:p>
    <w:p w14:paraId="594A7B3B" w14:textId="77777777" w:rsidR="00745D9A" w:rsidRPr="009533EA" w:rsidRDefault="00745D9A" w:rsidP="00745D9A">
      <w:pPr>
        <w:numPr>
          <w:ilvl w:val="0"/>
          <w:numId w:val="11"/>
        </w:numPr>
        <w:spacing w:line="259" w:lineRule="auto"/>
        <w:rPr>
          <w:rFonts w:eastAsia="Times New Roman" w:cs="Times New Roman"/>
        </w:rPr>
      </w:pPr>
      <w:r w:rsidRPr="009533EA">
        <w:rPr>
          <w:rFonts w:eastAsia="Times New Roman" w:cs="Times New Roman"/>
        </w:rPr>
        <w:t>aid in characterizing the life cycle of the chemical (from manufacture, processing, use, and recycling activities)</w:t>
      </w:r>
    </w:p>
    <w:p w14:paraId="19665B8E" w14:textId="77777777" w:rsidR="00745D9A" w:rsidRPr="009533EA" w:rsidRDefault="00745D9A" w:rsidP="00745D9A">
      <w:pPr>
        <w:numPr>
          <w:ilvl w:val="0"/>
          <w:numId w:val="11"/>
        </w:numPr>
        <w:spacing w:line="259" w:lineRule="auto"/>
        <w:rPr>
          <w:rFonts w:eastAsia="Times New Roman" w:cs="Times New Roman"/>
        </w:rPr>
      </w:pPr>
      <w:r w:rsidRPr="009533EA">
        <w:rPr>
          <w:rFonts w:eastAsia="Times New Roman" w:cs="Times New Roman"/>
        </w:rPr>
        <w:t xml:space="preserve">identify existing conditions of use based on industrial processing and use </w:t>
      </w:r>
      <w:r>
        <w:rPr>
          <w:rFonts w:eastAsia="Times New Roman" w:cs="Times New Roman"/>
        </w:rPr>
        <w:t xml:space="preserve">reporting </w:t>
      </w:r>
      <w:r w:rsidRPr="009533EA">
        <w:rPr>
          <w:rFonts w:eastAsia="Times New Roman" w:cs="Times New Roman"/>
        </w:rPr>
        <w:t xml:space="preserve">as well as </w:t>
      </w:r>
      <w:r>
        <w:rPr>
          <w:rFonts w:eastAsia="Times New Roman" w:cs="Times New Roman"/>
        </w:rPr>
        <w:t xml:space="preserve">reporting on the use of a CDR chemical in </w:t>
      </w:r>
      <w:r w:rsidRPr="009533EA">
        <w:rPr>
          <w:rFonts w:eastAsia="Times New Roman" w:cs="Times New Roman"/>
        </w:rPr>
        <w:t>commercial and consumer products</w:t>
      </w:r>
    </w:p>
    <w:p w14:paraId="06D31741" w14:textId="77777777" w:rsidR="00745D9A" w:rsidRPr="009533EA" w:rsidRDefault="00745D9A" w:rsidP="00745D9A">
      <w:pPr>
        <w:numPr>
          <w:ilvl w:val="0"/>
          <w:numId w:val="11"/>
        </w:numPr>
        <w:spacing w:line="259" w:lineRule="auto"/>
        <w:rPr>
          <w:rFonts w:eastAsia="Times New Roman" w:cs="Times New Roman"/>
        </w:rPr>
      </w:pPr>
      <w:r w:rsidRPr="009533EA">
        <w:rPr>
          <w:rFonts w:eastAsia="Times New Roman" w:cs="Times New Roman"/>
        </w:rPr>
        <w:t>identify potentially exposed or susceptible subpopulations (e.g. number of workers, use in children’s products)</w:t>
      </w:r>
    </w:p>
    <w:p w14:paraId="6B2FC2B8" w14:textId="77777777" w:rsidR="00745D9A" w:rsidRDefault="00745D9A" w:rsidP="00745D9A">
      <w:pPr>
        <w:numPr>
          <w:ilvl w:val="0"/>
          <w:numId w:val="11"/>
        </w:numPr>
        <w:spacing w:line="259" w:lineRule="auto"/>
        <w:rPr>
          <w:rFonts w:eastAsia="Times New Roman" w:cs="Times New Roman"/>
        </w:rPr>
      </w:pPr>
      <w:r w:rsidRPr="009533EA">
        <w:rPr>
          <w:rFonts w:eastAsia="Times New Roman" w:cs="Times New Roman"/>
        </w:rPr>
        <w:t>estimate releases and exposures associated with conditions of use</w:t>
      </w:r>
    </w:p>
    <w:p w14:paraId="224E1032" w14:textId="77777777" w:rsidR="00272F4D" w:rsidRDefault="00272F4D" w:rsidP="00272F4D">
      <w:pPr>
        <w:spacing w:line="259" w:lineRule="auto"/>
        <w:rPr>
          <w:rFonts w:eastAsia="Times New Roman" w:cs="Times New Roman"/>
        </w:rPr>
      </w:pPr>
    </w:p>
    <w:p w14:paraId="27D011AD" w14:textId="2A35ACCB" w:rsidR="00272F4D" w:rsidRPr="00282359" w:rsidRDefault="00272F4D" w:rsidP="00282359">
      <w:pPr>
        <w:spacing w:line="259" w:lineRule="auto"/>
        <w:rPr>
          <w:rFonts w:eastAsia="Times New Roman" w:cs="Times New Roman"/>
        </w:rPr>
      </w:pPr>
      <w:r w:rsidRPr="00282359">
        <w:rPr>
          <w:rFonts w:eastAsia="Times New Roman" w:cs="Times New Roman"/>
        </w:rPr>
        <w:t>Specific examples</w:t>
      </w:r>
      <w:r w:rsidR="00282359">
        <w:rPr>
          <w:rFonts w:eastAsia="Times New Roman" w:cs="Times New Roman"/>
        </w:rPr>
        <w:t xml:space="preserve"> of </w:t>
      </w:r>
      <w:r w:rsidR="00282359" w:rsidRPr="009533EA">
        <w:t>CDR data used in risk evaluation</w:t>
      </w:r>
      <w:r w:rsidRPr="00282359">
        <w:rPr>
          <w:rFonts w:eastAsia="Times New Roman" w:cs="Times New Roman"/>
        </w:rPr>
        <w:t>:</w:t>
      </w:r>
    </w:p>
    <w:p w14:paraId="7442E692" w14:textId="77777777" w:rsidR="00272F4D" w:rsidRPr="009533EA" w:rsidRDefault="00272F4D" w:rsidP="004D4DC1">
      <w:pPr>
        <w:numPr>
          <w:ilvl w:val="0"/>
          <w:numId w:val="12"/>
        </w:numPr>
        <w:spacing w:before="160" w:after="160" w:line="259" w:lineRule="auto"/>
        <w:contextualSpacing/>
        <w:rPr>
          <w:rFonts w:eastAsia="Times New Roman" w:cs="Times New Roman"/>
        </w:rPr>
      </w:pPr>
      <w:r w:rsidRPr="009533EA">
        <w:rPr>
          <w:rFonts w:eastAsia="Times New Roman" w:cs="Times New Roman"/>
        </w:rPr>
        <w:t xml:space="preserve">In 2012 (and updated in 2014), EPA screened all existing chemicals to identify candidates for assessment over the next several years. The screening process used to identify these chemicals is detailed in the </w:t>
      </w:r>
      <w:hyperlink r:id="rId17" w:history="1">
        <w:r w:rsidRPr="009533EA">
          <w:rPr>
            <w:rFonts w:eastAsia="Times New Roman" w:cs="Times New Roman"/>
            <w:color w:val="0000FF"/>
            <w:u w:val="single"/>
          </w:rPr>
          <w:t>TSCA Work Plan Chemicals Methods Document</w:t>
        </w:r>
      </w:hyperlink>
      <w:r w:rsidRPr="009533EA">
        <w:rPr>
          <w:rFonts w:eastAsia="Times New Roman" w:cs="Times New Roman"/>
        </w:rPr>
        <w:t xml:space="preserve">. This process used CDR data to develop an exposure score, which included identifying if children were likely to be exposed, determining the potential for release when TRI data were not available, identifying the production volume and number of sites, and developing rankings based on the industrial processing and use and on the consumer/commercial uses.  Ultimately, 345 chemical substances or chemical compound categories were screened, from which 90 in 2014 were identified as the TSCA Work Plan Chemicals, or chemicals the Agency identified as high priority for risk assessment. </w:t>
      </w:r>
    </w:p>
    <w:p w14:paraId="45946F3E" w14:textId="77777777" w:rsidR="00272F4D" w:rsidRPr="009533EA" w:rsidRDefault="00272F4D" w:rsidP="004D4DC1">
      <w:pPr>
        <w:numPr>
          <w:ilvl w:val="0"/>
          <w:numId w:val="12"/>
        </w:numPr>
        <w:spacing w:before="160" w:after="160" w:line="259" w:lineRule="auto"/>
        <w:contextualSpacing/>
        <w:rPr>
          <w:rFonts w:eastAsia="Times New Roman" w:cs="Times New Roman"/>
        </w:rPr>
      </w:pPr>
      <w:r w:rsidRPr="009533EA">
        <w:rPr>
          <w:rFonts w:eastAsia="Times New Roman" w:cs="Times New Roman"/>
        </w:rPr>
        <w:t xml:space="preserve">The </w:t>
      </w:r>
      <w:r w:rsidR="00230BC8">
        <w:rPr>
          <w:rFonts w:eastAsia="Times New Roman" w:cs="Times New Roman"/>
        </w:rPr>
        <w:t xml:space="preserve">2014 </w:t>
      </w:r>
      <w:r w:rsidRPr="009533EA">
        <w:rPr>
          <w:rFonts w:eastAsia="Times New Roman" w:cs="Times New Roman"/>
        </w:rPr>
        <w:t xml:space="preserve">TSCA Work Plan will continue to inform future prioritization of chemicals for risk evaluation under TSCA as amended by </w:t>
      </w:r>
      <w:r>
        <w:rPr>
          <w:rFonts w:eastAsia="Times New Roman" w:cs="Times New Roman"/>
        </w:rPr>
        <w:t xml:space="preserve">the </w:t>
      </w:r>
      <w:r w:rsidRPr="009533EA">
        <w:rPr>
          <w:rFonts w:eastAsia="Times New Roman" w:cs="Times New Roman"/>
        </w:rPr>
        <w:t xml:space="preserve">Lautenberg Act. </w:t>
      </w:r>
    </w:p>
    <w:p w14:paraId="6A7C6F45" w14:textId="77777777" w:rsidR="00272F4D" w:rsidRPr="009533EA" w:rsidRDefault="00272F4D" w:rsidP="004D4DC1">
      <w:pPr>
        <w:numPr>
          <w:ilvl w:val="0"/>
          <w:numId w:val="12"/>
        </w:numPr>
        <w:spacing w:before="160" w:after="160" w:line="259" w:lineRule="auto"/>
        <w:contextualSpacing/>
        <w:rPr>
          <w:rFonts w:eastAsia="Times New Roman" w:cs="Times New Roman"/>
        </w:rPr>
      </w:pPr>
      <w:r w:rsidRPr="009533EA">
        <w:rPr>
          <w:rFonts w:eastAsia="Times New Roman" w:cs="Times New Roman"/>
        </w:rPr>
        <w:t xml:space="preserve"> In 2016, EPA announced the </w:t>
      </w:r>
      <w:hyperlink r:id="rId18" w:history="1">
        <w:r w:rsidRPr="009533EA">
          <w:rPr>
            <w:rFonts w:eastAsia="Times New Roman" w:cs="Times New Roman"/>
            <w:color w:val="0000FF"/>
            <w:u w:val="single"/>
          </w:rPr>
          <w:t>first 10 chemicals</w:t>
        </w:r>
      </w:hyperlink>
      <w:r w:rsidRPr="009533EA">
        <w:rPr>
          <w:rFonts w:eastAsia="Times New Roman" w:cs="Times New Roman"/>
        </w:rPr>
        <w:t xml:space="preserve">  for risk evaluation, as required by </w:t>
      </w:r>
      <w:r>
        <w:rPr>
          <w:rFonts w:eastAsia="Times New Roman" w:cs="Times New Roman"/>
        </w:rPr>
        <w:t>TSCA</w:t>
      </w:r>
      <w:r w:rsidRPr="009533EA">
        <w:rPr>
          <w:rFonts w:eastAsia="Times New Roman" w:cs="Times New Roman"/>
        </w:rPr>
        <w:t xml:space="preserve">. As part of this process, EPA </w:t>
      </w:r>
      <w:hyperlink r:id="rId19" w:anchor="ten" w:history="1">
        <w:r w:rsidRPr="009533EA">
          <w:rPr>
            <w:rFonts w:eastAsia="Times New Roman" w:cs="Times New Roman"/>
            <w:color w:val="0000FF"/>
            <w:u w:val="single"/>
          </w:rPr>
          <w:t xml:space="preserve">published the scope of </w:t>
        </w:r>
        <w:r w:rsidR="00230BC8">
          <w:rPr>
            <w:rFonts w:eastAsia="Times New Roman" w:cs="Times New Roman"/>
            <w:color w:val="0000FF"/>
            <w:u w:val="single"/>
          </w:rPr>
          <w:t>each</w:t>
        </w:r>
        <w:r w:rsidRPr="009533EA">
          <w:rPr>
            <w:rFonts w:eastAsia="Times New Roman" w:cs="Times New Roman"/>
            <w:color w:val="0000FF"/>
            <w:u w:val="single"/>
          </w:rPr>
          <w:t xml:space="preserve"> risk evaluation</w:t>
        </w:r>
      </w:hyperlink>
      <w:r w:rsidRPr="009533EA">
        <w:rPr>
          <w:rFonts w:eastAsia="Times New Roman" w:cs="Times New Roman"/>
        </w:rPr>
        <w:t xml:space="preserve"> to be conducted. These scope documents utilized CDR data to identify potential exposures, conditions of use and potentially exposed or susceptible subpopulations that the Agency expects to consider during the risk evaluation. </w:t>
      </w:r>
    </w:p>
    <w:p w14:paraId="42C58A6D" w14:textId="77777777" w:rsidR="00272F4D" w:rsidRPr="009533EA" w:rsidRDefault="00AC0A9B" w:rsidP="00AC0A9B">
      <w:pPr>
        <w:numPr>
          <w:ilvl w:val="0"/>
          <w:numId w:val="12"/>
        </w:numPr>
        <w:spacing w:before="160" w:after="160" w:line="259" w:lineRule="auto"/>
        <w:contextualSpacing/>
        <w:rPr>
          <w:rFonts w:eastAsia="Times New Roman" w:cs="Times New Roman"/>
        </w:rPr>
      </w:pPr>
      <w:r w:rsidRPr="00AC0A9B">
        <w:rPr>
          <w:rFonts w:eastAsia="Times New Roman" w:cs="Times New Roman"/>
        </w:rPr>
        <w:t>OPPT develops Emission Scenario Docu</w:t>
      </w:r>
      <w:r w:rsidR="00DB6C15">
        <w:rPr>
          <w:rFonts w:eastAsia="Times New Roman" w:cs="Times New Roman"/>
        </w:rPr>
        <w:t>ments (ESDs) used by the Organis</w:t>
      </w:r>
      <w:r w:rsidRPr="00AC0A9B">
        <w:rPr>
          <w:rFonts w:eastAsia="Times New Roman" w:cs="Times New Roman"/>
        </w:rPr>
        <w:t>ation for Economic Cooperation and Development (OECD) and industry-specific generic scenarios for use in developing occupational exposure and environmental release estimates of chemicals for specific use scenarios</w:t>
      </w:r>
      <w:r w:rsidR="002918AA">
        <w:rPr>
          <w:rFonts w:eastAsia="Times New Roman" w:cs="Times New Roman"/>
        </w:rPr>
        <w:t>.</w:t>
      </w:r>
      <w:r w:rsidR="00272F4D" w:rsidRPr="009533EA">
        <w:rPr>
          <w:rFonts w:eastAsia="Times New Roman" w:cs="Times New Roman"/>
        </w:rPr>
        <w:t xml:space="preserve"> CDR data are used in generic scenario / ESD development to:</w:t>
      </w:r>
    </w:p>
    <w:p w14:paraId="2F5C41B4" w14:textId="77777777" w:rsidR="00272F4D" w:rsidRPr="009533EA" w:rsidRDefault="00272F4D" w:rsidP="004D4DC1">
      <w:pPr>
        <w:numPr>
          <w:ilvl w:val="1"/>
          <w:numId w:val="12"/>
        </w:numPr>
        <w:spacing w:before="160" w:after="160" w:line="259" w:lineRule="auto"/>
        <w:contextualSpacing/>
        <w:rPr>
          <w:rFonts w:eastAsia="Times New Roman" w:cs="Times New Roman"/>
        </w:rPr>
      </w:pPr>
      <w:r w:rsidRPr="009533EA">
        <w:rPr>
          <w:rFonts w:eastAsia="Times New Roman" w:cs="Times New Roman"/>
        </w:rPr>
        <w:t>identify types of chemicals commonly used and their functions in the industry of interest</w:t>
      </w:r>
    </w:p>
    <w:p w14:paraId="01516286" w14:textId="77777777" w:rsidR="00272F4D" w:rsidRPr="009533EA" w:rsidRDefault="00272F4D" w:rsidP="004D4DC1">
      <w:pPr>
        <w:numPr>
          <w:ilvl w:val="1"/>
          <w:numId w:val="12"/>
        </w:numPr>
        <w:spacing w:before="160" w:after="160" w:line="259" w:lineRule="auto"/>
        <w:contextualSpacing/>
        <w:rPr>
          <w:rFonts w:eastAsia="Times New Roman" w:cs="Times New Roman"/>
        </w:rPr>
      </w:pPr>
      <w:r w:rsidRPr="009533EA">
        <w:rPr>
          <w:rFonts w:eastAsia="Times New Roman" w:cs="Times New Roman"/>
        </w:rPr>
        <w:t>estimate number of potentially exposed workers per site</w:t>
      </w:r>
    </w:p>
    <w:p w14:paraId="2A3D50C6" w14:textId="77777777" w:rsidR="00272F4D" w:rsidRDefault="00272F4D" w:rsidP="004D4DC1">
      <w:pPr>
        <w:numPr>
          <w:ilvl w:val="1"/>
          <w:numId w:val="12"/>
        </w:numPr>
        <w:spacing w:before="160" w:after="160" w:line="259" w:lineRule="auto"/>
        <w:contextualSpacing/>
        <w:rPr>
          <w:rFonts w:eastAsia="Times New Roman" w:cs="Times New Roman"/>
        </w:rPr>
      </w:pPr>
      <w:r w:rsidRPr="009533EA">
        <w:rPr>
          <w:rFonts w:eastAsia="Times New Roman" w:cs="Times New Roman"/>
        </w:rPr>
        <w:t>develop estimates of exposure levels and releases</w:t>
      </w:r>
      <w:r w:rsidR="00745D9A">
        <w:rPr>
          <w:rFonts w:eastAsia="Times New Roman" w:cs="Times New Roman"/>
        </w:rPr>
        <w:t>.</w:t>
      </w:r>
    </w:p>
    <w:p w14:paraId="0D508836" w14:textId="77777777" w:rsidR="00272F4D" w:rsidRPr="009533EA" w:rsidRDefault="00272F4D" w:rsidP="00272F4D">
      <w:pPr>
        <w:spacing w:before="160" w:after="160" w:line="259" w:lineRule="auto"/>
        <w:ind w:left="1440"/>
        <w:contextualSpacing/>
        <w:rPr>
          <w:rFonts w:eastAsia="Times New Roman" w:cs="Times New Roman"/>
        </w:rPr>
      </w:pPr>
    </w:p>
    <w:p w14:paraId="65863B25" w14:textId="55F572F4" w:rsidR="00272F4D" w:rsidRPr="00282359" w:rsidRDefault="00272F4D" w:rsidP="00282359">
      <w:pPr>
        <w:rPr>
          <w:rFonts w:eastAsia="Times New Roman" w:cs="Times New Roman"/>
        </w:rPr>
      </w:pPr>
      <w:r w:rsidRPr="00282359">
        <w:rPr>
          <w:rFonts w:eastAsia="Times New Roman" w:cs="Times New Roman"/>
        </w:rPr>
        <w:t xml:space="preserve">Other offices in EPA rely on CDR data: </w:t>
      </w:r>
    </w:p>
    <w:p w14:paraId="6997F37C" w14:textId="77777777" w:rsidR="00272F4D" w:rsidRPr="009533EA" w:rsidRDefault="00272F4D" w:rsidP="00DF6BBC">
      <w:pPr>
        <w:numPr>
          <w:ilvl w:val="0"/>
          <w:numId w:val="12"/>
        </w:numPr>
        <w:spacing w:after="160"/>
        <w:contextualSpacing/>
        <w:rPr>
          <w:rFonts w:eastAsia="Times New Roman" w:cs="Times New Roman"/>
        </w:rPr>
      </w:pPr>
      <w:r w:rsidRPr="009533EA">
        <w:rPr>
          <w:rFonts w:eastAsia="Times New Roman" w:cs="Times New Roman"/>
        </w:rPr>
        <w:t>ORD (Office of Research and Development) uses CDR data in the development of life-cycle inventories (LCIs) to:</w:t>
      </w:r>
    </w:p>
    <w:p w14:paraId="0564D9EE" w14:textId="77777777" w:rsidR="00272F4D" w:rsidRPr="009533EA" w:rsidRDefault="00272F4D" w:rsidP="004D4DC1">
      <w:pPr>
        <w:numPr>
          <w:ilvl w:val="1"/>
          <w:numId w:val="12"/>
        </w:numPr>
        <w:spacing w:before="160" w:after="160" w:line="259" w:lineRule="auto"/>
        <w:contextualSpacing/>
        <w:rPr>
          <w:rFonts w:eastAsia="Times New Roman" w:cs="Times New Roman"/>
        </w:rPr>
      </w:pPr>
      <w:r w:rsidRPr="009533EA">
        <w:rPr>
          <w:rFonts w:eastAsia="Times New Roman" w:cs="Times New Roman"/>
        </w:rPr>
        <w:t>aid in characterizing the life cycle of the chemical</w:t>
      </w:r>
    </w:p>
    <w:p w14:paraId="090938EF" w14:textId="77777777" w:rsidR="00272F4D" w:rsidRPr="009533EA" w:rsidRDefault="00272F4D" w:rsidP="004D4DC1">
      <w:pPr>
        <w:numPr>
          <w:ilvl w:val="1"/>
          <w:numId w:val="12"/>
        </w:numPr>
        <w:spacing w:before="160" w:after="160" w:line="259" w:lineRule="auto"/>
        <w:contextualSpacing/>
        <w:rPr>
          <w:rFonts w:eastAsia="Times New Roman" w:cs="Times New Roman"/>
        </w:rPr>
      </w:pPr>
      <w:r w:rsidRPr="009533EA">
        <w:rPr>
          <w:rFonts w:eastAsia="Times New Roman" w:cs="Times New Roman"/>
        </w:rPr>
        <w:t>develop standardized emission/release estimates (i.e., per 1 kg chemical) during chemical production</w:t>
      </w:r>
    </w:p>
    <w:p w14:paraId="41D9E883" w14:textId="77777777" w:rsidR="00272F4D" w:rsidRPr="009533EA" w:rsidRDefault="00272F4D" w:rsidP="004D4DC1">
      <w:pPr>
        <w:numPr>
          <w:ilvl w:val="0"/>
          <w:numId w:val="12"/>
        </w:numPr>
        <w:spacing w:before="160" w:after="160" w:line="259" w:lineRule="auto"/>
        <w:contextualSpacing/>
        <w:rPr>
          <w:rFonts w:eastAsia="Times New Roman" w:cs="Times New Roman"/>
        </w:rPr>
      </w:pPr>
      <w:r w:rsidRPr="009533EA">
        <w:rPr>
          <w:rFonts w:eastAsia="Times New Roman" w:cs="Times New Roman"/>
        </w:rPr>
        <w:t xml:space="preserve">OW (Office of Water) uses CDR data in the development of effluent guidelines to: </w:t>
      </w:r>
    </w:p>
    <w:p w14:paraId="5FB9D290" w14:textId="77777777" w:rsidR="00272F4D" w:rsidRPr="009533EA" w:rsidRDefault="00272F4D" w:rsidP="004D4DC1">
      <w:pPr>
        <w:numPr>
          <w:ilvl w:val="1"/>
          <w:numId w:val="12"/>
        </w:numPr>
        <w:spacing w:before="160" w:after="160" w:line="259" w:lineRule="auto"/>
        <w:contextualSpacing/>
        <w:rPr>
          <w:rFonts w:eastAsia="Times New Roman" w:cs="Times New Roman"/>
        </w:rPr>
      </w:pPr>
      <w:r w:rsidRPr="009533EA">
        <w:rPr>
          <w:rFonts w:eastAsia="Times New Roman" w:cs="Times New Roman"/>
        </w:rPr>
        <w:t>identify facilities in industry sectors of interest for development of new effluent guidelines</w:t>
      </w:r>
    </w:p>
    <w:p w14:paraId="76CFCA82" w14:textId="77777777" w:rsidR="00272F4D" w:rsidRPr="009533EA" w:rsidRDefault="00272F4D" w:rsidP="004D4DC1">
      <w:pPr>
        <w:numPr>
          <w:ilvl w:val="1"/>
          <w:numId w:val="12"/>
        </w:numPr>
        <w:spacing w:before="160" w:after="160" w:line="259" w:lineRule="auto"/>
        <w:contextualSpacing/>
        <w:rPr>
          <w:rFonts w:eastAsia="Times New Roman" w:cs="Times New Roman"/>
        </w:rPr>
      </w:pPr>
      <w:r w:rsidRPr="009533EA">
        <w:rPr>
          <w:rFonts w:eastAsia="Times New Roman" w:cs="Times New Roman"/>
        </w:rPr>
        <w:t>identify chemicals of interest and their associated processing and use activities (part of Annual Effluent Guideline Review Reports)</w:t>
      </w:r>
    </w:p>
    <w:p w14:paraId="1C98C228" w14:textId="77777777" w:rsidR="00272F4D" w:rsidRPr="009533EA" w:rsidRDefault="00272F4D" w:rsidP="004D4DC1">
      <w:pPr>
        <w:numPr>
          <w:ilvl w:val="0"/>
          <w:numId w:val="12"/>
        </w:numPr>
        <w:spacing w:before="160" w:after="160" w:line="259" w:lineRule="auto"/>
        <w:contextualSpacing/>
        <w:rPr>
          <w:rFonts w:eastAsia="Times New Roman" w:cs="Times New Roman"/>
        </w:rPr>
      </w:pPr>
      <w:r w:rsidRPr="009533EA">
        <w:rPr>
          <w:rFonts w:eastAsia="Times New Roman" w:cs="Times New Roman"/>
        </w:rPr>
        <w:t xml:space="preserve">OECA (Office of Enforcement and Compliance Assurance) uses CDR data to: </w:t>
      </w:r>
    </w:p>
    <w:p w14:paraId="2B5D45C9" w14:textId="77777777" w:rsidR="00272F4D" w:rsidRPr="009533EA" w:rsidRDefault="00272F4D" w:rsidP="004D4DC1">
      <w:pPr>
        <w:numPr>
          <w:ilvl w:val="1"/>
          <w:numId w:val="12"/>
        </w:numPr>
        <w:spacing w:before="160" w:after="160" w:line="259" w:lineRule="auto"/>
        <w:contextualSpacing/>
        <w:rPr>
          <w:rFonts w:eastAsia="Times New Roman" w:cs="Times New Roman"/>
        </w:rPr>
      </w:pPr>
      <w:r w:rsidRPr="009533EA">
        <w:rPr>
          <w:rFonts w:eastAsia="Times New Roman" w:cs="Times New Roman"/>
        </w:rPr>
        <w:t>analyze chemical manufacturing production volume trends over time and correlate production with facility discharges to evaluate potential noncompliance and define compliance assistance efforts</w:t>
      </w:r>
    </w:p>
    <w:p w14:paraId="344AEDE9" w14:textId="77777777" w:rsidR="00272F4D" w:rsidRDefault="00272F4D" w:rsidP="00272F4D">
      <w:pPr>
        <w:spacing w:before="160"/>
        <w:rPr>
          <w:rFonts w:eastAsia="Times New Roman" w:cs="Times New Roman"/>
        </w:rPr>
      </w:pPr>
    </w:p>
    <w:p w14:paraId="3995DED5" w14:textId="0DCC73B5" w:rsidR="00272F4D" w:rsidRDefault="00272F4D" w:rsidP="00282359">
      <w:pPr>
        <w:rPr>
          <w:rFonts w:eastAsia="Times New Roman" w:cs="Times New Roman"/>
        </w:rPr>
      </w:pPr>
      <w:r w:rsidRPr="009533EA">
        <w:rPr>
          <w:rFonts w:eastAsia="Times New Roman" w:cs="Times New Roman"/>
        </w:rPr>
        <w:t>Other Federal Agencies</w:t>
      </w:r>
      <w:r w:rsidR="00515FDE">
        <w:rPr>
          <w:rFonts w:eastAsia="Times New Roman" w:cs="Times New Roman"/>
        </w:rPr>
        <w:t xml:space="preserve"> use CDR data</w:t>
      </w:r>
      <w:r w:rsidRPr="009533EA">
        <w:rPr>
          <w:rFonts w:eastAsia="Times New Roman" w:cs="Times New Roman"/>
        </w:rPr>
        <w:t>:</w:t>
      </w:r>
    </w:p>
    <w:p w14:paraId="45926D64" w14:textId="77777777" w:rsidR="00272F4D" w:rsidRPr="009533EA" w:rsidRDefault="00272F4D" w:rsidP="00DF6BBC">
      <w:pPr>
        <w:numPr>
          <w:ilvl w:val="0"/>
          <w:numId w:val="13"/>
        </w:numPr>
        <w:spacing w:after="160"/>
        <w:contextualSpacing/>
        <w:rPr>
          <w:rFonts w:eastAsia="Times New Roman" w:cs="Times New Roman"/>
        </w:rPr>
      </w:pPr>
      <w:r w:rsidRPr="009533EA">
        <w:rPr>
          <w:rFonts w:eastAsia="Times New Roman" w:cs="Times New Roman"/>
        </w:rPr>
        <w:t>Occupational Safety and Health Administration (OSHA):</w:t>
      </w:r>
    </w:p>
    <w:p w14:paraId="1D7B7144" w14:textId="77777777" w:rsidR="00272F4D" w:rsidRPr="009533EA" w:rsidRDefault="00272F4D" w:rsidP="004D4DC1">
      <w:pPr>
        <w:numPr>
          <w:ilvl w:val="1"/>
          <w:numId w:val="13"/>
        </w:numPr>
        <w:spacing w:before="160" w:after="160" w:line="259" w:lineRule="auto"/>
        <w:contextualSpacing/>
        <w:rPr>
          <w:rFonts w:eastAsia="Times New Roman" w:cs="Times New Roman"/>
        </w:rPr>
      </w:pPr>
      <w:r w:rsidRPr="009533EA">
        <w:rPr>
          <w:rFonts w:eastAsia="Times New Roman" w:cs="Times New Roman"/>
        </w:rPr>
        <w:t>uses the production and use information to better understand worker exposure and industries where exposure may occur (</w:t>
      </w:r>
      <w:hyperlink r:id="rId20" w:history="1">
        <w:r w:rsidRPr="009533EA">
          <w:rPr>
            <w:rFonts w:eastAsia="Times New Roman" w:cs="Times New Roman"/>
            <w:color w:val="0000FF"/>
            <w:u w:val="single"/>
          </w:rPr>
          <w:t>FR Doc No: 2014-24009</w:t>
        </w:r>
      </w:hyperlink>
      <w:r w:rsidRPr="009533EA">
        <w:rPr>
          <w:rFonts w:eastAsia="Times New Roman" w:cs="Times New Roman"/>
        </w:rPr>
        <w:t>)</w:t>
      </w:r>
    </w:p>
    <w:p w14:paraId="23B512AD" w14:textId="77777777" w:rsidR="00272F4D" w:rsidRPr="009533EA" w:rsidRDefault="00272F4D" w:rsidP="004D4DC1">
      <w:pPr>
        <w:numPr>
          <w:ilvl w:val="0"/>
          <w:numId w:val="13"/>
        </w:numPr>
        <w:spacing w:before="160" w:after="160" w:line="259" w:lineRule="auto"/>
        <w:contextualSpacing/>
        <w:rPr>
          <w:rFonts w:eastAsia="Times New Roman" w:cs="Times New Roman"/>
        </w:rPr>
      </w:pPr>
      <w:r w:rsidRPr="009533EA">
        <w:rPr>
          <w:rFonts w:eastAsia="Times New Roman" w:cs="Times New Roman"/>
        </w:rPr>
        <w:t>Center</w:t>
      </w:r>
      <w:r w:rsidR="00EA5CFA">
        <w:rPr>
          <w:rFonts w:eastAsia="Times New Roman" w:cs="Times New Roman"/>
        </w:rPr>
        <w:t>s</w:t>
      </w:r>
      <w:r w:rsidRPr="009533EA">
        <w:rPr>
          <w:rFonts w:eastAsia="Times New Roman" w:cs="Times New Roman"/>
        </w:rPr>
        <w:t xml:space="preserve"> for Disease Control </w:t>
      </w:r>
      <w:r w:rsidR="00890C4F">
        <w:rPr>
          <w:rFonts w:eastAsia="Times New Roman" w:cs="Times New Roman"/>
        </w:rPr>
        <w:t xml:space="preserve">and Prevention </w:t>
      </w:r>
      <w:r w:rsidRPr="009533EA">
        <w:rPr>
          <w:rFonts w:eastAsia="Times New Roman" w:cs="Times New Roman"/>
        </w:rPr>
        <w:t>(CDC)</w:t>
      </w:r>
    </w:p>
    <w:p w14:paraId="749A2992" w14:textId="77777777" w:rsidR="00272F4D" w:rsidRPr="009533EA" w:rsidRDefault="00272F4D" w:rsidP="004D4DC1">
      <w:pPr>
        <w:numPr>
          <w:ilvl w:val="1"/>
          <w:numId w:val="13"/>
        </w:numPr>
        <w:spacing w:before="160" w:after="160" w:line="259" w:lineRule="auto"/>
        <w:contextualSpacing/>
        <w:rPr>
          <w:rFonts w:eastAsia="Times New Roman" w:cs="Times New Roman"/>
        </w:rPr>
      </w:pPr>
      <w:r w:rsidRPr="009533EA">
        <w:rPr>
          <w:rFonts w:eastAsia="Times New Roman" w:cs="Times New Roman"/>
        </w:rPr>
        <w:t>the Agency for Toxic Substances and Disease Registry (ATSDR) uses CDR data to develop toxicological profiles</w:t>
      </w:r>
    </w:p>
    <w:p w14:paraId="5939C51E" w14:textId="77777777" w:rsidR="00272F4D" w:rsidRPr="009533EA" w:rsidRDefault="00272F4D" w:rsidP="004D4DC1">
      <w:pPr>
        <w:numPr>
          <w:ilvl w:val="0"/>
          <w:numId w:val="13"/>
        </w:numPr>
        <w:spacing w:before="160" w:after="160" w:line="259" w:lineRule="auto"/>
        <w:contextualSpacing/>
        <w:rPr>
          <w:rFonts w:eastAsia="Times New Roman" w:cs="Times New Roman"/>
        </w:rPr>
      </w:pPr>
      <w:r w:rsidRPr="009533EA">
        <w:rPr>
          <w:rFonts w:eastAsia="Times New Roman" w:cs="Times New Roman"/>
        </w:rPr>
        <w:t>National Institute of Health (NIH)</w:t>
      </w:r>
    </w:p>
    <w:p w14:paraId="184BEC23" w14:textId="77777777" w:rsidR="00272F4D" w:rsidRPr="009533EA" w:rsidRDefault="00272F4D" w:rsidP="004D4DC1">
      <w:pPr>
        <w:numPr>
          <w:ilvl w:val="1"/>
          <w:numId w:val="13"/>
        </w:numPr>
        <w:spacing w:before="160"/>
        <w:rPr>
          <w:rFonts w:eastAsia="Times New Roman" w:cs="Times New Roman"/>
        </w:rPr>
      </w:pPr>
      <w:r w:rsidRPr="009533EA">
        <w:rPr>
          <w:rFonts w:eastAsia="Times New Roman" w:cs="Times New Roman"/>
        </w:rPr>
        <w:t>uses CDR data for exposure and use information published in the Hazardous Substances Data Bank (HSDB)</w:t>
      </w:r>
    </w:p>
    <w:p w14:paraId="6B2F8668" w14:textId="77777777" w:rsidR="00515FDE" w:rsidRDefault="00515FDE" w:rsidP="00DF6BBC">
      <w:pPr>
        <w:ind w:firstLine="720"/>
        <w:rPr>
          <w:rFonts w:eastAsia="Times New Roman" w:cs="Times New Roman"/>
        </w:rPr>
      </w:pPr>
    </w:p>
    <w:p w14:paraId="33AEC532" w14:textId="48D505F4" w:rsidR="00272F4D" w:rsidRDefault="00272F4D" w:rsidP="00DF6BBC">
      <w:pPr>
        <w:ind w:firstLine="720"/>
        <w:rPr>
          <w:rFonts w:eastAsia="Times New Roman" w:cs="Times New Roman"/>
        </w:rPr>
      </w:pPr>
      <w:r w:rsidRPr="009533EA">
        <w:rPr>
          <w:rFonts w:eastAsia="Times New Roman" w:cs="Times New Roman"/>
        </w:rPr>
        <w:t xml:space="preserve">Following the </w:t>
      </w:r>
      <w:r w:rsidR="00515FDE">
        <w:rPr>
          <w:rFonts w:eastAsia="Times New Roman" w:cs="Times New Roman"/>
        </w:rPr>
        <w:t xml:space="preserve">2016 </w:t>
      </w:r>
      <w:r w:rsidRPr="009533EA">
        <w:rPr>
          <w:rFonts w:eastAsia="Times New Roman" w:cs="Times New Roman"/>
        </w:rPr>
        <w:t xml:space="preserve">amendment of TSCA by </w:t>
      </w:r>
      <w:r>
        <w:rPr>
          <w:rFonts w:eastAsia="Times New Roman" w:cs="Times New Roman"/>
        </w:rPr>
        <w:t xml:space="preserve">the </w:t>
      </w:r>
      <w:r w:rsidRPr="009533EA">
        <w:rPr>
          <w:rFonts w:eastAsia="Times New Roman" w:cs="Times New Roman"/>
        </w:rPr>
        <w:t>Lautenberg Act, states are expected to have increased access to TSCA data and to have more opportunity to contribute to EPA’s risk evaluation processes for chemicals in commerce. While this process is being put into place, states have identified their current uses of CDR data:</w:t>
      </w:r>
    </w:p>
    <w:p w14:paraId="62E8F9AC" w14:textId="77777777" w:rsidR="00DF6BBC" w:rsidRPr="009533EA" w:rsidRDefault="00DF6BBC" w:rsidP="00DF6BBC">
      <w:pPr>
        <w:ind w:firstLine="720"/>
        <w:rPr>
          <w:rFonts w:eastAsia="Times New Roman" w:cs="Times New Roman"/>
        </w:rPr>
      </w:pPr>
    </w:p>
    <w:p w14:paraId="52CFD7C5" w14:textId="77777777" w:rsidR="00272F4D" w:rsidRPr="009533EA" w:rsidRDefault="00272F4D" w:rsidP="00DF6BBC">
      <w:pPr>
        <w:numPr>
          <w:ilvl w:val="0"/>
          <w:numId w:val="10"/>
        </w:numPr>
        <w:spacing w:after="160"/>
        <w:contextualSpacing/>
        <w:rPr>
          <w:rFonts w:eastAsia="Times New Roman" w:cs="Times New Roman"/>
        </w:rPr>
      </w:pPr>
      <w:r w:rsidRPr="009533EA">
        <w:rPr>
          <w:rFonts w:eastAsia="Times New Roman" w:cs="Times New Roman"/>
        </w:rPr>
        <w:t>State chemical risk evaluation processes</w:t>
      </w:r>
    </w:p>
    <w:p w14:paraId="0A957AC9" w14:textId="77777777" w:rsidR="00272F4D" w:rsidRPr="009533EA" w:rsidRDefault="00272F4D" w:rsidP="004D4DC1">
      <w:pPr>
        <w:numPr>
          <w:ilvl w:val="0"/>
          <w:numId w:val="10"/>
        </w:numPr>
        <w:spacing w:before="160" w:after="160" w:line="259" w:lineRule="auto"/>
        <w:contextualSpacing/>
        <w:rPr>
          <w:rFonts w:eastAsia="Times New Roman" w:cs="Times New Roman"/>
        </w:rPr>
      </w:pPr>
      <w:r w:rsidRPr="009533EA">
        <w:rPr>
          <w:rFonts w:eastAsia="Times New Roman" w:cs="Times New Roman"/>
        </w:rPr>
        <w:t>Emergency Response Planning/Community Right to Know</w:t>
      </w:r>
    </w:p>
    <w:p w14:paraId="239418CF" w14:textId="77777777" w:rsidR="00272F4D" w:rsidRPr="009533EA" w:rsidRDefault="00272F4D" w:rsidP="004D4DC1">
      <w:pPr>
        <w:numPr>
          <w:ilvl w:val="0"/>
          <w:numId w:val="10"/>
        </w:numPr>
        <w:spacing w:before="160" w:after="160" w:line="259" w:lineRule="auto"/>
        <w:contextualSpacing/>
        <w:rPr>
          <w:rFonts w:eastAsia="Times New Roman" w:cs="Times New Roman"/>
        </w:rPr>
      </w:pPr>
      <w:r w:rsidRPr="009533EA">
        <w:rPr>
          <w:rFonts w:eastAsia="Times New Roman" w:cs="Times New Roman"/>
        </w:rPr>
        <w:t>State OSHA/worker health and safety</w:t>
      </w:r>
    </w:p>
    <w:p w14:paraId="038881FD" w14:textId="77777777" w:rsidR="00272F4D" w:rsidRPr="009533EA" w:rsidRDefault="00272F4D" w:rsidP="004D4DC1">
      <w:pPr>
        <w:numPr>
          <w:ilvl w:val="0"/>
          <w:numId w:val="10"/>
        </w:numPr>
        <w:spacing w:before="160" w:after="160" w:line="259" w:lineRule="auto"/>
        <w:contextualSpacing/>
        <w:rPr>
          <w:rFonts w:eastAsia="Times New Roman" w:cs="Times New Roman"/>
        </w:rPr>
      </w:pPr>
      <w:r w:rsidRPr="009533EA">
        <w:rPr>
          <w:rFonts w:eastAsia="Times New Roman" w:cs="Times New Roman"/>
        </w:rPr>
        <w:t>Facility Siting and Permitting (most likely air and water permits)</w:t>
      </w:r>
    </w:p>
    <w:p w14:paraId="26EF70A6" w14:textId="77777777" w:rsidR="00272F4D" w:rsidRPr="009533EA" w:rsidRDefault="00272F4D" w:rsidP="004D4DC1">
      <w:pPr>
        <w:numPr>
          <w:ilvl w:val="0"/>
          <w:numId w:val="10"/>
        </w:numPr>
        <w:spacing w:before="160" w:after="160" w:line="259" w:lineRule="auto"/>
        <w:contextualSpacing/>
        <w:rPr>
          <w:rFonts w:eastAsia="Times New Roman" w:cs="Times New Roman"/>
        </w:rPr>
      </w:pPr>
      <w:r w:rsidRPr="009533EA">
        <w:rPr>
          <w:rFonts w:eastAsia="Times New Roman" w:cs="Times New Roman"/>
        </w:rPr>
        <w:t>Compliance and enforcement for disposal/releases/mismanagement</w:t>
      </w:r>
    </w:p>
    <w:p w14:paraId="4AC14A73" w14:textId="77777777" w:rsidR="00272F4D" w:rsidRPr="009533EA" w:rsidRDefault="00272F4D" w:rsidP="004D4DC1">
      <w:pPr>
        <w:numPr>
          <w:ilvl w:val="0"/>
          <w:numId w:val="10"/>
        </w:numPr>
        <w:spacing w:before="160" w:after="160" w:line="259" w:lineRule="auto"/>
        <w:contextualSpacing/>
        <w:rPr>
          <w:rFonts w:eastAsia="Times New Roman" w:cs="Times New Roman"/>
        </w:rPr>
      </w:pPr>
      <w:r w:rsidRPr="009533EA">
        <w:rPr>
          <w:rFonts w:eastAsia="Times New Roman" w:cs="Times New Roman"/>
        </w:rPr>
        <w:t>Pollution Prevention Planning and Implementation</w:t>
      </w:r>
    </w:p>
    <w:p w14:paraId="7451F5D1" w14:textId="77777777" w:rsidR="00230BC8" w:rsidRPr="009533EA" w:rsidRDefault="00230BC8" w:rsidP="004D4DC1">
      <w:pPr>
        <w:numPr>
          <w:ilvl w:val="0"/>
          <w:numId w:val="10"/>
        </w:numPr>
        <w:spacing w:before="160" w:after="160" w:line="259" w:lineRule="auto"/>
        <w:contextualSpacing/>
        <w:rPr>
          <w:rFonts w:eastAsia="Times New Roman" w:cs="Times New Roman"/>
        </w:rPr>
      </w:pPr>
      <w:r w:rsidRPr="009533EA">
        <w:rPr>
          <w:rFonts w:eastAsia="Times New Roman" w:cs="Times New Roman"/>
        </w:rPr>
        <w:t>Technical Assistance Programs</w:t>
      </w:r>
    </w:p>
    <w:p w14:paraId="07503D2E" w14:textId="77777777" w:rsidR="00230BC8" w:rsidRPr="009533EA" w:rsidRDefault="00230BC8" w:rsidP="004D4DC1">
      <w:pPr>
        <w:numPr>
          <w:ilvl w:val="0"/>
          <w:numId w:val="10"/>
        </w:numPr>
        <w:spacing w:before="160" w:after="160" w:line="259" w:lineRule="auto"/>
        <w:contextualSpacing/>
        <w:rPr>
          <w:rFonts w:eastAsia="Times New Roman" w:cs="Times New Roman"/>
        </w:rPr>
      </w:pPr>
      <w:r w:rsidRPr="009533EA">
        <w:rPr>
          <w:rFonts w:eastAsia="Times New Roman" w:cs="Times New Roman"/>
        </w:rPr>
        <w:t>Development of Policy and Legislation</w:t>
      </w:r>
    </w:p>
    <w:p w14:paraId="2C47B0B4" w14:textId="77777777" w:rsidR="00272F4D" w:rsidRPr="009533EA" w:rsidRDefault="00272F4D" w:rsidP="00272F4D">
      <w:pPr>
        <w:spacing w:before="160"/>
        <w:ind w:left="720"/>
        <w:rPr>
          <w:rFonts w:eastAsia="Times New Roman" w:cs="Times New Roman"/>
        </w:rPr>
      </w:pPr>
    </w:p>
    <w:p w14:paraId="5552BC8F" w14:textId="77777777" w:rsidR="00272F4D" w:rsidRPr="009533EA" w:rsidRDefault="00272F4D" w:rsidP="00087B66">
      <w:pPr>
        <w:pStyle w:val="BodyText"/>
      </w:pPr>
      <w:r w:rsidRPr="009533EA">
        <w:t>CDR data are also made public by the Agency via the online ChemView database, public releases of information on chemicals of interest (such as those prioritized for risk evaluation under TSCA (82 FR 31592, July 7, 2017), and documents posted publicly by EPA that highlight key information about the most current reporting period.</w:t>
      </w:r>
    </w:p>
    <w:p w14:paraId="6218AB9D" w14:textId="77777777" w:rsidR="00272F4D" w:rsidRPr="000D2D6D" w:rsidRDefault="00272F4D" w:rsidP="00272F4D">
      <w:pPr>
        <w:pStyle w:val="Heading1"/>
        <w:rPr>
          <w:rFonts w:eastAsia="Times New Roman" w:cs="Times New Roman"/>
        </w:rPr>
      </w:pPr>
      <w:r w:rsidRPr="000D2D6D">
        <w:t xml:space="preserve">NON-DUPLICATION, CONSULTATIONS, AND OTHER COLLECTION </w:t>
      </w:r>
      <w:r w:rsidRPr="000D2D6D">
        <w:rPr>
          <w:rFonts w:eastAsia="Times New Roman" w:cs="Times New Roman"/>
        </w:rPr>
        <w:t xml:space="preserve">CRITERIA </w:t>
      </w:r>
    </w:p>
    <w:p w14:paraId="677C94ED" w14:textId="77777777" w:rsidR="00272F4D" w:rsidRPr="009533EA" w:rsidRDefault="00272F4D" w:rsidP="00272F4D">
      <w:pPr>
        <w:pStyle w:val="Heading2"/>
      </w:pPr>
      <w:r w:rsidRPr="009533EA">
        <w:t>Non-Duplication</w:t>
      </w:r>
    </w:p>
    <w:p w14:paraId="316A41B5" w14:textId="77777777" w:rsidR="00230BC8" w:rsidRPr="009533EA" w:rsidRDefault="00230BC8" w:rsidP="00230BC8">
      <w:pPr>
        <w:pStyle w:val="BodyText"/>
      </w:pPr>
      <w:r w:rsidRPr="009533EA">
        <w:t xml:space="preserve">The data included in this information collection (i.e., production volume, chemical manufacture, exposure, and processing and use data) are not collected comprehensively or systematically at the national level by any other </w:t>
      </w:r>
      <w:r w:rsidR="00AC0A9B">
        <w:t>entities</w:t>
      </w:r>
      <w:r w:rsidRPr="009533EA">
        <w:t xml:space="preserve">.  </w:t>
      </w:r>
    </w:p>
    <w:p w14:paraId="54678F06" w14:textId="77777777" w:rsidR="00272F4D" w:rsidRPr="009533EA" w:rsidRDefault="00272F4D" w:rsidP="00272F4D">
      <w:pPr>
        <w:pStyle w:val="Heading2"/>
      </w:pPr>
      <w:r w:rsidRPr="009533EA">
        <w:t>Public Notice Required Prior to ICR submission to OMB</w:t>
      </w:r>
    </w:p>
    <w:p w14:paraId="23E6C3F4" w14:textId="77777777" w:rsidR="00E33E80" w:rsidRPr="00B6004D" w:rsidRDefault="00E33E80" w:rsidP="00E33E80">
      <w:pPr>
        <w:pStyle w:val="BodyText"/>
        <w:contextualSpacing/>
      </w:pPr>
      <w:r w:rsidRPr="00B6004D">
        <w:t xml:space="preserve">In proposing to renew this ICR, EPA provided a 60-day public notice and comment </w:t>
      </w:r>
    </w:p>
    <w:p w14:paraId="66F83B42" w14:textId="01F14F5A" w:rsidR="00E33E80" w:rsidRDefault="00E33E80" w:rsidP="00E33E80">
      <w:pPr>
        <w:pStyle w:val="BodyText"/>
        <w:ind w:firstLine="0"/>
        <w:contextualSpacing/>
      </w:pPr>
      <w:r w:rsidRPr="00B6004D">
        <w:t>period that ended on October 1, 2018 (</w:t>
      </w:r>
      <w:hyperlink r:id="rId21" w:history="1">
        <w:r w:rsidRPr="00584F5A">
          <w:rPr>
            <w:rStyle w:val="Hyperlink"/>
          </w:rPr>
          <w:t>83 FR  36928, July 31, 2018)</w:t>
        </w:r>
        <w:r w:rsidR="00584F5A" w:rsidRPr="00584F5A">
          <w:rPr>
            <w:rStyle w:val="Hyperlink"/>
          </w:rPr>
          <w:t xml:space="preserve"> (FRL–9980–28</w:t>
        </w:r>
      </w:hyperlink>
      <w:r w:rsidR="00584F5A">
        <w:t>)</w:t>
      </w:r>
      <w:r w:rsidRPr="00B6004D">
        <w:t xml:space="preserve">.  EPA </w:t>
      </w:r>
      <w:bookmarkStart w:id="2" w:name="_Hlk527465657"/>
      <w:r w:rsidRPr="00B6004D">
        <w:t>received three comments from</w:t>
      </w:r>
      <w:r w:rsidR="00551A14" w:rsidRPr="00B6004D">
        <w:t>:</w:t>
      </w:r>
      <w:r w:rsidRPr="00B6004D">
        <w:t xml:space="preserve"> </w:t>
      </w:r>
      <w:r w:rsidRPr="00B6004D">
        <w:rPr>
          <w:color w:val="000000" w:themeColor="text1"/>
        </w:rPr>
        <w:t xml:space="preserve">Richard Starr, Manager, Regulatory and Technical Affairs, American Chemistry Council (ACC); </w:t>
      </w:r>
      <w:r w:rsidRPr="00B6004D">
        <w:rPr>
          <w:bCs/>
          <w:color w:val="000000" w:themeColor="text1"/>
        </w:rPr>
        <w:t>Jared Rothstein, Senior Manager, Regulatory Affairs, Society of Chemical Manufacturers &amp; Affiliates (SOCMA)</w:t>
      </w:r>
      <w:r w:rsidRPr="00B6004D">
        <w:t xml:space="preserve">; and </w:t>
      </w:r>
      <w:r w:rsidR="00044368" w:rsidRPr="00B6004D">
        <w:t xml:space="preserve">David Wawer, Executive Director, </w:t>
      </w:r>
      <w:r w:rsidR="00C43E31" w:rsidRPr="00B6004D">
        <w:rPr>
          <w:color w:val="000000"/>
        </w:rPr>
        <w:t>Color Pigments Manufacturers Association (CPMA)</w:t>
      </w:r>
      <w:r w:rsidRPr="00B6004D">
        <w:t xml:space="preserve"> during the comment period. Copies of the public comment(s) and of EPA’s response to the public co</w:t>
      </w:r>
      <w:r w:rsidR="006A3552">
        <w:t>mment(s)</w:t>
      </w:r>
      <w:bookmarkEnd w:id="2"/>
      <w:r w:rsidR="006A3552">
        <w:t xml:space="preserve"> appear in Attachment </w:t>
      </w:r>
      <w:r w:rsidR="00A92E10">
        <w:t>4</w:t>
      </w:r>
      <w:r w:rsidR="006A3552">
        <w:t>.</w:t>
      </w:r>
    </w:p>
    <w:p w14:paraId="5C064817" w14:textId="77777777" w:rsidR="00272F4D" w:rsidRPr="009533EA" w:rsidRDefault="00272F4D" w:rsidP="00272F4D">
      <w:pPr>
        <w:pStyle w:val="Heading2"/>
      </w:pPr>
      <w:r w:rsidRPr="009533EA">
        <w:t>Consultations</w:t>
      </w:r>
    </w:p>
    <w:p w14:paraId="78087085" w14:textId="2EA2073B" w:rsidR="00E33E80" w:rsidRDefault="00E33E80" w:rsidP="00E33E80">
      <w:pPr>
        <w:pStyle w:val="NoSpacing"/>
        <w:ind w:firstLine="720"/>
      </w:pPr>
      <w:r w:rsidRPr="00D94B65">
        <w:t>Additionally, under 5 CFR 1320.8(d)(1), OMB requires agencies to consult with potential ICR respondents and data users about specific aspects of ICRs before submitting an ICR to OMB for review and approval. In accordance with this regulat</w:t>
      </w:r>
      <w:r w:rsidR="00515FDE">
        <w:t xml:space="preserve">ion, EPA submitted questions </w:t>
      </w:r>
      <w:r w:rsidRPr="00D94B65">
        <w:t>via e-mail</w:t>
      </w:r>
      <w:r w:rsidR="00515FDE">
        <w:t xml:space="preserve"> to the following individuals from stakeholders representing the potential respondent group: </w:t>
      </w:r>
    </w:p>
    <w:p w14:paraId="76D19A2B" w14:textId="77777777" w:rsidR="00272F4D" w:rsidRPr="00E33E80" w:rsidRDefault="00272F4D" w:rsidP="00E33E80">
      <w:pPr>
        <w:pStyle w:val="NoSpacing"/>
        <w:ind w:firstLine="720"/>
        <w:rPr>
          <w:highlight w:val="yellow"/>
        </w:rPr>
      </w:pPr>
    </w:p>
    <w:p w14:paraId="62146D90" w14:textId="77777777" w:rsidR="00DF616E" w:rsidRPr="00B577C1" w:rsidRDefault="00DF616E" w:rsidP="00DF616E">
      <w:pPr>
        <w:autoSpaceDE w:val="0"/>
        <w:autoSpaceDN w:val="0"/>
        <w:ind w:firstLine="720"/>
        <w:rPr>
          <w:rFonts w:eastAsia="Times New Roman" w:cs="Times New Roman"/>
          <w:color w:val="000000"/>
        </w:rPr>
      </w:pPr>
      <w:bookmarkStart w:id="3" w:name="_Hlk509235519"/>
      <w:r w:rsidRPr="00B577C1">
        <w:rPr>
          <w:rFonts w:eastAsia="Times New Roman" w:cs="Times New Roman"/>
          <w:color w:val="000000"/>
        </w:rPr>
        <w:t>Mike Walls, Vice President</w:t>
      </w:r>
    </w:p>
    <w:p w14:paraId="44BC1696" w14:textId="77777777" w:rsidR="00DF616E" w:rsidRPr="00B577C1" w:rsidRDefault="00DF616E" w:rsidP="00DF616E">
      <w:pPr>
        <w:autoSpaceDE w:val="0"/>
        <w:autoSpaceDN w:val="0"/>
        <w:ind w:firstLine="720"/>
        <w:rPr>
          <w:rFonts w:eastAsia="Times New Roman" w:cs="Times New Roman"/>
          <w:color w:val="000000"/>
        </w:rPr>
      </w:pPr>
      <w:r w:rsidRPr="00B577C1">
        <w:rPr>
          <w:rFonts w:eastAsia="Times New Roman" w:cs="Times New Roman"/>
          <w:color w:val="000000"/>
        </w:rPr>
        <w:t>Regulatory and Technical Affairs</w:t>
      </w:r>
    </w:p>
    <w:p w14:paraId="7EBB5A32" w14:textId="77777777" w:rsidR="00DF616E" w:rsidRPr="00B577C1" w:rsidRDefault="00DF616E" w:rsidP="00DF616E">
      <w:pPr>
        <w:autoSpaceDE w:val="0"/>
        <w:autoSpaceDN w:val="0"/>
        <w:ind w:firstLine="720"/>
        <w:rPr>
          <w:rFonts w:eastAsia="Times New Roman" w:cs="Times New Roman"/>
          <w:color w:val="000000"/>
        </w:rPr>
      </w:pPr>
      <w:r w:rsidRPr="00B577C1">
        <w:rPr>
          <w:rFonts w:eastAsia="Times New Roman" w:cs="Times New Roman"/>
          <w:color w:val="000000"/>
        </w:rPr>
        <w:t>American Chemistry Council Inc.</w:t>
      </w:r>
    </w:p>
    <w:p w14:paraId="74802AF8" w14:textId="77777777" w:rsidR="00DF616E" w:rsidRPr="00B577C1" w:rsidRDefault="00DF616E" w:rsidP="00DF616E">
      <w:pPr>
        <w:autoSpaceDE w:val="0"/>
        <w:autoSpaceDN w:val="0"/>
        <w:ind w:firstLine="720"/>
        <w:rPr>
          <w:rFonts w:eastAsia="Times New Roman" w:cs="Times New Roman"/>
          <w:color w:val="000000"/>
        </w:rPr>
      </w:pPr>
      <w:r w:rsidRPr="00B577C1">
        <w:rPr>
          <w:rFonts w:eastAsia="Times New Roman" w:cs="Times New Roman"/>
          <w:color w:val="000000"/>
        </w:rPr>
        <w:t>700 2nd Street N.E.</w:t>
      </w:r>
    </w:p>
    <w:p w14:paraId="73FD6134" w14:textId="77777777" w:rsidR="00DF616E" w:rsidRPr="00B577C1" w:rsidRDefault="00DF616E" w:rsidP="00DF616E">
      <w:pPr>
        <w:autoSpaceDE w:val="0"/>
        <w:autoSpaceDN w:val="0"/>
        <w:ind w:firstLine="720"/>
        <w:rPr>
          <w:rFonts w:eastAsia="Times New Roman" w:cs="Times New Roman"/>
          <w:color w:val="000000"/>
        </w:rPr>
      </w:pPr>
      <w:r w:rsidRPr="00B577C1">
        <w:rPr>
          <w:rFonts w:eastAsia="Times New Roman" w:cs="Times New Roman"/>
          <w:color w:val="000000"/>
        </w:rPr>
        <w:t>Washington, D.C. 20002</w:t>
      </w:r>
    </w:p>
    <w:p w14:paraId="5A87047F" w14:textId="77777777" w:rsidR="00DF616E" w:rsidRPr="00B577C1" w:rsidRDefault="00DF616E" w:rsidP="00DF616E">
      <w:pPr>
        <w:autoSpaceDE w:val="0"/>
        <w:autoSpaceDN w:val="0"/>
        <w:ind w:firstLine="720"/>
        <w:rPr>
          <w:rFonts w:eastAsia="Times New Roman" w:cs="Times New Roman"/>
          <w:color w:val="000000"/>
        </w:rPr>
      </w:pPr>
      <w:r w:rsidRPr="00B577C1">
        <w:rPr>
          <w:rFonts w:eastAsia="Times New Roman" w:cs="Times New Roman"/>
          <w:color w:val="000000"/>
        </w:rPr>
        <w:t>Tel.: (202) 249-6400</w:t>
      </w:r>
    </w:p>
    <w:p w14:paraId="08C458AD" w14:textId="77777777" w:rsidR="00DF616E" w:rsidRDefault="00DF616E" w:rsidP="00DF616E">
      <w:pPr>
        <w:autoSpaceDE w:val="0"/>
        <w:autoSpaceDN w:val="0"/>
        <w:ind w:firstLine="720"/>
        <w:rPr>
          <w:rFonts w:eastAsia="Times New Roman" w:cs="Times New Roman"/>
          <w:color w:val="000000"/>
        </w:rPr>
      </w:pPr>
      <w:r w:rsidRPr="00B577C1">
        <w:rPr>
          <w:rFonts w:eastAsia="Times New Roman" w:cs="Times New Roman"/>
          <w:color w:val="000000"/>
        </w:rPr>
        <w:t xml:space="preserve">E-mail: </w:t>
      </w:r>
      <w:hyperlink r:id="rId22" w:history="1">
        <w:r w:rsidRPr="00B577C1">
          <w:rPr>
            <w:rStyle w:val="Hyperlink"/>
            <w:rFonts w:eastAsia="Times New Roman" w:cs="Times New Roman"/>
          </w:rPr>
          <w:t>mike_walls@americanchemistry.com</w:t>
        </w:r>
      </w:hyperlink>
      <w:r>
        <w:rPr>
          <w:rFonts w:eastAsia="Times New Roman" w:cs="Times New Roman"/>
          <w:color w:val="000000"/>
        </w:rPr>
        <w:t xml:space="preserve"> </w:t>
      </w:r>
    </w:p>
    <w:p w14:paraId="6F8AA4D5" w14:textId="77777777" w:rsidR="00DF616E" w:rsidRDefault="00DF616E" w:rsidP="00DF616E">
      <w:pPr>
        <w:autoSpaceDE w:val="0"/>
        <w:autoSpaceDN w:val="0"/>
        <w:ind w:firstLine="720"/>
        <w:rPr>
          <w:rFonts w:eastAsia="Times New Roman" w:cs="Times New Roman"/>
          <w:color w:val="000000"/>
        </w:rPr>
      </w:pPr>
    </w:p>
    <w:p w14:paraId="34E2843A" w14:textId="77777777" w:rsidR="00DF616E" w:rsidRDefault="00DF616E" w:rsidP="00DF616E">
      <w:pPr>
        <w:autoSpaceDE w:val="0"/>
        <w:autoSpaceDN w:val="0"/>
        <w:ind w:firstLine="720"/>
        <w:rPr>
          <w:rFonts w:eastAsia="Times New Roman" w:cs="Times New Roman"/>
          <w:color w:val="000000"/>
        </w:rPr>
      </w:pPr>
      <w:r w:rsidRPr="002210DA">
        <w:rPr>
          <w:rFonts w:eastAsia="Times New Roman" w:cs="Times New Roman"/>
          <w:color w:val="000000"/>
        </w:rPr>
        <w:t>Kat</w:t>
      </w:r>
      <w:r>
        <w:rPr>
          <w:rFonts w:eastAsia="Times New Roman" w:cs="Times New Roman"/>
          <w:color w:val="000000"/>
        </w:rPr>
        <w:t>hleen Stanton, Senior Director</w:t>
      </w:r>
    </w:p>
    <w:p w14:paraId="70F780DB" w14:textId="77777777" w:rsidR="00DF616E" w:rsidRPr="002210DA" w:rsidRDefault="00DF616E" w:rsidP="00DF616E">
      <w:pPr>
        <w:autoSpaceDE w:val="0"/>
        <w:autoSpaceDN w:val="0"/>
        <w:ind w:firstLine="720"/>
        <w:rPr>
          <w:rFonts w:eastAsia="Times New Roman" w:cs="Times New Roman"/>
          <w:color w:val="000000"/>
        </w:rPr>
      </w:pPr>
      <w:r w:rsidRPr="002210DA">
        <w:rPr>
          <w:rFonts w:eastAsia="Times New Roman" w:cs="Times New Roman"/>
          <w:color w:val="000000"/>
        </w:rPr>
        <w:t xml:space="preserve">Technical and Regulatory Affairs </w:t>
      </w:r>
    </w:p>
    <w:p w14:paraId="62173EF4" w14:textId="77777777" w:rsidR="00DF616E" w:rsidRPr="002210DA" w:rsidRDefault="00DF616E" w:rsidP="00DF616E">
      <w:pPr>
        <w:autoSpaceDE w:val="0"/>
        <w:autoSpaceDN w:val="0"/>
        <w:ind w:firstLine="720"/>
        <w:rPr>
          <w:rFonts w:eastAsia="Times New Roman" w:cs="Times New Roman"/>
          <w:color w:val="000000"/>
        </w:rPr>
      </w:pPr>
      <w:r w:rsidRPr="002210DA">
        <w:rPr>
          <w:rFonts w:eastAsia="Times New Roman" w:cs="Times New Roman"/>
          <w:color w:val="000000"/>
        </w:rPr>
        <w:t xml:space="preserve">American Cleaning Institute </w:t>
      </w:r>
    </w:p>
    <w:p w14:paraId="30D6F7F9" w14:textId="77777777" w:rsidR="00DF616E" w:rsidRPr="002210DA" w:rsidRDefault="00DF616E" w:rsidP="00DF616E">
      <w:pPr>
        <w:autoSpaceDE w:val="0"/>
        <w:autoSpaceDN w:val="0"/>
        <w:ind w:firstLine="720"/>
        <w:rPr>
          <w:rFonts w:eastAsia="Times New Roman" w:cs="Times New Roman"/>
          <w:color w:val="000000"/>
        </w:rPr>
      </w:pPr>
      <w:r w:rsidRPr="002210DA">
        <w:rPr>
          <w:rFonts w:eastAsia="Times New Roman" w:cs="Times New Roman"/>
          <w:color w:val="000000"/>
        </w:rPr>
        <w:t>1331 L Street N.W., Suite 650</w:t>
      </w:r>
    </w:p>
    <w:p w14:paraId="41F3E36C" w14:textId="77777777" w:rsidR="00DF616E" w:rsidRPr="002210DA" w:rsidRDefault="00DF616E" w:rsidP="00DF616E">
      <w:pPr>
        <w:autoSpaceDE w:val="0"/>
        <w:autoSpaceDN w:val="0"/>
        <w:ind w:firstLine="720"/>
        <w:rPr>
          <w:rFonts w:eastAsia="Times New Roman" w:cs="Times New Roman"/>
          <w:color w:val="000000"/>
        </w:rPr>
      </w:pPr>
      <w:r w:rsidRPr="002210DA">
        <w:rPr>
          <w:rFonts w:eastAsia="Times New Roman" w:cs="Times New Roman"/>
          <w:color w:val="000000"/>
        </w:rPr>
        <w:t>Washington, D.C. 20005</w:t>
      </w:r>
    </w:p>
    <w:p w14:paraId="44688984" w14:textId="77777777" w:rsidR="00DF616E" w:rsidRPr="00B3552E" w:rsidRDefault="00DF616E" w:rsidP="00DF616E">
      <w:pPr>
        <w:autoSpaceDE w:val="0"/>
        <w:autoSpaceDN w:val="0"/>
        <w:ind w:firstLine="720"/>
        <w:rPr>
          <w:rFonts w:eastAsia="Times New Roman" w:cs="Times New Roman"/>
          <w:color w:val="000000"/>
          <w:lang w:val="fr-FR"/>
        </w:rPr>
      </w:pPr>
      <w:r w:rsidRPr="00B3552E">
        <w:rPr>
          <w:rFonts w:eastAsia="Times New Roman" w:cs="Times New Roman"/>
          <w:color w:val="000000"/>
          <w:lang w:val="fr-FR"/>
        </w:rPr>
        <w:t>Tel: (202) 662-2513</w:t>
      </w:r>
    </w:p>
    <w:p w14:paraId="79705A47" w14:textId="779D1292" w:rsidR="00DF616E" w:rsidRPr="00B3552E" w:rsidRDefault="00DF616E" w:rsidP="00DF616E">
      <w:pPr>
        <w:autoSpaceDE w:val="0"/>
        <w:autoSpaceDN w:val="0"/>
        <w:ind w:firstLine="720"/>
        <w:rPr>
          <w:rFonts w:eastAsia="Times New Roman" w:cs="Times New Roman"/>
          <w:color w:val="000000"/>
          <w:lang w:val="fr-FR"/>
        </w:rPr>
      </w:pPr>
      <w:r w:rsidRPr="00B3552E">
        <w:rPr>
          <w:rFonts w:eastAsia="Times New Roman" w:cs="Times New Roman"/>
          <w:color w:val="000000"/>
          <w:lang w:val="fr-FR"/>
        </w:rPr>
        <w:t xml:space="preserve">E-mail: </w:t>
      </w:r>
      <w:hyperlink r:id="rId23" w:history="1">
        <w:r w:rsidR="00B3552E" w:rsidRPr="00863BBC">
          <w:rPr>
            <w:rStyle w:val="Hyperlink"/>
            <w:rFonts w:eastAsia="Times New Roman" w:cs="Times New Roman"/>
            <w:lang w:val="fr-FR"/>
          </w:rPr>
          <w:t>kstanton@cleaninginstitute.org</w:t>
        </w:r>
      </w:hyperlink>
      <w:r w:rsidRPr="00B3552E">
        <w:rPr>
          <w:rFonts w:eastAsia="Times New Roman" w:cs="Times New Roman"/>
          <w:color w:val="000000"/>
          <w:lang w:val="fr-FR"/>
        </w:rPr>
        <w:t xml:space="preserve"> </w:t>
      </w:r>
    </w:p>
    <w:p w14:paraId="66444103" w14:textId="77777777" w:rsidR="00DF616E" w:rsidRPr="00B3552E" w:rsidRDefault="00DF616E" w:rsidP="00DF616E">
      <w:pPr>
        <w:autoSpaceDE w:val="0"/>
        <w:autoSpaceDN w:val="0"/>
        <w:rPr>
          <w:rFonts w:eastAsia="Times New Roman" w:cs="Times New Roman"/>
          <w:color w:val="000000"/>
          <w:lang w:val="fr-FR"/>
        </w:rPr>
      </w:pPr>
    </w:p>
    <w:p w14:paraId="637F0D98" w14:textId="77777777" w:rsidR="00DF616E" w:rsidRDefault="00DF616E" w:rsidP="00DF616E">
      <w:pPr>
        <w:autoSpaceDE w:val="0"/>
        <w:autoSpaceDN w:val="0"/>
        <w:ind w:firstLine="720"/>
        <w:rPr>
          <w:rFonts w:eastAsia="Times New Roman" w:cs="Times New Roman"/>
          <w:color w:val="000000"/>
        </w:rPr>
      </w:pPr>
      <w:r w:rsidRPr="00E06129">
        <w:rPr>
          <w:rFonts w:eastAsia="Times New Roman" w:cs="Times New Roman"/>
          <w:color w:val="000000"/>
        </w:rPr>
        <w:t>Derek Swick, Senior Policy Advisor</w:t>
      </w:r>
    </w:p>
    <w:p w14:paraId="1C396394" w14:textId="77777777" w:rsidR="00DF616E" w:rsidRPr="00EE3FF8" w:rsidRDefault="00DF616E" w:rsidP="00DF616E">
      <w:pPr>
        <w:autoSpaceDE w:val="0"/>
        <w:autoSpaceDN w:val="0"/>
        <w:ind w:firstLine="720"/>
        <w:rPr>
          <w:rFonts w:eastAsia="Times New Roman" w:cs="Times New Roman"/>
          <w:color w:val="000000"/>
        </w:rPr>
      </w:pPr>
      <w:r w:rsidRPr="00EE3FF8">
        <w:rPr>
          <w:rFonts w:eastAsia="Times New Roman" w:cs="Times New Roman"/>
          <w:color w:val="000000"/>
        </w:rPr>
        <w:t>Regulatory and Scientific Affairs</w:t>
      </w:r>
    </w:p>
    <w:p w14:paraId="60ADD2B2" w14:textId="77777777" w:rsidR="00DF616E" w:rsidRPr="00EE3FF8" w:rsidRDefault="00DF616E" w:rsidP="00DF616E">
      <w:pPr>
        <w:autoSpaceDE w:val="0"/>
        <w:autoSpaceDN w:val="0"/>
        <w:ind w:firstLine="720"/>
        <w:rPr>
          <w:rFonts w:eastAsia="Times New Roman" w:cs="Times New Roman"/>
          <w:color w:val="000000"/>
        </w:rPr>
      </w:pPr>
      <w:r w:rsidRPr="00EE3FF8">
        <w:rPr>
          <w:rFonts w:eastAsia="Times New Roman" w:cs="Times New Roman"/>
          <w:color w:val="000000"/>
        </w:rPr>
        <w:t>American Petroleum Institute</w:t>
      </w:r>
    </w:p>
    <w:p w14:paraId="0778DDC5" w14:textId="77777777" w:rsidR="00DF616E" w:rsidRPr="00EE3FF8" w:rsidRDefault="00DF616E" w:rsidP="00DF616E">
      <w:pPr>
        <w:autoSpaceDE w:val="0"/>
        <w:autoSpaceDN w:val="0"/>
        <w:ind w:firstLine="720"/>
        <w:rPr>
          <w:rFonts w:eastAsia="Times New Roman" w:cs="Times New Roman"/>
          <w:color w:val="000000"/>
        </w:rPr>
      </w:pPr>
      <w:r w:rsidRPr="00EE3FF8">
        <w:rPr>
          <w:rFonts w:eastAsia="Times New Roman" w:cs="Times New Roman"/>
          <w:color w:val="000000"/>
        </w:rPr>
        <w:t>1220 L Street N.W.</w:t>
      </w:r>
    </w:p>
    <w:p w14:paraId="42E07FA5" w14:textId="77777777" w:rsidR="00DF616E" w:rsidRPr="00EE3FF8" w:rsidRDefault="00DF616E" w:rsidP="00DF616E">
      <w:pPr>
        <w:autoSpaceDE w:val="0"/>
        <w:autoSpaceDN w:val="0"/>
        <w:ind w:firstLine="720"/>
        <w:rPr>
          <w:rFonts w:eastAsia="Times New Roman" w:cs="Times New Roman"/>
          <w:color w:val="000000"/>
        </w:rPr>
      </w:pPr>
      <w:r w:rsidRPr="00EE3FF8">
        <w:rPr>
          <w:rFonts w:eastAsia="Times New Roman" w:cs="Times New Roman"/>
          <w:color w:val="000000"/>
        </w:rPr>
        <w:t>Washington, D.C. 20005-4070</w:t>
      </w:r>
    </w:p>
    <w:p w14:paraId="398DB5CF" w14:textId="77777777" w:rsidR="00DF616E" w:rsidRPr="00EE3FF8" w:rsidRDefault="00DF616E" w:rsidP="00DF616E">
      <w:pPr>
        <w:autoSpaceDE w:val="0"/>
        <w:autoSpaceDN w:val="0"/>
        <w:ind w:firstLine="720"/>
        <w:rPr>
          <w:rFonts w:eastAsia="Times New Roman" w:cs="Times New Roman"/>
          <w:color w:val="000000"/>
        </w:rPr>
      </w:pPr>
      <w:r w:rsidRPr="00EE3FF8">
        <w:rPr>
          <w:rFonts w:eastAsia="Times New Roman" w:cs="Times New Roman"/>
          <w:color w:val="000000"/>
        </w:rPr>
        <w:t>Tel.: (202) 682-8341</w:t>
      </w:r>
    </w:p>
    <w:p w14:paraId="0C848A03" w14:textId="602D6188" w:rsidR="00DF616E" w:rsidRPr="00EE3FF8" w:rsidRDefault="00DF616E" w:rsidP="00DF616E">
      <w:pPr>
        <w:autoSpaceDE w:val="0"/>
        <w:autoSpaceDN w:val="0"/>
        <w:ind w:firstLine="720"/>
        <w:rPr>
          <w:rFonts w:eastAsia="Times New Roman" w:cs="Times New Roman"/>
          <w:color w:val="000000"/>
        </w:rPr>
      </w:pPr>
      <w:r w:rsidRPr="00EE3FF8">
        <w:rPr>
          <w:rFonts w:eastAsia="Times New Roman" w:cs="Times New Roman"/>
          <w:color w:val="000000"/>
        </w:rPr>
        <w:t xml:space="preserve">E-mail: </w:t>
      </w:r>
      <w:hyperlink r:id="rId24" w:history="1">
        <w:r w:rsidR="00B3552E" w:rsidRPr="00863BBC">
          <w:rPr>
            <w:rStyle w:val="Hyperlink"/>
            <w:rFonts w:eastAsia="Times New Roman" w:cs="Times New Roman"/>
          </w:rPr>
          <w:t>swickd@api.org</w:t>
        </w:r>
      </w:hyperlink>
      <w:r w:rsidR="00B3552E">
        <w:rPr>
          <w:rFonts w:eastAsia="Times New Roman" w:cs="Times New Roman"/>
          <w:color w:val="000000"/>
        </w:rPr>
        <w:t xml:space="preserve"> </w:t>
      </w:r>
    </w:p>
    <w:p w14:paraId="53AF5753" w14:textId="77777777" w:rsidR="00DF616E" w:rsidRDefault="00DF616E" w:rsidP="00DF616E">
      <w:pPr>
        <w:autoSpaceDE w:val="0"/>
        <w:autoSpaceDN w:val="0"/>
        <w:ind w:firstLine="720"/>
        <w:rPr>
          <w:rFonts w:eastAsia="Times New Roman" w:cs="Times New Roman"/>
          <w:color w:val="000000"/>
        </w:rPr>
      </w:pPr>
    </w:p>
    <w:p w14:paraId="08B5FAE0" w14:textId="77777777" w:rsidR="00DF616E" w:rsidRPr="00E06129" w:rsidRDefault="00DF616E" w:rsidP="00DF616E">
      <w:pPr>
        <w:autoSpaceDE w:val="0"/>
        <w:autoSpaceDN w:val="0"/>
        <w:ind w:firstLine="720"/>
        <w:rPr>
          <w:rFonts w:eastAsia="Times New Roman" w:cs="Times New Roman"/>
          <w:color w:val="000000"/>
        </w:rPr>
      </w:pPr>
      <w:r w:rsidRPr="00E06129">
        <w:rPr>
          <w:rFonts w:eastAsia="Times New Roman" w:cs="Times New Roman"/>
          <w:color w:val="000000"/>
        </w:rPr>
        <w:t xml:space="preserve">David Wawer, Executive Director </w:t>
      </w:r>
    </w:p>
    <w:p w14:paraId="4866102F" w14:textId="77777777" w:rsidR="00DF616E" w:rsidRPr="00E06129" w:rsidRDefault="00DF616E" w:rsidP="00DF616E">
      <w:pPr>
        <w:autoSpaceDE w:val="0"/>
        <w:autoSpaceDN w:val="0"/>
        <w:ind w:left="720"/>
        <w:rPr>
          <w:rFonts w:eastAsia="Times New Roman" w:cs="Times New Roman"/>
          <w:color w:val="000000"/>
        </w:rPr>
      </w:pPr>
      <w:r w:rsidRPr="00E06129">
        <w:rPr>
          <w:rFonts w:eastAsia="Times New Roman" w:cs="Times New Roman"/>
          <w:color w:val="000000"/>
        </w:rPr>
        <w:t>Color Pigments Manufacturers Association</w:t>
      </w:r>
    </w:p>
    <w:p w14:paraId="0E87A661" w14:textId="77777777" w:rsidR="00DF616E" w:rsidRPr="00E91422" w:rsidRDefault="00DF616E" w:rsidP="00DF616E">
      <w:pPr>
        <w:autoSpaceDE w:val="0"/>
        <w:autoSpaceDN w:val="0"/>
        <w:ind w:firstLine="720"/>
        <w:rPr>
          <w:rFonts w:eastAsia="Times New Roman" w:cs="Times New Roman"/>
          <w:color w:val="000000"/>
        </w:rPr>
      </w:pPr>
      <w:r w:rsidRPr="00E91422">
        <w:rPr>
          <w:rFonts w:eastAsia="Times New Roman" w:cs="Times New Roman"/>
          <w:color w:val="000000"/>
        </w:rPr>
        <w:t>1400 Crystal Drive,</w:t>
      </w:r>
    </w:p>
    <w:p w14:paraId="05069FC6" w14:textId="77777777" w:rsidR="00DF616E" w:rsidRPr="00B3552E" w:rsidRDefault="00DF616E" w:rsidP="00DF616E">
      <w:pPr>
        <w:autoSpaceDE w:val="0"/>
        <w:autoSpaceDN w:val="0"/>
        <w:ind w:firstLine="720"/>
        <w:rPr>
          <w:rFonts w:eastAsia="Times New Roman" w:cs="Times New Roman"/>
          <w:color w:val="000000"/>
          <w:lang w:val="fr-FR"/>
        </w:rPr>
      </w:pPr>
      <w:r w:rsidRPr="00B3552E">
        <w:rPr>
          <w:rFonts w:eastAsia="Times New Roman" w:cs="Times New Roman"/>
          <w:color w:val="000000"/>
          <w:lang w:val="fr-FR"/>
        </w:rPr>
        <w:t>Suite 630</w:t>
      </w:r>
    </w:p>
    <w:p w14:paraId="6A2C1BCF" w14:textId="77777777" w:rsidR="00DF616E" w:rsidRPr="00B3552E" w:rsidRDefault="00DF616E" w:rsidP="00DF616E">
      <w:pPr>
        <w:autoSpaceDE w:val="0"/>
        <w:autoSpaceDN w:val="0"/>
        <w:ind w:firstLine="720"/>
        <w:rPr>
          <w:rFonts w:eastAsia="Times New Roman" w:cs="Times New Roman"/>
          <w:color w:val="000000"/>
          <w:lang w:val="fr-FR"/>
        </w:rPr>
      </w:pPr>
      <w:r w:rsidRPr="00B3552E">
        <w:rPr>
          <w:rFonts w:eastAsia="Times New Roman" w:cs="Times New Roman"/>
          <w:color w:val="000000"/>
          <w:lang w:val="fr-FR"/>
        </w:rPr>
        <w:t xml:space="preserve">Arlington, VA 22202 </w:t>
      </w:r>
    </w:p>
    <w:p w14:paraId="3933CCD6" w14:textId="77777777" w:rsidR="00DF616E" w:rsidRPr="00B3552E" w:rsidRDefault="00DF616E" w:rsidP="00DF616E">
      <w:pPr>
        <w:autoSpaceDE w:val="0"/>
        <w:autoSpaceDN w:val="0"/>
        <w:ind w:firstLine="720"/>
        <w:rPr>
          <w:rFonts w:eastAsia="Times New Roman" w:cs="Times New Roman"/>
          <w:color w:val="000000"/>
          <w:lang w:val="fr-FR"/>
        </w:rPr>
      </w:pPr>
      <w:r w:rsidRPr="00B3552E">
        <w:rPr>
          <w:rFonts w:eastAsia="Times New Roman" w:cs="Times New Roman"/>
          <w:color w:val="000000"/>
          <w:lang w:val="fr-FR"/>
        </w:rPr>
        <w:t xml:space="preserve">Tel: (571) 348-5130 </w:t>
      </w:r>
    </w:p>
    <w:p w14:paraId="1345F228" w14:textId="77777777" w:rsidR="00DF616E" w:rsidRPr="00B3552E" w:rsidRDefault="00DF616E" w:rsidP="00DF616E">
      <w:pPr>
        <w:autoSpaceDE w:val="0"/>
        <w:autoSpaceDN w:val="0"/>
        <w:ind w:firstLine="720"/>
        <w:rPr>
          <w:rFonts w:eastAsia="Times New Roman" w:cs="Times New Roman"/>
          <w:color w:val="000000"/>
          <w:lang w:val="fr-FR"/>
        </w:rPr>
      </w:pPr>
      <w:r w:rsidRPr="00B3552E">
        <w:rPr>
          <w:rFonts w:eastAsia="Times New Roman" w:cs="Times New Roman"/>
          <w:color w:val="000000"/>
          <w:lang w:val="fr-FR"/>
        </w:rPr>
        <w:t xml:space="preserve">E-mail: </w:t>
      </w:r>
      <w:hyperlink r:id="rId25" w:history="1">
        <w:r w:rsidRPr="00B3552E">
          <w:rPr>
            <w:rStyle w:val="Hyperlink"/>
            <w:rFonts w:eastAsia="Times New Roman" w:cs="Times New Roman"/>
            <w:lang w:val="fr-FR"/>
          </w:rPr>
          <w:t>Davidwawer@cpma.com</w:t>
        </w:r>
      </w:hyperlink>
      <w:r w:rsidRPr="00B3552E">
        <w:rPr>
          <w:rFonts w:eastAsia="Times New Roman" w:cs="Times New Roman"/>
          <w:color w:val="000000"/>
          <w:lang w:val="fr-FR"/>
        </w:rPr>
        <w:t xml:space="preserve"> </w:t>
      </w:r>
    </w:p>
    <w:p w14:paraId="7D6795C9" w14:textId="77777777" w:rsidR="00DF616E" w:rsidRPr="00B3552E" w:rsidRDefault="00DF616E" w:rsidP="00DF616E">
      <w:pPr>
        <w:autoSpaceDE w:val="0"/>
        <w:autoSpaceDN w:val="0"/>
        <w:ind w:firstLine="720"/>
        <w:rPr>
          <w:rFonts w:eastAsia="Times New Roman" w:cs="Times New Roman"/>
          <w:color w:val="000000"/>
          <w:lang w:val="fr-FR"/>
        </w:rPr>
      </w:pPr>
    </w:p>
    <w:p w14:paraId="09EA3523" w14:textId="77777777" w:rsidR="00DF616E" w:rsidRDefault="00DF616E" w:rsidP="00DF616E">
      <w:pPr>
        <w:autoSpaceDE w:val="0"/>
        <w:autoSpaceDN w:val="0"/>
        <w:ind w:firstLine="720"/>
        <w:rPr>
          <w:rFonts w:eastAsia="Times New Roman" w:cs="Times New Roman"/>
          <w:color w:val="000000"/>
        </w:rPr>
      </w:pPr>
      <w:r>
        <w:rPr>
          <w:rFonts w:eastAsia="Times New Roman" w:cs="Times New Roman"/>
          <w:color w:val="000000"/>
        </w:rPr>
        <w:t>Steve Bennet, Vice President</w:t>
      </w:r>
    </w:p>
    <w:p w14:paraId="79052F97" w14:textId="77777777" w:rsidR="00DF616E" w:rsidRPr="002210DA" w:rsidRDefault="00DF616E" w:rsidP="00DF616E">
      <w:pPr>
        <w:autoSpaceDE w:val="0"/>
        <w:autoSpaceDN w:val="0"/>
        <w:ind w:firstLine="720"/>
        <w:rPr>
          <w:rFonts w:eastAsia="Times New Roman" w:cs="Times New Roman"/>
          <w:color w:val="000000"/>
        </w:rPr>
      </w:pPr>
      <w:r>
        <w:rPr>
          <w:rFonts w:eastAsia="Times New Roman" w:cs="Times New Roman"/>
          <w:color w:val="000000"/>
        </w:rPr>
        <w:t xml:space="preserve">Scientific Affairs </w:t>
      </w:r>
    </w:p>
    <w:p w14:paraId="56FFB6AE" w14:textId="77777777" w:rsidR="00DF616E" w:rsidRPr="002210DA" w:rsidRDefault="00DF616E" w:rsidP="00DF616E">
      <w:pPr>
        <w:autoSpaceDE w:val="0"/>
        <w:autoSpaceDN w:val="0"/>
        <w:ind w:firstLine="720"/>
        <w:rPr>
          <w:rFonts w:eastAsia="Times New Roman" w:cs="Times New Roman"/>
          <w:color w:val="000000"/>
        </w:rPr>
      </w:pPr>
      <w:r w:rsidRPr="002210DA">
        <w:rPr>
          <w:rFonts w:eastAsia="Times New Roman" w:cs="Times New Roman"/>
          <w:color w:val="000000"/>
        </w:rPr>
        <w:t xml:space="preserve">Household and Commercial Products Association  </w:t>
      </w:r>
    </w:p>
    <w:p w14:paraId="2B1010BF" w14:textId="77777777" w:rsidR="00DF616E" w:rsidRPr="002210DA" w:rsidRDefault="00DF616E" w:rsidP="00DF616E">
      <w:pPr>
        <w:autoSpaceDE w:val="0"/>
        <w:autoSpaceDN w:val="0"/>
        <w:ind w:firstLine="720"/>
        <w:rPr>
          <w:rFonts w:eastAsia="Times New Roman" w:cs="Times New Roman"/>
          <w:color w:val="000000"/>
        </w:rPr>
      </w:pPr>
      <w:r w:rsidRPr="002210DA">
        <w:rPr>
          <w:rFonts w:eastAsia="Times New Roman" w:cs="Times New Roman"/>
          <w:color w:val="000000"/>
        </w:rPr>
        <w:t>1667 K Street N.W., Suite 300</w:t>
      </w:r>
    </w:p>
    <w:p w14:paraId="225F3991" w14:textId="77777777" w:rsidR="00DF616E" w:rsidRPr="002210DA" w:rsidRDefault="00DF616E" w:rsidP="00DF616E">
      <w:pPr>
        <w:autoSpaceDE w:val="0"/>
        <w:autoSpaceDN w:val="0"/>
        <w:ind w:firstLine="720"/>
        <w:rPr>
          <w:rFonts w:eastAsia="Times New Roman" w:cs="Times New Roman"/>
          <w:color w:val="000000"/>
        </w:rPr>
      </w:pPr>
      <w:r w:rsidRPr="002210DA">
        <w:rPr>
          <w:rFonts w:eastAsia="Times New Roman" w:cs="Times New Roman"/>
          <w:color w:val="000000"/>
        </w:rPr>
        <w:t>Washington, D.C. 20006</w:t>
      </w:r>
    </w:p>
    <w:p w14:paraId="3A3042C6" w14:textId="77777777" w:rsidR="00DF616E" w:rsidRPr="002210DA" w:rsidRDefault="00DF616E" w:rsidP="00DF616E">
      <w:pPr>
        <w:autoSpaceDE w:val="0"/>
        <w:autoSpaceDN w:val="0"/>
        <w:ind w:firstLine="720"/>
        <w:rPr>
          <w:rFonts w:eastAsia="Times New Roman" w:cs="Times New Roman"/>
          <w:color w:val="000000"/>
        </w:rPr>
      </w:pPr>
      <w:r w:rsidRPr="002210DA">
        <w:rPr>
          <w:rFonts w:eastAsia="Times New Roman" w:cs="Times New Roman"/>
          <w:color w:val="000000"/>
        </w:rPr>
        <w:t xml:space="preserve">Tel: (202) 833-7330 </w:t>
      </w:r>
    </w:p>
    <w:p w14:paraId="687E6A43" w14:textId="77777777" w:rsidR="00DF616E" w:rsidRDefault="00DF616E" w:rsidP="00DF616E">
      <w:pPr>
        <w:autoSpaceDE w:val="0"/>
        <w:autoSpaceDN w:val="0"/>
        <w:ind w:firstLine="720"/>
        <w:rPr>
          <w:rFonts w:eastAsia="Times New Roman" w:cs="Times New Roman"/>
          <w:color w:val="000000"/>
        </w:rPr>
      </w:pPr>
      <w:r w:rsidRPr="002210DA">
        <w:rPr>
          <w:rFonts w:eastAsia="Times New Roman" w:cs="Times New Roman"/>
          <w:color w:val="000000"/>
        </w:rPr>
        <w:t xml:space="preserve">E-mail: </w:t>
      </w:r>
      <w:hyperlink r:id="rId26" w:history="1">
        <w:r w:rsidRPr="00063AA8">
          <w:rPr>
            <w:rStyle w:val="Hyperlink"/>
            <w:rFonts w:eastAsia="Times New Roman" w:cs="Times New Roman"/>
          </w:rPr>
          <w:t>Steve.bennett@thehcpa.org</w:t>
        </w:r>
      </w:hyperlink>
      <w:r>
        <w:rPr>
          <w:rFonts w:eastAsia="Times New Roman" w:cs="Times New Roman"/>
          <w:color w:val="000000"/>
        </w:rPr>
        <w:t xml:space="preserve"> </w:t>
      </w:r>
    </w:p>
    <w:p w14:paraId="54BF7F5B" w14:textId="77777777" w:rsidR="00DF616E" w:rsidRPr="00EE3FF8" w:rsidRDefault="00DF616E" w:rsidP="00DF616E">
      <w:pPr>
        <w:autoSpaceDE w:val="0"/>
        <w:autoSpaceDN w:val="0"/>
        <w:rPr>
          <w:rFonts w:eastAsia="Times New Roman" w:cs="Times New Roman"/>
          <w:color w:val="000000"/>
        </w:rPr>
      </w:pPr>
    </w:p>
    <w:p w14:paraId="518598EE" w14:textId="77777777" w:rsidR="00DF616E" w:rsidRPr="00B577C1" w:rsidRDefault="00DF616E" w:rsidP="00DF616E">
      <w:pPr>
        <w:autoSpaceDE w:val="0"/>
        <w:autoSpaceDN w:val="0"/>
        <w:ind w:firstLine="720"/>
        <w:rPr>
          <w:rFonts w:eastAsia="Times New Roman" w:cs="Times New Roman"/>
          <w:color w:val="000000"/>
        </w:rPr>
      </w:pPr>
      <w:r w:rsidRPr="00B577C1">
        <w:rPr>
          <w:rFonts w:eastAsia="Times New Roman" w:cs="Times New Roman"/>
          <w:color w:val="000000"/>
        </w:rPr>
        <w:t>Bruce Watzman</w:t>
      </w:r>
      <w:r>
        <w:rPr>
          <w:rFonts w:eastAsia="Times New Roman" w:cs="Times New Roman"/>
          <w:color w:val="000000"/>
        </w:rPr>
        <w:t xml:space="preserve">, </w:t>
      </w:r>
      <w:r w:rsidRPr="00B577C1">
        <w:rPr>
          <w:rFonts w:eastAsia="Times New Roman" w:cs="Times New Roman"/>
          <w:color w:val="000000"/>
        </w:rPr>
        <w:t>Senior Vice President</w:t>
      </w:r>
    </w:p>
    <w:p w14:paraId="0D48B842" w14:textId="77777777" w:rsidR="00DF616E" w:rsidRPr="00B577C1" w:rsidRDefault="00DF616E" w:rsidP="00DF616E">
      <w:pPr>
        <w:autoSpaceDE w:val="0"/>
        <w:autoSpaceDN w:val="0"/>
        <w:ind w:firstLine="720"/>
        <w:rPr>
          <w:rFonts w:eastAsia="Times New Roman" w:cs="Times New Roman"/>
          <w:color w:val="000000"/>
        </w:rPr>
      </w:pPr>
      <w:r w:rsidRPr="00B577C1">
        <w:rPr>
          <w:rFonts w:eastAsia="Times New Roman" w:cs="Times New Roman"/>
          <w:color w:val="000000"/>
        </w:rPr>
        <w:t>Regulatory Affairs</w:t>
      </w:r>
    </w:p>
    <w:p w14:paraId="39D16EA1" w14:textId="77777777" w:rsidR="00DF616E" w:rsidRPr="00B577C1" w:rsidRDefault="00DF616E" w:rsidP="00DF616E">
      <w:pPr>
        <w:autoSpaceDE w:val="0"/>
        <w:autoSpaceDN w:val="0"/>
        <w:ind w:firstLine="720"/>
        <w:rPr>
          <w:rFonts w:eastAsia="Times New Roman" w:cs="Times New Roman"/>
          <w:color w:val="000000"/>
        </w:rPr>
      </w:pPr>
      <w:r w:rsidRPr="00B577C1">
        <w:rPr>
          <w:rFonts w:eastAsia="Times New Roman" w:cs="Times New Roman"/>
          <w:color w:val="000000"/>
        </w:rPr>
        <w:t>National Mining Association</w:t>
      </w:r>
    </w:p>
    <w:p w14:paraId="328DE83C" w14:textId="77777777" w:rsidR="00DF616E" w:rsidRPr="00B577C1" w:rsidRDefault="00DF616E" w:rsidP="00DF616E">
      <w:pPr>
        <w:autoSpaceDE w:val="0"/>
        <w:autoSpaceDN w:val="0"/>
        <w:ind w:firstLine="720"/>
        <w:rPr>
          <w:rFonts w:eastAsia="Times New Roman" w:cs="Times New Roman"/>
          <w:color w:val="000000"/>
        </w:rPr>
      </w:pPr>
      <w:r w:rsidRPr="00B577C1">
        <w:rPr>
          <w:rFonts w:eastAsia="Times New Roman" w:cs="Times New Roman"/>
          <w:color w:val="000000"/>
        </w:rPr>
        <w:t>101 Constitution Avenue N.W., Suite 500 East</w:t>
      </w:r>
    </w:p>
    <w:p w14:paraId="09132629" w14:textId="77777777" w:rsidR="00DF616E" w:rsidRPr="00B577C1" w:rsidRDefault="00DF616E" w:rsidP="00DF616E">
      <w:pPr>
        <w:autoSpaceDE w:val="0"/>
        <w:autoSpaceDN w:val="0"/>
        <w:ind w:firstLine="720"/>
        <w:rPr>
          <w:rFonts w:eastAsia="Times New Roman" w:cs="Times New Roman"/>
          <w:color w:val="000000"/>
        </w:rPr>
      </w:pPr>
      <w:r w:rsidRPr="00B577C1">
        <w:rPr>
          <w:rFonts w:eastAsia="Times New Roman" w:cs="Times New Roman"/>
          <w:color w:val="000000"/>
        </w:rPr>
        <w:t>Washington, D.C. 20001</w:t>
      </w:r>
    </w:p>
    <w:p w14:paraId="3EAB96A3" w14:textId="77777777" w:rsidR="00DF616E" w:rsidRPr="00B3552E" w:rsidRDefault="00DF616E" w:rsidP="00DF616E">
      <w:pPr>
        <w:autoSpaceDE w:val="0"/>
        <w:autoSpaceDN w:val="0"/>
        <w:ind w:firstLine="720"/>
        <w:rPr>
          <w:rFonts w:eastAsia="Times New Roman" w:cs="Times New Roman"/>
          <w:color w:val="000000"/>
          <w:lang w:val="fr-FR"/>
        </w:rPr>
      </w:pPr>
      <w:r w:rsidRPr="00B3552E">
        <w:rPr>
          <w:rFonts w:eastAsia="Times New Roman" w:cs="Times New Roman"/>
          <w:color w:val="000000"/>
          <w:lang w:val="fr-FR"/>
        </w:rPr>
        <w:t xml:space="preserve">Tel: (202) 463-2600 </w:t>
      </w:r>
    </w:p>
    <w:p w14:paraId="57BEB757" w14:textId="45BD1C5D" w:rsidR="00DF616E" w:rsidRPr="00B3552E" w:rsidRDefault="00DF616E" w:rsidP="00DF616E">
      <w:pPr>
        <w:autoSpaceDE w:val="0"/>
        <w:autoSpaceDN w:val="0"/>
        <w:ind w:firstLine="720"/>
        <w:rPr>
          <w:rFonts w:eastAsia="Times New Roman" w:cs="Times New Roman"/>
          <w:color w:val="000000"/>
          <w:lang w:val="fr-FR"/>
        </w:rPr>
      </w:pPr>
      <w:r w:rsidRPr="00B3552E">
        <w:rPr>
          <w:rFonts w:eastAsia="Times New Roman" w:cs="Times New Roman"/>
          <w:color w:val="000000"/>
          <w:lang w:val="fr-FR"/>
        </w:rPr>
        <w:t xml:space="preserve">E-mail: </w:t>
      </w:r>
      <w:hyperlink r:id="rId27" w:history="1">
        <w:r w:rsidR="00B3552E" w:rsidRPr="00863BBC">
          <w:rPr>
            <w:rStyle w:val="Hyperlink"/>
            <w:rFonts w:eastAsia="Times New Roman" w:cs="Times New Roman"/>
            <w:lang w:val="fr-FR"/>
          </w:rPr>
          <w:t>bwatzman@nma.org</w:t>
        </w:r>
      </w:hyperlink>
      <w:r w:rsidR="00B3552E">
        <w:rPr>
          <w:rFonts w:eastAsia="Times New Roman" w:cs="Times New Roman"/>
          <w:color w:val="000000"/>
          <w:lang w:val="fr-FR"/>
        </w:rPr>
        <w:t xml:space="preserve"> </w:t>
      </w:r>
    </w:p>
    <w:p w14:paraId="4A8C736D" w14:textId="77777777" w:rsidR="00DF616E" w:rsidRPr="00B3552E" w:rsidRDefault="00DF616E" w:rsidP="00DF616E">
      <w:pPr>
        <w:autoSpaceDE w:val="0"/>
        <w:autoSpaceDN w:val="0"/>
        <w:rPr>
          <w:rFonts w:eastAsia="Times New Roman" w:cs="Times New Roman"/>
          <w:color w:val="000000"/>
          <w:lang w:val="fr-FR"/>
        </w:rPr>
      </w:pPr>
    </w:p>
    <w:p w14:paraId="0934E8E1" w14:textId="77777777" w:rsidR="00DF616E" w:rsidRDefault="00DF616E" w:rsidP="00DF616E">
      <w:pPr>
        <w:autoSpaceDE w:val="0"/>
        <w:autoSpaceDN w:val="0"/>
        <w:ind w:firstLine="720"/>
        <w:rPr>
          <w:rFonts w:eastAsia="Times New Roman" w:cs="Times New Roman"/>
          <w:color w:val="000000"/>
        </w:rPr>
      </w:pPr>
      <w:r>
        <w:rPr>
          <w:rFonts w:eastAsia="Times New Roman" w:cs="Times New Roman"/>
          <w:color w:val="000000"/>
        </w:rPr>
        <w:t>Marie Gargas, Senior Technical Director</w:t>
      </w:r>
    </w:p>
    <w:p w14:paraId="4DD6AFC4" w14:textId="77777777" w:rsidR="00DF616E" w:rsidRDefault="00DF616E" w:rsidP="00DF616E">
      <w:pPr>
        <w:autoSpaceDE w:val="0"/>
        <w:autoSpaceDN w:val="0"/>
        <w:ind w:firstLine="720"/>
        <w:rPr>
          <w:rFonts w:eastAsia="Times New Roman" w:cs="Times New Roman"/>
          <w:color w:val="000000"/>
        </w:rPr>
      </w:pPr>
      <w:r>
        <w:rPr>
          <w:rFonts w:eastAsia="Times New Roman" w:cs="Times New Roman"/>
          <w:color w:val="000000"/>
        </w:rPr>
        <w:t>Regulatory Affairs</w:t>
      </w:r>
    </w:p>
    <w:p w14:paraId="4021DC9A" w14:textId="77777777" w:rsidR="00DF616E" w:rsidRDefault="00DF616E" w:rsidP="00DF616E">
      <w:pPr>
        <w:autoSpaceDE w:val="0"/>
        <w:autoSpaceDN w:val="0"/>
        <w:ind w:firstLine="720"/>
        <w:rPr>
          <w:rFonts w:eastAsia="Times New Roman" w:cs="Times New Roman"/>
          <w:color w:val="000000"/>
        </w:rPr>
      </w:pPr>
      <w:r>
        <w:rPr>
          <w:rFonts w:eastAsia="Times New Roman" w:cs="Times New Roman"/>
          <w:color w:val="000000"/>
        </w:rPr>
        <w:t xml:space="preserve">Plastics Industry Association  </w:t>
      </w:r>
    </w:p>
    <w:p w14:paraId="6E18D716" w14:textId="77777777" w:rsidR="00DF616E" w:rsidRPr="00962427" w:rsidRDefault="00DF616E" w:rsidP="00DF616E">
      <w:pPr>
        <w:autoSpaceDE w:val="0"/>
        <w:autoSpaceDN w:val="0"/>
        <w:ind w:firstLine="720"/>
        <w:rPr>
          <w:rFonts w:eastAsia="Times New Roman" w:cs="Times New Roman"/>
          <w:color w:val="000000"/>
        </w:rPr>
      </w:pPr>
      <w:r w:rsidRPr="00962427">
        <w:rPr>
          <w:rFonts w:eastAsia="Times New Roman" w:cs="Times New Roman"/>
          <w:color w:val="000000"/>
        </w:rPr>
        <w:t xml:space="preserve">1425 K Street NW., Suite 500 </w:t>
      </w:r>
    </w:p>
    <w:p w14:paraId="4A004A59" w14:textId="77777777" w:rsidR="00DF616E" w:rsidRDefault="00DF616E" w:rsidP="00DF616E">
      <w:pPr>
        <w:autoSpaceDE w:val="0"/>
        <w:autoSpaceDN w:val="0"/>
        <w:ind w:firstLine="720"/>
        <w:rPr>
          <w:rFonts w:eastAsia="Times New Roman" w:cs="Times New Roman"/>
          <w:color w:val="000000"/>
        </w:rPr>
      </w:pPr>
      <w:r w:rsidRPr="00962427">
        <w:rPr>
          <w:rFonts w:eastAsia="Times New Roman" w:cs="Times New Roman"/>
          <w:color w:val="000000"/>
        </w:rPr>
        <w:t>Washington, DC 20005</w:t>
      </w:r>
    </w:p>
    <w:p w14:paraId="08310CC8" w14:textId="77777777" w:rsidR="00DF616E" w:rsidRDefault="00DF616E" w:rsidP="00DF616E">
      <w:pPr>
        <w:autoSpaceDE w:val="0"/>
        <w:autoSpaceDN w:val="0"/>
        <w:ind w:firstLine="720"/>
        <w:rPr>
          <w:rFonts w:eastAsia="Times New Roman" w:cs="Times New Roman"/>
          <w:color w:val="000000"/>
        </w:rPr>
      </w:pPr>
      <w:r>
        <w:rPr>
          <w:rFonts w:eastAsia="Times New Roman" w:cs="Times New Roman"/>
          <w:color w:val="000000"/>
        </w:rPr>
        <w:t>Tel: (202) 974-</w:t>
      </w:r>
      <w:r w:rsidRPr="00962427">
        <w:rPr>
          <w:rFonts w:eastAsia="Times New Roman" w:cs="Times New Roman"/>
          <w:color w:val="000000"/>
        </w:rPr>
        <w:t>5330</w:t>
      </w:r>
    </w:p>
    <w:p w14:paraId="5CC3FCF7" w14:textId="77777777" w:rsidR="00DF616E" w:rsidRDefault="00DF616E" w:rsidP="00DF616E">
      <w:pPr>
        <w:autoSpaceDE w:val="0"/>
        <w:autoSpaceDN w:val="0"/>
        <w:ind w:firstLine="720"/>
        <w:rPr>
          <w:rFonts w:eastAsia="Times New Roman" w:cs="Times New Roman"/>
          <w:color w:val="000000"/>
        </w:rPr>
      </w:pPr>
      <w:r>
        <w:rPr>
          <w:rFonts w:eastAsia="Times New Roman" w:cs="Times New Roman"/>
          <w:color w:val="000000"/>
        </w:rPr>
        <w:t xml:space="preserve">E-mail: </w:t>
      </w:r>
      <w:hyperlink r:id="rId28" w:history="1">
        <w:r w:rsidRPr="00063AA8">
          <w:rPr>
            <w:rStyle w:val="Hyperlink"/>
            <w:rFonts w:eastAsia="Times New Roman" w:cs="Times New Roman"/>
          </w:rPr>
          <w:t>mgargas@plasticsindustry.org</w:t>
        </w:r>
      </w:hyperlink>
      <w:r>
        <w:rPr>
          <w:rFonts w:eastAsia="Times New Roman" w:cs="Times New Roman"/>
          <w:color w:val="000000"/>
        </w:rPr>
        <w:t xml:space="preserve"> </w:t>
      </w:r>
    </w:p>
    <w:p w14:paraId="65CC854A" w14:textId="77777777" w:rsidR="00DF616E" w:rsidRDefault="00DF616E" w:rsidP="00DF616E">
      <w:pPr>
        <w:autoSpaceDE w:val="0"/>
        <w:autoSpaceDN w:val="0"/>
        <w:ind w:firstLine="720"/>
        <w:rPr>
          <w:rFonts w:eastAsia="Times New Roman" w:cs="Times New Roman"/>
          <w:color w:val="000000"/>
        </w:rPr>
      </w:pPr>
    </w:p>
    <w:p w14:paraId="722267DC" w14:textId="77777777" w:rsidR="00DF616E" w:rsidRDefault="00DF616E" w:rsidP="00DF616E">
      <w:pPr>
        <w:autoSpaceDE w:val="0"/>
        <w:autoSpaceDN w:val="0"/>
        <w:ind w:firstLine="720"/>
        <w:rPr>
          <w:rFonts w:eastAsia="Times New Roman" w:cs="Times New Roman"/>
          <w:color w:val="000000"/>
        </w:rPr>
      </w:pPr>
      <w:r>
        <w:rPr>
          <w:rFonts w:eastAsia="Times New Roman" w:cs="Times New Roman"/>
          <w:color w:val="000000"/>
        </w:rPr>
        <w:t>Louis A. Baer, Esq., CPEA, Director/Assistant Counsel</w:t>
      </w:r>
    </w:p>
    <w:p w14:paraId="2CF7460E" w14:textId="77777777" w:rsidR="00DF616E" w:rsidRPr="006F1E8F" w:rsidRDefault="00DF616E" w:rsidP="00DF616E">
      <w:pPr>
        <w:autoSpaceDE w:val="0"/>
        <w:autoSpaceDN w:val="0"/>
        <w:ind w:firstLine="720"/>
        <w:rPr>
          <w:rFonts w:eastAsia="Times New Roman" w:cs="Times New Roman"/>
          <w:color w:val="000000"/>
        </w:rPr>
      </w:pPr>
      <w:r w:rsidRPr="006F1E8F">
        <w:rPr>
          <w:rFonts w:eastAsia="Times New Roman" w:cs="Times New Roman"/>
          <w:color w:val="000000"/>
        </w:rPr>
        <w:t xml:space="preserve">Government Affairs </w:t>
      </w:r>
    </w:p>
    <w:p w14:paraId="2547468D" w14:textId="77777777" w:rsidR="00DF616E" w:rsidRPr="006F1E8F" w:rsidRDefault="00DF616E" w:rsidP="00DF616E">
      <w:pPr>
        <w:autoSpaceDE w:val="0"/>
        <w:autoSpaceDN w:val="0"/>
        <w:ind w:firstLine="720"/>
        <w:rPr>
          <w:rFonts w:eastAsia="Times New Roman" w:cs="Times New Roman"/>
          <w:color w:val="000000"/>
        </w:rPr>
      </w:pPr>
      <w:r w:rsidRPr="006F1E8F">
        <w:rPr>
          <w:rFonts w:eastAsia="Times New Roman" w:cs="Times New Roman"/>
          <w:color w:val="000000"/>
        </w:rPr>
        <w:t>Portland Cement Association</w:t>
      </w:r>
    </w:p>
    <w:p w14:paraId="3A6A634B" w14:textId="77777777" w:rsidR="00DF616E" w:rsidRPr="00B3552E" w:rsidRDefault="00DF616E" w:rsidP="00DF616E">
      <w:pPr>
        <w:autoSpaceDE w:val="0"/>
        <w:autoSpaceDN w:val="0"/>
        <w:ind w:firstLine="720"/>
        <w:rPr>
          <w:rFonts w:eastAsia="Times New Roman" w:cs="Times New Roman"/>
          <w:color w:val="000000"/>
          <w:lang w:val="fr-FR"/>
        </w:rPr>
      </w:pPr>
      <w:r w:rsidRPr="00B3552E">
        <w:rPr>
          <w:rFonts w:eastAsia="Times New Roman" w:cs="Times New Roman"/>
          <w:color w:val="000000"/>
          <w:lang w:val="fr-FR"/>
        </w:rPr>
        <w:t>1150 Connecticut Avenue NW, Suite 500</w:t>
      </w:r>
    </w:p>
    <w:p w14:paraId="1E700672" w14:textId="77777777" w:rsidR="00DF616E" w:rsidRPr="00B3552E" w:rsidRDefault="00DF616E" w:rsidP="00DF616E">
      <w:pPr>
        <w:autoSpaceDE w:val="0"/>
        <w:autoSpaceDN w:val="0"/>
        <w:ind w:firstLine="720"/>
        <w:rPr>
          <w:rFonts w:eastAsia="Times New Roman" w:cs="Times New Roman"/>
          <w:color w:val="000000"/>
          <w:lang w:val="fr-FR"/>
        </w:rPr>
      </w:pPr>
      <w:r w:rsidRPr="00B3552E">
        <w:rPr>
          <w:rFonts w:eastAsia="Times New Roman" w:cs="Times New Roman"/>
          <w:color w:val="000000"/>
          <w:lang w:val="fr-FR"/>
        </w:rPr>
        <w:t>Tel: (202) 719-1981</w:t>
      </w:r>
    </w:p>
    <w:p w14:paraId="4AB400DB" w14:textId="570933DA" w:rsidR="00DF616E" w:rsidRPr="00B3552E" w:rsidRDefault="00DF616E" w:rsidP="00DF616E">
      <w:pPr>
        <w:autoSpaceDE w:val="0"/>
        <w:autoSpaceDN w:val="0"/>
        <w:ind w:firstLine="720"/>
        <w:rPr>
          <w:rFonts w:eastAsia="Times New Roman" w:cs="Times New Roman"/>
          <w:color w:val="000000"/>
          <w:lang w:val="fr-FR"/>
        </w:rPr>
      </w:pPr>
      <w:r w:rsidRPr="00B3552E">
        <w:rPr>
          <w:rFonts w:eastAsia="Times New Roman" w:cs="Times New Roman"/>
          <w:color w:val="000000"/>
          <w:lang w:val="fr-FR"/>
        </w:rPr>
        <w:t xml:space="preserve">E-mail: </w:t>
      </w:r>
      <w:hyperlink r:id="rId29" w:history="1">
        <w:r w:rsidR="00B3552E" w:rsidRPr="00863BBC">
          <w:rPr>
            <w:rStyle w:val="Hyperlink"/>
            <w:rFonts w:eastAsia="Times New Roman" w:cs="Times New Roman"/>
            <w:lang w:val="fr-FR"/>
          </w:rPr>
          <w:t>lbaer@cement.org</w:t>
        </w:r>
      </w:hyperlink>
      <w:r w:rsidR="00B3552E">
        <w:rPr>
          <w:rFonts w:eastAsia="Times New Roman" w:cs="Times New Roman"/>
          <w:color w:val="000000"/>
          <w:lang w:val="fr-FR"/>
        </w:rPr>
        <w:t xml:space="preserve"> </w:t>
      </w:r>
    </w:p>
    <w:p w14:paraId="7691A94C" w14:textId="77777777" w:rsidR="00DF616E" w:rsidRPr="00B3552E" w:rsidRDefault="00DF616E" w:rsidP="00DF616E">
      <w:pPr>
        <w:autoSpaceDE w:val="0"/>
        <w:autoSpaceDN w:val="0"/>
        <w:ind w:firstLine="720"/>
        <w:rPr>
          <w:rFonts w:eastAsia="Times New Roman" w:cs="Times New Roman"/>
          <w:color w:val="000000"/>
          <w:lang w:val="fr-FR"/>
        </w:rPr>
      </w:pPr>
      <w:r w:rsidRPr="00B3552E">
        <w:rPr>
          <w:rFonts w:eastAsia="Times New Roman" w:cs="Times New Roman"/>
          <w:color w:val="000000"/>
          <w:lang w:val="fr-FR"/>
        </w:rPr>
        <w:t xml:space="preserve"> </w:t>
      </w:r>
    </w:p>
    <w:p w14:paraId="4D18BD59" w14:textId="77777777" w:rsidR="00DF616E" w:rsidRDefault="00DF616E" w:rsidP="00DF616E">
      <w:pPr>
        <w:autoSpaceDE w:val="0"/>
        <w:autoSpaceDN w:val="0"/>
        <w:ind w:firstLine="720"/>
        <w:rPr>
          <w:rFonts w:eastAsia="Times New Roman" w:cs="Times New Roman"/>
          <w:color w:val="000000"/>
        </w:rPr>
      </w:pPr>
      <w:r>
        <w:rPr>
          <w:rFonts w:eastAsia="Times New Roman" w:cs="Times New Roman"/>
          <w:color w:val="000000"/>
        </w:rPr>
        <w:t>Matthew Moedritzer, Manager</w:t>
      </w:r>
    </w:p>
    <w:p w14:paraId="4924D92C" w14:textId="77777777" w:rsidR="00DF616E" w:rsidRDefault="00DF616E" w:rsidP="00DF616E">
      <w:pPr>
        <w:autoSpaceDE w:val="0"/>
        <w:autoSpaceDN w:val="0"/>
        <w:ind w:firstLine="720"/>
        <w:rPr>
          <w:rFonts w:eastAsia="Times New Roman" w:cs="Times New Roman"/>
          <w:color w:val="000000"/>
        </w:rPr>
      </w:pPr>
      <w:r>
        <w:rPr>
          <w:rFonts w:eastAsia="Times New Roman" w:cs="Times New Roman"/>
          <w:color w:val="000000"/>
        </w:rPr>
        <w:t xml:space="preserve">Legal and Governmental Relations </w:t>
      </w:r>
    </w:p>
    <w:p w14:paraId="25AC3EA8" w14:textId="77777777" w:rsidR="00DF616E" w:rsidRDefault="00DF616E" w:rsidP="00DF616E">
      <w:pPr>
        <w:autoSpaceDE w:val="0"/>
        <w:autoSpaceDN w:val="0"/>
        <w:ind w:firstLine="720"/>
        <w:rPr>
          <w:rFonts w:eastAsia="Times New Roman" w:cs="Times New Roman"/>
          <w:color w:val="000000"/>
        </w:rPr>
      </w:pPr>
      <w:r w:rsidRPr="003261FF">
        <w:rPr>
          <w:rFonts w:eastAsia="Times New Roman" w:cs="Times New Roman"/>
          <w:color w:val="000000"/>
        </w:rPr>
        <w:t>Society of Chemical Manufacturers and Affiliates (SOCMA)</w:t>
      </w:r>
    </w:p>
    <w:p w14:paraId="5BEC8C6B" w14:textId="77777777" w:rsidR="00DF616E" w:rsidRPr="00B3552E" w:rsidRDefault="00DF616E" w:rsidP="00DF616E">
      <w:pPr>
        <w:autoSpaceDE w:val="0"/>
        <w:autoSpaceDN w:val="0"/>
        <w:ind w:firstLine="720"/>
        <w:rPr>
          <w:rFonts w:eastAsia="Times New Roman" w:cs="Times New Roman"/>
          <w:color w:val="000000"/>
          <w:lang w:val="fr-FR"/>
        </w:rPr>
      </w:pPr>
      <w:r w:rsidRPr="00B3552E">
        <w:rPr>
          <w:rFonts w:eastAsia="Times New Roman" w:cs="Times New Roman"/>
          <w:color w:val="000000"/>
          <w:lang w:val="fr-FR"/>
        </w:rPr>
        <w:t>1400 Crystal Drive, Suite 630</w:t>
      </w:r>
    </w:p>
    <w:p w14:paraId="1CD3D976" w14:textId="77777777" w:rsidR="00DF616E" w:rsidRPr="00B3552E" w:rsidRDefault="00DF616E" w:rsidP="00DF616E">
      <w:pPr>
        <w:autoSpaceDE w:val="0"/>
        <w:autoSpaceDN w:val="0"/>
        <w:ind w:firstLine="720"/>
        <w:rPr>
          <w:rFonts w:eastAsia="Times New Roman" w:cs="Times New Roman"/>
          <w:color w:val="000000"/>
          <w:lang w:val="fr-FR"/>
        </w:rPr>
      </w:pPr>
      <w:r w:rsidRPr="00B3552E">
        <w:rPr>
          <w:rFonts w:eastAsia="Times New Roman" w:cs="Times New Roman"/>
          <w:color w:val="000000"/>
          <w:lang w:val="fr-FR"/>
        </w:rPr>
        <w:t>Arlington, VA 22202</w:t>
      </w:r>
    </w:p>
    <w:p w14:paraId="064A4FA0" w14:textId="77777777" w:rsidR="00DF616E" w:rsidRPr="00B3552E" w:rsidRDefault="00DF616E" w:rsidP="00DF616E">
      <w:pPr>
        <w:autoSpaceDE w:val="0"/>
        <w:autoSpaceDN w:val="0"/>
        <w:ind w:firstLine="720"/>
        <w:rPr>
          <w:rFonts w:eastAsia="Times New Roman" w:cs="Times New Roman"/>
          <w:color w:val="000000"/>
          <w:lang w:val="fr-FR"/>
        </w:rPr>
      </w:pPr>
      <w:r w:rsidRPr="00B3552E">
        <w:rPr>
          <w:rFonts w:eastAsia="Times New Roman" w:cs="Times New Roman"/>
          <w:color w:val="000000"/>
          <w:lang w:val="fr-FR"/>
        </w:rPr>
        <w:t>Tel: (571) 348-5123</w:t>
      </w:r>
    </w:p>
    <w:p w14:paraId="6BDD52BD" w14:textId="77777777" w:rsidR="00DF616E" w:rsidRDefault="00DF616E" w:rsidP="00DF616E">
      <w:pPr>
        <w:autoSpaceDE w:val="0"/>
        <w:autoSpaceDN w:val="0"/>
        <w:ind w:firstLine="720"/>
        <w:rPr>
          <w:rFonts w:eastAsia="Times New Roman" w:cs="Times New Roman"/>
          <w:color w:val="000000"/>
        </w:rPr>
      </w:pPr>
      <w:r>
        <w:rPr>
          <w:rFonts w:eastAsia="Times New Roman" w:cs="Times New Roman"/>
          <w:color w:val="000000"/>
        </w:rPr>
        <w:t xml:space="preserve">E-mail: </w:t>
      </w:r>
      <w:hyperlink r:id="rId30" w:history="1">
        <w:r w:rsidRPr="007D4DE3">
          <w:rPr>
            <w:rStyle w:val="Hyperlink"/>
            <w:rFonts w:eastAsia="Times New Roman" w:cs="Times New Roman"/>
          </w:rPr>
          <w:t>moedritzerm@socma.com</w:t>
        </w:r>
      </w:hyperlink>
      <w:r>
        <w:rPr>
          <w:rFonts w:eastAsia="Times New Roman" w:cs="Times New Roman"/>
          <w:color w:val="000000"/>
        </w:rPr>
        <w:t xml:space="preserve"> </w:t>
      </w:r>
    </w:p>
    <w:p w14:paraId="24BBFD8B" w14:textId="77777777" w:rsidR="00E33E80" w:rsidRDefault="00E33E80" w:rsidP="00DF616E">
      <w:pPr>
        <w:autoSpaceDE w:val="0"/>
        <w:autoSpaceDN w:val="0"/>
        <w:ind w:firstLine="720"/>
        <w:rPr>
          <w:rFonts w:eastAsia="Times New Roman" w:cs="Times New Roman"/>
          <w:color w:val="000000"/>
        </w:rPr>
      </w:pPr>
    </w:p>
    <w:p w14:paraId="18A9AB41" w14:textId="217DEDD0" w:rsidR="006A3552" w:rsidRPr="00E33E80" w:rsidRDefault="006A3552" w:rsidP="006A3552">
      <w:pPr>
        <w:autoSpaceDE w:val="0"/>
        <w:autoSpaceDN w:val="0"/>
        <w:ind w:firstLine="720"/>
        <w:rPr>
          <w:rFonts w:cs="Times New Roman"/>
        </w:rPr>
      </w:pPr>
      <w:r>
        <w:rPr>
          <w:rFonts w:cs="Times New Roman"/>
        </w:rPr>
        <w:t>EPA received responses</w:t>
      </w:r>
      <w:r w:rsidR="00E33E80" w:rsidRPr="00D94B65">
        <w:rPr>
          <w:rFonts w:cs="Times New Roman"/>
        </w:rPr>
        <w:t xml:space="preserve"> to its solicitation for consultations from: Tatiana Letcheva</w:t>
      </w:r>
      <w:r w:rsidR="00A109D9" w:rsidRPr="00D94B65">
        <w:rPr>
          <w:rFonts w:cs="Times New Roman"/>
        </w:rPr>
        <w:t xml:space="preserve"> (CPMA)</w:t>
      </w:r>
      <w:r w:rsidR="00E33E80" w:rsidRPr="00D94B65">
        <w:rPr>
          <w:rFonts w:cs="Times New Roman"/>
        </w:rPr>
        <w:t>, Jared Rothstein</w:t>
      </w:r>
      <w:r w:rsidR="00A109D9" w:rsidRPr="00D94B65">
        <w:rPr>
          <w:rFonts w:cs="Times New Roman"/>
        </w:rPr>
        <w:t xml:space="preserve"> (SOCMA)</w:t>
      </w:r>
      <w:r w:rsidR="00E33E80" w:rsidRPr="00D94B65">
        <w:rPr>
          <w:rFonts w:cs="Times New Roman"/>
        </w:rPr>
        <w:t>, and Richard Starr</w:t>
      </w:r>
      <w:r w:rsidR="00A109D9" w:rsidRPr="00D94B65">
        <w:rPr>
          <w:rFonts w:cs="Times New Roman"/>
        </w:rPr>
        <w:t xml:space="preserve"> (ACC)</w:t>
      </w:r>
      <w:r w:rsidR="00E33E80" w:rsidRPr="00D94B65">
        <w:rPr>
          <w:rFonts w:cs="Times New Roman"/>
        </w:rPr>
        <w:t xml:space="preserve">. A copy of the responses and a copy of EPA’s consultation e-mail </w:t>
      </w:r>
      <w:r>
        <w:rPr>
          <w:rFonts w:cs="Times New Roman"/>
        </w:rPr>
        <w:t xml:space="preserve">are included in Attachment </w:t>
      </w:r>
      <w:r w:rsidR="00A92E10">
        <w:rPr>
          <w:rFonts w:cs="Times New Roman"/>
        </w:rPr>
        <w:t>5</w:t>
      </w:r>
      <w:r>
        <w:rPr>
          <w:rFonts w:cs="Times New Roman"/>
        </w:rPr>
        <w:t>.</w:t>
      </w:r>
    </w:p>
    <w:bookmarkEnd w:id="3"/>
    <w:p w14:paraId="3638E90D" w14:textId="77777777" w:rsidR="00272F4D" w:rsidRPr="009533EA" w:rsidRDefault="00272F4D" w:rsidP="00272F4D">
      <w:pPr>
        <w:pStyle w:val="Heading2"/>
      </w:pPr>
      <w:r w:rsidRPr="009533EA">
        <w:t>General Guidelines</w:t>
      </w:r>
    </w:p>
    <w:p w14:paraId="40517216" w14:textId="77777777" w:rsidR="00272F4D" w:rsidRPr="009533EA" w:rsidRDefault="00272F4D" w:rsidP="00272F4D">
      <w:pPr>
        <w:pStyle w:val="BodyText"/>
      </w:pPr>
      <w:r w:rsidRPr="009533EA">
        <w:t>This collection does not exceed any of the Paperwork Reduction Act (PRA) guidelines at 5 CFR 1320.6, with the exceptions listed below.</w:t>
      </w:r>
    </w:p>
    <w:p w14:paraId="0F929215" w14:textId="24498353" w:rsidR="00230BC8" w:rsidRPr="009533EA" w:rsidRDefault="00230BC8" w:rsidP="00230BC8">
      <w:pPr>
        <w:pStyle w:val="BodyText"/>
      </w:pPr>
      <w:r w:rsidRPr="009533EA">
        <w:t xml:space="preserve">The record retention period of this collection is five years, as specified in 40 CFR 711.25, exceeding the PRA maximum of three years. This is necessary to ensure companies retain records long enough to facilitate </w:t>
      </w:r>
      <w:r w:rsidR="00515FDE">
        <w:t xml:space="preserve">their </w:t>
      </w:r>
      <w:r w:rsidRPr="009533EA">
        <w:t>completion of Form U (EPA Form 7740-8) every four years, and to allow EPA’s enforcement activities to ove</w:t>
      </w:r>
      <w:r>
        <w:t xml:space="preserve">rlap two CDR reporting cycles. Based on changes to TSCA from the </w:t>
      </w:r>
      <w:r w:rsidRPr="00951E21">
        <w:t>Lautenberg Act</w:t>
      </w:r>
      <w:r w:rsidRPr="00ED7014">
        <w:t>, CBI claims</w:t>
      </w:r>
      <w:r>
        <w:t xml:space="preserve"> remain intact for </w:t>
      </w:r>
      <w:r w:rsidR="00B3651E">
        <w:t xml:space="preserve">up to </w:t>
      </w:r>
      <w:r>
        <w:t>10 years after submission</w:t>
      </w:r>
      <w:r w:rsidR="00B3651E">
        <w:t xml:space="preserve"> and are renewable.</w:t>
      </w:r>
    </w:p>
    <w:p w14:paraId="04FAEC2D" w14:textId="77777777" w:rsidR="00272F4D" w:rsidRPr="009533EA" w:rsidRDefault="00272F4D" w:rsidP="00272F4D">
      <w:pPr>
        <w:pStyle w:val="Heading2"/>
      </w:pPr>
      <w:r w:rsidRPr="009533EA">
        <w:t>Confidentiality</w:t>
      </w:r>
    </w:p>
    <w:p w14:paraId="294324D5" w14:textId="168CC27D" w:rsidR="00230BC8" w:rsidRDefault="00230BC8" w:rsidP="00230BC8">
      <w:pPr>
        <w:pStyle w:val="BodyText"/>
      </w:pPr>
      <w:r w:rsidRPr="009533EA">
        <w:t xml:space="preserve">CBI claims limit </w:t>
      </w:r>
      <w:r w:rsidR="00B3651E">
        <w:t xml:space="preserve">public </w:t>
      </w:r>
      <w:r w:rsidRPr="009533EA">
        <w:t>access to the CDR data. EPA recognizes that some information submitted to the Agency is legitimately con</w:t>
      </w:r>
      <w:r w:rsidR="00BC1BB5">
        <w:t>fidential business information, and</w:t>
      </w:r>
      <w:r w:rsidRPr="009533EA">
        <w:t xml:space="preserve"> EPA</w:t>
      </w:r>
      <w:r w:rsidR="00BC1BB5">
        <w:t xml:space="preserve"> reviews</w:t>
      </w:r>
      <w:r w:rsidRPr="009533EA">
        <w:t xml:space="preserve"> CBI data </w:t>
      </w:r>
      <w:r w:rsidR="00BC1BB5">
        <w:t>in its mission</w:t>
      </w:r>
      <w:r w:rsidRPr="009533EA">
        <w:t xml:space="preserve"> to protect human health and the environment</w:t>
      </w:r>
      <w:r w:rsidR="00F95C76">
        <w:t>, in accordance with TSCA section 14(f) and (g)</w:t>
      </w:r>
      <w:r w:rsidRPr="009533EA">
        <w:t>.</w:t>
      </w:r>
    </w:p>
    <w:p w14:paraId="0FE8D8D9" w14:textId="73744F21" w:rsidR="00230BC8" w:rsidRPr="00D913E4" w:rsidRDefault="00230BC8" w:rsidP="00230BC8">
      <w:pPr>
        <w:pStyle w:val="BodyText"/>
      </w:pPr>
      <w:r w:rsidRPr="009533EA">
        <w:t xml:space="preserve">Submitters may claim information reported to EPA under this rule as confidential if such information </w:t>
      </w:r>
      <w:r>
        <w:t xml:space="preserve">would </w:t>
      </w:r>
      <w:r w:rsidRPr="009533EA">
        <w:t>reveal the submitter’s trade secrets or proprietary information as defined by TSCA section 14 and existing regulations</w:t>
      </w:r>
      <w:r>
        <w:t xml:space="preserve"> promulgated by EPA under TSCA</w:t>
      </w:r>
      <w:r w:rsidRPr="009533EA">
        <w:t xml:space="preserve">. EPA has long-established procedures for </w:t>
      </w:r>
      <w:r>
        <w:t xml:space="preserve">properly </w:t>
      </w:r>
      <w:r w:rsidRPr="009533EA">
        <w:t xml:space="preserve">handling, storing, processing, and disposing of TSCA </w:t>
      </w:r>
      <w:r w:rsidR="00880491">
        <w:t>CBI</w:t>
      </w:r>
      <w:r w:rsidRPr="009533EA">
        <w:t>. Transfers of this information to other</w:t>
      </w:r>
      <w:r w:rsidR="00C96872">
        <w:t xml:space="preserve">s, </w:t>
      </w:r>
      <w:r w:rsidR="00CC66F5">
        <w:t xml:space="preserve">such as states, tribes, and emergency responders, </w:t>
      </w:r>
      <w:r w:rsidR="00C96872">
        <w:t>as allowed under TSCA section 14(d),</w:t>
      </w:r>
      <w:r w:rsidRPr="009533EA">
        <w:t xml:space="preserve"> can be made only if the other </w:t>
      </w:r>
      <w:r w:rsidR="00C96872">
        <w:t>entity</w:t>
      </w:r>
      <w:r w:rsidR="00C96872" w:rsidRPr="009533EA">
        <w:t xml:space="preserve"> </w:t>
      </w:r>
      <w:r w:rsidRPr="009533EA">
        <w:t xml:space="preserve">agrees to adhere to all </w:t>
      </w:r>
      <w:r w:rsidR="00E070B2">
        <w:t xml:space="preserve">relevant </w:t>
      </w:r>
      <w:r w:rsidRPr="009533EA">
        <w:t>TSCA confidentiality provisions</w:t>
      </w:r>
      <w:r w:rsidR="00E070B2">
        <w:t xml:space="preserve"> and policies</w:t>
      </w:r>
      <w:r w:rsidRPr="009533EA">
        <w:t>. EPA will maintain standard CBI procedures to protect any confidential, trade secret, or proprietary information from disclosure in accordance with EPA’s confidentiality regulation, 40 CFR Part 2, Subpart B.</w:t>
      </w:r>
    </w:p>
    <w:p w14:paraId="72D3ABA9" w14:textId="77777777" w:rsidR="00272F4D" w:rsidRPr="009533EA" w:rsidRDefault="00272F4D" w:rsidP="00272F4D">
      <w:pPr>
        <w:pStyle w:val="Heading2"/>
      </w:pPr>
      <w:r w:rsidRPr="009533EA">
        <w:tab/>
        <w:t>Sensitive Questions</w:t>
      </w:r>
    </w:p>
    <w:p w14:paraId="3D6D6064" w14:textId="1991BB4E" w:rsidR="00272F4D" w:rsidRPr="009533EA" w:rsidRDefault="00272F4D" w:rsidP="00272F4D">
      <w:pPr>
        <w:pStyle w:val="BodyText"/>
      </w:pPr>
      <w:r w:rsidRPr="009533EA">
        <w:t>This collection does not include questions of a sensitive nature.</w:t>
      </w:r>
    </w:p>
    <w:p w14:paraId="2817A8AF" w14:textId="77777777" w:rsidR="00272F4D" w:rsidRPr="009533EA" w:rsidRDefault="00272F4D" w:rsidP="00272F4D">
      <w:pPr>
        <w:pStyle w:val="Heading1"/>
      </w:pPr>
      <w:r w:rsidRPr="009533EA">
        <w:t>THE RESPONDENTS AND THE INFORMATION REQUESTED</w:t>
      </w:r>
    </w:p>
    <w:p w14:paraId="2EAEF893" w14:textId="77777777" w:rsidR="00272F4D" w:rsidRPr="009533EA" w:rsidRDefault="00272F4D" w:rsidP="00272F4D">
      <w:pPr>
        <w:pStyle w:val="Heading2"/>
      </w:pPr>
      <w:r w:rsidRPr="009533EA">
        <w:t>Respondents/NAICS Codes</w:t>
      </w:r>
    </w:p>
    <w:p w14:paraId="0982DF52" w14:textId="6F8D549A" w:rsidR="00227E05" w:rsidRPr="009533EA" w:rsidRDefault="00227E05" w:rsidP="00227E05">
      <w:pPr>
        <w:pStyle w:val="BodyText"/>
      </w:pPr>
      <w:r w:rsidRPr="009533EA">
        <w:t xml:space="preserve">The regulated community consists of companies manufacturing (including importing) </w:t>
      </w:r>
      <w:r w:rsidR="00B3651E">
        <w:t xml:space="preserve">certain </w:t>
      </w:r>
      <w:r w:rsidRPr="009533EA">
        <w:t xml:space="preserve">chemical substances listed on the TSCA Inventory and regulated under </w:t>
      </w:r>
      <w:r w:rsidR="00C96872">
        <w:t xml:space="preserve">the </w:t>
      </w:r>
      <w:r w:rsidRPr="009533EA">
        <w:t>TSCA section 8</w:t>
      </w:r>
      <w:r w:rsidR="00C96872">
        <w:t>(a) CDR regulation</w:t>
      </w:r>
      <w:r w:rsidRPr="009533EA">
        <w:t>. In general, the industry segments that compose the regulated community for the rule are those that produce or import chemical substances.</w:t>
      </w:r>
      <w:r>
        <w:t xml:space="preserve"> </w:t>
      </w:r>
      <w:r w:rsidRPr="008D4E8A">
        <w:t xml:space="preserve">Most respondents expected </w:t>
      </w:r>
      <w:r>
        <w:t>to be subject to</w:t>
      </w:r>
      <w:r w:rsidRPr="008D4E8A">
        <w:t xml:space="preserve"> this ICR have previously reported </w:t>
      </w:r>
      <w:r>
        <w:t xml:space="preserve">CDR </w:t>
      </w:r>
      <w:r w:rsidRPr="008D4E8A">
        <w:t>information</w:t>
      </w:r>
      <w:r>
        <w:t xml:space="preserve">. </w:t>
      </w:r>
      <w:r w:rsidRPr="009533EA">
        <w:t>The Agency’s previous experience with CDR collections has shown that the majority of the respondents affected by this collection activity are from the following NAICS code categories:</w:t>
      </w:r>
    </w:p>
    <w:p w14:paraId="7CBDFDF0" w14:textId="77777777" w:rsidR="00272F4D" w:rsidRPr="009533EA"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rPr>
      </w:pPr>
      <w:r w:rsidRPr="009533EA">
        <w:rPr>
          <w:rFonts w:eastAsia="Times New Roman" w:cs="Times New Roman"/>
        </w:rPr>
        <w:tab/>
        <w:t>325 - Chemical Manufacturing</w:t>
      </w:r>
    </w:p>
    <w:p w14:paraId="1FC3E663" w14:textId="77777777" w:rsidR="00272F4D" w:rsidRPr="009533EA"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rPr>
      </w:pPr>
      <w:r w:rsidRPr="009533EA">
        <w:rPr>
          <w:rFonts w:eastAsia="Times New Roman" w:cs="Times New Roman"/>
        </w:rPr>
        <w:tab/>
        <w:t>324 - Petroleum and Coal Product Manufacturing</w:t>
      </w:r>
    </w:p>
    <w:p w14:paraId="396A23BB" w14:textId="77777777" w:rsidR="00272F4D" w:rsidRPr="009533EA"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rPr>
      </w:pPr>
    </w:p>
    <w:p w14:paraId="37E98684" w14:textId="77777777" w:rsidR="00272F4D" w:rsidRPr="009533EA" w:rsidRDefault="00272F4D" w:rsidP="00272F4D">
      <w:pPr>
        <w:pStyle w:val="BodyText"/>
      </w:pPr>
      <w:r w:rsidRPr="009533EA">
        <w:t>The subsectors identified above represent the designation of sites that likely would be subject to CDR reporting. However, this list does not include all potentially affected entities.  Other types of entit</w:t>
      </w:r>
      <w:r w:rsidR="006910B3">
        <w:t>ies</w:t>
      </w:r>
      <w:r w:rsidRPr="009533EA">
        <w:t xml:space="preserve"> not listed in this unit could also be subject to reporting.</w:t>
      </w:r>
    </w:p>
    <w:p w14:paraId="14DA37AB" w14:textId="0FB0E577" w:rsidR="00272F4D" w:rsidRPr="009533EA" w:rsidRDefault="00272F4D" w:rsidP="00272F4D">
      <w:pPr>
        <w:pStyle w:val="BodyText"/>
      </w:pPr>
      <w:r w:rsidRPr="009533EA">
        <w:t>Generally, TSCA section 8</w:t>
      </w:r>
      <w:r w:rsidR="00B3651E">
        <w:t>(a)</w:t>
      </w:r>
      <w:r w:rsidRPr="009533EA">
        <w:t xml:space="preserve"> excludes small manufacturers (including importers) from reporting. EPA defines small manufacturers (including importers) for purposes of CDR and certain other reporting in 40 CFR 704.3.</w:t>
      </w:r>
      <w:r w:rsidR="00227E05">
        <w:t xml:space="preserve"> </w:t>
      </w:r>
      <w:r w:rsidR="00227E05" w:rsidRPr="00227E05">
        <w:t>See also section 5(c) below.</w:t>
      </w:r>
      <w:r w:rsidR="00227E05">
        <w:t xml:space="preserve"> </w:t>
      </w:r>
    </w:p>
    <w:p w14:paraId="12965A10" w14:textId="77777777" w:rsidR="00272F4D" w:rsidRPr="009533EA" w:rsidRDefault="00272F4D" w:rsidP="00272F4D">
      <w:pPr>
        <w:pStyle w:val="Heading2"/>
      </w:pPr>
      <w:r w:rsidRPr="009533EA">
        <w:t>Information Requested</w:t>
      </w:r>
    </w:p>
    <w:p w14:paraId="2D09E178" w14:textId="77777777" w:rsidR="00272F4D" w:rsidRPr="009533EA" w:rsidRDefault="00272F4D" w:rsidP="004D4DC1">
      <w:pPr>
        <w:numPr>
          <w:ilvl w:val="0"/>
          <w:numId w:val="9"/>
        </w:num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eastAsia="Times New Roman" w:cs="Times New Roman"/>
          <w:b/>
        </w:rPr>
      </w:pPr>
      <w:r w:rsidRPr="009533EA">
        <w:rPr>
          <w:rFonts w:eastAsia="Times New Roman" w:cs="Times New Roman"/>
          <w:b/>
        </w:rPr>
        <w:t xml:space="preserve">   Reporting Threshold for Certain Regulated Chemicals</w:t>
      </w:r>
    </w:p>
    <w:p w14:paraId="6F1B8146" w14:textId="77777777" w:rsidR="00272F4D" w:rsidRPr="009533EA" w:rsidRDefault="00272F4D" w:rsidP="00272F4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2160"/>
        <w:outlineLvl w:val="0"/>
        <w:rPr>
          <w:rFonts w:eastAsia="Times New Roman" w:cs="Times New Roman"/>
          <w:b/>
        </w:rPr>
      </w:pPr>
    </w:p>
    <w:p w14:paraId="0D3B3B9D" w14:textId="77777777" w:rsidR="00272F4D" w:rsidRPr="009533EA" w:rsidRDefault="00272F4D" w:rsidP="00272F4D">
      <w:pPr>
        <w:pStyle w:val="BodyText"/>
      </w:pPr>
      <w:r w:rsidRPr="009533EA">
        <w:t>The threshold for reporting to CDR is a production volume of 25,000 pounds at a single site for any calendar year since the previous principal reporting year. The reporting threshold is 2,500 pounds for certain chemical substances that are:</w:t>
      </w:r>
    </w:p>
    <w:p w14:paraId="346AC024" w14:textId="77777777" w:rsidR="00272F4D" w:rsidRPr="009533EA" w:rsidRDefault="00272F4D" w:rsidP="004D4DC1">
      <w:pPr>
        <w:numPr>
          <w:ilvl w:val="0"/>
          <w:numId w:val="22"/>
        </w:numPr>
        <w:rPr>
          <w:rFonts w:eastAsia="Times New Roman" w:cs="Times New Roman"/>
        </w:rPr>
      </w:pPr>
      <w:r w:rsidRPr="009533EA">
        <w:rPr>
          <w:rFonts w:eastAsia="Times New Roman" w:cs="Times New Roman"/>
        </w:rPr>
        <w:t>The subject of a rule proposed or promulgated under TSCA sections 5(a)(2), 5(b)(4), or 6,</w:t>
      </w:r>
    </w:p>
    <w:p w14:paraId="7E59F134" w14:textId="77777777" w:rsidR="00272F4D" w:rsidRPr="009533EA" w:rsidRDefault="00272F4D" w:rsidP="004D4DC1">
      <w:pPr>
        <w:numPr>
          <w:ilvl w:val="0"/>
          <w:numId w:val="22"/>
        </w:numPr>
        <w:rPr>
          <w:rFonts w:eastAsia="Times New Roman" w:cs="Times New Roman"/>
        </w:rPr>
      </w:pPr>
      <w:r w:rsidRPr="009533EA">
        <w:rPr>
          <w:rFonts w:eastAsia="Times New Roman" w:cs="Times New Roman"/>
        </w:rPr>
        <w:t>The subject of an order issued under TSCA sections 5(e) or 5(f),</w:t>
      </w:r>
    </w:p>
    <w:p w14:paraId="5B8746B5" w14:textId="77777777" w:rsidR="00272F4D" w:rsidRPr="009533EA" w:rsidRDefault="00272F4D" w:rsidP="004D4DC1">
      <w:pPr>
        <w:numPr>
          <w:ilvl w:val="0"/>
          <w:numId w:val="22"/>
        </w:numPr>
        <w:rPr>
          <w:rFonts w:eastAsia="Times New Roman" w:cs="Times New Roman"/>
        </w:rPr>
      </w:pPr>
      <w:r w:rsidRPr="009533EA">
        <w:rPr>
          <w:rFonts w:eastAsia="Times New Roman" w:cs="Times New Roman"/>
        </w:rPr>
        <w:t>The subject of relief that has been granted under a civil action under TSCA sections 5 or 7.</w:t>
      </w:r>
    </w:p>
    <w:p w14:paraId="6FB08077" w14:textId="77777777" w:rsidR="00272F4D" w:rsidRPr="009533EA" w:rsidRDefault="00272F4D" w:rsidP="00272F4D">
      <w:pPr>
        <w:ind w:firstLine="720"/>
        <w:rPr>
          <w:rFonts w:eastAsia="Times New Roman" w:cs="Times New Roman"/>
        </w:rPr>
      </w:pPr>
    </w:p>
    <w:p w14:paraId="613D58F4" w14:textId="77777777" w:rsidR="00272F4D" w:rsidRPr="009533EA" w:rsidRDefault="00230BC8" w:rsidP="00272F4D">
      <w:pPr>
        <w:pStyle w:val="BodyText"/>
      </w:pPr>
      <w:r w:rsidRPr="009533EA">
        <w:t>Chemical substances subject to these particular TSCA actions are of demonstrat</w:t>
      </w:r>
      <w:r w:rsidR="00227E05">
        <w:t xml:space="preserve">ed high interest to the Agency. </w:t>
      </w:r>
      <w:r w:rsidRPr="009533EA">
        <w:t>The lower reporting threshold helps to ensure the availability of current information on those chemical subst</w:t>
      </w:r>
      <w:r w:rsidR="00FB33CC">
        <w:t xml:space="preserve">ances manufactured above 2,500 </w:t>
      </w:r>
      <w:r w:rsidRPr="009533EA">
        <w:t>pounds when the Agency has expressed a concern in the form of regulatory action. EPA will use the CDR data associated with these regulated chemical substances to monitor chemical substance productio</w:t>
      </w:r>
      <w:r>
        <w:t>n and compliance with the rules</w:t>
      </w:r>
      <w:r w:rsidR="00272F4D" w:rsidRPr="009533EA">
        <w:t xml:space="preserve">. </w:t>
      </w:r>
    </w:p>
    <w:p w14:paraId="098A6F12" w14:textId="77777777" w:rsidR="00272F4D" w:rsidRPr="009533EA" w:rsidRDefault="00272F4D" w:rsidP="00272F4D">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eastAsia="Times New Roman" w:cs="Times New Roman"/>
          <w:b/>
        </w:rPr>
      </w:pPr>
      <w:r w:rsidRPr="009533EA">
        <w:rPr>
          <w:rFonts w:eastAsia="Times New Roman" w:cs="Times New Roman"/>
          <w:b/>
        </w:rPr>
        <w:tab/>
        <w:t>(ii)</w:t>
      </w:r>
      <w:r w:rsidRPr="009533EA">
        <w:rPr>
          <w:rFonts w:eastAsia="Times New Roman" w:cs="Times New Roman"/>
          <w:b/>
        </w:rPr>
        <w:tab/>
        <w:t>Data elements, including recordkeeping requirements</w:t>
      </w:r>
    </w:p>
    <w:p w14:paraId="1ED3C4A2" w14:textId="77777777" w:rsidR="00272F4D" w:rsidRPr="009533EA" w:rsidRDefault="00272F4D" w:rsidP="00272F4D">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b/>
        </w:rPr>
      </w:pPr>
    </w:p>
    <w:p w14:paraId="3D2B2C14" w14:textId="77777777" w:rsidR="00272F4D" w:rsidRPr="009533EA" w:rsidRDefault="00272F4D" w:rsidP="00272F4D">
      <w:pPr>
        <w:pStyle w:val="BodyText"/>
      </w:pPr>
      <w:r w:rsidRPr="009533EA">
        <w:t xml:space="preserve">The CDR data elements are related to, or indicative of three components of exposure. These components are: (1) the number of ecosystems or size of human populations potentially exposed, (2) the potential human or environmental exposure concentrations, and (3) the frequency and duration of potential exposures. The data enhances EPA’s ability to evaluate each of these components of exposure. Respondents are required to submit certain “known or reasonably ascertainable” manufacturing, processing, and use exposure-related information.  </w:t>
      </w:r>
    </w:p>
    <w:p w14:paraId="3C46E211" w14:textId="77777777" w:rsidR="00272F4D" w:rsidRPr="009533EA" w:rsidRDefault="00272F4D" w:rsidP="00272F4D">
      <w:pPr>
        <w:ind w:firstLine="720"/>
        <w:rPr>
          <w:rFonts w:eastAsia="Times New Roman" w:cs="Times New Roman"/>
        </w:rPr>
      </w:pPr>
      <w:r w:rsidRPr="009533EA">
        <w:rPr>
          <w:rFonts w:eastAsia="Times New Roman" w:cs="Times New Roman"/>
        </w:rPr>
        <w:t xml:space="preserve">Using e-CDRweb, individuals report the data elements as follows: </w:t>
      </w:r>
    </w:p>
    <w:p w14:paraId="065B881C" w14:textId="77777777" w:rsidR="00272F4D" w:rsidRPr="009533EA" w:rsidRDefault="00272F4D" w:rsidP="00272F4D">
      <w:pPr>
        <w:ind w:firstLine="720"/>
        <w:rPr>
          <w:rFonts w:eastAsia="Times New Roman" w:cs="Times New Roman"/>
        </w:rPr>
      </w:pPr>
    </w:p>
    <w:p w14:paraId="00815D29" w14:textId="77777777" w:rsidR="00272F4D" w:rsidRPr="009533EA" w:rsidRDefault="00272F4D" w:rsidP="004D4DC1">
      <w:pPr>
        <w:numPr>
          <w:ilvl w:val="0"/>
          <w:numId w:val="1"/>
        </w:numPr>
        <w:rPr>
          <w:rFonts w:eastAsia="Times New Roman" w:cs="Times New Roman"/>
          <w:i/>
          <w:color w:val="000000"/>
        </w:rPr>
      </w:pPr>
      <w:r w:rsidRPr="009533EA">
        <w:rPr>
          <w:rFonts w:eastAsia="Times New Roman" w:cs="Times New Roman"/>
          <w:i/>
          <w:color w:val="000000"/>
        </w:rPr>
        <w:t>Authorized company official’s e-mail address</w:t>
      </w:r>
      <w:r w:rsidRPr="009533EA">
        <w:rPr>
          <w:rFonts w:eastAsia="Times New Roman" w:cs="Times New Roman"/>
          <w:color w:val="000000"/>
        </w:rPr>
        <w:t>. The e-mail address of the company official authorized to sign and submit the CDR Form U.</w:t>
      </w:r>
    </w:p>
    <w:p w14:paraId="7DDFB034" w14:textId="77777777" w:rsidR="00272F4D" w:rsidRPr="009533EA" w:rsidRDefault="00272F4D" w:rsidP="00272F4D">
      <w:pPr>
        <w:ind w:left="2160"/>
        <w:rPr>
          <w:rFonts w:eastAsia="Times New Roman" w:cs="Times New Roman"/>
          <w:i/>
          <w:color w:val="000000"/>
        </w:rPr>
      </w:pPr>
    </w:p>
    <w:p w14:paraId="0977B195" w14:textId="77777777" w:rsidR="00272F4D" w:rsidRPr="009533EA" w:rsidRDefault="00272F4D" w:rsidP="004D4DC1">
      <w:pPr>
        <w:numPr>
          <w:ilvl w:val="0"/>
          <w:numId w:val="1"/>
        </w:numPr>
        <w:rPr>
          <w:rFonts w:eastAsia="Times New Roman" w:cs="Times New Roman"/>
          <w:i/>
          <w:color w:val="000000"/>
        </w:rPr>
      </w:pPr>
      <w:r w:rsidRPr="009533EA">
        <w:rPr>
          <w:rFonts w:eastAsia="Times New Roman" w:cs="Times New Roman"/>
          <w:i/>
          <w:color w:val="000000"/>
        </w:rPr>
        <w:t>U.S. parent company name and address</w:t>
      </w:r>
      <w:r w:rsidRPr="009533EA">
        <w:rPr>
          <w:rFonts w:eastAsia="Times New Roman" w:cs="Times New Roman"/>
          <w:color w:val="000000"/>
        </w:rPr>
        <w:t xml:space="preserve">. The name, Dun &amp; Bradstreet number, and mailing address of the U. S. parent company.  </w:t>
      </w:r>
    </w:p>
    <w:p w14:paraId="4FE4555A" w14:textId="77777777" w:rsidR="00272F4D" w:rsidRPr="009533EA" w:rsidRDefault="00272F4D" w:rsidP="00272F4D">
      <w:pPr>
        <w:ind w:left="720"/>
        <w:rPr>
          <w:rFonts w:eastAsia="Times New Roman" w:cs="Times New Roman"/>
          <w:i/>
          <w:color w:val="000000"/>
        </w:rPr>
      </w:pPr>
    </w:p>
    <w:p w14:paraId="05AB4EB1" w14:textId="77777777" w:rsidR="00272F4D" w:rsidRPr="009533EA" w:rsidRDefault="00272F4D" w:rsidP="004D4DC1">
      <w:pPr>
        <w:numPr>
          <w:ilvl w:val="0"/>
          <w:numId w:val="1"/>
        </w:numPr>
        <w:rPr>
          <w:rFonts w:eastAsia="Times New Roman" w:cs="Times New Roman"/>
          <w:i/>
          <w:color w:val="000000"/>
        </w:rPr>
      </w:pPr>
      <w:r w:rsidRPr="009533EA">
        <w:rPr>
          <w:rFonts w:eastAsia="Times New Roman" w:cs="Times New Roman"/>
          <w:i/>
          <w:color w:val="000000"/>
        </w:rPr>
        <w:t xml:space="preserve">Manufacturing site. </w:t>
      </w:r>
      <w:r w:rsidRPr="009533EA">
        <w:rPr>
          <w:rFonts w:eastAsia="Times New Roman" w:cs="Times New Roman"/>
          <w:color w:val="000000"/>
        </w:rPr>
        <w:t>The site name</w:t>
      </w:r>
      <w:r>
        <w:rPr>
          <w:rFonts w:eastAsia="Times New Roman" w:cs="Times New Roman"/>
          <w:color w:val="000000"/>
        </w:rPr>
        <w:t>;</w:t>
      </w:r>
      <w:r w:rsidRPr="009533EA">
        <w:rPr>
          <w:rFonts w:eastAsia="Times New Roman" w:cs="Times New Roman"/>
          <w:color w:val="000000"/>
        </w:rPr>
        <w:t xml:space="preserve"> Dun &amp; Bradstreet number </w:t>
      </w:r>
      <w:r w:rsidR="00392A91">
        <w:rPr>
          <w:rFonts w:eastAsia="Times New Roman" w:cs="Times New Roman"/>
          <w:color w:val="000000"/>
        </w:rPr>
        <w:t xml:space="preserve">and the </w:t>
      </w:r>
      <w:r w:rsidRPr="009533EA">
        <w:rPr>
          <w:rFonts w:eastAsia="Times New Roman" w:cs="Times New Roman"/>
          <w:color w:val="000000"/>
        </w:rPr>
        <w:t>physical address of the manufacturing site</w:t>
      </w:r>
      <w:r w:rsidR="00661442">
        <w:rPr>
          <w:rFonts w:eastAsia="Times New Roman" w:cs="Times New Roman"/>
          <w:color w:val="000000"/>
        </w:rPr>
        <w:t>.</w:t>
      </w:r>
      <w:r w:rsidRPr="009533EA">
        <w:rPr>
          <w:rFonts w:eastAsia="Times New Roman" w:cs="Times New Roman"/>
          <w:color w:val="000000"/>
        </w:rPr>
        <w:t xml:space="preserve"> </w:t>
      </w:r>
    </w:p>
    <w:p w14:paraId="17F68C7C" w14:textId="77777777" w:rsidR="00272F4D" w:rsidRPr="009533EA" w:rsidRDefault="00272F4D" w:rsidP="00272F4D">
      <w:pPr>
        <w:rPr>
          <w:rFonts w:eastAsia="Times New Roman" w:cs="Times New Roman"/>
          <w:i/>
          <w:color w:val="000000"/>
        </w:rPr>
      </w:pPr>
    </w:p>
    <w:p w14:paraId="68781CA7" w14:textId="77777777" w:rsidR="00272F4D" w:rsidRPr="009533EA" w:rsidRDefault="00272F4D" w:rsidP="004D4DC1">
      <w:pPr>
        <w:numPr>
          <w:ilvl w:val="0"/>
          <w:numId w:val="1"/>
        </w:numPr>
        <w:rPr>
          <w:rFonts w:eastAsia="Times New Roman" w:cs="Times New Roman"/>
          <w:i/>
          <w:color w:val="000000"/>
        </w:rPr>
      </w:pPr>
      <w:r w:rsidRPr="009533EA">
        <w:rPr>
          <w:rFonts w:eastAsia="Times New Roman" w:cs="Times New Roman"/>
          <w:i/>
          <w:color w:val="000000"/>
        </w:rPr>
        <w:t>Technical Contact Information.</w:t>
      </w:r>
      <w:r w:rsidRPr="009533EA">
        <w:rPr>
          <w:rFonts w:eastAsia="Times New Roman" w:cs="Times New Roman"/>
          <w:color w:val="000000"/>
        </w:rPr>
        <w:t xml:space="preserve">  The individual name, the company name, and address of the technical contact. Sites are able to provide one contact for the site or one for each chemical.</w:t>
      </w:r>
    </w:p>
    <w:p w14:paraId="62F027EE" w14:textId="77777777" w:rsidR="00272F4D" w:rsidRPr="009533EA" w:rsidRDefault="00272F4D" w:rsidP="00272F4D">
      <w:pPr>
        <w:rPr>
          <w:rFonts w:eastAsia="Times New Roman" w:cs="Times New Roman"/>
          <w:i/>
          <w:color w:val="000000"/>
        </w:rPr>
      </w:pPr>
    </w:p>
    <w:p w14:paraId="3238B991" w14:textId="77777777" w:rsidR="00272F4D" w:rsidRPr="009533EA" w:rsidRDefault="00272F4D" w:rsidP="004D4DC1">
      <w:pPr>
        <w:numPr>
          <w:ilvl w:val="0"/>
          <w:numId w:val="1"/>
        </w:numPr>
        <w:rPr>
          <w:rFonts w:eastAsia="Times New Roman" w:cs="Times New Roman"/>
          <w:i/>
          <w:color w:val="000000"/>
        </w:rPr>
      </w:pPr>
      <w:r w:rsidRPr="009533EA">
        <w:rPr>
          <w:rFonts w:eastAsia="Times New Roman" w:cs="Times New Roman"/>
          <w:i/>
          <w:color w:val="000000"/>
        </w:rPr>
        <w:t>Manufacturing information.</w:t>
      </w:r>
      <w:r w:rsidRPr="009533EA">
        <w:rPr>
          <w:rFonts w:eastAsia="Times New Roman" w:cs="Times New Roman"/>
        </w:rPr>
        <w:t xml:space="preserve"> The production volume for each of the years since the last principal reporting year. For the principal reporting year only: the volume of the reported chemical substance used at the reporting site; whether an imported chemical substance is physically at the reporting site; the production volume directly exported and not domestically processed or used; the number of workers likely to be exposed at the site; the maximum concentration, measured by percentage of weight; whether the manufactured (including imported) chemical substance is being recycled, reused, reprocessed, or remanufactured and the physical form(s) of the chemical substance</w:t>
      </w:r>
      <w:r w:rsidR="0034667E">
        <w:rPr>
          <w:rFonts w:eastAsia="Times New Roman" w:cs="Times New Roman"/>
        </w:rPr>
        <w:t>,</w:t>
      </w:r>
      <w:r w:rsidRPr="009533EA">
        <w:rPr>
          <w:rFonts w:eastAsia="Times New Roman" w:cs="Times New Roman"/>
        </w:rPr>
        <w:t xml:space="preserve"> and the associated percent production volume of each physical form.  </w:t>
      </w:r>
    </w:p>
    <w:p w14:paraId="4533BCED" w14:textId="77777777" w:rsidR="00272F4D" w:rsidRPr="009533EA" w:rsidRDefault="00272F4D" w:rsidP="00272F4D">
      <w:pPr>
        <w:rPr>
          <w:rFonts w:eastAsia="Times New Roman" w:cs="Times New Roman"/>
          <w:i/>
          <w:color w:val="000000"/>
        </w:rPr>
      </w:pPr>
    </w:p>
    <w:p w14:paraId="6CE3B459" w14:textId="77777777" w:rsidR="00272F4D" w:rsidRPr="009533EA" w:rsidRDefault="00272F4D" w:rsidP="004D4DC1">
      <w:pPr>
        <w:numPr>
          <w:ilvl w:val="0"/>
          <w:numId w:val="6"/>
        </w:numPr>
        <w:rPr>
          <w:rFonts w:eastAsia="Times New Roman" w:cs="Times New Roman"/>
        </w:rPr>
      </w:pPr>
      <w:r w:rsidRPr="009533EA">
        <w:rPr>
          <w:rFonts w:eastAsia="Times New Roman" w:cs="Times New Roman"/>
          <w:i/>
        </w:rPr>
        <w:t>Processing and use information.</w:t>
      </w:r>
      <w:r w:rsidRPr="009533EA">
        <w:rPr>
          <w:rFonts w:eastAsia="Times New Roman" w:cs="Times New Roman"/>
        </w:rPr>
        <w:t xml:space="preserve"> Respondents are to report this information for all reported chemical substances, unless the chemical substance is specifically partially exempted.</w:t>
      </w:r>
    </w:p>
    <w:p w14:paraId="768ABBE1" w14:textId="77777777" w:rsidR="00272F4D" w:rsidRPr="009533EA" w:rsidRDefault="00272F4D" w:rsidP="00272F4D">
      <w:pPr>
        <w:ind w:left="720"/>
        <w:rPr>
          <w:rFonts w:eastAsia="Times New Roman" w:cs="Times New Roman"/>
        </w:rPr>
      </w:pPr>
    </w:p>
    <w:p w14:paraId="4356A930" w14:textId="77777777" w:rsidR="00272F4D" w:rsidRPr="009533EA" w:rsidRDefault="00272F4D" w:rsidP="004D4DC1">
      <w:pPr>
        <w:numPr>
          <w:ilvl w:val="0"/>
          <w:numId w:val="15"/>
        </w:numPr>
        <w:ind w:left="1440"/>
        <w:rPr>
          <w:rFonts w:eastAsia="Times New Roman" w:cs="Times New Roman"/>
        </w:rPr>
      </w:pPr>
      <w:r w:rsidRPr="009533EA">
        <w:rPr>
          <w:rFonts w:eastAsia="Times New Roman" w:cs="Times New Roman"/>
          <w:i/>
        </w:rPr>
        <w:t xml:space="preserve">Industrial processing and use data. </w:t>
      </w:r>
      <w:r w:rsidRPr="009533EA">
        <w:rPr>
          <w:rFonts w:eastAsia="Times New Roman" w:cs="Times New Roman"/>
        </w:rPr>
        <w:t xml:space="preserve">Submitters must report their type(s) of industrial process or use, sector(s), industrial function category(ies), percentage(s) of production volume, number(s) of sites, and number(s) of workers reasonably likely to be exposed.  </w:t>
      </w:r>
    </w:p>
    <w:p w14:paraId="6EA5796A" w14:textId="77777777" w:rsidR="00272F4D" w:rsidRPr="009533EA" w:rsidRDefault="00272F4D" w:rsidP="00272F4D">
      <w:pPr>
        <w:ind w:left="1080"/>
        <w:rPr>
          <w:rFonts w:eastAsia="Times New Roman" w:cs="Times New Roman"/>
        </w:rPr>
      </w:pPr>
    </w:p>
    <w:p w14:paraId="5D2FD5B0" w14:textId="77777777" w:rsidR="00272F4D" w:rsidRPr="009533EA" w:rsidRDefault="00272F4D" w:rsidP="004D4DC1">
      <w:pPr>
        <w:numPr>
          <w:ilvl w:val="0"/>
          <w:numId w:val="15"/>
        </w:numPr>
        <w:ind w:left="1440"/>
        <w:rPr>
          <w:rFonts w:eastAsia="Times New Roman" w:cs="Times New Roman"/>
        </w:rPr>
      </w:pPr>
      <w:r w:rsidRPr="009533EA">
        <w:rPr>
          <w:rFonts w:eastAsia="Times New Roman" w:cs="Times New Roman"/>
          <w:i/>
        </w:rPr>
        <w:t>Consumer and commercial use data</w:t>
      </w:r>
      <w:r w:rsidRPr="009533EA">
        <w:rPr>
          <w:rFonts w:eastAsia="Times New Roman" w:cs="Times New Roman"/>
        </w:rPr>
        <w:t>. Submitters must indicate the product category(ies); whether the use is consumer, commercial, or both; whether the chemical is used in products intended for children; and for each product category: the percent production volume, the maximum concentration, and number of commercial workers reasonably likely to be exposed to the chemical.</w:t>
      </w:r>
    </w:p>
    <w:p w14:paraId="0F259649" w14:textId="77777777" w:rsidR="00272F4D" w:rsidRPr="009533EA" w:rsidRDefault="00272F4D" w:rsidP="00272F4D">
      <w:pPr>
        <w:ind w:left="1080"/>
        <w:rPr>
          <w:rFonts w:eastAsia="Times New Roman" w:cs="Times New Roman"/>
        </w:rPr>
      </w:pPr>
    </w:p>
    <w:p w14:paraId="30031DBA" w14:textId="77777777" w:rsidR="00272F4D" w:rsidRPr="009533EA" w:rsidRDefault="00272F4D" w:rsidP="004D4DC1">
      <w:pPr>
        <w:numPr>
          <w:ilvl w:val="0"/>
          <w:numId w:val="1"/>
        </w:numPr>
        <w:rPr>
          <w:rFonts w:eastAsia="Times New Roman" w:cs="Times New Roman"/>
        </w:rPr>
      </w:pPr>
      <w:r w:rsidRPr="009533EA">
        <w:rPr>
          <w:rFonts w:eastAsia="Times New Roman" w:cs="Times New Roman"/>
          <w:i/>
        </w:rPr>
        <w:t>CBI substantiation</w:t>
      </w:r>
      <w:r w:rsidRPr="009533EA">
        <w:rPr>
          <w:rFonts w:eastAsia="Times New Roman" w:cs="Times New Roman"/>
        </w:rPr>
        <w:t xml:space="preserve">. All of the data elements described in the Manufacturing Information section and Processing and Use Information section may be claimed CBI. Substantiation of the CBI claim must accompany the claim unless the claim is for production volume.  </w:t>
      </w:r>
    </w:p>
    <w:p w14:paraId="02982CAF" w14:textId="77777777" w:rsidR="00272F4D" w:rsidRPr="009533EA"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eastAsia="Times New Roman" w:cs="Times New Roman"/>
          <w:i/>
        </w:rPr>
      </w:pPr>
    </w:p>
    <w:p w14:paraId="22F6ED53" w14:textId="77777777" w:rsidR="00272F4D" w:rsidRPr="009533EA" w:rsidRDefault="00272F4D" w:rsidP="00272F4D">
      <w:pPr>
        <w:pStyle w:val="BodyText"/>
      </w:pPr>
      <w:r w:rsidRPr="009533EA">
        <w:rPr>
          <w:i/>
        </w:rPr>
        <w:t xml:space="preserve">Joint Submissions when Chemical Identity is Unknown. </w:t>
      </w:r>
      <w:r w:rsidRPr="009533EA">
        <w:t xml:space="preserve">Joint submissions are allowed only in those instances where a supplier will not disclose to the submitter the specific chemical name of the imported TSCA Inventory chemical substance or of a reactant used to manufacture the TSCA Inventory substance. </w:t>
      </w:r>
      <w:r w:rsidRPr="009533EA">
        <w:rPr>
          <w:color w:val="000000"/>
        </w:rPr>
        <w:t xml:space="preserve">This may happen, for example, when a company is importing a mixture under a trade name, and the foreign supplier does not want to reveal the components in the mixture. (See </w:t>
      </w:r>
      <w:r w:rsidRPr="009533EA">
        <w:rPr>
          <w:i/>
          <w:color w:val="000000"/>
        </w:rPr>
        <w:t>Special Considerations for Joint Submitters when Chemical Identity is Unknown</w:t>
      </w:r>
      <w:r w:rsidRPr="009533EA">
        <w:rPr>
          <w:color w:val="000000"/>
        </w:rPr>
        <w:t xml:space="preserve"> in section 2(b) of this document.) </w:t>
      </w:r>
      <w:r w:rsidRPr="009533EA">
        <w:t>In addition to signing the certification statement and completing Parts I, II, and III, primary respondents will report on data elements in Part II, Blocks 2.A.5 through 2.A.12, on Form U as follows:</w:t>
      </w:r>
      <w:r w:rsidRPr="009533EA" w:rsidDel="002417DE">
        <w:t xml:space="preserve"> </w:t>
      </w:r>
    </w:p>
    <w:p w14:paraId="75FB4206" w14:textId="77777777" w:rsidR="00272F4D" w:rsidRPr="009533EA" w:rsidRDefault="00272F4D" w:rsidP="004D4DC1">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szCs w:val="20"/>
        </w:rPr>
      </w:pPr>
      <w:r w:rsidRPr="009533EA">
        <w:rPr>
          <w:rFonts w:eastAsia="Times New Roman" w:cs="Times New Roman"/>
          <w:i/>
          <w:szCs w:val="20"/>
        </w:rPr>
        <w:t xml:space="preserve">Joint submission information. </w:t>
      </w:r>
      <w:r w:rsidRPr="009533EA">
        <w:rPr>
          <w:rFonts w:eastAsia="Times New Roman" w:cs="Times New Roman"/>
          <w:szCs w:val="20"/>
        </w:rPr>
        <w:t xml:space="preserve">Trade name of the chemical substance being reported, secondary respondent name, and complete mailing address (city, state/province, zip code, and country (if applicable)). </w:t>
      </w:r>
    </w:p>
    <w:p w14:paraId="4320CBDA" w14:textId="77777777" w:rsidR="00272F4D" w:rsidRPr="009533EA"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i/>
        </w:rPr>
      </w:pPr>
    </w:p>
    <w:p w14:paraId="5C3944C8" w14:textId="77777777" w:rsidR="00272F4D" w:rsidRPr="009533EA" w:rsidRDefault="00272F4D" w:rsidP="00272F4D">
      <w:pPr>
        <w:pStyle w:val="BodyText"/>
      </w:pPr>
      <w:r w:rsidRPr="009533EA">
        <w:t xml:space="preserve">Secondary submitters register with CDX as secondary authorized submitter or a secondary support registrant. The secondary submitter will provide the primary company’s information and the trade product name, supplied to them by the primary submitter to initiate Part IV of Form U. The secondary submitter reports the following data elements: </w:t>
      </w:r>
    </w:p>
    <w:p w14:paraId="1C109DA7" w14:textId="77777777" w:rsidR="00272F4D" w:rsidRPr="009533EA" w:rsidRDefault="00272F4D" w:rsidP="004D4DC1">
      <w:pPr>
        <w:numPr>
          <w:ilvl w:val="0"/>
          <w:numId w:val="4"/>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rPr>
          <w:rFonts w:eastAsia="Times New Roman" w:cs="Times New Roman"/>
          <w:szCs w:val="20"/>
        </w:rPr>
      </w:pPr>
      <w:r w:rsidRPr="009533EA">
        <w:rPr>
          <w:rFonts w:eastAsia="Times New Roman" w:cs="Times New Roman"/>
          <w:i/>
          <w:szCs w:val="20"/>
        </w:rPr>
        <w:t>Certification.</w:t>
      </w:r>
      <w:r w:rsidRPr="009533EA">
        <w:rPr>
          <w:rFonts w:eastAsia="Times New Roman" w:cs="Times New Roman"/>
          <w:szCs w:val="20"/>
        </w:rPr>
        <w:t xml:space="preserve"> The company official must certify by signature and date that to the best of his/her knowledge and belief: 1) all information entered on Form U has been completed in compliance with the regulatory requirements; and 2) any confidentiality claims are true and correct as to that information for which they have been asserted. </w:t>
      </w:r>
    </w:p>
    <w:p w14:paraId="447CBFD9" w14:textId="77777777" w:rsidR="00272F4D" w:rsidRPr="009533EA"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rPr>
      </w:pPr>
    </w:p>
    <w:p w14:paraId="00D8B9CF" w14:textId="77777777" w:rsidR="00272F4D" w:rsidRPr="009533EA" w:rsidRDefault="00272F4D" w:rsidP="004D4DC1">
      <w:pPr>
        <w:numPr>
          <w:ilvl w:val="0"/>
          <w:numId w:val="4"/>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rPr>
          <w:rFonts w:eastAsia="Times New Roman" w:cs="Times New Roman"/>
          <w:szCs w:val="20"/>
        </w:rPr>
      </w:pPr>
      <w:r w:rsidRPr="009533EA">
        <w:rPr>
          <w:rFonts w:eastAsia="Times New Roman" w:cs="Times New Roman"/>
          <w:i/>
          <w:szCs w:val="20"/>
        </w:rPr>
        <w:t xml:space="preserve">Secondary company information. </w:t>
      </w:r>
      <w:r w:rsidRPr="009533EA">
        <w:rPr>
          <w:rFonts w:eastAsia="Times New Roman" w:cs="Times New Roman"/>
          <w:szCs w:val="20"/>
        </w:rPr>
        <w:t xml:space="preserve">The secondary company name and complete mailing address (city, state, zip code, and country (if applicable)). </w:t>
      </w:r>
    </w:p>
    <w:p w14:paraId="155CE2BD" w14:textId="77777777" w:rsidR="00272F4D" w:rsidRPr="009533EA" w:rsidRDefault="00272F4D" w:rsidP="00272F4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i/>
          <w:szCs w:val="20"/>
        </w:rPr>
      </w:pPr>
    </w:p>
    <w:p w14:paraId="27732A67" w14:textId="77777777" w:rsidR="00272F4D" w:rsidRPr="009533EA" w:rsidRDefault="00272F4D" w:rsidP="004D4DC1">
      <w:pPr>
        <w:numPr>
          <w:ilvl w:val="0"/>
          <w:numId w:val="4"/>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rPr>
          <w:rFonts w:eastAsia="Times New Roman" w:cs="Times New Roman"/>
          <w:szCs w:val="20"/>
        </w:rPr>
      </w:pPr>
      <w:r w:rsidRPr="009533EA">
        <w:rPr>
          <w:rFonts w:eastAsia="Times New Roman" w:cs="Times New Roman"/>
          <w:i/>
          <w:szCs w:val="20"/>
        </w:rPr>
        <w:t>Secondary technical contact information.</w:t>
      </w:r>
      <w:r w:rsidRPr="009533EA">
        <w:rPr>
          <w:rFonts w:eastAsia="Times New Roman" w:cs="Times New Roman"/>
          <w:szCs w:val="20"/>
        </w:rPr>
        <w:t xml:space="preserve"> The technical contact name, phone number, complete mailing address (city/town, state/province, zip code, and country (if applicable)), and e-mail address.</w:t>
      </w:r>
    </w:p>
    <w:p w14:paraId="082E8A2D" w14:textId="77777777" w:rsidR="00272F4D" w:rsidRPr="009533EA" w:rsidRDefault="00272F4D" w:rsidP="00272F4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szCs w:val="20"/>
        </w:rPr>
      </w:pPr>
    </w:p>
    <w:p w14:paraId="7C778685" w14:textId="77777777" w:rsidR="00272F4D" w:rsidRPr="009533EA" w:rsidRDefault="00272F4D" w:rsidP="004D4DC1">
      <w:pPr>
        <w:numPr>
          <w:ilvl w:val="0"/>
          <w:numId w:val="4"/>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rPr>
          <w:rFonts w:eastAsia="Times New Roman" w:cs="Times New Roman"/>
          <w:szCs w:val="20"/>
        </w:rPr>
      </w:pPr>
      <w:r w:rsidRPr="009533EA">
        <w:rPr>
          <w:rFonts w:eastAsia="Times New Roman" w:cs="Times New Roman"/>
          <w:i/>
          <w:szCs w:val="20"/>
        </w:rPr>
        <w:t>Primary company information sent to secondary company.</w:t>
      </w:r>
      <w:r w:rsidRPr="009533EA">
        <w:rPr>
          <w:rFonts w:eastAsia="Times New Roman" w:cs="Times New Roman"/>
          <w:szCs w:val="20"/>
        </w:rPr>
        <w:t xml:space="preserve"> Trade name and the Unique Identifier for Joint Submissions number provided by the primary submitter and sent to the secondary submitter. </w:t>
      </w:r>
    </w:p>
    <w:p w14:paraId="10709E48" w14:textId="77777777" w:rsidR="00272F4D" w:rsidRPr="009533EA" w:rsidRDefault="00272F4D" w:rsidP="00272F4D">
      <w:pPr>
        <w:tabs>
          <w:tab w:val="left" w:pos="0"/>
          <w:tab w:val="left" w:pos="2160"/>
          <w:tab w:val="left" w:pos="2880"/>
          <w:tab w:val="left" w:pos="3600"/>
          <w:tab w:val="left" w:pos="4320"/>
          <w:tab w:val="left" w:pos="5040"/>
          <w:tab w:val="left" w:pos="5760"/>
          <w:tab w:val="left" w:pos="6480"/>
          <w:tab w:val="left" w:pos="7200"/>
          <w:tab w:val="left" w:pos="7920"/>
        </w:tabs>
        <w:ind w:left="720"/>
        <w:rPr>
          <w:rFonts w:eastAsia="Times New Roman" w:cs="Times New Roman"/>
          <w:szCs w:val="20"/>
        </w:rPr>
      </w:pPr>
    </w:p>
    <w:p w14:paraId="4B74F910" w14:textId="77777777" w:rsidR="00272F4D" w:rsidRPr="009533EA" w:rsidRDefault="00272F4D" w:rsidP="004D4DC1">
      <w:pPr>
        <w:numPr>
          <w:ilvl w:val="0"/>
          <w:numId w:val="4"/>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rPr>
          <w:rFonts w:eastAsia="Times New Roman" w:cs="Times New Roman"/>
          <w:szCs w:val="20"/>
        </w:rPr>
      </w:pPr>
      <w:r w:rsidRPr="009533EA">
        <w:rPr>
          <w:rFonts w:eastAsia="Times New Roman" w:cs="Times New Roman"/>
          <w:i/>
          <w:szCs w:val="20"/>
        </w:rPr>
        <w:t>Trade product information.</w:t>
      </w:r>
      <w:r w:rsidRPr="009533EA">
        <w:rPr>
          <w:rFonts w:eastAsia="Times New Roman" w:cs="Times New Roman"/>
          <w:szCs w:val="20"/>
        </w:rPr>
        <w:t xml:space="preserve"> The trade product name; the chemi</w:t>
      </w:r>
      <w:r w:rsidR="00B45EB4">
        <w:rPr>
          <w:rFonts w:eastAsia="Times New Roman" w:cs="Times New Roman"/>
          <w:szCs w:val="20"/>
        </w:rPr>
        <w:t>cal name, CAS Registry Number,</w:t>
      </w:r>
      <w:r w:rsidRPr="009533EA">
        <w:rPr>
          <w:rFonts w:eastAsia="Times New Roman" w:cs="Times New Roman"/>
          <w:szCs w:val="20"/>
        </w:rPr>
        <w:t xml:space="preserve"> and percentage of each component of the product. </w:t>
      </w:r>
    </w:p>
    <w:p w14:paraId="6183AA89" w14:textId="77777777" w:rsidR="00272F4D" w:rsidRPr="009533EA"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i/>
        </w:rPr>
      </w:pPr>
    </w:p>
    <w:p w14:paraId="13322DCD" w14:textId="77777777" w:rsidR="00272F4D" w:rsidRPr="00044368"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b/>
        </w:rPr>
      </w:pPr>
      <w:r w:rsidRPr="009533EA">
        <w:rPr>
          <w:rFonts w:eastAsia="Times New Roman" w:cs="Times New Roman"/>
        </w:rPr>
        <w:tab/>
      </w:r>
      <w:r w:rsidRPr="00044368">
        <w:rPr>
          <w:rFonts w:eastAsia="Times New Roman" w:cs="Times New Roman"/>
          <w:b/>
        </w:rPr>
        <w:t xml:space="preserve">(iii) </w:t>
      </w:r>
      <w:r w:rsidRPr="00044368">
        <w:rPr>
          <w:rFonts w:eastAsia="Times New Roman" w:cs="Times New Roman"/>
          <w:b/>
        </w:rPr>
        <w:tab/>
        <w:t>Submitter Activities/Information Collections (ICs)</w:t>
      </w:r>
    </w:p>
    <w:p w14:paraId="0713D7C2" w14:textId="77777777" w:rsidR="00272F4D" w:rsidRPr="00044368"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b/>
        </w:rPr>
      </w:pPr>
    </w:p>
    <w:p w14:paraId="1F48EF7E" w14:textId="77777777" w:rsidR="00272F4D" w:rsidRPr="009533EA" w:rsidRDefault="00272F4D" w:rsidP="00272F4D">
      <w:pPr>
        <w:pStyle w:val="BodyText"/>
      </w:pPr>
      <w:r w:rsidRPr="009533EA">
        <w:t>EPA identified the following ICs in the currently-approved ICR for activities that submitters would complete when complying with the rule:</w:t>
      </w:r>
    </w:p>
    <w:p w14:paraId="4C186939" w14:textId="77777777" w:rsidR="00272F4D" w:rsidRPr="009533EA" w:rsidRDefault="00272F4D" w:rsidP="004D4DC1">
      <w:pPr>
        <w:numPr>
          <w:ilvl w:val="0"/>
          <w:numId w:val="17"/>
        </w:numPr>
        <w:rPr>
          <w:rFonts w:eastAsia="Times New Roman" w:cs="Times New Roman"/>
        </w:rPr>
      </w:pPr>
      <w:r w:rsidRPr="009533EA">
        <w:rPr>
          <w:rFonts w:eastAsia="Times New Roman" w:cs="Times New Roman"/>
        </w:rPr>
        <w:t>CDX Registration Activities</w:t>
      </w:r>
    </w:p>
    <w:p w14:paraId="5F898F3D" w14:textId="77777777" w:rsidR="00272F4D" w:rsidRPr="009533EA" w:rsidRDefault="00272F4D" w:rsidP="004D4DC1">
      <w:pPr>
        <w:numPr>
          <w:ilvl w:val="0"/>
          <w:numId w:val="17"/>
        </w:numPr>
        <w:rPr>
          <w:rFonts w:eastAsia="Times New Roman" w:cs="Times New Roman"/>
        </w:rPr>
      </w:pPr>
      <w:r w:rsidRPr="009533EA">
        <w:rPr>
          <w:rFonts w:eastAsia="Times New Roman" w:cs="Times New Roman"/>
        </w:rPr>
        <w:t>Prepare and Submit Report, and Maintain Records.</w:t>
      </w:r>
    </w:p>
    <w:p w14:paraId="3B4907B4" w14:textId="77777777" w:rsidR="00272F4D" w:rsidRPr="009533EA" w:rsidRDefault="00272F4D" w:rsidP="00272F4D">
      <w:pPr>
        <w:rPr>
          <w:rFonts w:eastAsia="Times New Roman" w:cs="Times New Roman"/>
          <w:b/>
          <w:sz w:val="22"/>
          <w:szCs w:val="22"/>
        </w:rPr>
      </w:pPr>
    </w:p>
    <w:p w14:paraId="7BB9577C" w14:textId="77777777" w:rsidR="00272F4D" w:rsidRPr="009533EA" w:rsidRDefault="00272F4D" w:rsidP="00272F4D">
      <w:pPr>
        <w:pStyle w:val="Caption"/>
      </w:pPr>
    </w:p>
    <w:tbl>
      <w:tblPr>
        <w:tblW w:w="0" w:type="auto"/>
        <w:tblInd w:w="-1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00"/>
        <w:gridCol w:w="4616"/>
        <w:gridCol w:w="3109"/>
      </w:tblGrid>
      <w:tr w:rsidR="00F91759" w:rsidRPr="009533EA" w14:paraId="0534DE0B" w14:textId="77777777" w:rsidTr="00F91759">
        <w:tc>
          <w:tcPr>
            <w:tcW w:w="9525" w:type="dxa"/>
            <w:gridSpan w:val="3"/>
            <w:tcBorders>
              <w:top w:val="nil"/>
              <w:left w:val="nil"/>
              <w:bottom w:val="double" w:sz="4" w:space="0" w:color="auto"/>
              <w:right w:val="nil"/>
            </w:tcBorders>
          </w:tcPr>
          <w:p w14:paraId="105E1ABF" w14:textId="77777777" w:rsidR="00F91759" w:rsidRPr="009533EA" w:rsidRDefault="00F91759" w:rsidP="00F91759">
            <w:pPr>
              <w:keepNext/>
              <w:widowControl w:val="0"/>
              <w:autoSpaceDE w:val="0"/>
              <w:autoSpaceDN w:val="0"/>
              <w:adjustRightInd w:val="0"/>
              <w:jc w:val="center"/>
              <w:rPr>
                <w:rFonts w:eastAsia="Times New Roman" w:cs="Times New Roman"/>
                <w:b/>
                <w:sz w:val="20"/>
                <w:szCs w:val="20"/>
              </w:rPr>
            </w:pPr>
            <w:r w:rsidRPr="009533EA">
              <w:t>Table 1: Information Collections (ICs) for CDR Reporting</w:t>
            </w:r>
          </w:p>
        </w:tc>
      </w:tr>
      <w:tr w:rsidR="00272F4D" w:rsidRPr="009533EA" w14:paraId="10D89E1C" w14:textId="77777777" w:rsidTr="00F91759">
        <w:tc>
          <w:tcPr>
            <w:tcW w:w="1800" w:type="dxa"/>
            <w:tcBorders>
              <w:top w:val="double" w:sz="4" w:space="0" w:color="auto"/>
            </w:tcBorders>
          </w:tcPr>
          <w:p w14:paraId="5836F881" w14:textId="77777777" w:rsidR="00272F4D" w:rsidRPr="009533EA" w:rsidRDefault="00272F4D" w:rsidP="00195ECD">
            <w:pPr>
              <w:keepNext/>
              <w:widowControl w:val="0"/>
              <w:autoSpaceDE w:val="0"/>
              <w:autoSpaceDN w:val="0"/>
              <w:adjustRightInd w:val="0"/>
              <w:rPr>
                <w:rFonts w:eastAsia="Times New Roman" w:cs="Times New Roman"/>
                <w:b/>
                <w:sz w:val="20"/>
                <w:szCs w:val="20"/>
              </w:rPr>
            </w:pPr>
            <w:r w:rsidRPr="009533EA">
              <w:rPr>
                <w:rFonts w:eastAsia="Times New Roman" w:cs="Times New Roman"/>
                <w:b/>
                <w:sz w:val="20"/>
                <w:szCs w:val="20"/>
              </w:rPr>
              <w:t>Activity</w:t>
            </w:r>
          </w:p>
        </w:tc>
        <w:tc>
          <w:tcPr>
            <w:tcW w:w="4616" w:type="dxa"/>
            <w:tcBorders>
              <w:top w:val="double" w:sz="4" w:space="0" w:color="auto"/>
            </w:tcBorders>
          </w:tcPr>
          <w:p w14:paraId="4FE842A8" w14:textId="77777777" w:rsidR="00272F4D" w:rsidRPr="009533EA" w:rsidRDefault="00272F4D" w:rsidP="00195ECD">
            <w:pPr>
              <w:keepNext/>
              <w:widowControl w:val="0"/>
              <w:autoSpaceDE w:val="0"/>
              <w:autoSpaceDN w:val="0"/>
              <w:adjustRightInd w:val="0"/>
              <w:rPr>
                <w:rFonts w:eastAsia="Times New Roman" w:cs="Times New Roman"/>
                <w:b/>
                <w:sz w:val="20"/>
                <w:szCs w:val="20"/>
              </w:rPr>
            </w:pPr>
            <w:r w:rsidRPr="009533EA">
              <w:rPr>
                <w:rFonts w:eastAsia="Times New Roman" w:cs="Times New Roman"/>
                <w:b/>
                <w:sz w:val="20"/>
                <w:szCs w:val="20"/>
              </w:rPr>
              <w:t>Description</w:t>
            </w:r>
          </w:p>
        </w:tc>
        <w:tc>
          <w:tcPr>
            <w:tcW w:w="3109" w:type="dxa"/>
            <w:tcBorders>
              <w:top w:val="double" w:sz="4" w:space="0" w:color="auto"/>
            </w:tcBorders>
          </w:tcPr>
          <w:p w14:paraId="1C52000C" w14:textId="77777777" w:rsidR="00272F4D" w:rsidRPr="009533EA" w:rsidRDefault="00272F4D" w:rsidP="00195ECD">
            <w:pPr>
              <w:keepNext/>
              <w:widowControl w:val="0"/>
              <w:autoSpaceDE w:val="0"/>
              <w:autoSpaceDN w:val="0"/>
              <w:adjustRightInd w:val="0"/>
              <w:rPr>
                <w:rFonts w:eastAsia="Times New Roman" w:cs="Times New Roman"/>
                <w:b/>
                <w:sz w:val="20"/>
                <w:szCs w:val="20"/>
              </w:rPr>
            </w:pPr>
            <w:r w:rsidRPr="009533EA">
              <w:rPr>
                <w:rFonts w:eastAsia="Times New Roman" w:cs="Times New Roman"/>
                <w:b/>
                <w:sz w:val="20"/>
                <w:szCs w:val="20"/>
              </w:rPr>
              <w:t>Related IC(s) included in this ICR Renewal</w:t>
            </w:r>
          </w:p>
        </w:tc>
      </w:tr>
      <w:tr w:rsidR="00272F4D" w:rsidRPr="009533EA" w14:paraId="6817A77B" w14:textId="77777777" w:rsidTr="00195ECD">
        <w:tc>
          <w:tcPr>
            <w:tcW w:w="1800" w:type="dxa"/>
          </w:tcPr>
          <w:p w14:paraId="6136522A" w14:textId="77777777" w:rsidR="00272F4D" w:rsidRPr="009533EA" w:rsidRDefault="00272F4D" w:rsidP="00195ECD">
            <w:pPr>
              <w:widowControl w:val="0"/>
              <w:autoSpaceDE w:val="0"/>
              <w:autoSpaceDN w:val="0"/>
              <w:adjustRightInd w:val="0"/>
              <w:rPr>
                <w:rFonts w:eastAsia="Times New Roman" w:cs="Times New Roman"/>
                <w:b/>
                <w:bCs/>
                <w:sz w:val="20"/>
                <w:szCs w:val="20"/>
              </w:rPr>
            </w:pPr>
            <w:r w:rsidRPr="009533EA">
              <w:rPr>
                <w:rFonts w:eastAsia="Times New Roman" w:cs="Times New Roman"/>
                <w:b/>
                <w:bCs/>
                <w:sz w:val="20"/>
                <w:szCs w:val="20"/>
              </w:rPr>
              <w:t>CDX Registration and e-Signature</w:t>
            </w:r>
          </w:p>
        </w:tc>
        <w:tc>
          <w:tcPr>
            <w:tcW w:w="4616" w:type="dxa"/>
          </w:tcPr>
          <w:p w14:paraId="7BFB05B9" w14:textId="77777777" w:rsidR="00272F4D" w:rsidRPr="009533EA" w:rsidRDefault="00272F4D" w:rsidP="00195ECD">
            <w:pPr>
              <w:widowControl w:val="0"/>
              <w:autoSpaceDE w:val="0"/>
              <w:autoSpaceDN w:val="0"/>
              <w:adjustRightInd w:val="0"/>
              <w:rPr>
                <w:rFonts w:eastAsia="Times New Roman" w:cs="Times New Roman"/>
                <w:sz w:val="20"/>
                <w:szCs w:val="20"/>
              </w:rPr>
            </w:pPr>
            <w:r w:rsidRPr="009533EA">
              <w:rPr>
                <w:rFonts w:eastAsia="Times New Roman" w:cs="Times New Roman"/>
                <w:sz w:val="20"/>
                <w:szCs w:val="20"/>
              </w:rPr>
              <w:t xml:space="preserve">Before submitting a TSCA Form U, new submitters and experienced submitters with new employees must register with CDX. In addition, registrants must complete an Electronic Signature Agreement form, which is signed, dated, and </w:t>
            </w:r>
            <w:r w:rsidR="00EE1004">
              <w:rPr>
                <w:rFonts w:eastAsia="Times New Roman" w:cs="Times New Roman"/>
                <w:sz w:val="20"/>
                <w:szCs w:val="20"/>
              </w:rPr>
              <w:t xml:space="preserve">either </w:t>
            </w:r>
            <w:r w:rsidRPr="009533EA">
              <w:rPr>
                <w:rFonts w:eastAsia="Times New Roman" w:cs="Times New Roman"/>
                <w:sz w:val="20"/>
                <w:szCs w:val="20"/>
              </w:rPr>
              <w:t>submitted electronically</w:t>
            </w:r>
            <w:r w:rsidR="00EE1004">
              <w:rPr>
                <w:rFonts w:eastAsia="Times New Roman" w:cs="Times New Roman"/>
                <w:sz w:val="20"/>
                <w:szCs w:val="20"/>
              </w:rPr>
              <w:t xml:space="preserve"> or mailed</w:t>
            </w:r>
            <w:r w:rsidRPr="009533EA">
              <w:rPr>
                <w:rFonts w:eastAsia="Times New Roman" w:cs="Times New Roman"/>
                <w:sz w:val="20"/>
                <w:szCs w:val="20"/>
              </w:rPr>
              <w:t xml:space="preserve"> back to EPA.</w:t>
            </w:r>
          </w:p>
        </w:tc>
        <w:tc>
          <w:tcPr>
            <w:tcW w:w="3109" w:type="dxa"/>
          </w:tcPr>
          <w:p w14:paraId="68177CB2" w14:textId="77777777" w:rsidR="00272F4D" w:rsidRPr="009533EA" w:rsidRDefault="00272F4D" w:rsidP="00195ECD">
            <w:pPr>
              <w:widowControl w:val="0"/>
              <w:autoSpaceDE w:val="0"/>
              <w:autoSpaceDN w:val="0"/>
              <w:adjustRightInd w:val="0"/>
              <w:rPr>
                <w:rFonts w:eastAsia="Times New Roman" w:cs="Times New Roman"/>
                <w:sz w:val="20"/>
                <w:szCs w:val="20"/>
              </w:rPr>
            </w:pPr>
            <w:r w:rsidRPr="009533EA">
              <w:rPr>
                <w:rFonts w:eastAsia="Times New Roman" w:cs="Times New Roman"/>
                <w:sz w:val="20"/>
                <w:szCs w:val="20"/>
              </w:rPr>
              <w:t>CDX Registration Activities</w:t>
            </w:r>
          </w:p>
        </w:tc>
      </w:tr>
      <w:tr w:rsidR="00272F4D" w:rsidRPr="009533EA" w14:paraId="00134035" w14:textId="77777777" w:rsidTr="00195ECD">
        <w:tc>
          <w:tcPr>
            <w:tcW w:w="1800" w:type="dxa"/>
          </w:tcPr>
          <w:p w14:paraId="6E810C52" w14:textId="77777777" w:rsidR="00272F4D" w:rsidRPr="009533EA" w:rsidRDefault="00272F4D" w:rsidP="00195ECD">
            <w:pPr>
              <w:widowControl w:val="0"/>
              <w:autoSpaceDE w:val="0"/>
              <w:autoSpaceDN w:val="0"/>
              <w:adjustRightInd w:val="0"/>
              <w:rPr>
                <w:rFonts w:eastAsia="Times New Roman" w:cs="Times New Roman"/>
                <w:sz w:val="20"/>
                <w:szCs w:val="20"/>
              </w:rPr>
            </w:pPr>
            <w:r w:rsidRPr="009533EA">
              <w:rPr>
                <w:rFonts w:eastAsia="Times New Roman" w:cs="Times New Roman"/>
                <w:b/>
                <w:bCs/>
                <w:sz w:val="20"/>
                <w:szCs w:val="20"/>
              </w:rPr>
              <w:t>Preparation and Submission of Reports</w:t>
            </w:r>
          </w:p>
        </w:tc>
        <w:tc>
          <w:tcPr>
            <w:tcW w:w="4616" w:type="dxa"/>
          </w:tcPr>
          <w:p w14:paraId="67C2A28B" w14:textId="77777777" w:rsidR="00272F4D" w:rsidRPr="009533EA" w:rsidRDefault="00272F4D" w:rsidP="00195ECD">
            <w:pPr>
              <w:widowControl w:val="0"/>
              <w:autoSpaceDE w:val="0"/>
              <w:autoSpaceDN w:val="0"/>
              <w:adjustRightInd w:val="0"/>
              <w:rPr>
                <w:rFonts w:eastAsia="Times New Roman" w:cs="Times New Roman"/>
                <w:sz w:val="20"/>
                <w:szCs w:val="20"/>
              </w:rPr>
            </w:pPr>
            <w:r w:rsidRPr="009533EA">
              <w:rPr>
                <w:rFonts w:eastAsia="Times New Roman" w:cs="Times New Roman"/>
                <w:sz w:val="20"/>
                <w:szCs w:val="20"/>
              </w:rPr>
              <w:t>Staff must collect all of the required information and submit relevant information for each of the reportable chemicals substances at that site in an electronic submission of the Form U. The information must be gathered, reviewed, and submitted to EPA. This task includes any research necessary to identify the correct information, the act of completing the submission, and associated review. Therefore, the list of activities included in this IC are (as described in this ICR Supporting Statement): rule familiarization (for new reporters only), compliance determination, form completion, and recordkeeping.</w:t>
            </w:r>
          </w:p>
        </w:tc>
        <w:tc>
          <w:tcPr>
            <w:tcW w:w="3109" w:type="dxa"/>
          </w:tcPr>
          <w:p w14:paraId="30E298F8" w14:textId="77777777" w:rsidR="00272F4D" w:rsidRPr="009533EA" w:rsidRDefault="00272F4D" w:rsidP="00195ECD">
            <w:pPr>
              <w:widowControl w:val="0"/>
              <w:autoSpaceDE w:val="0"/>
              <w:autoSpaceDN w:val="0"/>
              <w:adjustRightInd w:val="0"/>
              <w:rPr>
                <w:rFonts w:eastAsia="Times New Roman" w:cs="Times New Roman"/>
                <w:sz w:val="20"/>
                <w:szCs w:val="20"/>
              </w:rPr>
            </w:pPr>
            <w:r w:rsidRPr="009533EA">
              <w:rPr>
                <w:rFonts w:eastAsia="Times New Roman" w:cs="Times New Roman"/>
                <w:sz w:val="20"/>
                <w:szCs w:val="20"/>
              </w:rPr>
              <w:t>Prepare and Submit Report, and Maintain Records.</w:t>
            </w:r>
          </w:p>
        </w:tc>
      </w:tr>
      <w:tr w:rsidR="00272F4D" w:rsidRPr="009533EA" w14:paraId="4666420E" w14:textId="77777777" w:rsidTr="00195ECD">
        <w:tc>
          <w:tcPr>
            <w:tcW w:w="1800" w:type="dxa"/>
          </w:tcPr>
          <w:p w14:paraId="7D92EA1F" w14:textId="77777777" w:rsidR="00272F4D" w:rsidRPr="009533EA" w:rsidRDefault="00272F4D" w:rsidP="00195ECD">
            <w:pPr>
              <w:widowControl w:val="0"/>
              <w:autoSpaceDE w:val="0"/>
              <w:autoSpaceDN w:val="0"/>
              <w:adjustRightInd w:val="0"/>
              <w:rPr>
                <w:rFonts w:eastAsia="Times New Roman" w:cs="Times New Roman"/>
                <w:sz w:val="20"/>
                <w:szCs w:val="20"/>
              </w:rPr>
            </w:pPr>
            <w:r w:rsidRPr="009533EA">
              <w:rPr>
                <w:rFonts w:eastAsia="Times New Roman" w:cs="Times New Roman"/>
                <w:b/>
                <w:bCs/>
                <w:sz w:val="20"/>
                <w:szCs w:val="20"/>
              </w:rPr>
              <w:t>Recordkeeping</w:t>
            </w:r>
          </w:p>
        </w:tc>
        <w:tc>
          <w:tcPr>
            <w:tcW w:w="4616" w:type="dxa"/>
          </w:tcPr>
          <w:p w14:paraId="082CA24D" w14:textId="77777777" w:rsidR="00272F4D" w:rsidRPr="009533EA" w:rsidRDefault="00272F4D" w:rsidP="00195ECD">
            <w:pPr>
              <w:widowControl w:val="0"/>
              <w:autoSpaceDE w:val="0"/>
              <w:autoSpaceDN w:val="0"/>
              <w:adjustRightInd w:val="0"/>
              <w:rPr>
                <w:rFonts w:eastAsia="Times New Roman" w:cs="Times New Roman"/>
                <w:sz w:val="20"/>
                <w:szCs w:val="20"/>
              </w:rPr>
            </w:pPr>
            <w:r w:rsidRPr="009533EA">
              <w:rPr>
                <w:rFonts w:eastAsia="Times New Roman" w:cs="Times New Roman"/>
                <w:sz w:val="20"/>
                <w:szCs w:val="20"/>
              </w:rPr>
              <w:t>Respondents must keep records supporting their submissions for five years.</w:t>
            </w:r>
          </w:p>
        </w:tc>
        <w:tc>
          <w:tcPr>
            <w:tcW w:w="3109" w:type="dxa"/>
          </w:tcPr>
          <w:p w14:paraId="335B089D" w14:textId="77777777" w:rsidR="00272F4D" w:rsidRPr="009533EA" w:rsidRDefault="00272F4D" w:rsidP="00195ECD">
            <w:pPr>
              <w:widowControl w:val="0"/>
              <w:autoSpaceDE w:val="0"/>
              <w:autoSpaceDN w:val="0"/>
              <w:adjustRightInd w:val="0"/>
              <w:rPr>
                <w:rFonts w:eastAsia="Times New Roman" w:cs="Times New Roman"/>
                <w:sz w:val="20"/>
                <w:szCs w:val="20"/>
              </w:rPr>
            </w:pPr>
            <w:r w:rsidRPr="009533EA">
              <w:rPr>
                <w:rFonts w:eastAsia="Times New Roman" w:cs="Times New Roman"/>
                <w:sz w:val="20"/>
                <w:szCs w:val="20"/>
              </w:rPr>
              <w:t xml:space="preserve">Prepare and Submit Report, and Maintain Records </w:t>
            </w:r>
          </w:p>
        </w:tc>
      </w:tr>
    </w:tbl>
    <w:p w14:paraId="5C00F6D0" w14:textId="77777777" w:rsidR="00272F4D" w:rsidRPr="009533EA"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b/>
        </w:rPr>
      </w:pPr>
    </w:p>
    <w:p w14:paraId="2C0980B3" w14:textId="77777777" w:rsidR="00272F4D" w:rsidRPr="000D2D6D" w:rsidRDefault="00272F4D" w:rsidP="00272F4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rPr>
      </w:pPr>
      <w:r w:rsidRPr="000D2D6D">
        <w:t xml:space="preserve">THE INFORMATION COLLECTED–AGENCY ACTIVITIES, COLLECTION </w:t>
      </w:r>
      <w:r w:rsidRPr="000D2D6D">
        <w:rPr>
          <w:rFonts w:eastAsia="Times New Roman" w:cs="Times New Roman"/>
        </w:rPr>
        <w:t>METHODOLOGY, AND INFORMATION MANAGEMENT</w:t>
      </w:r>
    </w:p>
    <w:p w14:paraId="039B2587" w14:textId="77777777" w:rsidR="00272F4D" w:rsidRPr="009533EA" w:rsidRDefault="00272F4D" w:rsidP="00272F4D">
      <w:pPr>
        <w:pStyle w:val="Heading2"/>
      </w:pPr>
      <w:r>
        <w:t>A</w:t>
      </w:r>
      <w:r w:rsidRPr="009533EA">
        <w:t>gency Activities</w:t>
      </w:r>
    </w:p>
    <w:p w14:paraId="71FB5EFE" w14:textId="77777777" w:rsidR="00272F4D" w:rsidRPr="009533EA" w:rsidRDefault="00272F4D" w:rsidP="00272F4D">
      <w:pPr>
        <w:pStyle w:val="BodyText"/>
      </w:pPr>
      <w:r w:rsidRPr="009533EA">
        <w:t>The Agency develops and maintains the electronic tool used to collect and verify data.  Other activities routinely conducted by EPA related to the processing, analysis and storage of the information collected under this rule include the following:</w:t>
      </w:r>
    </w:p>
    <w:p w14:paraId="537823E5" w14:textId="77777777" w:rsidR="00272F4D" w:rsidRPr="009533EA" w:rsidRDefault="00272F4D" w:rsidP="004D4DC1">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szCs w:val="20"/>
        </w:rPr>
      </w:pPr>
      <w:r w:rsidRPr="009533EA">
        <w:rPr>
          <w:rFonts w:eastAsia="Times New Roman" w:cs="Times New Roman"/>
          <w:szCs w:val="20"/>
        </w:rPr>
        <w:t>Review and verify submissions;</w:t>
      </w:r>
    </w:p>
    <w:p w14:paraId="4305D824" w14:textId="77777777" w:rsidR="00272F4D" w:rsidRPr="009533EA" w:rsidRDefault="00272F4D" w:rsidP="004D4DC1">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szCs w:val="20"/>
        </w:rPr>
      </w:pPr>
      <w:r w:rsidRPr="009533EA">
        <w:rPr>
          <w:rFonts w:eastAsia="Times New Roman" w:cs="Times New Roman"/>
          <w:szCs w:val="20"/>
        </w:rPr>
        <w:t>Answer submitter questions and provide any necessary technical assistance;</w:t>
      </w:r>
    </w:p>
    <w:p w14:paraId="5241AFA6" w14:textId="77777777" w:rsidR="00272F4D" w:rsidRPr="009533EA" w:rsidRDefault="00272F4D" w:rsidP="004D4DC1">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szCs w:val="20"/>
        </w:rPr>
      </w:pPr>
      <w:r w:rsidRPr="009533EA">
        <w:rPr>
          <w:rFonts w:eastAsia="Times New Roman" w:cs="Times New Roman"/>
          <w:szCs w:val="20"/>
        </w:rPr>
        <w:t>Process submissions for inclusion in CDR database;</w:t>
      </w:r>
    </w:p>
    <w:p w14:paraId="3CFC5397" w14:textId="77777777" w:rsidR="00272F4D" w:rsidRPr="009533EA" w:rsidRDefault="00272F4D" w:rsidP="004D4DC1">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szCs w:val="20"/>
        </w:rPr>
      </w:pPr>
      <w:r w:rsidRPr="009533EA">
        <w:rPr>
          <w:rFonts w:eastAsia="Times New Roman" w:cs="Times New Roman"/>
          <w:szCs w:val="20"/>
        </w:rPr>
        <w:t>Review requests for confidentiality in the submissions;</w:t>
      </w:r>
    </w:p>
    <w:p w14:paraId="371F8AFE" w14:textId="77777777" w:rsidR="00272F4D" w:rsidRPr="009533EA" w:rsidRDefault="00272F4D" w:rsidP="004D4DC1">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szCs w:val="20"/>
        </w:rPr>
      </w:pPr>
      <w:r w:rsidRPr="009533EA">
        <w:rPr>
          <w:rFonts w:eastAsia="Times New Roman" w:cs="Times New Roman"/>
          <w:szCs w:val="20"/>
        </w:rPr>
        <w:t>Maintain the database; and</w:t>
      </w:r>
    </w:p>
    <w:p w14:paraId="50240285" w14:textId="77777777" w:rsidR="00272F4D" w:rsidRPr="009533EA" w:rsidRDefault="00272F4D" w:rsidP="004D4DC1">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szCs w:val="20"/>
        </w:rPr>
      </w:pPr>
      <w:r w:rsidRPr="009533EA">
        <w:rPr>
          <w:rFonts w:eastAsia="Times New Roman" w:cs="Times New Roman"/>
          <w:szCs w:val="20"/>
        </w:rPr>
        <w:t>Distribute the data.</w:t>
      </w:r>
    </w:p>
    <w:p w14:paraId="108196C4" w14:textId="77777777" w:rsidR="00272F4D" w:rsidRPr="009533EA" w:rsidRDefault="00272F4D" w:rsidP="00272F4D">
      <w:pPr>
        <w:pStyle w:val="Heading2"/>
      </w:pPr>
      <w:r w:rsidRPr="009533EA">
        <w:t>Collection Methodology and Management</w:t>
      </w:r>
    </w:p>
    <w:p w14:paraId="568186A3" w14:textId="6E99B91B" w:rsidR="00272F4D" w:rsidRDefault="00230BC8" w:rsidP="00230BC8">
      <w:pPr>
        <w:pStyle w:val="BodyText"/>
      </w:pPr>
      <w:r w:rsidRPr="009533EA">
        <w:t xml:space="preserve">All manufacturers (including importers), except for those defined as “small manufacturers” by EPA’s regulations, are required to submit information on every substance subject to the regulation (40 CFR 711) that they manufacture (including import) in quantities that meet or exceed the CDR thresholds. </w:t>
      </w:r>
      <w:r w:rsidR="00D0652B">
        <w:t>However, a</w:t>
      </w:r>
      <w:r w:rsidR="00D0652B" w:rsidRPr="00D0652B">
        <w:t xml:space="preserve"> person who </w:t>
      </w:r>
      <w:r w:rsidR="00D0652B">
        <w:t xml:space="preserve">otherwise </w:t>
      </w:r>
      <w:r w:rsidR="00D0652B" w:rsidRPr="00D0652B">
        <w:t xml:space="preserve">qualifies as a small manufacturer is </w:t>
      </w:r>
      <w:r w:rsidR="00D0652B">
        <w:t>required to report</w:t>
      </w:r>
      <w:r w:rsidR="00D0652B" w:rsidRPr="00D0652B">
        <w:t xml:space="preserve"> any chemical substance that is the subject of a rule proposed or promulgated under TSCA section 4, 5(b)(4), or 6, or is the subject of an order in effect under TSCA section 5(e), or is the subject of relief that has been granted under a civil action under TSCA section 5 or 7. </w:t>
      </w:r>
      <w:r w:rsidRPr="009533EA">
        <w:t>The collection will occur every four years. The next CDR collection will occur in 2020.</w:t>
      </w:r>
      <w:r w:rsidR="00272F4D" w:rsidRPr="009533EA">
        <w:t xml:space="preserve"> </w:t>
      </w:r>
    </w:p>
    <w:p w14:paraId="08562E25" w14:textId="77777777" w:rsidR="00272F4D" w:rsidRPr="009533EA" w:rsidRDefault="00272F4D" w:rsidP="00272F4D">
      <w:pPr>
        <w:spacing w:after="200" w:line="276" w:lineRule="auto"/>
        <w:rPr>
          <w:rFonts w:eastAsia="Times New Roman" w:cs="Times New Roman"/>
        </w:rPr>
      </w:pPr>
      <w:r w:rsidRPr="009533EA">
        <w:rPr>
          <w:rFonts w:eastAsia="Times New Roman" w:cs="Times New Roman"/>
          <w:b/>
          <w:i/>
        </w:rPr>
        <w:tab/>
      </w:r>
      <w:r w:rsidRPr="009533EA">
        <w:rPr>
          <w:rFonts w:eastAsia="Times New Roman" w:cs="Times New Roman"/>
          <w:b/>
        </w:rPr>
        <w:t xml:space="preserve">(i) </w:t>
      </w:r>
      <w:r w:rsidRPr="009533EA">
        <w:rPr>
          <w:rFonts w:eastAsia="Times New Roman" w:cs="Times New Roman"/>
          <w:b/>
        </w:rPr>
        <w:tab/>
        <w:t>Collection Methodology</w:t>
      </w:r>
    </w:p>
    <w:p w14:paraId="6D3503D3" w14:textId="77777777" w:rsidR="00272F4D" w:rsidRPr="009533EA" w:rsidRDefault="00272F4D" w:rsidP="00272F4D">
      <w:pPr>
        <w:pStyle w:val="BodyText"/>
      </w:pPr>
      <w:r w:rsidRPr="009533EA">
        <w:t>Submitters are required to submit information associated with this data collection electronically via the Internet using e-CDRweb and CDX.</w:t>
      </w:r>
    </w:p>
    <w:p w14:paraId="25E0B34F" w14:textId="71EAEF11" w:rsidR="00230BC8" w:rsidRPr="009533EA" w:rsidRDefault="00B02930" w:rsidP="00230BC8">
      <w:pPr>
        <w:pStyle w:val="BodyText"/>
      </w:pPr>
      <w:r>
        <w:t>In addition to the notice of reporting requirements contained in the CDR rule published in 2011, p</w:t>
      </w:r>
      <w:r w:rsidR="00230BC8" w:rsidRPr="009533EA">
        <w:t>otential submitters will be notified of the need to report in three ways: (1) make available guidance describing CDR reporting requirements at chemical industry conferences and meetings</w:t>
      </w:r>
      <w:r w:rsidR="00230BC8">
        <w:t>, and through web and list serve announcements</w:t>
      </w:r>
      <w:r w:rsidR="00230BC8" w:rsidRPr="009533EA">
        <w:t xml:space="preserve">, (2) send email notices to previous CDR submitters, and (3) publish articles in the trade press. </w:t>
      </w:r>
      <w:r w:rsidR="00D0652B">
        <w:t xml:space="preserve">The requirement to report is based on the CDR regulations; potential submitters that do not receive a notification as listed above or who do not read published articles are still required to report. </w:t>
      </w:r>
      <w:r w:rsidR="00230BC8" w:rsidRPr="009533EA">
        <w:t xml:space="preserve">Reporting materials, including a non-submission version of the Form U and a variety of instructions documents (Instruction Manual, Q&amp;As, Case Studies, Fact Sheets), are available on EPA’s CDR website. Submitters also can obtain these materials from the TSCA Hotline. Submitters obtain the e-CDRweb reporting tool (which enables the completion of the Form U for submission) as part of the CDX </w:t>
      </w:r>
      <w:r w:rsidR="00230BC8">
        <w:t xml:space="preserve">electronic web-based </w:t>
      </w:r>
      <w:r w:rsidR="00230BC8" w:rsidRPr="009533EA">
        <w:t>registration process, as described in section 4 of this document. The e-CDRweb reporting tool enables the user to complete Form U for submission to EPA.</w:t>
      </w:r>
    </w:p>
    <w:p w14:paraId="384BA8B4" w14:textId="77777777" w:rsidR="00272F4D" w:rsidRPr="009533EA" w:rsidRDefault="00272F4D" w:rsidP="00272F4D">
      <w:pPr>
        <w:pStyle w:val="BodyText"/>
      </w:pPr>
      <w:r w:rsidRPr="009533EA">
        <w:t xml:space="preserve">EPA will receive all CDR submissions electronically. The CDX registration process, required for all submitters, will provide a user ID, which the submitter will use to access e-CDRweb. </w:t>
      </w:r>
    </w:p>
    <w:p w14:paraId="4993D469" w14:textId="77777777" w:rsidR="00272F4D" w:rsidRPr="009533EA" w:rsidRDefault="00272F4D" w:rsidP="00272F4D">
      <w:pPr>
        <w:pStyle w:val="BodyText"/>
      </w:pPr>
      <w:r w:rsidRPr="009533EA">
        <w:t xml:space="preserve">Information quality control and validation begins with the e-CDRweb reporting tool, which is programmed to help the submitter provide the information required, in the correct format, as required by the CDR rule. </w:t>
      </w:r>
    </w:p>
    <w:p w14:paraId="4748A3E0" w14:textId="77777777" w:rsidR="00272F4D" w:rsidRPr="009533EA" w:rsidRDefault="00272F4D" w:rsidP="00272F4D">
      <w:pPr>
        <w:pStyle w:val="BodyText"/>
      </w:pPr>
      <w:r w:rsidRPr="009533EA">
        <w:t xml:space="preserve">To aid persons subject to this information collection, the Agency’s TSCA and CDX Hotlines are available to answer questions regarding the CDR requirements or submission process. When Hotline staff is unable to answer questions, the submitter is referred to OPPT’s Information Management Division (IMD) or Chemical Control Division (CCD), as appropriate. Submitters can also email their questions to the e-CDRweb mail site at </w:t>
      </w:r>
      <w:hyperlink r:id="rId31" w:history="1">
        <w:r w:rsidRPr="009533EA">
          <w:rPr>
            <w:color w:val="0000FF"/>
            <w:u w:val="single"/>
          </w:rPr>
          <w:t>eCDRweb@epa.gov</w:t>
        </w:r>
      </w:hyperlink>
      <w:r w:rsidRPr="009533EA">
        <w:t xml:space="preserve">. Other Divisions within OPPT or the Office of Environmental Information (OEI) are used as necessary. </w:t>
      </w:r>
    </w:p>
    <w:p w14:paraId="48C39926" w14:textId="77777777" w:rsidR="00272F4D" w:rsidRPr="009533EA"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b/>
        </w:rPr>
      </w:pPr>
      <w:r w:rsidRPr="009533EA">
        <w:rPr>
          <w:rFonts w:eastAsia="Times New Roman" w:cs="Times New Roman"/>
          <w:b/>
          <w:i/>
        </w:rPr>
        <w:tab/>
      </w:r>
      <w:r w:rsidRPr="009533EA">
        <w:rPr>
          <w:rFonts w:eastAsia="Times New Roman" w:cs="Times New Roman"/>
          <w:b/>
        </w:rPr>
        <w:t xml:space="preserve">(ii) </w:t>
      </w:r>
      <w:r w:rsidRPr="009533EA">
        <w:rPr>
          <w:rFonts w:eastAsia="Times New Roman" w:cs="Times New Roman"/>
          <w:b/>
        </w:rPr>
        <w:tab/>
        <w:t>Data Management</w:t>
      </w:r>
    </w:p>
    <w:p w14:paraId="12D7194E" w14:textId="77777777" w:rsidR="00272F4D" w:rsidRPr="009533EA"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rPr>
      </w:pPr>
    </w:p>
    <w:p w14:paraId="60F27849" w14:textId="77777777" w:rsidR="00272F4D" w:rsidRPr="009533EA" w:rsidRDefault="00272F4D" w:rsidP="00272F4D">
      <w:pPr>
        <w:pStyle w:val="BodyText"/>
      </w:pPr>
      <w:r w:rsidRPr="009533EA">
        <w:t>This section describes the Agency tasks required for efficiently processing submissions under the CDR. The tasks for which the Agency is responsible are presented under four main categories: database systems development, guidance document development, Form U processing, and additional tasks. The task descriptions presented below generally do not change from collection to collection.</w:t>
      </w:r>
    </w:p>
    <w:p w14:paraId="50FD7624" w14:textId="77777777" w:rsidR="00272F4D" w:rsidRPr="009533EA" w:rsidRDefault="00272F4D" w:rsidP="00272F4D">
      <w:pPr>
        <w:pStyle w:val="BodyText"/>
      </w:pPr>
      <w:r w:rsidRPr="009533EA">
        <w:t>CDR data is stored in a database managed by EPA. Once updated, the CDR database is then available to EPA technical reviewers to search or export into their various analytical modeling systems and databases. The CDR database is also available for quick screening and other direct uses. The Agency makes publicly available as much information as possible, within the confines of protecting CBI.</w:t>
      </w:r>
    </w:p>
    <w:p w14:paraId="26AA12F4" w14:textId="77777777" w:rsidR="00272F4D" w:rsidRPr="009533EA" w:rsidRDefault="00272F4D" w:rsidP="004D4DC1">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szCs w:val="20"/>
        </w:rPr>
      </w:pPr>
      <w:r w:rsidRPr="009533EA">
        <w:rPr>
          <w:rFonts w:eastAsia="Times New Roman" w:cs="Times New Roman"/>
          <w:szCs w:val="20"/>
          <w:u w:val="single"/>
        </w:rPr>
        <w:t>Database Systems Development and Maintenance</w:t>
      </w:r>
      <w:r w:rsidRPr="009533EA">
        <w:rPr>
          <w:rFonts w:eastAsia="Times New Roman" w:cs="Times New Roman"/>
          <w:szCs w:val="20"/>
        </w:rPr>
        <w:t xml:space="preserve"> - The Agency develops and maintains adequate information systems in place to support the database that serves as the primary data storage medium for CDR collections. File servers with appropriate backup are used to contain the CDR databases. </w:t>
      </w:r>
    </w:p>
    <w:p w14:paraId="65A5E63E" w14:textId="77777777" w:rsidR="00272F4D" w:rsidRPr="009533EA" w:rsidRDefault="00272F4D" w:rsidP="004D4DC1">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szCs w:val="20"/>
        </w:rPr>
      </w:pPr>
      <w:r w:rsidRPr="009533EA">
        <w:rPr>
          <w:rFonts w:eastAsia="Times New Roman" w:cs="Times New Roman"/>
          <w:szCs w:val="20"/>
          <w:u w:val="single"/>
        </w:rPr>
        <w:t>Instructions Document Development</w:t>
      </w:r>
      <w:r w:rsidRPr="009533EA">
        <w:rPr>
          <w:rFonts w:eastAsia="Times New Roman" w:cs="Times New Roman"/>
          <w:szCs w:val="20"/>
        </w:rPr>
        <w:t xml:space="preserve"> - The Agency develops guidance, instructions, case studies, and other information to assist submitters in submitting data and complying with CDR requirements. The documents are updated for each CDR cycle.</w:t>
      </w:r>
    </w:p>
    <w:p w14:paraId="287EBCEE" w14:textId="77777777" w:rsidR="00272F4D" w:rsidRPr="009533EA" w:rsidRDefault="00272F4D" w:rsidP="004D4DC1">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szCs w:val="20"/>
        </w:rPr>
      </w:pPr>
      <w:r w:rsidRPr="009533EA">
        <w:rPr>
          <w:rFonts w:eastAsia="Times New Roman" w:cs="Times New Roman"/>
          <w:szCs w:val="20"/>
          <w:u w:val="single"/>
        </w:rPr>
        <w:t>Form U Processing</w:t>
      </w:r>
      <w:r w:rsidRPr="009533EA">
        <w:rPr>
          <w:rFonts w:eastAsia="Times New Roman" w:cs="Times New Roman"/>
          <w:szCs w:val="20"/>
        </w:rPr>
        <w:t xml:space="preserve"> - The Agency is responsible for processing CDR Form U submissions. This includes developing standard operating procedures and documentation for all stages in the CDR life cycle, tracking submissions, implementing quality assurance and control, maintaining file</w:t>
      </w:r>
      <w:r w:rsidR="00CE0180">
        <w:rPr>
          <w:rFonts w:eastAsia="Times New Roman" w:cs="Times New Roman"/>
          <w:szCs w:val="20"/>
        </w:rPr>
        <w:t>s</w:t>
      </w:r>
      <w:r w:rsidRPr="009533EA">
        <w:rPr>
          <w:rFonts w:eastAsia="Times New Roman" w:cs="Times New Roman"/>
          <w:szCs w:val="20"/>
        </w:rPr>
        <w:t xml:space="preserve"> and databases, information security, disseminating data, and training staff. EPA receives CDR submissions over the Internet, using CDX. </w:t>
      </w:r>
    </w:p>
    <w:p w14:paraId="2122B939" w14:textId="77777777" w:rsidR="00272F4D" w:rsidRPr="009533EA" w:rsidRDefault="00272F4D" w:rsidP="004D4DC1">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szCs w:val="20"/>
        </w:rPr>
      </w:pPr>
      <w:r w:rsidRPr="009533EA">
        <w:rPr>
          <w:rFonts w:eastAsia="Times New Roman" w:cs="Times New Roman"/>
          <w:szCs w:val="20"/>
          <w:u w:val="single"/>
        </w:rPr>
        <w:t>Additional Activities</w:t>
      </w:r>
      <w:r w:rsidRPr="009533EA">
        <w:rPr>
          <w:rFonts w:eastAsia="Times New Roman" w:cs="Times New Roman"/>
          <w:szCs w:val="20"/>
        </w:rPr>
        <w:t xml:space="preserve"> - The Agency develops various supporting documents associated with the reporting tool and makes them available on the Internet. In addition, the Agency provides the TSCA Hotline with standardized responses for frequently asked questions; preparing mailings, mailing lists, and labels; and develops outgoing information materials.</w:t>
      </w:r>
    </w:p>
    <w:p w14:paraId="4C28937A" w14:textId="77777777" w:rsidR="00272F4D" w:rsidRPr="009533EA" w:rsidRDefault="00272F4D" w:rsidP="00272F4D">
      <w:pPr>
        <w:pStyle w:val="Heading2"/>
      </w:pPr>
      <w:r w:rsidRPr="009533EA">
        <w:t>Small Entity Flexibility</w:t>
      </w:r>
    </w:p>
    <w:p w14:paraId="4BAE8C02" w14:textId="7258FBCE" w:rsidR="00272F4D" w:rsidRPr="009533EA" w:rsidRDefault="00272F4D" w:rsidP="00272F4D">
      <w:pPr>
        <w:pStyle w:val="BodyText"/>
        <w:rPr>
          <w:b/>
        </w:rPr>
      </w:pPr>
      <w:r w:rsidRPr="009533EA">
        <w:t>The CDR regulation provides flexibility to small entities</w:t>
      </w:r>
      <w:r>
        <w:t>, which includes small businesses, governmental jurisdictions, and not-for-profit organizations. While there is some reporting to CDR by small government jurisdictions, there is a very low likelihood of requiring reporting by small governmental jurisdictions, or small not-for-profit organizations. Instead, affected small entities are generally small businesses.</w:t>
      </w:r>
      <w:r w:rsidRPr="009533EA">
        <w:t xml:space="preserve"> Small manufacturers (including importers), in accordance with TSCA section 8(a)</w:t>
      </w:r>
      <w:r w:rsidR="00B3651E">
        <w:t xml:space="preserve"> and </w:t>
      </w:r>
      <w:r w:rsidRPr="009533EA">
        <w:t xml:space="preserve">40 CFR Sections 711.9, are </w:t>
      </w:r>
      <w:r w:rsidR="00B3651E">
        <w:t xml:space="preserve">generally </w:t>
      </w:r>
      <w:r w:rsidRPr="009533EA">
        <w:t xml:space="preserve">exempt and therefore are generally not subject to any of the reporting or recordkeeping requirements. A manufacturer (including importer) is considered a small business if (1) the firm’s total annual sales when combined with those of its parent company (if any) are less than $40 million for the principal reporting year and (2) its total production and/or importation of the chemical substances for the principal reporting year, does not exceed 100,000 pounds (45,000 kilograms) at an individual site owned and controlled by the firm. If the firm’s total annual sales when combined with those of its parent company (if any) are less than $4 million for the principal reporting year, the firm is considered small regardless of the production volume.  The </w:t>
      </w:r>
      <w:r w:rsidRPr="009533EA">
        <w:rPr>
          <w:i/>
        </w:rPr>
        <w:t>Economic Analysis for the Final Inventory Update Reporting Modifications Rule</w:t>
      </w:r>
      <w:r w:rsidRPr="009533EA">
        <w:t xml:space="preserve"> determined that the impact on these companies is, on average, significantly less than one percent of revenues (EPA, 2011). </w:t>
      </w:r>
    </w:p>
    <w:p w14:paraId="023DF6A8" w14:textId="77777777" w:rsidR="00272F4D" w:rsidRPr="009533EA" w:rsidRDefault="00272F4D" w:rsidP="00272F4D">
      <w:pPr>
        <w:pStyle w:val="Heading2"/>
      </w:pPr>
      <w:r w:rsidRPr="009533EA">
        <w:t>Collection Schedule</w:t>
      </w:r>
    </w:p>
    <w:p w14:paraId="1E2C3AEA" w14:textId="77777777" w:rsidR="00230BC8" w:rsidRPr="009533EA" w:rsidRDefault="00230BC8" w:rsidP="00230BC8">
      <w:pPr>
        <w:pStyle w:val="BodyText"/>
      </w:pPr>
      <w:r w:rsidRPr="009533EA">
        <w:t>The submission period/schedule follows the requirements of 40 CFR 711.20.</w:t>
      </w:r>
      <w:r>
        <w:t xml:space="preserve"> </w:t>
      </w:r>
      <w:r w:rsidRPr="009533EA">
        <w:t xml:space="preserve">The submission period for the </w:t>
      </w:r>
      <w:r>
        <w:t xml:space="preserve">next </w:t>
      </w:r>
      <w:r w:rsidRPr="009533EA">
        <w:t>collection</w:t>
      </w:r>
      <w:r>
        <w:t xml:space="preserve"> in 2020</w:t>
      </w:r>
      <w:r w:rsidRPr="009533EA">
        <w:t xml:space="preserve"> will be from June 1, 2020 to September 30, 2020.</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731"/>
      </w:tblGrid>
      <w:tr w:rsidR="00272F4D" w:rsidRPr="009533EA" w14:paraId="002972B5" w14:textId="77777777" w:rsidTr="00195ECD">
        <w:tc>
          <w:tcPr>
            <w:tcW w:w="5845" w:type="dxa"/>
          </w:tcPr>
          <w:p w14:paraId="21DCD91C" w14:textId="77777777" w:rsidR="00272F4D" w:rsidRPr="009533EA" w:rsidRDefault="00272F4D" w:rsidP="0019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rPr>
            </w:pPr>
            <w:r w:rsidRPr="009533EA">
              <w:rPr>
                <w:rFonts w:eastAsia="Times New Roman" w:cs="Times New Roman"/>
              </w:rPr>
              <w:t>Activity</w:t>
            </w:r>
          </w:p>
        </w:tc>
        <w:tc>
          <w:tcPr>
            <w:tcW w:w="3731" w:type="dxa"/>
          </w:tcPr>
          <w:p w14:paraId="3081D732" w14:textId="77777777" w:rsidR="00272F4D" w:rsidRPr="009533EA" w:rsidRDefault="00272F4D" w:rsidP="0019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rPr>
            </w:pPr>
            <w:r w:rsidRPr="009533EA">
              <w:rPr>
                <w:rFonts w:eastAsia="Times New Roman" w:cs="Times New Roman"/>
              </w:rPr>
              <w:t>Timeline</w:t>
            </w:r>
          </w:p>
        </w:tc>
      </w:tr>
      <w:tr w:rsidR="00272F4D" w:rsidRPr="009533EA" w14:paraId="01771033" w14:textId="77777777" w:rsidTr="00195ECD">
        <w:tc>
          <w:tcPr>
            <w:tcW w:w="5845" w:type="dxa"/>
          </w:tcPr>
          <w:p w14:paraId="51223F8D" w14:textId="77777777" w:rsidR="00272F4D" w:rsidRPr="009533EA" w:rsidRDefault="00272F4D" w:rsidP="0019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rPr>
            </w:pPr>
            <w:r w:rsidRPr="009533EA">
              <w:rPr>
                <w:rFonts w:eastAsia="Times New Roman" w:cs="Times New Roman"/>
              </w:rPr>
              <w:t>Public outreach efforts: articles in industry press, meetings with regulated community, and information on the CDR website</w:t>
            </w:r>
          </w:p>
        </w:tc>
        <w:tc>
          <w:tcPr>
            <w:tcW w:w="3731" w:type="dxa"/>
          </w:tcPr>
          <w:p w14:paraId="29ECEE19" w14:textId="77777777" w:rsidR="00272F4D" w:rsidRPr="009533EA" w:rsidRDefault="00272F4D" w:rsidP="0019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rPr>
            </w:pPr>
            <w:r w:rsidRPr="009533EA">
              <w:rPr>
                <w:rFonts w:eastAsia="Times New Roman" w:cs="Times New Roman"/>
              </w:rPr>
              <w:t>2018-2020</w:t>
            </w:r>
          </w:p>
        </w:tc>
      </w:tr>
      <w:tr w:rsidR="00272F4D" w:rsidRPr="009533EA" w14:paraId="75BE451E" w14:textId="77777777" w:rsidTr="00195ECD">
        <w:tc>
          <w:tcPr>
            <w:tcW w:w="5845" w:type="dxa"/>
          </w:tcPr>
          <w:p w14:paraId="4FB52335" w14:textId="77777777" w:rsidR="00272F4D" w:rsidRPr="009533EA" w:rsidRDefault="00272F4D" w:rsidP="0019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rPr>
            </w:pPr>
            <w:r w:rsidRPr="009533EA">
              <w:rPr>
                <w:rFonts w:eastAsia="Times New Roman" w:cs="Times New Roman"/>
              </w:rPr>
              <w:t>Email to 2020 CDR e-mailing list and other stakeholders with instructions for obtaining the reporting form and initiating reporting</w:t>
            </w:r>
          </w:p>
        </w:tc>
        <w:tc>
          <w:tcPr>
            <w:tcW w:w="3731" w:type="dxa"/>
          </w:tcPr>
          <w:p w14:paraId="7314884F" w14:textId="77777777" w:rsidR="00272F4D" w:rsidRPr="009533EA" w:rsidRDefault="00272F4D" w:rsidP="0019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rPr>
            </w:pPr>
            <w:r w:rsidRPr="009533EA">
              <w:rPr>
                <w:rFonts w:eastAsia="Times New Roman" w:cs="Times New Roman"/>
              </w:rPr>
              <w:t>Early 2020</w:t>
            </w:r>
          </w:p>
        </w:tc>
      </w:tr>
      <w:tr w:rsidR="00272F4D" w:rsidRPr="009533EA" w14:paraId="5EBBA298" w14:textId="77777777" w:rsidTr="00195ECD">
        <w:tc>
          <w:tcPr>
            <w:tcW w:w="5845" w:type="dxa"/>
          </w:tcPr>
          <w:p w14:paraId="1F6E8B02" w14:textId="77777777" w:rsidR="00272F4D" w:rsidRPr="009533EA" w:rsidRDefault="00272F4D" w:rsidP="0019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rPr>
            </w:pPr>
            <w:r w:rsidRPr="009533EA">
              <w:rPr>
                <w:rFonts w:eastAsia="Times New Roman" w:cs="Times New Roman"/>
              </w:rPr>
              <w:t>Open period for submitting 2020 CDR Forms</w:t>
            </w:r>
          </w:p>
        </w:tc>
        <w:tc>
          <w:tcPr>
            <w:tcW w:w="3731" w:type="dxa"/>
          </w:tcPr>
          <w:p w14:paraId="6ED78FFC" w14:textId="77777777" w:rsidR="00272F4D" w:rsidRPr="009533EA" w:rsidRDefault="00272F4D" w:rsidP="0019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rPr>
            </w:pPr>
            <w:r w:rsidRPr="009533EA">
              <w:rPr>
                <w:rFonts w:eastAsia="Times New Roman" w:cs="Times New Roman"/>
              </w:rPr>
              <w:t>June 1, 2020, to September 30, 2020</w:t>
            </w:r>
          </w:p>
        </w:tc>
      </w:tr>
    </w:tbl>
    <w:p w14:paraId="5F59785C" w14:textId="77777777" w:rsidR="00272F4D" w:rsidRPr="004A2583" w:rsidRDefault="00272F4D" w:rsidP="00272F4D"/>
    <w:p w14:paraId="5C3A5A96" w14:textId="77777777" w:rsidR="00F06BA6" w:rsidRDefault="00F06BA6" w:rsidP="004A2583">
      <w:pPr>
        <w:pStyle w:val="Heading1"/>
      </w:pPr>
      <w:bookmarkStart w:id="4" w:name="_Toc349627712"/>
      <w:bookmarkStart w:id="5" w:name="_Toc228172335"/>
      <w:bookmarkStart w:id="6" w:name="_Toc228260595"/>
      <w:bookmarkStart w:id="7" w:name="_Toc228263074"/>
      <w:bookmarkStart w:id="8" w:name="_Toc228172336"/>
      <w:bookmarkStart w:id="9" w:name="_Toc228260596"/>
      <w:bookmarkStart w:id="10" w:name="_Toc228263075"/>
      <w:bookmarkStart w:id="11" w:name="_Toc228172337"/>
      <w:bookmarkStart w:id="12" w:name="_Toc228260597"/>
      <w:bookmarkStart w:id="13" w:name="_Toc228263076"/>
      <w:bookmarkStart w:id="14" w:name="_Toc228172338"/>
      <w:bookmarkStart w:id="15" w:name="_Toc228260598"/>
      <w:bookmarkStart w:id="16" w:name="_Toc228262940"/>
      <w:bookmarkStart w:id="17" w:name="_Toc228263077"/>
      <w:bookmarkStart w:id="18" w:name="_Toc228172369"/>
      <w:bookmarkStart w:id="19" w:name="_Toc228260629"/>
      <w:bookmarkStart w:id="20" w:name="_Toc228263108"/>
      <w:bookmarkStart w:id="21" w:name="_Toc228172370"/>
      <w:bookmarkStart w:id="22" w:name="_Toc228260630"/>
      <w:bookmarkStart w:id="23" w:name="_Toc228262941"/>
      <w:bookmarkStart w:id="24" w:name="_Toc228263109"/>
      <w:bookmarkStart w:id="25" w:name="_Toc227753274"/>
      <w:bookmarkStart w:id="26" w:name="_Toc228260662"/>
      <w:bookmarkStart w:id="27" w:name="_Toc227753283"/>
      <w:bookmarkStart w:id="28" w:name="_Toc226377707"/>
      <w:bookmarkStart w:id="29" w:name="_Toc226377976"/>
      <w:bookmarkStart w:id="30" w:name="_Toc226378247"/>
      <w:bookmarkStart w:id="31" w:name="_Toc226463310"/>
      <w:bookmarkStart w:id="32" w:name="_Toc226377708"/>
      <w:bookmarkStart w:id="33" w:name="_Toc226377977"/>
      <w:bookmarkStart w:id="34" w:name="_Toc226378248"/>
      <w:bookmarkStart w:id="35" w:name="_Toc226463311"/>
      <w:bookmarkStart w:id="36" w:name="_Toc226377709"/>
      <w:bookmarkStart w:id="37" w:name="_Toc226377978"/>
      <w:bookmarkStart w:id="38" w:name="_Toc226378249"/>
      <w:bookmarkStart w:id="39" w:name="_Toc226463312"/>
      <w:bookmarkStart w:id="40" w:name="_Toc226377721"/>
      <w:bookmarkStart w:id="41" w:name="_Toc226377990"/>
      <w:bookmarkStart w:id="42" w:name="_Toc226378261"/>
      <w:bookmarkStart w:id="43" w:name="_Toc226463324"/>
      <w:bookmarkStart w:id="44" w:name="_Toc226377728"/>
      <w:bookmarkStart w:id="45" w:name="_Toc226377997"/>
      <w:bookmarkStart w:id="46" w:name="_Toc226378268"/>
      <w:bookmarkStart w:id="47" w:name="_Toc226463331"/>
      <w:bookmarkStart w:id="48" w:name="_Toc226377735"/>
      <w:bookmarkStart w:id="49" w:name="_Toc226378004"/>
      <w:bookmarkStart w:id="50" w:name="_Toc226378275"/>
      <w:bookmarkStart w:id="51" w:name="_Toc226463338"/>
      <w:bookmarkStart w:id="52" w:name="_Toc229558244"/>
      <w:bookmarkStart w:id="53" w:name="_Toc229558245"/>
      <w:bookmarkStart w:id="54" w:name="_Hlk49911109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 xml:space="preserve">ESTIMATING THE BURDEN AND COST OF THE COLLECTION </w:t>
      </w:r>
    </w:p>
    <w:p w14:paraId="45B21398" w14:textId="77777777" w:rsidR="00F06BA6" w:rsidRDefault="00F06BA6" w:rsidP="000F6439">
      <w:pPr>
        <w:pStyle w:val="BodyText"/>
      </w:pPr>
      <w:r w:rsidRPr="002C148D">
        <w:t xml:space="preserve">This section presents the burden and cost estimates </w:t>
      </w:r>
      <w:r>
        <w:t xml:space="preserve">for industry and the Agency. </w:t>
      </w:r>
      <w:r w:rsidRPr="002C148D">
        <w:t xml:space="preserve"> </w:t>
      </w:r>
      <w:r>
        <w:t xml:space="preserve">Respondents submit </w:t>
      </w:r>
      <w:r w:rsidR="00170E58">
        <w:t>t</w:t>
      </w:r>
      <w:r>
        <w:t>he CDR Form U in accord</w:t>
      </w:r>
      <w:r w:rsidR="00170E58">
        <w:t>ance</w:t>
      </w:r>
      <w:r>
        <w:t xml:space="preserve"> with a four-year reporting cycle, with the </w:t>
      </w:r>
      <w:r w:rsidR="00094DD3">
        <w:t xml:space="preserve">last </w:t>
      </w:r>
      <w:r>
        <w:t xml:space="preserve">year of the </w:t>
      </w:r>
      <w:r w:rsidR="00065B71">
        <w:t xml:space="preserve">cycle </w:t>
      </w:r>
      <w:r>
        <w:t>terme</w:t>
      </w:r>
      <w:r w:rsidR="00094DD3">
        <w:t>d the “</w:t>
      </w:r>
      <w:r w:rsidR="0096340D">
        <w:t>principal</w:t>
      </w:r>
      <w:r w:rsidR="00094DD3">
        <w:t xml:space="preserve"> reporting year,</w:t>
      </w:r>
      <w:r>
        <w:t>”</w:t>
      </w:r>
      <w:r w:rsidR="00094DD3">
        <w:t xml:space="preserve"> but the information reported reflecting the previous four years. For example, </w:t>
      </w:r>
      <w:r w:rsidR="00406857">
        <w:t xml:space="preserve">the </w:t>
      </w:r>
      <w:r w:rsidR="00094DD3">
        <w:t>2020</w:t>
      </w:r>
      <w:r w:rsidR="008505EC">
        <w:t xml:space="preserve"> </w:t>
      </w:r>
      <w:r w:rsidR="00406857">
        <w:t xml:space="preserve">CDR </w:t>
      </w:r>
      <w:r w:rsidR="00065B71">
        <w:t xml:space="preserve">refers to the four-year collection of data from calendar years 2016, 2017, 2018, and 2019 with the </w:t>
      </w:r>
      <w:r w:rsidR="0096340D">
        <w:t>principal</w:t>
      </w:r>
      <w:r w:rsidR="00065B71">
        <w:t xml:space="preserve"> report</w:t>
      </w:r>
      <w:r w:rsidR="00A172FB">
        <w:t>ing</w:t>
      </w:r>
      <w:r w:rsidR="00065B71">
        <w:t xml:space="preserve"> year of 2019. </w:t>
      </w:r>
      <w:r>
        <w:t xml:space="preserve"> </w:t>
      </w:r>
      <w:r w:rsidRPr="002C148D">
        <w:t xml:space="preserve">The </w:t>
      </w:r>
      <w:r>
        <w:t>Form U r</w:t>
      </w:r>
      <w:r w:rsidRPr="002C148D">
        <w:t xml:space="preserve">equires reporting on a “per site” basis </w:t>
      </w:r>
      <w:r>
        <w:t xml:space="preserve">for each of the reportable chemicals at that site. </w:t>
      </w:r>
      <w:r w:rsidRPr="002C148D">
        <w:t xml:space="preserve">Therefore, each site </w:t>
      </w:r>
      <w:r>
        <w:t xml:space="preserve">subject to </w:t>
      </w:r>
      <w:r w:rsidRPr="002C148D">
        <w:t xml:space="preserve">CDR </w:t>
      </w:r>
      <w:r>
        <w:t>requirements</w:t>
      </w:r>
      <w:r w:rsidRPr="002C148D">
        <w:t xml:space="preserve"> is considered a respondent </w:t>
      </w:r>
      <w:r>
        <w:t>that</w:t>
      </w:r>
      <w:r w:rsidRPr="002C148D">
        <w:t xml:space="preserve"> will submit one Form U </w:t>
      </w:r>
      <w:r>
        <w:t xml:space="preserve">(response) </w:t>
      </w:r>
      <w:r w:rsidRPr="002C148D">
        <w:t xml:space="preserve">containing one or more chemical reports. Respondents are comprised of both </w:t>
      </w:r>
      <w:r>
        <w:t xml:space="preserve">new </w:t>
      </w:r>
      <w:r w:rsidRPr="002C148D">
        <w:t xml:space="preserve">CDR submitters and </w:t>
      </w:r>
      <w:r>
        <w:t>experienced submitters</w:t>
      </w:r>
      <w:r w:rsidRPr="002C148D">
        <w:t xml:space="preserve"> who have </w:t>
      </w:r>
      <w:r>
        <w:t>responded in</w:t>
      </w:r>
      <w:r w:rsidRPr="002C148D">
        <w:t xml:space="preserve"> previous CDR</w:t>
      </w:r>
      <w:r>
        <w:t>/</w:t>
      </w:r>
      <w:r w:rsidRPr="002C148D">
        <w:t xml:space="preserve">IUR reporting cycles. </w:t>
      </w:r>
      <w:r>
        <w:t>Estimates cover the three-year ICR renewal period (provided also on an annual basis) and are presented</w:t>
      </w:r>
      <w:r w:rsidR="00BA3CB1">
        <w:t xml:space="preserve"> herein</w:t>
      </w:r>
      <w:r>
        <w:t xml:space="preserve"> in 2016 dollars.</w:t>
      </w:r>
    </w:p>
    <w:p w14:paraId="5BA685A9" w14:textId="77777777" w:rsidR="00F06BA6" w:rsidRPr="007A59A5" w:rsidRDefault="00F06BA6" w:rsidP="000D2D6D">
      <w:pPr>
        <w:pStyle w:val="Heading2"/>
      </w:pPr>
      <w:r w:rsidRPr="007A59A5">
        <w:t xml:space="preserve">Estimating </w:t>
      </w:r>
      <w:r>
        <w:t>Respondent</w:t>
      </w:r>
      <w:r w:rsidRPr="007A59A5">
        <w:t xml:space="preserve"> Burden</w:t>
      </w:r>
    </w:p>
    <w:p w14:paraId="1E627D43" w14:textId="58C789DF" w:rsidR="00F06BA6" w:rsidRDefault="00104EF7" w:rsidP="000F6439">
      <w:pPr>
        <w:pStyle w:val="BodyText"/>
      </w:pPr>
      <w:r>
        <w:t>For the 2020 reporting cycle (</w:t>
      </w:r>
      <w:r w:rsidR="00571292">
        <w:t>as previously in</w:t>
      </w:r>
      <w:r>
        <w:t xml:space="preserve"> </w:t>
      </w:r>
      <w:r w:rsidR="00F06BA6">
        <w:t>the 2016 reporting cycle</w:t>
      </w:r>
      <w:r>
        <w:t>)</w:t>
      </w:r>
      <w:r w:rsidR="00F06BA6">
        <w:t>, manufacturers (including importers) must submit a Form U for each site</w:t>
      </w:r>
      <w:r w:rsidR="00854C5F">
        <w:t xml:space="preserve"> </w:t>
      </w:r>
      <w:r w:rsidR="00F06BA6">
        <w:t>at which 25,000 pounds or more</w:t>
      </w:r>
      <w:r w:rsidR="00BA3CB1">
        <w:t xml:space="preserve"> (or 2,500 pounds or more, if applicable)</w:t>
      </w:r>
      <w:r w:rsidR="00F06BA6">
        <w:t xml:space="preserve"> was manufactured for a chemical substance </w:t>
      </w:r>
      <w:r w:rsidR="00F06BA6" w:rsidRPr="007924E4">
        <w:t xml:space="preserve">in </w:t>
      </w:r>
      <w:r w:rsidR="00F06BA6" w:rsidRPr="00246C46">
        <w:rPr>
          <w:i/>
        </w:rPr>
        <w:t xml:space="preserve">any </w:t>
      </w:r>
      <w:r w:rsidR="00F06BA6">
        <w:t xml:space="preserve">calendar year in the principal reporting year and the previous three years. Estimates are presented according to the full reporting cycle first (Tables </w:t>
      </w:r>
      <w:r w:rsidR="00050F6F">
        <w:t>2</w:t>
      </w:r>
      <w:r w:rsidR="00F06BA6">
        <w:t>-</w:t>
      </w:r>
      <w:r w:rsidR="00050F6F">
        <w:t>14</w:t>
      </w:r>
      <w:r w:rsidR="00F06BA6">
        <w:t xml:space="preserve">) and then converted to a basis for the ICR period (Table </w:t>
      </w:r>
      <w:r w:rsidR="00050F6F">
        <w:t>15</w:t>
      </w:r>
      <w:r w:rsidR="00F06BA6">
        <w:t>).</w:t>
      </w:r>
    </w:p>
    <w:p w14:paraId="436C3726" w14:textId="77777777" w:rsidR="00F06BA6" w:rsidRDefault="00F06BA6" w:rsidP="000F6439">
      <w:pPr>
        <w:pStyle w:val="BodyText"/>
      </w:pPr>
      <w:r w:rsidRPr="007924E4">
        <w:t xml:space="preserve">Burden estimates were derived originally from a survey conducted by EPA in 1996 (under OMB Control No. 2070-0034) to assess the potential burden associated with the IUR, as amended at that time. The survey was distributed to previous IUR </w:t>
      </w:r>
      <w:r>
        <w:t xml:space="preserve">respondents </w:t>
      </w:r>
      <w:r w:rsidRPr="007924E4">
        <w:t xml:space="preserve">selected from the IUR database. Burden estimates were updated for a 2005 amendment to the rule as described in </w:t>
      </w:r>
      <w:r w:rsidRPr="007924E4">
        <w:rPr>
          <w:i/>
        </w:rPr>
        <w:t xml:space="preserve">Economic Analysis of IUR Modifications Final Rule </w:t>
      </w:r>
      <w:r w:rsidRPr="007924E4">
        <w:t>(</w:t>
      </w:r>
      <w:r w:rsidR="00E7168D">
        <w:t xml:space="preserve">US </w:t>
      </w:r>
      <w:r w:rsidRPr="007924E4">
        <w:t>EPA, 2005)</w:t>
      </w:r>
      <w:r>
        <w:t>.</w:t>
      </w:r>
      <w:r w:rsidRPr="007924E4">
        <w:rPr>
          <w:rStyle w:val="FootnoteReference"/>
        </w:rPr>
        <w:footnoteReference w:id="3"/>
      </w:r>
      <w:r w:rsidRPr="007924E4">
        <w:t xml:space="preserve"> Burden estimates for </w:t>
      </w:r>
      <w:r>
        <w:t xml:space="preserve">additional </w:t>
      </w:r>
      <w:r w:rsidRPr="007924E4">
        <w:t xml:space="preserve">new reporting </w:t>
      </w:r>
      <w:r>
        <w:t>elements</w:t>
      </w:r>
      <w:r w:rsidRPr="007924E4">
        <w:t xml:space="preserve"> </w:t>
      </w:r>
      <w:r>
        <w:t xml:space="preserve">were developed for </w:t>
      </w:r>
      <w:r w:rsidR="008505EC">
        <w:t>the 2012</w:t>
      </w:r>
      <w:r w:rsidR="00B028EE">
        <w:t xml:space="preserve"> and 20</w:t>
      </w:r>
      <w:r w:rsidR="008505EC">
        <w:t xml:space="preserve">16 </w:t>
      </w:r>
      <w:r>
        <w:t>CDR</w:t>
      </w:r>
      <w:r w:rsidR="00B028EE">
        <w:t xml:space="preserve"> submission periods</w:t>
      </w:r>
      <w:r>
        <w:t xml:space="preserve"> </w:t>
      </w:r>
      <w:r w:rsidRPr="007924E4">
        <w:t xml:space="preserve">in the </w:t>
      </w:r>
      <w:r>
        <w:t>final rule</w:t>
      </w:r>
      <w:r w:rsidR="008505EC">
        <w:t xml:space="preserve">, as </w:t>
      </w:r>
      <w:r w:rsidRPr="007924E4">
        <w:t xml:space="preserve">derived </w:t>
      </w:r>
      <w:r w:rsidR="008505EC">
        <w:t>and</w:t>
      </w:r>
      <w:r w:rsidRPr="007924E4">
        <w:t xml:space="preserve"> described in </w:t>
      </w:r>
      <w:r>
        <w:t xml:space="preserve">the </w:t>
      </w:r>
      <w:r w:rsidRPr="007924E4">
        <w:rPr>
          <w:bCs/>
          <w:i/>
        </w:rPr>
        <w:t xml:space="preserve">Economic Analysis for the </w:t>
      </w:r>
      <w:r>
        <w:rPr>
          <w:bCs/>
          <w:i/>
        </w:rPr>
        <w:t xml:space="preserve">Final </w:t>
      </w:r>
      <w:r w:rsidRPr="007924E4">
        <w:rPr>
          <w:bCs/>
          <w:i/>
        </w:rPr>
        <w:t>Inventory Update Reporting (IUR) Modifications Rule</w:t>
      </w:r>
      <w:r w:rsidRPr="007924E4">
        <w:rPr>
          <w:i/>
          <w:iCs/>
        </w:rPr>
        <w:t xml:space="preserve"> </w:t>
      </w:r>
      <w:r w:rsidRPr="007924E4">
        <w:rPr>
          <w:iCs/>
        </w:rPr>
        <w:t>(</w:t>
      </w:r>
      <w:r w:rsidR="00E7168D">
        <w:rPr>
          <w:iCs/>
        </w:rPr>
        <w:t xml:space="preserve">US </w:t>
      </w:r>
      <w:r>
        <w:rPr>
          <w:iCs/>
        </w:rPr>
        <w:t>EPA, 2011</w:t>
      </w:r>
      <w:r w:rsidR="00357047">
        <w:rPr>
          <w:iCs/>
        </w:rPr>
        <w:t>b</w:t>
      </w:r>
      <w:r w:rsidRPr="007924E4">
        <w:rPr>
          <w:iCs/>
        </w:rPr>
        <w:t>)</w:t>
      </w:r>
      <w:r>
        <w:t>. Last, in this ICR renewal, burden estimates are provided for update</w:t>
      </w:r>
      <w:r w:rsidR="008505EC">
        <w:t xml:space="preserve">d requirements for </w:t>
      </w:r>
      <w:r>
        <w:t>CBI substantiation</w:t>
      </w:r>
      <w:r w:rsidR="008505EC">
        <w:t xml:space="preserve"> under the</w:t>
      </w:r>
      <w:r w:rsidR="00D02E7F">
        <w:t xml:space="preserve"> changes introduced by the</w:t>
      </w:r>
      <w:r w:rsidR="008505EC">
        <w:t xml:space="preserve"> </w:t>
      </w:r>
      <w:r w:rsidR="005C2F7D">
        <w:t>Lautenberg Act</w:t>
      </w:r>
      <w:r>
        <w:t>.</w:t>
      </w:r>
      <w:r>
        <w:rPr>
          <w:rStyle w:val="FootnoteReference"/>
        </w:rPr>
        <w:footnoteReference w:id="4"/>
      </w:r>
      <w:r>
        <w:t xml:space="preserve"> </w:t>
      </w:r>
    </w:p>
    <w:p w14:paraId="298C9568" w14:textId="77777777" w:rsidR="00F06BA6" w:rsidRDefault="00F06BA6" w:rsidP="000F6439">
      <w:pPr>
        <w:pStyle w:val="BodyText"/>
      </w:pPr>
      <w:r w:rsidRPr="007924E4">
        <w:t>For th</w:t>
      </w:r>
      <w:r>
        <w:t xml:space="preserve">e analysis in this section, the respondent is defined as a </w:t>
      </w:r>
      <w:r w:rsidRPr="007924E4">
        <w:t>manufacturing site</w:t>
      </w:r>
      <w:r>
        <w:t xml:space="preserve">. </w:t>
      </w:r>
      <w:r w:rsidR="009D2B2E">
        <w:t>There is one response per respondent</w:t>
      </w:r>
      <w:r w:rsidR="00C004E3">
        <w:t>, as</w:t>
      </w:r>
      <w:r w:rsidR="009D2B2E">
        <w:t xml:space="preserve"> </w:t>
      </w:r>
      <w:r w:rsidR="005C2F7D">
        <w:t xml:space="preserve">one </w:t>
      </w:r>
      <w:r>
        <w:t xml:space="preserve">Form U </w:t>
      </w:r>
      <w:r w:rsidR="005C2F7D">
        <w:t xml:space="preserve">per site </w:t>
      </w:r>
      <w:r>
        <w:t xml:space="preserve">accommodates multiple chemical reports in the same submission. Activities for preparing and submitting a Form U include rule familiarization (for new reporters only), compliance determination, </w:t>
      </w:r>
      <w:r w:rsidR="00B17495">
        <w:t xml:space="preserve">and </w:t>
      </w:r>
      <w:r>
        <w:t>form completion. Additionally, recordkeeping is required. Last, for those not already registered in CD</w:t>
      </w:r>
      <w:r w:rsidR="0064701D">
        <w:t>X, individuals must complete CDX</w:t>
      </w:r>
      <w:r>
        <w:t xml:space="preserve"> registration, including e-signature. Activity descriptions are as follows:</w:t>
      </w:r>
    </w:p>
    <w:p w14:paraId="114C8024" w14:textId="77777777" w:rsidR="00F06BA6" w:rsidRDefault="00F06BA6" w:rsidP="00E90D3B">
      <w:pPr>
        <w:pStyle w:val="ListBullet"/>
      </w:pPr>
      <w:r w:rsidRPr="008F08A9">
        <w:rPr>
          <w:i/>
        </w:rPr>
        <w:t xml:space="preserve">Rule </w:t>
      </w:r>
      <w:r w:rsidR="009D2B2E" w:rsidRPr="008F08A9">
        <w:rPr>
          <w:i/>
        </w:rPr>
        <w:t>Familiarization</w:t>
      </w:r>
      <w:r w:rsidRPr="008F08A9">
        <w:rPr>
          <w:i/>
        </w:rPr>
        <w:t xml:space="preserve"> (for new reporters</w:t>
      </w:r>
      <w:r w:rsidR="00603C5B">
        <w:rPr>
          <w:i/>
        </w:rPr>
        <w:t>)</w:t>
      </w:r>
      <w:r w:rsidR="00E90D3B">
        <w:rPr>
          <w:i/>
        </w:rPr>
        <w:t xml:space="preserve"> –</w:t>
      </w:r>
      <w:r w:rsidR="00C004E3">
        <w:t>Site s</w:t>
      </w:r>
      <w:r w:rsidRPr="001D7B05">
        <w:t xml:space="preserve">taff new to reporting must become familiar with all requirements. This entails reading the rule, understanding the reporting and administrative requirements, </w:t>
      </w:r>
      <w:r w:rsidR="009D2B2E">
        <w:t xml:space="preserve">and </w:t>
      </w:r>
      <w:r w:rsidRPr="00685929">
        <w:t>determining</w:t>
      </w:r>
      <w:r w:rsidRPr="008F08A9">
        <w:t xml:space="preserve"> what tasks are required in order to meet </w:t>
      </w:r>
      <w:r w:rsidRPr="00685929">
        <w:t>reporting requirements</w:t>
      </w:r>
      <w:r w:rsidRPr="008F08A9">
        <w:t>.</w:t>
      </w:r>
    </w:p>
    <w:p w14:paraId="3EDC91E3" w14:textId="77777777" w:rsidR="00F06BA6" w:rsidRPr="008F08A9" w:rsidRDefault="00F06BA6" w:rsidP="00E90D3B">
      <w:pPr>
        <w:pStyle w:val="ListBullet"/>
      </w:pPr>
      <w:r>
        <w:rPr>
          <w:i/>
        </w:rPr>
        <w:t xml:space="preserve">Compliance Determination – </w:t>
      </w:r>
      <w:r w:rsidRPr="008F08A9">
        <w:t xml:space="preserve">Site staff must determine whether reporting is required for a chemical substance manufactured (including imported) at a particular site, based on the chemical substance’s production volume and the applicability of certain reporting exemptions. This </w:t>
      </w:r>
      <w:r>
        <w:t xml:space="preserve">activity requires that the site </w:t>
      </w:r>
      <w:r w:rsidRPr="008F08A9">
        <w:t>determin</w:t>
      </w:r>
      <w:r>
        <w:t>e</w:t>
      </w:r>
      <w:r w:rsidRPr="008F08A9">
        <w:t xml:space="preserve"> whether the production volume of a chemical substance </w:t>
      </w:r>
      <w:r w:rsidR="006168F4">
        <w:t xml:space="preserve">has </w:t>
      </w:r>
      <w:r w:rsidRPr="008F08A9">
        <w:t xml:space="preserve">met or exceeded the </w:t>
      </w:r>
      <w:r>
        <w:t xml:space="preserve">applicable </w:t>
      </w:r>
      <w:r w:rsidRPr="008F08A9">
        <w:t>threshold</w:t>
      </w:r>
      <w:r>
        <w:t xml:space="preserve"> (25,000 lbs or 2,500 lbs annually)</w:t>
      </w:r>
      <w:r w:rsidRPr="008F08A9">
        <w:t xml:space="preserve"> in any of the </w:t>
      </w:r>
      <w:r w:rsidR="006168F4">
        <w:t xml:space="preserve">four years of the reporting period. </w:t>
      </w:r>
    </w:p>
    <w:p w14:paraId="2ED57CC5" w14:textId="77777777" w:rsidR="00F06BA6" w:rsidRDefault="00F06BA6" w:rsidP="00E90D3B">
      <w:pPr>
        <w:pStyle w:val="ListBullet"/>
      </w:pPr>
      <w:r w:rsidRPr="008F08A9">
        <w:rPr>
          <w:i/>
        </w:rPr>
        <w:t>Form Completion</w:t>
      </w:r>
      <w:r w:rsidR="00E90D3B">
        <w:rPr>
          <w:i/>
        </w:rPr>
        <w:t xml:space="preserve"> – </w:t>
      </w:r>
      <w:r w:rsidRPr="0049253D">
        <w:t xml:space="preserve">Site staff </w:t>
      </w:r>
      <w:r w:rsidRPr="008F08A9">
        <w:t xml:space="preserve">must </w:t>
      </w:r>
      <w:r w:rsidRPr="0049253D">
        <w:t>provide information f</w:t>
      </w:r>
      <w:r w:rsidRPr="008F08A9">
        <w:t>rom the principal reporting year f</w:t>
      </w:r>
      <w:r w:rsidRPr="0049253D">
        <w:t>or most of the</w:t>
      </w:r>
      <w:r w:rsidRPr="008F08A9">
        <w:t>ir</w:t>
      </w:r>
      <w:r w:rsidRPr="0049253D">
        <w:t xml:space="preserve"> Form U </w:t>
      </w:r>
      <w:r w:rsidRPr="008F08A9">
        <w:t>reporting requirements. In addition</w:t>
      </w:r>
      <w:r>
        <w:t>,</w:t>
      </w:r>
      <w:r w:rsidRPr="008F08A9">
        <w:t xml:space="preserve"> they must provide</w:t>
      </w:r>
      <w:r w:rsidRPr="0049253D">
        <w:t xml:space="preserve"> only production volume from the previous three years. </w:t>
      </w:r>
      <w:r>
        <w:t xml:space="preserve">Form U consists of: </w:t>
      </w:r>
      <w:r w:rsidRPr="007924E4">
        <w:t xml:space="preserve">Part I </w:t>
      </w:r>
      <w:r>
        <w:t>-</w:t>
      </w:r>
      <w:r w:rsidRPr="007924E4">
        <w:t xml:space="preserve"> site identification information</w:t>
      </w:r>
      <w:r>
        <w:t xml:space="preserve">; </w:t>
      </w:r>
      <w:r w:rsidRPr="007924E4">
        <w:t>Part II</w:t>
      </w:r>
      <w:r>
        <w:t xml:space="preserve"> – chemical specific</w:t>
      </w:r>
      <w:r w:rsidRPr="007924E4">
        <w:t xml:space="preserve"> manufacturing</w:t>
      </w:r>
      <w:r>
        <w:t xml:space="preserve"> (including import)</w:t>
      </w:r>
      <w:r w:rsidRPr="007924E4">
        <w:t xml:space="preserve"> data (production volumes, etc.)</w:t>
      </w:r>
      <w:r>
        <w:t xml:space="preserve">; and Part III – chemical specific </w:t>
      </w:r>
      <w:r w:rsidRPr="007924E4">
        <w:t>processing and use information</w:t>
      </w:r>
      <w:r w:rsidR="00C004E3">
        <w:t xml:space="preserve"> (see </w:t>
      </w:r>
      <w:r w:rsidR="00100A40">
        <w:t>S</w:t>
      </w:r>
      <w:r w:rsidR="00C004E3">
        <w:t>ection 2(b) for detailed data element-specific descriptions)</w:t>
      </w:r>
      <w:r>
        <w:t>.</w:t>
      </w:r>
      <w:r>
        <w:rPr>
          <w:rStyle w:val="FootnoteReference"/>
        </w:rPr>
        <w:footnoteReference w:id="5"/>
      </w:r>
      <w:r>
        <w:t xml:space="preserve"> </w:t>
      </w:r>
      <w:r w:rsidR="00C004E3">
        <w:t>Note that ce</w:t>
      </w:r>
      <w:r>
        <w:t xml:space="preserve">rtain chemicals are specifically exempted from being required to submit Part III. Additionally, some sites will not have information to submit in Part III (not applicable). For circumstances in which a chemical is only addressed in Parts I and II, the chemical report is termed a “partial report.” </w:t>
      </w:r>
    </w:p>
    <w:p w14:paraId="4F205A19" w14:textId="77777777" w:rsidR="00F06BA6" w:rsidRPr="008F08A9" w:rsidRDefault="00F06BA6" w:rsidP="00E90D3B">
      <w:pPr>
        <w:pStyle w:val="ListBulletlast"/>
      </w:pPr>
      <w:r w:rsidRPr="0049253D">
        <w:rPr>
          <w:i/>
        </w:rPr>
        <w:t>CDX Registration and e-Signature</w:t>
      </w:r>
      <w:r w:rsidR="00E90D3B">
        <w:rPr>
          <w:i/>
        </w:rPr>
        <w:t xml:space="preserve"> – </w:t>
      </w:r>
      <w:r w:rsidRPr="0049253D">
        <w:t>Before submitting</w:t>
      </w:r>
      <w:r w:rsidRPr="00685929">
        <w:t xml:space="preserve"> Form U, respondents</w:t>
      </w:r>
      <w:r w:rsidR="00BA3CB1">
        <w:t xml:space="preserve"> not already register</w:t>
      </w:r>
      <w:r w:rsidR="00626157">
        <w:t>e</w:t>
      </w:r>
      <w:r w:rsidR="00BA3CB1">
        <w:t>d</w:t>
      </w:r>
      <w:r w:rsidRPr="00685929">
        <w:t xml:space="preserve"> must register with CDX. In addition, respondents must complete an Electronic Signature Agreement form, which is signed, dated, and either submitted electronically or mailed back to EPA.</w:t>
      </w:r>
    </w:p>
    <w:p w14:paraId="272D4454" w14:textId="77777777" w:rsidR="009D2B2E" w:rsidRDefault="00F06BA6" w:rsidP="000F6439">
      <w:pPr>
        <w:pStyle w:val="BodyText"/>
      </w:pPr>
      <w:r w:rsidRPr="007924E4">
        <w:t xml:space="preserve">Table </w:t>
      </w:r>
      <w:r>
        <w:t>2</w:t>
      </w:r>
      <w:r w:rsidRPr="007924E4">
        <w:t xml:space="preserve"> </w:t>
      </w:r>
      <w:r>
        <w:t>summarizes unit burden</w:t>
      </w:r>
      <w:r w:rsidR="00884F23">
        <w:t>s</w:t>
      </w:r>
      <w:r>
        <w:t xml:space="preserve"> according to activity. </w:t>
      </w:r>
      <w:r w:rsidR="00884F23">
        <w:t>However, the activit</w:t>
      </w:r>
      <w:r w:rsidR="00FF77B5">
        <w:t>y</w:t>
      </w:r>
      <w:r w:rsidR="00884F23">
        <w:t>-level burdens are not incurred evenly for</w:t>
      </w:r>
      <w:r w:rsidR="00BA3CB1">
        <w:t xml:space="preserve"> the</w:t>
      </w:r>
      <w:r w:rsidR="00884F23">
        <w:t xml:space="preserve"> </w:t>
      </w:r>
      <w:r w:rsidR="00FF77B5">
        <w:t xml:space="preserve">Form U </w:t>
      </w:r>
      <w:r w:rsidR="00884F23">
        <w:t xml:space="preserve">submission. Therefore, the submission-level burden must be estimated on the basis of the conditions of the average submission. The unit burden per submission, which is a roll-up of activity level unit burdens, is derived in Table 3.   </w:t>
      </w:r>
      <w:bookmarkStart w:id="55" w:name="_Hlk499108356"/>
      <w:r>
        <w:t>On average, sites submit 7.5 chemical reports. However, 22% of chemical reports do not include data for Part III of the Form U (i.e., partial reports). Moreover, certain data elements are of high impact but relatively low frequency and are therefore pro-rated</w:t>
      </w:r>
      <w:r w:rsidR="00FF77B5">
        <w:t xml:space="preserve"> (</w:t>
      </w:r>
      <w:r w:rsidR="00143215">
        <w:t xml:space="preserve">% joint submission </w:t>
      </w:r>
      <w:r w:rsidR="00FF77B5">
        <w:t>reports, % CBI for substantiation)</w:t>
      </w:r>
      <w:r>
        <w:t xml:space="preserve">. </w:t>
      </w:r>
      <w:bookmarkEnd w:id="55"/>
      <w:r>
        <w:t>T</w:t>
      </w:r>
      <w:r w:rsidR="005434FB">
        <w:t>he</w:t>
      </w:r>
      <w:r>
        <w:t xml:space="preserve"> “Adjusted Unit</w:t>
      </w:r>
      <w:r w:rsidR="00BA3CB1">
        <w:t xml:space="preserve"> B</w:t>
      </w:r>
      <w:r>
        <w:t>urden</w:t>
      </w:r>
      <w:r w:rsidR="00BA3CB1">
        <w:t>”</w:t>
      </w:r>
      <w:r>
        <w:t xml:space="preserve"> </w:t>
      </w:r>
      <w:r w:rsidR="005434FB">
        <w:t xml:space="preserve">column in Table 3 </w:t>
      </w:r>
      <w:r>
        <w:t>accounts for these effects, yielding the unit burden by activity in the context of the average submission, per observed CDR reporting characteristics.</w:t>
      </w:r>
      <w:r>
        <w:rPr>
          <w:rStyle w:val="FootnoteReference"/>
        </w:rPr>
        <w:footnoteReference w:id="6"/>
      </w:r>
      <w:r w:rsidRPr="005973A5">
        <w:t xml:space="preserve"> </w:t>
      </w:r>
    </w:p>
    <w:p w14:paraId="0EA31CCA" w14:textId="77777777" w:rsidR="005059CD" w:rsidRDefault="005434FB" w:rsidP="000F6439">
      <w:pPr>
        <w:pStyle w:val="BodyText"/>
      </w:pPr>
      <w:r>
        <w:t xml:space="preserve">As derived in Table 3, the industry average Form U per-response </w:t>
      </w:r>
      <w:r w:rsidRPr="005973A5">
        <w:t>burden</w:t>
      </w:r>
      <w:r>
        <w:t>, including rule familiarization, compliance determination, form completion</w:t>
      </w:r>
      <w:r w:rsidR="009D2B2E">
        <w:t>,</w:t>
      </w:r>
      <w:r>
        <w:t xml:space="preserve"> and recordkeeping</w:t>
      </w:r>
      <w:r w:rsidRPr="005973A5">
        <w:t xml:space="preserve"> for experienced reporters </w:t>
      </w:r>
      <w:r>
        <w:t xml:space="preserve">is estimated </w:t>
      </w:r>
      <w:r w:rsidRPr="005973A5">
        <w:t xml:space="preserve">at </w:t>
      </w:r>
      <w:r w:rsidR="00B4387A">
        <w:t>483.63</w:t>
      </w:r>
      <w:r w:rsidRPr="005973A5">
        <w:t xml:space="preserve"> hours</w:t>
      </w:r>
      <w:r>
        <w:t xml:space="preserve"> per four</w:t>
      </w:r>
      <w:r w:rsidR="00BA3CB1">
        <w:t>-</w:t>
      </w:r>
      <w:r>
        <w:t>year reporting cycle.</w:t>
      </w:r>
      <w:r w:rsidRPr="005973A5">
        <w:t xml:space="preserve"> </w:t>
      </w:r>
      <w:r>
        <w:t xml:space="preserve">This estimate reflects average reporting conditions of 7.5 chemicals per submission with 22% of chemical reports </w:t>
      </w:r>
      <w:r w:rsidR="009E038D">
        <w:t xml:space="preserve">consisting of </w:t>
      </w:r>
      <w:r>
        <w:t>partial reports</w:t>
      </w:r>
      <w:r w:rsidR="00F06BA6">
        <w:t>.</w:t>
      </w:r>
    </w:p>
    <w:tbl>
      <w:tblPr>
        <w:tblW w:w="5000" w:type="pct"/>
        <w:tblLayout w:type="fixed"/>
        <w:tblCellMar>
          <w:left w:w="115" w:type="dxa"/>
          <w:right w:w="115" w:type="dxa"/>
        </w:tblCellMar>
        <w:tblLook w:val="04A0" w:firstRow="1" w:lastRow="0" w:firstColumn="1" w:lastColumn="0" w:noHBand="0" w:noVBand="1"/>
      </w:tblPr>
      <w:tblGrid>
        <w:gridCol w:w="646"/>
        <w:gridCol w:w="2490"/>
        <w:gridCol w:w="1346"/>
        <w:gridCol w:w="1360"/>
        <w:gridCol w:w="1366"/>
        <w:gridCol w:w="1020"/>
        <w:gridCol w:w="1362"/>
      </w:tblGrid>
      <w:tr w:rsidR="00BB530F" w:rsidRPr="00BB530F" w14:paraId="2AE0805E" w14:textId="77777777" w:rsidTr="008D0116">
        <w:trPr>
          <w:trHeight w:val="360"/>
          <w:tblHeader/>
        </w:trPr>
        <w:tc>
          <w:tcPr>
            <w:tcW w:w="5000" w:type="pct"/>
            <w:gridSpan w:val="7"/>
            <w:tcBorders>
              <w:top w:val="nil"/>
              <w:left w:val="nil"/>
              <w:bottom w:val="single" w:sz="8" w:space="0" w:color="auto"/>
              <w:right w:val="nil"/>
            </w:tcBorders>
            <w:shd w:val="clear" w:color="auto" w:fill="auto"/>
            <w:noWrap/>
            <w:vAlign w:val="bottom"/>
            <w:hideMark/>
          </w:tcPr>
          <w:p w14:paraId="229435CB" w14:textId="77777777" w:rsidR="00BB530F" w:rsidRPr="00BB530F" w:rsidRDefault="00BB530F" w:rsidP="00BB530F">
            <w:pPr>
              <w:pStyle w:val="TableTitle"/>
            </w:pPr>
            <w:r w:rsidRPr="00BB530F">
              <w:t>Table 2. Activity-Level Unit Burdens per Four</w:t>
            </w:r>
            <w:r w:rsidR="00D05FDA">
              <w:t>-</w:t>
            </w:r>
            <w:r w:rsidRPr="00BB530F">
              <w:t xml:space="preserve">Year Reporting Cycle, </w:t>
            </w:r>
            <w:r>
              <w:br/>
            </w:r>
            <w:r w:rsidRPr="00BB530F">
              <w:t>Experienced Reporters</w:t>
            </w:r>
          </w:p>
        </w:tc>
      </w:tr>
      <w:tr w:rsidR="00BB530F" w:rsidRPr="00BB530F" w14:paraId="4C88E917" w14:textId="77777777" w:rsidTr="00BB530F">
        <w:trPr>
          <w:trHeight w:val="828"/>
          <w:tblHeader/>
        </w:trPr>
        <w:tc>
          <w:tcPr>
            <w:tcW w:w="337" w:type="pct"/>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01A964E7" w14:textId="77777777" w:rsidR="00BB530F" w:rsidRPr="00BB530F" w:rsidRDefault="00BB530F" w:rsidP="00BB530F">
            <w:pPr>
              <w:jc w:val="center"/>
              <w:rPr>
                <w:rFonts w:ascii="Arial Narrow" w:eastAsia="Times New Roman" w:hAnsi="Arial Narrow" w:cs="Calibri"/>
                <w:b/>
                <w:bCs/>
                <w:color w:val="000000"/>
                <w:sz w:val="20"/>
                <w:szCs w:val="20"/>
              </w:rPr>
            </w:pPr>
            <w:bookmarkStart w:id="56" w:name="RANGE!A3:G50"/>
            <w:r w:rsidRPr="00BB530F">
              <w:rPr>
                <w:rFonts w:ascii="Arial Narrow" w:eastAsia="Times New Roman" w:hAnsi="Arial Narrow" w:cs="Calibri"/>
                <w:b/>
                <w:bCs/>
                <w:color w:val="000000"/>
                <w:sz w:val="20"/>
                <w:szCs w:val="20"/>
              </w:rPr>
              <w:t>Item #</w:t>
            </w:r>
            <w:bookmarkEnd w:id="56"/>
          </w:p>
        </w:tc>
        <w:tc>
          <w:tcPr>
            <w:tcW w:w="1298" w:type="pct"/>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5A90A1B9" w14:textId="77777777" w:rsidR="00BB530F" w:rsidRPr="00BB530F" w:rsidRDefault="00BB530F" w:rsidP="00BB530F">
            <w:pPr>
              <w:jc w:val="center"/>
              <w:rPr>
                <w:rFonts w:ascii="Arial Narrow" w:eastAsia="Times New Roman" w:hAnsi="Arial Narrow" w:cs="Calibri"/>
                <w:b/>
                <w:bCs/>
                <w:color w:val="000000"/>
                <w:sz w:val="20"/>
                <w:szCs w:val="20"/>
              </w:rPr>
            </w:pPr>
            <w:r w:rsidRPr="00BB530F">
              <w:rPr>
                <w:rFonts w:ascii="Arial Narrow" w:eastAsia="Times New Roman" w:hAnsi="Arial Narrow" w:cs="Calibri"/>
                <w:b/>
                <w:bCs/>
                <w:color w:val="000000"/>
                <w:sz w:val="20"/>
                <w:szCs w:val="20"/>
              </w:rPr>
              <w:t>Activity</w:t>
            </w:r>
          </w:p>
        </w:tc>
        <w:tc>
          <w:tcPr>
            <w:tcW w:w="702" w:type="pct"/>
            <w:tcBorders>
              <w:top w:val="single" w:sz="8" w:space="0" w:color="auto"/>
              <w:left w:val="nil"/>
              <w:bottom w:val="single" w:sz="4" w:space="0" w:color="auto"/>
              <w:right w:val="single" w:sz="8" w:space="0" w:color="auto"/>
            </w:tcBorders>
            <w:shd w:val="clear" w:color="000000" w:fill="BFBFBF"/>
            <w:vAlign w:val="bottom"/>
            <w:hideMark/>
          </w:tcPr>
          <w:p w14:paraId="79990BB3" w14:textId="77777777" w:rsidR="00BB530F" w:rsidRPr="00BB530F" w:rsidRDefault="00BB530F" w:rsidP="00BB530F">
            <w:pPr>
              <w:jc w:val="center"/>
              <w:rPr>
                <w:rFonts w:ascii="Arial Narrow" w:eastAsia="Times New Roman" w:hAnsi="Arial Narrow" w:cs="Calibri"/>
                <w:b/>
                <w:bCs/>
                <w:color w:val="000000"/>
                <w:sz w:val="20"/>
                <w:szCs w:val="20"/>
              </w:rPr>
            </w:pPr>
            <w:r w:rsidRPr="00BB530F">
              <w:rPr>
                <w:rFonts w:ascii="Arial Narrow" w:eastAsia="Times New Roman" w:hAnsi="Arial Narrow" w:cs="Calibri"/>
                <w:b/>
                <w:bCs/>
                <w:color w:val="000000"/>
                <w:sz w:val="20"/>
                <w:szCs w:val="20"/>
              </w:rPr>
              <w:t>Unit of Analysis</w:t>
            </w:r>
          </w:p>
        </w:tc>
        <w:tc>
          <w:tcPr>
            <w:tcW w:w="709" w:type="pct"/>
            <w:tcBorders>
              <w:top w:val="single" w:sz="8" w:space="0" w:color="auto"/>
              <w:left w:val="single" w:sz="4" w:space="0" w:color="auto"/>
              <w:bottom w:val="single" w:sz="4" w:space="0" w:color="auto"/>
              <w:right w:val="single" w:sz="4" w:space="0" w:color="auto"/>
            </w:tcBorders>
            <w:shd w:val="clear" w:color="000000" w:fill="BFBFBF"/>
            <w:vAlign w:val="bottom"/>
            <w:hideMark/>
          </w:tcPr>
          <w:p w14:paraId="7F62C0FE" w14:textId="77777777" w:rsidR="00BB530F" w:rsidRPr="00BB530F" w:rsidRDefault="00BB530F" w:rsidP="00BB530F">
            <w:pPr>
              <w:jc w:val="center"/>
              <w:rPr>
                <w:rFonts w:ascii="Arial Narrow" w:eastAsia="Times New Roman" w:hAnsi="Arial Narrow" w:cs="Calibri"/>
                <w:b/>
                <w:bCs/>
                <w:color w:val="000000"/>
                <w:sz w:val="20"/>
                <w:szCs w:val="20"/>
              </w:rPr>
            </w:pPr>
            <w:r w:rsidRPr="00BB530F">
              <w:rPr>
                <w:rFonts w:ascii="Arial Narrow" w:eastAsia="Times New Roman" w:hAnsi="Arial Narrow" w:cs="Calibri"/>
                <w:b/>
                <w:bCs/>
                <w:color w:val="000000"/>
                <w:sz w:val="20"/>
                <w:szCs w:val="20"/>
              </w:rPr>
              <w:t>Managerial Burden (hours)</w:t>
            </w:r>
          </w:p>
        </w:tc>
        <w:tc>
          <w:tcPr>
            <w:tcW w:w="712" w:type="pct"/>
            <w:tcBorders>
              <w:top w:val="single" w:sz="8" w:space="0" w:color="auto"/>
              <w:left w:val="nil"/>
              <w:bottom w:val="single" w:sz="4" w:space="0" w:color="auto"/>
              <w:right w:val="single" w:sz="4" w:space="0" w:color="auto"/>
            </w:tcBorders>
            <w:shd w:val="clear" w:color="000000" w:fill="BFBFBF"/>
            <w:vAlign w:val="bottom"/>
            <w:hideMark/>
          </w:tcPr>
          <w:p w14:paraId="0A92D0EE" w14:textId="77777777" w:rsidR="00BB530F" w:rsidRPr="00BB530F" w:rsidRDefault="00BB530F" w:rsidP="00BB530F">
            <w:pPr>
              <w:jc w:val="center"/>
              <w:rPr>
                <w:rFonts w:ascii="Arial Narrow" w:eastAsia="Times New Roman" w:hAnsi="Arial Narrow" w:cs="Calibri"/>
                <w:b/>
                <w:bCs/>
                <w:color w:val="000000"/>
                <w:sz w:val="20"/>
                <w:szCs w:val="20"/>
              </w:rPr>
            </w:pPr>
            <w:r w:rsidRPr="00BB530F">
              <w:rPr>
                <w:rFonts w:ascii="Arial Narrow" w:eastAsia="Times New Roman" w:hAnsi="Arial Narrow" w:cs="Calibri"/>
                <w:b/>
                <w:bCs/>
                <w:color w:val="000000"/>
                <w:sz w:val="20"/>
                <w:szCs w:val="20"/>
              </w:rPr>
              <w:t>Technical Burden (hours)</w:t>
            </w:r>
          </w:p>
        </w:tc>
        <w:tc>
          <w:tcPr>
            <w:tcW w:w="532" w:type="pct"/>
            <w:tcBorders>
              <w:top w:val="single" w:sz="8" w:space="0" w:color="auto"/>
              <w:left w:val="nil"/>
              <w:bottom w:val="single" w:sz="4" w:space="0" w:color="auto"/>
              <w:right w:val="nil"/>
            </w:tcBorders>
            <w:shd w:val="clear" w:color="000000" w:fill="BFBFBF"/>
            <w:vAlign w:val="bottom"/>
            <w:hideMark/>
          </w:tcPr>
          <w:p w14:paraId="3D65E94B" w14:textId="77777777" w:rsidR="00BB530F" w:rsidRPr="00BB530F" w:rsidRDefault="00BB530F" w:rsidP="00BB530F">
            <w:pPr>
              <w:jc w:val="center"/>
              <w:rPr>
                <w:rFonts w:ascii="Arial Narrow" w:eastAsia="Times New Roman" w:hAnsi="Arial Narrow" w:cs="Calibri"/>
                <w:b/>
                <w:bCs/>
                <w:color w:val="000000"/>
                <w:sz w:val="20"/>
                <w:szCs w:val="20"/>
              </w:rPr>
            </w:pPr>
            <w:r w:rsidRPr="00BB530F">
              <w:rPr>
                <w:rFonts w:ascii="Arial Narrow" w:eastAsia="Times New Roman" w:hAnsi="Arial Narrow" w:cs="Calibri"/>
                <w:b/>
                <w:bCs/>
                <w:color w:val="000000"/>
                <w:sz w:val="20"/>
                <w:szCs w:val="20"/>
              </w:rPr>
              <w:t>Clerical Burden (hours)</w:t>
            </w:r>
          </w:p>
        </w:tc>
        <w:tc>
          <w:tcPr>
            <w:tcW w:w="710" w:type="pct"/>
            <w:tcBorders>
              <w:top w:val="single" w:sz="8" w:space="0" w:color="auto"/>
              <w:left w:val="single" w:sz="8" w:space="0" w:color="auto"/>
              <w:bottom w:val="single" w:sz="4" w:space="0" w:color="auto"/>
              <w:right w:val="single" w:sz="8" w:space="0" w:color="auto"/>
            </w:tcBorders>
            <w:shd w:val="clear" w:color="000000" w:fill="BFBFBF"/>
            <w:vAlign w:val="bottom"/>
            <w:hideMark/>
          </w:tcPr>
          <w:p w14:paraId="09B3A9E2" w14:textId="77777777" w:rsidR="00BB530F" w:rsidRPr="00BB530F" w:rsidRDefault="00BB530F" w:rsidP="00BB530F">
            <w:pPr>
              <w:jc w:val="center"/>
              <w:rPr>
                <w:rFonts w:ascii="Arial Narrow" w:eastAsia="Times New Roman" w:hAnsi="Arial Narrow" w:cs="Calibri"/>
                <w:b/>
                <w:bCs/>
                <w:color w:val="000000"/>
                <w:sz w:val="20"/>
                <w:szCs w:val="20"/>
              </w:rPr>
            </w:pPr>
            <w:r w:rsidRPr="00BB530F">
              <w:rPr>
                <w:rFonts w:ascii="Arial Narrow" w:eastAsia="Times New Roman" w:hAnsi="Arial Narrow" w:cs="Calibri"/>
                <w:b/>
                <w:bCs/>
                <w:color w:val="000000"/>
                <w:sz w:val="20"/>
                <w:szCs w:val="20"/>
              </w:rPr>
              <w:t>Activity-Level Unit Burden (hours)</w:t>
            </w:r>
          </w:p>
        </w:tc>
      </w:tr>
      <w:tr w:rsidR="00BB530F" w:rsidRPr="00BB530F" w14:paraId="245D23E5" w14:textId="77777777" w:rsidTr="00BB530F">
        <w:trPr>
          <w:trHeight w:val="288"/>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3B62F4B7"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w:t>
            </w:r>
          </w:p>
        </w:tc>
        <w:tc>
          <w:tcPr>
            <w:tcW w:w="1298" w:type="pct"/>
            <w:tcBorders>
              <w:top w:val="nil"/>
              <w:left w:val="nil"/>
              <w:bottom w:val="single" w:sz="4" w:space="0" w:color="auto"/>
              <w:right w:val="single" w:sz="4" w:space="0" w:color="auto"/>
            </w:tcBorders>
            <w:shd w:val="clear" w:color="auto" w:fill="auto"/>
            <w:vAlign w:val="center"/>
            <w:hideMark/>
          </w:tcPr>
          <w:p w14:paraId="5E52F6C2" w14:textId="77777777" w:rsidR="00BB530F" w:rsidRPr="00BB530F" w:rsidRDefault="00BB530F" w:rsidP="00BB530F">
            <w:pPr>
              <w:rPr>
                <w:rFonts w:ascii="Arial Narrow" w:eastAsia="Times New Roman" w:hAnsi="Arial Narrow" w:cs="Calibri"/>
                <w:b/>
                <w:bCs/>
                <w:color w:val="000000"/>
                <w:sz w:val="20"/>
                <w:szCs w:val="20"/>
              </w:rPr>
            </w:pPr>
            <w:r w:rsidRPr="00BB530F">
              <w:rPr>
                <w:rFonts w:ascii="Arial Narrow" w:eastAsia="Times New Roman" w:hAnsi="Arial Narrow" w:cs="Calibri"/>
                <w:b/>
                <w:bCs/>
                <w:color w:val="000000"/>
                <w:sz w:val="20"/>
                <w:szCs w:val="20"/>
              </w:rPr>
              <w:t>Rule Familiarization</w:t>
            </w:r>
          </w:p>
        </w:tc>
        <w:tc>
          <w:tcPr>
            <w:tcW w:w="702" w:type="pct"/>
            <w:tcBorders>
              <w:top w:val="single" w:sz="4" w:space="0" w:color="auto"/>
              <w:left w:val="nil"/>
              <w:bottom w:val="single" w:sz="4" w:space="0" w:color="auto"/>
              <w:right w:val="single" w:sz="8" w:space="0" w:color="auto"/>
            </w:tcBorders>
            <w:shd w:val="clear" w:color="auto" w:fill="auto"/>
            <w:vAlign w:val="center"/>
            <w:hideMark/>
          </w:tcPr>
          <w:p w14:paraId="2FD147FE"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site</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0AC3BB1C"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2" w:type="pct"/>
            <w:tcBorders>
              <w:top w:val="nil"/>
              <w:left w:val="nil"/>
              <w:bottom w:val="single" w:sz="4" w:space="0" w:color="auto"/>
              <w:right w:val="single" w:sz="4" w:space="0" w:color="auto"/>
            </w:tcBorders>
            <w:shd w:val="clear" w:color="auto" w:fill="auto"/>
            <w:noWrap/>
            <w:vAlign w:val="center"/>
            <w:hideMark/>
          </w:tcPr>
          <w:p w14:paraId="11EDE0DD"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532" w:type="pct"/>
            <w:tcBorders>
              <w:top w:val="single" w:sz="4" w:space="0" w:color="auto"/>
              <w:left w:val="single" w:sz="4" w:space="0" w:color="auto"/>
              <w:bottom w:val="single" w:sz="4" w:space="0" w:color="auto"/>
              <w:right w:val="nil"/>
            </w:tcBorders>
            <w:shd w:val="clear" w:color="auto" w:fill="auto"/>
            <w:noWrap/>
            <w:vAlign w:val="center"/>
            <w:hideMark/>
          </w:tcPr>
          <w:p w14:paraId="6DD840E5"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1C3E7D64"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r>
      <w:tr w:rsidR="00BB530F" w:rsidRPr="00BB530F" w14:paraId="5D67BBB5" w14:textId="77777777" w:rsidTr="00396D04">
        <w:trPr>
          <w:trHeight w:val="288"/>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2436D55F"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2</w:t>
            </w:r>
          </w:p>
        </w:tc>
        <w:tc>
          <w:tcPr>
            <w:tcW w:w="1298" w:type="pct"/>
            <w:tcBorders>
              <w:top w:val="nil"/>
              <w:left w:val="nil"/>
              <w:bottom w:val="single" w:sz="4" w:space="0" w:color="auto"/>
              <w:right w:val="single" w:sz="4" w:space="0" w:color="auto"/>
            </w:tcBorders>
            <w:shd w:val="clear" w:color="auto" w:fill="auto"/>
            <w:vAlign w:val="center"/>
            <w:hideMark/>
          </w:tcPr>
          <w:p w14:paraId="66A4546F" w14:textId="77777777" w:rsidR="00BB530F" w:rsidRPr="00BB530F" w:rsidRDefault="00BB530F" w:rsidP="00BB530F">
            <w:pPr>
              <w:rPr>
                <w:rFonts w:ascii="Arial Narrow" w:eastAsia="Times New Roman" w:hAnsi="Arial Narrow" w:cs="Calibri"/>
                <w:b/>
                <w:bCs/>
                <w:color w:val="000000"/>
                <w:sz w:val="20"/>
                <w:szCs w:val="20"/>
              </w:rPr>
            </w:pPr>
            <w:r w:rsidRPr="00BB530F">
              <w:rPr>
                <w:rFonts w:ascii="Arial Narrow" w:eastAsia="Times New Roman" w:hAnsi="Arial Narrow" w:cs="Calibri"/>
                <w:b/>
                <w:bCs/>
                <w:color w:val="000000"/>
                <w:sz w:val="20"/>
                <w:szCs w:val="20"/>
              </w:rPr>
              <w:t>Compliance Determination</w:t>
            </w:r>
          </w:p>
        </w:tc>
        <w:tc>
          <w:tcPr>
            <w:tcW w:w="702" w:type="pct"/>
            <w:tcBorders>
              <w:top w:val="single" w:sz="4" w:space="0" w:color="auto"/>
              <w:left w:val="nil"/>
              <w:bottom w:val="single" w:sz="4" w:space="0" w:color="auto"/>
              <w:right w:val="single" w:sz="8" w:space="0" w:color="auto"/>
            </w:tcBorders>
            <w:shd w:val="clear" w:color="auto" w:fill="auto"/>
            <w:vAlign w:val="center"/>
            <w:hideMark/>
          </w:tcPr>
          <w:p w14:paraId="494805A2"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site</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6B0CF37D"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2.000</w:t>
            </w:r>
          </w:p>
        </w:tc>
        <w:tc>
          <w:tcPr>
            <w:tcW w:w="712" w:type="pct"/>
            <w:tcBorders>
              <w:top w:val="nil"/>
              <w:left w:val="nil"/>
              <w:bottom w:val="single" w:sz="4" w:space="0" w:color="auto"/>
              <w:right w:val="single" w:sz="4" w:space="0" w:color="auto"/>
            </w:tcBorders>
            <w:shd w:val="clear" w:color="auto" w:fill="auto"/>
            <w:noWrap/>
            <w:vAlign w:val="center"/>
            <w:hideMark/>
          </w:tcPr>
          <w:p w14:paraId="6AE5E1DE"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4.500</w:t>
            </w:r>
          </w:p>
        </w:tc>
        <w:tc>
          <w:tcPr>
            <w:tcW w:w="532" w:type="pct"/>
            <w:tcBorders>
              <w:top w:val="nil"/>
              <w:left w:val="single" w:sz="4" w:space="0" w:color="auto"/>
              <w:bottom w:val="single" w:sz="4" w:space="0" w:color="auto"/>
              <w:right w:val="nil"/>
            </w:tcBorders>
            <w:shd w:val="clear" w:color="auto" w:fill="auto"/>
            <w:noWrap/>
            <w:vAlign w:val="center"/>
            <w:hideMark/>
          </w:tcPr>
          <w:p w14:paraId="1016EB60"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5A5080BD"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6.500</w:t>
            </w:r>
          </w:p>
        </w:tc>
      </w:tr>
      <w:tr w:rsidR="00BB530F" w:rsidRPr="00BB530F" w14:paraId="768D1A49" w14:textId="77777777" w:rsidTr="00396D04">
        <w:trPr>
          <w:trHeight w:val="288"/>
        </w:trPr>
        <w:tc>
          <w:tcPr>
            <w:tcW w:w="337" w:type="pct"/>
            <w:tcBorders>
              <w:top w:val="nil"/>
              <w:left w:val="single" w:sz="8" w:space="0" w:color="auto"/>
              <w:bottom w:val="single" w:sz="6" w:space="0" w:color="auto"/>
              <w:right w:val="single" w:sz="4" w:space="0" w:color="auto"/>
            </w:tcBorders>
            <w:shd w:val="clear" w:color="auto" w:fill="auto"/>
            <w:noWrap/>
            <w:vAlign w:val="center"/>
            <w:hideMark/>
          </w:tcPr>
          <w:p w14:paraId="6F9901EB"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3</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B752D" w14:textId="77777777" w:rsidR="00BB530F" w:rsidRPr="00BB530F" w:rsidRDefault="00BB530F" w:rsidP="00BB530F">
            <w:pPr>
              <w:rPr>
                <w:rFonts w:ascii="Arial Narrow" w:eastAsia="Times New Roman" w:hAnsi="Arial Narrow" w:cs="Calibri"/>
                <w:b/>
                <w:bCs/>
                <w:color w:val="000000"/>
                <w:sz w:val="20"/>
                <w:szCs w:val="20"/>
              </w:rPr>
            </w:pPr>
            <w:r w:rsidRPr="00BB530F">
              <w:rPr>
                <w:rFonts w:ascii="Arial Narrow" w:eastAsia="Times New Roman" w:hAnsi="Arial Narrow" w:cs="Calibri"/>
                <w:b/>
                <w:bCs/>
                <w:color w:val="000000"/>
                <w:sz w:val="20"/>
                <w:szCs w:val="20"/>
              </w:rPr>
              <w:t>Recordkeeping</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FB3342"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site</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A6B1B"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0.750</w:t>
            </w:r>
          </w:p>
        </w:tc>
        <w:tc>
          <w:tcPr>
            <w:tcW w:w="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BB5AA"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1.500</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4FFD8"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0.750</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7C714"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3.000</w:t>
            </w:r>
          </w:p>
        </w:tc>
      </w:tr>
      <w:tr w:rsidR="00BB530F" w:rsidRPr="00BB530F" w14:paraId="69336A0B" w14:textId="77777777" w:rsidTr="00396D04">
        <w:trPr>
          <w:trHeight w:val="300"/>
        </w:trPr>
        <w:tc>
          <w:tcPr>
            <w:tcW w:w="337" w:type="pct"/>
            <w:tcBorders>
              <w:top w:val="single" w:sz="6" w:space="0" w:color="auto"/>
              <w:left w:val="single" w:sz="8" w:space="0" w:color="auto"/>
              <w:bottom w:val="single" w:sz="8" w:space="0" w:color="auto"/>
            </w:tcBorders>
            <w:shd w:val="clear" w:color="auto" w:fill="auto"/>
            <w:noWrap/>
            <w:vAlign w:val="center"/>
            <w:hideMark/>
          </w:tcPr>
          <w:p w14:paraId="1E36626D" w14:textId="77777777" w:rsidR="00BB530F" w:rsidRPr="00BB530F" w:rsidRDefault="00BB530F" w:rsidP="00BB530F">
            <w:pPr>
              <w:jc w:val="center"/>
              <w:rPr>
                <w:rFonts w:ascii="Arial Narrow" w:eastAsia="Times New Roman" w:hAnsi="Arial Narrow" w:cs="Calibri"/>
                <w:color w:val="000000"/>
                <w:sz w:val="20"/>
                <w:szCs w:val="20"/>
              </w:rPr>
            </w:pPr>
          </w:p>
        </w:tc>
        <w:tc>
          <w:tcPr>
            <w:tcW w:w="1298" w:type="pct"/>
            <w:tcBorders>
              <w:top w:val="single" w:sz="4" w:space="0" w:color="auto"/>
            </w:tcBorders>
            <w:shd w:val="clear" w:color="auto" w:fill="auto"/>
            <w:vAlign w:val="center"/>
            <w:hideMark/>
          </w:tcPr>
          <w:p w14:paraId="276AA579" w14:textId="77777777" w:rsidR="00BB530F" w:rsidRPr="00BB530F" w:rsidRDefault="00BB530F" w:rsidP="00BB530F">
            <w:pPr>
              <w:rPr>
                <w:rFonts w:ascii="Arial Narrow" w:eastAsia="Times New Roman" w:hAnsi="Arial Narrow" w:cs="Calibri"/>
                <w:b/>
                <w:bCs/>
                <w:color w:val="000000"/>
                <w:sz w:val="20"/>
                <w:szCs w:val="20"/>
              </w:rPr>
            </w:pPr>
            <w:r w:rsidRPr="00BB530F">
              <w:rPr>
                <w:rFonts w:ascii="Arial Narrow" w:eastAsia="Times New Roman" w:hAnsi="Arial Narrow" w:cs="Calibri"/>
                <w:b/>
                <w:bCs/>
                <w:color w:val="000000"/>
                <w:sz w:val="20"/>
                <w:szCs w:val="20"/>
              </w:rPr>
              <w:t>Form Completion</w:t>
            </w:r>
          </w:p>
        </w:tc>
        <w:tc>
          <w:tcPr>
            <w:tcW w:w="702" w:type="pct"/>
            <w:tcBorders>
              <w:top w:val="single" w:sz="4" w:space="0" w:color="auto"/>
            </w:tcBorders>
            <w:shd w:val="clear" w:color="auto" w:fill="auto"/>
            <w:vAlign w:val="center"/>
            <w:hideMark/>
          </w:tcPr>
          <w:p w14:paraId="415ADD70" w14:textId="77777777" w:rsidR="00BB530F" w:rsidRPr="00BB530F" w:rsidRDefault="00BB530F" w:rsidP="00BB530F">
            <w:pPr>
              <w:jc w:val="center"/>
              <w:rPr>
                <w:rFonts w:ascii="Arial Narrow" w:eastAsia="Times New Roman" w:hAnsi="Arial Narrow" w:cs="Calibri"/>
                <w:b/>
                <w:bCs/>
                <w:color w:val="000000"/>
                <w:sz w:val="20"/>
                <w:szCs w:val="20"/>
              </w:rPr>
            </w:pPr>
          </w:p>
        </w:tc>
        <w:tc>
          <w:tcPr>
            <w:tcW w:w="709" w:type="pct"/>
            <w:tcBorders>
              <w:top w:val="single" w:sz="4" w:space="0" w:color="auto"/>
            </w:tcBorders>
            <w:shd w:val="clear" w:color="auto" w:fill="auto"/>
            <w:vAlign w:val="center"/>
            <w:hideMark/>
          </w:tcPr>
          <w:p w14:paraId="55EDDA4B" w14:textId="77777777" w:rsidR="00BB530F" w:rsidRPr="00BB530F" w:rsidRDefault="00BB530F" w:rsidP="00BB530F">
            <w:pPr>
              <w:ind w:right="101"/>
              <w:jc w:val="right"/>
              <w:rPr>
                <w:rFonts w:ascii="Arial Narrow" w:eastAsia="Times New Roman" w:hAnsi="Arial Narrow" w:cs="Calibri"/>
                <w:b/>
                <w:bCs/>
                <w:color w:val="000000"/>
                <w:sz w:val="20"/>
                <w:szCs w:val="20"/>
              </w:rPr>
            </w:pPr>
            <w:r w:rsidRPr="00BB530F">
              <w:rPr>
                <w:rFonts w:ascii="Arial Narrow" w:eastAsia="Times New Roman" w:hAnsi="Arial Narrow" w:cs="Calibri"/>
                <w:b/>
                <w:bCs/>
                <w:color w:val="000000"/>
                <w:sz w:val="20"/>
                <w:szCs w:val="20"/>
              </w:rPr>
              <w:t> </w:t>
            </w:r>
          </w:p>
        </w:tc>
        <w:tc>
          <w:tcPr>
            <w:tcW w:w="712" w:type="pct"/>
            <w:tcBorders>
              <w:top w:val="single" w:sz="4" w:space="0" w:color="auto"/>
            </w:tcBorders>
            <w:shd w:val="clear" w:color="auto" w:fill="auto"/>
            <w:vAlign w:val="center"/>
            <w:hideMark/>
          </w:tcPr>
          <w:p w14:paraId="20DC4976" w14:textId="77777777" w:rsidR="00BB530F" w:rsidRPr="00BB530F" w:rsidRDefault="00BB530F" w:rsidP="00BB530F">
            <w:pPr>
              <w:ind w:right="101"/>
              <w:jc w:val="right"/>
              <w:rPr>
                <w:rFonts w:ascii="Arial Narrow" w:eastAsia="Times New Roman" w:hAnsi="Arial Narrow" w:cs="Calibri"/>
                <w:b/>
                <w:bCs/>
                <w:color w:val="000000"/>
                <w:sz w:val="20"/>
                <w:szCs w:val="20"/>
              </w:rPr>
            </w:pPr>
            <w:r w:rsidRPr="00BB530F">
              <w:rPr>
                <w:rFonts w:ascii="Arial Narrow" w:eastAsia="Times New Roman" w:hAnsi="Arial Narrow" w:cs="Calibri"/>
                <w:b/>
                <w:bCs/>
                <w:color w:val="000000"/>
                <w:sz w:val="20"/>
                <w:szCs w:val="20"/>
              </w:rPr>
              <w:t> </w:t>
            </w:r>
          </w:p>
        </w:tc>
        <w:tc>
          <w:tcPr>
            <w:tcW w:w="532" w:type="pct"/>
            <w:tcBorders>
              <w:top w:val="single" w:sz="4" w:space="0" w:color="auto"/>
            </w:tcBorders>
            <w:shd w:val="clear" w:color="auto" w:fill="auto"/>
            <w:vAlign w:val="center"/>
            <w:hideMark/>
          </w:tcPr>
          <w:p w14:paraId="3DFB0205" w14:textId="77777777" w:rsidR="00BB530F" w:rsidRPr="00BB530F" w:rsidRDefault="00BB530F" w:rsidP="00BB530F">
            <w:pPr>
              <w:ind w:right="101"/>
              <w:jc w:val="right"/>
              <w:rPr>
                <w:rFonts w:ascii="Arial Narrow" w:eastAsia="Times New Roman" w:hAnsi="Arial Narrow" w:cs="Calibri"/>
                <w:b/>
                <w:bCs/>
                <w:color w:val="000000"/>
                <w:sz w:val="20"/>
                <w:szCs w:val="20"/>
              </w:rPr>
            </w:pPr>
            <w:r w:rsidRPr="00BB530F">
              <w:rPr>
                <w:rFonts w:ascii="Arial Narrow" w:eastAsia="Times New Roman" w:hAnsi="Arial Narrow" w:cs="Calibri"/>
                <w:b/>
                <w:bCs/>
                <w:color w:val="000000"/>
                <w:sz w:val="20"/>
                <w:szCs w:val="20"/>
              </w:rPr>
              <w:t> </w:t>
            </w:r>
          </w:p>
        </w:tc>
        <w:tc>
          <w:tcPr>
            <w:tcW w:w="710" w:type="pct"/>
            <w:tcBorders>
              <w:top w:val="single" w:sz="4" w:space="0" w:color="auto"/>
              <w:left w:val="nil"/>
              <w:bottom w:val="single" w:sz="8" w:space="0" w:color="auto"/>
              <w:right w:val="single" w:sz="8" w:space="0" w:color="auto"/>
            </w:tcBorders>
            <w:shd w:val="clear" w:color="auto" w:fill="auto"/>
            <w:vAlign w:val="center"/>
            <w:hideMark/>
          </w:tcPr>
          <w:p w14:paraId="61893E99" w14:textId="77777777" w:rsidR="00BB530F" w:rsidRPr="00BB530F" w:rsidRDefault="00BB530F" w:rsidP="00BB530F">
            <w:pPr>
              <w:ind w:right="101"/>
              <w:jc w:val="right"/>
              <w:rPr>
                <w:rFonts w:ascii="Arial Narrow" w:eastAsia="Times New Roman" w:hAnsi="Arial Narrow" w:cs="Calibri"/>
                <w:b/>
                <w:bCs/>
                <w:color w:val="000000"/>
                <w:sz w:val="20"/>
                <w:szCs w:val="20"/>
              </w:rPr>
            </w:pPr>
            <w:r w:rsidRPr="00BB530F">
              <w:rPr>
                <w:rFonts w:ascii="Arial Narrow" w:eastAsia="Times New Roman" w:hAnsi="Arial Narrow" w:cs="Calibri"/>
                <w:b/>
                <w:bCs/>
                <w:color w:val="000000"/>
                <w:sz w:val="20"/>
                <w:szCs w:val="20"/>
              </w:rPr>
              <w:t> </w:t>
            </w:r>
          </w:p>
        </w:tc>
      </w:tr>
      <w:tr w:rsidR="00BB530F" w:rsidRPr="00621CBC" w14:paraId="448DCC3E" w14:textId="77777777" w:rsidTr="00BB530F">
        <w:trPr>
          <w:trHeight w:val="270"/>
        </w:trPr>
        <w:tc>
          <w:tcPr>
            <w:tcW w:w="337"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74780880" w14:textId="77777777" w:rsidR="00BB530F" w:rsidRPr="00BB530F" w:rsidRDefault="00BB530F" w:rsidP="00BB530F">
            <w:pPr>
              <w:jc w:val="center"/>
              <w:rPr>
                <w:rFonts w:ascii="Arial Narrow" w:eastAsia="Times New Roman" w:hAnsi="Arial Narrow" w:cs="Calibri"/>
                <w:color w:val="000000"/>
                <w:sz w:val="20"/>
                <w:szCs w:val="20"/>
              </w:rPr>
            </w:pPr>
          </w:p>
        </w:tc>
        <w:tc>
          <w:tcPr>
            <w:tcW w:w="4663" w:type="pct"/>
            <w:gridSpan w:val="6"/>
            <w:tcBorders>
              <w:top w:val="single" w:sz="8" w:space="0" w:color="auto"/>
              <w:left w:val="single" w:sz="8" w:space="0" w:color="auto"/>
              <w:bottom w:val="single" w:sz="8" w:space="0" w:color="auto"/>
              <w:right w:val="single" w:sz="8" w:space="0" w:color="auto"/>
            </w:tcBorders>
            <w:shd w:val="clear" w:color="auto" w:fill="D9D9D9"/>
            <w:vAlign w:val="center"/>
            <w:hideMark/>
          </w:tcPr>
          <w:p w14:paraId="3BEB14E8" w14:textId="77777777" w:rsidR="00BB530F" w:rsidRPr="00044368" w:rsidRDefault="00BB530F" w:rsidP="00BB530F">
            <w:pPr>
              <w:jc w:val="center"/>
              <w:rPr>
                <w:rFonts w:ascii="Arial Narrow" w:eastAsia="Times New Roman" w:hAnsi="Arial Narrow" w:cs="Calibri"/>
                <w:color w:val="000000"/>
                <w:sz w:val="20"/>
                <w:szCs w:val="20"/>
                <w:lang w:val="fr-FR"/>
              </w:rPr>
            </w:pPr>
            <w:r w:rsidRPr="00044368">
              <w:rPr>
                <w:rFonts w:ascii="Arial Narrow" w:eastAsia="Times New Roman" w:hAnsi="Arial Narrow" w:cs="Calibri"/>
                <w:b/>
                <w:bCs/>
                <w:i/>
                <w:iCs/>
                <w:color w:val="000000"/>
                <w:sz w:val="20"/>
                <w:szCs w:val="20"/>
                <w:lang w:val="fr-FR"/>
              </w:rPr>
              <w:t>Part I. Site Identification Information</w:t>
            </w:r>
          </w:p>
        </w:tc>
      </w:tr>
      <w:tr w:rsidR="00BB530F" w:rsidRPr="00BB530F" w14:paraId="55E11C08" w14:textId="77777777" w:rsidTr="00BB530F">
        <w:trPr>
          <w:trHeight w:val="525"/>
        </w:trPr>
        <w:tc>
          <w:tcPr>
            <w:tcW w:w="337"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EE136B3"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4</w:t>
            </w:r>
          </w:p>
        </w:tc>
        <w:tc>
          <w:tcPr>
            <w:tcW w:w="1298" w:type="pct"/>
            <w:tcBorders>
              <w:top w:val="single" w:sz="8" w:space="0" w:color="auto"/>
              <w:left w:val="nil"/>
              <w:bottom w:val="single" w:sz="4" w:space="0" w:color="auto"/>
              <w:right w:val="single" w:sz="4" w:space="0" w:color="auto"/>
            </w:tcBorders>
            <w:shd w:val="clear" w:color="auto" w:fill="auto"/>
            <w:vAlign w:val="center"/>
            <w:hideMark/>
          </w:tcPr>
          <w:p w14:paraId="70FC3223"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Certification</w:t>
            </w:r>
          </w:p>
        </w:tc>
        <w:tc>
          <w:tcPr>
            <w:tcW w:w="702" w:type="pct"/>
            <w:tcBorders>
              <w:top w:val="single" w:sz="8" w:space="0" w:color="auto"/>
              <w:left w:val="nil"/>
              <w:bottom w:val="single" w:sz="4" w:space="0" w:color="auto"/>
              <w:right w:val="single" w:sz="8" w:space="0" w:color="auto"/>
            </w:tcBorders>
            <w:shd w:val="clear" w:color="auto" w:fill="auto"/>
            <w:vAlign w:val="center"/>
            <w:hideMark/>
          </w:tcPr>
          <w:p w14:paraId="161C6300"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site</w:t>
            </w:r>
          </w:p>
        </w:tc>
        <w:tc>
          <w:tcPr>
            <w:tcW w:w="709"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A0EBB42"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1.010</w:t>
            </w:r>
          </w:p>
        </w:tc>
        <w:tc>
          <w:tcPr>
            <w:tcW w:w="712" w:type="pct"/>
            <w:tcBorders>
              <w:top w:val="single" w:sz="8" w:space="0" w:color="auto"/>
              <w:left w:val="nil"/>
              <w:bottom w:val="single" w:sz="4" w:space="0" w:color="auto"/>
              <w:right w:val="single" w:sz="4" w:space="0" w:color="auto"/>
            </w:tcBorders>
            <w:shd w:val="clear" w:color="auto" w:fill="auto"/>
            <w:noWrap/>
            <w:vAlign w:val="center"/>
            <w:hideMark/>
          </w:tcPr>
          <w:p w14:paraId="0232BF07"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0.850</w:t>
            </w:r>
          </w:p>
        </w:tc>
        <w:tc>
          <w:tcPr>
            <w:tcW w:w="532" w:type="pct"/>
            <w:tcBorders>
              <w:top w:val="single" w:sz="8" w:space="0" w:color="auto"/>
              <w:left w:val="single" w:sz="4" w:space="0" w:color="auto"/>
              <w:bottom w:val="single" w:sz="4" w:space="0" w:color="auto"/>
              <w:right w:val="nil"/>
            </w:tcBorders>
            <w:shd w:val="clear" w:color="auto" w:fill="auto"/>
            <w:noWrap/>
            <w:vAlign w:val="center"/>
            <w:hideMark/>
          </w:tcPr>
          <w:p w14:paraId="6FD7202B"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AFA0D68"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1.860</w:t>
            </w:r>
          </w:p>
        </w:tc>
      </w:tr>
      <w:tr w:rsidR="00BB530F" w:rsidRPr="00BB530F" w14:paraId="4E3BAA62" w14:textId="77777777" w:rsidTr="00BB530F">
        <w:trPr>
          <w:trHeight w:val="828"/>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37FD4329"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5</w:t>
            </w:r>
          </w:p>
        </w:tc>
        <w:tc>
          <w:tcPr>
            <w:tcW w:w="1298" w:type="pct"/>
            <w:tcBorders>
              <w:top w:val="nil"/>
              <w:left w:val="nil"/>
              <w:bottom w:val="single" w:sz="4" w:space="0" w:color="auto"/>
              <w:right w:val="single" w:sz="4" w:space="0" w:color="auto"/>
            </w:tcBorders>
            <w:shd w:val="clear" w:color="auto" w:fill="auto"/>
            <w:vAlign w:val="center"/>
            <w:hideMark/>
          </w:tcPr>
          <w:p w14:paraId="0A065716"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Parent Company Information (Company Name, Address, D&amp;B Number, Mailing Address)</w:t>
            </w:r>
          </w:p>
        </w:tc>
        <w:tc>
          <w:tcPr>
            <w:tcW w:w="702" w:type="pct"/>
            <w:tcBorders>
              <w:top w:val="nil"/>
              <w:left w:val="nil"/>
              <w:bottom w:val="single" w:sz="4" w:space="0" w:color="auto"/>
              <w:right w:val="single" w:sz="8" w:space="0" w:color="auto"/>
            </w:tcBorders>
            <w:shd w:val="clear" w:color="auto" w:fill="auto"/>
            <w:vAlign w:val="center"/>
            <w:hideMark/>
          </w:tcPr>
          <w:p w14:paraId="30479CA4"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site</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46511B84"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0.002</w:t>
            </w:r>
          </w:p>
        </w:tc>
        <w:tc>
          <w:tcPr>
            <w:tcW w:w="712" w:type="pct"/>
            <w:tcBorders>
              <w:top w:val="nil"/>
              <w:left w:val="nil"/>
              <w:bottom w:val="single" w:sz="4" w:space="0" w:color="auto"/>
              <w:right w:val="single" w:sz="4" w:space="0" w:color="auto"/>
            </w:tcBorders>
            <w:shd w:val="clear" w:color="auto" w:fill="auto"/>
            <w:noWrap/>
            <w:vAlign w:val="center"/>
            <w:hideMark/>
          </w:tcPr>
          <w:p w14:paraId="30996BEC"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0.006</w:t>
            </w:r>
          </w:p>
        </w:tc>
        <w:tc>
          <w:tcPr>
            <w:tcW w:w="532" w:type="pct"/>
            <w:tcBorders>
              <w:top w:val="nil"/>
              <w:left w:val="single" w:sz="4" w:space="0" w:color="auto"/>
              <w:bottom w:val="single" w:sz="4" w:space="0" w:color="auto"/>
              <w:right w:val="nil"/>
            </w:tcBorders>
            <w:shd w:val="clear" w:color="auto" w:fill="auto"/>
            <w:noWrap/>
            <w:vAlign w:val="center"/>
            <w:hideMark/>
          </w:tcPr>
          <w:p w14:paraId="08CE15D4"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6528185E"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0.008</w:t>
            </w:r>
          </w:p>
        </w:tc>
      </w:tr>
      <w:tr w:rsidR="00BB530F" w:rsidRPr="00BB530F" w14:paraId="0CDE9C12" w14:textId="77777777" w:rsidTr="00BB530F">
        <w:trPr>
          <w:trHeight w:val="552"/>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62046271"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6</w:t>
            </w:r>
          </w:p>
        </w:tc>
        <w:tc>
          <w:tcPr>
            <w:tcW w:w="1298" w:type="pct"/>
            <w:tcBorders>
              <w:top w:val="nil"/>
              <w:left w:val="nil"/>
              <w:bottom w:val="dashed" w:sz="4" w:space="0" w:color="auto"/>
              <w:right w:val="single" w:sz="4" w:space="0" w:color="auto"/>
            </w:tcBorders>
            <w:shd w:val="clear" w:color="auto" w:fill="auto"/>
            <w:vAlign w:val="center"/>
            <w:hideMark/>
          </w:tcPr>
          <w:p w14:paraId="5D417805"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Site Identification (Site Name, D&amp;B Number, Address, Mailing Address)</w:t>
            </w:r>
          </w:p>
        </w:tc>
        <w:tc>
          <w:tcPr>
            <w:tcW w:w="702" w:type="pct"/>
            <w:tcBorders>
              <w:top w:val="nil"/>
              <w:left w:val="nil"/>
              <w:bottom w:val="single" w:sz="4" w:space="0" w:color="auto"/>
              <w:right w:val="single" w:sz="8" w:space="0" w:color="auto"/>
            </w:tcBorders>
            <w:shd w:val="clear" w:color="auto" w:fill="auto"/>
            <w:vAlign w:val="center"/>
            <w:hideMark/>
          </w:tcPr>
          <w:p w14:paraId="33A63208"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site</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09DA2B0F"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0.004</w:t>
            </w:r>
          </w:p>
        </w:tc>
        <w:tc>
          <w:tcPr>
            <w:tcW w:w="712" w:type="pct"/>
            <w:tcBorders>
              <w:top w:val="nil"/>
              <w:left w:val="nil"/>
              <w:bottom w:val="single" w:sz="4" w:space="0" w:color="auto"/>
              <w:right w:val="single" w:sz="4" w:space="0" w:color="auto"/>
            </w:tcBorders>
            <w:shd w:val="clear" w:color="auto" w:fill="auto"/>
            <w:noWrap/>
            <w:vAlign w:val="center"/>
            <w:hideMark/>
          </w:tcPr>
          <w:p w14:paraId="11B2A33D"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0.010</w:t>
            </w:r>
          </w:p>
        </w:tc>
        <w:tc>
          <w:tcPr>
            <w:tcW w:w="532" w:type="pct"/>
            <w:tcBorders>
              <w:top w:val="nil"/>
              <w:left w:val="single" w:sz="4" w:space="0" w:color="auto"/>
              <w:bottom w:val="single" w:sz="4" w:space="0" w:color="auto"/>
              <w:right w:val="nil"/>
            </w:tcBorders>
            <w:shd w:val="clear" w:color="auto" w:fill="auto"/>
            <w:noWrap/>
            <w:vAlign w:val="center"/>
            <w:hideMark/>
          </w:tcPr>
          <w:p w14:paraId="0D2D04E6"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1321A5B4"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0.014</w:t>
            </w:r>
          </w:p>
        </w:tc>
      </w:tr>
      <w:tr w:rsidR="00BB530F" w:rsidRPr="00BB530F" w14:paraId="38AE3C12" w14:textId="77777777" w:rsidTr="008D0116">
        <w:trPr>
          <w:trHeight w:val="286"/>
        </w:trPr>
        <w:tc>
          <w:tcPr>
            <w:tcW w:w="337"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5316226C" w14:textId="77777777" w:rsidR="00BB530F" w:rsidRPr="00BB530F" w:rsidRDefault="00BB530F" w:rsidP="00BB530F">
            <w:pPr>
              <w:jc w:val="center"/>
              <w:rPr>
                <w:rFonts w:ascii="Arial Narrow" w:eastAsia="Times New Roman" w:hAnsi="Arial Narrow" w:cs="Calibri"/>
                <w:color w:val="000000"/>
                <w:sz w:val="20"/>
                <w:szCs w:val="20"/>
              </w:rPr>
            </w:pPr>
          </w:p>
        </w:tc>
        <w:tc>
          <w:tcPr>
            <w:tcW w:w="4663" w:type="pct"/>
            <w:gridSpan w:val="6"/>
            <w:tcBorders>
              <w:top w:val="single" w:sz="8" w:space="0" w:color="auto"/>
              <w:left w:val="nil"/>
              <w:bottom w:val="single" w:sz="8" w:space="0" w:color="auto"/>
              <w:right w:val="single" w:sz="8" w:space="0" w:color="auto"/>
            </w:tcBorders>
            <w:shd w:val="clear" w:color="auto" w:fill="D9D9D9"/>
            <w:vAlign w:val="center"/>
            <w:hideMark/>
          </w:tcPr>
          <w:p w14:paraId="133378CE"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b/>
                <w:bCs/>
                <w:i/>
                <w:iCs/>
                <w:color w:val="000000"/>
                <w:sz w:val="20"/>
                <w:szCs w:val="20"/>
              </w:rPr>
              <w:t>Part I. Site Identification Information Chemical Report Level</w:t>
            </w:r>
          </w:p>
        </w:tc>
      </w:tr>
      <w:tr w:rsidR="00BB530F" w:rsidRPr="00BB530F" w14:paraId="7B179ED2" w14:textId="77777777" w:rsidTr="00BB530F">
        <w:trPr>
          <w:trHeight w:val="288"/>
        </w:trPr>
        <w:tc>
          <w:tcPr>
            <w:tcW w:w="33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435216" w14:textId="77777777" w:rsidR="00BB530F" w:rsidRPr="00BB530F" w:rsidRDefault="002E2230" w:rsidP="00BB530F">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7</w:t>
            </w:r>
          </w:p>
        </w:tc>
        <w:tc>
          <w:tcPr>
            <w:tcW w:w="1298" w:type="pct"/>
            <w:tcBorders>
              <w:top w:val="single" w:sz="8" w:space="0" w:color="auto"/>
              <w:left w:val="nil"/>
              <w:bottom w:val="single" w:sz="8" w:space="0" w:color="auto"/>
              <w:right w:val="single" w:sz="4" w:space="0" w:color="auto"/>
            </w:tcBorders>
            <w:shd w:val="clear" w:color="auto" w:fill="auto"/>
            <w:vAlign w:val="center"/>
            <w:hideMark/>
          </w:tcPr>
          <w:p w14:paraId="24B0DDC7"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Technical Contact</w:t>
            </w:r>
            <w:r w:rsidR="00D758BB">
              <w:rPr>
                <w:rFonts w:ascii="Arial Narrow" w:eastAsia="Times New Roman" w:hAnsi="Arial Narrow" w:cs="Calibri"/>
                <w:color w:val="000000"/>
                <w:sz w:val="20"/>
                <w:szCs w:val="20"/>
              </w:rPr>
              <w:t xml:space="preserve"> Information (Name, Phone, Mailing Address, Email, Country)</w:t>
            </w:r>
          </w:p>
        </w:tc>
        <w:tc>
          <w:tcPr>
            <w:tcW w:w="702" w:type="pct"/>
            <w:tcBorders>
              <w:top w:val="single" w:sz="8" w:space="0" w:color="auto"/>
              <w:left w:val="nil"/>
              <w:bottom w:val="single" w:sz="8" w:space="0" w:color="auto"/>
              <w:right w:val="single" w:sz="8" w:space="0" w:color="auto"/>
            </w:tcBorders>
            <w:shd w:val="clear" w:color="auto" w:fill="auto"/>
            <w:vAlign w:val="center"/>
            <w:hideMark/>
          </w:tcPr>
          <w:p w14:paraId="3038CF38"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E726C77"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0.002</w:t>
            </w:r>
          </w:p>
        </w:tc>
        <w:tc>
          <w:tcPr>
            <w:tcW w:w="712" w:type="pct"/>
            <w:tcBorders>
              <w:top w:val="single" w:sz="8" w:space="0" w:color="auto"/>
              <w:left w:val="nil"/>
              <w:bottom w:val="single" w:sz="8" w:space="0" w:color="auto"/>
              <w:right w:val="single" w:sz="4" w:space="0" w:color="auto"/>
            </w:tcBorders>
            <w:shd w:val="clear" w:color="auto" w:fill="auto"/>
            <w:noWrap/>
            <w:vAlign w:val="center"/>
            <w:hideMark/>
          </w:tcPr>
          <w:p w14:paraId="56B7D1E4"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0.004</w:t>
            </w:r>
          </w:p>
        </w:tc>
        <w:tc>
          <w:tcPr>
            <w:tcW w:w="532" w:type="pct"/>
            <w:tcBorders>
              <w:top w:val="single" w:sz="8" w:space="0" w:color="auto"/>
              <w:left w:val="single" w:sz="4" w:space="0" w:color="auto"/>
              <w:bottom w:val="single" w:sz="8" w:space="0" w:color="auto"/>
              <w:right w:val="nil"/>
            </w:tcBorders>
            <w:shd w:val="clear" w:color="auto" w:fill="auto"/>
            <w:noWrap/>
            <w:vAlign w:val="center"/>
            <w:hideMark/>
          </w:tcPr>
          <w:p w14:paraId="64FC0EAA"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CB6CBF"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0.006</w:t>
            </w:r>
          </w:p>
        </w:tc>
      </w:tr>
      <w:tr w:rsidR="00BB530F" w:rsidRPr="00BB530F" w14:paraId="7FE848F9" w14:textId="77777777" w:rsidTr="00BB530F">
        <w:trPr>
          <w:trHeight w:val="288"/>
        </w:trPr>
        <w:tc>
          <w:tcPr>
            <w:tcW w:w="337"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5434CA69" w14:textId="77777777" w:rsidR="00BB530F" w:rsidRPr="00BB530F" w:rsidRDefault="00BB530F" w:rsidP="00BB530F">
            <w:pPr>
              <w:jc w:val="center"/>
              <w:rPr>
                <w:rFonts w:ascii="Arial Narrow" w:eastAsia="Times New Roman" w:hAnsi="Arial Narrow" w:cs="Calibri"/>
                <w:color w:val="000000"/>
                <w:sz w:val="20"/>
                <w:szCs w:val="20"/>
              </w:rPr>
            </w:pPr>
          </w:p>
        </w:tc>
        <w:tc>
          <w:tcPr>
            <w:tcW w:w="4663" w:type="pct"/>
            <w:gridSpan w:val="6"/>
            <w:tcBorders>
              <w:top w:val="single" w:sz="8" w:space="0" w:color="auto"/>
              <w:left w:val="nil"/>
              <w:bottom w:val="single" w:sz="8" w:space="0" w:color="auto"/>
              <w:right w:val="single" w:sz="8" w:space="0" w:color="auto"/>
            </w:tcBorders>
            <w:shd w:val="clear" w:color="auto" w:fill="D9D9D9"/>
            <w:vAlign w:val="center"/>
            <w:hideMark/>
          </w:tcPr>
          <w:p w14:paraId="0845FC2F"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b/>
                <w:bCs/>
                <w:i/>
                <w:iCs/>
                <w:color w:val="000000"/>
                <w:sz w:val="20"/>
                <w:szCs w:val="20"/>
              </w:rPr>
              <w:t>Part II. Manufacturing Information</w:t>
            </w:r>
          </w:p>
        </w:tc>
      </w:tr>
      <w:tr w:rsidR="00BB530F" w:rsidRPr="00BB530F" w14:paraId="57838580" w14:textId="77777777" w:rsidTr="00BB530F">
        <w:trPr>
          <w:trHeight w:val="312"/>
        </w:trPr>
        <w:tc>
          <w:tcPr>
            <w:tcW w:w="337"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D44779D" w14:textId="77777777" w:rsidR="00BB530F" w:rsidRPr="00BB530F" w:rsidRDefault="002E2230" w:rsidP="00BB530F">
            <w:pPr>
              <w:jc w:val="center"/>
              <w:rPr>
                <w:rFonts w:ascii="Arial Narrow" w:eastAsia="Times New Roman" w:hAnsi="Arial Narrow" w:cs="Calibri"/>
                <w:sz w:val="20"/>
                <w:szCs w:val="20"/>
              </w:rPr>
            </w:pPr>
            <w:r>
              <w:rPr>
                <w:rFonts w:ascii="Arial Narrow" w:eastAsia="Times New Roman" w:hAnsi="Arial Narrow" w:cs="Calibri"/>
                <w:sz w:val="20"/>
                <w:szCs w:val="20"/>
              </w:rPr>
              <w:t>8</w:t>
            </w:r>
          </w:p>
        </w:tc>
        <w:tc>
          <w:tcPr>
            <w:tcW w:w="1298" w:type="pct"/>
            <w:tcBorders>
              <w:top w:val="single" w:sz="8" w:space="0" w:color="auto"/>
              <w:left w:val="nil"/>
              <w:bottom w:val="single" w:sz="4" w:space="0" w:color="auto"/>
              <w:right w:val="single" w:sz="4" w:space="0" w:color="auto"/>
            </w:tcBorders>
            <w:shd w:val="clear" w:color="auto" w:fill="auto"/>
            <w:vAlign w:val="center"/>
            <w:hideMark/>
          </w:tcPr>
          <w:p w14:paraId="16AD7EF4" w14:textId="77777777" w:rsidR="00BB530F" w:rsidRPr="00BB530F" w:rsidRDefault="00BB530F" w:rsidP="00BB530F">
            <w:pPr>
              <w:rPr>
                <w:rFonts w:ascii="Arial Narrow" w:eastAsia="Times New Roman" w:hAnsi="Arial Narrow" w:cs="Calibri"/>
                <w:sz w:val="20"/>
                <w:szCs w:val="20"/>
              </w:rPr>
            </w:pPr>
            <w:r w:rsidRPr="00BB530F">
              <w:rPr>
                <w:rFonts w:ascii="Arial Narrow" w:eastAsia="Times New Roman" w:hAnsi="Arial Narrow" w:cs="Calibri"/>
                <w:sz w:val="20"/>
                <w:szCs w:val="20"/>
              </w:rPr>
              <w:t>Chemical Substance Identification</w:t>
            </w:r>
          </w:p>
        </w:tc>
        <w:tc>
          <w:tcPr>
            <w:tcW w:w="702" w:type="pct"/>
            <w:tcBorders>
              <w:top w:val="single" w:sz="8" w:space="0" w:color="auto"/>
              <w:left w:val="nil"/>
              <w:bottom w:val="single" w:sz="4" w:space="0" w:color="auto"/>
              <w:right w:val="single" w:sz="8" w:space="0" w:color="auto"/>
            </w:tcBorders>
            <w:shd w:val="clear" w:color="auto" w:fill="auto"/>
            <w:vAlign w:val="center"/>
            <w:hideMark/>
          </w:tcPr>
          <w:p w14:paraId="18EC23F8" w14:textId="77777777" w:rsidR="00BB530F" w:rsidRPr="00BB530F" w:rsidRDefault="00BB530F" w:rsidP="00BB530F">
            <w:pPr>
              <w:jc w:val="center"/>
              <w:rPr>
                <w:rFonts w:ascii="Arial Narrow" w:eastAsia="Times New Roman" w:hAnsi="Arial Narrow" w:cs="Calibri"/>
                <w:sz w:val="20"/>
                <w:szCs w:val="20"/>
              </w:rPr>
            </w:pPr>
            <w:r w:rsidRPr="00BB530F">
              <w:rPr>
                <w:rFonts w:ascii="Arial Narrow" w:eastAsia="Times New Roman" w:hAnsi="Arial Narrow" w:cs="Calibri"/>
                <w:sz w:val="20"/>
                <w:szCs w:val="20"/>
              </w:rPr>
              <w:t>Per chemical</w:t>
            </w:r>
          </w:p>
        </w:tc>
        <w:tc>
          <w:tcPr>
            <w:tcW w:w="709"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62CA5F4" w14:textId="77777777" w:rsidR="00BB530F" w:rsidRPr="00BB530F" w:rsidRDefault="00BB530F" w:rsidP="00BB530F">
            <w:pPr>
              <w:ind w:right="101"/>
              <w:jc w:val="right"/>
              <w:rPr>
                <w:rFonts w:ascii="Arial Narrow" w:eastAsia="Times New Roman" w:hAnsi="Arial Narrow" w:cs="Calibri"/>
                <w:sz w:val="20"/>
                <w:szCs w:val="20"/>
              </w:rPr>
            </w:pPr>
            <w:r w:rsidRPr="00BB530F">
              <w:rPr>
                <w:rFonts w:ascii="Arial Narrow" w:eastAsia="Times New Roman" w:hAnsi="Arial Narrow" w:cs="Calibri"/>
                <w:sz w:val="20"/>
                <w:szCs w:val="20"/>
              </w:rPr>
              <w:t>0.000</w:t>
            </w:r>
          </w:p>
        </w:tc>
        <w:tc>
          <w:tcPr>
            <w:tcW w:w="712" w:type="pct"/>
            <w:tcBorders>
              <w:top w:val="single" w:sz="8" w:space="0" w:color="auto"/>
              <w:left w:val="nil"/>
              <w:bottom w:val="single" w:sz="4" w:space="0" w:color="auto"/>
              <w:right w:val="single" w:sz="4" w:space="0" w:color="auto"/>
            </w:tcBorders>
            <w:shd w:val="clear" w:color="auto" w:fill="auto"/>
            <w:noWrap/>
            <w:vAlign w:val="center"/>
            <w:hideMark/>
          </w:tcPr>
          <w:p w14:paraId="69E758B4" w14:textId="77777777" w:rsidR="00BB530F" w:rsidRPr="00BB530F" w:rsidRDefault="00BB530F" w:rsidP="00BB530F">
            <w:pPr>
              <w:ind w:right="101"/>
              <w:jc w:val="right"/>
              <w:rPr>
                <w:rFonts w:ascii="Arial Narrow" w:eastAsia="Times New Roman" w:hAnsi="Arial Narrow" w:cs="Calibri"/>
                <w:sz w:val="20"/>
                <w:szCs w:val="20"/>
              </w:rPr>
            </w:pPr>
            <w:r w:rsidRPr="00BB530F">
              <w:rPr>
                <w:rFonts w:ascii="Arial Narrow" w:eastAsia="Times New Roman" w:hAnsi="Arial Narrow" w:cs="Calibri"/>
                <w:sz w:val="20"/>
                <w:szCs w:val="20"/>
              </w:rPr>
              <w:t>0.083</w:t>
            </w:r>
          </w:p>
        </w:tc>
        <w:tc>
          <w:tcPr>
            <w:tcW w:w="532" w:type="pct"/>
            <w:tcBorders>
              <w:top w:val="single" w:sz="8" w:space="0" w:color="auto"/>
              <w:left w:val="single" w:sz="4" w:space="0" w:color="auto"/>
              <w:bottom w:val="single" w:sz="4" w:space="0" w:color="auto"/>
              <w:right w:val="nil"/>
            </w:tcBorders>
            <w:shd w:val="clear" w:color="auto" w:fill="auto"/>
            <w:noWrap/>
            <w:vAlign w:val="center"/>
            <w:hideMark/>
          </w:tcPr>
          <w:p w14:paraId="6B42F423" w14:textId="77777777" w:rsidR="00BB530F" w:rsidRPr="00BB530F" w:rsidRDefault="00BB530F" w:rsidP="00BB530F">
            <w:pPr>
              <w:ind w:right="101"/>
              <w:jc w:val="right"/>
              <w:rPr>
                <w:rFonts w:ascii="Arial Narrow" w:eastAsia="Times New Roman" w:hAnsi="Arial Narrow" w:cs="Calibri"/>
                <w:sz w:val="20"/>
                <w:szCs w:val="20"/>
              </w:rPr>
            </w:pPr>
            <w:r w:rsidRPr="00BB530F">
              <w:rPr>
                <w:rFonts w:ascii="Arial Narrow" w:eastAsia="Times New Roman" w:hAnsi="Arial Narrow" w:cs="Calibri"/>
                <w:sz w:val="20"/>
                <w:szCs w:val="20"/>
              </w:rPr>
              <w:t>0.000</w:t>
            </w:r>
          </w:p>
        </w:tc>
        <w:tc>
          <w:tcPr>
            <w:tcW w:w="710"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29CE17F" w14:textId="77777777" w:rsidR="00BB530F" w:rsidRPr="00BB530F" w:rsidRDefault="00BB530F" w:rsidP="00BB530F">
            <w:pPr>
              <w:ind w:right="101"/>
              <w:jc w:val="right"/>
              <w:rPr>
                <w:rFonts w:ascii="Arial Narrow" w:eastAsia="Times New Roman" w:hAnsi="Arial Narrow" w:cs="Calibri"/>
                <w:sz w:val="20"/>
                <w:szCs w:val="20"/>
              </w:rPr>
            </w:pPr>
            <w:r w:rsidRPr="00BB530F">
              <w:rPr>
                <w:rFonts w:ascii="Arial Narrow" w:eastAsia="Times New Roman" w:hAnsi="Arial Narrow" w:cs="Calibri"/>
                <w:sz w:val="20"/>
                <w:szCs w:val="20"/>
              </w:rPr>
              <w:t>0.083</w:t>
            </w:r>
          </w:p>
        </w:tc>
      </w:tr>
      <w:tr w:rsidR="00BB530F" w:rsidRPr="00BB530F" w14:paraId="4F5FEBE2" w14:textId="77777777" w:rsidTr="00BB530F">
        <w:trPr>
          <w:trHeight w:val="312"/>
        </w:trPr>
        <w:tc>
          <w:tcPr>
            <w:tcW w:w="337" w:type="pct"/>
            <w:tcBorders>
              <w:top w:val="nil"/>
              <w:left w:val="single" w:sz="8" w:space="0" w:color="auto"/>
              <w:bottom w:val="single" w:sz="4" w:space="0" w:color="auto"/>
              <w:right w:val="single" w:sz="8" w:space="0" w:color="auto"/>
            </w:tcBorders>
            <w:shd w:val="clear" w:color="auto" w:fill="auto"/>
            <w:noWrap/>
            <w:vAlign w:val="center"/>
          </w:tcPr>
          <w:p w14:paraId="6BA55A77" w14:textId="77777777" w:rsidR="00BB530F" w:rsidRPr="00BB530F" w:rsidRDefault="002E2230" w:rsidP="00BB530F">
            <w:pPr>
              <w:jc w:val="center"/>
              <w:rPr>
                <w:rFonts w:ascii="Arial Narrow" w:eastAsia="Times New Roman" w:hAnsi="Arial Narrow" w:cs="Calibri"/>
                <w:sz w:val="20"/>
                <w:szCs w:val="20"/>
              </w:rPr>
            </w:pPr>
            <w:r>
              <w:rPr>
                <w:rFonts w:ascii="Arial Narrow" w:eastAsia="Times New Roman" w:hAnsi="Arial Narrow" w:cs="Calibri"/>
                <w:sz w:val="20"/>
                <w:szCs w:val="20"/>
              </w:rPr>
              <w:t>9</w:t>
            </w:r>
          </w:p>
        </w:tc>
        <w:tc>
          <w:tcPr>
            <w:tcW w:w="1298" w:type="pct"/>
            <w:tcBorders>
              <w:top w:val="nil"/>
              <w:left w:val="nil"/>
              <w:bottom w:val="single" w:sz="4" w:space="0" w:color="auto"/>
              <w:right w:val="single" w:sz="4" w:space="0" w:color="auto"/>
            </w:tcBorders>
            <w:shd w:val="clear" w:color="auto" w:fill="auto"/>
            <w:vAlign w:val="center"/>
          </w:tcPr>
          <w:p w14:paraId="418C6557" w14:textId="77777777" w:rsidR="00BB530F" w:rsidRPr="00BB530F" w:rsidRDefault="00BB530F" w:rsidP="00BB530F">
            <w:pPr>
              <w:rPr>
                <w:rFonts w:ascii="Arial Narrow" w:eastAsia="Times New Roman" w:hAnsi="Arial Narrow" w:cs="Calibri"/>
                <w:sz w:val="20"/>
                <w:szCs w:val="20"/>
              </w:rPr>
            </w:pPr>
            <w:r w:rsidRPr="00BB530F">
              <w:rPr>
                <w:rFonts w:ascii="Arial Narrow" w:eastAsia="Times New Roman" w:hAnsi="Arial Narrow" w:cs="Calibri"/>
                <w:sz w:val="20"/>
                <w:szCs w:val="20"/>
              </w:rPr>
              <w:t xml:space="preserve">Chem ID CBI </w:t>
            </w:r>
            <w:r w:rsidR="002E2230" w:rsidRPr="00BB530F">
              <w:rPr>
                <w:rFonts w:ascii="Arial Narrow" w:eastAsia="Times New Roman" w:hAnsi="Arial Narrow" w:cs="Calibri"/>
                <w:sz w:val="20"/>
                <w:szCs w:val="20"/>
              </w:rPr>
              <w:t>Substantiation</w:t>
            </w:r>
            <w:r w:rsidR="002E2230">
              <w:rPr>
                <w:rFonts w:ascii="Arial Narrow" w:eastAsia="Times New Roman" w:hAnsi="Arial Narrow" w:cs="Calibri"/>
                <w:sz w:val="20"/>
                <w:szCs w:val="20"/>
                <w:vertAlign w:val="superscript"/>
              </w:rPr>
              <w:t>1</w:t>
            </w:r>
          </w:p>
        </w:tc>
        <w:tc>
          <w:tcPr>
            <w:tcW w:w="702" w:type="pct"/>
            <w:tcBorders>
              <w:top w:val="nil"/>
              <w:left w:val="nil"/>
              <w:bottom w:val="single" w:sz="4" w:space="0" w:color="auto"/>
              <w:right w:val="single" w:sz="8" w:space="0" w:color="auto"/>
            </w:tcBorders>
            <w:shd w:val="clear" w:color="auto" w:fill="auto"/>
            <w:vAlign w:val="center"/>
          </w:tcPr>
          <w:p w14:paraId="421899D7" w14:textId="77777777" w:rsidR="00BB530F" w:rsidRPr="00BB530F" w:rsidRDefault="00BB530F" w:rsidP="00BB530F">
            <w:pPr>
              <w:jc w:val="center"/>
              <w:rPr>
                <w:rFonts w:ascii="Arial Narrow" w:eastAsia="Times New Roman" w:hAnsi="Arial Narrow" w:cs="Calibri"/>
                <w:sz w:val="20"/>
                <w:szCs w:val="20"/>
              </w:rPr>
            </w:pPr>
            <w:r w:rsidRPr="00BB530F">
              <w:rPr>
                <w:rFonts w:ascii="Arial Narrow" w:eastAsia="Times New Roman" w:hAnsi="Arial Narrow" w:cs="Calibri"/>
                <w:sz w:val="20"/>
                <w:szCs w:val="20"/>
              </w:rPr>
              <w:t>Per chemical</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2A1C6" w14:textId="77777777" w:rsidR="00BB530F" w:rsidRPr="00BB530F" w:rsidRDefault="00BB530F" w:rsidP="00BB530F">
            <w:pPr>
              <w:ind w:right="101"/>
              <w:jc w:val="right"/>
              <w:rPr>
                <w:rFonts w:ascii="Arial Narrow" w:eastAsia="Times New Roman" w:hAnsi="Arial Narrow" w:cs="Calibri"/>
                <w:sz w:val="20"/>
                <w:szCs w:val="20"/>
              </w:rPr>
            </w:pPr>
            <w:r w:rsidRPr="00BB530F">
              <w:rPr>
                <w:rFonts w:ascii="Arial Narrow" w:eastAsia="Times New Roman" w:hAnsi="Arial Narrow" w:cs="Calibri"/>
                <w:sz w:val="20"/>
                <w:szCs w:val="20"/>
              </w:rPr>
              <w:t>0.950</w:t>
            </w:r>
          </w:p>
        </w:tc>
        <w:tc>
          <w:tcPr>
            <w:tcW w:w="712" w:type="pct"/>
            <w:tcBorders>
              <w:top w:val="single" w:sz="4" w:space="0" w:color="auto"/>
              <w:left w:val="nil"/>
              <w:bottom w:val="single" w:sz="4" w:space="0" w:color="auto"/>
              <w:right w:val="single" w:sz="4" w:space="0" w:color="auto"/>
            </w:tcBorders>
            <w:shd w:val="clear" w:color="auto" w:fill="auto"/>
            <w:noWrap/>
            <w:vAlign w:val="center"/>
          </w:tcPr>
          <w:p w14:paraId="5F950C82" w14:textId="77777777" w:rsidR="00BB530F" w:rsidRPr="00BB530F" w:rsidRDefault="00BB530F" w:rsidP="00BB530F">
            <w:pPr>
              <w:ind w:right="101"/>
              <w:jc w:val="right"/>
              <w:rPr>
                <w:rFonts w:ascii="Arial Narrow" w:eastAsia="Times New Roman" w:hAnsi="Arial Narrow" w:cs="Calibri"/>
                <w:sz w:val="20"/>
                <w:szCs w:val="20"/>
              </w:rPr>
            </w:pPr>
            <w:r w:rsidRPr="00BB530F">
              <w:rPr>
                <w:rFonts w:ascii="Arial Narrow" w:eastAsia="Times New Roman" w:hAnsi="Arial Narrow" w:cs="Calibri"/>
                <w:sz w:val="20"/>
                <w:szCs w:val="20"/>
              </w:rPr>
              <w:t>1.925</w:t>
            </w:r>
          </w:p>
        </w:tc>
        <w:tc>
          <w:tcPr>
            <w:tcW w:w="532" w:type="pct"/>
            <w:tcBorders>
              <w:top w:val="single" w:sz="4" w:space="0" w:color="auto"/>
              <w:left w:val="nil"/>
              <w:bottom w:val="single" w:sz="4" w:space="0" w:color="auto"/>
              <w:right w:val="single" w:sz="8" w:space="0" w:color="auto"/>
            </w:tcBorders>
            <w:shd w:val="clear" w:color="auto" w:fill="auto"/>
            <w:noWrap/>
            <w:vAlign w:val="center"/>
          </w:tcPr>
          <w:p w14:paraId="740DC06C" w14:textId="77777777" w:rsidR="00BB530F" w:rsidRPr="00BB530F" w:rsidRDefault="00BB530F" w:rsidP="00BB530F">
            <w:pPr>
              <w:ind w:right="101"/>
              <w:jc w:val="right"/>
              <w:rPr>
                <w:rFonts w:ascii="Arial Narrow" w:eastAsia="Times New Roman" w:hAnsi="Arial Narrow" w:cs="Calibri"/>
                <w:sz w:val="20"/>
                <w:szCs w:val="20"/>
              </w:rPr>
            </w:pPr>
            <w:r w:rsidRPr="00BB530F">
              <w:rPr>
                <w:rFonts w:ascii="Arial Narrow" w:eastAsia="Times New Roman" w:hAnsi="Arial Narrow" w:cs="Calibri"/>
                <w:sz w:val="20"/>
                <w:szCs w:val="20"/>
              </w:rPr>
              <w:t>0.000</w:t>
            </w:r>
          </w:p>
        </w:tc>
        <w:tc>
          <w:tcPr>
            <w:tcW w:w="710" w:type="pct"/>
            <w:tcBorders>
              <w:top w:val="single" w:sz="4" w:space="0" w:color="auto"/>
              <w:left w:val="nil"/>
              <w:bottom w:val="single" w:sz="4" w:space="0" w:color="auto"/>
              <w:right w:val="single" w:sz="8" w:space="0" w:color="auto"/>
            </w:tcBorders>
            <w:shd w:val="clear" w:color="auto" w:fill="auto"/>
            <w:noWrap/>
            <w:vAlign w:val="center"/>
          </w:tcPr>
          <w:p w14:paraId="4E9BF056" w14:textId="77777777" w:rsidR="00BB530F" w:rsidRPr="00BB530F" w:rsidRDefault="00BB530F" w:rsidP="00BB530F">
            <w:pPr>
              <w:ind w:right="101"/>
              <w:jc w:val="right"/>
              <w:rPr>
                <w:rFonts w:ascii="Arial Narrow" w:eastAsia="Times New Roman" w:hAnsi="Arial Narrow" w:cs="Calibri"/>
                <w:sz w:val="20"/>
                <w:szCs w:val="20"/>
              </w:rPr>
            </w:pPr>
            <w:r w:rsidRPr="00BB530F">
              <w:rPr>
                <w:rFonts w:ascii="Arial Narrow" w:eastAsia="Times New Roman" w:hAnsi="Arial Narrow" w:cs="Calibri"/>
                <w:sz w:val="20"/>
                <w:szCs w:val="20"/>
              </w:rPr>
              <w:t>2.875</w:t>
            </w:r>
          </w:p>
        </w:tc>
      </w:tr>
      <w:tr w:rsidR="00BB530F" w:rsidRPr="00BB530F" w14:paraId="3AE739DE" w14:textId="77777777" w:rsidTr="00BB530F">
        <w:trPr>
          <w:trHeight w:val="288"/>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2DE9125F"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w:t>
            </w:r>
            <w:r w:rsidR="002E2230">
              <w:rPr>
                <w:rFonts w:ascii="Arial Narrow" w:eastAsia="Times New Roman" w:hAnsi="Arial Narrow" w:cs="Calibri"/>
                <w:color w:val="000000"/>
                <w:sz w:val="20"/>
                <w:szCs w:val="20"/>
              </w:rPr>
              <w:t>0</w:t>
            </w:r>
          </w:p>
        </w:tc>
        <w:tc>
          <w:tcPr>
            <w:tcW w:w="1298" w:type="pct"/>
            <w:tcBorders>
              <w:top w:val="nil"/>
              <w:left w:val="nil"/>
              <w:bottom w:val="nil"/>
              <w:right w:val="single" w:sz="4" w:space="0" w:color="auto"/>
            </w:tcBorders>
            <w:shd w:val="clear" w:color="auto" w:fill="auto"/>
            <w:vAlign w:val="center"/>
            <w:hideMark/>
          </w:tcPr>
          <w:p w14:paraId="6172951C"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Joint Submission Information</w:t>
            </w:r>
          </w:p>
        </w:tc>
        <w:tc>
          <w:tcPr>
            <w:tcW w:w="702" w:type="pct"/>
            <w:tcBorders>
              <w:top w:val="nil"/>
              <w:left w:val="nil"/>
              <w:bottom w:val="single" w:sz="4" w:space="0" w:color="auto"/>
              <w:right w:val="single" w:sz="8" w:space="0" w:color="auto"/>
            </w:tcBorders>
            <w:shd w:val="clear" w:color="auto" w:fill="auto"/>
            <w:vAlign w:val="center"/>
            <w:hideMark/>
          </w:tcPr>
          <w:p w14:paraId="03CF41C5"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411AD9F0"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0.012</w:t>
            </w:r>
          </w:p>
        </w:tc>
        <w:tc>
          <w:tcPr>
            <w:tcW w:w="712" w:type="pct"/>
            <w:tcBorders>
              <w:top w:val="nil"/>
              <w:left w:val="nil"/>
              <w:bottom w:val="single" w:sz="4" w:space="0" w:color="auto"/>
              <w:right w:val="single" w:sz="4" w:space="0" w:color="auto"/>
            </w:tcBorders>
            <w:shd w:val="clear" w:color="auto" w:fill="auto"/>
            <w:noWrap/>
            <w:vAlign w:val="center"/>
            <w:hideMark/>
          </w:tcPr>
          <w:p w14:paraId="3E27AEF2"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532" w:type="pct"/>
            <w:tcBorders>
              <w:top w:val="nil"/>
              <w:left w:val="single" w:sz="4" w:space="0" w:color="auto"/>
              <w:bottom w:val="single" w:sz="4" w:space="0" w:color="auto"/>
              <w:right w:val="nil"/>
            </w:tcBorders>
            <w:shd w:val="clear" w:color="auto" w:fill="auto"/>
            <w:noWrap/>
            <w:vAlign w:val="center"/>
            <w:hideMark/>
          </w:tcPr>
          <w:p w14:paraId="136F3CD4"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2D7D4C5C"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0.012</w:t>
            </w:r>
          </w:p>
        </w:tc>
      </w:tr>
      <w:tr w:rsidR="00BB530F" w:rsidRPr="00BB530F" w14:paraId="4019BD77" w14:textId="77777777" w:rsidTr="00BB530F">
        <w:trPr>
          <w:trHeight w:val="288"/>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53A3C853"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w:t>
            </w:r>
            <w:r w:rsidR="002E2230">
              <w:rPr>
                <w:rFonts w:ascii="Arial Narrow" w:eastAsia="Times New Roman" w:hAnsi="Arial Narrow" w:cs="Calibri"/>
                <w:color w:val="000000"/>
                <w:sz w:val="20"/>
                <w:szCs w:val="20"/>
              </w:rPr>
              <w:t>1</w:t>
            </w:r>
          </w:p>
        </w:tc>
        <w:tc>
          <w:tcPr>
            <w:tcW w:w="1298" w:type="pct"/>
            <w:tcBorders>
              <w:top w:val="single" w:sz="4" w:space="0" w:color="auto"/>
              <w:left w:val="nil"/>
              <w:bottom w:val="single" w:sz="4" w:space="0" w:color="auto"/>
              <w:right w:val="single" w:sz="4" w:space="0" w:color="auto"/>
            </w:tcBorders>
            <w:shd w:val="clear" w:color="auto" w:fill="auto"/>
            <w:vAlign w:val="center"/>
            <w:hideMark/>
          </w:tcPr>
          <w:p w14:paraId="4D48E75A"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Activity, Production Volume for Principal Reporting Year</w:t>
            </w:r>
          </w:p>
        </w:tc>
        <w:tc>
          <w:tcPr>
            <w:tcW w:w="702" w:type="pct"/>
            <w:tcBorders>
              <w:top w:val="nil"/>
              <w:left w:val="nil"/>
              <w:bottom w:val="single" w:sz="4" w:space="0" w:color="auto"/>
              <w:right w:val="single" w:sz="8" w:space="0" w:color="auto"/>
            </w:tcBorders>
            <w:shd w:val="clear" w:color="auto" w:fill="auto"/>
            <w:vAlign w:val="center"/>
            <w:hideMark/>
          </w:tcPr>
          <w:p w14:paraId="00E04150"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363656D5"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0.450</w:t>
            </w:r>
          </w:p>
        </w:tc>
        <w:tc>
          <w:tcPr>
            <w:tcW w:w="712" w:type="pct"/>
            <w:tcBorders>
              <w:top w:val="nil"/>
              <w:left w:val="nil"/>
              <w:bottom w:val="single" w:sz="4" w:space="0" w:color="auto"/>
              <w:right w:val="single" w:sz="4" w:space="0" w:color="auto"/>
            </w:tcBorders>
            <w:shd w:val="clear" w:color="auto" w:fill="auto"/>
            <w:noWrap/>
            <w:vAlign w:val="center"/>
            <w:hideMark/>
          </w:tcPr>
          <w:p w14:paraId="5DADE8C5"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1.820</w:t>
            </w:r>
          </w:p>
        </w:tc>
        <w:tc>
          <w:tcPr>
            <w:tcW w:w="532" w:type="pct"/>
            <w:tcBorders>
              <w:top w:val="nil"/>
              <w:left w:val="single" w:sz="4" w:space="0" w:color="auto"/>
              <w:bottom w:val="single" w:sz="4" w:space="0" w:color="auto"/>
              <w:right w:val="nil"/>
            </w:tcBorders>
            <w:shd w:val="clear" w:color="auto" w:fill="auto"/>
            <w:noWrap/>
            <w:vAlign w:val="center"/>
            <w:hideMark/>
          </w:tcPr>
          <w:p w14:paraId="73C7A621"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4D3D34A7"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2.270</w:t>
            </w:r>
          </w:p>
        </w:tc>
      </w:tr>
      <w:tr w:rsidR="00BB530F" w:rsidRPr="00BB530F" w14:paraId="1922A930" w14:textId="77777777" w:rsidTr="00BB530F">
        <w:trPr>
          <w:trHeight w:val="552"/>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36864D0E"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w:t>
            </w:r>
            <w:r w:rsidR="002E2230">
              <w:rPr>
                <w:rFonts w:ascii="Arial Narrow" w:eastAsia="Times New Roman" w:hAnsi="Arial Narrow" w:cs="Calibri"/>
                <w:color w:val="000000"/>
                <w:sz w:val="20"/>
                <w:szCs w:val="20"/>
              </w:rPr>
              <w:t>2</w:t>
            </w:r>
          </w:p>
        </w:tc>
        <w:tc>
          <w:tcPr>
            <w:tcW w:w="1298" w:type="pct"/>
            <w:tcBorders>
              <w:top w:val="nil"/>
              <w:left w:val="nil"/>
              <w:bottom w:val="single" w:sz="4" w:space="0" w:color="auto"/>
              <w:right w:val="single" w:sz="4" w:space="0" w:color="auto"/>
            </w:tcBorders>
            <w:shd w:val="clear" w:color="auto" w:fill="auto"/>
            <w:vAlign w:val="center"/>
            <w:hideMark/>
          </w:tcPr>
          <w:p w14:paraId="5946EF38"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Whether imported chemical substance is physically at reporting site</w:t>
            </w:r>
          </w:p>
        </w:tc>
        <w:tc>
          <w:tcPr>
            <w:tcW w:w="702" w:type="pct"/>
            <w:tcBorders>
              <w:top w:val="nil"/>
              <w:left w:val="nil"/>
              <w:bottom w:val="single" w:sz="4" w:space="0" w:color="auto"/>
              <w:right w:val="single" w:sz="8" w:space="0" w:color="auto"/>
            </w:tcBorders>
            <w:shd w:val="clear" w:color="auto" w:fill="auto"/>
            <w:vAlign w:val="center"/>
            <w:hideMark/>
          </w:tcPr>
          <w:p w14:paraId="11542F15"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659EF625"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0.020</w:t>
            </w:r>
          </w:p>
        </w:tc>
        <w:tc>
          <w:tcPr>
            <w:tcW w:w="712" w:type="pct"/>
            <w:tcBorders>
              <w:top w:val="nil"/>
              <w:left w:val="nil"/>
              <w:bottom w:val="single" w:sz="4" w:space="0" w:color="auto"/>
              <w:right w:val="single" w:sz="4" w:space="0" w:color="auto"/>
            </w:tcBorders>
            <w:shd w:val="clear" w:color="auto" w:fill="auto"/>
            <w:noWrap/>
            <w:vAlign w:val="center"/>
            <w:hideMark/>
          </w:tcPr>
          <w:p w14:paraId="1E55C827"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0.090</w:t>
            </w:r>
          </w:p>
        </w:tc>
        <w:tc>
          <w:tcPr>
            <w:tcW w:w="532" w:type="pct"/>
            <w:tcBorders>
              <w:top w:val="nil"/>
              <w:left w:val="single" w:sz="4" w:space="0" w:color="auto"/>
              <w:bottom w:val="single" w:sz="4" w:space="0" w:color="auto"/>
              <w:right w:val="nil"/>
            </w:tcBorders>
            <w:shd w:val="clear" w:color="auto" w:fill="auto"/>
            <w:noWrap/>
            <w:vAlign w:val="center"/>
            <w:hideMark/>
          </w:tcPr>
          <w:p w14:paraId="5BEC4A6C"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12EFEB4D"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0.110</w:t>
            </w:r>
          </w:p>
        </w:tc>
      </w:tr>
      <w:tr w:rsidR="00BB530F" w:rsidRPr="00BB530F" w14:paraId="6F7BCA60" w14:textId="77777777" w:rsidTr="00BB530F">
        <w:trPr>
          <w:trHeight w:val="288"/>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61C16376"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w:t>
            </w:r>
            <w:r w:rsidR="002E2230">
              <w:rPr>
                <w:rFonts w:ascii="Arial Narrow" w:eastAsia="Times New Roman" w:hAnsi="Arial Narrow" w:cs="Calibri"/>
                <w:color w:val="000000"/>
                <w:sz w:val="20"/>
                <w:szCs w:val="20"/>
              </w:rPr>
              <w:t>3</w:t>
            </w:r>
          </w:p>
        </w:tc>
        <w:tc>
          <w:tcPr>
            <w:tcW w:w="1298" w:type="pct"/>
            <w:tcBorders>
              <w:top w:val="nil"/>
              <w:left w:val="nil"/>
              <w:bottom w:val="single" w:sz="4" w:space="0" w:color="auto"/>
              <w:right w:val="single" w:sz="4" w:space="0" w:color="auto"/>
            </w:tcBorders>
            <w:shd w:val="clear" w:color="auto" w:fill="auto"/>
            <w:vAlign w:val="center"/>
            <w:hideMark/>
          </w:tcPr>
          <w:p w14:paraId="53119B94"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Production Volume used on-site</w:t>
            </w:r>
          </w:p>
        </w:tc>
        <w:tc>
          <w:tcPr>
            <w:tcW w:w="702" w:type="pct"/>
            <w:tcBorders>
              <w:top w:val="nil"/>
              <w:left w:val="nil"/>
              <w:bottom w:val="single" w:sz="4" w:space="0" w:color="auto"/>
              <w:right w:val="single" w:sz="8" w:space="0" w:color="auto"/>
            </w:tcBorders>
            <w:shd w:val="clear" w:color="auto" w:fill="auto"/>
            <w:vAlign w:val="center"/>
            <w:hideMark/>
          </w:tcPr>
          <w:p w14:paraId="658A6451"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09375251"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0.040</w:t>
            </w:r>
          </w:p>
        </w:tc>
        <w:tc>
          <w:tcPr>
            <w:tcW w:w="712" w:type="pct"/>
            <w:tcBorders>
              <w:top w:val="nil"/>
              <w:left w:val="nil"/>
              <w:bottom w:val="single" w:sz="4" w:space="0" w:color="auto"/>
              <w:right w:val="single" w:sz="4" w:space="0" w:color="auto"/>
            </w:tcBorders>
            <w:shd w:val="clear" w:color="auto" w:fill="auto"/>
            <w:noWrap/>
            <w:vAlign w:val="center"/>
            <w:hideMark/>
          </w:tcPr>
          <w:p w14:paraId="2A5DAD91"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0.160</w:t>
            </w:r>
          </w:p>
        </w:tc>
        <w:tc>
          <w:tcPr>
            <w:tcW w:w="532" w:type="pct"/>
            <w:tcBorders>
              <w:top w:val="nil"/>
              <w:left w:val="single" w:sz="4" w:space="0" w:color="auto"/>
              <w:bottom w:val="single" w:sz="4" w:space="0" w:color="auto"/>
              <w:right w:val="nil"/>
            </w:tcBorders>
            <w:shd w:val="clear" w:color="auto" w:fill="auto"/>
            <w:noWrap/>
            <w:vAlign w:val="center"/>
            <w:hideMark/>
          </w:tcPr>
          <w:p w14:paraId="66D859BB"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14F754C5"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0.200</w:t>
            </w:r>
          </w:p>
        </w:tc>
      </w:tr>
      <w:tr w:rsidR="00BB530F" w:rsidRPr="00BB530F" w14:paraId="392EFB43" w14:textId="77777777" w:rsidTr="00BB530F">
        <w:trPr>
          <w:trHeight w:val="288"/>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7B0FC9A5"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w:t>
            </w:r>
            <w:r w:rsidR="002E2230">
              <w:rPr>
                <w:rFonts w:ascii="Arial Narrow" w:eastAsia="Times New Roman" w:hAnsi="Arial Narrow" w:cs="Calibri"/>
                <w:color w:val="000000"/>
                <w:sz w:val="20"/>
                <w:szCs w:val="20"/>
              </w:rPr>
              <w:t>4</w:t>
            </w:r>
          </w:p>
        </w:tc>
        <w:tc>
          <w:tcPr>
            <w:tcW w:w="1298" w:type="pct"/>
            <w:tcBorders>
              <w:top w:val="nil"/>
              <w:left w:val="nil"/>
              <w:bottom w:val="single" w:sz="4" w:space="0" w:color="auto"/>
              <w:right w:val="single" w:sz="4" w:space="0" w:color="auto"/>
            </w:tcBorders>
            <w:shd w:val="clear" w:color="auto" w:fill="auto"/>
            <w:vAlign w:val="center"/>
            <w:hideMark/>
          </w:tcPr>
          <w:p w14:paraId="27B7BA0D"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Volume exported</w:t>
            </w:r>
          </w:p>
        </w:tc>
        <w:tc>
          <w:tcPr>
            <w:tcW w:w="702" w:type="pct"/>
            <w:tcBorders>
              <w:top w:val="nil"/>
              <w:left w:val="nil"/>
              <w:bottom w:val="single" w:sz="4" w:space="0" w:color="auto"/>
              <w:right w:val="single" w:sz="8" w:space="0" w:color="auto"/>
            </w:tcBorders>
            <w:shd w:val="clear" w:color="auto" w:fill="auto"/>
            <w:vAlign w:val="center"/>
            <w:hideMark/>
          </w:tcPr>
          <w:p w14:paraId="4E6948FB"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3821B13B"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0.200</w:t>
            </w:r>
          </w:p>
        </w:tc>
        <w:tc>
          <w:tcPr>
            <w:tcW w:w="712" w:type="pct"/>
            <w:tcBorders>
              <w:top w:val="nil"/>
              <w:left w:val="nil"/>
              <w:bottom w:val="single" w:sz="4" w:space="0" w:color="auto"/>
              <w:right w:val="single" w:sz="4" w:space="0" w:color="auto"/>
            </w:tcBorders>
            <w:shd w:val="clear" w:color="auto" w:fill="auto"/>
            <w:noWrap/>
            <w:vAlign w:val="center"/>
            <w:hideMark/>
          </w:tcPr>
          <w:p w14:paraId="7F98FB6C"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0.820</w:t>
            </w:r>
          </w:p>
        </w:tc>
        <w:tc>
          <w:tcPr>
            <w:tcW w:w="532" w:type="pct"/>
            <w:tcBorders>
              <w:top w:val="nil"/>
              <w:left w:val="single" w:sz="4" w:space="0" w:color="auto"/>
              <w:bottom w:val="single" w:sz="4" w:space="0" w:color="auto"/>
              <w:right w:val="nil"/>
            </w:tcBorders>
            <w:shd w:val="clear" w:color="auto" w:fill="auto"/>
            <w:noWrap/>
            <w:vAlign w:val="center"/>
            <w:hideMark/>
          </w:tcPr>
          <w:p w14:paraId="2AF25A04"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2E7427FE"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1.020</w:t>
            </w:r>
          </w:p>
        </w:tc>
      </w:tr>
      <w:tr w:rsidR="00BB530F" w:rsidRPr="00BB530F" w14:paraId="235AD36A" w14:textId="77777777" w:rsidTr="00BB530F">
        <w:trPr>
          <w:trHeight w:val="288"/>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5A6A17D3"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w:t>
            </w:r>
            <w:r w:rsidR="002E2230">
              <w:rPr>
                <w:rFonts w:ascii="Arial Narrow" w:eastAsia="Times New Roman" w:hAnsi="Arial Narrow" w:cs="Calibri"/>
                <w:color w:val="000000"/>
                <w:sz w:val="20"/>
                <w:szCs w:val="20"/>
              </w:rPr>
              <w:t>5</w:t>
            </w:r>
          </w:p>
        </w:tc>
        <w:tc>
          <w:tcPr>
            <w:tcW w:w="1298" w:type="pct"/>
            <w:tcBorders>
              <w:top w:val="nil"/>
              <w:left w:val="nil"/>
              <w:bottom w:val="single" w:sz="4" w:space="0" w:color="auto"/>
              <w:right w:val="single" w:sz="4" w:space="0" w:color="auto"/>
            </w:tcBorders>
            <w:shd w:val="clear" w:color="auto" w:fill="auto"/>
            <w:vAlign w:val="center"/>
            <w:hideMark/>
          </w:tcPr>
          <w:p w14:paraId="3320D55E"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Total Number of Workers</w:t>
            </w:r>
          </w:p>
        </w:tc>
        <w:tc>
          <w:tcPr>
            <w:tcW w:w="702" w:type="pct"/>
            <w:tcBorders>
              <w:top w:val="nil"/>
              <w:left w:val="nil"/>
              <w:bottom w:val="single" w:sz="4" w:space="0" w:color="auto"/>
              <w:right w:val="single" w:sz="8" w:space="0" w:color="auto"/>
            </w:tcBorders>
            <w:shd w:val="clear" w:color="auto" w:fill="auto"/>
            <w:vAlign w:val="center"/>
            <w:hideMark/>
          </w:tcPr>
          <w:p w14:paraId="0DA63737"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3CA0F812"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0.470</w:t>
            </w:r>
          </w:p>
        </w:tc>
        <w:tc>
          <w:tcPr>
            <w:tcW w:w="712" w:type="pct"/>
            <w:tcBorders>
              <w:top w:val="nil"/>
              <w:left w:val="nil"/>
              <w:bottom w:val="single" w:sz="4" w:space="0" w:color="auto"/>
              <w:right w:val="single" w:sz="4" w:space="0" w:color="auto"/>
            </w:tcBorders>
            <w:shd w:val="clear" w:color="auto" w:fill="auto"/>
            <w:noWrap/>
            <w:vAlign w:val="center"/>
            <w:hideMark/>
          </w:tcPr>
          <w:p w14:paraId="0659A222"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1.140</w:t>
            </w:r>
          </w:p>
        </w:tc>
        <w:tc>
          <w:tcPr>
            <w:tcW w:w="532" w:type="pct"/>
            <w:tcBorders>
              <w:top w:val="nil"/>
              <w:left w:val="single" w:sz="4" w:space="0" w:color="auto"/>
              <w:bottom w:val="single" w:sz="4" w:space="0" w:color="auto"/>
              <w:right w:val="nil"/>
            </w:tcBorders>
            <w:shd w:val="clear" w:color="auto" w:fill="auto"/>
            <w:noWrap/>
            <w:vAlign w:val="center"/>
            <w:hideMark/>
          </w:tcPr>
          <w:p w14:paraId="37ADB2CA"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1DB0D151"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1.610</w:t>
            </w:r>
          </w:p>
        </w:tc>
      </w:tr>
      <w:tr w:rsidR="00BB530F" w:rsidRPr="00BB530F" w14:paraId="6A055C00" w14:textId="77777777" w:rsidTr="00BB530F">
        <w:trPr>
          <w:trHeight w:val="552"/>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6E6D4BD1"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w:t>
            </w:r>
            <w:r w:rsidR="002E2230">
              <w:rPr>
                <w:rFonts w:ascii="Arial Narrow" w:eastAsia="Times New Roman" w:hAnsi="Arial Narrow" w:cs="Calibri"/>
                <w:color w:val="000000"/>
                <w:sz w:val="20"/>
                <w:szCs w:val="20"/>
              </w:rPr>
              <w:t>6</w:t>
            </w:r>
          </w:p>
        </w:tc>
        <w:tc>
          <w:tcPr>
            <w:tcW w:w="1298" w:type="pct"/>
            <w:tcBorders>
              <w:top w:val="nil"/>
              <w:left w:val="nil"/>
              <w:bottom w:val="single" w:sz="4" w:space="0" w:color="auto"/>
              <w:right w:val="single" w:sz="4" w:space="0" w:color="auto"/>
            </w:tcBorders>
            <w:shd w:val="clear" w:color="auto" w:fill="auto"/>
            <w:vAlign w:val="center"/>
            <w:hideMark/>
          </w:tcPr>
          <w:p w14:paraId="7202879C"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Maximum Concentration, Physical Form, Percent Volume of Production</w:t>
            </w:r>
          </w:p>
        </w:tc>
        <w:tc>
          <w:tcPr>
            <w:tcW w:w="702" w:type="pct"/>
            <w:tcBorders>
              <w:top w:val="nil"/>
              <w:left w:val="nil"/>
              <w:bottom w:val="single" w:sz="4" w:space="0" w:color="auto"/>
              <w:right w:val="single" w:sz="8" w:space="0" w:color="auto"/>
            </w:tcBorders>
            <w:shd w:val="clear" w:color="auto" w:fill="auto"/>
            <w:vAlign w:val="center"/>
            <w:hideMark/>
          </w:tcPr>
          <w:p w14:paraId="66196115"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76AE54BE"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0.860</w:t>
            </w:r>
          </w:p>
        </w:tc>
        <w:tc>
          <w:tcPr>
            <w:tcW w:w="712" w:type="pct"/>
            <w:tcBorders>
              <w:top w:val="nil"/>
              <w:left w:val="nil"/>
              <w:bottom w:val="single" w:sz="4" w:space="0" w:color="auto"/>
              <w:right w:val="single" w:sz="4" w:space="0" w:color="auto"/>
            </w:tcBorders>
            <w:shd w:val="clear" w:color="auto" w:fill="auto"/>
            <w:noWrap/>
            <w:vAlign w:val="center"/>
            <w:hideMark/>
          </w:tcPr>
          <w:p w14:paraId="18F5EF5E"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2.230</w:t>
            </w:r>
          </w:p>
        </w:tc>
        <w:tc>
          <w:tcPr>
            <w:tcW w:w="532" w:type="pct"/>
            <w:tcBorders>
              <w:top w:val="nil"/>
              <w:left w:val="single" w:sz="4" w:space="0" w:color="auto"/>
              <w:bottom w:val="single" w:sz="4" w:space="0" w:color="auto"/>
              <w:right w:val="nil"/>
            </w:tcBorders>
            <w:shd w:val="clear" w:color="auto" w:fill="auto"/>
            <w:noWrap/>
            <w:vAlign w:val="center"/>
            <w:hideMark/>
          </w:tcPr>
          <w:p w14:paraId="2DECA3D2"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6A556B61"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3.090</w:t>
            </w:r>
          </w:p>
        </w:tc>
      </w:tr>
      <w:tr w:rsidR="00BB530F" w:rsidRPr="00BB530F" w14:paraId="5D9CC90D" w14:textId="77777777" w:rsidTr="00BB530F">
        <w:trPr>
          <w:trHeight w:val="828"/>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6AA75E30"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w:t>
            </w:r>
            <w:r w:rsidR="002E2230">
              <w:rPr>
                <w:rFonts w:ascii="Arial Narrow" w:eastAsia="Times New Roman" w:hAnsi="Arial Narrow" w:cs="Calibri"/>
                <w:color w:val="000000"/>
                <w:sz w:val="20"/>
                <w:szCs w:val="20"/>
              </w:rPr>
              <w:t>7</w:t>
            </w:r>
          </w:p>
        </w:tc>
        <w:tc>
          <w:tcPr>
            <w:tcW w:w="1298" w:type="pct"/>
            <w:tcBorders>
              <w:top w:val="nil"/>
              <w:left w:val="nil"/>
              <w:bottom w:val="single" w:sz="4" w:space="0" w:color="auto"/>
              <w:right w:val="single" w:sz="4" w:space="0" w:color="auto"/>
            </w:tcBorders>
            <w:shd w:val="clear" w:color="auto" w:fill="auto"/>
            <w:vAlign w:val="center"/>
            <w:hideMark/>
          </w:tcPr>
          <w:p w14:paraId="31D550BF"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Whether a chemical substance is to be recycled, remanufactured, reprocessed, or reused.</w:t>
            </w:r>
          </w:p>
        </w:tc>
        <w:tc>
          <w:tcPr>
            <w:tcW w:w="702" w:type="pct"/>
            <w:tcBorders>
              <w:top w:val="nil"/>
              <w:left w:val="nil"/>
              <w:bottom w:val="single" w:sz="4" w:space="0" w:color="auto"/>
              <w:right w:val="single" w:sz="8" w:space="0" w:color="auto"/>
            </w:tcBorders>
            <w:shd w:val="clear" w:color="auto" w:fill="auto"/>
            <w:vAlign w:val="center"/>
            <w:hideMark/>
          </w:tcPr>
          <w:p w14:paraId="5F878C25"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6E1862B2"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0.020</w:t>
            </w:r>
          </w:p>
        </w:tc>
        <w:tc>
          <w:tcPr>
            <w:tcW w:w="712" w:type="pct"/>
            <w:tcBorders>
              <w:top w:val="nil"/>
              <w:left w:val="nil"/>
              <w:bottom w:val="single" w:sz="4" w:space="0" w:color="auto"/>
              <w:right w:val="single" w:sz="4" w:space="0" w:color="auto"/>
            </w:tcBorders>
            <w:shd w:val="clear" w:color="auto" w:fill="auto"/>
            <w:noWrap/>
            <w:vAlign w:val="center"/>
            <w:hideMark/>
          </w:tcPr>
          <w:p w14:paraId="388F3F26"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0.090</w:t>
            </w:r>
          </w:p>
        </w:tc>
        <w:tc>
          <w:tcPr>
            <w:tcW w:w="532" w:type="pct"/>
            <w:tcBorders>
              <w:top w:val="nil"/>
              <w:left w:val="single" w:sz="4" w:space="0" w:color="auto"/>
              <w:bottom w:val="single" w:sz="4" w:space="0" w:color="auto"/>
              <w:right w:val="nil"/>
            </w:tcBorders>
            <w:shd w:val="clear" w:color="auto" w:fill="auto"/>
            <w:noWrap/>
            <w:vAlign w:val="center"/>
            <w:hideMark/>
          </w:tcPr>
          <w:p w14:paraId="6A7671A3"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5CF27C70"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0.110</w:t>
            </w:r>
          </w:p>
        </w:tc>
      </w:tr>
      <w:tr w:rsidR="00BB530F" w:rsidRPr="00BB530F" w14:paraId="373B33C2" w14:textId="77777777" w:rsidTr="00BB530F">
        <w:trPr>
          <w:trHeight w:val="840"/>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62D9D4EF" w14:textId="77777777" w:rsidR="00BB530F" w:rsidRPr="00BB530F" w:rsidRDefault="002E2230" w:rsidP="00BB530F">
            <w:pPr>
              <w:jc w:val="center"/>
              <w:rPr>
                <w:rFonts w:ascii="Arial Narrow" w:eastAsia="Times New Roman" w:hAnsi="Arial Narrow" w:cs="Calibri"/>
                <w:sz w:val="20"/>
                <w:szCs w:val="20"/>
              </w:rPr>
            </w:pPr>
            <w:r>
              <w:rPr>
                <w:rFonts w:ascii="Arial Narrow" w:eastAsia="Times New Roman" w:hAnsi="Arial Narrow" w:cs="Calibri"/>
                <w:sz w:val="20"/>
                <w:szCs w:val="20"/>
              </w:rPr>
              <w:t>18</w:t>
            </w:r>
          </w:p>
        </w:tc>
        <w:tc>
          <w:tcPr>
            <w:tcW w:w="1298" w:type="pct"/>
            <w:tcBorders>
              <w:top w:val="single" w:sz="4" w:space="0" w:color="auto"/>
              <w:left w:val="nil"/>
              <w:bottom w:val="single" w:sz="4" w:space="0" w:color="auto"/>
              <w:right w:val="single" w:sz="4" w:space="0" w:color="auto"/>
            </w:tcBorders>
            <w:shd w:val="clear" w:color="auto" w:fill="auto"/>
            <w:vAlign w:val="center"/>
            <w:hideMark/>
          </w:tcPr>
          <w:p w14:paraId="59CAAD2A" w14:textId="77777777" w:rsidR="00BB530F" w:rsidRPr="00BB530F" w:rsidRDefault="00BB530F" w:rsidP="00BB530F">
            <w:pPr>
              <w:rPr>
                <w:rFonts w:ascii="Arial Narrow" w:eastAsia="Times New Roman" w:hAnsi="Arial Narrow" w:cs="Calibri"/>
                <w:sz w:val="20"/>
                <w:szCs w:val="20"/>
              </w:rPr>
            </w:pPr>
            <w:r w:rsidRPr="00BB530F">
              <w:rPr>
                <w:rFonts w:ascii="Arial Narrow" w:eastAsia="Times New Roman" w:hAnsi="Arial Narrow" w:cs="Calibri"/>
                <w:sz w:val="20"/>
                <w:szCs w:val="20"/>
              </w:rPr>
              <w:t xml:space="preserve">Production Volume for each of the Years since Last Principal Reporting Year </w:t>
            </w:r>
          </w:p>
        </w:tc>
        <w:tc>
          <w:tcPr>
            <w:tcW w:w="702" w:type="pct"/>
            <w:tcBorders>
              <w:top w:val="single" w:sz="4" w:space="0" w:color="auto"/>
              <w:left w:val="nil"/>
              <w:bottom w:val="single" w:sz="4" w:space="0" w:color="auto"/>
              <w:right w:val="single" w:sz="8" w:space="0" w:color="auto"/>
            </w:tcBorders>
            <w:shd w:val="clear" w:color="auto" w:fill="auto"/>
            <w:vAlign w:val="center"/>
            <w:hideMark/>
          </w:tcPr>
          <w:p w14:paraId="4F620404" w14:textId="77777777" w:rsidR="00BB530F" w:rsidRPr="00BB530F" w:rsidRDefault="00BB530F" w:rsidP="00BB530F">
            <w:pPr>
              <w:jc w:val="center"/>
              <w:rPr>
                <w:rFonts w:ascii="Arial Narrow" w:eastAsia="Times New Roman" w:hAnsi="Arial Narrow" w:cs="Calibri"/>
                <w:sz w:val="20"/>
                <w:szCs w:val="20"/>
              </w:rPr>
            </w:pPr>
            <w:r w:rsidRPr="00BB530F">
              <w:rPr>
                <w:rFonts w:ascii="Arial Narrow" w:eastAsia="Times New Roman" w:hAnsi="Arial Narrow" w:cs="Calibri"/>
                <w:sz w:val="20"/>
                <w:szCs w:val="20"/>
              </w:rPr>
              <w:t>Per chemical</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0EC89" w14:textId="77777777" w:rsidR="00BB530F" w:rsidRPr="00BB530F" w:rsidRDefault="00BB530F" w:rsidP="00BB530F">
            <w:pPr>
              <w:ind w:right="101"/>
              <w:jc w:val="right"/>
              <w:rPr>
                <w:rFonts w:ascii="Arial Narrow" w:eastAsia="Times New Roman" w:hAnsi="Arial Narrow" w:cs="Calibri"/>
                <w:sz w:val="20"/>
                <w:szCs w:val="20"/>
              </w:rPr>
            </w:pPr>
            <w:r w:rsidRPr="00BB530F">
              <w:rPr>
                <w:rFonts w:ascii="Arial Narrow" w:eastAsia="Times New Roman" w:hAnsi="Arial Narrow" w:cs="Calibri"/>
                <w:sz w:val="20"/>
                <w:szCs w:val="20"/>
              </w:rPr>
              <w:t>0.600</w:t>
            </w:r>
          </w:p>
        </w:tc>
        <w:tc>
          <w:tcPr>
            <w:tcW w:w="712" w:type="pct"/>
            <w:tcBorders>
              <w:top w:val="single" w:sz="4" w:space="0" w:color="auto"/>
              <w:left w:val="nil"/>
              <w:bottom w:val="single" w:sz="4" w:space="0" w:color="auto"/>
              <w:right w:val="single" w:sz="4" w:space="0" w:color="auto"/>
            </w:tcBorders>
            <w:shd w:val="clear" w:color="auto" w:fill="auto"/>
            <w:noWrap/>
            <w:vAlign w:val="center"/>
            <w:hideMark/>
          </w:tcPr>
          <w:p w14:paraId="1BBF30DE" w14:textId="77777777" w:rsidR="00BB530F" w:rsidRPr="00BB530F" w:rsidRDefault="00BB530F" w:rsidP="00BB530F">
            <w:pPr>
              <w:ind w:right="101"/>
              <w:jc w:val="right"/>
              <w:rPr>
                <w:rFonts w:ascii="Arial Narrow" w:eastAsia="Times New Roman" w:hAnsi="Arial Narrow" w:cs="Calibri"/>
                <w:sz w:val="20"/>
                <w:szCs w:val="20"/>
              </w:rPr>
            </w:pPr>
            <w:r w:rsidRPr="00BB530F">
              <w:rPr>
                <w:rFonts w:ascii="Arial Narrow" w:eastAsia="Times New Roman" w:hAnsi="Arial Narrow" w:cs="Calibri"/>
                <w:sz w:val="20"/>
                <w:szCs w:val="20"/>
              </w:rPr>
              <w:t>2.460</w:t>
            </w:r>
          </w:p>
        </w:tc>
        <w:tc>
          <w:tcPr>
            <w:tcW w:w="532" w:type="pct"/>
            <w:tcBorders>
              <w:top w:val="single" w:sz="4" w:space="0" w:color="auto"/>
              <w:left w:val="single" w:sz="4" w:space="0" w:color="auto"/>
              <w:bottom w:val="single" w:sz="4" w:space="0" w:color="auto"/>
              <w:right w:val="nil"/>
            </w:tcBorders>
            <w:shd w:val="clear" w:color="auto" w:fill="auto"/>
            <w:noWrap/>
            <w:vAlign w:val="center"/>
            <w:hideMark/>
          </w:tcPr>
          <w:p w14:paraId="10C27A1C" w14:textId="77777777" w:rsidR="00BB530F" w:rsidRPr="00BB530F" w:rsidRDefault="00BB530F" w:rsidP="00BB530F">
            <w:pPr>
              <w:ind w:right="101"/>
              <w:jc w:val="right"/>
              <w:rPr>
                <w:rFonts w:ascii="Arial Narrow" w:eastAsia="Times New Roman" w:hAnsi="Arial Narrow" w:cs="Calibri"/>
                <w:sz w:val="20"/>
                <w:szCs w:val="20"/>
              </w:rPr>
            </w:pPr>
            <w:r w:rsidRPr="00BB530F">
              <w:rPr>
                <w:rFonts w:ascii="Arial Narrow" w:eastAsia="Times New Roman" w:hAnsi="Arial Narrow" w:cs="Calibri"/>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0FD34643" w14:textId="77777777" w:rsidR="00BB530F" w:rsidRPr="00BB530F" w:rsidRDefault="00BB530F" w:rsidP="00BB530F">
            <w:pPr>
              <w:ind w:right="101"/>
              <w:jc w:val="right"/>
              <w:rPr>
                <w:rFonts w:ascii="Arial Narrow" w:eastAsia="Times New Roman" w:hAnsi="Arial Narrow" w:cs="Calibri"/>
                <w:sz w:val="20"/>
                <w:szCs w:val="20"/>
              </w:rPr>
            </w:pPr>
            <w:r w:rsidRPr="00BB530F">
              <w:rPr>
                <w:rFonts w:ascii="Arial Narrow" w:eastAsia="Times New Roman" w:hAnsi="Arial Narrow" w:cs="Calibri"/>
                <w:sz w:val="20"/>
                <w:szCs w:val="20"/>
              </w:rPr>
              <w:t>3.060</w:t>
            </w:r>
          </w:p>
        </w:tc>
      </w:tr>
      <w:tr w:rsidR="00BB530F" w:rsidRPr="00BB530F" w14:paraId="0758B4D4" w14:textId="77777777" w:rsidTr="00BB530F">
        <w:trPr>
          <w:trHeight w:val="314"/>
        </w:trPr>
        <w:tc>
          <w:tcPr>
            <w:tcW w:w="337" w:type="pct"/>
            <w:tcBorders>
              <w:top w:val="nil"/>
              <w:left w:val="single" w:sz="8" w:space="0" w:color="auto"/>
              <w:bottom w:val="single" w:sz="8" w:space="0" w:color="auto"/>
              <w:right w:val="single" w:sz="8" w:space="0" w:color="auto"/>
            </w:tcBorders>
            <w:shd w:val="clear" w:color="auto" w:fill="auto"/>
            <w:noWrap/>
            <w:vAlign w:val="center"/>
          </w:tcPr>
          <w:p w14:paraId="753D74E3" w14:textId="77777777" w:rsidR="00BB530F" w:rsidRPr="00BB530F" w:rsidRDefault="002E2230" w:rsidP="00BB530F">
            <w:pPr>
              <w:jc w:val="center"/>
              <w:rPr>
                <w:rFonts w:ascii="Arial Narrow" w:eastAsia="Times New Roman" w:hAnsi="Arial Narrow" w:cs="Calibri"/>
                <w:sz w:val="20"/>
                <w:szCs w:val="20"/>
              </w:rPr>
            </w:pPr>
            <w:r>
              <w:rPr>
                <w:rFonts w:ascii="Arial Narrow" w:eastAsia="Times New Roman" w:hAnsi="Arial Narrow" w:cs="Calibri"/>
                <w:sz w:val="20"/>
                <w:szCs w:val="20"/>
              </w:rPr>
              <w:t>19</w:t>
            </w:r>
          </w:p>
        </w:tc>
        <w:tc>
          <w:tcPr>
            <w:tcW w:w="1298" w:type="pct"/>
            <w:tcBorders>
              <w:top w:val="nil"/>
              <w:left w:val="nil"/>
              <w:bottom w:val="single" w:sz="8" w:space="0" w:color="auto"/>
              <w:right w:val="single" w:sz="4" w:space="0" w:color="auto"/>
            </w:tcBorders>
            <w:shd w:val="clear" w:color="000000" w:fill="FFFFFF"/>
            <w:vAlign w:val="center"/>
          </w:tcPr>
          <w:p w14:paraId="51BA1962" w14:textId="77777777" w:rsidR="00BB530F" w:rsidRPr="00044368" w:rsidRDefault="00BB530F" w:rsidP="00BB530F">
            <w:pPr>
              <w:rPr>
                <w:rFonts w:ascii="Arial Narrow" w:eastAsia="Times New Roman" w:hAnsi="Arial Narrow" w:cs="Calibri"/>
                <w:sz w:val="20"/>
                <w:szCs w:val="20"/>
                <w:lang w:val="fr-FR"/>
              </w:rPr>
            </w:pPr>
            <w:r w:rsidRPr="00044368">
              <w:rPr>
                <w:rFonts w:ascii="Arial Narrow" w:eastAsia="Times New Roman" w:hAnsi="Arial Narrow" w:cs="Calibri"/>
                <w:sz w:val="20"/>
                <w:szCs w:val="20"/>
                <w:lang w:val="fr-FR"/>
              </w:rPr>
              <w:t>Non-Chem ID CBI Substantiation (Part II)</w:t>
            </w:r>
            <w:r w:rsidR="002E2230" w:rsidRPr="00044368">
              <w:rPr>
                <w:rFonts w:ascii="Arial Narrow" w:eastAsia="Times New Roman" w:hAnsi="Arial Narrow" w:cs="Calibri"/>
                <w:sz w:val="20"/>
                <w:szCs w:val="20"/>
                <w:vertAlign w:val="superscript"/>
                <w:lang w:val="fr-FR"/>
              </w:rPr>
              <w:t>2</w:t>
            </w:r>
          </w:p>
        </w:tc>
        <w:tc>
          <w:tcPr>
            <w:tcW w:w="702" w:type="pct"/>
            <w:tcBorders>
              <w:top w:val="single" w:sz="4" w:space="0" w:color="auto"/>
              <w:left w:val="nil"/>
              <w:bottom w:val="single" w:sz="8" w:space="0" w:color="auto"/>
              <w:right w:val="single" w:sz="8" w:space="0" w:color="auto"/>
            </w:tcBorders>
            <w:shd w:val="clear" w:color="000000" w:fill="FFFFFF"/>
            <w:vAlign w:val="center"/>
          </w:tcPr>
          <w:p w14:paraId="6B6C943F" w14:textId="77777777" w:rsidR="00BB530F" w:rsidRPr="00BB530F" w:rsidRDefault="00BB530F" w:rsidP="00BB530F">
            <w:pPr>
              <w:jc w:val="center"/>
              <w:rPr>
                <w:rFonts w:ascii="Arial Narrow" w:eastAsia="Times New Roman" w:hAnsi="Arial Narrow" w:cs="Calibri"/>
                <w:sz w:val="20"/>
                <w:szCs w:val="20"/>
              </w:rPr>
            </w:pPr>
            <w:r w:rsidRPr="00BB530F">
              <w:rPr>
                <w:rFonts w:ascii="Arial Narrow" w:eastAsia="Times New Roman" w:hAnsi="Arial Narrow" w:cs="Calibri"/>
                <w:sz w:val="20"/>
                <w:szCs w:val="20"/>
              </w:rPr>
              <w:t>Per chemical</w:t>
            </w:r>
          </w:p>
        </w:tc>
        <w:tc>
          <w:tcPr>
            <w:tcW w:w="709" w:type="pct"/>
            <w:tcBorders>
              <w:top w:val="nil"/>
              <w:left w:val="single" w:sz="4" w:space="0" w:color="auto"/>
              <w:bottom w:val="single" w:sz="8" w:space="0" w:color="auto"/>
              <w:right w:val="single" w:sz="4" w:space="0" w:color="auto"/>
            </w:tcBorders>
            <w:shd w:val="clear" w:color="000000" w:fill="FFFFFF"/>
            <w:noWrap/>
            <w:vAlign w:val="center"/>
          </w:tcPr>
          <w:p w14:paraId="3F803850" w14:textId="77777777" w:rsidR="00BB530F" w:rsidRPr="00BB530F" w:rsidRDefault="00BB530F" w:rsidP="00BB530F">
            <w:pPr>
              <w:ind w:right="101"/>
              <w:jc w:val="right"/>
              <w:rPr>
                <w:rFonts w:ascii="Arial Narrow" w:eastAsia="Times New Roman" w:hAnsi="Arial Narrow" w:cs="Calibri"/>
                <w:sz w:val="20"/>
                <w:szCs w:val="20"/>
              </w:rPr>
            </w:pPr>
            <w:r w:rsidRPr="00BB530F">
              <w:rPr>
                <w:rFonts w:ascii="Arial Narrow" w:eastAsia="Times New Roman" w:hAnsi="Arial Narrow" w:cs="Calibri"/>
                <w:sz w:val="20"/>
                <w:szCs w:val="20"/>
              </w:rPr>
              <w:t>0.320</w:t>
            </w:r>
          </w:p>
        </w:tc>
        <w:tc>
          <w:tcPr>
            <w:tcW w:w="712" w:type="pct"/>
            <w:tcBorders>
              <w:top w:val="nil"/>
              <w:left w:val="nil"/>
              <w:bottom w:val="single" w:sz="8" w:space="0" w:color="auto"/>
              <w:right w:val="single" w:sz="4" w:space="0" w:color="auto"/>
            </w:tcBorders>
            <w:shd w:val="clear" w:color="000000" w:fill="FFFFFF"/>
            <w:noWrap/>
            <w:vAlign w:val="center"/>
          </w:tcPr>
          <w:p w14:paraId="34FD1F9E" w14:textId="77777777" w:rsidR="00BB530F" w:rsidRPr="00BB530F" w:rsidRDefault="00B015A8" w:rsidP="00BB530F">
            <w:pPr>
              <w:ind w:right="101"/>
              <w:jc w:val="right"/>
              <w:rPr>
                <w:rFonts w:ascii="Arial Narrow" w:eastAsia="Times New Roman" w:hAnsi="Arial Narrow" w:cs="Calibri"/>
                <w:sz w:val="20"/>
                <w:szCs w:val="20"/>
              </w:rPr>
            </w:pPr>
            <w:r>
              <w:rPr>
                <w:rFonts w:ascii="Arial Narrow" w:eastAsia="Times New Roman" w:hAnsi="Arial Narrow" w:cs="Calibri"/>
                <w:sz w:val="20"/>
                <w:szCs w:val="20"/>
              </w:rPr>
              <w:t>0</w:t>
            </w:r>
            <w:r w:rsidR="00BB530F" w:rsidRPr="00BB530F">
              <w:rPr>
                <w:rFonts w:ascii="Arial Narrow" w:eastAsia="Times New Roman" w:hAnsi="Arial Narrow" w:cs="Calibri"/>
                <w:sz w:val="20"/>
                <w:szCs w:val="20"/>
              </w:rPr>
              <w:t>.</w:t>
            </w:r>
            <w:r>
              <w:rPr>
                <w:rFonts w:ascii="Arial Narrow" w:eastAsia="Times New Roman" w:hAnsi="Arial Narrow" w:cs="Calibri"/>
                <w:sz w:val="20"/>
                <w:szCs w:val="20"/>
              </w:rPr>
              <w:t>85</w:t>
            </w:r>
            <w:r w:rsidR="00BB530F" w:rsidRPr="00BB530F">
              <w:rPr>
                <w:rFonts w:ascii="Arial Narrow" w:eastAsia="Times New Roman" w:hAnsi="Arial Narrow" w:cs="Calibri"/>
                <w:sz w:val="20"/>
                <w:szCs w:val="20"/>
              </w:rPr>
              <w:t>0</w:t>
            </w:r>
          </w:p>
        </w:tc>
        <w:tc>
          <w:tcPr>
            <w:tcW w:w="532" w:type="pct"/>
            <w:tcBorders>
              <w:top w:val="nil"/>
              <w:left w:val="nil"/>
              <w:bottom w:val="single" w:sz="8" w:space="0" w:color="auto"/>
              <w:right w:val="single" w:sz="8" w:space="0" w:color="auto"/>
            </w:tcBorders>
            <w:shd w:val="clear" w:color="000000" w:fill="FFFFFF"/>
            <w:noWrap/>
            <w:vAlign w:val="center"/>
          </w:tcPr>
          <w:p w14:paraId="6DB2BFF8" w14:textId="77777777" w:rsidR="00BB530F" w:rsidRPr="00BB530F" w:rsidRDefault="00BB530F" w:rsidP="00BB530F">
            <w:pPr>
              <w:ind w:right="101"/>
              <w:jc w:val="right"/>
              <w:rPr>
                <w:rFonts w:ascii="Arial Narrow" w:eastAsia="Times New Roman" w:hAnsi="Arial Narrow" w:cs="Calibri"/>
                <w:sz w:val="20"/>
                <w:szCs w:val="20"/>
              </w:rPr>
            </w:pPr>
            <w:r w:rsidRPr="00BB530F">
              <w:rPr>
                <w:rFonts w:ascii="Arial Narrow" w:eastAsia="Times New Roman" w:hAnsi="Arial Narrow" w:cs="Calibri"/>
                <w:sz w:val="20"/>
                <w:szCs w:val="20"/>
              </w:rPr>
              <w:t>0.000</w:t>
            </w:r>
          </w:p>
        </w:tc>
        <w:tc>
          <w:tcPr>
            <w:tcW w:w="710" w:type="pct"/>
            <w:tcBorders>
              <w:top w:val="nil"/>
              <w:left w:val="nil"/>
              <w:bottom w:val="single" w:sz="8" w:space="0" w:color="auto"/>
              <w:right w:val="single" w:sz="8" w:space="0" w:color="auto"/>
            </w:tcBorders>
            <w:shd w:val="clear" w:color="000000" w:fill="FFFFFF"/>
            <w:noWrap/>
            <w:vAlign w:val="center"/>
          </w:tcPr>
          <w:p w14:paraId="7D7B898C" w14:textId="77777777" w:rsidR="00BB530F" w:rsidRPr="00BB530F" w:rsidRDefault="00BB530F" w:rsidP="00BB530F">
            <w:pPr>
              <w:ind w:right="101"/>
              <w:jc w:val="right"/>
              <w:rPr>
                <w:rFonts w:ascii="Arial Narrow" w:eastAsia="Times New Roman" w:hAnsi="Arial Narrow" w:cs="Calibri"/>
                <w:sz w:val="20"/>
                <w:szCs w:val="20"/>
              </w:rPr>
            </w:pPr>
            <w:r w:rsidRPr="00BB530F">
              <w:rPr>
                <w:rFonts w:ascii="Arial Narrow" w:eastAsia="Times New Roman" w:hAnsi="Arial Narrow" w:cs="Calibri"/>
                <w:sz w:val="20"/>
                <w:szCs w:val="20"/>
              </w:rPr>
              <w:t>1.</w:t>
            </w:r>
            <w:r w:rsidR="00C87E34">
              <w:rPr>
                <w:rFonts w:ascii="Arial Narrow" w:eastAsia="Times New Roman" w:hAnsi="Arial Narrow" w:cs="Calibri"/>
                <w:sz w:val="20"/>
                <w:szCs w:val="20"/>
              </w:rPr>
              <w:t>1</w:t>
            </w:r>
            <w:r w:rsidRPr="00BB530F">
              <w:rPr>
                <w:rFonts w:ascii="Arial Narrow" w:eastAsia="Times New Roman" w:hAnsi="Arial Narrow" w:cs="Calibri"/>
                <w:sz w:val="20"/>
                <w:szCs w:val="20"/>
              </w:rPr>
              <w:t>70</w:t>
            </w:r>
          </w:p>
        </w:tc>
      </w:tr>
      <w:tr w:rsidR="00BB530F" w:rsidRPr="00BB530F" w14:paraId="5DB4E763" w14:textId="77777777" w:rsidTr="00BB530F">
        <w:trPr>
          <w:trHeight w:val="340"/>
        </w:trPr>
        <w:tc>
          <w:tcPr>
            <w:tcW w:w="337"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711DCAF5" w14:textId="77777777" w:rsidR="00BB530F" w:rsidRPr="00BB530F" w:rsidRDefault="00BB530F" w:rsidP="00BB530F">
            <w:pPr>
              <w:jc w:val="center"/>
              <w:rPr>
                <w:rFonts w:ascii="Arial Narrow" w:eastAsia="Times New Roman" w:hAnsi="Arial Narrow" w:cs="Calibri"/>
                <w:color w:val="000000"/>
                <w:sz w:val="20"/>
                <w:szCs w:val="20"/>
              </w:rPr>
            </w:pPr>
          </w:p>
        </w:tc>
        <w:tc>
          <w:tcPr>
            <w:tcW w:w="4663" w:type="pct"/>
            <w:gridSpan w:val="6"/>
            <w:tcBorders>
              <w:top w:val="single" w:sz="8" w:space="0" w:color="auto"/>
              <w:left w:val="nil"/>
              <w:bottom w:val="single" w:sz="8" w:space="0" w:color="auto"/>
              <w:right w:val="single" w:sz="8" w:space="0" w:color="auto"/>
            </w:tcBorders>
            <w:shd w:val="clear" w:color="auto" w:fill="D9D9D9"/>
            <w:vAlign w:val="center"/>
            <w:hideMark/>
          </w:tcPr>
          <w:p w14:paraId="1EFFFDB6"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b/>
                <w:bCs/>
                <w:i/>
                <w:iCs/>
                <w:color w:val="000000"/>
                <w:sz w:val="20"/>
                <w:szCs w:val="20"/>
              </w:rPr>
              <w:t>Part III Processing and Use Information</w:t>
            </w:r>
          </w:p>
        </w:tc>
      </w:tr>
      <w:tr w:rsidR="00BB530F" w:rsidRPr="00BB530F" w14:paraId="3218758C" w14:textId="77777777" w:rsidTr="00BB530F">
        <w:trPr>
          <w:trHeight w:val="359"/>
        </w:trPr>
        <w:tc>
          <w:tcPr>
            <w:tcW w:w="337" w:type="pct"/>
            <w:tcBorders>
              <w:top w:val="single" w:sz="8" w:space="0" w:color="auto"/>
              <w:left w:val="single" w:sz="8" w:space="0" w:color="auto"/>
              <w:bottom w:val="single" w:sz="4" w:space="0" w:color="auto"/>
              <w:right w:val="single" w:sz="8" w:space="0" w:color="auto"/>
            </w:tcBorders>
            <w:shd w:val="clear" w:color="auto" w:fill="F2F2F2"/>
            <w:noWrap/>
            <w:vAlign w:val="center"/>
            <w:hideMark/>
          </w:tcPr>
          <w:p w14:paraId="001DAA9E" w14:textId="77777777" w:rsidR="00BB530F" w:rsidRPr="00BB530F" w:rsidRDefault="00BB530F" w:rsidP="00BB530F">
            <w:pPr>
              <w:jc w:val="center"/>
              <w:rPr>
                <w:rFonts w:ascii="Arial Narrow" w:eastAsia="Times New Roman" w:hAnsi="Arial Narrow" w:cs="Calibri"/>
                <w:color w:val="000000"/>
                <w:sz w:val="20"/>
                <w:szCs w:val="20"/>
              </w:rPr>
            </w:pPr>
          </w:p>
        </w:tc>
        <w:tc>
          <w:tcPr>
            <w:tcW w:w="4663" w:type="pct"/>
            <w:gridSpan w:val="6"/>
            <w:tcBorders>
              <w:top w:val="single" w:sz="8" w:space="0" w:color="auto"/>
              <w:left w:val="nil"/>
              <w:bottom w:val="single" w:sz="4" w:space="0" w:color="auto"/>
              <w:right w:val="single" w:sz="8" w:space="0" w:color="auto"/>
            </w:tcBorders>
            <w:shd w:val="clear" w:color="auto" w:fill="F2F2F2"/>
            <w:vAlign w:val="center"/>
            <w:hideMark/>
          </w:tcPr>
          <w:p w14:paraId="0D272739" w14:textId="77777777" w:rsidR="00BB530F" w:rsidRPr="00BB530F" w:rsidRDefault="00BB530F" w:rsidP="00BB530F">
            <w:pPr>
              <w:rPr>
                <w:rFonts w:ascii="Arial Narrow" w:eastAsia="Times New Roman" w:hAnsi="Arial Narrow" w:cs="Calibri"/>
                <w:i/>
                <w:color w:val="000000"/>
                <w:sz w:val="20"/>
                <w:szCs w:val="20"/>
              </w:rPr>
            </w:pPr>
            <w:r w:rsidRPr="00BB530F">
              <w:rPr>
                <w:rFonts w:ascii="Arial Narrow" w:eastAsia="Times New Roman" w:hAnsi="Arial Narrow" w:cs="Calibri"/>
                <w:i/>
                <w:color w:val="000000"/>
                <w:sz w:val="20"/>
                <w:szCs w:val="20"/>
              </w:rPr>
              <w:t>Industrial Processing and Use Exposure-Related Data</w:t>
            </w:r>
          </w:p>
        </w:tc>
      </w:tr>
      <w:tr w:rsidR="00BB530F" w:rsidRPr="00BB530F" w14:paraId="7AFDD183" w14:textId="77777777" w:rsidTr="00BB530F">
        <w:trPr>
          <w:trHeight w:val="552"/>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6F625AC8"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2</w:t>
            </w:r>
            <w:r w:rsidR="002E2230">
              <w:rPr>
                <w:rFonts w:ascii="Arial Narrow" w:eastAsia="Times New Roman" w:hAnsi="Arial Narrow" w:cs="Calibri"/>
                <w:color w:val="000000"/>
                <w:sz w:val="20"/>
                <w:szCs w:val="20"/>
              </w:rPr>
              <w:t>0</w:t>
            </w:r>
          </w:p>
        </w:tc>
        <w:tc>
          <w:tcPr>
            <w:tcW w:w="1298" w:type="pct"/>
            <w:tcBorders>
              <w:top w:val="nil"/>
              <w:left w:val="nil"/>
              <w:bottom w:val="single" w:sz="4" w:space="0" w:color="auto"/>
              <w:right w:val="single" w:sz="4" w:space="0" w:color="auto"/>
            </w:tcBorders>
            <w:shd w:val="clear" w:color="auto" w:fill="auto"/>
            <w:vAlign w:val="center"/>
            <w:hideMark/>
          </w:tcPr>
          <w:p w14:paraId="2B41A0EF"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 xml:space="preserve">Determination of Applicability (includes </w:t>
            </w:r>
            <w:r w:rsidR="00F2197D">
              <w:rPr>
                <w:rFonts w:ascii="Arial Narrow" w:eastAsia="Times New Roman" w:hAnsi="Arial Narrow" w:cs="Calibri"/>
                <w:color w:val="000000"/>
                <w:sz w:val="20"/>
                <w:szCs w:val="20"/>
              </w:rPr>
              <w:t>“</w:t>
            </w:r>
            <w:r w:rsidRPr="00BB530F">
              <w:rPr>
                <w:rFonts w:ascii="Arial Narrow" w:eastAsia="Times New Roman" w:hAnsi="Arial Narrow" w:cs="Calibri"/>
                <w:color w:val="000000"/>
                <w:sz w:val="20"/>
                <w:szCs w:val="20"/>
              </w:rPr>
              <w:t>Type of Process or Use</w:t>
            </w:r>
            <w:r w:rsidR="00DA3B09">
              <w:rPr>
                <w:rFonts w:ascii="Arial Narrow" w:eastAsia="Times New Roman" w:hAnsi="Arial Narrow" w:cs="Calibri"/>
                <w:color w:val="000000"/>
                <w:sz w:val="20"/>
                <w:szCs w:val="20"/>
              </w:rPr>
              <w:t>”</w:t>
            </w:r>
            <w:r w:rsidRPr="00BB530F">
              <w:rPr>
                <w:rFonts w:ascii="Arial Narrow" w:eastAsia="Times New Roman" w:hAnsi="Arial Narrow" w:cs="Calibri"/>
                <w:color w:val="000000"/>
                <w:sz w:val="20"/>
                <w:szCs w:val="20"/>
              </w:rPr>
              <w:t>)</w:t>
            </w:r>
          </w:p>
        </w:tc>
        <w:tc>
          <w:tcPr>
            <w:tcW w:w="702" w:type="pct"/>
            <w:tcBorders>
              <w:top w:val="single" w:sz="4" w:space="0" w:color="auto"/>
              <w:left w:val="nil"/>
              <w:bottom w:val="single" w:sz="4" w:space="0" w:color="auto"/>
              <w:right w:val="single" w:sz="8" w:space="0" w:color="auto"/>
            </w:tcBorders>
            <w:shd w:val="clear" w:color="auto" w:fill="auto"/>
            <w:vAlign w:val="center"/>
            <w:hideMark/>
          </w:tcPr>
          <w:p w14:paraId="0FC7ACD8"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7A3EA0E6"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0.230</w:t>
            </w:r>
          </w:p>
        </w:tc>
        <w:tc>
          <w:tcPr>
            <w:tcW w:w="712" w:type="pct"/>
            <w:tcBorders>
              <w:top w:val="nil"/>
              <w:left w:val="nil"/>
              <w:bottom w:val="single" w:sz="4" w:space="0" w:color="auto"/>
              <w:right w:val="single" w:sz="4" w:space="0" w:color="auto"/>
            </w:tcBorders>
            <w:shd w:val="clear" w:color="auto" w:fill="auto"/>
            <w:noWrap/>
            <w:vAlign w:val="center"/>
            <w:hideMark/>
          </w:tcPr>
          <w:p w14:paraId="4FAF8DDE"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0.810</w:t>
            </w:r>
          </w:p>
        </w:tc>
        <w:tc>
          <w:tcPr>
            <w:tcW w:w="532" w:type="pct"/>
            <w:tcBorders>
              <w:top w:val="single" w:sz="4" w:space="0" w:color="auto"/>
              <w:left w:val="single" w:sz="4" w:space="0" w:color="auto"/>
              <w:bottom w:val="single" w:sz="4" w:space="0" w:color="auto"/>
              <w:right w:val="nil"/>
            </w:tcBorders>
            <w:shd w:val="clear" w:color="auto" w:fill="auto"/>
            <w:noWrap/>
            <w:vAlign w:val="center"/>
            <w:hideMark/>
          </w:tcPr>
          <w:p w14:paraId="1CE2504C"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12F3480"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1.040</w:t>
            </w:r>
          </w:p>
        </w:tc>
      </w:tr>
      <w:tr w:rsidR="00BB530F" w:rsidRPr="00BB530F" w14:paraId="70E1B66C" w14:textId="77777777" w:rsidTr="00BB530F">
        <w:trPr>
          <w:trHeight w:val="288"/>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765B8593"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2</w:t>
            </w:r>
            <w:r w:rsidR="002E2230">
              <w:rPr>
                <w:rFonts w:ascii="Arial Narrow" w:eastAsia="Times New Roman" w:hAnsi="Arial Narrow" w:cs="Calibri"/>
                <w:color w:val="000000"/>
                <w:sz w:val="20"/>
                <w:szCs w:val="20"/>
              </w:rPr>
              <w:t>1</w:t>
            </w:r>
          </w:p>
        </w:tc>
        <w:tc>
          <w:tcPr>
            <w:tcW w:w="1298" w:type="pct"/>
            <w:tcBorders>
              <w:top w:val="nil"/>
              <w:left w:val="nil"/>
              <w:bottom w:val="single" w:sz="4" w:space="0" w:color="auto"/>
              <w:right w:val="single" w:sz="4" w:space="0" w:color="auto"/>
            </w:tcBorders>
            <w:shd w:val="clear" w:color="auto" w:fill="auto"/>
            <w:vAlign w:val="center"/>
            <w:hideMark/>
          </w:tcPr>
          <w:p w14:paraId="30204354"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Sector</w:t>
            </w:r>
          </w:p>
        </w:tc>
        <w:tc>
          <w:tcPr>
            <w:tcW w:w="702" w:type="pct"/>
            <w:tcBorders>
              <w:top w:val="nil"/>
              <w:left w:val="nil"/>
              <w:bottom w:val="single" w:sz="4" w:space="0" w:color="auto"/>
              <w:right w:val="single" w:sz="8" w:space="0" w:color="auto"/>
            </w:tcBorders>
            <w:shd w:val="clear" w:color="auto" w:fill="auto"/>
            <w:vAlign w:val="center"/>
            <w:hideMark/>
          </w:tcPr>
          <w:p w14:paraId="60C3A8C8"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4D2EF47F"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0.320</w:t>
            </w:r>
          </w:p>
        </w:tc>
        <w:tc>
          <w:tcPr>
            <w:tcW w:w="712" w:type="pct"/>
            <w:tcBorders>
              <w:top w:val="nil"/>
              <w:left w:val="nil"/>
              <w:bottom w:val="single" w:sz="4" w:space="0" w:color="auto"/>
              <w:right w:val="single" w:sz="4" w:space="0" w:color="auto"/>
            </w:tcBorders>
            <w:shd w:val="clear" w:color="auto" w:fill="auto"/>
            <w:noWrap/>
            <w:vAlign w:val="center"/>
            <w:hideMark/>
          </w:tcPr>
          <w:p w14:paraId="1D667EEF"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0.750</w:t>
            </w:r>
          </w:p>
        </w:tc>
        <w:tc>
          <w:tcPr>
            <w:tcW w:w="532" w:type="pct"/>
            <w:tcBorders>
              <w:top w:val="nil"/>
              <w:left w:val="single" w:sz="4" w:space="0" w:color="auto"/>
              <w:bottom w:val="single" w:sz="4" w:space="0" w:color="auto"/>
              <w:right w:val="nil"/>
            </w:tcBorders>
            <w:shd w:val="clear" w:color="auto" w:fill="auto"/>
            <w:noWrap/>
            <w:vAlign w:val="center"/>
            <w:hideMark/>
          </w:tcPr>
          <w:p w14:paraId="002065A7"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75E86E70"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1.070</w:t>
            </w:r>
          </w:p>
        </w:tc>
      </w:tr>
      <w:tr w:rsidR="00BB530F" w:rsidRPr="00BB530F" w14:paraId="642D340C" w14:textId="77777777" w:rsidTr="00BB530F">
        <w:trPr>
          <w:trHeight w:val="288"/>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1E203F81"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2</w:t>
            </w:r>
            <w:r w:rsidR="002E2230">
              <w:rPr>
                <w:rFonts w:ascii="Arial Narrow" w:eastAsia="Times New Roman" w:hAnsi="Arial Narrow" w:cs="Calibri"/>
                <w:color w:val="000000"/>
                <w:sz w:val="20"/>
                <w:szCs w:val="20"/>
              </w:rPr>
              <w:t>2</w:t>
            </w:r>
          </w:p>
        </w:tc>
        <w:tc>
          <w:tcPr>
            <w:tcW w:w="1298" w:type="pct"/>
            <w:tcBorders>
              <w:top w:val="nil"/>
              <w:left w:val="nil"/>
              <w:bottom w:val="single" w:sz="4" w:space="0" w:color="auto"/>
              <w:right w:val="single" w:sz="4" w:space="0" w:color="auto"/>
            </w:tcBorders>
            <w:shd w:val="clear" w:color="auto" w:fill="auto"/>
            <w:vAlign w:val="center"/>
            <w:hideMark/>
          </w:tcPr>
          <w:p w14:paraId="5630EB7D"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Industrial Function Category</w:t>
            </w:r>
          </w:p>
        </w:tc>
        <w:tc>
          <w:tcPr>
            <w:tcW w:w="702" w:type="pct"/>
            <w:tcBorders>
              <w:top w:val="nil"/>
              <w:left w:val="nil"/>
              <w:bottom w:val="single" w:sz="4" w:space="0" w:color="auto"/>
              <w:right w:val="single" w:sz="8" w:space="0" w:color="auto"/>
            </w:tcBorders>
            <w:shd w:val="clear" w:color="auto" w:fill="auto"/>
            <w:vAlign w:val="center"/>
            <w:hideMark/>
          </w:tcPr>
          <w:p w14:paraId="2DC6FA05"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457262F7"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1.650</w:t>
            </w:r>
          </w:p>
        </w:tc>
        <w:tc>
          <w:tcPr>
            <w:tcW w:w="712" w:type="pct"/>
            <w:tcBorders>
              <w:top w:val="nil"/>
              <w:left w:val="nil"/>
              <w:bottom w:val="single" w:sz="4" w:space="0" w:color="auto"/>
              <w:right w:val="single" w:sz="4" w:space="0" w:color="auto"/>
            </w:tcBorders>
            <w:shd w:val="clear" w:color="auto" w:fill="auto"/>
            <w:noWrap/>
            <w:vAlign w:val="center"/>
            <w:hideMark/>
          </w:tcPr>
          <w:p w14:paraId="504B6CB4"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3.530</w:t>
            </w:r>
          </w:p>
        </w:tc>
        <w:tc>
          <w:tcPr>
            <w:tcW w:w="532" w:type="pct"/>
            <w:tcBorders>
              <w:top w:val="nil"/>
              <w:left w:val="single" w:sz="4" w:space="0" w:color="auto"/>
              <w:bottom w:val="single" w:sz="4" w:space="0" w:color="auto"/>
              <w:right w:val="nil"/>
            </w:tcBorders>
            <w:shd w:val="clear" w:color="auto" w:fill="auto"/>
            <w:noWrap/>
            <w:vAlign w:val="center"/>
            <w:hideMark/>
          </w:tcPr>
          <w:p w14:paraId="78962076"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32683E5D"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5.180</w:t>
            </w:r>
          </w:p>
        </w:tc>
      </w:tr>
      <w:tr w:rsidR="00BB530F" w:rsidRPr="00BB530F" w14:paraId="32CE8273" w14:textId="77777777" w:rsidTr="00BB530F">
        <w:trPr>
          <w:trHeight w:val="288"/>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3532AE64"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2</w:t>
            </w:r>
            <w:r w:rsidR="002E2230">
              <w:rPr>
                <w:rFonts w:ascii="Arial Narrow" w:eastAsia="Times New Roman" w:hAnsi="Arial Narrow" w:cs="Calibri"/>
                <w:color w:val="000000"/>
                <w:sz w:val="20"/>
                <w:szCs w:val="20"/>
              </w:rPr>
              <w:t>3</w:t>
            </w:r>
          </w:p>
        </w:tc>
        <w:tc>
          <w:tcPr>
            <w:tcW w:w="1298" w:type="pct"/>
            <w:tcBorders>
              <w:top w:val="nil"/>
              <w:left w:val="nil"/>
              <w:bottom w:val="single" w:sz="4" w:space="0" w:color="auto"/>
              <w:right w:val="single" w:sz="4" w:space="0" w:color="auto"/>
            </w:tcBorders>
            <w:shd w:val="clear" w:color="auto" w:fill="auto"/>
            <w:vAlign w:val="center"/>
            <w:hideMark/>
          </w:tcPr>
          <w:p w14:paraId="7458F9BB"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Percent of Production Volume</w:t>
            </w:r>
          </w:p>
        </w:tc>
        <w:tc>
          <w:tcPr>
            <w:tcW w:w="702" w:type="pct"/>
            <w:tcBorders>
              <w:top w:val="single" w:sz="4" w:space="0" w:color="auto"/>
              <w:left w:val="nil"/>
              <w:bottom w:val="single" w:sz="4" w:space="0" w:color="auto"/>
              <w:right w:val="single" w:sz="8" w:space="0" w:color="auto"/>
            </w:tcBorders>
            <w:shd w:val="clear" w:color="auto" w:fill="auto"/>
            <w:vAlign w:val="center"/>
            <w:hideMark/>
          </w:tcPr>
          <w:p w14:paraId="14717F1C"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single" w:sz="4" w:space="0" w:color="auto"/>
              <w:left w:val="nil"/>
              <w:bottom w:val="single" w:sz="4" w:space="0" w:color="auto"/>
              <w:right w:val="single" w:sz="4" w:space="0" w:color="auto"/>
            </w:tcBorders>
            <w:shd w:val="clear" w:color="auto" w:fill="auto"/>
            <w:noWrap/>
            <w:vAlign w:val="center"/>
            <w:hideMark/>
          </w:tcPr>
          <w:p w14:paraId="61261888"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4.220</w:t>
            </w:r>
          </w:p>
        </w:tc>
        <w:tc>
          <w:tcPr>
            <w:tcW w:w="712" w:type="pct"/>
            <w:tcBorders>
              <w:top w:val="nil"/>
              <w:left w:val="single" w:sz="4" w:space="0" w:color="auto"/>
              <w:bottom w:val="single" w:sz="4" w:space="0" w:color="auto"/>
              <w:right w:val="single" w:sz="4" w:space="0" w:color="auto"/>
            </w:tcBorders>
            <w:shd w:val="clear" w:color="auto" w:fill="auto"/>
            <w:noWrap/>
            <w:vAlign w:val="center"/>
            <w:hideMark/>
          </w:tcPr>
          <w:p w14:paraId="0D87FE90"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8.000</w:t>
            </w:r>
          </w:p>
        </w:tc>
        <w:tc>
          <w:tcPr>
            <w:tcW w:w="532" w:type="pct"/>
            <w:tcBorders>
              <w:top w:val="single" w:sz="4" w:space="0" w:color="auto"/>
              <w:left w:val="nil"/>
              <w:bottom w:val="single" w:sz="4" w:space="0" w:color="auto"/>
              <w:right w:val="single" w:sz="8" w:space="0" w:color="auto"/>
            </w:tcBorders>
            <w:shd w:val="clear" w:color="auto" w:fill="auto"/>
            <w:noWrap/>
            <w:vAlign w:val="center"/>
            <w:hideMark/>
          </w:tcPr>
          <w:p w14:paraId="353D9608"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single" w:sz="4" w:space="0" w:color="auto"/>
              <w:left w:val="nil"/>
              <w:bottom w:val="single" w:sz="4" w:space="0" w:color="auto"/>
              <w:right w:val="single" w:sz="8" w:space="0" w:color="auto"/>
            </w:tcBorders>
            <w:shd w:val="clear" w:color="auto" w:fill="auto"/>
            <w:noWrap/>
            <w:vAlign w:val="center"/>
            <w:hideMark/>
          </w:tcPr>
          <w:p w14:paraId="16B181D5"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12.220</w:t>
            </w:r>
          </w:p>
        </w:tc>
      </w:tr>
      <w:tr w:rsidR="00BB530F" w:rsidRPr="00BB530F" w14:paraId="0E796F5E" w14:textId="77777777" w:rsidTr="00BB530F">
        <w:trPr>
          <w:trHeight w:val="552"/>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376F46DA"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2</w:t>
            </w:r>
            <w:r w:rsidR="002E2230">
              <w:rPr>
                <w:rFonts w:ascii="Arial Narrow" w:eastAsia="Times New Roman" w:hAnsi="Arial Narrow" w:cs="Calibri"/>
                <w:color w:val="000000"/>
                <w:sz w:val="20"/>
                <w:szCs w:val="20"/>
              </w:rPr>
              <w:t>4</w:t>
            </w:r>
          </w:p>
        </w:tc>
        <w:tc>
          <w:tcPr>
            <w:tcW w:w="1298" w:type="pct"/>
            <w:tcBorders>
              <w:top w:val="nil"/>
              <w:left w:val="nil"/>
              <w:bottom w:val="single" w:sz="4" w:space="0" w:color="auto"/>
              <w:right w:val="single" w:sz="4" w:space="0" w:color="auto"/>
            </w:tcBorders>
            <w:shd w:val="clear" w:color="auto" w:fill="auto"/>
            <w:vAlign w:val="center"/>
            <w:hideMark/>
          </w:tcPr>
          <w:p w14:paraId="42FDE134"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Total Number of Processing and Use Sites</w:t>
            </w:r>
          </w:p>
        </w:tc>
        <w:tc>
          <w:tcPr>
            <w:tcW w:w="702" w:type="pct"/>
            <w:tcBorders>
              <w:top w:val="single" w:sz="4" w:space="0" w:color="auto"/>
              <w:left w:val="nil"/>
              <w:bottom w:val="single" w:sz="4" w:space="0" w:color="auto"/>
              <w:right w:val="single" w:sz="8" w:space="0" w:color="auto"/>
            </w:tcBorders>
            <w:shd w:val="clear" w:color="auto" w:fill="auto"/>
            <w:vAlign w:val="center"/>
            <w:hideMark/>
          </w:tcPr>
          <w:p w14:paraId="20B550B9"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691F6"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2.820</w:t>
            </w:r>
          </w:p>
        </w:tc>
        <w:tc>
          <w:tcPr>
            <w:tcW w:w="712" w:type="pct"/>
            <w:tcBorders>
              <w:top w:val="nil"/>
              <w:left w:val="nil"/>
              <w:bottom w:val="single" w:sz="4" w:space="0" w:color="auto"/>
              <w:right w:val="single" w:sz="4" w:space="0" w:color="auto"/>
            </w:tcBorders>
            <w:shd w:val="clear" w:color="auto" w:fill="auto"/>
            <w:noWrap/>
            <w:vAlign w:val="center"/>
            <w:hideMark/>
          </w:tcPr>
          <w:p w14:paraId="367A7285"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7.310</w:t>
            </w:r>
          </w:p>
        </w:tc>
        <w:tc>
          <w:tcPr>
            <w:tcW w:w="532" w:type="pct"/>
            <w:tcBorders>
              <w:top w:val="single" w:sz="4" w:space="0" w:color="auto"/>
              <w:left w:val="single" w:sz="4" w:space="0" w:color="auto"/>
              <w:bottom w:val="single" w:sz="4" w:space="0" w:color="auto"/>
              <w:right w:val="nil"/>
            </w:tcBorders>
            <w:shd w:val="clear" w:color="auto" w:fill="auto"/>
            <w:noWrap/>
            <w:vAlign w:val="center"/>
            <w:hideMark/>
          </w:tcPr>
          <w:p w14:paraId="12881E3A"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AFC5C9B"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10.130</w:t>
            </w:r>
          </w:p>
        </w:tc>
      </w:tr>
      <w:tr w:rsidR="00BB530F" w:rsidRPr="00BB530F" w14:paraId="6281599B" w14:textId="77777777" w:rsidTr="00BB530F">
        <w:trPr>
          <w:trHeight w:val="555"/>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63B22072"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2</w:t>
            </w:r>
            <w:r w:rsidR="002E2230">
              <w:rPr>
                <w:rFonts w:ascii="Arial Narrow" w:eastAsia="Times New Roman" w:hAnsi="Arial Narrow" w:cs="Calibri"/>
                <w:color w:val="000000"/>
                <w:sz w:val="20"/>
                <w:szCs w:val="20"/>
              </w:rPr>
              <w:t>5</w:t>
            </w:r>
          </w:p>
        </w:tc>
        <w:tc>
          <w:tcPr>
            <w:tcW w:w="1298" w:type="pct"/>
            <w:tcBorders>
              <w:top w:val="nil"/>
              <w:left w:val="nil"/>
              <w:bottom w:val="single" w:sz="4" w:space="0" w:color="auto"/>
              <w:right w:val="single" w:sz="4" w:space="0" w:color="auto"/>
            </w:tcBorders>
            <w:shd w:val="clear" w:color="auto" w:fill="auto"/>
            <w:vAlign w:val="center"/>
            <w:hideMark/>
          </w:tcPr>
          <w:p w14:paraId="43939134"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Total Number of Potentially Exposed Workers</w:t>
            </w:r>
          </w:p>
        </w:tc>
        <w:tc>
          <w:tcPr>
            <w:tcW w:w="702" w:type="pct"/>
            <w:tcBorders>
              <w:top w:val="nil"/>
              <w:left w:val="nil"/>
              <w:bottom w:val="single" w:sz="4" w:space="0" w:color="auto"/>
              <w:right w:val="single" w:sz="8" w:space="0" w:color="auto"/>
            </w:tcBorders>
            <w:shd w:val="clear" w:color="auto" w:fill="auto"/>
            <w:vAlign w:val="center"/>
            <w:hideMark/>
          </w:tcPr>
          <w:p w14:paraId="0F363EED"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2F18C511"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3.060</w:t>
            </w:r>
          </w:p>
        </w:tc>
        <w:tc>
          <w:tcPr>
            <w:tcW w:w="712" w:type="pct"/>
            <w:tcBorders>
              <w:top w:val="nil"/>
              <w:left w:val="nil"/>
              <w:bottom w:val="single" w:sz="4" w:space="0" w:color="auto"/>
              <w:right w:val="single" w:sz="4" w:space="0" w:color="auto"/>
            </w:tcBorders>
            <w:shd w:val="clear" w:color="auto" w:fill="auto"/>
            <w:noWrap/>
            <w:vAlign w:val="center"/>
            <w:hideMark/>
          </w:tcPr>
          <w:p w14:paraId="644CF524"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12.340</w:t>
            </w:r>
          </w:p>
        </w:tc>
        <w:tc>
          <w:tcPr>
            <w:tcW w:w="532" w:type="pct"/>
            <w:tcBorders>
              <w:top w:val="nil"/>
              <w:left w:val="single" w:sz="4" w:space="0" w:color="auto"/>
              <w:bottom w:val="single" w:sz="4" w:space="0" w:color="auto"/>
              <w:right w:val="nil"/>
            </w:tcBorders>
            <w:shd w:val="clear" w:color="auto" w:fill="auto"/>
            <w:noWrap/>
            <w:vAlign w:val="center"/>
            <w:hideMark/>
          </w:tcPr>
          <w:p w14:paraId="7765495B"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03BC1BC0"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15.400</w:t>
            </w:r>
          </w:p>
        </w:tc>
      </w:tr>
      <w:tr w:rsidR="00BB530F" w:rsidRPr="00BB530F" w14:paraId="0017A3C7" w14:textId="77777777" w:rsidTr="00BB530F">
        <w:trPr>
          <w:trHeight w:val="314"/>
        </w:trPr>
        <w:tc>
          <w:tcPr>
            <w:tcW w:w="337" w:type="pct"/>
            <w:tcBorders>
              <w:top w:val="nil"/>
              <w:left w:val="single" w:sz="8" w:space="0" w:color="auto"/>
              <w:bottom w:val="single" w:sz="4" w:space="0" w:color="auto"/>
              <w:right w:val="single" w:sz="8" w:space="0" w:color="auto"/>
            </w:tcBorders>
            <w:shd w:val="clear" w:color="auto" w:fill="F2F2F2"/>
            <w:noWrap/>
            <w:vAlign w:val="center"/>
            <w:hideMark/>
          </w:tcPr>
          <w:p w14:paraId="17578CBE" w14:textId="77777777" w:rsidR="00BB530F" w:rsidRPr="00BB530F" w:rsidRDefault="00BB530F" w:rsidP="00BB530F">
            <w:pPr>
              <w:jc w:val="center"/>
              <w:rPr>
                <w:rFonts w:ascii="Arial Narrow" w:eastAsia="Times New Roman" w:hAnsi="Arial Narrow" w:cs="Calibri"/>
                <w:color w:val="000000"/>
                <w:sz w:val="20"/>
                <w:szCs w:val="20"/>
              </w:rPr>
            </w:pPr>
          </w:p>
        </w:tc>
        <w:tc>
          <w:tcPr>
            <w:tcW w:w="4663" w:type="pct"/>
            <w:gridSpan w:val="6"/>
            <w:tcBorders>
              <w:top w:val="nil"/>
              <w:left w:val="nil"/>
              <w:bottom w:val="single" w:sz="4" w:space="0" w:color="auto"/>
              <w:right w:val="single" w:sz="8" w:space="0" w:color="auto"/>
            </w:tcBorders>
            <w:shd w:val="clear" w:color="auto" w:fill="F2F2F2"/>
            <w:vAlign w:val="center"/>
            <w:hideMark/>
          </w:tcPr>
          <w:p w14:paraId="14BF0B0D" w14:textId="77777777" w:rsidR="00BB530F" w:rsidRPr="00BB530F" w:rsidRDefault="00BB530F" w:rsidP="00BB530F">
            <w:pPr>
              <w:rPr>
                <w:rFonts w:ascii="Arial Narrow" w:eastAsia="Times New Roman" w:hAnsi="Arial Narrow" w:cs="Calibri"/>
                <w:i/>
                <w:color w:val="000000"/>
                <w:sz w:val="20"/>
                <w:szCs w:val="20"/>
              </w:rPr>
            </w:pPr>
            <w:r w:rsidRPr="00BB530F">
              <w:rPr>
                <w:rFonts w:ascii="Arial Narrow" w:eastAsia="Times New Roman" w:hAnsi="Arial Narrow" w:cs="Calibri"/>
                <w:i/>
                <w:color w:val="000000"/>
                <w:sz w:val="20"/>
                <w:szCs w:val="20"/>
              </w:rPr>
              <w:t>Consumer and Commercial Use Exposure-Related Data</w:t>
            </w:r>
          </w:p>
        </w:tc>
      </w:tr>
      <w:tr w:rsidR="00BB530F" w:rsidRPr="00BB530F" w14:paraId="3C770BAE" w14:textId="77777777" w:rsidTr="00BB530F">
        <w:trPr>
          <w:trHeight w:val="552"/>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25F2C9A9" w14:textId="77777777" w:rsidR="00BB530F" w:rsidRPr="00BB530F" w:rsidRDefault="002E2230" w:rsidP="00BB530F">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26</w:t>
            </w:r>
          </w:p>
        </w:tc>
        <w:tc>
          <w:tcPr>
            <w:tcW w:w="1298" w:type="pct"/>
            <w:tcBorders>
              <w:top w:val="nil"/>
              <w:left w:val="nil"/>
              <w:bottom w:val="single" w:sz="4" w:space="0" w:color="auto"/>
              <w:right w:val="single" w:sz="4" w:space="0" w:color="auto"/>
            </w:tcBorders>
            <w:shd w:val="clear" w:color="auto" w:fill="auto"/>
            <w:vAlign w:val="center"/>
            <w:hideMark/>
          </w:tcPr>
          <w:p w14:paraId="6E2F0CFE"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 xml:space="preserve">Determination of Applicability (includes </w:t>
            </w:r>
            <w:r w:rsidR="00DA3B09">
              <w:rPr>
                <w:rFonts w:ascii="Arial Narrow" w:eastAsia="Times New Roman" w:hAnsi="Arial Narrow" w:cs="Calibri"/>
                <w:color w:val="000000"/>
                <w:sz w:val="20"/>
                <w:szCs w:val="20"/>
              </w:rPr>
              <w:t>“</w:t>
            </w:r>
            <w:r w:rsidRPr="00BB530F">
              <w:rPr>
                <w:rFonts w:ascii="Arial Narrow" w:eastAsia="Times New Roman" w:hAnsi="Arial Narrow" w:cs="Calibri"/>
                <w:color w:val="000000"/>
                <w:sz w:val="20"/>
                <w:szCs w:val="20"/>
              </w:rPr>
              <w:t>Consumer or Commercial or both</w:t>
            </w:r>
            <w:r w:rsidR="00DA3B09">
              <w:rPr>
                <w:rFonts w:ascii="Arial Narrow" w:eastAsia="Times New Roman" w:hAnsi="Arial Narrow" w:cs="Calibri"/>
                <w:color w:val="000000"/>
                <w:sz w:val="20"/>
                <w:szCs w:val="20"/>
              </w:rPr>
              <w:t>”</w:t>
            </w:r>
            <w:r w:rsidRPr="00BB530F">
              <w:rPr>
                <w:rFonts w:ascii="Arial Narrow" w:eastAsia="Times New Roman" w:hAnsi="Arial Narrow" w:cs="Calibri"/>
                <w:color w:val="000000"/>
                <w:sz w:val="20"/>
                <w:szCs w:val="20"/>
              </w:rPr>
              <w:t>)</w:t>
            </w:r>
          </w:p>
        </w:tc>
        <w:tc>
          <w:tcPr>
            <w:tcW w:w="702" w:type="pct"/>
            <w:tcBorders>
              <w:top w:val="single" w:sz="4" w:space="0" w:color="auto"/>
              <w:left w:val="nil"/>
              <w:bottom w:val="single" w:sz="4" w:space="0" w:color="auto"/>
              <w:right w:val="single" w:sz="8" w:space="0" w:color="auto"/>
            </w:tcBorders>
            <w:shd w:val="clear" w:color="auto" w:fill="auto"/>
            <w:vAlign w:val="center"/>
            <w:hideMark/>
          </w:tcPr>
          <w:p w14:paraId="1E126762"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4314DEDD"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0.200</w:t>
            </w:r>
          </w:p>
        </w:tc>
        <w:tc>
          <w:tcPr>
            <w:tcW w:w="712" w:type="pct"/>
            <w:tcBorders>
              <w:top w:val="nil"/>
              <w:left w:val="nil"/>
              <w:bottom w:val="single" w:sz="4" w:space="0" w:color="auto"/>
              <w:right w:val="single" w:sz="4" w:space="0" w:color="auto"/>
            </w:tcBorders>
            <w:shd w:val="clear" w:color="auto" w:fill="auto"/>
            <w:noWrap/>
            <w:vAlign w:val="center"/>
            <w:hideMark/>
          </w:tcPr>
          <w:p w14:paraId="12B689F9"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0.750</w:t>
            </w:r>
          </w:p>
        </w:tc>
        <w:tc>
          <w:tcPr>
            <w:tcW w:w="532" w:type="pct"/>
            <w:tcBorders>
              <w:top w:val="single" w:sz="4" w:space="0" w:color="auto"/>
              <w:left w:val="single" w:sz="4" w:space="0" w:color="auto"/>
              <w:bottom w:val="single" w:sz="4" w:space="0" w:color="auto"/>
              <w:right w:val="nil"/>
            </w:tcBorders>
            <w:shd w:val="clear" w:color="auto" w:fill="auto"/>
            <w:noWrap/>
            <w:vAlign w:val="center"/>
            <w:hideMark/>
          </w:tcPr>
          <w:p w14:paraId="7FD7C615"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3D70F6A"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0.950</w:t>
            </w:r>
          </w:p>
        </w:tc>
      </w:tr>
      <w:tr w:rsidR="00BB530F" w:rsidRPr="00BB530F" w14:paraId="75285BA1" w14:textId="77777777" w:rsidTr="00BB530F">
        <w:trPr>
          <w:trHeight w:val="552"/>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3E07F890" w14:textId="77777777" w:rsidR="00BB530F" w:rsidRPr="00BB530F" w:rsidRDefault="002E2230" w:rsidP="00BB530F">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27</w:t>
            </w:r>
          </w:p>
        </w:tc>
        <w:tc>
          <w:tcPr>
            <w:tcW w:w="1298" w:type="pct"/>
            <w:tcBorders>
              <w:top w:val="nil"/>
              <w:left w:val="nil"/>
              <w:bottom w:val="single" w:sz="4" w:space="0" w:color="auto"/>
              <w:right w:val="single" w:sz="4" w:space="0" w:color="auto"/>
            </w:tcBorders>
            <w:shd w:val="clear" w:color="auto" w:fill="auto"/>
            <w:vAlign w:val="center"/>
            <w:hideMark/>
          </w:tcPr>
          <w:p w14:paraId="52D78ACC"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Identification of Production Category/Use by Children</w:t>
            </w:r>
          </w:p>
        </w:tc>
        <w:tc>
          <w:tcPr>
            <w:tcW w:w="702" w:type="pct"/>
            <w:tcBorders>
              <w:top w:val="nil"/>
              <w:left w:val="nil"/>
              <w:bottom w:val="single" w:sz="4" w:space="0" w:color="auto"/>
              <w:right w:val="single" w:sz="8" w:space="0" w:color="auto"/>
            </w:tcBorders>
            <w:shd w:val="clear" w:color="auto" w:fill="auto"/>
            <w:vAlign w:val="center"/>
            <w:hideMark/>
          </w:tcPr>
          <w:p w14:paraId="31F48FD3"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0E3E51B8"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0.200</w:t>
            </w:r>
          </w:p>
        </w:tc>
        <w:tc>
          <w:tcPr>
            <w:tcW w:w="712" w:type="pct"/>
            <w:tcBorders>
              <w:top w:val="nil"/>
              <w:left w:val="nil"/>
              <w:bottom w:val="single" w:sz="4" w:space="0" w:color="auto"/>
              <w:right w:val="single" w:sz="4" w:space="0" w:color="auto"/>
            </w:tcBorders>
            <w:shd w:val="clear" w:color="auto" w:fill="auto"/>
            <w:noWrap/>
            <w:vAlign w:val="center"/>
            <w:hideMark/>
          </w:tcPr>
          <w:p w14:paraId="07D1BEF0"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0.670</w:t>
            </w:r>
          </w:p>
        </w:tc>
        <w:tc>
          <w:tcPr>
            <w:tcW w:w="532" w:type="pct"/>
            <w:tcBorders>
              <w:top w:val="nil"/>
              <w:left w:val="single" w:sz="4" w:space="0" w:color="auto"/>
              <w:bottom w:val="single" w:sz="4" w:space="0" w:color="auto"/>
              <w:right w:val="nil"/>
            </w:tcBorders>
            <w:shd w:val="clear" w:color="auto" w:fill="auto"/>
            <w:noWrap/>
            <w:vAlign w:val="center"/>
            <w:hideMark/>
          </w:tcPr>
          <w:p w14:paraId="1496AE6B"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73ADFF4E"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0.870</w:t>
            </w:r>
          </w:p>
        </w:tc>
      </w:tr>
      <w:tr w:rsidR="00BB530F" w:rsidRPr="00BB530F" w14:paraId="71331D9B" w14:textId="77777777" w:rsidTr="00BB530F">
        <w:trPr>
          <w:trHeight w:val="288"/>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285018EA" w14:textId="77777777" w:rsidR="00BB530F" w:rsidRPr="00BB530F" w:rsidRDefault="002E2230" w:rsidP="00BB530F">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28</w:t>
            </w:r>
          </w:p>
        </w:tc>
        <w:tc>
          <w:tcPr>
            <w:tcW w:w="1298" w:type="pct"/>
            <w:tcBorders>
              <w:top w:val="nil"/>
              <w:left w:val="nil"/>
              <w:bottom w:val="single" w:sz="4" w:space="0" w:color="auto"/>
              <w:right w:val="single" w:sz="4" w:space="0" w:color="auto"/>
            </w:tcBorders>
            <w:shd w:val="clear" w:color="auto" w:fill="auto"/>
            <w:vAlign w:val="center"/>
            <w:hideMark/>
          </w:tcPr>
          <w:p w14:paraId="23D8925D"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Percent of Production Volume</w:t>
            </w:r>
          </w:p>
        </w:tc>
        <w:tc>
          <w:tcPr>
            <w:tcW w:w="702" w:type="pct"/>
            <w:tcBorders>
              <w:top w:val="nil"/>
              <w:left w:val="nil"/>
              <w:bottom w:val="single" w:sz="4" w:space="0" w:color="auto"/>
              <w:right w:val="single" w:sz="8" w:space="0" w:color="auto"/>
            </w:tcBorders>
            <w:shd w:val="clear" w:color="auto" w:fill="auto"/>
            <w:vAlign w:val="center"/>
            <w:hideMark/>
          </w:tcPr>
          <w:p w14:paraId="4673CCF5"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638A9E4E"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0.360</w:t>
            </w:r>
          </w:p>
        </w:tc>
        <w:tc>
          <w:tcPr>
            <w:tcW w:w="712" w:type="pct"/>
            <w:tcBorders>
              <w:top w:val="nil"/>
              <w:left w:val="nil"/>
              <w:bottom w:val="single" w:sz="4" w:space="0" w:color="auto"/>
              <w:right w:val="single" w:sz="4" w:space="0" w:color="auto"/>
            </w:tcBorders>
            <w:shd w:val="clear" w:color="auto" w:fill="auto"/>
            <w:noWrap/>
            <w:vAlign w:val="center"/>
            <w:hideMark/>
          </w:tcPr>
          <w:p w14:paraId="57E8053B"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1.010</w:t>
            </w:r>
          </w:p>
        </w:tc>
        <w:tc>
          <w:tcPr>
            <w:tcW w:w="532" w:type="pct"/>
            <w:tcBorders>
              <w:top w:val="nil"/>
              <w:left w:val="single" w:sz="4" w:space="0" w:color="auto"/>
              <w:bottom w:val="single" w:sz="4" w:space="0" w:color="auto"/>
              <w:right w:val="nil"/>
            </w:tcBorders>
            <w:shd w:val="clear" w:color="auto" w:fill="auto"/>
            <w:noWrap/>
            <w:vAlign w:val="center"/>
            <w:hideMark/>
          </w:tcPr>
          <w:p w14:paraId="7B1D7BAD"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351E947C"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1.370</w:t>
            </w:r>
          </w:p>
        </w:tc>
      </w:tr>
      <w:tr w:rsidR="00BB530F" w:rsidRPr="00BB530F" w14:paraId="727F2F1D" w14:textId="77777777" w:rsidTr="00BB530F">
        <w:trPr>
          <w:trHeight w:val="288"/>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5103A4DD" w14:textId="77777777" w:rsidR="00BB530F" w:rsidRPr="00BB530F" w:rsidRDefault="002E2230" w:rsidP="00BB530F">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29</w:t>
            </w:r>
          </w:p>
        </w:tc>
        <w:tc>
          <w:tcPr>
            <w:tcW w:w="1298" w:type="pct"/>
            <w:tcBorders>
              <w:top w:val="nil"/>
              <w:left w:val="nil"/>
              <w:bottom w:val="single" w:sz="4" w:space="0" w:color="auto"/>
              <w:right w:val="single" w:sz="4" w:space="0" w:color="auto"/>
            </w:tcBorders>
            <w:shd w:val="clear" w:color="auto" w:fill="auto"/>
            <w:vAlign w:val="center"/>
            <w:hideMark/>
          </w:tcPr>
          <w:p w14:paraId="13D89F4F"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Maximum Concentration by Category</w:t>
            </w:r>
          </w:p>
        </w:tc>
        <w:tc>
          <w:tcPr>
            <w:tcW w:w="702" w:type="pct"/>
            <w:tcBorders>
              <w:top w:val="nil"/>
              <w:left w:val="nil"/>
              <w:bottom w:val="single" w:sz="4" w:space="0" w:color="auto"/>
              <w:right w:val="single" w:sz="8" w:space="0" w:color="auto"/>
            </w:tcBorders>
            <w:shd w:val="clear" w:color="auto" w:fill="auto"/>
            <w:vAlign w:val="center"/>
            <w:hideMark/>
          </w:tcPr>
          <w:p w14:paraId="78645830"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3C981602"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0.280</w:t>
            </w:r>
          </w:p>
        </w:tc>
        <w:tc>
          <w:tcPr>
            <w:tcW w:w="712" w:type="pct"/>
            <w:tcBorders>
              <w:top w:val="nil"/>
              <w:left w:val="nil"/>
              <w:bottom w:val="single" w:sz="4" w:space="0" w:color="auto"/>
              <w:right w:val="single" w:sz="4" w:space="0" w:color="auto"/>
            </w:tcBorders>
            <w:shd w:val="clear" w:color="auto" w:fill="auto"/>
            <w:noWrap/>
            <w:vAlign w:val="center"/>
            <w:hideMark/>
          </w:tcPr>
          <w:p w14:paraId="31912C36"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1.090</w:t>
            </w:r>
          </w:p>
        </w:tc>
        <w:tc>
          <w:tcPr>
            <w:tcW w:w="532" w:type="pct"/>
            <w:tcBorders>
              <w:top w:val="nil"/>
              <w:left w:val="single" w:sz="4" w:space="0" w:color="auto"/>
              <w:bottom w:val="single" w:sz="4" w:space="0" w:color="auto"/>
              <w:right w:val="nil"/>
            </w:tcBorders>
            <w:shd w:val="clear" w:color="auto" w:fill="auto"/>
            <w:noWrap/>
            <w:vAlign w:val="center"/>
            <w:hideMark/>
          </w:tcPr>
          <w:p w14:paraId="2959D328"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76068091"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1.370</w:t>
            </w:r>
          </w:p>
        </w:tc>
      </w:tr>
      <w:tr w:rsidR="00BB530F" w:rsidRPr="00BB530F" w14:paraId="2130CFAC" w14:textId="77777777" w:rsidTr="00BB530F">
        <w:trPr>
          <w:trHeight w:val="552"/>
        </w:trPr>
        <w:tc>
          <w:tcPr>
            <w:tcW w:w="337" w:type="pct"/>
            <w:tcBorders>
              <w:top w:val="nil"/>
              <w:left w:val="single" w:sz="8" w:space="0" w:color="auto"/>
              <w:bottom w:val="single" w:sz="4" w:space="0" w:color="auto"/>
              <w:right w:val="single" w:sz="8" w:space="0" w:color="auto"/>
            </w:tcBorders>
            <w:shd w:val="clear" w:color="auto" w:fill="auto"/>
            <w:noWrap/>
            <w:vAlign w:val="center"/>
            <w:hideMark/>
          </w:tcPr>
          <w:p w14:paraId="143F4FDE"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3</w:t>
            </w:r>
            <w:r w:rsidR="002E2230">
              <w:rPr>
                <w:rFonts w:ascii="Arial Narrow" w:eastAsia="Times New Roman" w:hAnsi="Arial Narrow" w:cs="Calibri"/>
                <w:color w:val="000000"/>
                <w:sz w:val="20"/>
                <w:szCs w:val="20"/>
              </w:rPr>
              <w:t>0</w:t>
            </w:r>
          </w:p>
        </w:tc>
        <w:tc>
          <w:tcPr>
            <w:tcW w:w="1298" w:type="pct"/>
            <w:tcBorders>
              <w:top w:val="nil"/>
              <w:left w:val="nil"/>
              <w:bottom w:val="nil"/>
              <w:right w:val="single" w:sz="4" w:space="0" w:color="auto"/>
            </w:tcBorders>
            <w:shd w:val="clear" w:color="auto" w:fill="auto"/>
            <w:vAlign w:val="center"/>
            <w:hideMark/>
          </w:tcPr>
          <w:p w14:paraId="5BE7B384" w14:textId="77777777" w:rsidR="00BB530F" w:rsidRPr="00BB530F" w:rsidRDefault="00BB530F" w:rsidP="00BB530F">
            <w:pP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Number of Commercial Workers Reasonably Likely to be exposed</w:t>
            </w:r>
          </w:p>
        </w:tc>
        <w:tc>
          <w:tcPr>
            <w:tcW w:w="702" w:type="pct"/>
            <w:tcBorders>
              <w:top w:val="nil"/>
              <w:left w:val="nil"/>
              <w:bottom w:val="nil"/>
              <w:right w:val="single" w:sz="8" w:space="0" w:color="auto"/>
            </w:tcBorders>
            <w:shd w:val="clear" w:color="auto" w:fill="auto"/>
            <w:vAlign w:val="center"/>
            <w:hideMark/>
          </w:tcPr>
          <w:p w14:paraId="62DEADCF"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4" w:space="0" w:color="auto"/>
              <w:right w:val="single" w:sz="4" w:space="0" w:color="auto"/>
            </w:tcBorders>
            <w:shd w:val="clear" w:color="auto" w:fill="auto"/>
            <w:noWrap/>
            <w:vAlign w:val="center"/>
            <w:hideMark/>
          </w:tcPr>
          <w:p w14:paraId="13BEDCC2"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3.060</w:t>
            </w:r>
          </w:p>
        </w:tc>
        <w:tc>
          <w:tcPr>
            <w:tcW w:w="712" w:type="pct"/>
            <w:tcBorders>
              <w:top w:val="nil"/>
              <w:left w:val="nil"/>
              <w:bottom w:val="single" w:sz="4" w:space="0" w:color="auto"/>
              <w:right w:val="single" w:sz="4" w:space="0" w:color="auto"/>
            </w:tcBorders>
            <w:shd w:val="clear" w:color="auto" w:fill="auto"/>
            <w:noWrap/>
            <w:vAlign w:val="center"/>
            <w:hideMark/>
          </w:tcPr>
          <w:p w14:paraId="1C27A9F0"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12.340</w:t>
            </w:r>
          </w:p>
        </w:tc>
        <w:tc>
          <w:tcPr>
            <w:tcW w:w="532" w:type="pct"/>
            <w:tcBorders>
              <w:top w:val="nil"/>
              <w:left w:val="single" w:sz="4" w:space="0" w:color="auto"/>
              <w:bottom w:val="single" w:sz="4" w:space="0" w:color="auto"/>
              <w:right w:val="nil"/>
            </w:tcBorders>
            <w:shd w:val="clear" w:color="auto" w:fill="auto"/>
            <w:noWrap/>
            <w:vAlign w:val="center"/>
            <w:hideMark/>
          </w:tcPr>
          <w:p w14:paraId="38AF1D27"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single" w:sz="8" w:space="0" w:color="auto"/>
              <w:bottom w:val="single" w:sz="4" w:space="0" w:color="auto"/>
              <w:right w:val="single" w:sz="8" w:space="0" w:color="auto"/>
            </w:tcBorders>
            <w:shd w:val="clear" w:color="auto" w:fill="auto"/>
            <w:noWrap/>
            <w:vAlign w:val="center"/>
            <w:hideMark/>
          </w:tcPr>
          <w:p w14:paraId="30FE2727"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15.400</w:t>
            </w:r>
          </w:p>
        </w:tc>
      </w:tr>
      <w:tr w:rsidR="00BB530F" w:rsidRPr="00BB530F" w14:paraId="2B59AAD2" w14:textId="77777777" w:rsidTr="00117A17">
        <w:trPr>
          <w:trHeight w:val="300"/>
        </w:trPr>
        <w:tc>
          <w:tcPr>
            <w:tcW w:w="337" w:type="pct"/>
            <w:tcBorders>
              <w:top w:val="nil"/>
              <w:left w:val="single" w:sz="8" w:space="0" w:color="auto"/>
              <w:bottom w:val="single" w:sz="8" w:space="0" w:color="auto"/>
              <w:right w:val="single" w:sz="8" w:space="0" w:color="auto"/>
            </w:tcBorders>
            <w:shd w:val="clear" w:color="auto" w:fill="auto"/>
            <w:noWrap/>
            <w:vAlign w:val="center"/>
            <w:hideMark/>
          </w:tcPr>
          <w:p w14:paraId="689BBE6B"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3</w:t>
            </w:r>
            <w:r w:rsidR="002E2230">
              <w:rPr>
                <w:rFonts w:ascii="Arial Narrow" w:eastAsia="Times New Roman" w:hAnsi="Arial Narrow" w:cs="Calibri"/>
                <w:color w:val="000000"/>
                <w:sz w:val="20"/>
                <w:szCs w:val="20"/>
              </w:rPr>
              <w:t>1</w:t>
            </w:r>
          </w:p>
        </w:tc>
        <w:tc>
          <w:tcPr>
            <w:tcW w:w="1298" w:type="pct"/>
            <w:tcBorders>
              <w:top w:val="single" w:sz="4" w:space="0" w:color="auto"/>
              <w:left w:val="nil"/>
              <w:bottom w:val="single" w:sz="8" w:space="0" w:color="auto"/>
              <w:right w:val="single" w:sz="4" w:space="0" w:color="auto"/>
            </w:tcBorders>
            <w:shd w:val="clear" w:color="000000" w:fill="FFFFFF"/>
            <w:vAlign w:val="center"/>
            <w:hideMark/>
          </w:tcPr>
          <w:p w14:paraId="39E4ECE8" w14:textId="77777777" w:rsidR="00BB530F" w:rsidRPr="00044368" w:rsidRDefault="00BB530F" w:rsidP="00BB530F">
            <w:pPr>
              <w:rPr>
                <w:rFonts w:ascii="Arial Narrow" w:eastAsia="Times New Roman" w:hAnsi="Arial Narrow" w:cs="Calibri"/>
                <w:color w:val="000000"/>
                <w:sz w:val="20"/>
                <w:szCs w:val="20"/>
                <w:lang w:val="fr-FR"/>
              </w:rPr>
            </w:pPr>
            <w:r w:rsidRPr="00044368">
              <w:rPr>
                <w:rFonts w:ascii="Arial Narrow" w:eastAsia="Times New Roman" w:hAnsi="Arial Narrow" w:cs="Calibri"/>
                <w:color w:val="000000"/>
                <w:sz w:val="20"/>
                <w:szCs w:val="20"/>
                <w:lang w:val="fr-FR"/>
              </w:rPr>
              <w:t>Non-Chem ID CBI Substantiation (Part III)</w:t>
            </w:r>
            <w:r w:rsidR="002E2230" w:rsidRPr="00044368">
              <w:rPr>
                <w:rFonts w:ascii="Arial Narrow" w:eastAsia="Times New Roman" w:hAnsi="Arial Narrow" w:cs="Calibri"/>
                <w:color w:val="000000"/>
                <w:sz w:val="20"/>
                <w:szCs w:val="20"/>
                <w:vertAlign w:val="superscript"/>
                <w:lang w:val="fr-FR"/>
              </w:rPr>
              <w:t>3</w:t>
            </w:r>
          </w:p>
        </w:tc>
        <w:tc>
          <w:tcPr>
            <w:tcW w:w="702" w:type="pct"/>
            <w:tcBorders>
              <w:top w:val="single" w:sz="4" w:space="0" w:color="auto"/>
              <w:left w:val="nil"/>
              <w:bottom w:val="single" w:sz="8" w:space="0" w:color="auto"/>
              <w:right w:val="single" w:sz="8" w:space="0" w:color="auto"/>
            </w:tcBorders>
            <w:shd w:val="clear" w:color="000000" w:fill="FFFFFF"/>
            <w:vAlign w:val="center"/>
            <w:hideMark/>
          </w:tcPr>
          <w:p w14:paraId="1E61588D" w14:textId="77777777" w:rsidR="00BB530F" w:rsidRPr="00BB530F" w:rsidRDefault="00BB530F" w:rsidP="00BB530F">
            <w:pPr>
              <w:jc w:val="center"/>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Per chemical</w:t>
            </w:r>
          </w:p>
        </w:tc>
        <w:tc>
          <w:tcPr>
            <w:tcW w:w="709" w:type="pct"/>
            <w:tcBorders>
              <w:top w:val="nil"/>
              <w:left w:val="single" w:sz="4" w:space="0" w:color="auto"/>
              <w:bottom w:val="single" w:sz="8" w:space="0" w:color="auto"/>
              <w:right w:val="single" w:sz="4" w:space="0" w:color="auto"/>
            </w:tcBorders>
            <w:shd w:val="clear" w:color="000000" w:fill="FFFFFF"/>
            <w:noWrap/>
            <w:vAlign w:val="center"/>
            <w:hideMark/>
          </w:tcPr>
          <w:p w14:paraId="178ECBA7"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0.320</w:t>
            </w:r>
          </w:p>
        </w:tc>
        <w:tc>
          <w:tcPr>
            <w:tcW w:w="712" w:type="pct"/>
            <w:tcBorders>
              <w:top w:val="nil"/>
              <w:left w:val="nil"/>
              <w:bottom w:val="single" w:sz="8" w:space="0" w:color="auto"/>
              <w:right w:val="single" w:sz="4" w:space="0" w:color="auto"/>
            </w:tcBorders>
            <w:shd w:val="clear" w:color="000000" w:fill="FFFFFF"/>
            <w:noWrap/>
            <w:vAlign w:val="center"/>
            <w:hideMark/>
          </w:tcPr>
          <w:p w14:paraId="5C278282" w14:textId="77777777" w:rsidR="00BB530F" w:rsidRPr="00BB530F" w:rsidRDefault="00B015A8" w:rsidP="00BB530F">
            <w:pPr>
              <w:ind w:right="101"/>
              <w:jc w:val="right"/>
              <w:rPr>
                <w:rFonts w:ascii="Arial Narrow" w:eastAsia="Times New Roman" w:hAnsi="Arial Narrow" w:cs="Calibri"/>
                <w:color w:val="000000"/>
                <w:sz w:val="20"/>
                <w:szCs w:val="20"/>
              </w:rPr>
            </w:pPr>
            <w:r>
              <w:rPr>
                <w:rFonts w:ascii="Arial Narrow" w:eastAsia="Times New Roman" w:hAnsi="Arial Narrow" w:cs="Calibri"/>
                <w:color w:val="000000"/>
                <w:sz w:val="20"/>
                <w:szCs w:val="20"/>
              </w:rPr>
              <w:t>0</w:t>
            </w:r>
            <w:r w:rsidR="00BB530F" w:rsidRPr="00BB530F">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8</w:t>
            </w:r>
            <w:r w:rsidR="00BB530F" w:rsidRPr="00BB530F">
              <w:rPr>
                <w:rFonts w:ascii="Arial Narrow" w:eastAsia="Times New Roman" w:hAnsi="Arial Narrow" w:cs="Calibri"/>
                <w:color w:val="000000"/>
                <w:sz w:val="20"/>
                <w:szCs w:val="20"/>
              </w:rPr>
              <w:t>30</w:t>
            </w:r>
          </w:p>
        </w:tc>
        <w:tc>
          <w:tcPr>
            <w:tcW w:w="532" w:type="pct"/>
            <w:tcBorders>
              <w:top w:val="nil"/>
              <w:left w:val="nil"/>
              <w:bottom w:val="single" w:sz="8" w:space="0" w:color="auto"/>
              <w:right w:val="single" w:sz="8" w:space="0" w:color="auto"/>
            </w:tcBorders>
            <w:shd w:val="clear" w:color="000000" w:fill="FFFFFF"/>
            <w:noWrap/>
            <w:vAlign w:val="center"/>
            <w:hideMark/>
          </w:tcPr>
          <w:p w14:paraId="72C6A1F2"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0.000</w:t>
            </w:r>
          </w:p>
        </w:tc>
        <w:tc>
          <w:tcPr>
            <w:tcW w:w="710" w:type="pct"/>
            <w:tcBorders>
              <w:top w:val="nil"/>
              <w:left w:val="nil"/>
              <w:bottom w:val="single" w:sz="8" w:space="0" w:color="auto"/>
              <w:right w:val="single" w:sz="8" w:space="0" w:color="auto"/>
            </w:tcBorders>
            <w:shd w:val="clear" w:color="000000" w:fill="FFFFFF"/>
            <w:noWrap/>
            <w:vAlign w:val="center"/>
            <w:hideMark/>
          </w:tcPr>
          <w:p w14:paraId="493FB042" w14:textId="77777777" w:rsidR="00BB530F" w:rsidRPr="00BB530F" w:rsidRDefault="00BB530F" w:rsidP="00BB530F">
            <w:pPr>
              <w:ind w:right="101"/>
              <w:jc w:val="right"/>
              <w:rPr>
                <w:rFonts w:ascii="Arial Narrow" w:eastAsia="Times New Roman" w:hAnsi="Arial Narrow" w:cs="Calibri"/>
                <w:color w:val="000000"/>
                <w:sz w:val="20"/>
                <w:szCs w:val="20"/>
              </w:rPr>
            </w:pPr>
            <w:r w:rsidRPr="00BB530F">
              <w:rPr>
                <w:rFonts w:ascii="Arial Narrow" w:eastAsia="Times New Roman" w:hAnsi="Arial Narrow" w:cs="Calibri"/>
                <w:color w:val="000000"/>
                <w:sz w:val="20"/>
                <w:szCs w:val="20"/>
              </w:rPr>
              <w:t>1.</w:t>
            </w:r>
            <w:r w:rsidR="00C87E34">
              <w:rPr>
                <w:rFonts w:ascii="Arial Narrow" w:eastAsia="Times New Roman" w:hAnsi="Arial Narrow" w:cs="Calibri"/>
                <w:color w:val="000000"/>
                <w:sz w:val="20"/>
                <w:szCs w:val="20"/>
              </w:rPr>
              <w:t>150</w:t>
            </w:r>
          </w:p>
        </w:tc>
      </w:tr>
    </w:tbl>
    <w:p w14:paraId="29FB01C6" w14:textId="7A26A49D" w:rsidR="00117A17" w:rsidRDefault="00117A17"/>
    <w:tbl>
      <w:tblPr>
        <w:tblW w:w="5011" w:type="pct"/>
        <w:tblInd w:w="-10" w:type="dxa"/>
        <w:tblLayout w:type="fixed"/>
        <w:tblCellMar>
          <w:left w:w="115" w:type="dxa"/>
          <w:right w:w="115" w:type="dxa"/>
        </w:tblCellMar>
        <w:tblLook w:val="04A0" w:firstRow="1" w:lastRow="0" w:firstColumn="1" w:lastColumn="0" w:noHBand="0" w:noVBand="1"/>
      </w:tblPr>
      <w:tblGrid>
        <w:gridCol w:w="9611"/>
      </w:tblGrid>
      <w:tr w:rsidR="00502BC7" w:rsidRPr="00BB530F" w14:paraId="09A02FA0" w14:textId="77777777" w:rsidTr="007D2AE7">
        <w:trPr>
          <w:trHeight w:val="6190"/>
        </w:trPr>
        <w:tc>
          <w:tcPr>
            <w:tcW w:w="5000" w:type="pct"/>
            <w:tcBorders>
              <w:top w:val="single" w:sz="8" w:space="0" w:color="auto"/>
              <w:left w:val="single" w:sz="8" w:space="0" w:color="auto"/>
              <w:bottom w:val="single" w:sz="8" w:space="0" w:color="auto"/>
              <w:right w:val="single" w:sz="8" w:space="0" w:color="auto"/>
            </w:tcBorders>
            <w:shd w:val="clear" w:color="auto" w:fill="auto"/>
            <w:noWrap/>
            <w:vAlign w:val="center"/>
          </w:tcPr>
          <w:tbl>
            <w:tblPr>
              <w:tblpPr w:leftFromText="180" w:rightFromText="180" w:horzAnchor="margin" w:tblpY="-727"/>
              <w:tblOverlap w:val="never"/>
              <w:tblW w:w="5000" w:type="pct"/>
              <w:tblLayout w:type="fixed"/>
              <w:tblCellMar>
                <w:left w:w="115" w:type="dxa"/>
                <w:right w:w="115" w:type="dxa"/>
              </w:tblCellMar>
              <w:tblLook w:val="04A0" w:firstRow="1" w:lastRow="0" w:firstColumn="1" w:lastColumn="0" w:noHBand="0" w:noVBand="1"/>
            </w:tblPr>
            <w:tblGrid>
              <w:gridCol w:w="9381"/>
            </w:tblGrid>
            <w:tr w:rsidR="00D758BB" w:rsidRPr="00BB530F" w14:paraId="4A0F6092" w14:textId="77777777" w:rsidTr="00515FDE">
              <w:trPr>
                <w:trHeight w:val="300"/>
              </w:trPr>
              <w:tc>
                <w:tcPr>
                  <w:tcW w:w="5000" w:type="pct"/>
                  <w:shd w:val="clear" w:color="auto" w:fill="auto"/>
                  <w:noWrap/>
                  <w:vAlign w:val="center"/>
                </w:tcPr>
                <w:p w14:paraId="1D7FC759" w14:textId="77777777" w:rsidR="00D758BB" w:rsidRPr="00242093" w:rsidRDefault="00D758BB" w:rsidP="00D758BB">
                  <w:pPr>
                    <w:ind w:right="101"/>
                    <w:rPr>
                      <w:rFonts w:ascii="Arial Narrow" w:eastAsia="Times New Roman" w:hAnsi="Arial Narrow" w:cs="Calibri"/>
                      <w:bCs/>
                      <w:color w:val="000000"/>
                      <w:sz w:val="18"/>
                      <w:szCs w:val="18"/>
                    </w:rPr>
                  </w:pPr>
                  <w:r w:rsidRPr="00242093">
                    <w:rPr>
                      <w:rFonts w:ascii="Arial Narrow" w:eastAsia="Times New Roman" w:hAnsi="Arial Narrow" w:cs="Calibri"/>
                      <w:bCs/>
                      <w:color w:val="000000"/>
                      <w:sz w:val="18"/>
                      <w:szCs w:val="18"/>
                    </w:rPr>
                    <w:t>General Notes</w:t>
                  </w:r>
                </w:p>
              </w:tc>
            </w:tr>
            <w:tr w:rsidR="00A742F1" w:rsidRPr="00BB530F" w14:paraId="401AE73C" w14:textId="77777777" w:rsidTr="00515FDE">
              <w:trPr>
                <w:trHeight w:val="300"/>
              </w:trPr>
              <w:tc>
                <w:tcPr>
                  <w:tcW w:w="5000" w:type="pct"/>
                  <w:shd w:val="clear" w:color="auto" w:fill="auto"/>
                  <w:noWrap/>
                </w:tcPr>
                <w:p w14:paraId="4AF8A691" w14:textId="77777777" w:rsidR="00A742F1" w:rsidRPr="00C0632D" w:rsidRDefault="00A742F1" w:rsidP="004D4DC1">
                  <w:pPr>
                    <w:pStyle w:val="ListParagraph"/>
                    <w:numPr>
                      <w:ilvl w:val="0"/>
                      <w:numId w:val="23"/>
                    </w:numPr>
                    <w:ind w:right="-12"/>
                    <w:rPr>
                      <w:rFonts w:ascii="Arial Narrow" w:eastAsia="Times New Roman" w:hAnsi="Arial Narrow" w:cs="Calibri"/>
                      <w:bCs/>
                      <w:color w:val="000000"/>
                      <w:sz w:val="18"/>
                      <w:szCs w:val="18"/>
                    </w:rPr>
                  </w:pPr>
                  <w:r w:rsidRPr="00C0632D">
                    <w:rPr>
                      <w:rFonts w:ascii="Arial Narrow" w:eastAsia="Times New Roman" w:hAnsi="Arial Narrow" w:cs="Calibri"/>
                      <w:bCs/>
                      <w:color w:val="000000"/>
                      <w:sz w:val="18"/>
                      <w:szCs w:val="18"/>
                    </w:rPr>
                    <w:t xml:space="preserve">Sources include: </w:t>
                  </w:r>
                  <w:r w:rsidR="00730F4B" w:rsidRPr="00C0632D">
                    <w:rPr>
                      <w:rFonts w:ascii="Arial Narrow" w:eastAsia="Times New Roman" w:hAnsi="Arial Narrow" w:cs="Calibri"/>
                      <w:bCs/>
                      <w:color w:val="000000"/>
                      <w:sz w:val="18"/>
                      <w:szCs w:val="18"/>
                    </w:rPr>
                    <w:t xml:space="preserve">US </w:t>
                  </w:r>
                  <w:r w:rsidRPr="00C0632D">
                    <w:rPr>
                      <w:rFonts w:ascii="Arial Narrow" w:eastAsia="Times New Roman" w:hAnsi="Arial Narrow" w:cs="Calibri"/>
                      <w:bCs/>
                      <w:color w:val="000000"/>
                      <w:sz w:val="18"/>
                      <w:szCs w:val="18"/>
                    </w:rPr>
                    <w:t xml:space="preserve">EPA, 2011a; </w:t>
                  </w:r>
                  <w:r w:rsidR="00730F4B" w:rsidRPr="00C0632D">
                    <w:rPr>
                      <w:rFonts w:ascii="Arial Narrow" w:eastAsia="Times New Roman" w:hAnsi="Arial Narrow" w:cs="Calibri"/>
                      <w:bCs/>
                      <w:color w:val="000000"/>
                      <w:sz w:val="18"/>
                      <w:szCs w:val="18"/>
                    </w:rPr>
                    <w:t xml:space="preserve">US </w:t>
                  </w:r>
                  <w:r w:rsidRPr="00C0632D">
                    <w:rPr>
                      <w:rFonts w:ascii="Arial Narrow" w:eastAsia="Times New Roman" w:hAnsi="Arial Narrow" w:cs="Calibri"/>
                      <w:bCs/>
                      <w:color w:val="000000"/>
                      <w:sz w:val="18"/>
                      <w:szCs w:val="18"/>
                    </w:rPr>
                    <w:t xml:space="preserve">EPA, 2015a; </w:t>
                  </w:r>
                  <w:r w:rsidR="00730F4B" w:rsidRPr="00C0632D">
                    <w:rPr>
                      <w:rFonts w:ascii="Arial Narrow" w:eastAsia="Times New Roman" w:hAnsi="Arial Narrow" w:cs="Calibri"/>
                      <w:bCs/>
                      <w:color w:val="000000"/>
                      <w:sz w:val="18"/>
                      <w:szCs w:val="18"/>
                    </w:rPr>
                    <w:t xml:space="preserve">US </w:t>
                  </w:r>
                  <w:r w:rsidRPr="00C0632D">
                    <w:rPr>
                      <w:rFonts w:ascii="Arial Narrow" w:eastAsia="Times New Roman" w:hAnsi="Arial Narrow" w:cs="Calibri"/>
                      <w:bCs/>
                      <w:color w:val="000000"/>
                      <w:sz w:val="18"/>
                      <w:szCs w:val="18"/>
                    </w:rPr>
                    <w:t>EPA, 2017</w:t>
                  </w:r>
                  <w:r w:rsidR="005C0271">
                    <w:rPr>
                      <w:rFonts w:ascii="Arial Narrow" w:eastAsia="Times New Roman" w:hAnsi="Arial Narrow" w:cs="Calibri"/>
                      <w:bCs/>
                      <w:color w:val="000000"/>
                      <w:sz w:val="18"/>
                      <w:szCs w:val="18"/>
                    </w:rPr>
                    <w:t>b</w:t>
                  </w:r>
                  <w:r w:rsidRPr="00C0632D">
                    <w:rPr>
                      <w:rFonts w:ascii="Arial Narrow" w:eastAsia="Times New Roman" w:hAnsi="Arial Narrow" w:cs="Calibri"/>
                      <w:bCs/>
                      <w:color w:val="000000"/>
                      <w:sz w:val="18"/>
                      <w:szCs w:val="18"/>
                    </w:rPr>
                    <w:t>; Abt Associates 2016;</w:t>
                  </w:r>
                  <w:r w:rsidRPr="00C0632D">
                    <w:rPr>
                      <w:rFonts w:ascii="Arial Narrow" w:hAnsi="Arial Narrow"/>
                      <w:sz w:val="18"/>
                      <w:szCs w:val="18"/>
                    </w:rPr>
                    <w:t xml:space="preserve"> and best professional judgment (BPJ)</w:t>
                  </w:r>
                </w:p>
              </w:tc>
            </w:tr>
            <w:tr w:rsidR="00A742F1" w:rsidRPr="00BB530F" w14:paraId="4A3E84F4" w14:textId="77777777" w:rsidTr="00515FDE">
              <w:trPr>
                <w:trHeight w:val="300"/>
              </w:trPr>
              <w:tc>
                <w:tcPr>
                  <w:tcW w:w="5000" w:type="pct"/>
                  <w:shd w:val="clear" w:color="auto" w:fill="auto"/>
                  <w:noWrap/>
                </w:tcPr>
                <w:p w14:paraId="6325CB7A" w14:textId="77777777" w:rsidR="007D2AE7" w:rsidRDefault="00A742F1" w:rsidP="004D4DC1">
                  <w:pPr>
                    <w:pStyle w:val="ListParagraph"/>
                    <w:numPr>
                      <w:ilvl w:val="0"/>
                      <w:numId w:val="23"/>
                    </w:numPr>
                    <w:rPr>
                      <w:rFonts w:ascii="Arial Narrow" w:eastAsia="Times New Roman" w:hAnsi="Arial Narrow" w:cs="Calibri"/>
                      <w:bCs/>
                      <w:color w:val="000000"/>
                      <w:sz w:val="18"/>
                      <w:szCs w:val="18"/>
                    </w:rPr>
                  </w:pPr>
                  <w:r w:rsidRPr="00C0632D">
                    <w:rPr>
                      <w:rFonts w:ascii="Arial Narrow" w:eastAsia="Times New Roman" w:hAnsi="Arial Narrow" w:cs="Calibri"/>
                      <w:bCs/>
                      <w:color w:val="000000"/>
                      <w:sz w:val="18"/>
                      <w:szCs w:val="18"/>
                    </w:rPr>
                    <w:t xml:space="preserve">This table contains estimates for information provided by primary submitters in the Form U Parts I, II, and III. For purposes of this analysis, burden and costs associated with joint submissions by two or more respondents completing one Form U is considered roughly equivalent and of the same burden and cost as completion of a single submission that does not involve joint reporting. For this reason, the information provided in Form U Part IV by secondary submitters in the context of joint submission(s) is not estimated.  </w:t>
                  </w:r>
                </w:p>
                <w:p w14:paraId="3BFBE9A0" w14:textId="77777777" w:rsidR="00A742F1" w:rsidRPr="00C0632D" w:rsidRDefault="007D2AE7" w:rsidP="004D4DC1">
                  <w:pPr>
                    <w:pStyle w:val="ListParagraph"/>
                    <w:numPr>
                      <w:ilvl w:val="0"/>
                      <w:numId w:val="23"/>
                    </w:numPr>
                    <w:rPr>
                      <w:rFonts w:ascii="Arial Narrow" w:eastAsia="Times New Roman" w:hAnsi="Arial Narrow" w:cs="Calibri"/>
                      <w:bCs/>
                      <w:color w:val="000000"/>
                      <w:sz w:val="18"/>
                      <w:szCs w:val="18"/>
                    </w:rPr>
                  </w:pPr>
                  <w:r w:rsidRPr="007D2AE7">
                    <w:rPr>
                      <w:rFonts w:ascii="Arial Narrow" w:eastAsia="Times New Roman" w:hAnsi="Arial Narrow" w:cs="Calibri"/>
                      <w:bCs/>
                      <w:color w:val="000000"/>
                      <w:sz w:val="18"/>
                      <w:szCs w:val="18"/>
                    </w:rPr>
                    <w:t xml:space="preserve">Updated estimates to reflect changes to CBI substantiation requirements are presented in Items </w:t>
                  </w:r>
                  <w:r w:rsidR="005B33BA">
                    <w:rPr>
                      <w:rFonts w:ascii="Arial Narrow" w:eastAsia="Times New Roman" w:hAnsi="Arial Narrow" w:cs="Calibri"/>
                      <w:bCs/>
                      <w:color w:val="000000"/>
                      <w:sz w:val="18"/>
                      <w:szCs w:val="18"/>
                    </w:rPr>
                    <w:t>9, 19, and 31</w:t>
                  </w:r>
                  <w:r w:rsidRPr="007D2AE7">
                    <w:rPr>
                      <w:rFonts w:ascii="Arial Narrow" w:eastAsia="Times New Roman" w:hAnsi="Arial Narrow" w:cs="Calibri"/>
                      <w:bCs/>
                      <w:color w:val="000000"/>
                      <w:sz w:val="18"/>
                      <w:szCs w:val="18"/>
                    </w:rPr>
                    <w:t xml:space="preserve"> with further detail in footnotes below.</w:t>
                  </w:r>
                </w:p>
              </w:tc>
            </w:tr>
            <w:tr w:rsidR="00D758BB" w:rsidRPr="00BB530F" w14:paraId="6F2DB0DD" w14:textId="77777777" w:rsidTr="00515FDE">
              <w:trPr>
                <w:trHeight w:val="300"/>
              </w:trPr>
              <w:tc>
                <w:tcPr>
                  <w:tcW w:w="5000" w:type="pct"/>
                  <w:shd w:val="clear" w:color="auto" w:fill="auto"/>
                  <w:noWrap/>
                </w:tcPr>
                <w:p w14:paraId="5B7F58B5" w14:textId="77777777" w:rsidR="00396D04" w:rsidRDefault="00396D04" w:rsidP="00D758BB">
                  <w:pPr>
                    <w:ind w:right="101"/>
                    <w:rPr>
                      <w:rFonts w:ascii="Arial Narrow" w:eastAsia="Times New Roman" w:hAnsi="Arial Narrow" w:cs="Calibri"/>
                      <w:color w:val="000000"/>
                      <w:sz w:val="18"/>
                      <w:szCs w:val="18"/>
                    </w:rPr>
                  </w:pPr>
                </w:p>
                <w:p w14:paraId="3F7B1050" w14:textId="77777777" w:rsidR="00D758BB" w:rsidRPr="00A742F1" w:rsidRDefault="003D58A1" w:rsidP="00D758BB">
                  <w:pPr>
                    <w:ind w:right="101"/>
                    <w:rPr>
                      <w:rFonts w:ascii="Arial Narrow" w:eastAsia="Times New Roman" w:hAnsi="Arial Narrow" w:cs="Calibri"/>
                      <w:bCs/>
                      <w:color w:val="000000"/>
                      <w:sz w:val="18"/>
                      <w:szCs w:val="18"/>
                    </w:rPr>
                  </w:pPr>
                  <w:r>
                    <w:rPr>
                      <w:rFonts w:ascii="Arial Narrow" w:eastAsia="Times New Roman" w:hAnsi="Arial Narrow" w:cs="Calibri"/>
                      <w:color w:val="000000"/>
                      <w:sz w:val="18"/>
                      <w:szCs w:val="18"/>
                    </w:rPr>
                    <w:t xml:space="preserve">Table </w:t>
                  </w:r>
                  <w:r w:rsidR="00D758BB" w:rsidRPr="00A742F1">
                    <w:rPr>
                      <w:rFonts w:ascii="Arial Narrow" w:eastAsia="Times New Roman" w:hAnsi="Arial Narrow" w:cs="Calibri"/>
                      <w:color w:val="000000"/>
                      <w:sz w:val="18"/>
                      <w:szCs w:val="18"/>
                    </w:rPr>
                    <w:t>Footnotes</w:t>
                  </w:r>
                </w:p>
              </w:tc>
            </w:tr>
          </w:tbl>
          <w:p w14:paraId="46E70C64" w14:textId="77777777" w:rsidR="00D758BB" w:rsidRPr="009C5CAE" w:rsidRDefault="002E2230" w:rsidP="00807758">
            <w:pPr>
              <w:pStyle w:val="Footnotetables"/>
              <w:ind w:left="0" w:firstLine="0"/>
            </w:pPr>
            <w:r>
              <w:rPr>
                <w:vertAlign w:val="superscript"/>
              </w:rPr>
              <w:t>1</w:t>
            </w:r>
            <w:r w:rsidR="00D758BB" w:rsidRPr="009C5CAE">
              <w:t xml:space="preserve"> Estimate revised to reflect requirements of </w:t>
            </w:r>
            <w:r w:rsidR="00A94810">
              <w:t xml:space="preserve">the </w:t>
            </w:r>
            <w:r w:rsidR="00D758BB" w:rsidRPr="009C5CAE">
              <w:t>Lautenberg Act. Burden is estimated using</w:t>
            </w:r>
            <w:r w:rsidR="00CC68FC">
              <w:t xml:space="preserve"> recommended</w:t>
            </w:r>
            <w:r w:rsidR="00D758BB" w:rsidRPr="009C5CAE">
              <w:t xml:space="preserve"> CBI substantiation questions </w:t>
            </w:r>
            <w:r w:rsidR="00B00AFF">
              <w:t xml:space="preserve">in the template </w:t>
            </w:r>
            <w:r w:rsidR="00D758BB" w:rsidRPr="009C5CAE">
              <w:t>posted on the EPA web site</w:t>
            </w:r>
            <w:r w:rsidR="00A94810">
              <w:t xml:space="preserve"> (</w:t>
            </w:r>
            <w:r w:rsidR="008D3B5F">
              <w:t xml:space="preserve">US </w:t>
            </w:r>
            <w:r w:rsidR="00A94810">
              <w:t>EPA 2017</w:t>
            </w:r>
            <w:r w:rsidR="006A0537">
              <w:t>a</w:t>
            </w:r>
            <w:r w:rsidR="00A94810">
              <w:t>)</w:t>
            </w:r>
            <w:r w:rsidR="00D758BB" w:rsidRPr="009C5CAE">
              <w:t xml:space="preserve">, based on </w:t>
            </w:r>
            <w:r w:rsidR="00730F4B">
              <w:t xml:space="preserve">US </w:t>
            </w:r>
            <w:r w:rsidR="00D758BB" w:rsidRPr="009C5CAE">
              <w:t>EPA (2017</w:t>
            </w:r>
            <w:r w:rsidR="005C0271">
              <w:t>b</w:t>
            </w:r>
            <w:r w:rsidR="00D758BB" w:rsidRPr="009C5CAE">
              <w:t xml:space="preserve">) and BPJ.  </w:t>
            </w:r>
          </w:p>
          <w:p w14:paraId="28D326C8" w14:textId="77777777" w:rsidR="00D758BB" w:rsidRPr="00896434" w:rsidRDefault="002E2230" w:rsidP="00807758">
            <w:pPr>
              <w:pStyle w:val="Footnotetables"/>
              <w:ind w:left="0" w:firstLine="0"/>
            </w:pPr>
            <w:r>
              <w:rPr>
                <w:vertAlign w:val="superscript"/>
              </w:rPr>
              <w:t>2</w:t>
            </w:r>
            <w:r w:rsidR="00D758BB" w:rsidRPr="009C5CAE">
              <w:t xml:space="preserve"> Estimate revised to reflect requirements of </w:t>
            </w:r>
            <w:r w:rsidR="00A94810">
              <w:t xml:space="preserve">the </w:t>
            </w:r>
            <w:r w:rsidR="00D758BB" w:rsidRPr="009C5CAE">
              <w:t>Lautenberg Act</w:t>
            </w:r>
            <w:r w:rsidR="00F968B6">
              <w:t>.</w:t>
            </w:r>
            <w:r w:rsidR="00D758BB" w:rsidRPr="009C5CAE">
              <w:t xml:space="preserve"> Burden is estimated using </w:t>
            </w:r>
            <w:r w:rsidR="00CC68FC">
              <w:t xml:space="preserve">recommended </w:t>
            </w:r>
            <w:r w:rsidR="00D758BB" w:rsidRPr="009C5CAE">
              <w:t xml:space="preserve">CBI substantiation questions </w:t>
            </w:r>
            <w:r w:rsidR="00CC68FC">
              <w:t xml:space="preserve">in the template </w:t>
            </w:r>
            <w:r w:rsidR="00D758BB" w:rsidRPr="009C5CAE">
              <w:t>posted on the EPA web site</w:t>
            </w:r>
            <w:r w:rsidR="00A94810">
              <w:t xml:space="preserve"> (</w:t>
            </w:r>
            <w:r w:rsidR="008D3B5F">
              <w:t xml:space="preserve">US </w:t>
            </w:r>
            <w:r w:rsidR="00A94810">
              <w:t>EPA 2017</w:t>
            </w:r>
            <w:r w:rsidR="006A0537">
              <w:t>a</w:t>
            </w:r>
            <w:r w:rsidR="00A94810">
              <w:t>),</w:t>
            </w:r>
            <w:r w:rsidR="00A94810" w:rsidRPr="009C5CAE">
              <w:t xml:space="preserve"> </w:t>
            </w:r>
            <w:r w:rsidR="00D758BB" w:rsidRPr="009C5CAE">
              <w:t xml:space="preserve">based on </w:t>
            </w:r>
            <w:r w:rsidR="00730F4B">
              <w:t xml:space="preserve">US </w:t>
            </w:r>
            <w:r w:rsidR="00D758BB" w:rsidRPr="009C5CAE">
              <w:t>EPA (2017</w:t>
            </w:r>
            <w:r w:rsidR="005C0271">
              <w:t>b</w:t>
            </w:r>
            <w:r w:rsidR="00D758BB" w:rsidRPr="009C5CAE">
              <w:t>) and BPJ.  CBI non-chem ID substantiation in Part II applies to: 2.B.1: CBI for Company Identification, 2.B.2: CBI for Site Identification, 2.B.3: CBI for Technical Contact Information.</w:t>
            </w:r>
          </w:p>
          <w:p w14:paraId="478380F3" w14:textId="77777777" w:rsidR="00D758BB" w:rsidRPr="00896434" w:rsidRDefault="002E2230" w:rsidP="00807758">
            <w:pPr>
              <w:pStyle w:val="Footnotetables"/>
              <w:ind w:left="0" w:firstLine="0"/>
            </w:pPr>
            <w:r>
              <w:rPr>
                <w:vertAlign w:val="superscript"/>
              </w:rPr>
              <w:t>3</w:t>
            </w:r>
            <w:r w:rsidRPr="005B0A17">
              <w:t xml:space="preserve"> </w:t>
            </w:r>
            <w:r w:rsidR="00D758BB">
              <w:t xml:space="preserve">Estimate revised to reflect requirements of </w:t>
            </w:r>
            <w:r w:rsidR="009E038D">
              <w:t xml:space="preserve">the </w:t>
            </w:r>
            <w:r w:rsidR="00D758BB">
              <w:t xml:space="preserve">Lautenberg Act. Burden is estimated using </w:t>
            </w:r>
            <w:r w:rsidR="00CC68FC">
              <w:t xml:space="preserve">recommended </w:t>
            </w:r>
            <w:r w:rsidR="00D758BB">
              <w:t xml:space="preserve">CBI substantiation questions </w:t>
            </w:r>
            <w:r w:rsidR="00CC68FC">
              <w:t xml:space="preserve">in the template </w:t>
            </w:r>
            <w:r w:rsidR="00D758BB">
              <w:t>posted on the EPA web site</w:t>
            </w:r>
            <w:r w:rsidR="00A94810">
              <w:t xml:space="preserve"> </w:t>
            </w:r>
            <w:r w:rsidR="008D3B5F">
              <w:t xml:space="preserve">(US </w:t>
            </w:r>
            <w:r w:rsidR="00A94810">
              <w:t>EPA 2017</w:t>
            </w:r>
            <w:r w:rsidR="006A0537">
              <w:t>a</w:t>
            </w:r>
            <w:r w:rsidR="00A94810">
              <w:t>),</w:t>
            </w:r>
            <w:r w:rsidR="00D758BB">
              <w:t xml:space="preserve"> based on </w:t>
            </w:r>
            <w:r w:rsidR="00730F4B">
              <w:t xml:space="preserve">US </w:t>
            </w:r>
            <w:r w:rsidR="00D758BB">
              <w:t>EPA (2017</w:t>
            </w:r>
            <w:r w:rsidR="005C0271">
              <w:t>b</w:t>
            </w:r>
            <w:r w:rsidR="00D758BB">
              <w:t xml:space="preserve">) and BPJ. </w:t>
            </w:r>
            <w:r w:rsidR="00D758BB" w:rsidRPr="005B0A17">
              <w:t xml:space="preserve"> CBI non-chem ID substantiation </w:t>
            </w:r>
            <w:r w:rsidR="00D758BB">
              <w:t>in Part III applies to all entries in 3.A. Industrial Processing and Use and all entries in 3.B. Consumer and Commercial Use (all entries).</w:t>
            </w:r>
          </w:p>
          <w:p w14:paraId="1AF6D042" w14:textId="77777777" w:rsidR="00502BC7" w:rsidRPr="00502BC7" w:rsidRDefault="00502BC7" w:rsidP="00502BC7">
            <w:pPr>
              <w:ind w:right="101"/>
              <w:rPr>
                <w:rFonts w:ascii="Arial Narrow" w:eastAsia="Times New Roman" w:hAnsi="Arial Narrow" w:cs="Calibri"/>
                <w:b/>
                <w:bCs/>
                <w:color w:val="000000"/>
                <w:sz w:val="20"/>
                <w:szCs w:val="20"/>
              </w:rPr>
            </w:pPr>
          </w:p>
        </w:tc>
      </w:tr>
    </w:tbl>
    <w:p w14:paraId="614FB0B7" w14:textId="77777777" w:rsidR="00896434" w:rsidRDefault="00896434">
      <w:pPr>
        <w:spacing w:after="200" w:line="276" w:lineRule="auto"/>
      </w:pPr>
    </w:p>
    <w:p w14:paraId="493B4109" w14:textId="77777777" w:rsidR="00F06BA6" w:rsidRDefault="00F06BA6" w:rsidP="000F6439">
      <w:pPr>
        <w:sectPr w:rsidR="00F06BA6" w:rsidSect="00A77302">
          <w:headerReference w:type="default" r:id="rId32"/>
          <w:footerReference w:type="even" r:id="rId33"/>
          <w:footerReference w:type="default" r:id="rId34"/>
          <w:pgSz w:w="12240" w:h="15840" w:code="1"/>
          <w:pgMar w:top="1440" w:right="1440" w:bottom="1440" w:left="1440" w:header="720" w:footer="720" w:gutter="0"/>
          <w:cols w:space="720"/>
          <w:docGrid w:linePitch="360"/>
        </w:sectPr>
      </w:pPr>
    </w:p>
    <w:tbl>
      <w:tblPr>
        <w:tblW w:w="5000" w:type="pct"/>
        <w:tblLayout w:type="fixed"/>
        <w:tblCellMar>
          <w:left w:w="115" w:type="dxa"/>
          <w:right w:w="115" w:type="dxa"/>
        </w:tblCellMar>
        <w:tblLook w:val="04A0" w:firstRow="1" w:lastRow="0" w:firstColumn="1" w:lastColumn="0" w:noHBand="0" w:noVBand="1"/>
      </w:tblPr>
      <w:tblGrid>
        <w:gridCol w:w="734"/>
        <w:gridCol w:w="4185"/>
        <w:gridCol w:w="894"/>
        <w:gridCol w:w="1192"/>
        <w:gridCol w:w="1340"/>
        <w:gridCol w:w="1195"/>
        <w:gridCol w:w="1192"/>
        <w:gridCol w:w="1266"/>
        <w:gridCol w:w="1192"/>
      </w:tblGrid>
      <w:tr w:rsidR="00DF4FEA" w:rsidRPr="00C902F6" w14:paraId="46EFE39F" w14:textId="77777777" w:rsidTr="00DF4FEA">
        <w:trPr>
          <w:trHeight w:val="320"/>
          <w:tblHeader/>
        </w:trPr>
        <w:tc>
          <w:tcPr>
            <w:tcW w:w="5000" w:type="pct"/>
            <w:gridSpan w:val="9"/>
            <w:tcBorders>
              <w:top w:val="nil"/>
              <w:left w:val="nil"/>
              <w:bottom w:val="single" w:sz="8" w:space="0" w:color="auto"/>
              <w:right w:val="nil"/>
            </w:tcBorders>
          </w:tcPr>
          <w:p w14:paraId="013AC6F9" w14:textId="77777777" w:rsidR="00DF4FEA" w:rsidRPr="00C902F6" w:rsidRDefault="00DF4FEA" w:rsidP="0099116B">
            <w:pPr>
              <w:pStyle w:val="TableTitle"/>
              <w:rPr>
                <w:rFonts w:ascii="Arial Narrow" w:eastAsia="Times New Roman" w:hAnsi="Arial Narrow" w:cs="Times New Roman"/>
                <w:sz w:val="18"/>
                <w:szCs w:val="18"/>
              </w:rPr>
            </w:pPr>
            <w:r w:rsidRPr="00C902F6">
              <w:t>Table 3: Submission Burden per Four</w:t>
            </w:r>
            <w:r w:rsidR="00D05FDA">
              <w:t>-</w:t>
            </w:r>
            <w:r w:rsidRPr="00C902F6">
              <w:t>Year Reporting Cycle, Experienced Reporters</w:t>
            </w:r>
          </w:p>
        </w:tc>
      </w:tr>
      <w:tr w:rsidR="00DF4FEA" w:rsidRPr="00C902F6" w14:paraId="51E0FEAE" w14:textId="77777777" w:rsidTr="00DF4FEA">
        <w:trPr>
          <w:trHeight w:val="709"/>
          <w:tblHeader/>
        </w:trPr>
        <w:tc>
          <w:tcPr>
            <w:tcW w:w="278" w:type="pct"/>
            <w:tcBorders>
              <w:top w:val="single" w:sz="8" w:space="0" w:color="auto"/>
              <w:left w:val="single" w:sz="8" w:space="0" w:color="auto"/>
              <w:bottom w:val="single" w:sz="8" w:space="0" w:color="auto"/>
              <w:right w:val="single" w:sz="4" w:space="0" w:color="auto"/>
            </w:tcBorders>
            <w:shd w:val="clear" w:color="auto" w:fill="BFBFBF"/>
            <w:vAlign w:val="bottom"/>
          </w:tcPr>
          <w:p w14:paraId="7BFC2832" w14:textId="77777777" w:rsidR="00DF4FEA" w:rsidRPr="00C902F6" w:rsidRDefault="00DF4FEA" w:rsidP="00DF4FEA">
            <w:pPr>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Item #</w:t>
            </w:r>
          </w:p>
        </w:tc>
        <w:tc>
          <w:tcPr>
            <w:tcW w:w="1586" w:type="pct"/>
            <w:tcBorders>
              <w:top w:val="single" w:sz="8" w:space="0" w:color="auto"/>
              <w:left w:val="single" w:sz="8" w:space="0" w:color="auto"/>
              <w:bottom w:val="single" w:sz="8" w:space="0" w:color="auto"/>
              <w:right w:val="single" w:sz="4" w:space="0" w:color="auto"/>
            </w:tcBorders>
            <w:shd w:val="clear" w:color="auto" w:fill="BFBFBF"/>
            <w:noWrap/>
            <w:vAlign w:val="bottom"/>
            <w:hideMark/>
          </w:tcPr>
          <w:p w14:paraId="139EFEE0" w14:textId="77777777" w:rsidR="00DF4FEA" w:rsidRPr="00C902F6" w:rsidRDefault="00DF4FEA" w:rsidP="008D0116">
            <w:pPr>
              <w:jc w:val="center"/>
              <w:rPr>
                <w:rFonts w:ascii="Arial Narrow" w:eastAsia="Times New Roman" w:hAnsi="Arial Narrow" w:cs="Times New Roman"/>
                <w:b/>
                <w:bCs/>
                <w:color w:val="000000"/>
                <w:sz w:val="18"/>
                <w:szCs w:val="18"/>
              </w:rPr>
            </w:pPr>
            <w:r w:rsidRPr="00C902F6">
              <w:rPr>
                <w:rFonts w:ascii="Arial Narrow" w:eastAsia="Times New Roman" w:hAnsi="Arial Narrow" w:cs="Times New Roman"/>
                <w:b/>
                <w:bCs/>
                <w:color w:val="000000"/>
                <w:sz w:val="18"/>
                <w:szCs w:val="18"/>
              </w:rPr>
              <w:t>Activity</w:t>
            </w:r>
          </w:p>
        </w:tc>
        <w:tc>
          <w:tcPr>
            <w:tcW w:w="339" w:type="pct"/>
            <w:tcBorders>
              <w:top w:val="single" w:sz="8" w:space="0" w:color="auto"/>
              <w:left w:val="single" w:sz="4" w:space="0" w:color="auto"/>
              <w:bottom w:val="single" w:sz="8" w:space="0" w:color="auto"/>
              <w:right w:val="single" w:sz="4" w:space="0" w:color="auto"/>
            </w:tcBorders>
            <w:shd w:val="clear" w:color="auto" w:fill="BFBFBF"/>
            <w:vAlign w:val="bottom"/>
            <w:hideMark/>
          </w:tcPr>
          <w:p w14:paraId="55A4A2D4" w14:textId="77777777" w:rsidR="00DF4FEA" w:rsidRPr="00C902F6" w:rsidRDefault="00DF4FEA" w:rsidP="008D0116">
            <w:pPr>
              <w:jc w:val="center"/>
              <w:rPr>
                <w:rFonts w:ascii="Arial Narrow" w:eastAsia="Times New Roman" w:hAnsi="Arial Narrow" w:cs="Times New Roman"/>
                <w:b/>
                <w:bCs/>
                <w:color w:val="000000"/>
                <w:sz w:val="18"/>
                <w:szCs w:val="18"/>
              </w:rPr>
            </w:pPr>
            <w:r w:rsidRPr="00C902F6">
              <w:rPr>
                <w:rFonts w:ascii="Arial Narrow" w:eastAsia="Times New Roman" w:hAnsi="Arial Narrow" w:cs="Times New Roman"/>
                <w:b/>
                <w:bCs/>
                <w:color w:val="000000"/>
                <w:sz w:val="18"/>
                <w:szCs w:val="18"/>
              </w:rPr>
              <w:t>Unit of Analysis</w:t>
            </w:r>
          </w:p>
        </w:tc>
        <w:tc>
          <w:tcPr>
            <w:tcW w:w="452" w:type="pct"/>
            <w:tcBorders>
              <w:top w:val="single" w:sz="8" w:space="0" w:color="auto"/>
              <w:left w:val="single" w:sz="4" w:space="0" w:color="auto"/>
              <w:bottom w:val="single" w:sz="8" w:space="0" w:color="auto"/>
              <w:right w:val="single" w:sz="4" w:space="0" w:color="auto"/>
            </w:tcBorders>
            <w:shd w:val="clear" w:color="auto" w:fill="BFBFBF"/>
            <w:vAlign w:val="bottom"/>
            <w:hideMark/>
          </w:tcPr>
          <w:p w14:paraId="2807757C" w14:textId="77777777" w:rsidR="00DF4FEA" w:rsidRPr="00C902F6" w:rsidRDefault="00DF4FEA" w:rsidP="008D0116">
            <w:pPr>
              <w:jc w:val="center"/>
              <w:rPr>
                <w:rFonts w:ascii="Arial Narrow" w:eastAsia="Times New Roman" w:hAnsi="Arial Narrow" w:cs="Times New Roman"/>
                <w:b/>
                <w:bCs/>
                <w:color w:val="000000"/>
                <w:sz w:val="18"/>
                <w:szCs w:val="18"/>
              </w:rPr>
            </w:pPr>
            <w:r w:rsidRPr="00C902F6">
              <w:rPr>
                <w:rFonts w:ascii="Arial Narrow" w:eastAsia="Times New Roman" w:hAnsi="Arial Narrow" w:cs="Times New Roman"/>
                <w:b/>
                <w:bCs/>
                <w:color w:val="000000"/>
                <w:sz w:val="18"/>
                <w:szCs w:val="18"/>
              </w:rPr>
              <w:t>Managerial Burden (hours)</w:t>
            </w:r>
          </w:p>
        </w:tc>
        <w:tc>
          <w:tcPr>
            <w:tcW w:w="508" w:type="pct"/>
            <w:tcBorders>
              <w:top w:val="single" w:sz="8" w:space="0" w:color="auto"/>
              <w:left w:val="single" w:sz="4" w:space="0" w:color="auto"/>
              <w:bottom w:val="single" w:sz="8" w:space="0" w:color="auto"/>
              <w:right w:val="single" w:sz="4" w:space="0" w:color="auto"/>
            </w:tcBorders>
            <w:shd w:val="clear" w:color="auto" w:fill="BFBFBF"/>
            <w:vAlign w:val="bottom"/>
            <w:hideMark/>
          </w:tcPr>
          <w:p w14:paraId="4132E10D" w14:textId="77777777" w:rsidR="00DF4FEA" w:rsidRPr="00C902F6" w:rsidRDefault="00DF4FEA" w:rsidP="008D0116">
            <w:pPr>
              <w:jc w:val="center"/>
              <w:rPr>
                <w:rFonts w:ascii="Arial Narrow" w:eastAsia="Times New Roman" w:hAnsi="Arial Narrow" w:cs="Times New Roman"/>
                <w:b/>
                <w:bCs/>
                <w:color w:val="000000"/>
                <w:sz w:val="18"/>
                <w:szCs w:val="18"/>
              </w:rPr>
            </w:pPr>
            <w:r w:rsidRPr="00C902F6">
              <w:rPr>
                <w:rFonts w:ascii="Arial Narrow" w:eastAsia="Times New Roman" w:hAnsi="Arial Narrow" w:cs="Times New Roman"/>
                <w:b/>
                <w:bCs/>
                <w:color w:val="000000"/>
                <w:sz w:val="18"/>
                <w:szCs w:val="18"/>
              </w:rPr>
              <w:t>Technical Burden (hours)</w:t>
            </w:r>
          </w:p>
        </w:tc>
        <w:tc>
          <w:tcPr>
            <w:tcW w:w="453" w:type="pct"/>
            <w:tcBorders>
              <w:top w:val="single" w:sz="8" w:space="0" w:color="auto"/>
              <w:left w:val="single" w:sz="4" w:space="0" w:color="auto"/>
              <w:bottom w:val="single" w:sz="8" w:space="0" w:color="auto"/>
              <w:right w:val="single" w:sz="4" w:space="0" w:color="auto"/>
            </w:tcBorders>
            <w:shd w:val="clear" w:color="auto" w:fill="BFBFBF"/>
            <w:vAlign w:val="bottom"/>
            <w:hideMark/>
          </w:tcPr>
          <w:p w14:paraId="57F082BE" w14:textId="77777777" w:rsidR="00DF4FEA" w:rsidRPr="00C902F6" w:rsidRDefault="00DF4FEA" w:rsidP="008D0116">
            <w:pPr>
              <w:jc w:val="center"/>
              <w:rPr>
                <w:rFonts w:ascii="Arial Narrow" w:eastAsia="Times New Roman" w:hAnsi="Arial Narrow" w:cs="Times New Roman"/>
                <w:b/>
                <w:bCs/>
                <w:color w:val="000000"/>
                <w:sz w:val="18"/>
                <w:szCs w:val="18"/>
              </w:rPr>
            </w:pPr>
            <w:r w:rsidRPr="00C902F6">
              <w:rPr>
                <w:rFonts w:ascii="Arial Narrow" w:eastAsia="Times New Roman" w:hAnsi="Arial Narrow" w:cs="Times New Roman"/>
                <w:b/>
                <w:bCs/>
                <w:color w:val="000000"/>
                <w:sz w:val="18"/>
                <w:szCs w:val="18"/>
              </w:rPr>
              <w:t>Clerical Burden (hours)</w:t>
            </w:r>
          </w:p>
        </w:tc>
        <w:tc>
          <w:tcPr>
            <w:tcW w:w="452" w:type="pct"/>
            <w:tcBorders>
              <w:top w:val="single" w:sz="8" w:space="0" w:color="auto"/>
              <w:left w:val="single" w:sz="4" w:space="0" w:color="auto"/>
              <w:bottom w:val="single" w:sz="8" w:space="0" w:color="auto"/>
              <w:right w:val="single" w:sz="4" w:space="0" w:color="auto"/>
            </w:tcBorders>
            <w:shd w:val="clear" w:color="auto" w:fill="BFBFBF"/>
            <w:vAlign w:val="bottom"/>
            <w:hideMark/>
          </w:tcPr>
          <w:p w14:paraId="40D496C1" w14:textId="77777777" w:rsidR="00DF4FEA" w:rsidRPr="00C902F6" w:rsidRDefault="00DF4FEA" w:rsidP="008D0116">
            <w:pPr>
              <w:jc w:val="center"/>
              <w:rPr>
                <w:rFonts w:ascii="Arial Narrow" w:eastAsia="Times New Roman" w:hAnsi="Arial Narrow" w:cs="Times New Roman"/>
                <w:b/>
                <w:bCs/>
                <w:color w:val="000000"/>
                <w:sz w:val="18"/>
                <w:szCs w:val="18"/>
              </w:rPr>
            </w:pPr>
            <w:r w:rsidRPr="00C902F6">
              <w:rPr>
                <w:rFonts w:ascii="Arial Narrow" w:eastAsia="Times New Roman" w:hAnsi="Arial Narrow" w:cs="Times New Roman"/>
                <w:b/>
                <w:bCs/>
                <w:color w:val="000000"/>
                <w:sz w:val="18"/>
                <w:szCs w:val="18"/>
              </w:rPr>
              <w:t>Activity Level Unit Burden (hours)</w:t>
            </w:r>
          </w:p>
        </w:tc>
        <w:tc>
          <w:tcPr>
            <w:tcW w:w="480" w:type="pct"/>
            <w:tcBorders>
              <w:top w:val="single" w:sz="8" w:space="0" w:color="auto"/>
              <w:left w:val="single" w:sz="4" w:space="0" w:color="auto"/>
              <w:bottom w:val="single" w:sz="8" w:space="0" w:color="auto"/>
              <w:right w:val="single" w:sz="4" w:space="0" w:color="auto"/>
            </w:tcBorders>
            <w:shd w:val="clear" w:color="auto" w:fill="BFBFBF"/>
            <w:vAlign w:val="bottom"/>
            <w:hideMark/>
          </w:tcPr>
          <w:p w14:paraId="36A83AE3" w14:textId="77777777" w:rsidR="00DF4FEA" w:rsidRPr="00C902F6" w:rsidRDefault="00DF4FEA" w:rsidP="008D0116">
            <w:pPr>
              <w:jc w:val="center"/>
              <w:rPr>
                <w:rFonts w:ascii="Arial Narrow" w:eastAsia="Times New Roman" w:hAnsi="Arial Narrow" w:cs="Times New Roman"/>
                <w:b/>
                <w:bCs/>
                <w:color w:val="000000"/>
                <w:sz w:val="18"/>
                <w:szCs w:val="18"/>
              </w:rPr>
            </w:pPr>
            <w:r w:rsidRPr="00C902F6">
              <w:rPr>
                <w:rFonts w:ascii="Arial Narrow" w:eastAsia="Times New Roman" w:hAnsi="Arial Narrow" w:cs="Times New Roman"/>
                <w:b/>
                <w:bCs/>
                <w:color w:val="000000"/>
                <w:sz w:val="18"/>
                <w:szCs w:val="18"/>
              </w:rPr>
              <w:t>Proportion of Affected Chemical Reports</w:t>
            </w:r>
            <w:r w:rsidRPr="00C902F6">
              <w:rPr>
                <w:rFonts w:ascii="Arial Narrow" w:eastAsia="Times New Roman" w:hAnsi="Arial Narrow" w:cs="Times New Roman"/>
                <w:b/>
                <w:bCs/>
                <w:color w:val="000000"/>
                <w:sz w:val="18"/>
                <w:szCs w:val="18"/>
                <w:vertAlign w:val="superscript"/>
              </w:rPr>
              <w:t>1</w:t>
            </w:r>
          </w:p>
        </w:tc>
        <w:tc>
          <w:tcPr>
            <w:tcW w:w="452" w:type="pct"/>
            <w:tcBorders>
              <w:top w:val="single" w:sz="8" w:space="0" w:color="auto"/>
              <w:left w:val="single" w:sz="4" w:space="0" w:color="auto"/>
              <w:bottom w:val="single" w:sz="8" w:space="0" w:color="auto"/>
              <w:right w:val="single" w:sz="8" w:space="0" w:color="auto"/>
            </w:tcBorders>
            <w:shd w:val="clear" w:color="auto" w:fill="BFBFBF"/>
            <w:vAlign w:val="bottom"/>
            <w:hideMark/>
          </w:tcPr>
          <w:p w14:paraId="6EE7E8F5" w14:textId="77777777" w:rsidR="00DF4FEA" w:rsidRPr="00C902F6" w:rsidRDefault="00DF4FEA" w:rsidP="008D0116">
            <w:pPr>
              <w:jc w:val="center"/>
              <w:rPr>
                <w:rFonts w:ascii="Arial Narrow" w:eastAsia="Times New Roman" w:hAnsi="Arial Narrow" w:cs="Times New Roman"/>
                <w:b/>
                <w:bCs/>
                <w:color w:val="000000"/>
                <w:sz w:val="18"/>
                <w:szCs w:val="18"/>
              </w:rPr>
            </w:pPr>
            <w:r w:rsidRPr="00C902F6">
              <w:rPr>
                <w:rFonts w:ascii="Arial Narrow" w:eastAsia="Times New Roman" w:hAnsi="Arial Narrow" w:cs="Times New Roman"/>
                <w:b/>
                <w:bCs/>
                <w:color w:val="000000"/>
                <w:sz w:val="18"/>
                <w:szCs w:val="18"/>
              </w:rPr>
              <w:t>Adjusted Unit Burden</w:t>
            </w:r>
          </w:p>
        </w:tc>
      </w:tr>
      <w:tr w:rsidR="00DF4FEA" w:rsidRPr="00C902F6" w14:paraId="4A82416C" w14:textId="77777777" w:rsidTr="00E315AA">
        <w:trPr>
          <w:trHeight w:val="290"/>
        </w:trPr>
        <w:tc>
          <w:tcPr>
            <w:tcW w:w="278" w:type="pct"/>
            <w:tcBorders>
              <w:top w:val="single" w:sz="8" w:space="0" w:color="auto"/>
              <w:left w:val="single" w:sz="8" w:space="0" w:color="auto"/>
              <w:bottom w:val="single" w:sz="4" w:space="0" w:color="auto"/>
              <w:right w:val="single" w:sz="4" w:space="0" w:color="auto"/>
            </w:tcBorders>
            <w:vAlign w:val="center"/>
          </w:tcPr>
          <w:p w14:paraId="3F9746D5" w14:textId="77777777" w:rsidR="00DF4FEA" w:rsidRPr="00C902F6" w:rsidRDefault="00DF4FEA" w:rsidP="00DF4FEA">
            <w:pPr>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1</w:t>
            </w:r>
          </w:p>
        </w:tc>
        <w:tc>
          <w:tcPr>
            <w:tcW w:w="1586"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29852941" w14:textId="77777777" w:rsidR="00DF4FEA" w:rsidRPr="00C902F6" w:rsidRDefault="00DF4FEA" w:rsidP="008D0116">
            <w:pPr>
              <w:rPr>
                <w:rFonts w:ascii="Arial Narrow" w:eastAsia="Times New Roman" w:hAnsi="Arial Narrow" w:cs="Calibri"/>
                <w:b/>
                <w:bCs/>
                <w:color w:val="000000"/>
                <w:sz w:val="18"/>
                <w:szCs w:val="18"/>
              </w:rPr>
            </w:pPr>
            <w:r w:rsidRPr="00C902F6">
              <w:rPr>
                <w:rFonts w:ascii="Arial Narrow" w:eastAsia="Times New Roman" w:hAnsi="Arial Narrow" w:cs="Calibri"/>
                <w:b/>
                <w:bCs/>
                <w:color w:val="000000"/>
                <w:sz w:val="18"/>
                <w:szCs w:val="18"/>
              </w:rPr>
              <w:t>Rule Familiarization</w:t>
            </w:r>
          </w:p>
        </w:tc>
        <w:tc>
          <w:tcPr>
            <w:tcW w:w="339"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748C6E37" w14:textId="77777777" w:rsidR="00DF4FEA" w:rsidRPr="00C902F6" w:rsidRDefault="00DF4FEA" w:rsidP="0099116B">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Site</w:t>
            </w:r>
          </w:p>
        </w:tc>
        <w:tc>
          <w:tcPr>
            <w:tcW w:w="45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A6D1862"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50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64D50BA"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3"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F1EC356"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A38BD4C"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80"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DC2B43F" w14:textId="77777777" w:rsidR="00DF4FEA" w:rsidRPr="00C902F6" w:rsidRDefault="00DF4FEA" w:rsidP="002F71DB">
            <w:pPr>
              <w:ind w:firstLineChars="100" w:firstLine="180"/>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N/A</w:t>
            </w:r>
          </w:p>
        </w:tc>
        <w:tc>
          <w:tcPr>
            <w:tcW w:w="452"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7189B218"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r>
      <w:tr w:rsidR="00DF4FEA" w:rsidRPr="00C902F6" w14:paraId="77D84C4F"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0214AC12" w14:textId="77777777" w:rsidR="00DF4FEA" w:rsidRPr="00C902F6" w:rsidRDefault="00DF4FEA" w:rsidP="00DF4FEA">
            <w:pPr>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2</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E19EE3A" w14:textId="77777777" w:rsidR="00DF4FEA" w:rsidRPr="00C902F6" w:rsidRDefault="00DF4FEA" w:rsidP="008D0116">
            <w:pPr>
              <w:rPr>
                <w:rFonts w:ascii="Arial Narrow" w:eastAsia="Times New Roman" w:hAnsi="Arial Narrow" w:cs="Calibri"/>
                <w:b/>
                <w:bCs/>
                <w:color w:val="000000"/>
                <w:sz w:val="18"/>
                <w:szCs w:val="18"/>
              </w:rPr>
            </w:pPr>
            <w:r w:rsidRPr="00C902F6">
              <w:rPr>
                <w:rFonts w:ascii="Arial Narrow" w:eastAsia="Times New Roman" w:hAnsi="Arial Narrow" w:cs="Calibri"/>
                <w:b/>
                <w:bCs/>
                <w:color w:val="000000"/>
                <w:sz w:val="18"/>
                <w:szCs w:val="18"/>
              </w:rPr>
              <w:t>Compliance Determination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5100B" w14:textId="77777777" w:rsidR="00DF4FEA" w:rsidRPr="00C902F6" w:rsidRDefault="00DF4FEA" w:rsidP="0099116B">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Site</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57932"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2.000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74F1A"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4.500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26D6B"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C5498"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6.500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64A4C" w14:textId="77777777" w:rsidR="00DF4FEA" w:rsidRPr="00C902F6" w:rsidRDefault="00DF4FEA" w:rsidP="002F71DB">
            <w:pPr>
              <w:ind w:firstLineChars="100" w:firstLine="180"/>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N/A</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90D21D9"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6.500</w:t>
            </w:r>
          </w:p>
        </w:tc>
      </w:tr>
      <w:tr w:rsidR="00DF4FEA" w:rsidRPr="00C902F6" w14:paraId="79C3DEEA"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3FF461AB" w14:textId="77777777" w:rsidR="00DF4FEA" w:rsidRPr="00C902F6" w:rsidRDefault="00DF4FEA" w:rsidP="00DF4FEA">
            <w:pPr>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3</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D53B76A" w14:textId="77777777" w:rsidR="00DF4FEA" w:rsidRPr="00C902F6" w:rsidRDefault="00DF4FEA" w:rsidP="008D0116">
            <w:pPr>
              <w:rPr>
                <w:rFonts w:ascii="Arial Narrow" w:eastAsia="Times New Roman" w:hAnsi="Arial Narrow" w:cs="Calibri"/>
                <w:b/>
                <w:bCs/>
                <w:color w:val="000000"/>
                <w:sz w:val="18"/>
                <w:szCs w:val="18"/>
              </w:rPr>
            </w:pPr>
            <w:r w:rsidRPr="00C902F6">
              <w:rPr>
                <w:rFonts w:ascii="Arial Narrow" w:eastAsia="Times New Roman" w:hAnsi="Arial Narrow" w:cs="Calibri"/>
                <w:b/>
                <w:bCs/>
                <w:color w:val="000000"/>
                <w:sz w:val="18"/>
                <w:szCs w:val="18"/>
              </w:rPr>
              <w:t>Recordkeeping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B00C44" w14:textId="77777777" w:rsidR="00DF4FEA" w:rsidRPr="00C902F6" w:rsidRDefault="00DF4FEA" w:rsidP="0099116B">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Site</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34D5F"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0.750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BDF9F"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1.500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EB3BF"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0.750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29031"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3.000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24733" w14:textId="77777777" w:rsidR="00DF4FEA" w:rsidRPr="00C902F6" w:rsidRDefault="00DF4FEA" w:rsidP="002F71DB">
            <w:pPr>
              <w:ind w:firstLineChars="100" w:firstLine="180"/>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N/A</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AA22721"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3.000</w:t>
            </w:r>
          </w:p>
        </w:tc>
      </w:tr>
      <w:tr w:rsidR="00DF4FEA" w:rsidRPr="00621CBC" w14:paraId="1AB9AB32" w14:textId="77777777" w:rsidTr="00DF4FEA">
        <w:trPr>
          <w:trHeight w:val="290"/>
        </w:trPr>
        <w:tc>
          <w:tcPr>
            <w:tcW w:w="278" w:type="pct"/>
            <w:tcBorders>
              <w:top w:val="single" w:sz="8" w:space="0" w:color="auto"/>
              <w:left w:val="single" w:sz="8" w:space="0" w:color="auto"/>
              <w:bottom w:val="single" w:sz="8" w:space="0" w:color="auto"/>
              <w:right w:val="single" w:sz="8" w:space="0" w:color="auto"/>
            </w:tcBorders>
            <w:shd w:val="clear" w:color="auto" w:fill="D9D9D9"/>
            <w:vAlign w:val="center"/>
          </w:tcPr>
          <w:p w14:paraId="6A4BA1EE" w14:textId="77777777" w:rsidR="00DF4FEA" w:rsidRPr="00C902F6" w:rsidRDefault="00DF4FEA" w:rsidP="00DF4FEA">
            <w:pPr>
              <w:jc w:val="center"/>
              <w:rPr>
                <w:rFonts w:ascii="Arial Narrow" w:eastAsia="Times New Roman" w:hAnsi="Arial Narrow" w:cs="Calibri"/>
                <w:b/>
                <w:bCs/>
                <w:i/>
                <w:iCs/>
                <w:color w:val="000000"/>
                <w:sz w:val="18"/>
                <w:szCs w:val="18"/>
              </w:rPr>
            </w:pPr>
          </w:p>
        </w:tc>
        <w:tc>
          <w:tcPr>
            <w:tcW w:w="4722" w:type="pct"/>
            <w:gridSpan w:val="8"/>
            <w:tcBorders>
              <w:top w:val="single" w:sz="8" w:space="0" w:color="auto"/>
              <w:left w:val="single" w:sz="8" w:space="0" w:color="auto"/>
              <w:bottom w:val="single" w:sz="8" w:space="0" w:color="auto"/>
              <w:right w:val="single" w:sz="8" w:space="0" w:color="auto"/>
            </w:tcBorders>
            <w:shd w:val="clear" w:color="auto" w:fill="D9D9D9"/>
            <w:vAlign w:val="center"/>
            <w:hideMark/>
          </w:tcPr>
          <w:p w14:paraId="72900917" w14:textId="77777777" w:rsidR="00DF4FEA" w:rsidRPr="00044368" w:rsidRDefault="00DF4FEA" w:rsidP="0099116B">
            <w:pPr>
              <w:jc w:val="center"/>
              <w:rPr>
                <w:rFonts w:ascii="Arial Narrow" w:eastAsia="Times New Roman" w:hAnsi="Arial Narrow" w:cs="Calibri"/>
                <w:color w:val="000000"/>
                <w:sz w:val="18"/>
                <w:szCs w:val="18"/>
                <w:lang w:val="fr-FR"/>
              </w:rPr>
            </w:pPr>
            <w:r w:rsidRPr="00044368">
              <w:rPr>
                <w:rFonts w:ascii="Arial Narrow" w:eastAsia="Times New Roman" w:hAnsi="Arial Narrow" w:cs="Calibri"/>
                <w:b/>
                <w:bCs/>
                <w:i/>
                <w:iCs/>
                <w:color w:val="000000"/>
                <w:sz w:val="18"/>
                <w:szCs w:val="18"/>
                <w:lang w:val="fr-FR"/>
              </w:rPr>
              <w:t>Part I. Site Identification Information</w:t>
            </w:r>
          </w:p>
        </w:tc>
      </w:tr>
      <w:tr w:rsidR="00DF4FEA" w:rsidRPr="00C902F6" w14:paraId="5C2C2CE8" w14:textId="77777777" w:rsidTr="00E315AA">
        <w:trPr>
          <w:trHeight w:val="290"/>
        </w:trPr>
        <w:tc>
          <w:tcPr>
            <w:tcW w:w="278" w:type="pct"/>
            <w:tcBorders>
              <w:top w:val="single" w:sz="8" w:space="0" w:color="auto"/>
              <w:left w:val="single" w:sz="8" w:space="0" w:color="auto"/>
              <w:bottom w:val="single" w:sz="4" w:space="0" w:color="auto"/>
              <w:right w:val="single" w:sz="4" w:space="0" w:color="auto"/>
            </w:tcBorders>
            <w:vAlign w:val="center"/>
          </w:tcPr>
          <w:p w14:paraId="5FE9701C" w14:textId="77777777" w:rsidR="00DF4FEA" w:rsidRPr="00C902F6" w:rsidRDefault="00DF4FEA" w:rsidP="00DF4FEA">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4</w:t>
            </w:r>
          </w:p>
        </w:tc>
        <w:tc>
          <w:tcPr>
            <w:tcW w:w="1586"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197EBEF0" w14:textId="77777777" w:rsidR="00DF4FEA" w:rsidRPr="00C902F6" w:rsidRDefault="00DF4FEA" w:rsidP="002F71DB">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Certification</w:t>
            </w:r>
          </w:p>
        </w:tc>
        <w:tc>
          <w:tcPr>
            <w:tcW w:w="339"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2E6FABB8" w14:textId="77777777" w:rsidR="00DF4FEA" w:rsidRPr="00C902F6" w:rsidRDefault="00DF4FEA" w:rsidP="0099116B">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Site</w:t>
            </w:r>
          </w:p>
        </w:tc>
        <w:tc>
          <w:tcPr>
            <w:tcW w:w="45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D1B83F8"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1.010</w:t>
            </w:r>
          </w:p>
        </w:tc>
        <w:tc>
          <w:tcPr>
            <w:tcW w:w="50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3A27790"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0.850</w:t>
            </w:r>
          </w:p>
        </w:tc>
        <w:tc>
          <w:tcPr>
            <w:tcW w:w="453"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AD1D18A"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E606949"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1.860</w:t>
            </w:r>
          </w:p>
        </w:tc>
        <w:tc>
          <w:tcPr>
            <w:tcW w:w="480"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3B3DA4D" w14:textId="77777777" w:rsidR="00DF4FEA" w:rsidRPr="00C902F6" w:rsidRDefault="00DF4FEA" w:rsidP="002F71DB">
            <w:pPr>
              <w:ind w:firstLineChars="100" w:firstLine="180"/>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N/A</w:t>
            </w:r>
          </w:p>
        </w:tc>
        <w:tc>
          <w:tcPr>
            <w:tcW w:w="452"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5CAB26F"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1.860</w:t>
            </w:r>
          </w:p>
        </w:tc>
      </w:tr>
      <w:tr w:rsidR="00DF4FEA" w:rsidRPr="00C902F6" w14:paraId="09F61A9F" w14:textId="77777777" w:rsidTr="00E315AA">
        <w:trPr>
          <w:trHeight w:val="520"/>
        </w:trPr>
        <w:tc>
          <w:tcPr>
            <w:tcW w:w="278" w:type="pct"/>
            <w:tcBorders>
              <w:top w:val="single" w:sz="4" w:space="0" w:color="auto"/>
              <w:left w:val="single" w:sz="8" w:space="0" w:color="auto"/>
              <w:bottom w:val="single" w:sz="4" w:space="0" w:color="auto"/>
              <w:right w:val="single" w:sz="4" w:space="0" w:color="auto"/>
            </w:tcBorders>
            <w:vAlign w:val="center"/>
          </w:tcPr>
          <w:p w14:paraId="25C39F4B" w14:textId="77777777" w:rsidR="00DF4FEA" w:rsidRPr="00C902F6" w:rsidRDefault="00DF4FEA" w:rsidP="00DF4FEA">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5</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CC2C002" w14:textId="77777777" w:rsidR="00DF4FEA" w:rsidRPr="00C902F6" w:rsidRDefault="00DF4FEA" w:rsidP="002F71DB">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Parent Company Information (Company Name, Address, D&amp;B Number, Mailing Address)</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CFCAC" w14:textId="77777777" w:rsidR="00DF4FEA" w:rsidRPr="00C902F6" w:rsidRDefault="00DF4FEA" w:rsidP="0099116B">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Site</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61432"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0.002</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1A778"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0.006</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27040"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90FEE"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0.008</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4FEA5" w14:textId="77777777" w:rsidR="00DF4FEA" w:rsidRPr="00C902F6" w:rsidRDefault="00DF4FEA" w:rsidP="002F71DB">
            <w:pPr>
              <w:ind w:firstLineChars="100" w:firstLine="180"/>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N/A</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EE9C9F9"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0.008</w:t>
            </w:r>
          </w:p>
        </w:tc>
      </w:tr>
      <w:tr w:rsidR="00DF4FEA" w:rsidRPr="00C902F6" w14:paraId="4745DF50"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4167EBFA" w14:textId="77777777" w:rsidR="00DF4FEA" w:rsidRPr="00C902F6" w:rsidRDefault="00DF4FEA" w:rsidP="00DF4FEA">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6</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AD4A1B9" w14:textId="77777777" w:rsidR="00DF4FEA" w:rsidRPr="00C902F6" w:rsidRDefault="00DF4FEA" w:rsidP="002F71DB">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Site Identification (Site Name, D&amp;B Number, Address, Mailing Address)</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D101F" w14:textId="77777777" w:rsidR="00DF4FEA" w:rsidRPr="00C902F6" w:rsidRDefault="00DF4FEA" w:rsidP="0099116B">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Site</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04DE7"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0.004</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96C30"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0.010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83C0A"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413DE"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0.014</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AE305" w14:textId="77777777" w:rsidR="00DF4FEA" w:rsidRPr="00C902F6" w:rsidRDefault="00DF4FEA" w:rsidP="002F71DB">
            <w:pPr>
              <w:ind w:firstLineChars="100" w:firstLine="180"/>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N/A</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BB41992"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0.014</w:t>
            </w:r>
          </w:p>
        </w:tc>
      </w:tr>
      <w:tr w:rsidR="00DF4FEA" w:rsidRPr="00C902F6" w14:paraId="3D1406A8" w14:textId="77777777" w:rsidTr="00DF4FEA">
        <w:trPr>
          <w:trHeight w:val="368"/>
        </w:trPr>
        <w:tc>
          <w:tcPr>
            <w:tcW w:w="278" w:type="pct"/>
            <w:tcBorders>
              <w:top w:val="single" w:sz="8" w:space="0" w:color="auto"/>
              <w:left w:val="single" w:sz="8" w:space="0" w:color="auto"/>
              <w:bottom w:val="single" w:sz="8" w:space="0" w:color="auto"/>
              <w:right w:val="single" w:sz="8" w:space="0" w:color="auto"/>
            </w:tcBorders>
            <w:shd w:val="clear" w:color="auto" w:fill="D9D9D9"/>
            <w:vAlign w:val="center"/>
          </w:tcPr>
          <w:p w14:paraId="5E94E1D8" w14:textId="77777777" w:rsidR="00DF4FEA" w:rsidRPr="00C902F6" w:rsidRDefault="00DF4FEA" w:rsidP="00DF4FEA">
            <w:pPr>
              <w:jc w:val="center"/>
              <w:rPr>
                <w:rFonts w:ascii="Arial Narrow" w:eastAsia="Times New Roman" w:hAnsi="Arial Narrow" w:cs="Calibri"/>
                <w:b/>
                <w:bCs/>
                <w:i/>
                <w:iCs/>
                <w:color w:val="000000"/>
                <w:sz w:val="18"/>
                <w:szCs w:val="18"/>
              </w:rPr>
            </w:pPr>
          </w:p>
        </w:tc>
        <w:tc>
          <w:tcPr>
            <w:tcW w:w="4722" w:type="pct"/>
            <w:gridSpan w:val="8"/>
            <w:tcBorders>
              <w:top w:val="single" w:sz="8" w:space="0" w:color="auto"/>
              <w:left w:val="single" w:sz="8" w:space="0" w:color="auto"/>
              <w:bottom w:val="single" w:sz="8" w:space="0" w:color="auto"/>
              <w:right w:val="single" w:sz="8" w:space="0" w:color="auto"/>
            </w:tcBorders>
            <w:shd w:val="clear" w:color="auto" w:fill="D9D9D9"/>
            <w:vAlign w:val="center"/>
            <w:hideMark/>
          </w:tcPr>
          <w:p w14:paraId="10A8F6E2" w14:textId="77777777" w:rsidR="00DF4FEA" w:rsidRPr="00C902F6" w:rsidRDefault="00DF4FEA" w:rsidP="0099116B">
            <w:pPr>
              <w:jc w:val="center"/>
              <w:rPr>
                <w:rFonts w:ascii="Arial Narrow" w:eastAsia="Times New Roman" w:hAnsi="Arial Narrow" w:cs="Calibri"/>
                <w:color w:val="000000"/>
                <w:sz w:val="18"/>
                <w:szCs w:val="18"/>
              </w:rPr>
            </w:pPr>
            <w:r w:rsidRPr="00C902F6">
              <w:rPr>
                <w:rFonts w:ascii="Arial Narrow" w:eastAsia="Times New Roman" w:hAnsi="Arial Narrow" w:cs="Calibri"/>
                <w:b/>
                <w:bCs/>
                <w:i/>
                <w:iCs/>
                <w:color w:val="000000"/>
                <w:sz w:val="18"/>
                <w:szCs w:val="18"/>
              </w:rPr>
              <w:t>Part I. Site Identification Information</w:t>
            </w:r>
            <w:r>
              <w:rPr>
                <w:rFonts w:ascii="Arial Narrow" w:eastAsia="Times New Roman" w:hAnsi="Arial Narrow" w:cs="Calibri"/>
                <w:b/>
                <w:bCs/>
                <w:i/>
                <w:iCs/>
                <w:color w:val="000000"/>
                <w:sz w:val="18"/>
                <w:szCs w:val="18"/>
              </w:rPr>
              <w:t xml:space="preserve"> </w:t>
            </w:r>
            <w:r w:rsidRPr="00C902F6">
              <w:rPr>
                <w:rFonts w:ascii="Arial Narrow" w:eastAsia="Times New Roman" w:hAnsi="Arial Narrow" w:cs="Calibri"/>
                <w:b/>
                <w:bCs/>
                <w:i/>
                <w:iCs/>
                <w:color w:val="000000"/>
                <w:sz w:val="18"/>
                <w:szCs w:val="18"/>
              </w:rPr>
              <w:t>Chemical Report Level</w:t>
            </w:r>
          </w:p>
        </w:tc>
      </w:tr>
      <w:tr w:rsidR="00DF4FEA" w:rsidRPr="00C902F6" w14:paraId="54476356" w14:textId="77777777" w:rsidTr="00E315AA">
        <w:trPr>
          <w:trHeight w:val="290"/>
        </w:trPr>
        <w:tc>
          <w:tcPr>
            <w:tcW w:w="278" w:type="pct"/>
            <w:tcBorders>
              <w:top w:val="single" w:sz="8" w:space="0" w:color="auto"/>
              <w:left w:val="single" w:sz="8" w:space="0" w:color="auto"/>
              <w:bottom w:val="single" w:sz="8" w:space="0" w:color="auto"/>
              <w:right w:val="single" w:sz="4" w:space="0" w:color="auto"/>
            </w:tcBorders>
            <w:vAlign w:val="center"/>
          </w:tcPr>
          <w:p w14:paraId="44502A9B" w14:textId="77777777" w:rsidR="00DF4FEA" w:rsidRPr="00C902F6" w:rsidRDefault="002F48B9" w:rsidP="00DF4FEA">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7</w:t>
            </w:r>
          </w:p>
        </w:tc>
        <w:tc>
          <w:tcPr>
            <w:tcW w:w="1586"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527F5267" w14:textId="77777777" w:rsidR="00DF4FEA" w:rsidRPr="00C902F6" w:rsidRDefault="00DF4FEA" w:rsidP="008D0116">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Technical Contact</w:t>
            </w:r>
            <w:r w:rsidR="005252B2">
              <w:rPr>
                <w:rFonts w:ascii="Arial Narrow" w:eastAsia="Times New Roman" w:hAnsi="Arial Narrow" w:cs="Calibri"/>
                <w:color w:val="000000"/>
                <w:sz w:val="18"/>
                <w:szCs w:val="18"/>
              </w:rPr>
              <w:t xml:space="preserve"> Information </w:t>
            </w:r>
            <w:r w:rsidR="000E3BE8" w:rsidRPr="000E3BE8">
              <w:rPr>
                <w:rFonts w:ascii="Arial Narrow" w:eastAsia="Times New Roman" w:hAnsi="Arial Narrow" w:cs="Calibri"/>
                <w:color w:val="000000"/>
                <w:sz w:val="18"/>
                <w:szCs w:val="18"/>
              </w:rPr>
              <w:t>(Name, Phone, Mailing Address, Email, Country)</w:t>
            </w:r>
          </w:p>
        </w:tc>
        <w:tc>
          <w:tcPr>
            <w:tcW w:w="33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98907F1" w14:textId="77777777" w:rsidR="00DF4FEA" w:rsidRPr="00C902F6" w:rsidRDefault="00DF4FEA" w:rsidP="002F71DB">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902902E"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0.002</w:t>
            </w:r>
          </w:p>
        </w:tc>
        <w:tc>
          <w:tcPr>
            <w:tcW w:w="508"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261F048"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0.004</w:t>
            </w:r>
          </w:p>
        </w:tc>
        <w:tc>
          <w:tcPr>
            <w:tcW w:w="453"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24BBD24"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EA3F6C1"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0.006</w:t>
            </w:r>
          </w:p>
        </w:tc>
        <w:tc>
          <w:tcPr>
            <w:tcW w:w="480"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33E1A70"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1.00</w:t>
            </w:r>
            <w:r w:rsidR="00CE100A">
              <w:rPr>
                <w:rFonts w:ascii="Arial Narrow" w:eastAsia="Times New Roman" w:hAnsi="Arial Narrow" w:cs="Calibri"/>
                <w:color w:val="000000"/>
                <w:sz w:val="18"/>
                <w:szCs w:val="18"/>
              </w:rPr>
              <w:t>0</w:t>
            </w:r>
          </w:p>
        </w:tc>
        <w:tc>
          <w:tcPr>
            <w:tcW w:w="452"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08909BC" w14:textId="77777777" w:rsidR="00DF4FEA" w:rsidRPr="00C902F6" w:rsidRDefault="00DF4FEA"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0.006</w:t>
            </w:r>
          </w:p>
        </w:tc>
      </w:tr>
      <w:tr w:rsidR="00DF4FEA" w:rsidRPr="00C902F6" w14:paraId="45F4108F" w14:textId="77777777" w:rsidTr="00DF4FEA">
        <w:trPr>
          <w:trHeight w:val="377"/>
        </w:trPr>
        <w:tc>
          <w:tcPr>
            <w:tcW w:w="278" w:type="pct"/>
            <w:tcBorders>
              <w:top w:val="single" w:sz="8" w:space="0" w:color="auto"/>
              <w:left w:val="single" w:sz="8" w:space="0" w:color="auto"/>
              <w:bottom w:val="single" w:sz="8" w:space="0" w:color="auto"/>
              <w:right w:val="single" w:sz="8" w:space="0" w:color="auto"/>
            </w:tcBorders>
            <w:shd w:val="clear" w:color="auto" w:fill="D9D9D9"/>
            <w:vAlign w:val="center"/>
          </w:tcPr>
          <w:p w14:paraId="51BAC5C3" w14:textId="77777777" w:rsidR="00DF4FEA" w:rsidRPr="00C902F6" w:rsidRDefault="00DF4FEA" w:rsidP="00DF4FEA">
            <w:pPr>
              <w:jc w:val="center"/>
              <w:rPr>
                <w:rFonts w:ascii="Arial Narrow" w:eastAsia="Times New Roman" w:hAnsi="Arial Narrow" w:cs="Calibri"/>
                <w:b/>
                <w:bCs/>
                <w:i/>
                <w:iCs/>
                <w:color w:val="000000"/>
                <w:sz w:val="18"/>
                <w:szCs w:val="18"/>
              </w:rPr>
            </w:pPr>
          </w:p>
        </w:tc>
        <w:tc>
          <w:tcPr>
            <w:tcW w:w="4722" w:type="pct"/>
            <w:gridSpan w:val="8"/>
            <w:tcBorders>
              <w:top w:val="single" w:sz="8" w:space="0" w:color="auto"/>
              <w:left w:val="single" w:sz="8" w:space="0" w:color="auto"/>
              <w:bottom w:val="single" w:sz="8" w:space="0" w:color="auto"/>
              <w:right w:val="single" w:sz="8" w:space="0" w:color="auto"/>
            </w:tcBorders>
            <w:shd w:val="clear" w:color="auto" w:fill="D9D9D9"/>
            <w:vAlign w:val="center"/>
            <w:hideMark/>
          </w:tcPr>
          <w:p w14:paraId="0541BCC9" w14:textId="77777777" w:rsidR="00DF4FEA" w:rsidRPr="00C902F6" w:rsidRDefault="00DF4FEA" w:rsidP="0099116B">
            <w:pPr>
              <w:jc w:val="center"/>
              <w:rPr>
                <w:rFonts w:ascii="Arial Narrow" w:eastAsia="Times New Roman" w:hAnsi="Arial Narrow" w:cs="Calibri"/>
                <w:color w:val="000000"/>
                <w:sz w:val="18"/>
                <w:szCs w:val="18"/>
              </w:rPr>
            </w:pPr>
            <w:r w:rsidRPr="00C902F6">
              <w:rPr>
                <w:rFonts w:ascii="Arial Narrow" w:eastAsia="Times New Roman" w:hAnsi="Arial Narrow" w:cs="Calibri"/>
                <w:b/>
                <w:bCs/>
                <w:i/>
                <w:iCs/>
                <w:color w:val="000000"/>
                <w:sz w:val="18"/>
                <w:szCs w:val="18"/>
              </w:rPr>
              <w:t>Part II. Manufacturing Information</w:t>
            </w:r>
          </w:p>
        </w:tc>
      </w:tr>
      <w:tr w:rsidR="005E45D4" w:rsidRPr="00C902F6" w14:paraId="0C5F6271" w14:textId="77777777" w:rsidTr="00E315AA">
        <w:trPr>
          <w:trHeight w:val="290"/>
        </w:trPr>
        <w:tc>
          <w:tcPr>
            <w:tcW w:w="278" w:type="pct"/>
            <w:tcBorders>
              <w:top w:val="single" w:sz="8" w:space="0" w:color="auto"/>
              <w:left w:val="single" w:sz="8" w:space="0" w:color="auto"/>
              <w:bottom w:val="single" w:sz="4" w:space="0" w:color="auto"/>
              <w:right w:val="single" w:sz="4" w:space="0" w:color="auto"/>
            </w:tcBorders>
            <w:vAlign w:val="center"/>
          </w:tcPr>
          <w:p w14:paraId="3F2C17DD" w14:textId="77777777" w:rsidR="005E45D4" w:rsidRDefault="002F48B9"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8</w:t>
            </w:r>
          </w:p>
        </w:tc>
        <w:tc>
          <w:tcPr>
            <w:tcW w:w="1586" w:type="pct"/>
            <w:tcBorders>
              <w:top w:val="single" w:sz="8" w:space="0" w:color="auto"/>
              <w:left w:val="single" w:sz="8" w:space="0" w:color="auto"/>
              <w:bottom w:val="single" w:sz="4" w:space="0" w:color="auto"/>
              <w:right w:val="single" w:sz="4" w:space="0" w:color="auto"/>
            </w:tcBorders>
            <w:shd w:val="clear" w:color="auto" w:fill="auto"/>
            <w:vAlign w:val="center"/>
          </w:tcPr>
          <w:p w14:paraId="199C51EE"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Chemical Substance Identification</w:t>
            </w:r>
          </w:p>
        </w:tc>
        <w:tc>
          <w:tcPr>
            <w:tcW w:w="339" w:type="pct"/>
            <w:tcBorders>
              <w:top w:val="single" w:sz="8" w:space="0" w:color="auto"/>
              <w:left w:val="single" w:sz="4" w:space="0" w:color="auto"/>
              <w:bottom w:val="single" w:sz="4" w:space="0" w:color="auto"/>
              <w:right w:val="single" w:sz="4" w:space="0" w:color="auto"/>
            </w:tcBorders>
            <w:shd w:val="clear" w:color="auto" w:fill="auto"/>
            <w:vAlign w:val="center"/>
          </w:tcPr>
          <w:p w14:paraId="1CFFC65E"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8" w:space="0" w:color="auto"/>
              <w:left w:val="single" w:sz="4" w:space="0" w:color="auto"/>
              <w:bottom w:val="single" w:sz="4" w:space="0" w:color="auto"/>
              <w:right w:val="single" w:sz="4" w:space="0" w:color="auto"/>
            </w:tcBorders>
            <w:shd w:val="clear" w:color="auto" w:fill="auto"/>
            <w:noWrap/>
            <w:vAlign w:val="center"/>
          </w:tcPr>
          <w:p w14:paraId="1B69D2C0"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508" w:type="pct"/>
            <w:tcBorders>
              <w:top w:val="single" w:sz="8" w:space="0" w:color="auto"/>
              <w:left w:val="single" w:sz="4" w:space="0" w:color="auto"/>
              <w:bottom w:val="single" w:sz="4" w:space="0" w:color="auto"/>
              <w:right w:val="single" w:sz="4" w:space="0" w:color="auto"/>
            </w:tcBorders>
            <w:shd w:val="clear" w:color="auto" w:fill="auto"/>
            <w:noWrap/>
            <w:vAlign w:val="center"/>
          </w:tcPr>
          <w:p w14:paraId="45C6D7FB"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0.083</w:t>
            </w:r>
          </w:p>
        </w:tc>
        <w:tc>
          <w:tcPr>
            <w:tcW w:w="453" w:type="pct"/>
            <w:tcBorders>
              <w:top w:val="single" w:sz="8" w:space="0" w:color="auto"/>
              <w:left w:val="single" w:sz="4" w:space="0" w:color="auto"/>
              <w:bottom w:val="single" w:sz="4" w:space="0" w:color="auto"/>
              <w:right w:val="single" w:sz="4" w:space="0" w:color="auto"/>
            </w:tcBorders>
            <w:shd w:val="clear" w:color="auto" w:fill="auto"/>
            <w:noWrap/>
            <w:vAlign w:val="center"/>
          </w:tcPr>
          <w:p w14:paraId="785895EA"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8" w:space="0" w:color="auto"/>
              <w:left w:val="single" w:sz="4" w:space="0" w:color="auto"/>
              <w:bottom w:val="single" w:sz="4" w:space="0" w:color="auto"/>
              <w:right w:val="single" w:sz="4" w:space="0" w:color="auto"/>
            </w:tcBorders>
            <w:shd w:val="clear" w:color="auto" w:fill="auto"/>
            <w:noWrap/>
            <w:vAlign w:val="center"/>
          </w:tcPr>
          <w:p w14:paraId="797C3B20"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0.083</w:t>
            </w:r>
          </w:p>
        </w:tc>
        <w:tc>
          <w:tcPr>
            <w:tcW w:w="480" w:type="pct"/>
            <w:tcBorders>
              <w:top w:val="single" w:sz="8" w:space="0" w:color="auto"/>
              <w:left w:val="single" w:sz="4" w:space="0" w:color="auto"/>
              <w:bottom w:val="single" w:sz="4" w:space="0" w:color="auto"/>
              <w:right w:val="single" w:sz="4" w:space="0" w:color="auto"/>
            </w:tcBorders>
            <w:shd w:val="clear" w:color="auto" w:fill="auto"/>
            <w:noWrap/>
            <w:vAlign w:val="center"/>
          </w:tcPr>
          <w:p w14:paraId="2DF5240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1.00</w:t>
            </w:r>
            <w:r w:rsidR="00CE100A">
              <w:rPr>
                <w:rFonts w:ascii="Arial Narrow" w:eastAsia="Times New Roman" w:hAnsi="Arial Narrow" w:cs="Calibri"/>
                <w:color w:val="000000"/>
                <w:sz w:val="18"/>
                <w:szCs w:val="18"/>
              </w:rPr>
              <w:t>0</w:t>
            </w:r>
          </w:p>
        </w:tc>
        <w:tc>
          <w:tcPr>
            <w:tcW w:w="452" w:type="pct"/>
            <w:tcBorders>
              <w:top w:val="single" w:sz="8" w:space="0" w:color="auto"/>
              <w:left w:val="single" w:sz="4" w:space="0" w:color="auto"/>
              <w:bottom w:val="single" w:sz="4" w:space="0" w:color="auto"/>
              <w:right w:val="single" w:sz="8" w:space="0" w:color="auto"/>
            </w:tcBorders>
            <w:shd w:val="clear" w:color="auto" w:fill="auto"/>
            <w:noWrap/>
            <w:vAlign w:val="center"/>
          </w:tcPr>
          <w:p w14:paraId="3074D014"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0.083</w:t>
            </w:r>
          </w:p>
        </w:tc>
      </w:tr>
      <w:tr w:rsidR="005E45D4" w:rsidRPr="00C902F6" w14:paraId="532912CC" w14:textId="77777777" w:rsidTr="00E315AA">
        <w:trPr>
          <w:trHeight w:val="290"/>
        </w:trPr>
        <w:tc>
          <w:tcPr>
            <w:tcW w:w="278" w:type="pct"/>
            <w:tcBorders>
              <w:top w:val="single" w:sz="8" w:space="0" w:color="auto"/>
              <w:left w:val="single" w:sz="8" w:space="0" w:color="auto"/>
              <w:bottom w:val="single" w:sz="4" w:space="0" w:color="auto"/>
              <w:right w:val="single" w:sz="4" w:space="0" w:color="auto"/>
            </w:tcBorders>
            <w:vAlign w:val="center"/>
          </w:tcPr>
          <w:p w14:paraId="42502DFE" w14:textId="77777777" w:rsidR="005E45D4" w:rsidRPr="00C902F6" w:rsidRDefault="000C25CE"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9</w:t>
            </w:r>
          </w:p>
        </w:tc>
        <w:tc>
          <w:tcPr>
            <w:tcW w:w="1586"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190131CF" w14:textId="77777777" w:rsidR="005E45D4" w:rsidRPr="00AA535C"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Chem ID CBI Substantiation</w:t>
            </w:r>
          </w:p>
        </w:tc>
        <w:tc>
          <w:tcPr>
            <w:tcW w:w="339"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5DE07F14"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8781AE7"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0.950</w:t>
            </w:r>
          </w:p>
        </w:tc>
        <w:tc>
          <w:tcPr>
            <w:tcW w:w="50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2ACD455"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1.925</w:t>
            </w:r>
          </w:p>
        </w:tc>
        <w:tc>
          <w:tcPr>
            <w:tcW w:w="453"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B5A6E23"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7400378"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2.875</w:t>
            </w:r>
          </w:p>
        </w:tc>
        <w:tc>
          <w:tcPr>
            <w:tcW w:w="480"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DD1D968"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0.01</w:t>
            </w:r>
            <w:r w:rsidR="00452F79">
              <w:rPr>
                <w:rFonts w:ascii="Arial Narrow" w:eastAsia="Times New Roman" w:hAnsi="Arial Narrow" w:cs="Calibri"/>
                <w:color w:val="000000"/>
                <w:sz w:val="18"/>
                <w:szCs w:val="18"/>
              </w:rPr>
              <w:t>4</w:t>
            </w:r>
          </w:p>
        </w:tc>
        <w:tc>
          <w:tcPr>
            <w:tcW w:w="452" w:type="pc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468E10D8"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0.040</w:t>
            </w:r>
          </w:p>
        </w:tc>
      </w:tr>
      <w:tr w:rsidR="005E45D4" w:rsidRPr="00C902F6" w14:paraId="43575D19" w14:textId="77777777" w:rsidTr="00E315AA">
        <w:trPr>
          <w:trHeight w:val="300"/>
        </w:trPr>
        <w:tc>
          <w:tcPr>
            <w:tcW w:w="278" w:type="pct"/>
            <w:tcBorders>
              <w:top w:val="single" w:sz="4" w:space="0" w:color="auto"/>
              <w:left w:val="single" w:sz="8" w:space="0" w:color="auto"/>
              <w:bottom w:val="single" w:sz="4" w:space="0" w:color="auto"/>
              <w:right w:val="single" w:sz="4" w:space="0" w:color="auto"/>
            </w:tcBorders>
            <w:vAlign w:val="center"/>
          </w:tcPr>
          <w:p w14:paraId="69C2FE43"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w:t>
            </w:r>
            <w:r w:rsidR="000C25CE">
              <w:rPr>
                <w:rFonts w:ascii="Arial Narrow" w:eastAsia="Times New Roman" w:hAnsi="Arial Narrow" w:cs="Calibri"/>
                <w:color w:val="000000"/>
                <w:sz w:val="18"/>
                <w:szCs w:val="18"/>
              </w:rPr>
              <w:t>0</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8A14E97" w14:textId="77777777" w:rsidR="005E45D4" w:rsidRPr="00AA535C"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Joint Submission</w:t>
            </w:r>
            <w:r>
              <w:rPr>
                <w:rFonts w:ascii="Arial Narrow" w:eastAsia="Times New Roman" w:hAnsi="Arial Narrow" w:cs="Calibri"/>
                <w:color w:val="000000"/>
                <w:sz w:val="18"/>
                <w:szCs w:val="18"/>
              </w:rPr>
              <w:t xml:space="preserve"> Information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0F987"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1A7DB"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0.012</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1410B"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91D96"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0CE1F"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0.012</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051CE"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w:t>
            </w:r>
            <w:r w:rsidR="00452F79">
              <w:rPr>
                <w:rFonts w:ascii="Arial Narrow" w:eastAsia="Times New Roman" w:hAnsi="Arial Narrow" w:cs="Calibri"/>
                <w:color w:val="000000"/>
                <w:sz w:val="18"/>
                <w:szCs w:val="18"/>
              </w:rPr>
              <w:t>17</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FEF1DCE"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0.0002</w:t>
            </w:r>
          </w:p>
        </w:tc>
      </w:tr>
      <w:tr w:rsidR="005E45D4" w:rsidRPr="00C902F6" w14:paraId="2E6255E3"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099B6C44"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w:t>
            </w:r>
            <w:r w:rsidR="000C25CE">
              <w:rPr>
                <w:rFonts w:ascii="Arial Narrow" w:eastAsia="Times New Roman" w:hAnsi="Arial Narrow" w:cs="Calibri"/>
                <w:color w:val="000000"/>
                <w:sz w:val="18"/>
                <w:szCs w:val="18"/>
              </w:rPr>
              <w:t>1</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A951A90" w14:textId="77777777" w:rsidR="005E45D4" w:rsidRPr="00C902F6" w:rsidRDefault="005E45D4" w:rsidP="005E45D4">
            <w:pPr>
              <w:rPr>
                <w:rFonts w:ascii="Arial Narrow" w:eastAsia="Times New Roman" w:hAnsi="Arial Narrow" w:cs="Calibri"/>
                <w:color w:val="000000"/>
                <w:sz w:val="18"/>
                <w:szCs w:val="18"/>
              </w:rPr>
            </w:pPr>
            <w:r w:rsidRPr="00636488">
              <w:rPr>
                <w:rFonts w:ascii="Arial Narrow" w:eastAsia="Times New Roman" w:hAnsi="Arial Narrow" w:cs="Calibri"/>
                <w:color w:val="000000"/>
                <w:sz w:val="18"/>
                <w:szCs w:val="18"/>
              </w:rPr>
              <w:t>Activity, Production Volume for Principal Reporting Year</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28C015"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DC130"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0.450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94D4A"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1.820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6FDA7"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DCD7B"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2.270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0AB0B"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1.00</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7CEAA26"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2.270</w:t>
            </w:r>
          </w:p>
        </w:tc>
      </w:tr>
      <w:tr w:rsidR="005E45D4" w:rsidRPr="00C902F6" w14:paraId="17B3E123"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0D85B664"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w:t>
            </w:r>
            <w:r w:rsidR="000C25CE">
              <w:rPr>
                <w:rFonts w:ascii="Arial Narrow" w:eastAsia="Times New Roman" w:hAnsi="Arial Narrow" w:cs="Calibri"/>
                <w:color w:val="000000"/>
                <w:sz w:val="18"/>
                <w:szCs w:val="18"/>
              </w:rPr>
              <w:t>2</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B2D465"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Whether imported chemical substance is physically at reporting site</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8B1E21"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F9FFE"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0.020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9C278"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0.090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63E59"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2C47B"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0.110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88EF4"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1.00</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981129C"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0.110</w:t>
            </w:r>
          </w:p>
        </w:tc>
      </w:tr>
      <w:tr w:rsidR="005E45D4" w:rsidRPr="00C902F6" w14:paraId="555DBAD6"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6AD0B5DB"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w:t>
            </w:r>
            <w:r w:rsidR="000C25CE">
              <w:rPr>
                <w:rFonts w:ascii="Arial Narrow" w:eastAsia="Times New Roman" w:hAnsi="Arial Narrow" w:cs="Calibri"/>
                <w:color w:val="000000"/>
                <w:sz w:val="18"/>
                <w:szCs w:val="18"/>
              </w:rPr>
              <w:t>3</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3DD90F6"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Production Volume used on-site</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F17B1"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CB179"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0.040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1566F"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0.160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DB43F"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89926"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0.200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80C7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1.00</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983EE66"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0.200</w:t>
            </w:r>
          </w:p>
        </w:tc>
      </w:tr>
      <w:tr w:rsidR="005E45D4" w:rsidRPr="00C902F6" w14:paraId="10FCDF8C"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07D58048"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w:t>
            </w:r>
            <w:r w:rsidR="000C25CE">
              <w:rPr>
                <w:rFonts w:ascii="Arial Narrow" w:eastAsia="Times New Roman" w:hAnsi="Arial Narrow" w:cs="Calibri"/>
                <w:color w:val="000000"/>
                <w:sz w:val="18"/>
                <w:szCs w:val="18"/>
              </w:rPr>
              <w:t>4</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4A70A26"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Volume exported</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D0BED"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F5ECF"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0.200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511A0"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0.820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20C94"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9615C"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1.020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8C6D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1.00</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E21C7DB"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1.020</w:t>
            </w:r>
          </w:p>
        </w:tc>
      </w:tr>
      <w:tr w:rsidR="005E45D4" w:rsidRPr="00C902F6" w14:paraId="7E974971"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5018C02C"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w:t>
            </w:r>
            <w:r w:rsidR="000C25CE">
              <w:rPr>
                <w:rFonts w:ascii="Arial Narrow" w:eastAsia="Times New Roman" w:hAnsi="Arial Narrow" w:cs="Calibri"/>
                <w:color w:val="000000"/>
                <w:sz w:val="18"/>
                <w:szCs w:val="18"/>
              </w:rPr>
              <w:t>5</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091284E"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Total Number of Workers</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42DC0"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BEA6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0.470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D42F7"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1.140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F092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FB82B"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1.610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94BFE"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1.00</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D855192"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1.610</w:t>
            </w:r>
          </w:p>
        </w:tc>
      </w:tr>
      <w:tr w:rsidR="005E45D4" w:rsidRPr="00C902F6" w14:paraId="145339F6"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0CE97A8D"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w:t>
            </w:r>
            <w:r w:rsidR="000C25CE">
              <w:rPr>
                <w:rFonts w:ascii="Arial Narrow" w:eastAsia="Times New Roman" w:hAnsi="Arial Narrow" w:cs="Calibri"/>
                <w:color w:val="000000"/>
                <w:sz w:val="18"/>
                <w:szCs w:val="18"/>
              </w:rPr>
              <w:t>6</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40F287E"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Maximum Concentration, Physical Form, Percent Volume of Production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16F99"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303F1"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0.860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B19B5"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2.230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5F078"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722E2"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3.090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1F22C"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1.00</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AE4530F"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3.090</w:t>
            </w:r>
          </w:p>
        </w:tc>
      </w:tr>
      <w:tr w:rsidR="005E45D4" w:rsidRPr="00C902F6" w14:paraId="3FD3DCA2" w14:textId="77777777" w:rsidTr="00E315AA">
        <w:trPr>
          <w:trHeight w:val="520"/>
        </w:trPr>
        <w:tc>
          <w:tcPr>
            <w:tcW w:w="278" w:type="pct"/>
            <w:tcBorders>
              <w:top w:val="single" w:sz="4" w:space="0" w:color="auto"/>
              <w:left w:val="single" w:sz="8" w:space="0" w:color="auto"/>
              <w:bottom w:val="single" w:sz="4" w:space="0" w:color="auto"/>
              <w:right w:val="single" w:sz="4" w:space="0" w:color="auto"/>
            </w:tcBorders>
            <w:vAlign w:val="center"/>
          </w:tcPr>
          <w:p w14:paraId="57E3437B"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w:t>
            </w:r>
            <w:r w:rsidR="000C25CE">
              <w:rPr>
                <w:rFonts w:ascii="Arial Narrow" w:eastAsia="Times New Roman" w:hAnsi="Arial Narrow" w:cs="Calibri"/>
                <w:color w:val="000000"/>
                <w:sz w:val="18"/>
                <w:szCs w:val="18"/>
              </w:rPr>
              <w:t>7</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A0B537"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Whether a chemical substance is to be recycled, remanufactured, reprocessed, or reused</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54D3F2"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3EA5E"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0.020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2F0DE"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0.090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F2A85"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F2129"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0.110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7EA80"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1.00</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51C0AB7"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0.110</w:t>
            </w:r>
          </w:p>
        </w:tc>
      </w:tr>
      <w:tr w:rsidR="005E45D4" w:rsidRPr="00C902F6" w14:paraId="23DF706B" w14:textId="77777777" w:rsidTr="00E315AA">
        <w:trPr>
          <w:trHeight w:val="300"/>
        </w:trPr>
        <w:tc>
          <w:tcPr>
            <w:tcW w:w="278" w:type="pct"/>
            <w:tcBorders>
              <w:top w:val="single" w:sz="4" w:space="0" w:color="auto"/>
              <w:left w:val="single" w:sz="8" w:space="0" w:color="auto"/>
              <w:bottom w:val="single" w:sz="4" w:space="0" w:color="auto"/>
              <w:right w:val="single" w:sz="4" w:space="0" w:color="auto"/>
            </w:tcBorders>
            <w:shd w:val="clear" w:color="000000" w:fill="FFFFFF"/>
            <w:vAlign w:val="center"/>
          </w:tcPr>
          <w:p w14:paraId="3DC3F7A3" w14:textId="77777777" w:rsidR="005E45D4" w:rsidRDefault="000C25CE"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18</w:t>
            </w:r>
          </w:p>
        </w:tc>
        <w:tc>
          <w:tcPr>
            <w:tcW w:w="1586" w:type="pct"/>
            <w:tcBorders>
              <w:top w:val="single" w:sz="4" w:space="0" w:color="auto"/>
              <w:left w:val="single" w:sz="8" w:space="0" w:color="auto"/>
              <w:bottom w:val="single" w:sz="4" w:space="0" w:color="auto"/>
              <w:right w:val="single" w:sz="4" w:space="0" w:color="auto"/>
            </w:tcBorders>
            <w:shd w:val="clear" w:color="000000" w:fill="FFFFFF"/>
            <w:vAlign w:val="center"/>
          </w:tcPr>
          <w:p w14:paraId="21FFF851"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 xml:space="preserve">Production Volume for each of the Years since Last Principal Reporting Year </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tcPr>
          <w:p w14:paraId="73E5F591"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0ABA14"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0.600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917B97"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2.460</w:t>
            </w:r>
          </w:p>
        </w:tc>
        <w:tc>
          <w:tcPr>
            <w:tcW w:w="45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3F2008"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BC9404"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3.060</w:t>
            </w:r>
          </w:p>
        </w:tc>
        <w:tc>
          <w:tcPr>
            <w:tcW w:w="48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8757B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1.00</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tcPr>
          <w:p w14:paraId="523DB1EB"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3.060</w:t>
            </w:r>
          </w:p>
        </w:tc>
      </w:tr>
      <w:tr w:rsidR="005E45D4" w:rsidRPr="00C902F6" w14:paraId="54906DA2" w14:textId="77777777" w:rsidTr="00E315AA">
        <w:trPr>
          <w:trHeight w:val="300"/>
        </w:trPr>
        <w:tc>
          <w:tcPr>
            <w:tcW w:w="278" w:type="pct"/>
            <w:tcBorders>
              <w:top w:val="single" w:sz="4" w:space="0" w:color="auto"/>
              <w:left w:val="single" w:sz="8" w:space="0" w:color="auto"/>
              <w:bottom w:val="single" w:sz="4" w:space="0" w:color="auto"/>
              <w:right w:val="single" w:sz="4" w:space="0" w:color="auto"/>
            </w:tcBorders>
            <w:shd w:val="clear" w:color="000000" w:fill="FFFFFF"/>
            <w:vAlign w:val="center"/>
          </w:tcPr>
          <w:p w14:paraId="4DE88FDD" w14:textId="77777777" w:rsidR="005E45D4" w:rsidRPr="00C902F6" w:rsidRDefault="000C25CE"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19</w:t>
            </w:r>
          </w:p>
        </w:tc>
        <w:tc>
          <w:tcPr>
            <w:tcW w:w="1586"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6DE3E6B3" w14:textId="77777777" w:rsidR="005E45D4" w:rsidRPr="00044368" w:rsidRDefault="005E45D4" w:rsidP="005E45D4">
            <w:pPr>
              <w:rPr>
                <w:rFonts w:ascii="Arial Narrow" w:eastAsia="Times New Roman" w:hAnsi="Arial Narrow" w:cs="Calibri"/>
                <w:color w:val="000000"/>
                <w:sz w:val="18"/>
                <w:szCs w:val="18"/>
                <w:lang w:val="fr-FR"/>
              </w:rPr>
            </w:pPr>
            <w:r w:rsidRPr="00044368">
              <w:rPr>
                <w:rFonts w:ascii="Arial Narrow" w:eastAsia="Times New Roman" w:hAnsi="Arial Narrow" w:cs="Calibri"/>
                <w:color w:val="000000"/>
                <w:sz w:val="18"/>
                <w:szCs w:val="18"/>
                <w:lang w:val="fr-FR"/>
              </w:rPr>
              <w:t>Non-Chem ID CBI Substantiation (Part II)</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1663ED"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046187" w14:textId="77777777" w:rsidR="005E45D4" w:rsidRPr="001056CD" w:rsidRDefault="005E45D4" w:rsidP="00E315AA">
            <w:pPr>
              <w:ind w:right="216"/>
              <w:jc w:val="right"/>
              <w:rPr>
                <w:rFonts w:ascii="Arial Narrow" w:eastAsia="Times New Roman" w:hAnsi="Arial Narrow" w:cs="Calibri"/>
                <w:color w:val="000000"/>
                <w:sz w:val="18"/>
                <w:szCs w:val="18"/>
              </w:rPr>
            </w:pPr>
            <w:r w:rsidRPr="001056CD">
              <w:rPr>
                <w:rFonts w:ascii="Arial Narrow" w:eastAsia="Times New Roman" w:hAnsi="Arial Narrow" w:cs="Calibri"/>
                <w:color w:val="000000"/>
                <w:sz w:val="18"/>
                <w:szCs w:val="18"/>
              </w:rPr>
              <w:t>0.320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E3723" w14:textId="77777777" w:rsidR="001056CD" w:rsidRPr="001056CD" w:rsidRDefault="009D1526" w:rsidP="001056CD">
            <w:pPr>
              <w:ind w:right="216"/>
              <w:jc w:val="right"/>
              <w:rPr>
                <w:rFonts w:ascii="Arial Narrow" w:eastAsia="Times New Roman" w:hAnsi="Arial Narrow" w:cs="Calibri"/>
                <w:color w:val="000000"/>
                <w:sz w:val="18"/>
                <w:szCs w:val="18"/>
              </w:rPr>
            </w:pPr>
            <w:r w:rsidRPr="001056CD">
              <w:rPr>
                <w:rFonts w:ascii="Arial Narrow" w:eastAsia="Times New Roman" w:hAnsi="Arial Narrow" w:cs="Calibri"/>
                <w:color w:val="000000"/>
                <w:sz w:val="18"/>
                <w:szCs w:val="18"/>
              </w:rPr>
              <w:t>0</w:t>
            </w:r>
            <w:r w:rsidR="005E45D4" w:rsidRPr="001056CD">
              <w:rPr>
                <w:rFonts w:ascii="Arial Narrow" w:eastAsia="Times New Roman" w:hAnsi="Arial Narrow" w:cs="Calibri"/>
                <w:color w:val="000000"/>
                <w:sz w:val="18"/>
                <w:szCs w:val="18"/>
              </w:rPr>
              <w:t>.</w:t>
            </w:r>
            <w:r w:rsidRPr="001056CD">
              <w:rPr>
                <w:rFonts w:ascii="Arial Narrow" w:eastAsia="Times New Roman" w:hAnsi="Arial Narrow" w:cs="Calibri"/>
                <w:color w:val="000000"/>
                <w:sz w:val="18"/>
                <w:szCs w:val="18"/>
              </w:rPr>
              <w:t>85</w:t>
            </w:r>
            <w:r w:rsidR="005E45D4" w:rsidRPr="001056CD">
              <w:rPr>
                <w:rFonts w:ascii="Arial Narrow" w:eastAsia="Times New Roman" w:hAnsi="Arial Narrow" w:cs="Calibri"/>
                <w:color w:val="000000"/>
                <w:sz w:val="18"/>
                <w:szCs w:val="18"/>
              </w:rPr>
              <w:t>0</w:t>
            </w:r>
          </w:p>
        </w:tc>
        <w:tc>
          <w:tcPr>
            <w:tcW w:w="4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35EAF1" w14:textId="77777777" w:rsidR="005E45D4" w:rsidRPr="001056CD" w:rsidRDefault="005E45D4" w:rsidP="00E315AA">
            <w:pPr>
              <w:ind w:right="216"/>
              <w:jc w:val="right"/>
              <w:rPr>
                <w:rFonts w:ascii="Arial Narrow" w:eastAsia="Times New Roman" w:hAnsi="Arial Narrow" w:cs="Calibri"/>
                <w:color w:val="000000"/>
                <w:sz w:val="18"/>
                <w:szCs w:val="18"/>
              </w:rPr>
            </w:pPr>
            <w:r w:rsidRPr="001056CD">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3065A" w14:textId="77777777" w:rsidR="005E45D4" w:rsidRPr="001056CD" w:rsidRDefault="005E45D4" w:rsidP="00E315AA">
            <w:pPr>
              <w:ind w:right="216"/>
              <w:jc w:val="right"/>
              <w:rPr>
                <w:rFonts w:ascii="Arial Narrow" w:eastAsia="Times New Roman" w:hAnsi="Arial Narrow" w:cs="Calibri"/>
                <w:color w:val="000000"/>
                <w:sz w:val="18"/>
                <w:szCs w:val="18"/>
              </w:rPr>
            </w:pPr>
            <w:r w:rsidRPr="001056CD">
              <w:rPr>
                <w:rFonts w:ascii="Arial Narrow" w:eastAsia="Times New Roman" w:hAnsi="Arial Narrow" w:cs="Calibri"/>
                <w:color w:val="000000"/>
                <w:sz w:val="18"/>
                <w:szCs w:val="18"/>
              </w:rPr>
              <w:t>1.</w:t>
            </w:r>
            <w:r w:rsidR="00195ECD" w:rsidRPr="001056CD">
              <w:rPr>
                <w:rFonts w:ascii="Arial Narrow" w:eastAsia="Times New Roman" w:hAnsi="Arial Narrow" w:cs="Calibri"/>
                <w:color w:val="000000"/>
                <w:sz w:val="18"/>
                <w:szCs w:val="18"/>
              </w:rPr>
              <w:t>1</w:t>
            </w:r>
            <w:r w:rsidRPr="001056CD">
              <w:rPr>
                <w:rFonts w:ascii="Arial Narrow" w:eastAsia="Times New Roman" w:hAnsi="Arial Narrow" w:cs="Calibri"/>
                <w:color w:val="000000"/>
                <w:sz w:val="18"/>
                <w:szCs w:val="18"/>
              </w:rPr>
              <w:t>70</w:t>
            </w:r>
          </w:p>
        </w:tc>
        <w:tc>
          <w:tcPr>
            <w:tcW w:w="4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978CA0" w14:textId="77777777" w:rsidR="005E45D4" w:rsidRPr="001056CD" w:rsidRDefault="005E45D4" w:rsidP="00E315AA">
            <w:pPr>
              <w:ind w:right="216"/>
              <w:jc w:val="right"/>
              <w:rPr>
                <w:rFonts w:ascii="Arial Narrow" w:eastAsia="Times New Roman" w:hAnsi="Arial Narrow" w:cs="Calibri"/>
                <w:color w:val="000000"/>
                <w:sz w:val="18"/>
                <w:szCs w:val="18"/>
              </w:rPr>
            </w:pPr>
            <w:r w:rsidRPr="001056CD">
              <w:rPr>
                <w:rFonts w:ascii="Arial Narrow" w:eastAsia="Times New Roman" w:hAnsi="Arial Narrow" w:cs="Calibri"/>
                <w:color w:val="000000"/>
                <w:sz w:val="18"/>
                <w:szCs w:val="18"/>
              </w:rPr>
              <w:t>0.48</w:t>
            </w:r>
            <w:r w:rsidR="00CE100A" w:rsidRPr="001056CD">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EFABF79" w14:textId="77777777" w:rsidR="005E45D4" w:rsidRPr="001056CD" w:rsidRDefault="005E45D4" w:rsidP="00E315AA">
            <w:pPr>
              <w:ind w:right="216"/>
              <w:jc w:val="right"/>
              <w:rPr>
                <w:rFonts w:ascii="Arial Narrow" w:eastAsia="Times New Roman" w:hAnsi="Arial Narrow" w:cs="Calibri"/>
                <w:color w:val="000000"/>
                <w:sz w:val="18"/>
                <w:szCs w:val="18"/>
              </w:rPr>
            </w:pPr>
            <w:r w:rsidRPr="001056CD">
              <w:rPr>
                <w:rFonts w:ascii="Arial Narrow" w:eastAsia="Times New Roman" w:hAnsi="Arial Narrow" w:cs="Calibri"/>
                <w:color w:val="000000"/>
                <w:sz w:val="18"/>
                <w:szCs w:val="18"/>
              </w:rPr>
              <w:t>0.</w:t>
            </w:r>
            <w:r w:rsidR="00B015A8" w:rsidRPr="001056CD">
              <w:rPr>
                <w:rFonts w:ascii="Arial Narrow" w:eastAsia="Times New Roman" w:hAnsi="Arial Narrow" w:cs="Calibri"/>
                <w:color w:val="000000"/>
                <w:sz w:val="18"/>
                <w:szCs w:val="18"/>
              </w:rPr>
              <w:t>5</w:t>
            </w:r>
            <w:r w:rsidRPr="001056CD">
              <w:rPr>
                <w:rFonts w:ascii="Arial Narrow" w:eastAsia="Times New Roman" w:hAnsi="Arial Narrow" w:cs="Calibri"/>
                <w:color w:val="000000"/>
                <w:sz w:val="18"/>
                <w:szCs w:val="18"/>
              </w:rPr>
              <w:t>6</w:t>
            </w:r>
            <w:r w:rsidR="00B015A8" w:rsidRPr="001056CD">
              <w:rPr>
                <w:rFonts w:ascii="Arial Narrow" w:eastAsia="Times New Roman" w:hAnsi="Arial Narrow" w:cs="Calibri"/>
                <w:color w:val="000000"/>
                <w:sz w:val="18"/>
                <w:szCs w:val="18"/>
              </w:rPr>
              <w:t>2</w:t>
            </w:r>
          </w:p>
        </w:tc>
      </w:tr>
      <w:tr w:rsidR="005E45D4" w:rsidRPr="00C902F6" w14:paraId="06387DBC" w14:textId="77777777" w:rsidTr="00DF4FEA">
        <w:trPr>
          <w:trHeight w:val="377"/>
        </w:trPr>
        <w:tc>
          <w:tcPr>
            <w:tcW w:w="278" w:type="pct"/>
            <w:tcBorders>
              <w:top w:val="single" w:sz="4" w:space="0" w:color="auto"/>
              <w:left w:val="single" w:sz="8" w:space="0" w:color="auto"/>
              <w:bottom w:val="single" w:sz="4" w:space="0" w:color="auto"/>
              <w:right w:val="single" w:sz="8" w:space="0" w:color="auto"/>
            </w:tcBorders>
            <w:shd w:val="clear" w:color="auto" w:fill="D9D9D9"/>
            <w:vAlign w:val="center"/>
          </w:tcPr>
          <w:p w14:paraId="43CAB02D" w14:textId="77777777" w:rsidR="005E45D4" w:rsidRPr="00C902F6" w:rsidRDefault="005E45D4" w:rsidP="005E45D4">
            <w:pPr>
              <w:jc w:val="center"/>
              <w:rPr>
                <w:rFonts w:ascii="Arial Narrow" w:eastAsia="Times New Roman" w:hAnsi="Arial Narrow" w:cs="Calibri"/>
                <w:b/>
                <w:bCs/>
                <w:i/>
                <w:iCs/>
                <w:color w:val="000000"/>
                <w:sz w:val="18"/>
                <w:szCs w:val="18"/>
              </w:rPr>
            </w:pPr>
          </w:p>
        </w:tc>
        <w:tc>
          <w:tcPr>
            <w:tcW w:w="4722" w:type="pct"/>
            <w:gridSpan w:val="8"/>
            <w:tcBorders>
              <w:top w:val="single" w:sz="4" w:space="0" w:color="auto"/>
              <w:left w:val="single" w:sz="8" w:space="0" w:color="auto"/>
              <w:bottom w:val="single" w:sz="4" w:space="0" w:color="auto"/>
              <w:right w:val="single" w:sz="8" w:space="0" w:color="auto"/>
            </w:tcBorders>
            <w:shd w:val="clear" w:color="auto" w:fill="D9D9D9"/>
            <w:vAlign w:val="center"/>
            <w:hideMark/>
          </w:tcPr>
          <w:p w14:paraId="51D57D65" w14:textId="77777777" w:rsidR="005E45D4" w:rsidRPr="00AA535C"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b/>
                <w:bCs/>
                <w:i/>
                <w:iCs/>
                <w:color w:val="000000"/>
                <w:sz w:val="18"/>
                <w:szCs w:val="18"/>
              </w:rPr>
              <w:t>Part III Processing and Use Information</w:t>
            </w:r>
          </w:p>
        </w:tc>
      </w:tr>
      <w:tr w:rsidR="005E45D4" w:rsidRPr="00C902F6" w14:paraId="3CFAA8C0" w14:textId="77777777" w:rsidTr="00DF4FEA">
        <w:trPr>
          <w:trHeight w:val="350"/>
        </w:trPr>
        <w:tc>
          <w:tcPr>
            <w:tcW w:w="278" w:type="pct"/>
            <w:tcBorders>
              <w:top w:val="single" w:sz="4" w:space="0" w:color="auto"/>
              <w:left w:val="single" w:sz="8" w:space="0" w:color="auto"/>
              <w:bottom w:val="single" w:sz="4" w:space="0" w:color="auto"/>
              <w:right w:val="single" w:sz="8" w:space="0" w:color="auto"/>
            </w:tcBorders>
            <w:shd w:val="clear" w:color="auto" w:fill="F2F2F2"/>
            <w:vAlign w:val="center"/>
          </w:tcPr>
          <w:p w14:paraId="403C5A4E" w14:textId="77777777" w:rsidR="005E45D4" w:rsidRPr="002F71DB" w:rsidRDefault="005E45D4" w:rsidP="005E45D4">
            <w:pPr>
              <w:jc w:val="center"/>
              <w:rPr>
                <w:rFonts w:ascii="Arial Narrow" w:eastAsia="Times New Roman" w:hAnsi="Arial Narrow" w:cs="Calibri"/>
                <w:i/>
                <w:color w:val="000000"/>
                <w:sz w:val="18"/>
                <w:szCs w:val="18"/>
              </w:rPr>
            </w:pPr>
          </w:p>
        </w:tc>
        <w:tc>
          <w:tcPr>
            <w:tcW w:w="4722" w:type="pct"/>
            <w:gridSpan w:val="8"/>
            <w:tcBorders>
              <w:top w:val="single" w:sz="4" w:space="0" w:color="auto"/>
              <w:left w:val="single" w:sz="8" w:space="0" w:color="auto"/>
              <w:bottom w:val="single" w:sz="4" w:space="0" w:color="auto"/>
              <w:right w:val="single" w:sz="8" w:space="0" w:color="auto"/>
            </w:tcBorders>
            <w:shd w:val="clear" w:color="auto" w:fill="F2F2F2"/>
            <w:vAlign w:val="center"/>
            <w:hideMark/>
          </w:tcPr>
          <w:p w14:paraId="66614756" w14:textId="77777777" w:rsidR="005E45D4" w:rsidRPr="002F71DB" w:rsidRDefault="005E45D4" w:rsidP="005E45D4">
            <w:pPr>
              <w:rPr>
                <w:rFonts w:ascii="Arial Narrow" w:eastAsia="Times New Roman" w:hAnsi="Arial Narrow" w:cs="Calibri"/>
                <w:b/>
                <w:bCs/>
                <w:i/>
                <w:color w:val="000000"/>
                <w:sz w:val="18"/>
                <w:szCs w:val="18"/>
              </w:rPr>
            </w:pPr>
            <w:r w:rsidRPr="002F71DB">
              <w:rPr>
                <w:rFonts w:ascii="Arial Narrow" w:eastAsia="Times New Roman" w:hAnsi="Arial Narrow" w:cs="Calibri"/>
                <w:i/>
                <w:color w:val="000000"/>
                <w:sz w:val="18"/>
                <w:szCs w:val="18"/>
              </w:rPr>
              <w:t>Industrial Processing and Use Exposure-Related Data</w:t>
            </w:r>
          </w:p>
        </w:tc>
      </w:tr>
      <w:tr w:rsidR="005E45D4" w:rsidRPr="00C902F6" w14:paraId="07A3EE14"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7728A6E9"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w:t>
            </w:r>
            <w:r w:rsidR="000C25CE">
              <w:rPr>
                <w:rFonts w:ascii="Arial Narrow" w:eastAsia="Times New Roman" w:hAnsi="Arial Narrow" w:cs="Calibri"/>
                <w:color w:val="000000"/>
                <w:sz w:val="18"/>
                <w:szCs w:val="18"/>
              </w:rPr>
              <w:t>0</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D983EB0"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 xml:space="preserve">Determination of Applicability (includes </w:t>
            </w:r>
            <w:r w:rsidR="00DA3B09">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T</w:t>
            </w:r>
            <w:r w:rsidRPr="00C902F6">
              <w:rPr>
                <w:rFonts w:ascii="Arial Narrow" w:eastAsia="Times New Roman" w:hAnsi="Arial Narrow" w:cs="Calibri"/>
                <w:color w:val="000000"/>
                <w:sz w:val="18"/>
                <w:szCs w:val="18"/>
              </w:rPr>
              <w:t xml:space="preserve">ype of </w:t>
            </w:r>
            <w:r>
              <w:rPr>
                <w:rFonts w:ascii="Arial Narrow" w:eastAsia="Times New Roman" w:hAnsi="Arial Narrow" w:cs="Calibri"/>
                <w:color w:val="000000"/>
                <w:sz w:val="18"/>
                <w:szCs w:val="18"/>
              </w:rPr>
              <w:t>P</w:t>
            </w:r>
            <w:r w:rsidRPr="00C902F6">
              <w:rPr>
                <w:rFonts w:ascii="Arial Narrow" w:eastAsia="Times New Roman" w:hAnsi="Arial Narrow" w:cs="Calibri"/>
                <w:color w:val="000000"/>
                <w:sz w:val="18"/>
                <w:szCs w:val="18"/>
              </w:rPr>
              <w:t xml:space="preserve">rocess or </w:t>
            </w:r>
            <w:r>
              <w:rPr>
                <w:rFonts w:ascii="Arial Narrow" w:eastAsia="Times New Roman" w:hAnsi="Arial Narrow" w:cs="Calibri"/>
                <w:color w:val="000000"/>
                <w:sz w:val="18"/>
                <w:szCs w:val="18"/>
              </w:rPr>
              <w:t>U</w:t>
            </w:r>
            <w:r w:rsidRPr="00C902F6">
              <w:rPr>
                <w:rFonts w:ascii="Arial Narrow" w:eastAsia="Times New Roman" w:hAnsi="Arial Narrow" w:cs="Calibri"/>
                <w:color w:val="000000"/>
                <w:sz w:val="18"/>
                <w:szCs w:val="18"/>
              </w:rPr>
              <w:t>se</w:t>
            </w:r>
            <w:r w:rsidR="00DA3B09">
              <w:rPr>
                <w:rFonts w:ascii="Arial Narrow" w:eastAsia="Times New Roman" w:hAnsi="Arial Narrow" w:cs="Calibri"/>
                <w:color w:val="000000"/>
                <w:sz w:val="18"/>
                <w:szCs w:val="18"/>
              </w:rPr>
              <w:t>”</w:t>
            </w:r>
            <w:r w:rsidRPr="00C902F6">
              <w:rPr>
                <w:rFonts w:ascii="Arial Narrow" w:eastAsia="Times New Roman" w:hAnsi="Arial Narrow" w:cs="Calibri"/>
                <w:color w:val="000000"/>
                <w:sz w:val="18"/>
                <w:szCs w:val="18"/>
              </w:rPr>
              <w: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9E47F"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F87A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0.230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4996A"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0.810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E5FBC"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B7C2C"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1.040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78BC2"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0.78</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0B98159"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0.811</w:t>
            </w:r>
          </w:p>
        </w:tc>
      </w:tr>
      <w:tr w:rsidR="005E45D4" w:rsidRPr="00C902F6" w14:paraId="77F103B3"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36F13854"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w:t>
            </w:r>
            <w:r w:rsidR="000C25CE">
              <w:rPr>
                <w:rFonts w:ascii="Arial Narrow" w:eastAsia="Times New Roman" w:hAnsi="Arial Narrow" w:cs="Calibri"/>
                <w:color w:val="000000"/>
                <w:sz w:val="18"/>
                <w:szCs w:val="18"/>
              </w:rPr>
              <w:t>1</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0AB7CB"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Sector</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9D950"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2A17C"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0.320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A0091"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0.750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49185"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F62C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1.070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E10E2"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0.78</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0EABA11"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0.835</w:t>
            </w:r>
          </w:p>
        </w:tc>
      </w:tr>
      <w:tr w:rsidR="005E45D4" w:rsidRPr="00C902F6" w14:paraId="63A3F271"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7427EF06"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w:t>
            </w:r>
            <w:r w:rsidR="000C25CE">
              <w:rPr>
                <w:rFonts w:ascii="Arial Narrow" w:eastAsia="Times New Roman" w:hAnsi="Arial Narrow" w:cs="Calibri"/>
                <w:color w:val="000000"/>
                <w:sz w:val="18"/>
                <w:szCs w:val="18"/>
              </w:rPr>
              <w:t>2</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B09A2E7"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Industrial Function Category</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B5D25"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13D7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1.650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0D7BA"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3.530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0C2F4"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3CFF4"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5.180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D77CA"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0.78</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6E96A68"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4.040</w:t>
            </w:r>
          </w:p>
        </w:tc>
      </w:tr>
      <w:tr w:rsidR="005E45D4" w:rsidRPr="00C902F6" w14:paraId="27D8251F"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2398D103"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w:t>
            </w:r>
            <w:r w:rsidR="000C25CE">
              <w:rPr>
                <w:rFonts w:ascii="Arial Narrow" w:eastAsia="Times New Roman" w:hAnsi="Arial Narrow" w:cs="Calibri"/>
                <w:color w:val="000000"/>
                <w:sz w:val="18"/>
                <w:szCs w:val="18"/>
              </w:rPr>
              <w:t>3</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8973283"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Percent of Production Volume</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99DF0"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CCB91"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4.220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A492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8.000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61279"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F7E9B"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12.220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8C132"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0.78</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728808B"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9.532</w:t>
            </w:r>
          </w:p>
        </w:tc>
      </w:tr>
      <w:tr w:rsidR="005E45D4" w:rsidRPr="00C902F6" w14:paraId="0AC2EA83"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2A14DAD3"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w:t>
            </w:r>
            <w:r w:rsidR="000C25CE">
              <w:rPr>
                <w:rFonts w:ascii="Arial Narrow" w:eastAsia="Times New Roman" w:hAnsi="Arial Narrow" w:cs="Calibri"/>
                <w:color w:val="000000"/>
                <w:sz w:val="18"/>
                <w:szCs w:val="18"/>
              </w:rPr>
              <w:t>4</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D1B8BD8"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Total Number of Processing and Use Sites</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D0CA57"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F4298"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2.820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ABD01"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7.310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1858A"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CBF1F"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10.130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CE6BF"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0.78</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02D0919"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7.901</w:t>
            </w:r>
          </w:p>
        </w:tc>
      </w:tr>
      <w:tr w:rsidR="005E45D4" w:rsidRPr="00C902F6" w14:paraId="0AB379D2"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72AB62C0"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w:t>
            </w:r>
            <w:r w:rsidR="000C25CE">
              <w:rPr>
                <w:rFonts w:ascii="Arial Narrow" w:eastAsia="Times New Roman" w:hAnsi="Arial Narrow" w:cs="Calibri"/>
                <w:color w:val="000000"/>
                <w:sz w:val="18"/>
                <w:szCs w:val="18"/>
              </w:rPr>
              <w:t>5</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3F864AD"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Total Number of Potentially Exposed Workers</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3AFD50"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4D64F"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3.060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E4BE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12.340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3718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82B3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15.400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FB2E1"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0.78</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F2E34FB"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12.012</w:t>
            </w:r>
          </w:p>
        </w:tc>
      </w:tr>
      <w:tr w:rsidR="005E45D4" w:rsidRPr="00C902F6" w14:paraId="4441760E" w14:textId="77777777" w:rsidTr="001A686C">
        <w:trPr>
          <w:trHeight w:val="290"/>
        </w:trPr>
        <w:tc>
          <w:tcPr>
            <w:tcW w:w="278" w:type="pct"/>
            <w:tcBorders>
              <w:top w:val="single" w:sz="4" w:space="0" w:color="auto"/>
              <w:left w:val="single" w:sz="8" w:space="0" w:color="auto"/>
              <w:bottom w:val="single" w:sz="4" w:space="0" w:color="auto"/>
              <w:right w:val="single" w:sz="4" w:space="0" w:color="auto"/>
            </w:tcBorders>
            <w:shd w:val="clear" w:color="auto" w:fill="F2F2F2"/>
            <w:vAlign w:val="center"/>
          </w:tcPr>
          <w:p w14:paraId="225531B3" w14:textId="77777777" w:rsidR="005E45D4" w:rsidRPr="00C902F6" w:rsidRDefault="005E45D4" w:rsidP="005E45D4">
            <w:pPr>
              <w:jc w:val="center"/>
              <w:rPr>
                <w:rFonts w:ascii="Arial Narrow" w:eastAsia="Times New Roman" w:hAnsi="Arial Narrow" w:cs="Calibri"/>
                <w:color w:val="000000"/>
                <w:sz w:val="18"/>
                <w:szCs w:val="18"/>
              </w:rPr>
            </w:pPr>
          </w:p>
        </w:tc>
        <w:tc>
          <w:tcPr>
            <w:tcW w:w="4722" w:type="pct"/>
            <w:gridSpan w:val="8"/>
            <w:tcBorders>
              <w:top w:val="single" w:sz="4" w:space="0" w:color="auto"/>
              <w:left w:val="single" w:sz="8" w:space="0" w:color="auto"/>
              <w:bottom w:val="single" w:sz="4" w:space="0" w:color="auto"/>
              <w:right w:val="single" w:sz="4" w:space="0" w:color="auto"/>
            </w:tcBorders>
            <w:shd w:val="clear" w:color="auto" w:fill="F2F2F2"/>
            <w:vAlign w:val="center"/>
            <w:hideMark/>
          </w:tcPr>
          <w:p w14:paraId="396073A6" w14:textId="77777777" w:rsidR="005E45D4" w:rsidRPr="00DF4FEA" w:rsidRDefault="005E45D4" w:rsidP="005E45D4">
            <w:pPr>
              <w:rPr>
                <w:rFonts w:ascii="Arial Narrow" w:eastAsia="Times New Roman" w:hAnsi="Arial Narrow" w:cs="Calibri"/>
                <w:i/>
                <w:color w:val="000000"/>
                <w:sz w:val="18"/>
                <w:szCs w:val="18"/>
              </w:rPr>
            </w:pPr>
            <w:r w:rsidRPr="00DF4FEA">
              <w:rPr>
                <w:rFonts w:ascii="Arial Narrow" w:eastAsia="Times New Roman" w:hAnsi="Arial Narrow" w:cs="Calibri"/>
                <w:i/>
                <w:color w:val="000000"/>
                <w:sz w:val="18"/>
                <w:szCs w:val="18"/>
              </w:rPr>
              <w:t>Consumer and Commercial Use Exposure-Related Data</w:t>
            </w:r>
          </w:p>
        </w:tc>
      </w:tr>
      <w:tr w:rsidR="005E45D4" w:rsidRPr="00C902F6" w14:paraId="05051151"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1E5ACD41" w14:textId="77777777" w:rsidR="005E45D4" w:rsidRPr="00C902F6" w:rsidRDefault="000C25CE"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26</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C810C1C" w14:textId="77777777" w:rsidR="005E45D4"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 xml:space="preserve">Determination of Applicability (includes </w:t>
            </w:r>
            <w:r w:rsidR="00DA3B09">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C</w:t>
            </w:r>
            <w:r w:rsidRPr="00C902F6">
              <w:rPr>
                <w:rFonts w:ascii="Arial Narrow" w:eastAsia="Times New Roman" w:hAnsi="Arial Narrow" w:cs="Calibri"/>
                <w:color w:val="000000"/>
                <w:sz w:val="18"/>
                <w:szCs w:val="18"/>
              </w:rPr>
              <w:t>onsumer</w:t>
            </w:r>
            <w:r>
              <w:rPr>
                <w:rFonts w:ascii="Arial Narrow" w:eastAsia="Times New Roman" w:hAnsi="Arial Narrow" w:cs="Calibri"/>
                <w:color w:val="000000"/>
                <w:sz w:val="18"/>
                <w:szCs w:val="18"/>
              </w:rPr>
              <w:t>,</w:t>
            </w:r>
          </w:p>
          <w:p w14:paraId="1DBA4B51"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C</w:t>
            </w:r>
            <w:r w:rsidRPr="00C902F6">
              <w:rPr>
                <w:rFonts w:ascii="Arial Narrow" w:eastAsia="Times New Roman" w:hAnsi="Arial Narrow" w:cs="Calibri"/>
                <w:color w:val="000000"/>
                <w:sz w:val="18"/>
                <w:szCs w:val="18"/>
              </w:rPr>
              <w:t>ommercial</w:t>
            </w:r>
            <w:r>
              <w:rPr>
                <w:rFonts w:ascii="Arial Narrow" w:eastAsia="Times New Roman" w:hAnsi="Arial Narrow" w:cs="Calibri"/>
                <w:color w:val="000000"/>
                <w:sz w:val="18"/>
                <w:szCs w:val="18"/>
              </w:rPr>
              <w:t xml:space="preserve"> or both</w:t>
            </w:r>
            <w:r w:rsidR="00DA3B09">
              <w:rPr>
                <w:rFonts w:ascii="Arial Narrow" w:eastAsia="Times New Roman" w:hAnsi="Arial Narrow" w:cs="Calibri"/>
                <w:color w:val="000000"/>
                <w:sz w:val="18"/>
                <w:szCs w:val="18"/>
              </w:rPr>
              <w:t>”</w:t>
            </w:r>
            <w:r w:rsidRPr="00C902F6">
              <w:rPr>
                <w:rFonts w:ascii="Arial Narrow" w:eastAsia="Times New Roman" w:hAnsi="Arial Narrow" w:cs="Calibri"/>
                <w:color w:val="000000"/>
                <w:sz w:val="18"/>
                <w:szCs w:val="18"/>
              </w:rPr>
              <w: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E81E4C"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F021A"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0.200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09DFF"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0.750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A37E6"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F3A8F"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0.950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66F25"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0.78</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1F2A732"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0.741</w:t>
            </w:r>
          </w:p>
        </w:tc>
      </w:tr>
      <w:tr w:rsidR="005E45D4" w:rsidRPr="00C902F6" w14:paraId="08DD9EDB"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2E76167C" w14:textId="77777777" w:rsidR="005E45D4" w:rsidRPr="00C902F6" w:rsidRDefault="000C25CE"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27</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3496685"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Identification of Production Category/Use by Children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EBD21"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A7967"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0.200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029CE"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0.670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07EF5"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33C8B"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0.870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67B89"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0.78</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ABE12A2"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0.679</w:t>
            </w:r>
          </w:p>
        </w:tc>
      </w:tr>
      <w:tr w:rsidR="005E45D4" w:rsidRPr="00C902F6" w14:paraId="16FB6177"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3923EE68" w14:textId="77777777" w:rsidR="005E45D4" w:rsidRPr="00C902F6" w:rsidRDefault="000C25CE"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28</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27DE41F"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Percent of Production Volume</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55906"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4F3E7"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0.360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DABA7"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1.010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EEB20"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F1313"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1.370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BA1AF"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0.78</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16691F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1.069</w:t>
            </w:r>
          </w:p>
        </w:tc>
      </w:tr>
      <w:tr w:rsidR="005E45D4" w:rsidRPr="00C902F6" w14:paraId="71F8FF7B" w14:textId="77777777" w:rsidTr="00E315AA">
        <w:trPr>
          <w:trHeight w:val="290"/>
        </w:trPr>
        <w:tc>
          <w:tcPr>
            <w:tcW w:w="278" w:type="pct"/>
            <w:tcBorders>
              <w:top w:val="single" w:sz="4" w:space="0" w:color="auto"/>
              <w:left w:val="single" w:sz="8" w:space="0" w:color="auto"/>
              <w:bottom w:val="single" w:sz="4" w:space="0" w:color="auto"/>
              <w:right w:val="single" w:sz="4" w:space="0" w:color="auto"/>
            </w:tcBorders>
            <w:vAlign w:val="center"/>
          </w:tcPr>
          <w:p w14:paraId="44D6E1CE" w14:textId="77777777" w:rsidR="005E45D4" w:rsidRPr="00C902F6" w:rsidRDefault="000C25CE"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29</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2A171EF"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Maximum Concentration by Category</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C85FD"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CFC2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0.280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31CD5"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1.090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607C6"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4FC16"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1.370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7CAF0"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0.78</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7C0FEB9"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1.069</w:t>
            </w:r>
          </w:p>
        </w:tc>
      </w:tr>
      <w:tr w:rsidR="005E45D4" w:rsidRPr="00C902F6" w14:paraId="24730D86" w14:textId="77777777" w:rsidTr="00E315AA">
        <w:trPr>
          <w:trHeight w:val="300"/>
        </w:trPr>
        <w:tc>
          <w:tcPr>
            <w:tcW w:w="278" w:type="pct"/>
            <w:tcBorders>
              <w:top w:val="single" w:sz="4" w:space="0" w:color="auto"/>
              <w:left w:val="single" w:sz="8" w:space="0" w:color="auto"/>
              <w:bottom w:val="single" w:sz="4" w:space="0" w:color="auto"/>
              <w:right w:val="single" w:sz="4" w:space="0" w:color="auto"/>
            </w:tcBorders>
            <w:vAlign w:val="center"/>
          </w:tcPr>
          <w:p w14:paraId="786E10AF"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3</w:t>
            </w:r>
            <w:r w:rsidR="000C25CE">
              <w:rPr>
                <w:rFonts w:ascii="Arial Narrow" w:eastAsia="Times New Roman" w:hAnsi="Arial Narrow" w:cs="Calibri"/>
                <w:color w:val="000000"/>
                <w:sz w:val="18"/>
                <w:szCs w:val="18"/>
              </w:rPr>
              <w:t>0</w:t>
            </w:r>
          </w:p>
        </w:tc>
        <w:tc>
          <w:tcPr>
            <w:tcW w:w="15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1830548" w14:textId="77777777" w:rsidR="005E45D4" w:rsidRPr="00C902F6" w:rsidRDefault="005E45D4" w:rsidP="005E45D4">
            <w:pP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Number of Commercial Workers Reasonably Likely to be exposed</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E70CE"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A338D"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3.060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88236"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12.340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83139"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54F38"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15.400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CE665"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0.78</w:t>
            </w:r>
            <w:r w:rsidR="00CE100A">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F9F7C5E" w14:textId="77777777" w:rsidR="005E45D4" w:rsidRPr="00C902F6" w:rsidRDefault="005E45D4" w:rsidP="00E315A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12.012</w:t>
            </w:r>
          </w:p>
        </w:tc>
      </w:tr>
      <w:tr w:rsidR="005E45D4" w:rsidRPr="00C902F6" w14:paraId="6DA4ABC1" w14:textId="77777777" w:rsidTr="00E315AA">
        <w:trPr>
          <w:trHeight w:val="300"/>
        </w:trPr>
        <w:tc>
          <w:tcPr>
            <w:tcW w:w="278" w:type="pct"/>
            <w:tcBorders>
              <w:top w:val="single" w:sz="4" w:space="0" w:color="auto"/>
              <w:left w:val="single" w:sz="8" w:space="0" w:color="auto"/>
              <w:bottom w:val="single" w:sz="4" w:space="0" w:color="auto"/>
              <w:right w:val="single" w:sz="4" w:space="0" w:color="auto"/>
            </w:tcBorders>
            <w:shd w:val="clear" w:color="000000" w:fill="FFFFFF"/>
            <w:vAlign w:val="center"/>
          </w:tcPr>
          <w:p w14:paraId="6CDA8C64" w14:textId="77777777" w:rsidR="005E45D4" w:rsidRPr="00C902F6" w:rsidRDefault="005E45D4" w:rsidP="005E45D4">
            <w:pPr>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3</w:t>
            </w:r>
            <w:r w:rsidR="000C25CE">
              <w:rPr>
                <w:rFonts w:ascii="Arial Narrow" w:eastAsia="Times New Roman" w:hAnsi="Arial Narrow" w:cs="Calibri"/>
                <w:color w:val="000000"/>
                <w:sz w:val="18"/>
                <w:szCs w:val="18"/>
              </w:rPr>
              <w:t>1</w:t>
            </w:r>
          </w:p>
        </w:tc>
        <w:tc>
          <w:tcPr>
            <w:tcW w:w="1586"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1748D9CF" w14:textId="77777777" w:rsidR="005E45D4" w:rsidRPr="00044368" w:rsidRDefault="005E45D4" w:rsidP="005E45D4">
            <w:pPr>
              <w:rPr>
                <w:rFonts w:ascii="Arial Narrow" w:eastAsia="Times New Roman" w:hAnsi="Arial Narrow" w:cs="Calibri"/>
                <w:color w:val="000000"/>
                <w:sz w:val="18"/>
                <w:szCs w:val="18"/>
                <w:lang w:val="fr-FR"/>
              </w:rPr>
            </w:pPr>
            <w:r w:rsidRPr="00044368">
              <w:rPr>
                <w:rFonts w:ascii="Arial Narrow" w:eastAsia="Times New Roman" w:hAnsi="Arial Narrow" w:cs="Calibri"/>
                <w:color w:val="000000"/>
                <w:sz w:val="18"/>
                <w:szCs w:val="18"/>
                <w:lang w:val="fr-FR"/>
              </w:rPr>
              <w:t>Non-Chem ID CBI Substantiation (Part III)</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D888E1" w14:textId="77777777" w:rsidR="005E45D4" w:rsidRPr="00C902F6" w:rsidRDefault="005E45D4" w:rsidP="005E45D4">
            <w:pPr>
              <w:jc w:val="center"/>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Per chemical</w:t>
            </w:r>
          </w:p>
        </w:tc>
        <w:tc>
          <w:tcPr>
            <w:tcW w:w="45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7FFCB" w14:textId="77777777" w:rsidR="005E45D4" w:rsidRPr="00791965" w:rsidRDefault="005E45D4" w:rsidP="00E315AA">
            <w:pPr>
              <w:ind w:right="216"/>
              <w:jc w:val="right"/>
              <w:rPr>
                <w:rFonts w:ascii="Arial Narrow" w:eastAsia="Times New Roman" w:hAnsi="Arial Narrow" w:cs="Calibri"/>
                <w:color w:val="000000"/>
                <w:sz w:val="18"/>
                <w:szCs w:val="18"/>
              </w:rPr>
            </w:pPr>
            <w:r w:rsidRPr="00791965">
              <w:rPr>
                <w:rFonts w:ascii="Arial Narrow" w:eastAsia="Times New Roman" w:hAnsi="Arial Narrow" w:cs="Calibri"/>
                <w:color w:val="000000"/>
                <w:sz w:val="18"/>
                <w:szCs w:val="18"/>
              </w:rPr>
              <w:t>0.320</w:t>
            </w:r>
          </w:p>
        </w:tc>
        <w:tc>
          <w:tcPr>
            <w:tcW w:w="50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D09B4" w14:textId="77777777" w:rsidR="005E45D4" w:rsidRPr="00791965" w:rsidRDefault="009D1526" w:rsidP="00E315AA">
            <w:pPr>
              <w:ind w:right="216"/>
              <w:jc w:val="right"/>
              <w:rPr>
                <w:rFonts w:ascii="Arial Narrow" w:eastAsia="Times New Roman" w:hAnsi="Arial Narrow" w:cs="Calibri"/>
                <w:color w:val="000000"/>
                <w:sz w:val="18"/>
                <w:szCs w:val="18"/>
              </w:rPr>
            </w:pPr>
            <w:r w:rsidRPr="00791965">
              <w:rPr>
                <w:rFonts w:ascii="Arial Narrow" w:eastAsia="Times New Roman" w:hAnsi="Arial Narrow" w:cs="Calibri"/>
                <w:color w:val="000000"/>
                <w:sz w:val="18"/>
                <w:szCs w:val="18"/>
              </w:rPr>
              <w:t>0</w:t>
            </w:r>
            <w:r w:rsidR="005E45D4" w:rsidRPr="00791965">
              <w:rPr>
                <w:rFonts w:ascii="Arial Narrow" w:eastAsia="Times New Roman" w:hAnsi="Arial Narrow" w:cs="Calibri"/>
                <w:color w:val="000000"/>
                <w:sz w:val="18"/>
                <w:szCs w:val="18"/>
              </w:rPr>
              <w:t>.</w:t>
            </w:r>
            <w:r w:rsidRPr="00791965">
              <w:rPr>
                <w:rFonts w:ascii="Arial Narrow" w:eastAsia="Times New Roman" w:hAnsi="Arial Narrow" w:cs="Calibri"/>
                <w:color w:val="000000"/>
                <w:sz w:val="18"/>
                <w:szCs w:val="18"/>
              </w:rPr>
              <w:t>8</w:t>
            </w:r>
            <w:r w:rsidR="005E45D4" w:rsidRPr="00791965">
              <w:rPr>
                <w:rFonts w:ascii="Arial Narrow" w:eastAsia="Times New Roman" w:hAnsi="Arial Narrow" w:cs="Calibri"/>
                <w:color w:val="000000"/>
                <w:sz w:val="18"/>
                <w:szCs w:val="18"/>
              </w:rPr>
              <w:t>30</w:t>
            </w:r>
          </w:p>
        </w:tc>
        <w:tc>
          <w:tcPr>
            <w:tcW w:w="4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A1B13" w14:textId="77777777" w:rsidR="005E45D4" w:rsidRPr="00791965" w:rsidRDefault="005E45D4" w:rsidP="00E315AA">
            <w:pPr>
              <w:ind w:right="216"/>
              <w:jc w:val="right"/>
              <w:rPr>
                <w:rFonts w:ascii="Arial Narrow" w:eastAsia="Times New Roman" w:hAnsi="Arial Narrow" w:cs="Calibri"/>
                <w:color w:val="000000"/>
                <w:sz w:val="18"/>
                <w:szCs w:val="18"/>
              </w:rPr>
            </w:pPr>
            <w:r w:rsidRPr="00791965">
              <w:rPr>
                <w:rFonts w:ascii="Arial Narrow" w:eastAsia="Times New Roman" w:hAnsi="Arial Narrow" w:cs="Calibri"/>
                <w:color w:val="000000"/>
                <w:sz w:val="18"/>
                <w:szCs w:val="18"/>
              </w:rPr>
              <w:t>0.000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D9C30" w14:textId="77777777" w:rsidR="005E45D4" w:rsidRPr="00791965" w:rsidRDefault="005E45D4" w:rsidP="00B015A8">
            <w:pPr>
              <w:ind w:right="216"/>
              <w:jc w:val="right"/>
              <w:rPr>
                <w:rFonts w:ascii="Arial Narrow" w:eastAsia="Times New Roman" w:hAnsi="Arial Narrow" w:cs="Calibri"/>
                <w:color w:val="000000"/>
                <w:sz w:val="18"/>
                <w:szCs w:val="18"/>
              </w:rPr>
            </w:pPr>
            <w:r w:rsidRPr="00791965">
              <w:rPr>
                <w:rFonts w:ascii="Arial Narrow" w:eastAsia="Times New Roman" w:hAnsi="Arial Narrow" w:cs="Calibri"/>
                <w:color w:val="000000"/>
                <w:sz w:val="18"/>
                <w:szCs w:val="18"/>
              </w:rPr>
              <w:t>1.</w:t>
            </w:r>
            <w:r w:rsidR="00B015A8" w:rsidRPr="00791965">
              <w:rPr>
                <w:rFonts w:ascii="Arial Narrow" w:eastAsia="Times New Roman" w:hAnsi="Arial Narrow" w:cs="Calibri"/>
                <w:color w:val="000000"/>
                <w:sz w:val="18"/>
                <w:szCs w:val="18"/>
              </w:rPr>
              <w:t>150</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DDA0C" w14:textId="77777777" w:rsidR="005E45D4" w:rsidRPr="00791965" w:rsidRDefault="005E45D4" w:rsidP="00E315AA">
            <w:pPr>
              <w:ind w:right="216"/>
              <w:jc w:val="right"/>
              <w:rPr>
                <w:rFonts w:ascii="Arial Narrow" w:eastAsia="Times New Roman" w:hAnsi="Arial Narrow" w:cs="Calibri"/>
                <w:color w:val="000000"/>
                <w:sz w:val="18"/>
                <w:szCs w:val="18"/>
              </w:rPr>
            </w:pPr>
            <w:r w:rsidRPr="00791965">
              <w:rPr>
                <w:rFonts w:ascii="Arial Narrow" w:eastAsia="Times New Roman" w:hAnsi="Arial Narrow" w:cs="Calibri"/>
                <w:color w:val="000000"/>
                <w:sz w:val="18"/>
                <w:szCs w:val="18"/>
              </w:rPr>
              <w:t>0.09</w:t>
            </w:r>
            <w:r w:rsidR="00CE100A" w:rsidRPr="00791965">
              <w:rPr>
                <w:rFonts w:ascii="Arial Narrow" w:eastAsia="Times New Roman" w:hAnsi="Arial Narrow" w:cs="Calibri"/>
                <w:color w:val="000000"/>
                <w:sz w:val="18"/>
                <w:szCs w:val="18"/>
              </w:rPr>
              <w:t>0</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912B488" w14:textId="77777777" w:rsidR="005E45D4" w:rsidRPr="00791965" w:rsidRDefault="005E45D4" w:rsidP="00E315AA">
            <w:pPr>
              <w:ind w:right="216"/>
              <w:jc w:val="right"/>
              <w:rPr>
                <w:rFonts w:ascii="Arial Narrow" w:eastAsia="Times New Roman" w:hAnsi="Arial Narrow" w:cs="Calibri"/>
                <w:color w:val="000000"/>
                <w:sz w:val="18"/>
                <w:szCs w:val="18"/>
              </w:rPr>
            </w:pPr>
            <w:r w:rsidRPr="00791965">
              <w:rPr>
                <w:rFonts w:ascii="Arial Narrow" w:eastAsia="Times New Roman" w:hAnsi="Arial Narrow" w:cs="Calibri"/>
                <w:color w:val="000000"/>
                <w:sz w:val="18"/>
                <w:szCs w:val="18"/>
              </w:rPr>
              <w:t>0.1</w:t>
            </w:r>
            <w:r w:rsidR="00B015A8" w:rsidRPr="00791965">
              <w:rPr>
                <w:rFonts w:ascii="Arial Narrow" w:eastAsia="Times New Roman" w:hAnsi="Arial Narrow" w:cs="Calibri"/>
                <w:color w:val="000000"/>
                <w:sz w:val="18"/>
                <w:szCs w:val="18"/>
              </w:rPr>
              <w:t>0</w:t>
            </w:r>
            <w:r w:rsidRPr="00791965">
              <w:rPr>
                <w:rFonts w:ascii="Arial Narrow" w:eastAsia="Times New Roman" w:hAnsi="Arial Narrow" w:cs="Calibri"/>
                <w:color w:val="000000"/>
                <w:sz w:val="18"/>
                <w:szCs w:val="18"/>
              </w:rPr>
              <w:t>4</w:t>
            </w:r>
          </w:p>
        </w:tc>
      </w:tr>
      <w:tr w:rsidR="005E45D4" w:rsidRPr="00C902F6" w14:paraId="21FBA169" w14:textId="77777777" w:rsidTr="00C0632D">
        <w:trPr>
          <w:trHeight w:val="300"/>
        </w:trPr>
        <w:tc>
          <w:tcPr>
            <w:tcW w:w="278" w:type="pct"/>
            <w:tcBorders>
              <w:top w:val="single" w:sz="4" w:space="0" w:color="auto"/>
              <w:left w:val="single" w:sz="8" w:space="0" w:color="auto"/>
              <w:bottom w:val="single" w:sz="4" w:space="0" w:color="auto"/>
              <w:right w:val="single" w:sz="4" w:space="0" w:color="auto"/>
            </w:tcBorders>
            <w:vAlign w:val="center"/>
          </w:tcPr>
          <w:p w14:paraId="615E0FF6" w14:textId="77777777" w:rsidR="005E45D4" w:rsidRPr="00C902F6" w:rsidRDefault="005E45D4" w:rsidP="005E45D4">
            <w:pPr>
              <w:jc w:val="center"/>
              <w:rPr>
                <w:rFonts w:ascii="Arial Narrow" w:eastAsia="Times New Roman" w:hAnsi="Arial Narrow" w:cs="Calibri"/>
                <w:b/>
                <w:bCs/>
                <w:color w:val="000000"/>
                <w:sz w:val="18"/>
                <w:szCs w:val="18"/>
              </w:rPr>
            </w:pPr>
          </w:p>
        </w:tc>
        <w:tc>
          <w:tcPr>
            <w:tcW w:w="158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0972C27" w14:textId="77777777" w:rsidR="005E45D4" w:rsidRPr="00C902F6" w:rsidRDefault="005E45D4" w:rsidP="005E45D4">
            <w:pPr>
              <w:rPr>
                <w:rFonts w:ascii="Arial Narrow" w:eastAsia="Times New Roman" w:hAnsi="Arial Narrow" w:cs="Calibri"/>
                <w:b/>
                <w:bCs/>
                <w:color w:val="000000"/>
                <w:sz w:val="18"/>
                <w:szCs w:val="18"/>
              </w:rPr>
            </w:pPr>
            <w:r w:rsidRPr="00C902F6">
              <w:rPr>
                <w:rFonts w:ascii="Arial Narrow" w:eastAsia="Times New Roman" w:hAnsi="Arial Narrow" w:cs="Calibri"/>
                <w:b/>
                <w:bCs/>
                <w:color w:val="000000"/>
                <w:sz w:val="18"/>
                <w:szCs w:val="18"/>
              </w:rPr>
              <w:t>Subtotal Parts I, II, III - Single Chemical Form Completion</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5C18F" w14:textId="77777777" w:rsidR="005E45D4" w:rsidRPr="00C902F6" w:rsidRDefault="005E45D4" w:rsidP="005E45D4">
            <w:pPr>
              <w:jc w:val="center"/>
              <w:rPr>
                <w:rFonts w:ascii="Arial Narrow" w:eastAsia="Times New Roman" w:hAnsi="Arial Narrow" w:cs="Calibri"/>
                <w:b/>
                <w:bCs/>
                <w:color w:val="000000"/>
                <w:sz w:val="18"/>
                <w:szCs w:val="18"/>
              </w:rPr>
            </w:pP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5F92A6" w14:textId="77777777" w:rsidR="005E45D4" w:rsidRPr="00C902F6" w:rsidRDefault="005E45D4" w:rsidP="00E315AA">
            <w:pPr>
              <w:ind w:right="216"/>
              <w:jc w:val="right"/>
              <w:rPr>
                <w:rFonts w:ascii="Arial Narrow" w:eastAsia="Times New Roman" w:hAnsi="Arial Narrow" w:cs="Calibri"/>
                <w:b/>
                <w:bCs/>
                <w:sz w:val="18"/>
                <w:szCs w:val="18"/>
              </w:rPr>
            </w:pP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99BFC" w14:textId="77777777" w:rsidR="005E45D4" w:rsidRPr="00C902F6" w:rsidRDefault="005E45D4" w:rsidP="00E315AA">
            <w:pPr>
              <w:ind w:right="216"/>
              <w:jc w:val="right"/>
              <w:rPr>
                <w:rFonts w:ascii="Arial Narrow" w:eastAsia="Times New Roman" w:hAnsi="Arial Narrow" w:cs="Calibri"/>
                <w:b/>
                <w:bCs/>
                <w:sz w:val="18"/>
                <w:szCs w:val="18"/>
              </w:rPr>
            </w:pP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1D66E" w14:textId="77777777" w:rsidR="005E45D4" w:rsidRPr="00C902F6" w:rsidRDefault="005E45D4" w:rsidP="00E315AA">
            <w:pPr>
              <w:ind w:right="216"/>
              <w:jc w:val="right"/>
              <w:rPr>
                <w:rFonts w:ascii="Arial Narrow" w:eastAsia="Times New Roman" w:hAnsi="Arial Narrow" w:cs="Calibri"/>
                <w:b/>
                <w:bCs/>
                <w:sz w:val="18"/>
                <w:szCs w:val="18"/>
              </w:rPr>
            </w:pP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C2988" w14:textId="77777777" w:rsidR="005E45D4" w:rsidRPr="00C902F6" w:rsidRDefault="005E45D4" w:rsidP="00E315AA">
            <w:pPr>
              <w:ind w:right="216"/>
              <w:jc w:val="right"/>
              <w:rPr>
                <w:rFonts w:ascii="Arial Narrow" w:eastAsia="Times New Roman" w:hAnsi="Arial Narrow" w:cs="Calibri"/>
                <w:b/>
                <w:bCs/>
                <w:sz w:val="18"/>
                <w:szCs w:val="18"/>
              </w:rPr>
            </w:pP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20BA4" w14:textId="77777777" w:rsidR="005E45D4" w:rsidRPr="00C902F6" w:rsidRDefault="005E45D4" w:rsidP="00E315AA">
            <w:pPr>
              <w:ind w:right="216"/>
              <w:jc w:val="right"/>
              <w:rPr>
                <w:rFonts w:ascii="Arial Narrow" w:eastAsia="Times New Roman" w:hAnsi="Arial Narrow" w:cs="Calibri"/>
                <w:b/>
                <w:bCs/>
                <w:sz w:val="18"/>
                <w:szCs w:val="18"/>
              </w:rPr>
            </w:pPr>
            <w:r w:rsidRPr="00C902F6">
              <w:rPr>
                <w:rFonts w:ascii="Arial Narrow" w:eastAsia="Times New Roman" w:hAnsi="Arial Narrow" w:cs="Calibri"/>
                <w:b/>
                <w:bCs/>
                <w:sz w:val="18"/>
                <w:szCs w:val="18"/>
              </w:rPr>
              <w:t> </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A15661F" w14:textId="77777777" w:rsidR="005E45D4" w:rsidRPr="00791965" w:rsidRDefault="00CF274E" w:rsidP="00E315AA">
            <w:pPr>
              <w:ind w:right="216"/>
              <w:jc w:val="right"/>
              <w:rPr>
                <w:rFonts w:ascii="Arial Narrow" w:eastAsia="Times New Roman" w:hAnsi="Arial Narrow" w:cs="Calibri"/>
                <w:b/>
                <w:bCs/>
                <w:sz w:val="18"/>
                <w:szCs w:val="18"/>
              </w:rPr>
            </w:pPr>
            <w:r w:rsidRPr="00CF274E">
              <w:rPr>
                <w:rFonts w:ascii="Arial Narrow" w:eastAsia="Times New Roman" w:hAnsi="Arial Narrow" w:cs="Calibri"/>
                <w:b/>
                <w:bCs/>
                <w:sz w:val="18"/>
                <w:szCs w:val="18"/>
              </w:rPr>
              <w:t>64.850</w:t>
            </w:r>
          </w:p>
        </w:tc>
      </w:tr>
      <w:tr w:rsidR="005C661A" w:rsidRPr="00C902F6" w14:paraId="424EDF75" w14:textId="77777777" w:rsidTr="00CB3800">
        <w:trPr>
          <w:trHeight w:val="300"/>
        </w:trPr>
        <w:tc>
          <w:tcPr>
            <w:tcW w:w="278" w:type="pct"/>
            <w:tcBorders>
              <w:top w:val="single" w:sz="4" w:space="0" w:color="auto"/>
              <w:left w:val="single" w:sz="8" w:space="0" w:color="auto"/>
              <w:bottom w:val="single" w:sz="4" w:space="0" w:color="auto"/>
              <w:right w:val="single" w:sz="4" w:space="0" w:color="auto"/>
            </w:tcBorders>
            <w:shd w:val="clear" w:color="000000" w:fill="FFFFFF"/>
            <w:vAlign w:val="center"/>
          </w:tcPr>
          <w:p w14:paraId="4D6BED38" w14:textId="77777777" w:rsidR="005C661A" w:rsidRPr="00C902F6" w:rsidRDefault="005C661A" w:rsidP="005C661A">
            <w:pPr>
              <w:jc w:val="center"/>
              <w:rPr>
                <w:rFonts w:ascii="Arial Narrow" w:eastAsia="Times New Roman" w:hAnsi="Arial Narrow" w:cs="Calibri"/>
                <w:b/>
                <w:bCs/>
                <w:color w:val="000000"/>
                <w:sz w:val="18"/>
                <w:szCs w:val="18"/>
              </w:rPr>
            </w:pPr>
          </w:p>
        </w:tc>
        <w:tc>
          <w:tcPr>
            <w:tcW w:w="3338" w:type="pct"/>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14:paraId="40786066" w14:textId="77777777" w:rsidR="005C661A" w:rsidRPr="00C902F6" w:rsidRDefault="005C661A" w:rsidP="005C661A">
            <w:pPr>
              <w:rPr>
                <w:rFonts w:ascii="Arial Narrow" w:eastAsia="Times New Roman" w:hAnsi="Arial Narrow" w:cs="Calibri"/>
                <w:b/>
                <w:bCs/>
                <w:color w:val="000000"/>
                <w:sz w:val="18"/>
                <w:szCs w:val="18"/>
              </w:rPr>
            </w:pPr>
            <w:r w:rsidRPr="00C902F6">
              <w:rPr>
                <w:rFonts w:ascii="Arial Narrow" w:eastAsia="Times New Roman" w:hAnsi="Arial Narrow" w:cs="Calibri"/>
                <w:b/>
                <w:bCs/>
                <w:color w:val="000000"/>
                <w:sz w:val="18"/>
                <w:szCs w:val="18"/>
              </w:rPr>
              <w:t xml:space="preserve">Subtotal Parts I, II, III </w:t>
            </w:r>
            <w:r>
              <w:rPr>
                <w:rFonts w:ascii="Arial Narrow" w:eastAsia="Times New Roman" w:hAnsi="Arial Narrow" w:cs="Calibri"/>
                <w:b/>
                <w:bCs/>
                <w:color w:val="000000"/>
                <w:sz w:val="18"/>
                <w:szCs w:val="18"/>
              </w:rPr>
              <w:t>–</w:t>
            </w:r>
            <w:r w:rsidRPr="00C902F6">
              <w:rPr>
                <w:rFonts w:ascii="Arial Narrow" w:eastAsia="Times New Roman" w:hAnsi="Arial Narrow" w:cs="Calibri"/>
                <w:b/>
                <w:bCs/>
                <w:color w:val="000000"/>
                <w:sz w:val="18"/>
                <w:szCs w:val="18"/>
              </w:rPr>
              <w:t xml:space="preserve"> </w:t>
            </w:r>
            <w:r>
              <w:rPr>
                <w:rFonts w:ascii="Arial Narrow" w:eastAsia="Times New Roman" w:hAnsi="Arial Narrow" w:cs="Calibri"/>
                <w:b/>
                <w:bCs/>
                <w:color w:val="000000"/>
                <w:sz w:val="18"/>
                <w:szCs w:val="18"/>
              </w:rPr>
              <w:t xml:space="preserve">Average </w:t>
            </w:r>
            <w:r w:rsidRPr="00C902F6">
              <w:rPr>
                <w:rFonts w:ascii="Arial Narrow" w:eastAsia="Times New Roman" w:hAnsi="Arial Narrow" w:cs="Calibri"/>
                <w:b/>
                <w:bCs/>
                <w:color w:val="000000"/>
                <w:sz w:val="18"/>
                <w:szCs w:val="18"/>
              </w:rPr>
              <w:t>Multi -Chemical Form Completion (7.5 chemicals)</w:t>
            </w:r>
            <w:r>
              <w:rPr>
                <w:rFonts w:ascii="Arial Narrow" w:eastAsia="Times New Roman" w:hAnsi="Arial Narrow" w:cs="Calibri"/>
                <w:bCs/>
                <w:color w:val="000000"/>
                <w:sz w:val="18"/>
                <w:szCs w:val="18"/>
                <w:vertAlign w:val="superscript"/>
              </w:rPr>
              <w:t>2</w:t>
            </w:r>
          </w:p>
        </w:tc>
        <w:tc>
          <w:tcPr>
            <w:tcW w:w="45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707D6" w14:textId="77777777" w:rsidR="005C661A" w:rsidRPr="00C902F6" w:rsidRDefault="005C661A" w:rsidP="005C661A">
            <w:pPr>
              <w:ind w:right="216"/>
              <w:jc w:val="right"/>
              <w:rPr>
                <w:rFonts w:ascii="Arial Narrow" w:eastAsia="Times New Roman" w:hAnsi="Arial Narrow" w:cs="Calibri"/>
                <w:b/>
                <w:bCs/>
                <w:color w:val="000000"/>
                <w:sz w:val="18"/>
                <w:szCs w:val="18"/>
              </w:rPr>
            </w:pPr>
          </w:p>
        </w:tc>
        <w:tc>
          <w:tcPr>
            <w:tcW w:w="4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949454" w14:textId="77777777" w:rsidR="005C661A" w:rsidRPr="00C902F6" w:rsidRDefault="005C661A" w:rsidP="005C661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 </w:t>
            </w:r>
          </w:p>
        </w:tc>
        <w:tc>
          <w:tcPr>
            <w:tcW w:w="452" w:type="pct"/>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420B3075" w14:textId="77777777" w:rsidR="005C661A" w:rsidRPr="00CB3800" w:rsidRDefault="00CF274E" w:rsidP="005C661A">
            <w:pPr>
              <w:ind w:right="216"/>
              <w:jc w:val="right"/>
              <w:rPr>
                <w:rFonts w:ascii="Arial Narrow" w:eastAsia="Times New Roman" w:hAnsi="Arial Narrow" w:cs="Calibri"/>
                <w:b/>
                <w:bCs/>
                <w:sz w:val="18"/>
                <w:szCs w:val="18"/>
              </w:rPr>
            </w:pPr>
            <w:r w:rsidRPr="00CF274E">
              <w:rPr>
                <w:rFonts w:ascii="Arial Narrow" w:eastAsia="Times New Roman" w:hAnsi="Arial Narrow" w:cs="Calibri"/>
                <w:b/>
                <w:bCs/>
                <w:sz w:val="18"/>
                <w:szCs w:val="18"/>
              </w:rPr>
              <w:t>474.13</w:t>
            </w:r>
          </w:p>
        </w:tc>
      </w:tr>
      <w:tr w:rsidR="005C661A" w:rsidRPr="00C902F6" w14:paraId="3B5A2D9C" w14:textId="77777777" w:rsidTr="00CB3800">
        <w:trPr>
          <w:trHeight w:val="494"/>
        </w:trPr>
        <w:tc>
          <w:tcPr>
            <w:tcW w:w="278" w:type="pct"/>
            <w:tcBorders>
              <w:top w:val="single" w:sz="4" w:space="0" w:color="auto"/>
              <w:left w:val="single" w:sz="8" w:space="0" w:color="auto"/>
              <w:bottom w:val="single" w:sz="4" w:space="0" w:color="auto"/>
              <w:right w:val="single" w:sz="4" w:space="0" w:color="auto"/>
            </w:tcBorders>
            <w:vAlign w:val="center"/>
          </w:tcPr>
          <w:p w14:paraId="66DF5502" w14:textId="77777777" w:rsidR="005C661A" w:rsidRPr="00C902F6" w:rsidRDefault="005C661A" w:rsidP="005C661A">
            <w:pPr>
              <w:jc w:val="center"/>
              <w:rPr>
                <w:rFonts w:ascii="Arial Narrow" w:eastAsia="Times New Roman" w:hAnsi="Arial Narrow" w:cs="Calibri"/>
                <w:b/>
                <w:bCs/>
                <w:color w:val="000000"/>
                <w:sz w:val="18"/>
                <w:szCs w:val="18"/>
              </w:rPr>
            </w:pPr>
          </w:p>
        </w:tc>
        <w:tc>
          <w:tcPr>
            <w:tcW w:w="3338" w:type="pct"/>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0CD0ED6" w14:textId="77777777" w:rsidR="005C661A" w:rsidRPr="00C902F6" w:rsidRDefault="005C661A" w:rsidP="005C661A">
            <w:pPr>
              <w:rPr>
                <w:rFonts w:ascii="Arial Narrow" w:eastAsia="Times New Roman" w:hAnsi="Arial Narrow" w:cs="Calibri"/>
                <w:b/>
                <w:bCs/>
                <w:color w:val="FFFFFF"/>
                <w:sz w:val="18"/>
                <w:szCs w:val="18"/>
              </w:rPr>
            </w:pPr>
            <w:r w:rsidRPr="00C902F6">
              <w:rPr>
                <w:rFonts w:ascii="Arial Narrow" w:eastAsia="Times New Roman" w:hAnsi="Arial Narrow" w:cs="Calibri"/>
                <w:b/>
                <w:bCs/>
                <w:color w:val="000000"/>
                <w:sz w:val="18"/>
                <w:szCs w:val="18"/>
              </w:rPr>
              <w:t>Total</w:t>
            </w:r>
            <w:r>
              <w:rPr>
                <w:rFonts w:ascii="Arial Narrow" w:eastAsia="Times New Roman" w:hAnsi="Arial Narrow" w:cs="Calibri"/>
                <w:b/>
                <w:bCs/>
                <w:color w:val="000000"/>
                <w:sz w:val="18"/>
                <w:szCs w:val="18"/>
              </w:rPr>
              <w:t>, Average</w:t>
            </w:r>
            <w:r w:rsidRPr="00C902F6">
              <w:rPr>
                <w:rFonts w:ascii="Arial Narrow" w:eastAsia="Times New Roman" w:hAnsi="Arial Narrow" w:cs="Calibri"/>
                <w:b/>
                <w:bCs/>
                <w:color w:val="000000"/>
                <w:sz w:val="18"/>
                <w:szCs w:val="18"/>
              </w:rPr>
              <w:t xml:space="preserve"> Multi-Chemical Preparation and Submission</w:t>
            </w:r>
            <w:r>
              <w:rPr>
                <w:rFonts w:ascii="Arial Narrow" w:eastAsia="Times New Roman" w:hAnsi="Arial Narrow" w:cs="Calibri"/>
                <w:b/>
                <w:bCs/>
                <w:color w:val="000000"/>
                <w:sz w:val="18"/>
                <w:szCs w:val="18"/>
              </w:rPr>
              <w:t>—</w:t>
            </w:r>
            <w:r w:rsidRPr="00C902F6">
              <w:rPr>
                <w:rFonts w:ascii="Arial Narrow" w:eastAsia="Times New Roman" w:hAnsi="Arial Narrow" w:cs="Calibri"/>
                <w:b/>
                <w:bCs/>
                <w:color w:val="000000"/>
                <w:sz w:val="18"/>
                <w:szCs w:val="18"/>
              </w:rPr>
              <w:t>includes rule familiarization, compliance determination, form completion, and recordkeeping</w:t>
            </w:r>
            <w:r w:rsidRPr="00C902F6">
              <w:rPr>
                <w:rFonts w:ascii="Arial Narrow" w:eastAsia="Times New Roman" w:hAnsi="Arial Narrow" w:cs="Calibri"/>
                <w:b/>
                <w:bCs/>
                <w:color w:val="FFFFFF"/>
                <w:sz w:val="18"/>
                <w:szCs w:val="18"/>
              </w:rPr>
              <w:t> </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EEACD" w14:textId="77777777" w:rsidR="005C661A" w:rsidRPr="00C902F6" w:rsidRDefault="005C661A" w:rsidP="005C661A">
            <w:pPr>
              <w:ind w:right="216"/>
              <w:jc w:val="right"/>
              <w:rPr>
                <w:rFonts w:ascii="Arial Narrow" w:eastAsia="Times New Roman" w:hAnsi="Arial Narrow" w:cs="Calibri"/>
                <w:b/>
                <w:bCs/>
                <w:sz w:val="18"/>
                <w:szCs w:val="18"/>
              </w:rPr>
            </w:pP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2AA1E" w14:textId="77777777" w:rsidR="005C661A" w:rsidRPr="00C902F6" w:rsidRDefault="005C661A" w:rsidP="005C661A">
            <w:pPr>
              <w:ind w:right="216"/>
              <w:jc w:val="right"/>
              <w:rPr>
                <w:rFonts w:ascii="Arial Narrow" w:eastAsia="Times New Roman" w:hAnsi="Arial Narrow" w:cs="Calibri"/>
                <w:color w:val="000000"/>
                <w:sz w:val="18"/>
                <w:szCs w:val="18"/>
              </w:rPr>
            </w:pPr>
            <w:r w:rsidRPr="00C902F6">
              <w:rPr>
                <w:rFonts w:ascii="Arial Narrow" w:eastAsia="Times New Roman" w:hAnsi="Arial Narrow" w:cs="Calibri"/>
                <w:color w:val="000000"/>
                <w:sz w:val="18"/>
                <w:szCs w:val="18"/>
              </w:rPr>
              <w:t> </w:t>
            </w:r>
          </w:p>
        </w:tc>
        <w:tc>
          <w:tcPr>
            <w:tcW w:w="452"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0850D3F" w14:textId="77777777" w:rsidR="005C661A" w:rsidRPr="00C902F6" w:rsidRDefault="00CF274E" w:rsidP="005C661A">
            <w:pPr>
              <w:ind w:right="216"/>
              <w:jc w:val="right"/>
              <w:rPr>
                <w:rFonts w:ascii="Arial Narrow" w:eastAsia="Times New Roman" w:hAnsi="Arial Narrow" w:cs="Calibri"/>
                <w:b/>
                <w:bCs/>
                <w:sz w:val="18"/>
                <w:szCs w:val="18"/>
              </w:rPr>
            </w:pPr>
            <w:r w:rsidRPr="00CF274E">
              <w:rPr>
                <w:rFonts w:ascii="Arial Narrow" w:eastAsia="Times New Roman" w:hAnsi="Arial Narrow" w:cs="Calibri"/>
                <w:b/>
                <w:bCs/>
                <w:sz w:val="18"/>
                <w:szCs w:val="18"/>
              </w:rPr>
              <w:t>483.63</w:t>
            </w:r>
          </w:p>
        </w:tc>
      </w:tr>
      <w:tr w:rsidR="00502BC7" w:rsidRPr="00C902F6" w14:paraId="03DCF9FE" w14:textId="77777777" w:rsidTr="00502BC7">
        <w:trPr>
          <w:trHeight w:val="494"/>
        </w:trPr>
        <w:tc>
          <w:tcPr>
            <w:tcW w:w="5000" w:type="pct"/>
            <w:gridSpan w:val="9"/>
            <w:tcBorders>
              <w:top w:val="single" w:sz="8" w:space="0" w:color="auto"/>
              <w:left w:val="single" w:sz="8" w:space="0" w:color="auto"/>
              <w:bottom w:val="single" w:sz="8" w:space="0" w:color="auto"/>
              <w:right w:val="single" w:sz="8" w:space="0" w:color="auto"/>
            </w:tcBorders>
            <w:vAlign w:val="center"/>
          </w:tcPr>
          <w:p w14:paraId="0D94A01A" w14:textId="77777777" w:rsidR="00502BC7" w:rsidRDefault="00D93DD7" w:rsidP="00684860">
            <w:pPr>
              <w:pStyle w:val="Footnotetables"/>
              <w:rPr>
                <w:rFonts w:eastAsia="Times New Roman" w:cs="Calibri"/>
                <w:bCs/>
                <w:szCs w:val="18"/>
              </w:rPr>
            </w:pPr>
            <w:r w:rsidRPr="00D93DD7">
              <w:rPr>
                <w:rFonts w:eastAsia="Times New Roman" w:cs="Calibri"/>
                <w:bCs/>
                <w:szCs w:val="18"/>
              </w:rPr>
              <w:t>General Note:</w:t>
            </w:r>
          </w:p>
          <w:p w14:paraId="19CEC48A" w14:textId="77777777" w:rsidR="00D93DD7" w:rsidRPr="002576FE" w:rsidRDefault="00D93DD7" w:rsidP="004D4DC1">
            <w:pPr>
              <w:pStyle w:val="Footnotetables"/>
              <w:numPr>
                <w:ilvl w:val="0"/>
                <w:numId w:val="24"/>
              </w:numPr>
              <w:rPr>
                <w:rFonts w:eastAsia="Times New Roman" w:cs="Calibri"/>
                <w:bCs/>
                <w:szCs w:val="18"/>
              </w:rPr>
            </w:pPr>
            <w:r>
              <w:rPr>
                <w:rFonts w:eastAsia="Times New Roman" w:cs="Calibri"/>
                <w:bCs/>
                <w:szCs w:val="18"/>
              </w:rPr>
              <w:t>See Table 2 for details regarding new CBI substantiation requirements and treatment of joint submissions (i.e., data from Form U Part IV).</w:t>
            </w:r>
          </w:p>
          <w:p w14:paraId="2C56935D" w14:textId="77777777" w:rsidR="003D58A1" w:rsidRDefault="003D58A1" w:rsidP="00684860">
            <w:pPr>
              <w:pStyle w:val="Footnotetables"/>
              <w:rPr>
                <w:rFonts w:eastAsia="Times New Roman" w:cs="Calibri"/>
                <w:bCs/>
                <w:szCs w:val="18"/>
              </w:rPr>
            </w:pPr>
          </w:p>
          <w:p w14:paraId="1060173A" w14:textId="77777777" w:rsidR="00D93DD7" w:rsidRDefault="003D58A1" w:rsidP="004F5039">
            <w:pPr>
              <w:pStyle w:val="Footnotetables"/>
              <w:rPr>
                <w:rFonts w:eastAsia="Times New Roman" w:cs="Calibri"/>
                <w:bCs/>
                <w:szCs w:val="18"/>
              </w:rPr>
            </w:pPr>
            <w:r>
              <w:rPr>
                <w:rFonts w:eastAsia="Times New Roman" w:cs="Calibri"/>
                <w:bCs/>
                <w:szCs w:val="18"/>
              </w:rPr>
              <w:t xml:space="preserve">Table </w:t>
            </w:r>
            <w:r w:rsidR="00D93DD7">
              <w:rPr>
                <w:rFonts w:eastAsia="Times New Roman" w:cs="Calibri"/>
                <w:bCs/>
                <w:szCs w:val="18"/>
              </w:rPr>
              <w:t>Footnotes:</w:t>
            </w:r>
          </w:p>
          <w:p w14:paraId="5167C7A3" w14:textId="77777777" w:rsidR="00D93DD7" w:rsidRPr="00C902F6" w:rsidRDefault="00D93DD7" w:rsidP="004F5039">
            <w:pPr>
              <w:pStyle w:val="Footnotetables"/>
              <w:ind w:left="0" w:firstLine="0"/>
            </w:pPr>
            <w:r w:rsidRPr="00C902F6">
              <w:rPr>
                <w:vertAlign w:val="superscript"/>
              </w:rPr>
              <w:t>1</w:t>
            </w:r>
            <w:r>
              <w:t>Unit burdens are pro-</w:t>
            </w:r>
            <w:r w:rsidR="00910A99">
              <w:t>rated according to occurrence</w:t>
            </w:r>
            <w:r>
              <w:t xml:space="preserve"> as measured in </w:t>
            </w:r>
            <w:r w:rsidR="006E7465">
              <w:t xml:space="preserve">2016 </w:t>
            </w:r>
            <w:r>
              <w:t>CDR (</w:t>
            </w:r>
            <w:r w:rsidR="00F55464">
              <w:t>US EPA, 2017</w:t>
            </w:r>
            <w:r w:rsidR="006A0537">
              <w:t>c</w:t>
            </w:r>
            <w:r>
              <w:t xml:space="preserve">) for </w:t>
            </w:r>
            <w:r w:rsidRPr="00C902F6">
              <w:t>% joint submission</w:t>
            </w:r>
            <w:r>
              <w:t xml:space="preserve"> for Joint Submission Information</w:t>
            </w:r>
            <w:r w:rsidRPr="00C902F6">
              <w:t>, % CBI</w:t>
            </w:r>
            <w:r>
              <w:t xml:space="preserve"> pertaining to Chem</w:t>
            </w:r>
            <w:r w:rsidR="00910A99">
              <w:t xml:space="preserve"> </w:t>
            </w:r>
            <w:r>
              <w:t>ID, Part II and Part III CBI Substantiation, and % full reports for all of Part III.</w:t>
            </w:r>
            <w:r w:rsidR="009519DC">
              <w:t xml:space="preserve"> See also Table 12.</w:t>
            </w:r>
          </w:p>
          <w:p w14:paraId="1562A191" w14:textId="77777777" w:rsidR="00577417" w:rsidRPr="00C0632D" w:rsidRDefault="00D93DD7" w:rsidP="00661442">
            <w:pPr>
              <w:pStyle w:val="Footnotetables"/>
              <w:ind w:left="0" w:firstLine="0"/>
            </w:pPr>
            <w:r>
              <w:rPr>
                <w:vertAlign w:val="superscript"/>
              </w:rPr>
              <w:t>2</w:t>
            </w:r>
            <w:r w:rsidRPr="00625217">
              <w:t xml:space="preserve">The average number of chemicals per site submission overall is measured at 7.5 chemicals per site, using </w:t>
            </w:r>
            <w:r w:rsidR="006E7465">
              <w:t xml:space="preserve">2016 </w:t>
            </w:r>
            <w:r w:rsidRPr="00625217">
              <w:t>CDR information (</w:t>
            </w:r>
            <w:r w:rsidR="00F55464">
              <w:t>US EPA, 2017</w:t>
            </w:r>
            <w:r w:rsidR="006A0537">
              <w:t>c</w:t>
            </w:r>
            <w:r w:rsidRPr="00625217">
              <w:t>).</w:t>
            </w:r>
            <w:r w:rsidR="00936CDB">
              <w:t xml:space="preserve"> </w:t>
            </w:r>
            <w:r w:rsidR="00577417">
              <w:t>Multi-chemical form completion entails performing activities</w:t>
            </w:r>
            <w:r w:rsidR="00647F3D">
              <w:t xml:space="preserve"> of</w:t>
            </w:r>
            <w:r w:rsidR="00577417">
              <w:t xml:space="preserve"> items</w:t>
            </w:r>
            <w:r w:rsidR="00791965">
              <w:t xml:space="preserve"> 4</w:t>
            </w:r>
            <w:r w:rsidR="00CC68FC">
              <w:t xml:space="preserve"> through </w:t>
            </w:r>
            <w:r w:rsidR="00DD7284">
              <w:t>6</w:t>
            </w:r>
            <w:r w:rsidR="00936CDB">
              <w:t xml:space="preserve"> once (</w:t>
            </w:r>
            <w:r w:rsidR="00577417">
              <w:t>per site)</w:t>
            </w:r>
            <w:r w:rsidR="007268F0">
              <w:t>,</w:t>
            </w:r>
            <w:r w:rsidR="00577417">
              <w:t xml:space="preserve"> and activities </w:t>
            </w:r>
            <w:r w:rsidR="00647F3D">
              <w:t>of</w:t>
            </w:r>
            <w:r w:rsidR="00577417">
              <w:t xml:space="preserve"> items </w:t>
            </w:r>
            <w:r w:rsidR="00DD7284">
              <w:t>7</w:t>
            </w:r>
            <w:r w:rsidR="00CC68FC">
              <w:t xml:space="preserve"> through </w:t>
            </w:r>
            <w:r w:rsidR="00577417">
              <w:t>3</w:t>
            </w:r>
            <w:r w:rsidR="00661442">
              <w:t>1</w:t>
            </w:r>
            <w:r w:rsidR="00577417">
              <w:t xml:space="preserve"> for 7.5 times</w:t>
            </w:r>
            <w:r w:rsidR="00936CDB">
              <w:t xml:space="preserve"> (once per chemical)</w:t>
            </w:r>
            <w:r w:rsidR="00577417">
              <w:t xml:space="preserve">. </w:t>
            </w:r>
          </w:p>
        </w:tc>
      </w:tr>
    </w:tbl>
    <w:p w14:paraId="4F6F2F3C" w14:textId="77777777" w:rsidR="00F06BA6" w:rsidRDefault="00F06BA6" w:rsidP="000F6439"/>
    <w:p w14:paraId="7773DFD8" w14:textId="77777777" w:rsidR="009A1BF1" w:rsidRDefault="009A1BF1">
      <w:pPr>
        <w:spacing w:after="200" w:line="276" w:lineRule="auto"/>
      </w:pPr>
      <w:r>
        <w:br w:type="page"/>
      </w:r>
    </w:p>
    <w:p w14:paraId="335F5383" w14:textId="77777777" w:rsidR="00F06BA6" w:rsidRPr="009E058D" w:rsidRDefault="00F06BA6" w:rsidP="000F6439">
      <w:pPr>
        <w:sectPr w:rsidR="00F06BA6" w:rsidRPr="009E058D" w:rsidSect="008D0116">
          <w:headerReference w:type="default" r:id="rId35"/>
          <w:footerReference w:type="default" r:id="rId36"/>
          <w:pgSz w:w="15840" w:h="12240" w:orient="landscape"/>
          <w:pgMar w:top="1440" w:right="1440" w:bottom="1440" w:left="1440" w:header="720" w:footer="720" w:gutter="0"/>
          <w:cols w:space="720"/>
          <w:docGrid w:linePitch="360"/>
        </w:sectPr>
      </w:pPr>
    </w:p>
    <w:p w14:paraId="6B138DBF" w14:textId="77777777" w:rsidR="00A77302" w:rsidRDefault="0063242D" w:rsidP="000F6439">
      <w:pPr>
        <w:pStyle w:val="BodyText"/>
      </w:pPr>
      <w:r>
        <w:rPr>
          <w:bCs/>
          <w:color w:val="000000"/>
        </w:rPr>
        <w:t>Reporting b</w:t>
      </w:r>
      <w:r w:rsidRPr="008A7FB7">
        <w:rPr>
          <w:bCs/>
          <w:color w:val="000000"/>
        </w:rPr>
        <w:t>urden for new repo</w:t>
      </w:r>
      <w:r>
        <w:rPr>
          <w:bCs/>
          <w:color w:val="000000"/>
        </w:rPr>
        <w:t>r</w:t>
      </w:r>
      <w:r w:rsidRPr="008A7FB7">
        <w:rPr>
          <w:bCs/>
          <w:color w:val="000000"/>
        </w:rPr>
        <w:t>ters</w:t>
      </w:r>
      <w:r w:rsidRPr="005973A5">
        <w:rPr>
          <w:bCs/>
          <w:color w:val="000000"/>
        </w:rPr>
        <w:t xml:space="preserve"> is</w:t>
      </w:r>
      <w:r w:rsidR="009C7C15">
        <w:rPr>
          <w:bCs/>
          <w:color w:val="000000"/>
        </w:rPr>
        <w:t xml:space="preserve"> </w:t>
      </w:r>
      <w:r w:rsidRPr="005973A5">
        <w:rPr>
          <w:bCs/>
          <w:color w:val="000000"/>
        </w:rPr>
        <w:t>based on</w:t>
      </w:r>
      <w:r w:rsidR="006F1223">
        <w:rPr>
          <w:bCs/>
          <w:color w:val="000000"/>
        </w:rPr>
        <w:t xml:space="preserve"> estimates for</w:t>
      </w:r>
      <w:r w:rsidRPr="005973A5">
        <w:rPr>
          <w:bCs/>
          <w:color w:val="000000"/>
        </w:rPr>
        <w:t xml:space="preserve"> </w:t>
      </w:r>
      <w:r>
        <w:rPr>
          <w:bCs/>
          <w:color w:val="000000"/>
        </w:rPr>
        <w:t>experienced reporter burden</w:t>
      </w:r>
      <w:r w:rsidR="006E7465">
        <w:rPr>
          <w:bCs/>
          <w:color w:val="000000"/>
        </w:rPr>
        <w:t xml:space="preserve"> and EPA experience regarding the additional effort undertaken by new reporters. </w:t>
      </w:r>
      <w:r w:rsidR="00A77302">
        <w:t>New reporters must undergo rule familiarization in addition to all the same activities as experienced reporters. Additionally, for the activities</w:t>
      </w:r>
      <w:r w:rsidR="00A77302" w:rsidRPr="008A7FB7">
        <w:t xml:space="preserve"> </w:t>
      </w:r>
      <w:r w:rsidR="00A77302">
        <w:t>of form completion, new reporters are estimated to take 1.2</w:t>
      </w:r>
      <w:r w:rsidR="008A2AD3">
        <w:t>6</w:t>
      </w:r>
      <w:r w:rsidR="00A77302">
        <w:t xml:space="preserve"> times longer than experienced reporters.</w:t>
      </w:r>
      <w:r w:rsidR="00A77302">
        <w:rPr>
          <w:rStyle w:val="FootnoteReference"/>
          <w:bCs/>
          <w:color w:val="000000"/>
        </w:rPr>
        <w:footnoteReference w:id="7"/>
      </w:r>
      <w:r w:rsidR="00A77302">
        <w:t xml:space="preserve"> As derived in Table </w:t>
      </w:r>
      <w:r w:rsidR="00313FF7">
        <w:t>4</w:t>
      </w:r>
      <w:r w:rsidR="00A77302">
        <w:t xml:space="preserve">, the industry average Form U per-response </w:t>
      </w:r>
      <w:r w:rsidR="00A77302" w:rsidRPr="005973A5">
        <w:t>burden</w:t>
      </w:r>
      <w:r w:rsidR="00A77302">
        <w:t>, including recordkeeping</w:t>
      </w:r>
      <w:r w:rsidR="00A77302" w:rsidRPr="005973A5">
        <w:t xml:space="preserve"> for </w:t>
      </w:r>
      <w:r w:rsidR="00E268A5">
        <w:t>new</w:t>
      </w:r>
      <w:r w:rsidR="00E268A5" w:rsidRPr="005973A5">
        <w:t xml:space="preserve"> </w:t>
      </w:r>
      <w:r w:rsidR="00A77302" w:rsidRPr="005973A5">
        <w:t xml:space="preserve">reporters </w:t>
      </w:r>
      <w:r w:rsidR="00A77302">
        <w:t xml:space="preserve">is estimated </w:t>
      </w:r>
      <w:r w:rsidR="00A77302" w:rsidRPr="005973A5">
        <w:t xml:space="preserve">at </w:t>
      </w:r>
      <w:r w:rsidR="00B4387A">
        <w:t>630.90</w:t>
      </w:r>
      <w:r w:rsidR="00F91759">
        <w:t xml:space="preserve"> </w:t>
      </w:r>
      <w:r w:rsidR="00A77302" w:rsidRPr="005973A5">
        <w:t>hours</w:t>
      </w:r>
      <w:r w:rsidR="00A77302">
        <w:t xml:space="preserve"> per four</w:t>
      </w:r>
      <w:r w:rsidR="009C7C15">
        <w:t>-</w:t>
      </w:r>
      <w:r w:rsidR="00A77302">
        <w:t>year reporting cycle.</w:t>
      </w:r>
      <w:r w:rsidR="00A77302" w:rsidRPr="005973A5">
        <w:t xml:space="preserve"> </w:t>
      </w:r>
      <w:r w:rsidR="00A77302">
        <w:t>The result reflects average reporting conditions of 7.5 chemicals per submission, with 22% of chemical reports that are partial reports.</w:t>
      </w:r>
    </w:p>
    <w:tbl>
      <w:tblPr>
        <w:tblW w:w="9580" w:type="dxa"/>
        <w:tblLook w:val="04A0" w:firstRow="1" w:lastRow="0" w:firstColumn="1" w:lastColumn="0" w:noHBand="0" w:noVBand="1"/>
      </w:tblPr>
      <w:tblGrid>
        <w:gridCol w:w="3280"/>
        <w:gridCol w:w="1310"/>
        <w:gridCol w:w="1710"/>
        <w:gridCol w:w="1620"/>
        <w:gridCol w:w="1660"/>
      </w:tblGrid>
      <w:tr w:rsidR="00780003" w:rsidRPr="00780003" w14:paraId="3EDE9F87" w14:textId="77777777" w:rsidTr="001757D5">
        <w:trPr>
          <w:trHeight w:val="330"/>
        </w:trPr>
        <w:tc>
          <w:tcPr>
            <w:tcW w:w="7920" w:type="dxa"/>
            <w:gridSpan w:val="4"/>
            <w:tcBorders>
              <w:top w:val="nil"/>
              <w:left w:val="nil"/>
              <w:bottom w:val="single" w:sz="12" w:space="0" w:color="auto"/>
              <w:right w:val="nil"/>
            </w:tcBorders>
            <w:shd w:val="clear" w:color="auto" w:fill="auto"/>
            <w:noWrap/>
            <w:vAlign w:val="bottom"/>
            <w:hideMark/>
          </w:tcPr>
          <w:p w14:paraId="6831CB53" w14:textId="77777777" w:rsidR="00780003" w:rsidRPr="00780003" w:rsidRDefault="00780003" w:rsidP="00780003">
            <w:pPr>
              <w:rPr>
                <w:rFonts w:eastAsia="Times New Roman" w:cs="Times New Roman"/>
                <w:b/>
                <w:bCs/>
                <w:color w:val="000000"/>
              </w:rPr>
            </w:pPr>
            <w:r w:rsidRPr="00780003">
              <w:rPr>
                <w:rFonts w:eastAsia="Times New Roman" w:cs="Times New Roman"/>
                <w:b/>
                <w:bCs/>
                <w:color w:val="000000"/>
              </w:rPr>
              <w:t xml:space="preserve">Table 4: </w:t>
            </w:r>
            <w:r w:rsidR="00E653C7" w:rsidRPr="00E653C7">
              <w:rPr>
                <w:b/>
              </w:rPr>
              <w:t>Submission Unit Burden per Four</w:t>
            </w:r>
            <w:r w:rsidR="00D05FDA">
              <w:rPr>
                <w:b/>
              </w:rPr>
              <w:t>-</w:t>
            </w:r>
            <w:r w:rsidR="00E653C7" w:rsidRPr="00E653C7">
              <w:rPr>
                <w:b/>
              </w:rPr>
              <w:t>Year Reporting Cycle, New Reporters as Derived using the First Time Filer Factor (FTF)</w:t>
            </w:r>
          </w:p>
        </w:tc>
        <w:tc>
          <w:tcPr>
            <w:tcW w:w="1660" w:type="dxa"/>
            <w:tcBorders>
              <w:top w:val="nil"/>
              <w:left w:val="nil"/>
              <w:bottom w:val="single" w:sz="12" w:space="0" w:color="auto"/>
              <w:right w:val="nil"/>
            </w:tcBorders>
            <w:shd w:val="clear" w:color="auto" w:fill="auto"/>
            <w:noWrap/>
            <w:vAlign w:val="bottom"/>
            <w:hideMark/>
          </w:tcPr>
          <w:p w14:paraId="59522191" w14:textId="77777777" w:rsidR="00780003" w:rsidRPr="00780003" w:rsidRDefault="00780003" w:rsidP="00780003">
            <w:pPr>
              <w:rPr>
                <w:rFonts w:eastAsia="Times New Roman" w:cs="Times New Roman"/>
                <w:b/>
                <w:bCs/>
                <w:color w:val="000000"/>
              </w:rPr>
            </w:pPr>
          </w:p>
        </w:tc>
      </w:tr>
      <w:tr w:rsidR="00780003" w:rsidRPr="00780003" w14:paraId="578C9AC3" w14:textId="77777777" w:rsidTr="00C0632D">
        <w:trPr>
          <w:trHeight w:val="675"/>
        </w:trPr>
        <w:tc>
          <w:tcPr>
            <w:tcW w:w="3280" w:type="dxa"/>
            <w:tcBorders>
              <w:top w:val="single" w:sz="12" w:space="0" w:color="auto"/>
              <w:left w:val="single" w:sz="12" w:space="0" w:color="auto"/>
              <w:bottom w:val="nil"/>
              <w:right w:val="nil"/>
            </w:tcBorders>
            <w:shd w:val="clear" w:color="auto" w:fill="auto"/>
            <w:noWrap/>
            <w:vAlign w:val="bottom"/>
            <w:hideMark/>
          </w:tcPr>
          <w:p w14:paraId="7D9ACE70" w14:textId="77777777" w:rsidR="00780003" w:rsidRPr="00780003" w:rsidRDefault="00780003" w:rsidP="00780003">
            <w:pPr>
              <w:rPr>
                <w:rFonts w:ascii="Calibri" w:eastAsia="Times New Roman" w:hAnsi="Calibri" w:cs="Calibri"/>
                <w:color w:val="000000"/>
                <w:sz w:val="22"/>
                <w:szCs w:val="22"/>
              </w:rPr>
            </w:pPr>
            <w:r w:rsidRPr="00780003">
              <w:rPr>
                <w:rFonts w:ascii="Calibri" w:eastAsia="Times New Roman" w:hAnsi="Calibri" w:cs="Calibri"/>
                <w:color w:val="000000"/>
                <w:sz w:val="22"/>
                <w:szCs w:val="22"/>
              </w:rPr>
              <w:t> </w:t>
            </w:r>
          </w:p>
        </w:tc>
        <w:tc>
          <w:tcPr>
            <w:tcW w:w="1310" w:type="dxa"/>
            <w:tcBorders>
              <w:top w:val="single" w:sz="12" w:space="0" w:color="auto"/>
              <w:left w:val="nil"/>
              <w:bottom w:val="nil"/>
              <w:right w:val="nil"/>
            </w:tcBorders>
            <w:shd w:val="clear" w:color="auto" w:fill="auto"/>
            <w:noWrap/>
            <w:vAlign w:val="bottom"/>
            <w:hideMark/>
          </w:tcPr>
          <w:p w14:paraId="36EE9B12" w14:textId="77777777" w:rsidR="00780003" w:rsidRPr="00780003" w:rsidRDefault="00780003" w:rsidP="00780003">
            <w:pPr>
              <w:rPr>
                <w:rFonts w:ascii="Calibri" w:eastAsia="Times New Roman" w:hAnsi="Calibri" w:cs="Calibri"/>
                <w:color w:val="000000"/>
                <w:sz w:val="22"/>
                <w:szCs w:val="22"/>
              </w:rPr>
            </w:pPr>
            <w:r w:rsidRPr="00780003">
              <w:rPr>
                <w:rFonts w:ascii="Calibri" w:eastAsia="Times New Roman" w:hAnsi="Calibri" w:cs="Calibri"/>
                <w:color w:val="000000"/>
                <w:sz w:val="22"/>
                <w:szCs w:val="22"/>
              </w:rPr>
              <w:t> </w:t>
            </w:r>
          </w:p>
        </w:tc>
        <w:tc>
          <w:tcPr>
            <w:tcW w:w="1710" w:type="dxa"/>
            <w:tcBorders>
              <w:top w:val="nil"/>
              <w:left w:val="single" w:sz="8" w:space="0" w:color="auto"/>
              <w:bottom w:val="single" w:sz="8" w:space="0" w:color="auto"/>
              <w:right w:val="single" w:sz="8" w:space="0" w:color="auto"/>
            </w:tcBorders>
            <w:shd w:val="clear" w:color="auto" w:fill="auto"/>
            <w:vAlign w:val="bottom"/>
            <w:hideMark/>
          </w:tcPr>
          <w:p w14:paraId="7ABFC918" w14:textId="77777777" w:rsidR="00780003" w:rsidRPr="00780003" w:rsidRDefault="00780003" w:rsidP="00780003">
            <w:pPr>
              <w:jc w:val="center"/>
              <w:rPr>
                <w:rFonts w:ascii="Arial" w:eastAsia="Times New Roman" w:hAnsi="Arial" w:cs="Arial"/>
                <w:b/>
                <w:bCs/>
                <w:color w:val="000000"/>
                <w:sz w:val="20"/>
                <w:szCs w:val="20"/>
              </w:rPr>
            </w:pPr>
            <w:r w:rsidRPr="00780003">
              <w:rPr>
                <w:rFonts w:ascii="Arial" w:eastAsia="Times New Roman" w:hAnsi="Arial" w:cs="Arial"/>
                <w:b/>
                <w:bCs/>
                <w:color w:val="000000"/>
                <w:sz w:val="20"/>
                <w:szCs w:val="20"/>
              </w:rPr>
              <w:t>Experienced Reporters</w:t>
            </w:r>
          </w:p>
        </w:tc>
        <w:tc>
          <w:tcPr>
            <w:tcW w:w="1620" w:type="dxa"/>
            <w:tcBorders>
              <w:top w:val="nil"/>
              <w:left w:val="nil"/>
              <w:bottom w:val="single" w:sz="8" w:space="0" w:color="auto"/>
              <w:right w:val="single" w:sz="4" w:space="0" w:color="auto"/>
            </w:tcBorders>
            <w:shd w:val="clear" w:color="auto" w:fill="auto"/>
            <w:vAlign w:val="bottom"/>
            <w:hideMark/>
          </w:tcPr>
          <w:p w14:paraId="2A928978" w14:textId="77777777" w:rsidR="00780003" w:rsidRPr="00C0632D" w:rsidRDefault="00780003" w:rsidP="00780003">
            <w:pPr>
              <w:jc w:val="center"/>
              <w:rPr>
                <w:rFonts w:ascii="Arial" w:eastAsia="Times New Roman" w:hAnsi="Arial" w:cs="Arial"/>
                <w:b/>
                <w:bCs/>
                <w:color w:val="000000"/>
                <w:sz w:val="20"/>
                <w:szCs w:val="20"/>
                <w:vertAlign w:val="superscript"/>
              </w:rPr>
            </w:pPr>
            <w:r w:rsidRPr="00780003">
              <w:rPr>
                <w:rFonts w:ascii="Arial" w:eastAsia="Times New Roman" w:hAnsi="Arial" w:cs="Arial"/>
                <w:b/>
                <w:bCs/>
                <w:color w:val="000000"/>
                <w:sz w:val="20"/>
                <w:szCs w:val="20"/>
              </w:rPr>
              <w:t>New Reporters</w:t>
            </w:r>
            <w:r w:rsidR="00431394">
              <w:rPr>
                <w:rFonts w:ascii="Arial" w:eastAsia="Times New Roman" w:hAnsi="Arial" w:cs="Arial"/>
                <w:b/>
                <w:bCs/>
                <w:color w:val="000000"/>
                <w:sz w:val="20"/>
                <w:szCs w:val="20"/>
                <w:vertAlign w:val="superscript"/>
              </w:rPr>
              <w:t>1</w:t>
            </w:r>
          </w:p>
        </w:tc>
        <w:tc>
          <w:tcPr>
            <w:tcW w:w="1660" w:type="dxa"/>
            <w:tcBorders>
              <w:top w:val="single" w:sz="12" w:space="0" w:color="auto"/>
              <w:left w:val="nil"/>
              <w:bottom w:val="single" w:sz="8" w:space="0" w:color="auto"/>
              <w:right w:val="single" w:sz="12" w:space="0" w:color="auto"/>
            </w:tcBorders>
            <w:shd w:val="clear" w:color="auto" w:fill="auto"/>
            <w:vAlign w:val="bottom"/>
            <w:hideMark/>
          </w:tcPr>
          <w:p w14:paraId="52B07BDC" w14:textId="77777777" w:rsidR="00780003" w:rsidRPr="00780003" w:rsidRDefault="00780003" w:rsidP="000F5F27">
            <w:pPr>
              <w:jc w:val="center"/>
              <w:rPr>
                <w:rFonts w:ascii="Arial" w:eastAsia="Times New Roman" w:hAnsi="Arial" w:cs="Arial"/>
                <w:b/>
                <w:bCs/>
                <w:color w:val="000000"/>
                <w:sz w:val="20"/>
                <w:szCs w:val="20"/>
              </w:rPr>
            </w:pPr>
            <w:r w:rsidRPr="00780003">
              <w:rPr>
                <w:rFonts w:ascii="Arial" w:eastAsia="Times New Roman" w:hAnsi="Arial" w:cs="Arial"/>
                <w:b/>
                <w:bCs/>
                <w:color w:val="000000"/>
                <w:sz w:val="20"/>
                <w:szCs w:val="20"/>
              </w:rPr>
              <w:t>Overall</w:t>
            </w:r>
            <w:r w:rsidR="000F5F27" w:rsidRPr="00617F03">
              <w:rPr>
                <w:rFonts w:ascii="Arial" w:eastAsia="Times New Roman" w:hAnsi="Arial" w:cs="Arial"/>
                <w:b/>
                <w:bCs/>
                <w:color w:val="000000"/>
                <w:sz w:val="20"/>
                <w:szCs w:val="20"/>
                <w:vertAlign w:val="superscript"/>
              </w:rPr>
              <w:t>2</w:t>
            </w:r>
          </w:p>
        </w:tc>
      </w:tr>
      <w:tr w:rsidR="00780003" w:rsidRPr="00780003" w14:paraId="7F9980E2" w14:textId="77777777" w:rsidTr="00C0632D">
        <w:trPr>
          <w:trHeight w:val="945"/>
        </w:trPr>
        <w:tc>
          <w:tcPr>
            <w:tcW w:w="3280" w:type="dxa"/>
            <w:tcBorders>
              <w:top w:val="single" w:sz="4" w:space="0" w:color="auto"/>
              <w:left w:val="single" w:sz="12" w:space="0" w:color="auto"/>
              <w:bottom w:val="single" w:sz="4" w:space="0" w:color="auto"/>
              <w:right w:val="nil"/>
            </w:tcBorders>
            <w:shd w:val="clear" w:color="000000" w:fill="BFBFBF"/>
            <w:noWrap/>
            <w:vAlign w:val="bottom"/>
            <w:hideMark/>
          </w:tcPr>
          <w:p w14:paraId="4819FDA3" w14:textId="77777777" w:rsidR="00780003" w:rsidRPr="00780003" w:rsidRDefault="00780003" w:rsidP="00780003">
            <w:pPr>
              <w:jc w:val="center"/>
              <w:rPr>
                <w:rFonts w:ascii="Arial Narrow" w:eastAsia="Times New Roman" w:hAnsi="Arial Narrow" w:cs="Calibri"/>
                <w:b/>
                <w:bCs/>
                <w:color w:val="000000"/>
                <w:sz w:val="20"/>
                <w:szCs w:val="20"/>
              </w:rPr>
            </w:pPr>
            <w:r w:rsidRPr="00780003">
              <w:rPr>
                <w:rFonts w:ascii="Arial Narrow" w:eastAsia="Times New Roman" w:hAnsi="Arial Narrow" w:cs="Calibri"/>
                <w:b/>
                <w:bCs/>
                <w:color w:val="000000"/>
                <w:sz w:val="20"/>
                <w:szCs w:val="20"/>
              </w:rPr>
              <w:t>Activity</w:t>
            </w:r>
          </w:p>
        </w:tc>
        <w:tc>
          <w:tcPr>
            <w:tcW w:w="1310" w:type="dxa"/>
            <w:tcBorders>
              <w:top w:val="single" w:sz="4" w:space="0" w:color="auto"/>
              <w:left w:val="nil"/>
              <w:bottom w:val="single" w:sz="4" w:space="0" w:color="auto"/>
              <w:right w:val="single" w:sz="4" w:space="0" w:color="auto"/>
            </w:tcBorders>
            <w:shd w:val="clear" w:color="000000" w:fill="BFBFBF"/>
            <w:noWrap/>
            <w:vAlign w:val="bottom"/>
            <w:hideMark/>
          </w:tcPr>
          <w:p w14:paraId="2824250B" w14:textId="77777777" w:rsidR="00780003" w:rsidRPr="00780003" w:rsidRDefault="00780003" w:rsidP="00780003">
            <w:pPr>
              <w:jc w:val="center"/>
              <w:rPr>
                <w:rFonts w:ascii="Arial Narrow" w:eastAsia="Times New Roman" w:hAnsi="Arial Narrow" w:cs="Calibri"/>
                <w:b/>
                <w:bCs/>
                <w:color w:val="000000"/>
                <w:sz w:val="20"/>
                <w:szCs w:val="20"/>
              </w:rPr>
            </w:pPr>
            <w:r w:rsidRPr="00780003">
              <w:rPr>
                <w:rFonts w:ascii="Arial Narrow" w:eastAsia="Times New Roman" w:hAnsi="Arial Narrow" w:cs="Calibri"/>
                <w:b/>
                <w:bCs/>
                <w:color w:val="000000"/>
                <w:sz w:val="20"/>
                <w:szCs w:val="20"/>
              </w:rPr>
              <w:t> </w:t>
            </w:r>
          </w:p>
        </w:tc>
        <w:tc>
          <w:tcPr>
            <w:tcW w:w="1710" w:type="dxa"/>
            <w:tcBorders>
              <w:top w:val="nil"/>
              <w:left w:val="nil"/>
              <w:bottom w:val="single" w:sz="4" w:space="0" w:color="auto"/>
              <w:right w:val="single" w:sz="4" w:space="0" w:color="auto"/>
            </w:tcBorders>
            <w:shd w:val="clear" w:color="000000" w:fill="BFBFBF"/>
            <w:vAlign w:val="center"/>
            <w:hideMark/>
          </w:tcPr>
          <w:p w14:paraId="0DADCDC6" w14:textId="77777777" w:rsidR="00780003" w:rsidRPr="00780003" w:rsidRDefault="00780003" w:rsidP="00780003">
            <w:pPr>
              <w:jc w:val="center"/>
              <w:rPr>
                <w:rFonts w:ascii="Arial Narrow" w:eastAsia="Times New Roman" w:hAnsi="Arial Narrow" w:cs="Calibri"/>
                <w:b/>
                <w:bCs/>
                <w:color w:val="000000"/>
                <w:sz w:val="20"/>
                <w:szCs w:val="20"/>
              </w:rPr>
            </w:pPr>
            <w:r w:rsidRPr="00780003">
              <w:rPr>
                <w:rFonts w:ascii="Arial Narrow" w:eastAsia="Times New Roman" w:hAnsi="Arial Narrow" w:cs="Calibri"/>
                <w:b/>
                <w:bCs/>
                <w:color w:val="000000"/>
                <w:sz w:val="20"/>
                <w:szCs w:val="20"/>
              </w:rPr>
              <w:t>Unit Burden per Submission (Hours)</w:t>
            </w:r>
          </w:p>
        </w:tc>
        <w:tc>
          <w:tcPr>
            <w:tcW w:w="1620" w:type="dxa"/>
            <w:tcBorders>
              <w:top w:val="nil"/>
              <w:left w:val="nil"/>
              <w:bottom w:val="single" w:sz="4" w:space="0" w:color="auto"/>
              <w:right w:val="single" w:sz="4" w:space="0" w:color="auto"/>
            </w:tcBorders>
            <w:shd w:val="clear" w:color="000000" w:fill="BFBFBF"/>
            <w:vAlign w:val="center"/>
            <w:hideMark/>
          </w:tcPr>
          <w:p w14:paraId="5FBBCFF0" w14:textId="77777777" w:rsidR="00780003" w:rsidRPr="00780003" w:rsidRDefault="00780003" w:rsidP="00780003">
            <w:pPr>
              <w:jc w:val="center"/>
              <w:rPr>
                <w:rFonts w:ascii="Arial Narrow" w:eastAsia="Times New Roman" w:hAnsi="Arial Narrow" w:cs="Calibri"/>
                <w:b/>
                <w:bCs/>
                <w:color w:val="000000"/>
                <w:sz w:val="20"/>
                <w:szCs w:val="20"/>
              </w:rPr>
            </w:pPr>
            <w:r w:rsidRPr="00780003">
              <w:rPr>
                <w:rFonts w:ascii="Arial Narrow" w:eastAsia="Times New Roman" w:hAnsi="Arial Narrow" w:cs="Calibri"/>
                <w:b/>
                <w:bCs/>
                <w:color w:val="000000"/>
                <w:sz w:val="20"/>
                <w:szCs w:val="20"/>
              </w:rPr>
              <w:t>Unit Burden per Submission (Hours)</w:t>
            </w:r>
          </w:p>
        </w:tc>
        <w:tc>
          <w:tcPr>
            <w:tcW w:w="1660" w:type="dxa"/>
            <w:tcBorders>
              <w:top w:val="nil"/>
              <w:left w:val="nil"/>
              <w:bottom w:val="single" w:sz="4" w:space="0" w:color="auto"/>
              <w:right w:val="single" w:sz="12" w:space="0" w:color="auto"/>
            </w:tcBorders>
            <w:shd w:val="clear" w:color="000000" w:fill="BFBFBF"/>
            <w:vAlign w:val="center"/>
            <w:hideMark/>
          </w:tcPr>
          <w:p w14:paraId="43250E11" w14:textId="77777777" w:rsidR="00780003" w:rsidRPr="00780003" w:rsidRDefault="00780003" w:rsidP="00780003">
            <w:pPr>
              <w:jc w:val="center"/>
              <w:rPr>
                <w:rFonts w:ascii="Arial Narrow" w:eastAsia="Times New Roman" w:hAnsi="Arial Narrow" w:cs="Calibri"/>
                <w:b/>
                <w:bCs/>
                <w:color w:val="000000"/>
                <w:sz w:val="20"/>
                <w:szCs w:val="20"/>
              </w:rPr>
            </w:pPr>
            <w:r w:rsidRPr="00780003">
              <w:rPr>
                <w:rFonts w:ascii="Arial Narrow" w:eastAsia="Times New Roman" w:hAnsi="Arial Narrow" w:cs="Calibri"/>
                <w:b/>
                <w:bCs/>
                <w:color w:val="000000"/>
                <w:sz w:val="20"/>
                <w:szCs w:val="20"/>
              </w:rPr>
              <w:t>Unit Burden per Submission (Hours)</w:t>
            </w:r>
          </w:p>
        </w:tc>
      </w:tr>
      <w:tr w:rsidR="00780003" w:rsidRPr="00780003" w14:paraId="181CB9B3" w14:textId="77777777" w:rsidTr="00C0632D">
        <w:trPr>
          <w:trHeight w:val="495"/>
        </w:trPr>
        <w:tc>
          <w:tcPr>
            <w:tcW w:w="3280" w:type="dxa"/>
            <w:tcBorders>
              <w:top w:val="nil"/>
              <w:left w:val="single" w:sz="12" w:space="0" w:color="auto"/>
              <w:bottom w:val="single" w:sz="4" w:space="0" w:color="auto"/>
              <w:right w:val="nil"/>
            </w:tcBorders>
            <w:shd w:val="clear" w:color="auto" w:fill="auto"/>
            <w:vAlign w:val="bottom"/>
            <w:hideMark/>
          </w:tcPr>
          <w:p w14:paraId="3EF24EB8" w14:textId="77777777" w:rsidR="00780003" w:rsidRPr="00780003" w:rsidRDefault="00780003" w:rsidP="00780003">
            <w:pPr>
              <w:rPr>
                <w:rFonts w:ascii="Arial Narrow" w:eastAsia="Times New Roman" w:hAnsi="Arial Narrow" w:cs="Calibri"/>
                <w:color w:val="000000"/>
                <w:sz w:val="20"/>
                <w:szCs w:val="20"/>
              </w:rPr>
            </w:pPr>
            <w:r w:rsidRPr="00780003">
              <w:rPr>
                <w:rFonts w:ascii="Arial Narrow" w:eastAsia="Times New Roman" w:hAnsi="Arial Narrow" w:cs="Calibri"/>
                <w:color w:val="000000"/>
                <w:sz w:val="20"/>
                <w:szCs w:val="20"/>
              </w:rPr>
              <w:t>Rule Familiarization</w:t>
            </w:r>
          </w:p>
        </w:tc>
        <w:tc>
          <w:tcPr>
            <w:tcW w:w="1310" w:type="dxa"/>
            <w:tcBorders>
              <w:top w:val="nil"/>
              <w:left w:val="nil"/>
              <w:bottom w:val="single" w:sz="4" w:space="0" w:color="auto"/>
              <w:right w:val="single" w:sz="4" w:space="0" w:color="auto"/>
            </w:tcBorders>
            <w:shd w:val="clear" w:color="auto" w:fill="auto"/>
            <w:vAlign w:val="bottom"/>
            <w:hideMark/>
          </w:tcPr>
          <w:p w14:paraId="70C2C2FB" w14:textId="77777777" w:rsidR="00780003" w:rsidRPr="00780003" w:rsidRDefault="00780003" w:rsidP="00780003">
            <w:pPr>
              <w:rPr>
                <w:rFonts w:ascii="Arial Narrow" w:eastAsia="Times New Roman" w:hAnsi="Arial Narrow" w:cs="Calibri"/>
                <w:color w:val="000000"/>
                <w:sz w:val="20"/>
                <w:szCs w:val="20"/>
              </w:rPr>
            </w:pPr>
            <w:r w:rsidRPr="00780003">
              <w:rPr>
                <w:rFonts w:ascii="Arial Narrow" w:eastAsia="Times New Roman" w:hAnsi="Arial Narrow" w:cs="Calibri"/>
                <w:color w:val="000000"/>
                <w:sz w:val="20"/>
                <w:szCs w:val="20"/>
              </w:rPr>
              <w:t>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F04BA" w14:textId="77777777" w:rsidR="00780003" w:rsidRPr="00780003" w:rsidRDefault="00780003" w:rsidP="00780003">
            <w:pPr>
              <w:ind w:firstLineChars="100" w:firstLine="200"/>
              <w:jc w:val="right"/>
              <w:rPr>
                <w:rFonts w:ascii="Arial Narrow" w:eastAsia="Times New Roman" w:hAnsi="Arial Narrow" w:cs="Calibri"/>
                <w:color w:val="000000"/>
                <w:sz w:val="20"/>
                <w:szCs w:val="20"/>
              </w:rPr>
            </w:pPr>
            <w:r w:rsidRPr="00780003">
              <w:rPr>
                <w:rFonts w:ascii="Arial Narrow" w:eastAsia="Times New Roman" w:hAnsi="Arial Narrow" w:cs="Calibri"/>
                <w:color w:val="000000"/>
                <w:sz w:val="20"/>
                <w:szCs w:val="20"/>
              </w:rPr>
              <w:t>0.00</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D2542FE" w14:textId="77777777" w:rsidR="00780003" w:rsidRPr="00780003" w:rsidRDefault="00780003" w:rsidP="00780003">
            <w:pPr>
              <w:ind w:firstLineChars="100" w:firstLine="200"/>
              <w:jc w:val="right"/>
              <w:rPr>
                <w:rFonts w:ascii="Arial Narrow" w:eastAsia="Times New Roman" w:hAnsi="Arial Narrow" w:cs="Calibri"/>
                <w:color w:val="000000"/>
                <w:sz w:val="20"/>
                <w:szCs w:val="20"/>
              </w:rPr>
            </w:pPr>
            <w:r w:rsidRPr="00780003">
              <w:rPr>
                <w:rFonts w:ascii="Arial Narrow" w:eastAsia="Times New Roman" w:hAnsi="Arial Narrow" w:cs="Calibri"/>
                <w:color w:val="000000"/>
                <w:sz w:val="20"/>
                <w:szCs w:val="20"/>
              </w:rPr>
              <w:t>24.00</w:t>
            </w:r>
          </w:p>
        </w:tc>
        <w:tc>
          <w:tcPr>
            <w:tcW w:w="1660" w:type="dxa"/>
            <w:tcBorders>
              <w:top w:val="single" w:sz="4" w:space="0" w:color="auto"/>
              <w:left w:val="nil"/>
              <w:bottom w:val="single" w:sz="4" w:space="0" w:color="auto"/>
              <w:right w:val="single" w:sz="12" w:space="0" w:color="auto"/>
            </w:tcBorders>
            <w:shd w:val="clear" w:color="auto" w:fill="auto"/>
            <w:noWrap/>
            <w:vAlign w:val="center"/>
            <w:hideMark/>
          </w:tcPr>
          <w:p w14:paraId="6987C1A5" w14:textId="77777777" w:rsidR="00780003" w:rsidRPr="002C01AD" w:rsidRDefault="00780003" w:rsidP="002C01AD">
            <w:pPr>
              <w:ind w:firstLineChars="100" w:firstLine="200"/>
              <w:jc w:val="right"/>
              <w:rPr>
                <w:rFonts w:ascii="Arial Narrow" w:eastAsia="Times New Roman" w:hAnsi="Arial Narrow" w:cs="Calibri"/>
                <w:color w:val="000000"/>
                <w:sz w:val="20"/>
                <w:szCs w:val="20"/>
              </w:rPr>
            </w:pPr>
            <w:r w:rsidRPr="002C01AD">
              <w:rPr>
                <w:rFonts w:ascii="Arial Narrow" w:eastAsia="Times New Roman" w:hAnsi="Arial Narrow" w:cs="Calibri"/>
                <w:color w:val="000000"/>
                <w:sz w:val="20"/>
                <w:szCs w:val="20"/>
              </w:rPr>
              <w:t>3.60</w:t>
            </w:r>
          </w:p>
        </w:tc>
      </w:tr>
      <w:tr w:rsidR="00780003" w:rsidRPr="00780003" w14:paraId="48429674" w14:textId="77777777" w:rsidTr="00C0632D">
        <w:trPr>
          <w:trHeight w:val="420"/>
        </w:trPr>
        <w:tc>
          <w:tcPr>
            <w:tcW w:w="3280" w:type="dxa"/>
            <w:tcBorders>
              <w:top w:val="nil"/>
              <w:left w:val="single" w:sz="12" w:space="0" w:color="auto"/>
              <w:bottom w:val="single" w:sz="4" w:space="0" w:color="auto"/>
              <w:right w:val="nil"/>
            </w:tcBorders>
            <w:shd w:val="clear" w:color="auto" w:fill="auto"/>
            <w:vAlign w:val="bottom"/>
            <w:hideMark/>
          </w:tcPr>
          <w:p w14:paraId="210CCAF1" w14:textId="77777777" w:rsidR="00780003" w:rsidRPr="00780003" w:rsidRDefault="00780003" w:rsidP="00780003">
            <w:pPr>
              <w:rPr>
                <w:rFonts w:ascii="Arial Narrow" w:eastAsia="Times New Roman" w:hAnsi="Arial Narrow" w:cs="Calibri"/>
                <w:color w:val="000000"/>
                <w:sz w:val="20"/>
                <w:szCs w:val="20"/>
              </w:rPr>
            </w:pPr>
            <w:r w:rsidRPr="00780003">
              <w:rPr>
                <w:rFonts w:ascii="Arial Narrow" w:eastAsia="Times New Roman" w:hAnsi="Arial Narrow" w:cs="Calibri"/>
                <w:color w:val="000000"/>
                <w:sz w:val="20"/>
                <w:szCs w:val="20"/>
              </w:rPr>
              <w:t>Compliance Determination</w:t>
            </w:r>
          </w:p>
        </w:tc>
        <w:tc>
          <w:tcPr>
            <w:tcW w:w="1310" w:type="dxa"/>
            <w:tcBorders>
              <w:top w:val="nil"/>
              <w:left w:val="nil"/>
              <w:bottom w:val="single" w:sz="4" w:space="0" w:color="auto"/>
              <w:right w:val="single" w:sz="4" w:space="0" w:color="auto"/>
            </w:tcBorders>
            <w:shd w:val="clear" w:color="auto" w:fill="auto"/>
            <w:vAlign w:val="bottom"/>
            <w:hideMark/>
          </w:tcPr>
          <w:p w14:paraId="02D23AE6" w14:textId="77777777" w:rsidR="00780003" w:rsidRPr="00780003" w:rsidRDefault="00780003" w:rsidP="00780003">
            <w:pPr>
              <w:rPr>
                <w:rFonts w:ascii="Arial Narrow" w:eastAsia="Times New Roman" w:hAnsi="Arial Narrow" w:cs="Calibri"/>
                <w:color w:val="000000"/>
                <w:sz w:val="20"/>
                <w:szCs w:val="20"/>
              </w:rPr>
            </w:pPr>
            <w:r w:rsidRPr="00780003">
              <w:rPr>
                <w:rFonts w:ascii="Arial Narrow" w:eastAsia="Times New Roman" w:hAnsi="Arial Narrow" w:cs="Calibri"/>
                <w:color w:val="000000"/>
                <w:sz w:val="20"/>
                <w:szCs w:val="20"/>
              </w:rPr>
              <w:t> </w:t>
            </w:r>
          </w:p>
        </w:tc>
        <w:tc>
          <w:tcPr>
            <w:tcW w:w="1710" w:type="dxa"/>
            <w:tcBorders>
              <w:top w:val="nil"/>
              <w:left w:val="single" w:sz="4" w:space="0" w:color="auto"/>
              <w:bottom w:val="single" w:sz="4" w:space="0" w:color="auto"/>
              <w:right w:val="single" w:sz="4" w:space="0" w:color="auto"/>
            </w:tcBorders>
            <w:shd w:val="clear" w:color="auto" w:fill="auto"/>
            <w:noWrap/>
            <w:vAlign w:val="center"/>
            <w:hideMark/>
          </w:tcPr>
          <w:p w14:paraId="562A37A2" w14:textId="77777777" w:rsidR="00780003" w:rsidRPr="00780003" w:rsidRDefault="00780003" w:rsidP="00780003">
            <w:pPr>
              <w:ind w:firstLineChars="100" w:firstLine="200"/>
              <w:jc w:val="right"/>
              <w:rPr>
                <w:rFonts w:ascii="Arial Narrow" w:eastAsia="Times New Roman" w:hAnsi="Arial Narrow" w:cs="Calibri"/>
                <w:color w:val="000000"/>
                <w:sz w:val="20"/>
                <w:szCs w:val="20"/>
              </w:rPr>
            </w:pPr>
            <w:r w:rsidRPr="00780003">
              <w:rPr>
                <w:rFonts w:ascii="Arial Narrow" w:eastAsia="Times New Roman" w:hAnsi="Arial Narrow" w:cs="Calibri"/>
                <w:color w:val="000000"/>
                <w:sz w:val="20"/>
                <w:szCs w:val="20"/>
              </w:rPr>
              <w:t>6.50</w:t>
            </w:r>
          </w:p>
        </w:tc>
        <w:tc>
          <w:tcPr>
            <w:tcW w:w="1620" w:type="dxa"/>
            <w:tcBorders>
              <w:top w:val="nil"/>
              <w:left w:val="nil"/>
              <w:bottom w:val="single" w:sz="4" w:space="0" w:color="auto"/>
              <w:right w:val="single" w:sz="4" w:space="0" w:color="auto"/>
            </w:tcBorders>
            <w:shd w:val="clear" w:color="auto" w:fill="auto"/>
            <w:noWrap/>
            <w:vAlign w:val="center"/>
            <w:hideMark/>
          </w:tcPr>
          <w:p w14:paraId="2CA536E5" w14:textId="77777777" w:rsidR="00780003" w:rsidRPr="00780003" w:rsidRDefault="00780003" w:rsidP="00780003">
            <w:pPr>
              <w:ind w:firstLineChars="100" w:firstLine="200"/>
              <w:jc w:val="right"/>
              <w:rPr>
                <w:rFonts w:ascii="Arial Narrow" w:eastAsia="Times New Roman" w:hAnsi="Arial Narrow" w:cs="Calibri"/>
                <w:color w:val="000000"/>
                <w:sz w:val="20"/>
                <w:szCs w:val="20"/>
              </w:rPr>
            </w:pPr>
            <w:r w:rsidRPr="00780003">
              <w:rPr>
                <w:rFonts w:ascii="Arial Narrow" w:eastAsia="Times New Roman" w:hAnsi="Arial Narrow" w:cs="Calibri"/>
                <w:color w:val="000000"/>
                <w:sz w:val="20"/>
                <w:szCs w:val="20"/>
              </w:rPr>
              <w:t>6.50</w:t>
            </w:r>
          </w:p>
        </w:tc>
        <w:tc>
          <w:tcPr>
            <w:tcW w:w="1660" w:type="dxa"/>
            <w:tcBorders>
              <w:top w:val="nil"/>
              <w:left w:val="nil"/>
              <w:bottom w:val="single" w:sz="4" w:space="0" w:color="auto"/>
              <w:right w:val="single" w:sz="12" w:space="0" w:color="auto"/>
            </w:tcBorders>
            <w:shd w:val="clear" w:color="auto" w:fill="auto"/>
            <w:noWrap/>
            <w:vAlign w:val="center"/>
            <w:hideMark/>
          </w:tcPr>
          <w:p w14:paraId="5937AF07" w14:textId="77777777" w:rsidR="00780003" w:rsidRPr="002C01AD" w:rsidRDefault="00780003" w:rsidP="002C01AD">
            <w:pPr>
              <w:ind w:firstLineChars="100" w:firstLine="200"/>
              <w:jc w:val="right"/>
              <w:rPr>
                <w:rFonts w:ascii="Arial Narrow" w:eastAsia="Times New Roman" w:hAnsi="Arial Narrow" w:cs="Calibri"/>
                <w:color w:val="000000"/>
                <w:sz w:val="20"/>
                <w:szCs w:val="20"/>
              </w:rPr>
            </w:pPr>
            <w:r w:rsidRPr="002C01AD">
              <w:rPr>
                <w:rFonts w:ascii="Arial Narrow" w:eastAsia="Times New Roman" w:hAnsi="Arial Narrow" w:cs="Calibri"/>
                <w:color w:val="000000"/>
                <w:sz w:val="20"/>
                <w:szCs w:val="20"/>
              </w:rPr>
              <w:t>6.50</w:t>
            </w:r>
          </w:p>
        </w:tc>
      </w:tr>
      <w:tr w:rsidR="00780003" w:rsidRPr="00780003" w14:paraId="704DBEE4" w14:textId="77777777" w:rsidTr="00C0632D">
        <w:trPr>
          <w:trHeight w:val="420"/>
        </w:trPr>
        <w:tc>
          <w:tcPr>
            <w:tcW w:w="3280" w:type="dxa"/>
            <w:tcBorders>
              <w:top w:val="nil"/>
              <w:left w:val="single" w:sz="12" w:space="0" w:color="auto"/>
              <w:bottom w:val="single" w:sz="4" w:space="0" w:color="auto"/>
              <w:right w:val="nil"/>
            </w:tcBorders>
            <w:shd w:val="clear" w:color="auto" w:fill="auto"/>
            <w:vAlign w:val="bottom"/>
            <w:hideMark/>
          </w:tcPr>
          <w:p w14:paraId="3D92C418" w14:textId="77777777" w:rsidR="00780003" w:rsidRPr="00780003" w:rsidRDefault="00780003" w:rsidP="00780003">
            <w:pPr>
              <w:rPr>
                <w:rFonts w:ascii="Arial Narrow" w:eastAsia="Times New Roman" w:hAnsi="Arial Narrow" w:cs="Calibri"/>
                <w:color w:val="000000"/>
                <w:sz w:val="20"/>
                <w:szCs w:val="20"/>
              </w:rPr>
            </w:pPr>
            <w:r w:rsidRPr="00780003">
              <w:rPr>
                <w:rFonts w:ascii="Arial Narrow" w:eastAsia="Times New Roman" w:hAnsi="Arial Narrow" w:cs="Calibri"/>
                <w:color w:val="000000"/>
                <w:sz w:val="20"/>
                <w:szCs w:val="20"/>
              </w:rPr>
              <w:t>Recordkeeping</w:t>
            </w:r>
          </w:p>
        </w:tc>
        <w:tc>
          <w:tcPr>
            <w:tcW w:w="1310" w:type="dxa"/>
            <w:tcBorders>
              <w:top w:val="nil"/>
              <w:left w:val="nil"/>
              <w:bottom w:val="single" w:sz="4" w:space="0" w:color="auto"/>
              <w:right w:val="single" w:sz="4" w:space="0" w:color="auto"/>
            </w:tcBorders>
            <w:shd w:val="clear" w:color="auto" w:fill="auto"/>
            <w:vAlign w:val="bottom"/>
            <w:hideMark/>
          </w:tcPr>
          <w:p w14:paraId="4279B266" w14:textId="77777777" w:rsidR="00780003" w:rsidRPr="00780003" w:rsidRDefault="00780003" w:rsidP="00780003">
            <w:pPr>
              <w:rPr>
                <w:rFonts w:ascii="Arial Narrow" w:eastAsia="Times New Roman" w:hAnsi="Arial Narrow" w:cs="Calibri"/>
                <w:color w:val="000000"/>
                <w:sz w:val="20"/>
                <w:szCs w:val="20"/>
              </w:rPr>
            </w:pPr>
            <w:r w:rsidRPr="00780003">
              <w:rPr>
                <w:rFonts w:ascii="Arial Narrow" w:eastAsia="Times New Roman" w:hAnsi="Arial Narrow" w:cs="Calibri"/>
                <w:color w:val="000000"/>
                <w:sz w:val="20"/>
                <w:szCs w:val="20"/>
              </w:rPr>
              <w:t> </w:t>
            </w:r>
          </w:p>
        </w:tc>
        <w:tc>
          <w:tcPr>
            <w:tcW w:w="1710" w:type="dxa"/>
            <w:tcBorders>
              <w:top w:val="nil"/>
              <w:left w:val="single" w:sz="4" w:space="0" w:color="auto"/>
              <w:bottom w:val="single" w:sz="4" w:space="0" w:color="auto"/>
              <w:right w:val="single" w:sz="4" w:space="0" w:color="auto"/>
            </w:tcBorders>
            <w:shd w:val="clear" w:color="auto" w:fill="auto"/>
            <w:noWrap/>
            <w:vAlign w:val="center"/>
            <w:hideMark/>
          </w:tcPr>
          <w:p w14:paraId="51BDB930" w14:textId="77777777" w:rsidR="00780003" w:rsidRPr="00780003" w:rsidRDefault="00780003" w:rsidP="00780003">
            <w:pPr>
              <w:ind w:firstLineChars="100" w:firstLine="200"/>
              <w:jc w:val="right"/>
              <w:rPr>
                <w:rFonts w:ascii="Arial Narrow" w:eastAsia="Times New Roman" w:hAnsi="Arial Narrow" w:cs="Calibri"/>
                <w:color w:val="000000"/>
                <w:sz w:val="20"/>
                <w:szCs w:val="20"/>
              </w:rPr>
            </w:pPr>
            <w:r w:rsidRPr="00780003">
              <w:rPr>
                <w:rFonts w:ascii="Arial Narrow" w:eastAsia="Times New Roman" w:hAnsi="Arial Narrow" w:cs="Calibri"/>
                <w:color w:val="000000"/>
                <w:sz w:val="20"/>
                <w:szCs w:val="20"/>
              </w:rPr>
              <w:t>3.00</w:t>
            </w:r>
          </w:p>
        </w:tc>
        <w:tc>
          <w:tcPr>
            <w:tcW w:w="1620" w:type="dxa"/>
            <w:tcBorders>
              <w:top w:val="nil"/>
              <w:left w:val="nil"/>
              <w:bottom w:val="single" w:sz="4" w:space="0" w:color="auto"/>
              <w:right w:val="single" w:sz="4" w:space="0" w:color="auto"/>
            </w:tcBorders>
            <w:shd w:val="clear" w:color="auto" w:fill="auto"/>
            <w:noWrap/>
            <w:vAlign w:val="center"/>
            <w:hideMark/>
          </w:tcPr>
          <w:p w14:paraId="767640DF" w14:textId="77777777" w:rsidR="00780003" w:rsidRPr="00780003" w:rsidRDefault="00780003" w:rsidP="00780003">
            <w:pPr>
              <w:ind w:firstLineChars="100" w:firstLine="200"/>
              <w:jc w:val="right"/>
              <w:rPr>
                <w:rFonts w:ascii="Arial Narrow" w:eastAsia="Times New Roman" w:hAnsi="Arial Narrow" w:cs="Calibri"/>
                <w:color w:val="000000"/>
                <w:sz w:val="20"/>
                <w:szCs w:val="20"/>
              </w:rPr>
            </w:pPr>
            <w:r w:rsidRPr="00780003">
              <w:rPr>
                <w:rFonts w:ascii="Arial Narrow" w:eastAsia="Times New Roman" w:hAnsi="Arial Narrow" w:cs="Calibri"/>
                <w:color w:val="000000"/>
                <w:sz w:val="20"/>
                <w:szCs w:val="20"/>
              </w:rPr>
              <w:t>3.00</w:t>
            </w:r>
          </w:p>
        </w:tc>
        <w:tc>
          <w:tcPr>
            <w:tcW w:w="1660" w:type="dxa"/>
            <w:tcBorders>
              <w:top w:val="nil"/>
              <w:left w:val="nil"/>
              <w:bottom w:val="single" w:sz="4" w:space="0" w:color="auto"/>
              <w:right w:val="single" w:sz="12" w:space="0" w:color="auto"/>
            </w:tcBorders>
            <w:shd w:val="clear" w:color="auto" w:fill="auto"/>
            <w:noWrap/>
            <w:vAlign w:val="center"/>
            <w:hideMark/>
          </w:tcPr>
          <w:p w14:paraId="31A3B46E" w14:textId="77777777" w:rsidR="00780003" w:rsidRPr="002C01AD" w:rsidRDefault="00780003" w:rsidP="002C01AD">
            <w:pPr>
              <w:ind w:firstLineChars="100" w:firstLine="200"/>
              <w:jc w:val="right"/>
              <w:rPr>
                <w:rFonts w:ascii="Arial Narrow" w:eastAsia="Times New Roman" w:hAnsi="Arial Narrow" w:cs="Calibri"/>
                <w:color w:val="000000"/>
                <w:sz w:val="20"/>
                <w:szCs w:val="20"/>
              </w:rPr>
            </w:pPr>
            <w:r w:rsidRPr="002C01AD">
              <w:rPr>
                <w:rFonts w:ascii="Arial Narrow" w:eastAsia="Times New Roman" w:hAnsi="Arial Narrow" w:cs="Calibri"/>
                <w:color w:val="000000"/>
                <w:sz w:val="20"/>
                <w:szCs w:val="20"/>
              </w:rPr>
              <w:t>3.00</w:t>
            </w:r>
          </w:p>
        </w:tc>
      </w:tr>
      <w:tr w:rsidR="00365CC1" w:rsidRPr="00780003" w14:paraId="6FF2C6B5" w14:textId="77777777" w:rsidTr="00C0632D">
        <w:trPr>
          <w:trHeight w:val="530"/>
        </w:trPr>
        <w:tc>
          <w:tcPr>
            <w:tcW w:w="3280" w:type="dxa"/>
            <w:tcBorders>
              <w:top w:val="nil"/>
              <w:left w:val="single" w:sz="12" w:space="0" w:color="auto"/>
              <w:bottom w:val="single" w:sz="8" w:space="0" w:color="auto"/>
              <w:right w:val="nil"/>
            </w:tcBorders>
            <w:shd w:val="clear" w:color="auto" w:fill="auto"/>
            <w:vAlign w:val="bottom"/>
            <w:hideMark/>
          </w:tcPr>
          <w:p w14:paraId="71A13659" w14:textId="77777777" w:rsidR="00365CC1" w:rsidRPr="00780003" w:rsidRDefault="00365CC1" w:rsidP="00365CC1">
            <w:pPr>
              <w:rPr>
                <w:rFonts w:ascii="Arial Narrow" w:eastAsia="Times New Roman" w:hAnsi="Arial Narrow" w:cs="Calibri"/>
                <w:color w:val="000000"/>
                <w:sz w:val="20"/>
                <w:szCs w:val="20"/>
              </w:rPr>
            </w:pPr>
            <w:r w:rsidRPr="004B1CD9">
              <w:rPr>
                <w:rFonts w:ascii="Arial Narrow" w:eastAsia="Times New Roman" w:hAnsi="Arial Narrow" w:cs="Calibri"/>
                <w:color w:val="000000"/>
                <w:sz w:val="20"/>
                <w:szCs w:val="20"/>
              </w:rPr>
              <w:t>Average Multi-Chemical Form Completion (7.5 chemicals)</w:t>
            </w:r>
          </w:p>
        </w:tc>
        <w:tc>
          <w:tcPr>
            <w:tcW w:w="1310" w:type="dxa"/>
            <w:tcBorders>
              <w:top w:val="single" w:sz="4" w:space="0" w:color="auto"/>
              <w:left w:val="nil"/>
              <w:bottom w:val="single" w:sz="8" w:space="0" w:color="auto"/>
              <w:right w:val="single" w:sz="4" w:space="0" w:color="auto"/>
            </w:tcBorders>
            <w:shd w:val="clear" w:color="auto" w:fill="auto"/>
            <w:vAlign w:val="bottom"/>
            <w:hideMark/>
          </w:tcPr>
          <w:p w14:paraId="50AEE88C" w14:textId="77777777" w:rsidR="00365CC1" w:rsidRPr="00780003" w:rsidRDefault="00365CC1" w:rsidP="00365CC1">
            <w:pPr>
              <w:rPr>
                <w:rFonts w:ascii="Arial Narrow" w:eastAsia="Times New Roman" w:hAnsi="Arial Narrow" w:cs="Calibri"/>
                <w:color w:val="000000"/>
                <w:sz w:val="20"/>
                <w:szCs w:val="20"/>
              </w:rPr>
            </w:pPr>
            <w:r w:rsidRPr="00780003">
              <w:rPr>
                <w:rFonts w:ascii="Arial Narrow" w:eastAsia="Times New Roman" w:hAnsi="Arial Narrow" w:cs="Calibri"/>
                <w:color w:val="000000"/>
                <w:sz w:val="20"/>
                <w:szCs w:val="20"/>
              </w:rPr>
              <w:t> </w:t>
            </w:r>
          </w:p>
        </w:tc>
        <w:tc>
          <w:tcPr>
            <w:tcW w:w="1710" w:type="dxa"/>
            <w:tcBorders>
              <w:top w:val="nil"/>
              <w:left w:val="nil"/>
              <w:bottom w:val="single" w:sz="8" w:space="0" w:color="auto"/>
              <w:right w:val="single" w:sz="4" w:space="0" w:color="auto"/>
            </w:tcBorders>
            <w:shd w:val="clear" w:color="auto" w:fill="auto"/>
            <w:noWrap/>
            <w:vAlign w:val="center"/>
            <w:hideMark/>
          </w:tcPr>
          <w:p w14:paraId="611C1235" w14:textId="77777777" w:rsidR="00365CC1" w:rsidRPr="00780003" w:rsidRDefault="00365CC1" w:rsidP="001646F6">
            <w:pPr>
              <w:ind w:left="2160" w:hangingChars="1080" w:hanging="2160"/>
              <w:jc w:val="right"/>
              <w:rPr>
                <w:rFonts w:ascii="Arial Narrow" w:eastAsia="Times New Roman" w:hAnsi="Arial Narrow" w:cs="Calibri"/>
                <w:color w:val="000000"/>
                <w:sz w:val="20"/>
                <w:szCs w:val="20"/>
              </w:rPr>
            </w:pPr>
            <w:r>
              <w:rPr>
                <w:rFonts w:ascii="Arial Narrow" w:hAnsi="Arial Narrow" w:cs="Calibri"/>
                <w:color w:val="000000"/>
                <w:sz w:val="20"/>
                <w:szCs w:val="20"/>
              </w:rPr>
              <w:t>474.13</w:t>
            </w:r>
          </w:p>
        </w:tc>
        <w:tc>
          <w:tcPr>
            <w:tcW w:w="1620" w:type="dxa"/>
            <w:tcBorders>
              <w:top w:val="nil"/>
              <w:left w:val="nil"/>
              <w:bottom w:val="single" w:sz="8" w:space="0" w:color="auto"/>
              <w:right w:val="single" w:sz="4" w:space="0" w:color="auto"/>
            </w:tcBorders>
            <w:shd w:val="clear" w:color="auto" w:fill="auto"/>
            <w:noWrap/>
            <w:vAlign w:val="center"/>
            <w:hideMark/>
          </w:tcPr>
          <w:p w14:paraId="0CF362CF" w14:textId="77777777" w:rsidR="00365CC1" w:rsidRPr="00780003" w:rsidRDefault="00365CC1" w:rsidP="001646F6">
            <w:pPr>
              <w:ind w:left="2160" w:hangingChars="1080" w:hanging="2160"/>
              <w:jc w:val="right"/>
              <w:rPr>
                <w:rFonts w:ascii="Arial Narrow" w:eastAsia="Times New Roman" w:hAnsi="Arial Narrow" w:cs="Calibri"/>
                <w:color w:val="000000"/>
                <w:sz w:val="20"/>
                <w:szCs w:val="20"/>
              </w:rPr>
            </w:pPr>
            <w:r>
              <w:rPr>
                <w:rFonts w:ascii="Arial Narrow" w:hAnsi="Arial Narrow" w:cs="Calibri"/>
                <w:color w:val="000000"/>
                <w:sz w:val="20"/>
                <w:szCs w:val="20"/>
              </w:rPr>
              <w:t>597.40</w:t>
            </w:r>
          </w:p>
        </w:tc>
        <w:tc>
          <w:tcPr>
            <w:tcW w:w="1660" w:type="dxa"/>
            <w:tcBorders>
              <w:top w:val="nil"/>
              <w:left w:val="nil"/>
              <w:bottom w:val="single" w:sz="8" w:space="0" w:color="auto"/>
              <w:right w:val="single" w:sz="12" w:space="0" w:color="auto"/>
            </w:tcBorders>
            <w:shd w:val="clear" w:color="auto" w:fill="auto"/>
            <w:noWrap/>
            <w:vAlign w:val="center"/>
            <w:hideMark/>
          </w:tcPr>
          <w:p w14:paraId="702253B9" w14:textId="77777777" w:rsidR="00365CC1" w:rsidRPr="002C01AD" w:rsidRDefault="00365CC1" w:rsidP="00365CC1">
            <w:pPr>
              <w:ind w:firstLineChars="100" w:firstLine="200"/>
              <w:jc w:val="right"/>
              <w:rPr>
                <w:rFonts w:ascii="Arial Narrow" w:eastAsia="Times New Roman" w:hAnsi="Arial Narrow" w:cs="Calibri"/>
                <w:color w:val="000000"/>
                <w:sz w:val="20"/>
                <w:szCs w:val="20"/>
              </w:rPr>
            </w:pPr>
            <w:r>
              <w:rPr>
                <w:rFonts w:ascii="Arial Narrow" w:hAnsi="Arial Narrow" w:cs="Calibri"/>
                <w:color w:val="000000"/>
                <w:sz w:val="20"/>
                <w:szCs w:val="20"/>
              </w:rPr>
              <w:t>492.62</w:t>
            </w:r>
          </w:p>
        </w:tc>
      </w:tr>
      <w:tr w:rsidR="00365CC1" w:rsidRPr="00780003" w14:paraId="10A97D82" w14:textId="77777777" w:rsidTr="001646F6">
        <w:trPr>
          <w:trHeight w:val="40"/>
        </w:trPr>
        <w:tc>
          <w:tcPr>
            <w:tcW w:w="4590" w:type="dxa"/>
            <w:gridSpan w:val="2"/>
            <w:tcBorders>
              <w:top w:val="single" w:sz="8" w:space="0" w:color="auto"/>
              <w:left w:val="single" w:sz="12" w:space="0" w:color="auto"/>
              <w:bottom w:val="single" w:sz="8" w:space="0" w:color="auto"/>
              <w:right w:val="single" w:sz="8" w:space="0" w:color="auto"/>
            </w:tcBorders>
            <w:shd w:val="clear" w:color="auto" w:fill="auto"/>
            <w:vAlign w:val="bottom"/>
            <w:hideMark/>
          </w:tcPr>
          <w:p w14:paraId="4FBDFA2D" w14:textId="77777777" w:rsidR="00365CC1" w:rsidRPr="00780003" w:rsidRDefault="00365CC1" w:rsidP="00365CC1">
            <w:pPr>
              <w:rPr>
                <w:rFonts w:ascii="Arial Narrow" w:eastAsia="Times New Roman" w:hAnsi="Arial Narrow" w:cs="Calibri"/>
                <w:b/>
                <w:bCs/>
                <w:color w:val="000000"/>
                <w:sz w:val="20"/>
                <w:szCs w:val="20"/>
              </w:rPr>
            </w:pPr>
            <w:r w:rsidRPr="00780003">
              <w:rPr>
                <w:rFonts w:ascii="Arial Narrow" w:eastAsia="Times New Roman" w:hAnsi="Arial Narrow" w:cs="Calibri"/>
                <w:b/>
                <w:bCs/>
                <w:color w:val="000000"/>
                <w:sz w:val="20"/>
                <w:szCs w:val="20"/>
              </w:rPr>
              <w:t xml:space="preserve">Total </w:t>
            </w:r>
          </w:p>
        </w:tc>
        <w:tc>
          <w:tcPr>
            <w:tcW w:w="1710" w:type="dxa"/>
            <w:tcBorders>
              <w:top w:val="nil"/>
              <w:left w:val="nil"/>
              <w:bottom w:val="single" w:sz="8" w:space="0" w:color="auto"/>
              <w:right w:val="single" w:sz="8" w:space="0" w:color="auto"/>
            </w:tcBorders>
            <w:shd w:val="clear" w:color="auto" w:fill="auto"/>
            <w:noWrap/>
            <w:vAlign w:val="bottom"/>
            <w:hideMark/>
          </w:tcPr>
          <w:p w14:paraId="463363E5" w14:textId="77777777" w:rsidR="00365CC1" w:rsidRPr="00392D59" w:rsidRDefault="00365CC1" w:rsidP="00365CC1">
            <w:pPr>
              <w:ind w:firstLineChars="100" w:firstLine="200"/>
              <w:jc w:val="right"/>
              <w:rPr>
                <w:rFonts w:ascii="Arial Narrow" w:hAnsi="Arial Narrow" w:cs="Calibri"/>
                <w:color w:val="000000"/>
                <w:sz w:val="20"/>
                <w:szCs w:val="20"/>
              </w:rPr>
            </w:pPr>
            <w:r>
              <w:rPr>
                <w:rFonts w:ascii="Arial Narrow" w:hAnsi="Arial Narrow" w:cs="Calibri"/>
                <w:color w:val="000000"/>
                <w:sz w:val="20"/>
                <w:szCs w:val="20"/>
              </w:rPr>
              <w:t>483.63</w:t>
            </w:r>
          </w:p>
        </w:tc>
        <w:tc>
          <w:tcPr>
            <w:tcW w:w="1620" w:type="dxa"/>
            <w:tcBorders>
              <w:top w:val="nil"/>
              <w:left w:val="nil"/>
              <w:bottom w:val="single" w:sz="8" w:space="0" w:color="auto"/>
              <w:right w:val="single" w:sz="8" w:space="0" w:color="auto"/>
            </w:tcBorders>
            <w:shd w:val="clear" w:color="auto" w:fill="auto"/>
            <w:noWrap/>
            <w:vAlign w:val="bottom"/>
            <w:hideMark/>
          </w:tcPr>
          <w:p w14:paraId="3C8C0FF9" w14:textId="77777777" w:rsidR="00365CC1" w:rsidRPr="00780003" w:rsidRDefault="00365CC1" w:rsidP="001646F6">
            <w:pPr>
              <w:ind w:left="2160" w:hangingChars="1080" w:hanging="2160"/>
              <w:jc w:val="right"/>
              <w:rPr>
                <w:rFonts w:ascii="Arial Narrow" w:eastAsia="Times New Roman" w:hAnsi="Arial Narrow" w:cs="Calibri"/>
                <w:color w:val="000000"/>
                <w:sz w:val="20"/>
                <w:szCs w:val="20"/>
              </w:rPr>
            </w:pPr>
            <w:r>
              <w:rPr>
                <w:rFonts w:ascii="Arial Narrow" w:hAnsi="Arial Narrow" w:cs="Calibri"/>
                <w:color w:val="000000"/>
                <w:sz w:val="20"/>
                <w:szCs w:val="20"/>
              </w:rPr>
              <w:t>630.90</w:t>
            </w:r>
          </w:p>
        </w:tc>
        <w:tc>
          <w:tcPr>
            <w:tcW w:w="1660" w:type="dxa"/>
            <w:tcBorders>
              <w:top w:val="nil"/>
              <w:left w:val="nil"/>
              <w:bottom w:val="single" w:sz="8" w:space="0" w:color="auto"/>
              <w:right w:val="single" w:sz="12" w:space="0" w:color="auto"/>
            </w:tcBorders>
            <w:shd w:val="clear" w:color="auto" w:fill="auto"/>
            <w:noWrap/>
            <w:vAlign w:val="center"/>
            <w:hideMark/>
          </w:tcPr>
          <w:p w14:paraId="644D9DBE" w14:textId="77777777" w:rsidR="00365CC1" w:rsidRPr="00780003" w:rsidRDefault="00365CC1" w:rsidP="001646F6">
            <w:pPr>
              <w:ind w:left="2160" w:hangingChars="1080" w:hanging="2160"/>
              <w:jc w:val="right"/>
              <w:rPr>
                <w:rFonts w:ascii="Arial Narrow" w:eastAsia="Times New Roman" w:hAnsi="Arial Narrow" w:cs="Arial"/>
                <w:color w:val="000000"/>
                <w:sz w:val="20"/>
                <w:szCs w:val="20"/>
              </w:rPr>
            </w:pPr>
            <w:r>
              <w:rPr>
                <w:rFonts w:ascii="Arial Narrow" w:hAnsi="Arial Narrow" w:cs="Calibri"/>
                <w:color w:val="000000"/>
                <w:sz w:val="20"/>
                <w:szCs w:val="20"/>
              </w:rPr>
              <w:t>505.72</w:t>
            </w:r>
          </w:p>
        </w:tc>
      </w:tr>
      <w:tr w:rsidR="00780003" w:rsidRPr="00780003" w14:paraId="752C3401" w14:textId="77777777" w:rsidTr="001757D5">
        <w:trPr>
          <w:trHeight w:val="1584"/>
        </w:trPr>
        <w:tc>
          <w:tcPr>
            <w:tcW w:w="9580" w:type="dxa"/>
            <w:gridSpan w:val="5"/>
            <w:tcBorders>
              <w:top w:val="single" w:sz="8" w:space="0" w:color="auto"/>
              <w:left w:val="single" w:sz="12" w:space="0" w:color="auto"/>
              <w:bottom w:val="single" w:sz="12" w:space="0" w:color="auto"/>
              <w:right w:val="single" w:sz="12" w:space="0" w:color="auto"/>
            </w:tcBorders>
            <w:shd w:val="clear" w:color="auto" w:fill="auto"/>
            <w:hideMark/>
          </w:tcPr>
          <w:p w14:paraId="5140A4E4" w14:textId="77777777" w:rsidR="001757D5" w:rsidRPr="00242093" w:rsidRDefault="00780003" w:rsidP="00C0632D">
            <w:pPr>
              <w:spacing w:before="60"/>
              <w:rPr>
                <w:rFonts w:ascii="Arial Narrow" w:hAnsi="Arial Narrow"/>
                <w:sz w:val="18"/>
                <w:szCs w:val="18"/>
              </w:rPr>
            </w:pPr>
            <w:r w:rsidRPr="00780003">
              <w:rPr>
                <w:rFonts w:ascii="Arial Narrow" w:eastAsia="Times New Roman" w:hAnsi="Arial Narrow" w:cs="Calibri"/>
                <w:color w:val="000000"/>
                <w:sz w:val="20"/>
                <w:szCs w:val="20"/>
              </w:rPr>
              <w:t> </w:t>
            </w:r>
            <w:r w:rsidR="001757D5" w:rsidRPr="00242093">
              <w:rPr>
                <w:rFonts w:ascii="Arial Narrow" w:hAnsi="Arial Narrow"/>
                <w:sz w:val="18"/>
                <w:szCs w:val="18"/>
              </w:rPr>
              <w:t>General Notes</w:t>
            </w:r>
          </w:p>
          <w:p w14:paraId="38028F4D" w14:textId="77777777" w:rsidR="001757D5" w:rsidRPr="00C0632D" w:rsidRDefault="001757D5" w:rsidP="004D4DC1">
            <w:pPr>
              <w:pStyle w:val="ListParagraph"/>
              <w:numPr>
                <w:ilvl w:val="0"/>
                <w:numId w:val="24"/>
              </w:numPr>
              <w:spacing w:before="60"/>
              <w:rPr>
                <w:rFonts w:ascii="Arial Narrow" w:hAnsi="Arial Narrow"/>
                <w:sz w:val="18"/>
                <w:szCs w:val="18"/>
              </w:rPr>
            </w:pPr>
            <w:r w:rsidRPr="00C0632D">
              <w:rPr>
                <w:rFonts w:ascii="Arial Narrow" w:hAnsi="Arial Narrow"/>
                <w:sz w:val="18"/>
                <w:szCs w:val="18"/>
              </w:rPr>
              <w:t>Estimates are for a multi-chemical submission of 7.5 chemicals per site, as observed overall in 2016 CDR (US EPA, 2017</w:t>
            </w:r>
            <w:r w:rsidR="006A0537">
              <w:rPr>
                <w:rFonts w:ascii="Arial Narrow" w:hAnsi="Arial Narrow"/>
                <w:sz w:val="18"/>
                <w:szCs w:val="18"/>
              </w:rPr>
              <w:t>c</w:t>
            </w:r>
            <w:r w:rsidRPr="00C0632D">
              <w:rPr>
                <w:rFonts w:ascii="Arial Narrow" w:hAnsi="Arial Narrow"/>
                <w:sz w:val="18"/>
                <w:szCs w:val="18"/>
              </w:rPr>
              <w:t>)</w:t>
            </w:r>
            <w:r w:rsidRPr="00C0632D">
              <w:rPr>
                <w:rFonts w:ascii="Arial Narrow" w:hAnsi="Arial Narrow"/>
                <w:sz w:val="18"/>
                <w:szCs w:val="18"/>
              </w:rPr>
              <w:tab/>
            </w:r>
          </w:p>
          <w:p w14:paraId="554059F5" w14:textId="77777777" w:rsidR="001757D5" w:rsidRPr="00C0632D" w:rsidRDefault="001757D5" w:rsidP="004D4DC1">
            <w:pPr>
              <w:pStyle w:val="ListParagraph"/>
              <w:numPr>
                <w:ilvl w:val="0"/>
                <w:numId w:val="24"/>
              </w:numPr>
              <w:spacing w:before="60"/>
              <w:rPr>
                <w:rFonts w:ascii="Arial Narrow" w:hAnsi="Arial Narrow"/>
                <w:sz w:val="18"/>
                <w:szCs w:val="18"/>
              </w:rPr>
            </w:pPr>
            <w:r w:rsidRPr="00C0632D">
              <w:rPr>
                <w:rFonts w:ascii="Arial Narrow" w:hAnsi="Arial Narrow"/>
                <w:sz w:val="18"/>
                <w:szCs w:val="18"/>
              </w:rPr>
              <w:t xml:space="preserve">The estimate for new reporter Rule Familiarization burden consists of seven hours of Managerial labor and 17 hours of Technical labor. Compliance Determination and Recordkeeping for new reporters are estimated at the same levels as for experienced reporters. </w:t>
            </w:r>
          </w:p>
          <w:p w14:paraId="20C7F5CE" w14:textId="77777777" w:rsidR="00431394" w:rsidRDefault="00684860" w:rsidP="00C0632D">
            <w:pPr>
              <w:spacing w:before="60"/>
              <w:rPr>
                <w:rFonts w:ascii="Arial Narrow" w:hAnsi="Arial Narrow"/>
                <w:sz w:val="18"/>
                <w:szCs w:val="18"/>
              </w:rPr>
            </w:pPr>
            <w:r>
              <w:rPr>
                <w:rFonts w:ascii="Arial Narrow" w:hAnsi="Arial Narrow"/>
                <w:sz w:val="18"/>
                <w:szCs w:val="18"/>
              </w:rPr>
              <w:t xml:space="preserve">Table </w:t>
            </w:r>
            <w:r w:rsidR="00431394">
              <w:rPr>
                <w:rFonts w:ascii="Arial Narrow" w:hAnsi="Arial Narrow"/>
                <w:sz w:val="18"/>
                <w:szCs w:val="18"/>
              </w:rPr>
              <w:t>Footnotes:</w:t>
            </w:r>
          </w:p>
          <w:p w14:paraId="322DA598" w14:textId="77777777" w:rsidR="00780003" w:rsidRDefault="00431394" w:rsidP="00C0632D">
            <w:pPr>
              <w:spacing w:before="60"/>
              <w:rPr>
                <w:rFonts w:ascii="Arial Narrow" w:hAnsi="Arial Narrow"/>
                <w:sz w:val="18"/>
                <w:szCs w:val="18"/>
              </w:rPr>
            </w:pPr>
            <w:r>
              <w:rPr>
                <w:rFonts w:ascii="Arial Narrow" w:hAnsi="Arial Narrow"/>
                <w:sz w:val="18"/>
                <w:szCs w:val="18"/>
                <w:vertAlign w:val="superscript"/>
              </w:rPr>
              <w:t xml:space="preserve">1 </w:t>
            </w:r>
            <w:r w:rsidR="001757D5" w:rsidRPr="004D7833">
              <w:rPr>
                <w:rFonts w:ascii="Arial Narrow" w:hAnsi="Arial Narrow"/>
                <w:sz w:val="18"/>
                <w:szCs w:val="18"/>
              </w:rPr>
              <w:t xml:space="preserve">The estimate for </w:t>
            </w:r>
            <w:r w:rsidR="001757D5">
              <w:rPr>
                <w:rFonts w:ascii="Arial Narrow" w:hAnsi="Arial Narrow"/>
                <w:sz w:val="18"/>
                <w:szCs w:val="18"/>
              </w:rPr>
              <w:t xml:space="preserve">new reporter </w:t>
            </w:r>
            <w:r w:rsidR="001757D5" w:rsidRPr="004D7833">
              <w:rPr>
                <w:rFonts w:ascii="Arial Narrow" w:hAnsi="Arial Narrow"/>
                <w:sz w:val="18"/>
                <w:szCs w:val="18"/>
              </w:rPr>
              <w:t xml:space="preserve">Form Completion is derived using </w:t>
            </w:r>
            <w:r w:rsidR="001757D5">
              <w:rPr>
                <w:rFonts w:ascii="Arial Narrow" w:hAnsi="Arial Narrow"/>
                <w:sz w:val="18"/>
                <w:szCs w:val="18"/>
              </w:rPr>
              <w:t xml:space="preserve">this ICR renewal’s experienced reporter estimate and a First Time Factor of 1.26 based on the ratio of </w:t>
            </w:r>
            <w:r w:rsidR="001757D5" w:rsidRPr="004D7833">
              <w:rPr>
                <w:rFonts w:ascii="Arial Narrow" w:hAnsi="Arial Narrow"/>
                <w:sz w:val="18"/>
                <w:szCs w:val="18"/>
              </w:rPr>
              <w:t>unadjusted</w:t>
            </w:r>
            <w:r w:rsidR="001757D5">
              <w:rPr>
                <w:rFonts w:ascii="Arial Narrow" w:hAnsi="Arial Narrow"/>
                <w:sz w:val="18"/>
                <w:szCs w:val="18"/>
              </w:rPr>
              <w:t xml:space="preserve"> activity level estimates, for new and experienced reporters, per c</w:t>
            </w:r>
            <w:r w:rsidR="001757D5" w:rsidRPr="004D7833">
              <w:rPr>
                <w:rFonts w:ascii="Arial Narrow" w:hAnsi="Arial Narrow"/>
                <w:sz w:val="18"/>
                <w:szCs w:val="18"/>
              </w:rPr>
              <w:t>orrec</w:t>
            </w:r>
            <w:r w:rsidR="001757D5">
              <w:rPr>
                <w:rFonts w:ascii="Arial Narrow" w:hAnsi="Arial Narrow"/>
                <w:sz w:val="18"/>
                <w:szCs w:val="18"/>
              </w:rPr>
              <w:t>tions (see Section 6(g) of this report).</w:t>
            </w:r>
          </w:p>
          <w:p w14:paraId="1C36962E" w14:textId="77777777" w:rsidR="000F5F27" w:rsidRPr="00780003" w:rsidRDefault="000F5F27" w:rsidP="000F5F27">
            <w:pPr>
              <w:spacing w:before="60"/>
              <w:rPr>
                <w:rFonts w:ascii="Arial Narrow" w:eastAsia="Times New Roman" w:hAnsi="Arial Narrow" w:cs="Calibri"/>
                <w:color w:val="000000"/>
                <w:sz w:val="20"/>
                <w:szCs w:val="20"/>
              </w:rPr>
            </w:pPr>
            <w:r w:rsidRPr="000F5F27">
              <w:rPr>
                <w:rFonts w:ascii="Arial Narrow" w:hAnsi="Arial Narrow"/>
                <w:sz w:val="18"/>
                <w:szCs w:val="18"/>
                <w:vertAlign w:val="superscript"/>
              </w:rPr>
              <w:t>2</w:t>
            </w:r>
            <w:r>
              <w:rPr>
                <w:rFonts w:ascii="Arial Narrow" w:hAnsi="Arial Narrow"/>
                <w:sz w:val="18"/>
                <w:szCs w:val="18"/>
              </w:rPr>
              <w:t xml:space="preserve"> Overall unit burden is based on 15% new reporting sites (see discussion in Section 6(d)</w:t>
            </w:r>
            <w:r w:rsidR="00851312">
              <w:rPr>
                <w:rFonts w:ascii="Arial Narrow" w:hAnsi="Arial Narrow"/>
                <w:sz w:val="18"/>
                <w:szCs w:val="18"/>
              </w:rPr>
              <w:t>)</w:t>
            </w:r>
            <w:r>
              <w:rPr>
                <w:rFonts w:ascii="Arial Narrow" w:hAnsi="Arial Narrow"/>
                <w:sz w:val="18"/>
                <w:szCs w:val="18"/>
              </w:rPr>
              <w:t>.</w:t>
            </w:r>
          </w:p>
        </w:tc>
      </w:tr>
    </w:tbl>
    <w:p w14:paraId="3BD40DA3" w14:textId="77777777" w:rsidR="00780003" w:rsidRDefault="00780003" w:rsidP="000F6439">
      <w:pPr>
        <w:pStyle w:val="BodyText"/>
      </w:pPr>
    </w:p>
    <w:p w14:paraId="511C090B" w14:textId="77777777" w:rsidR="00B06591" w:rsidRPr="00C64679" w:rsidRDefault="00A77302" w:rsidP="00B06591">
      <w:pPr>
        <w:pStyle w:val="BodyText"/>
      </w:pPr>
      <w:r w:rsidRPr="008A7FB7">
        <w:t xml:space="preserve">CDX </w:t>
      </w:r>
      <w:r>
        <w:t xml:space="preserve">activities include CDX registration and electronic signature. Unlike CDR Form U submissions, the response unit is </w:t>
      </w:r>
      <w:r w:rsidR="006F1223">
        <w:t xml:space="preserve">per </w:t>
      </w:r>
      <w:r>
        <w:t>registration</w:t>
      </w:r>
      <w:r w:rsidR="00FC16D2">
        <w:t xml:space="preserve"> rather than per submission</w:t>
      </w:r>
      <w:r>
        <w:t xml:space="preserve">. Respondents may be new reporters or new employees at sites with experience reporting. </w:t>
      </w:r>
      <w:r w:rsidR="00E268A5">
        <w:t>Not all new reporters necessarily need to conduct CDX activities, as the same registration and e-signature apply to multiple EPA reporting functions</w:t>
      </w:r>
      <w:r w:rsidR="00770491">
        <w:t>.</w:t>
      </w:r>
      <w:r w:rsidR="00B06591">
        <w:t xml:space="preserve"> As shown in Table 5, unit burden for CDX activities is estimated at </w:t>
      </w:r>
      <w:r w:rsidR="00B06591" w:rsidRPr="00C64679">
        <w:t>0.53 hours per registrant</w:t>
      </w:r>
      <w:r w:rsidR="00B06591">
        <w:t xml:space="preserve"> for those who are not already registered</w:t>
      </w:r>
      <w:r w:rsidR="00F20BA8">
        <w:t xml:space="preserve">. </w:t>
      </w:r>
      <w:r w:rsidR="00B06591">
        <w:t>Similarly, unit cost for CDX registration activities total $41.55 per registrant</w:t>
      </w:r>
      <w:r w:rsidR="00F20BA8">
        <w:t>.</w:t>
      </w:r>
    </w:p>
    <w:tbl>
      <w:tblPr>
        <w:tblW w:w="5000" w:type="pct"/>
        <w:tblLayout w:type="fixed"/>
        <w:tblLook w:val="04A0" w:firstRow="1" w:lastRow="0" w:firstColumn="1" w:lastColumn="0" w:noHBand="0" w:noVBand="1"/>
      </w:tblPr>
      <w:tblGrid>
        <w:gridCol w:w="3168"/>
        <w:gridCol w:w="1113"/>
        <w:gridCol w:w="1059"/>
        <w:gridCol w:w="1013"/>
        <w:gridCol w:w="938"/>
        <w:gridCol w:w="1320"/>
        <w:gridCol w:w="965"/>
      </w:tblGrid>
      <w:tr w:rsidR="00BA3A81" w:rsidRPr="00BA3A81" w14:paraId="324E90BF" w14:textId="77777777" w:rsidTr="002C1543">
        <w:trPr>
          <w:trHeight w:val="310"/>
        </w:trPr>
        <w:tc>
          <w:tcPr>
            <w:tcW w:w="5000" w:type="pct"/>
            <w:gridSpan w:val="7"/>
            <w:tcBorders>
              <w:top w:val="nil"/>
              <w:left w:val="nil"/>
              <w:bottom w:val="single" w:sz="8" w:space="0" w:color="auto"/>
              <w:right w:val="nil"/>
            </w:tcBorders>
            <w:shd w:val="clear" w:color="auto" w:fill="auto"/>
            <w:noWrap/>
            <w:vAlign w:val="center"/>
            <w:hideMark/>
          </w:tcPr>
          <w:p w14:paraId="3B93DB3D" w14:textId="77777777" w:rsidR="00BA3A81" w:rsidRPr="00BA3A81" w:rsidRDefault="00BA3A81" w:rsidP="00BA3A81">
            <w:pPr>
              <w:pStyle w:val="TableTitle"/>
            </w:pPr>
            <w:r w:rsidRPr="00BA3A81">
              <w:t>Table 5: CDX Registration for e-Reporting Respondent Unit Burden and Cost (2016$)</w:t>
            </w:r>
          </w:p>
        </w:tc>
      </w:tr>
      <w:tr w:rsidR="005E33CC" w:rsidRPr="00BA3A81" w14:paraId="1F8E5351" w14:textId="77777777" w:rsidTr="002C1543">
        <w:trPr>
          <w:trHeight w:val="619"/>
        </w:trPr>
        <w:tc>
          <w:tcPr>
            <w:tcW w:w="1654" w:type="pct"/>
            <w:tcBorders>
              <w:top w:val="nil"/>
              <w:left w:val="single" w:sz="8" w:space="0" w:color="auto"/>
              <w:bottom w:val="nil"/>
              <w:right w:val="nil"/>
            </w:tcBorders>
            <w:shd w:val="clear" w:color="000000" w:fill="BFBFBF"/>
            <w:noWrap/>
            <w:vAlign w:val="bottom"/>
            <w:hideMark/>
          </w:tcPr>
          <w:p w14:paraId="0B13C436" w14:textId="77777777" w:rsidR="00BA3A81" w:rsidRPr="00BA3A81" w:rsidRDefault="00BA3A81" w:rsidP="00BA3A81">
            <w:pP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Respondent Activities</w:t>
            </w:r>
          </w:p>
        </w:tc>
        <w:tc>
          <w:tcPr>
            <w:tcW w:w="581" w:type="pct"/>
            <w:tcBorders>
              <w:top w:val="nil"/>
              <w:left w:val="single" w:sz="4" w:space="0" w:color="auto"/>
              <w:right w:val="single" w:sz="4" w:space="0" w:color="auto"/>
            </w:tcBorders>
            <w:shd w:val="clear" w:color="000000" w:fill="BFBFBF"/>
            <w:vAlign w:val="bottom"/>
            <w:hideMark/>
          </w:tcPr>
          <w:p w14:paraId="105AF069" w14:textId="77777777" w:rsidR="00BA3A81" w:rsidRPr="00BA3A81" w:rsidRDefault="00BA3A81" w:rsidP="005E33CC">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M</w:t>
            </w:r>
            <w:r w:rsidR="005E33CC">
              <w:rPr>
                <w:rFonts w:ascii="Arial Narrow" w:eastAsia="Times New Roman" w:hAnsi="Arial Narrow" w:cs="Times New Roman"/>
                <w:b/>
                <w:bCs/>
                <w:color w:val="000000"/>
                <w:sz w:val="20"/>
                <w:szCs w:val="20"/>
              </w:rPr>
              <w:t>anagerial Burden (Hours)</w:t>
            </w:r>
          </w:p>
        </w:tc>
        <w:tc>
          <w:tcPr>
            <w:tcW w:w="553" w:type="pct"/>
            <w:tcBorders>
              <w:top w:val="nil"/>
              <w:left w:val="nil"/>
              <w:right w:val="single" w:sz="4" w:space="0" w:color="auto"/>
            </w:tcBorders>
            <w:shd w:val="clear" w:color="000000" w:fill="BFBFBF"/>
            <w:vAlign w:val="bottom"/>
            <w:hideMark/>
          </w:tcPr>
          <w:p w14:paraId="0BC5A6BE" w14:textId="77777777" w:rsidR="00BA3A81" w:rsidRPr="00BA3A81" w:rsidRDefault="00BA3A81" w:rsidP="00BA3A81">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T</w:t>
            </w:r>
            <w:r w:rsidR="005E33CC">
              <w:rPr>
                <w:rFonts w:ascii="Arial Narrow" w:eastAsia="Times New Roman" w:hAnsi="Arial Narrow" w:cs="Times New Roman"/>
                <w:b/>
                <w:bCs/>
                <w:color w:val="000000"/>
                <w:sz w:val="20"/>
                <w:szCs w:val="20"/>
              </w:rPr>
              <w:t>echnical Burden (Hours)</w:t>
            </w:r>
          </w:p>
        </w:tc>
        <w:tc>
          <w:tcPr>
            <w:tcW w:w="529" w:type="pct"/>
            <w:tcBorders>
              <w:top w:val="nil"/>
              <w:left w:val="nil"/>
              <w:right w:val="single" w:sz="4" w:space="0" w:color="auto"/>
            </w:tcBorders>
            <w:shd w:val="clear" w:color="000000" w:fill="BFBFBF"/>
            <w:vAlign w:val="bottom"/>
            <w:hideMark/>
          </w:tcPr>
          <w:p w14:paraId="389A7C26" w14:textId="77777777" w:rsidR="00BA3A81" w:rsidRPr="00BA3A81" w:rsidRDefault="00BA3A81" w:rsidP="00BA3A81">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C</w:t>
            </w:r>
            <w:r w:rsidR="005E33CC">
              <w:rPr>
                <w:rFonts w:ascii="Arial Narrow" w:eastAsia="Times New Roman" w:hAnsi="Arial Narrow" w:cs="Times New Roman"/>
                <w:b/>
                <w:bCs/>
                <w:color w:val="000000"/>
                <w:sz w:val="20"/>
                <w:szCs w:val="20"/>
              </w:rPr>
              <w:t>lerical Burden (Hours)</w:t>
            </w:r>
          </w:p>
        </w:tc>
        <w:tc>
          <w:tcPr>
            <w:tcW w:w="490" w:type="pct"/>
            <w:tcBorders>
              <w:top w:val="nil"/>
              <w:left w:val="nil"/>
              <w:right w:val="single" w:sz="4" w:space="0" w:color="auto"/>
            </w:tcBorders>
            <w:shd w:val="clear" w:color="000000" w:fill="BFBFBF"/>
            <w:vAlign w:val="bottom"/>
            <w:hideMark/>
          </w:tcPr>
          <w:p w14:paraId="19998F54" w14:textId="77777777" w:rsidR="00BA3A81" w:rsidRPr="00BA3A81" w:rsidRDefault="00BA3A81" w:rsidP="00BA3A81">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Total Burden</w:t>
            </w:r>
            <w:r w:rsidR="005E33CC">
              <w:rPr>
                <w:rFonts w:ascii="Arial Narrow" w:eastAsia="Times New Roman" w:hAnsi="Arial Narrow" w:cs="Times New Roman"/>
                <w:b/>
                <w:bCs/>
                <w:color w:val="000000"/>
                <w:sz w:val="20"/>
                <w:szCs w:val="20"/>
              </w:rPr>
              <w:t xml:space="preserve"> (Hours)</w:t>
            </w:r>
          </w:p>
        </w:tc>
        <w:tc>
          <w:tcPr>
            <w:tcW w:w="689" w:type="pct"/>
            <w:tcBorders>
              <w:top w:val="nil"/>
              <w:left w:val="nil"/>
              <w:right w:val="single" w:sz="4" w:space="0" w:color="auto"/>
            </w:tcBorders>
            <w:shd w:val="clear" w:color="000000" w:fill="BFBFBF"/>
            <w:vAlign w:val="bottom"/>
            <w:hideMark/>
          </w:tcPr>
          <w:p w14:paraId="331C54F8" w14:textId="77777777" w:rsidR="00BA3A81" w:rsidRPr="00BA3A81" w:rsidRDefault="00BA3A81" w:rsidP="00BA3A81">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 xml:space="preserve">Average </w:t>
            </w:r>
            <w:r w:rsidR="00E71DA5">
              <w:rPr>
                <w:rFonts w:ascii="Arial Narrow" w:eastAsia="Times New Roman" w:hAnsi="Arial Narrow" w:cs="Times New Roman"/>
                <w:b/>
                <w:bCs/>
                <w:color w:val="000000"/>
                <w:sz w:val="20"/>
                <w:szCs w:val="20"/>
              </w:rPr>
              <w:br/>
            </w:r>
            <w:r w:rsidRPr="00BA3A81">
              <w:rPr>
                <w:rFonts w:ascii="Arial Narrow" w:eastAsia="Times New Roman" w:hAnsi="Arial Narrow" w:cs="Times New Roman"/>
                <w:b/>
                <w:bCs/>
                <w:color w:val="000000"/>
                <w:sz w:val="20"/>
                <w:szCs w:val="20"/>
              </w:rPr>
              <w:t>Wage Rate</w:t>
            </w:r>
          </w:p>
        </w:tc>
        <w:tc>
          <w:tcPr>
            <w:tcW w:w="504" w:type="pct"/>
            <w:tcBorders>
              <w:top w:val="nil"/>
              <w:left w:val="nil"/>
              <w:bottom w:val="nil"/>
              <w:right w:val="single" w:sz="8" w:space="0" w:color="auto"/>
            </w:tcBorders>
            <w:shd w:val="clear" w:color="000000" w:fill="BFBFBF"/>
            <w:noWrap/>
            <w:vAlign w:val="bottom"/>
            <w:hideMark/>
          </w:tcPr>
          <w:p w14:paraId="60F4848F" w14:textId="77777777" w:rsidR="00BA3A81" w:rsidRPr="00BA3A81" w:rsidRDefault="00BA3A81" w:rsidP="00BA3A81">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Unit Cost</w:t>
            </w:r>
          </w:p>
        </w:tc>
      </w:tr>
      <w:tr w:rsidR="005E33CC" w:rsidRPr="00BA3A81" w14:paraId="775E59B7" w14:textId="77777777" w:rsidTr="002C1543">
        <w:trPr>
          <w:trHeight w:val="290"/>
        </w:trPr>
        <w:tc>
          <w:tcPr>
            <w:tcW w:w="1654"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21F1D73" w14:textId="77777777" w:rsidR="00BA3A81" w:rsidRPr="00BA3A81" w:rsidRDefault="00BA3A81" w:rsidP="00BA3A81">
            <w:pPr>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CDX Registration</w:t>
            </w:r>
          </w:p>
        </w:tc>
        <w:tc>
          <w:tcPr>
            <w:tcW w:w="581" w:type="pct"/>
            <w:tcBorders>
              <w:top w:val="single" w:sz="4" w:space="0" w:color="auto"/>
              <w:left w:val="nil"/>
              <w:bottom w:val="single" w:sz="4" w:space="0" w:color="auto"/>
              <w:right w:val="single" w:sz="4" w:space="0" w:color="auto"/>
            </w:tcBorders>
            <w:shd w:val="clear" w:color="000000" w:fill="FFFFFF"/>
            <w:noWrap/>
            <w:vAlign w:val="center"/>
            <w:hideMark/>
          </w:tcPr>
          <w:p w14:paraId="6EB98224" w14:textId="77777777" w:rsidR="00BA3A81" w:rsidRPr="00BA3A81" w:rsidRDefault="00BA3A81" w:rsidP="00E71DA5">
            <w:pPr>
              <w:ind w:right="101"/>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w:t>
            </w:r>
          </w:p>
        </w:tc>
        <w:tc>
          <w:tcPr>
            <w:tcW w:w="553" w:type="pct"/>
            <w:tcBorders>
              <w:top w:val="single" w:sz="4" w:space="0" w:color="auto"/>
              <w:left w:val="nil"/>
              <w:bottom w:val="single" w:sz="4" w:space="0" w:color="auto"/>
              <w:right w:val="single" w:sz="4" w:space="0" w:color="auto"/>
            </w:tcBorders>
            <w:shd w:val="clear" w:color="000000" w:fill="FFFFFF"/>
            <w:noWrap/>
            <w:vAlign w:val="center"/>
            <w:hideMark/>
          </w:tcPr>
          <w:p w14:paraId="5DC29636" w14:textId="77777777" w:rsidR="00BA3A81" w:rsidRPr="00BA3A81" w:rsidRDefault="00BA3A81" w:rsidP="00E71DA5">
            <w:pPr>
              <w:ind w:right="101"/>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0.18</w:t>
            </w:r>
          </w:p>
        </w:tc>
        <w:tc>
          <w:tcPr>
            <w:tcW w:w="529" w:type="pct"/>
            <w:tcBorders>
              <w:top w:val="single" w:sz="4" w:space="0" w:color="auto"/>
              <w:left w:val="nil"/>
              <w:bottom w:val="single" w:sz="4" w:space="0" w:color="auto"/>
              <w:right w:val="single" w:sz="4" w:space="0" w:color="auto"/>
            </w:tcBorders>
            <w:shd w:val="clear" w:color="000000" w:fill="FFFFFF"/>
            <w:noWrap/>
            <w:vAlign w:val="center"/>
            <w:hideMark/>
          </w:tcPr>
          <w:p w14:paraId="0D098EA1" w14:textId="77777777" w:rsidR="00BA3A81" w:rsidRPr="00BA3A81" w:rsidRDefault="00BA3A81" w:rsidP="00E71DA5">
            <w:pPr>
              <w:ind w:right="101"/>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w:t>
            </w:r>
          </w:p>
        </w:tc>
        <w:tc>
          <w:tcPr>
            <w:tcW w:w="490" w:type="pct"/>
            <w:tcBorders>
              <w:top w:val="single" w:sz="4" w:space="0" w:color="auto"/>
              <w:left w:val="nil"/>
              <w:bottom w:val="single" w:sz="4" w:space="0" w:color="auto"/>
              <w:right w:val="single" w:sz="4" w:space="0" w:color="auto"/>
            </w:tcBorders>
            <w:shd w:val="clear" w:color="000000" w:fill="FFFFFF"/>
            <w:noWrap/>
            <w:vAlign w:val="center"/>
            <w:hideMark/>
          </w:tcPr>
          <w:p w14:paraId="42B17760" w14:textId="77777777" w:rsidR="00BA3A81" w:rsidRPr="00BA3A81" w:rsidRDefault="00BA3A81" w:rsidP="00E71DA5">
            <w:pPr>
              <w:ind w:right="101"/>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0.18</w:t>
            </w:r>
          </w:p>
        </w:tc>
        <w:tc>
          <w:tcPr>
            <w:tcW w:w="689" w:type="pct"/>
            <w:tcBorders>
              <w:top w:val="single" w:sz="4" w:space="0" w:color="auto"/>
              <w:left w:val="nil"/>
              <w:bottom w:val="single" w:sz="4" w:space="0" w:color="auto"/>
              <w:right w:val="single" w:sz="4" w:space="0" w:color="auto"/>
            </w:tcBorders>
            <w:shd w:val="clear" w:color="000000" w:fill="FFFFFF"/>
            <w:noWrap/>
            <w:vAlign w:val="center"/>
            <w:hideMark/>
          </w:tcPr>
          <w:p w14:paraId="2D3D8341" w14:textId="77777777" w:rsidR="00BA3A81" w:rsidRPr="00BA3A81" w:rsidRDefault="00BA3A81" w:rsidP="00E71DA5">
            <w:pPr>
              <w:ind w:right="101"/>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 xml:space="preserve">$78.40 </w:t>
            </w:r>
          </w:p>
        </w:tc>
        <w:tc>
          <w:tcPr>
            <w:tcW w:w="504" w:type="pct"/>
            <w:tcBorders>
              <w:top w:val="single" w:sz="4" w:space="0" w:color="auto"/>
              <w:left w:val="nil"/>
              <w:bottom w:val="single" w:sz="4" w:space="0" w:color="auto"/>
              <w:right w:val="single" w:sz="8" w:space="0" w:color="auto"/>
            </w:tcBorders>
            <w:shd w:val="clear" w:color="auto" w:fill="auto"/>
            <w:noWrap/>
            <w:vAlign w:val="center"/>
            <w:hideMark/>
          </w:tcPr>
          <w:p w14:paraId="2BE1253D" w14:textId="77777777" w:rsidR="00BA3A81" w:rsidRPr="00BA3A81" w:rsidRDefault="00BA3A81" w:rsidP="00E71DA5">
            <w:pPr>
              <w:ind w:right="101"/>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 xml:space="preserve">$14.11 </w:t>
            </w:r>
          </w:p>
        </w:tc>
      </w:tr>
      <w:tr w:rsidR="005E33CC" w:rsidRPr="00BA3A81" w14:paraId="6ADDD1F2" w14:textId="77777777" w:rsidTr="002C1543">
        <w:trPr>
          <w:trHeight w:val="290"/>
        </w:trPr>
        <w:tc>
          <w:tcPr>
            <w:tcW w:w="1654" w:type="pct"/>
            <w:tcBorders>
              <w:top w:val="nil"/>
              <w:left w:val="single" w:sz="8" w:space="0" w:color="auto"/>
              <w:bottom w:val="single" w:sz="12" w:space="0" w:color="auto"/>
              <w:right w:val="single" w:sz="4" w:space="0" w:color="auto"/>
            </w:tcBorders>
            <w:shd w:val="clear" w:color="auto" w:fill="auto"/>
            <w:noWrap/>
            <w:vAlign w:val="center"/>
            <w:hideMark/>
          </w:tcPr>
          <w:p w14:paraId="79A4C966" w14:textId="77777777" w:rsidR="00BA3A81" w:rsidRPr="00BA3A81" w:rsidRDefault="00BA3A81" w:rsidP="00BA3A81">
            <w:pPr>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CDX Electronic Signature</w:t>
            </w:r>
          </w:p>
        </w:tc>
        <w:tc>
          <w:tcPr>
            <w:tcW w:w="581" w:type="pct"/>
            <w:tcBorders>
              <w:top w:val="nil"/>
              <w:left w:val="nil"/>
              <w:bottom w:val="single" w:sz="12" w:space="0" w:color="auto"/>
              <w:right w:val="single" w:sz="4" w:space="0" w:color="auto"/>
            </w:tcBorders>
            <w:shd w:val="clear" w:color="000000" w:fill="FFFFFF"/>
            <w:noWrap/>
            <w:vAlign w:val="center"/>
            <w:hideMark/>
          </w:tcPr>
          <w:p w14:paraId="41CF3B13" w14:textId="77777777" w:rsidR="00BA3A81" w:rsidRPr="00BA3A81" w:rsidRDefault="00BA3A81" w:rsidP="00E71DA5">
            <w:pPr>
              <w:ind w:right="101"/>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w:t>
            </w:r>
          </w:p>
        </w:tc>
        <w:tc>
          <w:tcPr>
            <w:tcW w:w="553" w:type="pct"/>
            <w:tcBorders>
              <w:top w:val="nil"/>
              <w:left w:val="nil"/>
              <w:bottom w:val="single" w:sz="12" w:space="0" w:color="auto"/>
              <w:right w:val="single" w:sz="4" w:space="0" w:color="auto"/>
            </w:tcBorders>
            <w:shd w:val="clear" w:color="000000" w:fill="FFFFFF"/>
            <w:noWrap/>
            <w:vAlign w:val="center"/>
            <w:hideMark/>
          </w:tcPr>
          <w:p w14:paraId="461A2CD5" w14:textId="77777777" w:rsidR="00BA3A81" w:rsidRPr="00BA3A81" w:rsidRDefault="00BA3A81" w:rsidP="00E71DA5">
            <w:pPr>
              <w:ind w:right="101"/>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0.35</w:t>
            </w:r>
          </w:p>
        </w:tc>
        <w:tc>
          <w:tcPr>
            <w:tcW w:w="529" w:type="pct"/>
            <w:tcBorders>
              <w:top w:val="nil"/>
              <w:left w:val="nil"/>
              <w:bottom w:val="single" w:sz="12" w:space="0" w:color="auto"/>
              <w:right w:val="single" w:sz="4" w:space="0" w:color="auto"/>
            </w:tcBorders>
            <w:shd w:val="clear" w:color="000000" w:fill="FFFFFF"/>
            <w:noWrap/>
            <w:vAlign w:val="center"/>
            <w:hideMark/>
          </w:tcPr>
          <w:p w14:paraId="7536B48D" w14:textId="77777777" w:rsidR="00BA3A81" w:rsidRPr="00BA3A81" w:rsidRDefault="00BA3A81" w:rsidP="00E71DA5">
            <w:pPr>
              <w:ind w:right="101"/>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w:t>
            </w:r>
          </w:p>
        </w:tc>
        <w:tc>
          <w:tcPr>
            <w:tcW w:w="490" w:type="pct"/>
            <w:tcBorders>
              <w:top w:val="nil"/>
              <w:left w:val="nil"/>
              <w:bottom w:val="single" w:sz="12" w:space="0" w:color="auto"/>
              <w:right w:val="single" w:sz="4" w:space="0" w:color="auto"/>
            </w:tcBorders>
            <w:shd w:val="clear" w:color="000000" w:fill="FFFFFF"/>
            <w:noWrap/>
            <w:vAlign w:val="center"/>
            <w:hideMark/>
          </w:tcPr>
          <w:p w14:paraId="4EB988DF" w14:textId="77777777" w:rsidR="00BA3A81" w:rsidRPr="00BA3A81" w:rsidRDefault="00BA3A81" w:rsidP="00E71DA5">
            <w:pPr>
              <w:ind w:right="101"/>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0.35</w:t>
            </w:r>
          </w:p>
        </w:tc>
        <w:tc>
          <w:tcPr>
            <w:tcW w:w="689" w:type="pct"/>
            <w:tcBorders>
              <w:top w:val="nil"/>
              <w:left w:val="nil"/>
              <w:bottom w:val="single" w:sz="12" w:space="0" w:color="auto"/>
              <w:right w:val="single" w:sz="4" w:space="0" w:color="auto"/>
            </w:tcBorders>
            <w:shd w:val="clear" w:color="000000" w:fill="FFFFFF"/>
            <w:noWrap/>
            <w:vAlign w:val="center"/>
            <w:hideMark/>
          </w:tcPr>
          <w:p w14:paraId="3EC4B265" w14:textId="77777777" w:rsidR="00BA3A81" w:rsidRPr="00BA3A81" w:rsidRDefault="00BA3A81" w:rsidP="00E71DA5">
            <w:pPr>
              <w:ind w:right="101"/>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 xml:space="preserve">$78.40 </w:t>
            </w:r>
          </w:p>
        </w:tc>
        <w:tc>
          <w:tcPr>
            <w:tcW w:w="504" w:type="pct"/>
            <w:tcBorders>
              <w:top w:val="nil"/>
              <w:left w:val="nil"/>
              <w:bottom w:val="single" w:sz="12" w:space="0" w:color="auto"/>
              <w:right w:val="single" w:sz="8" w:space="0" w:color="auto"/>
            </w:tcBorders>
            <w:shd w:val="clear" w:color="auto" w:fill="auto"/>
            <w:noWrap/>
            <w:vAlign w:val="center"/>
            <w:hideMark/>
          </w:tcPr>
          <w:p w14:paraId="1AFCAF4D" w14:textId="77777777" w:rsidR="00BA3A81" w:rsidRPr="00BA3A81" w:rsidRDefault="00BA3A81" w:rsidP="00E71DA5">
            <w:pPr>
              <w:ind w:right="101"/>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 xml:space="preserve">$27.44 </w:t>
            </w:r>
          </w:p>
        </w:tc>
      </w:tr>
      <w:tr w:rsidR="005E33CC" w:rsidRPr="00BA3A81" w14:paraId="0DD2592B" w14:textId="77777777" w:rsidTr="002C1543">
        <w:trPr>
          <w:trHeight w:val="296"/>
        </w:trPr>
        <w:tc>
          <w:tcPr>
            <w:tcW w:w="1654" w:type="pct"/>
            <w:tcBorders>
              <w:top w:val="single" w:sz="12" w:space="0" w:color="auto"/>
              <w:left w:val="single" w:sz="8" w:space="0" w:color="auto"/>
              <w:bottom w:val="single" w:sz="12" w:space="0" w:color="auto"/>
              <w:right w:val="single" w:sz="4" w:space="0" w:color="auto"/>
            </w:tcBorders>
            <w:shd w:val="clear" w:color="auto" w:fill="auto"/>
            <w:noWrap/>
            <w:vAlign w:val="center"/>
            <w:hideMark/>
          </w:tcPr>
          <w:p w14:paraId="5ACC1ADD" w14:textId="77777777" w:rsidR="00BA3A81" w:rsidRPr="00BA3A81" w:rsidRDefault="00BA3A81" w:rsidP="00BA3A81">
            <w:pPr>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CDX Registration and e-Signature Total</w:t>
            </w:r>
          </w:p>
        </w:tc>
        <w:tc>
          <w:tcPr>
            <w:tcW w:w="581" w:type="pct"/>
            <w:tcBorders>
              <w:top w:val="single" w:sz="12" w:space="0" w:color="auto"/>
              <w:left w:val="nil"/>
              <w:bottom w:val="single" w:sz="12" w:space="0" w:color="auto"/>
              <w:right w:val="single" w:sz="4" w:space="0" w:color="auto"/>
            </w:tcBorders>
            <w:shd w:val="clear" w:color="000000" w:fill="FFFFFF"/>
            <w:noWrap/>
            <w:vAlign w:val="center"/>
            <w:hideMark/>
          </w:tcPr>
          <w:p w14:paraId="632F6421" w14:textId="77777777" w:rsidR="00BA3A81" w:rsidRPr="00BA3A81" w:rsidRDefault="00BA3A81" w:rsidP="00E71DA5">
            <w:pPr>
              <w:ind w:right="101"/>
              <w:jc w:val="right"/>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0</w:t>
            </w:r>
          </w:p>
        </w:tc>
        <w:tc>
          <w:tcPr>
            <w:tcW w:w="553" w:type="pct"/>
            <w:tcBorders>
              <w:top w:val="single" w:sz="12" w:space="0" w:color="auto"/>
              <w:left w:val="nil"/>
              <w:bottom w:val="single" w:sz="12" w:space="0" w:color="auto"/>
              <w:right w:val="single" w:sz="4" w:space="0" w:color="auto"/>
            </w:tcBorders>
            <w:shd w:val="clear" w:color="000000" w:fill="FFFFFF"/>
            <w:noWrap/>
            <w:vAlign w:val="center"/>
            <w:hideMark/>
          </w:tcPr>
          <w:p w14:paraId="2C2129A5" w14:textId="77777777" w:rsidR="00BA3A81" w:rsidRPr="00BA3A81" w:rsidRDefault="00BA3A81" w:rsidP="00E71DA5">
            <w:pPr>
              <w:ind w:right="101"/>
              <w:jc w:val="right"/>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0.53</w:t>
            </w:r>
          </w:p>
        </w:tc>
        <w:tc>
          <w:tcPr>
            <w:tcW w:w="529" w:type="pct"/>
            <w:tcBorders>
              <w:top w:val="single" w:sz="12" w:space="0" w:color="auto"/>
              <w:left w:val="nil"/>
              <w:bottom w:val="single" w:sz="12" w:space="0" w:color="auto"/>
              <w:right w:val="single" w:sz="4" w:space="0" w:color="auto"/>
            </w:tcBorders>
            <w:shd w:val="clear" w:color="000000" w:fill="FFFFFF"/>
            <w:noWrap/>
            <w:vAlign w:val="center"/>
            <w:hideMark/>
          </w:tcPr>
          <w:p w14:paraId="0F4768C0" w14:textId="77777777" w:rsidR="00BA3A81" w:rsidRPr="00BA3A81" w:rsidRDefault="00BA3A81" w:rsidP="00E71DA5">
            <w:pPr>
              <w:ind w:right="101"/>
              <w:jc w:val="right"/>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0</w:t>
            </w:r>
          </w:p>
        </w:tc>
        <w:tc>
          <w:tcPr>
            <w:tcW w:w="490" w:type="pct"/>
            <w:tcBorders>
              <w:top w:val="single" w:sz="12" w:space="0" w:color="auto"/>
              <w:left w:val="nil"/>
              <w:bottom w:val="single" w:sz="12" w:space="0" w:color="auto"/>
              <w:right w:val="single" w:sz="4" w:space="0" w:color="auto"/>
            </w:tcBorders>
            <w:shd w:val="clear" w:color="000000" w:fill="FFFFFF"/>
            <w:noWrap/>
            <w:vAlign w:val="center"/>
            <w:hideMark/>
          </w:tcPr>
          <w:p w14:paraId="418A3E01" w14:textId="77777777" w:rsidR="00BA3A81" w:rsidRPr="00BA3A81" w:rsidRDefault="00BA3A81" w:rsidP="00E71DA5">
            <w:pPr>
              <w:ind w:right="101"/>
              <w:jc w:val="right"/>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0.53</w:t>
            </w:r>
          </w:p>
        </w:tc>
        <w:tc>
          <w:tcPr>
            <w:tcW w:w="689" w:type="pct"/>
            <w:tcBorders>
              <w:top w:val="single" w:sz="12" w:space="0" w:color="auto"/>
              <w:left w:val="nil"/>
              <w:bottom w:val="single" w:sz="12" w:space="0" w:color="auto"/>
              <w:right w:val="single" w:sz="4" w:space="0" w:color="auto"/>
            </w:tcBorders>
            <w:shd w:val="clear" w:color="000000" w:fill="FFFFFF"/>
            <w:noWrap/>
            <w:vAlign w:val="center"/>
            <w:hideMark/>
          </w:tcPr>
          <w:p w14:paraId="6F79854D" w14:textId="77777777" w:rsidR="00BA3A81" w:rsidRPr="00BA3A81" w:rsidRDefault="00BA3A81" w:rsidP="00E71DA5">
            <w:pPr>
              <w:ind w:right="101"/>
              <w:jc w:val="right"/>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 xml:space="preserve">$78.40 </w:t>
            </w:r>
          </w:p>
        </w:tc>
        <w:tc>
          <w:tcPr>
            <w:tcW w:w="504" w:type="pct"/>
            <w:tcBorders>
              <w:top w:val="single" w:sz="12" w:space="0" w:color="auto"/>
              <w:left w:val="nil"/>
              <w:bottom w:val="single" w:sz="12" w:space="0" w:color="auto"/>
              <w:right w:val="single" w:sz="8" w:space="0" w:color="auto"/>
            </w:tcBorders>
            <w:shd w:val="clear" w:color="auto" w:fill="auto"/>
            <w:noWrap/>
            <w:vAlign w:val="center"/>
            <w:hideMark/>
          </w:tcPr>
          <w:p w14:paraId="23FBCC1E" w14:textId="77777777" w:rsidR="00BA3A81" w:rsidRPr="00BA3A81" w:rsidRDefault="00BA3A81" w:rsidP="00E71DA5">
            <w:pPr>
              <w:ind w:right="101"/>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 xml:space="preserve">$41.55 </w:t>
            </w:r>
          </w:p>
        </w:tc>
      </w:tr>
      <w:tr w:rsidR="00502BC7" w:rsidRPr="00BA3A81" w14:paraId="3D081035" w14:textId="77777777" w:rsidTr="002C1543">
        <w:trPr>
          <w:trHeight w:val="296"/>
        </w:trPr>
        <w:tc>
          <w:tcPr>
            <w:tcW w:w="5000" w:type="pct"/>
            <w:gridSpan w:val="7"/>
            <w:tcBorders>
              <w:top w:val="single" w:sz="12" w:space="0" w:color="auto"/>
              <w:left w:val="single" w:sz="8" w:space="0" w:color="auto"/>
              <w:bottom w:val="single" w:sz="8" w:space="0" w:color="auto"/>
              <w:right w:val="single" w:sz="8" w:space="0" w:color="auto"/>
            </w:tcBorders>
            <w:shd w:val="clear" w:color="auto" w:fill="auto"/>
            <w:noWrap/>
            <w:vAlign w:val="center"/>
          </w:tcPr>
          <w:p w14:paraId="59B377EC" w14:textId="77777777" w:rsidR="00022174" w:rsidRPr="00603898" w:rsidRDefault="00022174" w:rsidP="00AF72EF">
            <w:pPr>
              <w:pStyle w:val="Footnotetables"/>
              <w:ind w:left="157" w:hanging="157"/>
            </w:pPr>
            <w:r w:rsidRPr="00603898">
              <w:t>General Notes</w:t>
            </w:r>
          </w:p>
          <w:p w14:paraId="550C8681" w14:textId="77777777" w:rsidR="00502BC7" w:rsidRPr="00603898" w:rsidRDefault="00502BC7" w:rsidP="004D4DC1">
            <w:pPr>
              <w:pStyle w:val="Footnotetables"/>
              <w:numPr>
                <w:ilvl w:val="0"/>
                <w:numId w:val="25"/>
              </w:numPr>
            </w:pPr>
            <w:r w:rsidRPr="00603898">
              <w:t xml:space="preserve">Source: </w:t>
            </w:r>
            <w:r w:rsidR="00F0452C">
              <w:t xml:space="preserve">US </w:t>
            </w:r>
            <w:r w:rsidRPr="00603898">
              <w:t>EPA, 2015b</w:t>
            </w:r>
          </w:p>
          <w:p w14:paraId="5C90E0AC" w14:textId="77777777" w:rsidR="00502BC7" w:rsidRPr="00BA3A81" w:rsidRDefault="00093970" w:rsidP="004D4DC1">
            <w:pPr>
              <w:pStyle w:val="Footnotetables"/>
              <w:numPr>
                <w:ilvl w:val="0"/>
                <w:numId w:val="25"/>
              </w:numPr>
            </w:pPr>
            <w:r>
              <w:t xml:space="preserve">See Table 6 for wage rate information. </w:t>
            </w:r>
          </w:p>
        </w:tc>
      </w:tr>
    </w:tbl>
    <w:p w14:paraId="7962A667" w14:textId="77777777" w:rsidR="00BA3A81" w:rsidRPr="00E71DA5" w:rsidRDefault="00BA3A81" w:rsidP="00E71DA5"/>
    <w:p w14:paraId="5896C5DC" w14:textId="77777777" w:rsidR="00F06BA6" w:rsidRPr="007924E4" w:rsidRDefault="00F06BA6" w:rsidP="000D2D6D">
      <w:pPr>
        <w:pStyle w:val="Heading2"/>
      </w:pPr>
      <w:r w:rsidRPr="007924E4">
        <w:t xml:space="preserve">Estimating </w:t>
      </w:r>
      <w:r>
        <w:t xml:space="preserve">Submitter </w:t>
      </w:r>
      <w:r w:rsidRPr="007924E4">
        <w:t>Cost</w:t>
      </w:r>
    </w:p>
    <w:p w14:paraId="2B318049" w14:textId="77777777" w:rsidR="00F06BA6" w:rsidRDefault="00B010CA" w:rsidP="000F6439">
      <w:pPr>
        <w:pStyle w:val="BodyText"/>
      </w:pPr>
      <w:r>
        <w:t xml:space="preserve">Wage Rates for </w:t>
      </w:r>
      <w:r w:rsidRPr="007924E4">
        <w:t xml:space="preserve">managerial, technical, and clerical </w:t>
      </w:r>
      <w:r>
        <w:t>labor are derived and presented in Table 6. Thereafter, unit cost</w:t>
      </w:r>
      <w:r w:rsidR="00FF77B5">
        <w:t xml:space="preserve"> per submission are derived </w:t>
      </w:r>
      <w:r>
        <w:t xml:space="preserve">in Table 7, similar to </w:t>
      </w:r>
      <w:r w:rsidR="00FF77B5">
        <w:t xml:space="preserve">the method </w:t>
      </w:r>
      <w:r w:rsidR="00143215">
        <w:t xml:space="preserve">used </w:t>
      </w:r>
      <w:r w:rsidR="00FF77B5">
        <w:t xml:space="preserve">for </w:t>
      </w:r>
      <w:r>
        <w:t>burden in Table 3</w:t>
      </w:r>
      <w:r w:rsidR="000F1C92">
        <w:t xml:space="preserve">, </w:t>
      </w:r>
      <w:r>
        <w:t>with the average submission conditions</w:t>
      </w:r>
      <w:r w:rsidR="00FF77B5">
        <w:t xml:space="preserve"> of 7.5 chemicals per site and 22% of reports </w:t>
      </w:r>
      <w:r w:rsidR="000F1C92">
        <w:t xml:space="preserve">consisting of </w:t>
      </w:r>
      <w:r w:rsidR="00FF77B5">
        <w:t>partial reports</w:t>
      </w:r>
      <w:r w:rsidR="00143215">
        <w:t>,</w:t>
      </w:r>
      <w:r w:rsidR="00FF77B5">
        <w:t xml:space="preserve"> and pro-rating </w:t>
      </w:r>
      <w:r w:rsidR="00143215">
        <w:t xml:space="preserve">applied </w:t>
      </w:r>
      <w:r w:rsidR="00FF77B5">
        <w:t>(</w:t>
      </w:r>
      <w:r>
        <w:t xml:space="preserve">% joint </w:t>
      </w:r>
      <w:r w:rsidR="00143215">
        <w:t xml:space="preserve">submission </w:t>
      </w:r>
      <w:r>
        <w:t>reports, % CBI</w:t>
      </w:r>
      <w:r w:rsidR="00FF77B5">
        <w:t xml:space="preserve"> for substantiation).</w:t>
      </w:r>
      <w:r>
        <w:t xml:space="preserve"> </w:t>
      </w:r>
    </w:p>
    <w:tbl>
      <w:tblPr>
        <w:tblW w:w="5000" w:type="pct"/>
        <w:tblLook w:val="04A0" w:firstRow="1" w:lastRow="0" w:firstColumn="1" w:lastColumn="0" w:noHBand="0" w:noVBand="1"/>
      </w:tblPr>
      <w:tblGrid>
        <w:gridCol w:w="1222"/>
        <w:gridCol w:w="1936"/>
        <w:gridCol w:w="860"/>
        <w:gridCol w:w="881"/>
        <w:gridCol w:w="881"/>
        <w:gridCol w:w="864"/>
        <w:gridCol w:w="864"/>
        <w:gridCol w:w="1151"/>
        <w:gridCol w:w="917"/>
      </w:tblGrid>
      <w:tr w:rsidR="00E71DA5" w:rsidRPr="00BA3A81" w14:paraId="6C6107E6" w14:textId="77777777" w:rsidTr="00E23CDC">
        <w:trPr>
          <w:trHeight w:val="310"/>
        </w:trPr>
        <w:tc>
          <w:tcPr>
            <w:tcW w:w="5000" w:type="pct"/>
            <w:gridSpan w:val="9"/>
            <w:tcBorders>
              <w:bottom w:val="single" w:sz="8" w:space="0" w:color="auto"/>
            </w:tcBorders>
            <w:shd w:val="clear" w:color="auto" w:fill="auto"/>
            <w:vAlign w:val="center"/>
          </w:tcPr>
          <w:p w14:paraId="2513318F" w14:textId="77777777" w:rsidR="00E71DA5" w:rsidRPr="00BA3A81" w:rsidRDefault="00E71DA5" w:rsidP="00E71DA5">
            <w:pPr>
              <w:pStyle w:val="TableTitle"/>
            </w:pPr>
            <w:r w:rsidRPr="00BA3A81">
              <w:t>Table 6: Industry Wage Rates (2016$)</w:t>
            </w:r>
          </w:p>
        </w:tc>
      </w:tr>
      <w:tr w:rsidR="00BA3A81" w:rsidRPr="00BA3A81" w14:paraId="7A083CC8" w14:textId="77777777" w:rsidTr="00E23CDC">
        <w:trPr>
          <w:trHeight w:val="701"/>
        </w:trPr>
        <w:tc>
          <w:tcPr>
            <w:tcW w:w="638" w:type="pct"/>
            <w:vMerge w:val="restart"/>
            <w:tcBorders>
              <w:top w:val="single" w:sz="8" w:space="0" w:color="auto"/>
              <w:left w:val="single" w:sz="8" w:space="0" w:color="auto"/>
              <w:bottom w:val="single" w:sz="8" w:space="0" w:color="auto"/>
              <w:right w:val="single" w:sz="6" w:space="0" w:color="auto"/>
            </w:tcBorders>
            <w:shd w:val="clear" w:color="auto" w:fill="BFBFBF"/>
            <w:vAlign w:val="bottom"/>
            <w:hideMark/>
          </w:tcPr>
          <w:p w14:paraId="6178F14C" w14:textId="77777777" w:rsidR="00BA3A81" w:rsidRPr="00BA3A81" w:rsidRDefault="00BA3A81" w:rsidP="00BA3A81">
            <w:pPr>
              <w:jc w:val="center"/>
              <w:rPr>
                <w:rFonts w:ascii="Arial Narrow" w:eastAsia="Times New Roman" w:hAnsi="Arial Narrow" w:cs="Times New Roman"/>
                <w:b/>
                <w:bCs/>
                <w:color w:val="000000"/>
                <w:sz w:val="18"/>
                <w:szCs w:val="18"/>
              </w:rPr>
            </w:pPr>
            <w:r w:rsidRPr="00BA3A81">
              <w:rPr>
                <w:rFonts w:ascii="Arial Narrow" w:eastAsia="Times New Roman" w:hAnsi="Arial Narrow" w:cs="Times New Roman"/>
                <w:b/>
                <w:bCs/>
                <w:color w:val="000000"/>
                <w:sz w:val="18"/>
                <w:szCs w:val="18"/>
              </w:rPr>
              <w:t>Labor Category</w:t>
            </w:r>
          </w:p>
        </w:tc>
        <w:tc>
          <w:tcPr>
            <w:tcW w:w="1011" w:type="pct"/>
            <w:vMerge w:val="restart"/>
            <w:tcBorders>
              <w:top w:val="single" w:sz="8" w:space="0" w:color="auto"/>
              <w:left w:val="single" w:sz="6" w:space="0" w:color="auto"/>
              <w:bottom w:val="single" w:sz="8" w:space="0" w:color="auto"/>
              <w:right w:val="single" w:sz="6" w:space="0" w:color="auto"/>
            </w:tcBorders>
            <w:shd w:val="clear" w:color="auto" w:fill="BFBFBF"/>
            <w:vAlign w:val="bottom"/>
            <w:hideMark/>
          </w:tcPr>
          <w:p w14:paraId="77CDDC6E" w14:textId="77777777" w:rsidR="00BA3A81" w:rsidRPr="00BA3A81" w:rsidRDefault="00BA3A81" w:rsidP="00BA3A81">
            <w:pPr>
              <w:jc w:val="center"/>
              <w:rPr>
                <w:rFonts w:ascii="Arial Narrow" w:eastAsia="Times New Roman" w:hAnsi="Arial Narrow" w:cs="Times New Roman"/>
                <w:b/>
                <w:bCs/>
                <w:color w:val="000000"/>
                <w:sz w:val="18"/>
                <w:szCs w:val="18"/>
              </w:rPr>
            </w:pPr>
            <w:r w:rsidRPr="00BA3A81">
              <w:rPr>
                <w:rFonts w:ascii="Arial Narrow" w:eastAsia="Times New Roman" w:hAnsi="Arial Narrow" w:cs="Times New Roman"/>
                <w:b/>
                <w:bCs/>
                <w:color w:val="000000"/>
                <w:sz w:val="18"/>
                <w:szCs w:val="18"/>
              </w:rPr>
              <w:t>Data Series</w:t>
            </w:r>
            <w:r w:rsidRPr="00BA3A81">
              <w:rPr>
                <w:rFonts w:ascii="Arial Narrow" w:eastAsia="Times New Roman" w:hAnsi="Arial Narrow" w:cs="Times New Roman"/>
                <w:b/>
                <w:bCs/>
                <w:color w:val="000000"/>
                <w:sz w:val="18"/>
                <w:szCs w:val="18"/>
                <w:vertAlign w:val="superscript"/>
              </w:rPr>
              <w:t xml:space="preserve"> 1</w:t>
            </w:r>
          </w:p>
        </w:tc>
        <w:tc>
          <w:tcPr>
            <w:tcW w:w="449" w:type="pct"/>
            <w:vMerge w:val="restart"/>
            <w:tcBorders>
              <w:top w:val="single" w:sz="8" w:space="0" w:color="auto"/>
              <w:left w:val="single" w:sz="6" w:space="0" w:color="auto"/>
              <w:bottom w:val="single" w:sz="8" w:space="0" w:color="auto"/>
              <w:right w:val="single" w:sz="8" w:space="0" w:color="auto"/>
            </w:tcBorders>
            <w:shd w:val="clear" w:color="auto" w:fill="BFBFBF"/>
            <w:vAlign w:val="bottom"/>
            <w:hideMark/>
          </w:tcPr>
          <w:p w14:paraId="2F8E506A" w14:textId="77777777" w:rsidR="00BA3A81" w:rsidRPr="00BA3A81" w:rsidRDefault="00BA3A81" w:rsidP="00BA3A81">
            <w:pPr>
              <w:jc w:val="center"/>
              <w:rPr>
                <w:rFonts w:ascii="Arial Narrow" w:eastAsia="Times New Roman" w:hAnsi="Arial Narrow" w:cs="Times New Roman"/>
                <w:b/>
                <w:bCs/>
                <w:color w:val="000000"/>
                <w:sz w:val="18"/>
                <w:szCs w:val="18"/>
              </w:rPr>
            </w:pPr>
            <w:r w:rsidRPr="00BA3A81">
              <w:rPr>
                <w:rFonts w:ascii="Arial Narrow" w:eastAsia="Times New Roman" w:hAnsi="Arial Narrow" w:cs="Times New Roman"/>
                <w:b/>
                <w:bCs/>
                <w:color w:val="000000"/>
                <w:sz w:val="18"/>
                <w:szCs w:val="18"/>
              </w:rPr>
              <w:t>Date</w:t>
            </w:r>
          </w:p>
        </w:tc>
        <w:tc>
          <w:tcPr>
            <w:tcW w:w="460" w:type="pct"/>
            <w:tcBorders>
              <w:top w:val="single" w:sz="8" w:space="0" w:color="auto"/>
              <w:left w:val="single" w:sz="8" w:space="0" w:color="auto"/>
              <w:bottom w:val="single" w:sz="8" w:space="0" w:color="auto"/>
              <w:right w:val="single" w:sz="6" w:space="0" w:color="auto"/>
            </w:tcBorders>
            <w:shd w:val="clear" w:color="auto" w:fill="BFBFBF"/>
            <w:vAlign w:val="bottom"/>
            <w:hideMark/>
          </w:tcPr>
          <w:p w14:paraId="01AFAE14" w14:textId="77777777" w:rsidR="00BA3A81" w:rsidRPr="00BA3A81" w:rsidRDefault="00BA3A81" w:rsidP="00BA3A81">
            <w:pPr>
              <w:jc w:val="center"/>
              <w:rPr>
                <w:rFonts w:ascii="Arial Narrow" w:eastAsia="Times New Roman" w:hAnsi="Arial Narrow" w:cs="Times New Roman"/>
                <w:b/>
                <w:bCs/>
                <w:color w:val="000000"/>
                <w:sz w:val="18"/>
                <w:szCs w:val="18"/>
              </w:rPr>
            </w:pPr>
            <w:r w:rsidRPr="00BA3A81">
              <w:rPr>
                <w:rFonts w:ascii="Arial Narrow" w:eastAsia="Times New Roman" w:hAnsi="Arial Narrow" w:cs="Times New Roman"/>
                <w:b/>
                <w:bCs/>
                <w:color w:val="000000"/>
                <w:sz w:val="18"/>
                <w:szCs w:val="18"/>
              </w:rPr>
              <w:t>Wage</w:t>
            </w:r>
          </w:p>
        </w:tc>
        <w:tc>
          <w:tcPr>
            <w:tcW w:w="460" w:type="pct"/>
            <w:tcBorders>
              <w:top w:val="single" w:sz="8" w:space="0" w:color="auto"/>
              <w:left w:val="single" w:sz="6" w:space="0" w:color="auto"/>
              <w:bottom w:val="single" w:sz="8" w:space="0" w:color="auto"/>
              <w:right w:val="single" w:sz="6" w:space="0" w:color="auto"/>
            </w:tcBorders>
            <w:shd w:val="clear" w:color="auto" w:fill="BFBFBF"/>
            <w:vAlign w:val="bottom"/>
            <w:hideMark/>
          </w:tcPr>
          <w:p w14:paraId="4BB5F840" w14:textId="77777777" w:rsidR="00BA3A81" w:rsidRPr="00BA3A81" w:rsidRDefault="00BA3A81" w:rsidP="00BA3A81">
            <w:pPr>
              <w:jc w:val="center"/>
              <w:rPr>
                <w:rFonts w:ascii="Arial Narrow" w:eastAsia="Times New Roman" w:hAnsi="Arial Narrow" w:cs="Times New Roman"/>
                <w:b/>
                <w:bCs/>
                <w:color w:val="000000"/>
                <w:sz w:val="18"/>
                <w:szCs w:val="18"/>
              </w:rPr>
            </w:pPr>
            <w:r w:rsidRPr="00BA3A81">
              <w:rPr>
                <w:rFonts w:ascii="Arial Narrow" w:eastAsia="Times New Roman" w:hAnsi="Arial Narrow" w:cs="Times New Roman"/>
                <w:b/>
                <w:bCs/>
                <w:color w:val="000000"/>
                <w:sz w:val="18"/>
                <w:szCs w:val="18"/>
              </w:rPr>
              <w:t>Fringe Benefit</w:t>
            </w:r>
          </w:p>
        </w:tc>
        <w:tc>
          <w:tcPr>
            <w:tcW w:w="451" w:type="pct"/>
            <w:tcBorders>
              <w:top w:val="single" w:sz="8" w:space="0" w:color="auto"/>
              <w:left w:val="single" w:sz="6" w:space="0" w:color="auto"/>
              <w:bottom w:val="single" w:sz="8" w:space="0" w:color="auto"/>
              <w:right w:val="single" w:sz="6" w:space="0" w:color="auto"/>
            </w:tcBorders>
            <w:shd w:val="clear" w:color="auto" w:fill="BFBFBF"/>
            <w:vAlign w:val="bottom"/>
            <w:hideMark/>
          </w:tcPr>
          <w:p w14:paraId="1F0197EE" w14:textId="77777777" w:rsidR="00BA3A81" w:rsidRPr="00BA3A81" w:rsidRDefault="00BA3A81" w:rsidP="00BA3A81">
            <w:pPr>
              <w:jc w:val="center"/>
              <w:rPr>
                <w:rFonts w:ascii="Arial Narrow" w:eastAsia="Times New Roman" w:hAnsi="Arial Narrow" w:cs="Times New Roman"/>
                <w:b/>
                <w:bCs/>
                <w:color w:val="000000"/>
                <w:sz w:val="18"/>
                <w:szCs w:val="18"/>
              </w:rPr>
            </w:pPr>
            <w:r w:rsidRPr="00BA3A81">
              <w:rPr>
                <w:rFonts w:ascii="Arial Narrow" w:eastAsia="Times New Roman" w:hAnsi="Arial Narrow" w:cs="Times New Roman"/>
                <w:b/>
                <w:bCs/>
                <w:color w:val="000000"/>
                <w:sz w:val="18"/>
                <w:szCs w:val="18"/>
              </w:rPr>
              <w:t>Fringes as % Wage</w:t>
            </w:r>
          </w:p>
        </w:tc>
        <w:tc>
          <w:tcPr>
            <w:tcW w:w="451" w:type="pct"/>
            <w:tcBorders>
              <w:top w:val="single" w:sz="8" w:space="0" w:color="auto"/>
              <w:left w:val="single" w:sz="6" w:space="0" w:color="auto"/>
              <w:bottom w:val="single" w:sz="8" w:space="0" w:color="auto"/>
              <w:right w:val="single" w:sz="6" w:space="0" w:color="auto"/>
            </w:tcBorders>
            <w:shd w:val="clear" w:color="auto" w:fill="BFBFBF"/>
            <w:vAlign w:val="bottom"/>
            <w:hideMark/>
          </w:tcPr>
          <w:p w14:paraId="1B2E466D" w14:textId="77777777" w:rsidR="00BA3A81" w:rsidRPr="00BA3A81" w:rsidRDefault="00BA3A81" w:rsidP="00BA3A81">
            <w:pPr>
              <w:jc w:val="center"/>
              <w:rPr>
                <w:rFonts w:ascii="Arial Narrow" w:eastAsia="Times New Roman" w:hAnsi="Arial Narrow" w:cs="Times New Roman"/>
                <w:b/>
                <w:bCs/>
                <w:color w:val="000000"/>
                <w:sz w:val="18"/>
                <w:szCs w:val="18"/>
              </w:rPr>
            </w:pPr>
            <w:r w:rsidRPr="00BA3A81">
              <w:rPr>
                <w:rFonts w:ascii="Arial Narrow" w:eastAsia="Times New Roman" w:hAnsi="Arial Narrow" w:cs="Times New Roman"/>
                <w:b/>
                <w:bCs/>
                <w:color w:val="000000"/>
                <w:sz w:val="18"/>
                <w:szCs w:val="18"/>
              </w:rPr>
              <w:t>Over-head % wage</w:t>
            </w:r>
            <w:r w:rsidRPr="00BA3A81">
              <w:rPr>
                <w:rFonts w:ascii="Arial Narrow" w:eastAsia="Times New Roman" w:hAnsi="Arial Narrow" w:cs="Times New Roman"/>
                <w:b/>
                <w:bCs/>
                <w:color w:val="000000"/>
                <w:sz w:val="18"/>
                <w:szCs w:val="18"/>
                <w:vertAlign w:val="superscript"/>
              </w:rPr>
              <w:t xml:space="preserve"> 2</w:t>
            </w:r>
          </w:p>
        </w:tc>
        <w:tc>
          <w:tcPr>
            <w:tcW w:w="601" w:type="pct"/>
            <w:tcBorders>
              <w:top w:val="single" w:sz="8" w:space="0" w:color="auto"/>
              <w:left w:val="single" w:sz="6" w:space="0" w:color="auto"/>
              <w:bottom w:val="single" w:sz="8" w:space="0" w:color="auto"/>
              <w:right w:val="single" w:sz="6" w:space="0" w:color="auto"/>
            </w:tcBorders>
            <w:shd w:val="clear" w:color="auto" w:fill="BFBFBF"/>
            <w:vAlign w:val="bottom"/>
            <w:hideMark/>
          </w:tcPr>
          <w:p w14:paraId="59508994" w14:textId="77777777" w:rsidR="00BA3A81" w:rsidRPr="00BA3A81" w:rsidRDefault="00BA3A81" w:rsidP="00BA3A81">
            <w:pPr>
              <w:jc w:val="center"/>
              <w:rPr>
                <w:rFonts w:ascii="Arial Narrow" w:eastAsia="Times New Roman" w:hAnsi="Arial Narrow" w:cs="Times New Roman"/>
                <w:b/>
                <w:bCs/>
                <w:color w:val="000000"/>
                <w:sz w:val="18"/>
                <w:szCs w:val="18"/>
              </w:rPr>
            </w:pPr>
            <w:r w:rsidRPr="00BA3A81">
              <w:rPr>
                <w:rFonts w:ascii="Arial Narrow" w:eastAsia="Times New Roman" w:hAnsi="Arial Narrow" w:cs="Times New Roman"/>
                <w:b/>
                <w:bCs/>
                <w:color w:val="000000"/>
                <w:sz w:val="18"/>
                <w:szCs w:val="18"/>
              </w:rPr>
              <w:t xml:space="preserve">Fringe + Overhead Factor </w:t>
            </w:r>
            <w:r w:rsidRPr="00BA3A81">
              <w:rPr>
                <w:rFonts w:ascii="Arial Narrow" w:eastAsia="Times New Roman" w:hAnsi="Arial Narrow" w:cs="Times New Roman"/>
                <w:b/>
                <w:bCs/>
                <w:color w:val="000000"/>
                <w:sz w:val="18"/>
                <w:szCs w:val="18"/>
                <w:vertAlign w:val="superscript"/>
              </w:rPr>
              <w:t>3</w:t>
            </w:r>
          </w:p>
        </w:tc>
        <w:tc>
          <w:tcPr>
            <w:tcW w:w="479" w:type="pct"/>
            <w:tcBorders>
              <w:top w:val="single" w:sz="8" w:space="0" w:color="auto"/>
              <w:left w:val="single" w:sz="6" w:space="0" w:color="auto"/>
              <w:bottom w:val="single" w:sz="8" w:space="0" w:color="auto"/>
              <w:right w:val="single" w:sz="8" w:space="0" w:color="auto"/>
            </w:tcBorders>
            <w:shd w:val="clear" w:color="auto" w:fill="BFBFBF"/>
            <w:vAlign w:val="bottom"/>
            <w:hideMark/>
          </w:tcPr>
          <w:p w14:paraId="01BAE5A3" w14:textId="77777777" w:rsidR="00BA3A81" w:rsidRPr="00BA3A81" w:rsidRDefault="00BA3A81" w:rsidP="00BA3A81">
            <w:pPr>
              <w:jc w:val="center"/>
              <w:rPr>
                <w:rFonts w:ascii="Arial Narrow" w:eastAsia="Times New Roman" w:hAnsi="Arial Narrow" w:cs="Times New Roman"/>
                <w:b/>
                <w:bCs/>
                <w:color w:val="000000"/>
                <w:sz w:val="18"/>
                <w:szCs w:val="18"/>
              </w:rPr>
            </w:pPr>
            <w:r w:rsidRPr="00BA3A81">
              <w:rPr>
                <w:rFonts w:ascii="Arial Narrow" w:eastAsia="Times New Roman" w:hAnsi="Arial Narrow" w:cs="Times New Roman"/>
                <w:b/>
                <w:bCs/>
                <w:color w:val="000000"/>
                <w:sz w:val="18"/>
                <w:szCs w:val="18"/>
              </w:rPr>
              <w:t xml:space="preserve">Hourly Loaded Wages </w:t>
            </w:r>
            <w:r w:rsidRPr="00BA3A81">
              <w:rPr>
                <w:rFonts w:ascii="Arial Narrow" w:eastAsia="Times New Roman" w:hAnsi="Arial Narrow" w:cs="Times New Roman"/>
                <w:b/>
                <w:bCs/>
                <w:color w:val="000000"/>
                <w:sz w:val="18"/>
                <w:szCs w:val="18"/>
                <w:vertAlign w:val="superscript"/>
              </w:rPr>
              <w:t>4</w:t>
            </w:r>
          </w:p>
        </w:tc>
      </w:tr>
      <w:tr w:rsidR="00BA3A81" w:rsidRPr="00BA3A81" w14:paraId="596DB2DB" w14:textId="77777777" w:rsidTr="00E23CDC">
        <w:trPr>
          <w:trHeight w:val="511"/>
        </w:trPr>
        <w:tc>
          <w:tcPr>
            <w:tcW w:w="638" w:type="pct"/>
            <w:vMerge/>
            <w:tcBorders>
              <w:top w:val="single" w:sz="8" w:space="0" w:color="auto"/>
              <w:left w:val="single" w:sz="8" w:space="0" w:color="auto"/>
              <w:bottom w:val="single" w:sz="8" w:space="0" w:color="auto"/>
              <w:right w:val="single" w:sz="6" w:space="0" w:color="auto"/>
            </w:tcBorders>
            <w:shd w:val="clear" w:color="auto" w:fill="BFBFBF"/>
            <w:vAlign w:val="bottom"/>
            <w:hideMark/>
          </w:tcPr>
          <w:p w14:paraId="2910C90F" w14:textId="77777777" w:rsidR="00BA3A81" w:rsidRPr="00BA3A81" w:rsidRDefault="00BA3A81" w:rsidP="00BA3A81">
            <w:pPr>
              <w:jc w:val="center"/>
              <w:rPr>
                <w:rFonts w:ascii="Arial Narrow" w:eastAsia="Times New Roman" w:hAnsi="Arial Narrow" w:cs="Times New Roman"/>
                <w:b/>
                <w:bCs/>
                <w:color w:val="000000"/>
                <w:sz w:val="18"/>
                <w:szCs w:val="18"/>
              </w:rPr>
            </w:pPr>
          </w:p>
        </w:tc>
        <w:tc>
          <w:tcPr>
            <w:tcW w:w="1011" w:type="pct"/>
            <w:vMerge/>
            <w:tcBorders>
              <w:top w:val="single" w:sz="8" w:space="0" w:color="auto"/>
              <w:left w:val="single" w:sz="6" w:space="0" w:color="auto"/>
              <w:bottom w:val="single" w:sz="8" w:space="0" w:color="auto"/>
              <w:right w:val="single" w:sz="6" w:space="0" w:color="auto"/>
            </w:tcBorders>
            <w:shd w:val="clear" w:color="auto" w:fill="BFBFBF"/>
            <w:vAlign w:val="bottom"/>
            <w:hideMark/>
          </w:tcPr>
          <w:p w14:paraId="03FE0D5C" w14:textId="77777777" w:rsidR="00BA3A81" w:rsidRPr="00BA3A81" w:rsidRDefault="00BA3A81" w:rsidP="00BA3A81">
            <w:pPr>
              <w:jc w:val="center"/>
              <w:rPr>
                <w:rFonts w:ascii="Arial Narrow" w:eastAsia="Times New Roman" w:hAnsi="Arial Narrow" w:cs="Times New Roman"/>
                <w:b/>
                <w:bCs/>
                <w:color w:val="000000"/>
                <w:sz w:val="18"/>
                <w:szCs w:val="18"/>
              </w:rPr>
            </w:pPr>
          </w:p>
        </w:tc>
        <w:tc>
          <w:tcPr>
            <w:tcW w:w="449" w:type="pct"/>
            <w:vMerge/>
            <w:tcBorders>
              <w:top w:val="single" w:sz="8" w:space="0" w:color="auto"/>
              <w:left w:val="single" w:sz="6" w:space="0" w:color="auto"/>
              <w:bottom w:val="single" w:sz="8" w:space="0" w:color="auto"/>
              <w:right w:val="single" w:sz="8" w:space="0" w:color="auto"/>
            </w:tcBorders>
            <w:shd w:val="clear" w:color="auto" w:fill="BFBFBF"/>
            <w:vAlign w:val="bottom"/>
            <w:hideMark/>
          </w:tcPr>
          <w:p w14:paraId="44532BC8" w14:textId="77777777" w:rsidR="00BA3A81" w:rsidRPr="00BA3A81" w:rsidRDefault="00BA3A81" w:rsidP="00BA3A81">
            <w:pPr>
              <w:jc w:val="center"/>
              <w:rPr>
                <w:rFonts w:ascii="Arial Narrow" w:eastAsia="Times New Roman" w:hAnsi="Arial Narrow" w:cs="Times New Roman"/>
                <w:b/>
                <w:bCs/>
                <w:color w:val="000000"/>
                <w:sz w:val="18"/>
                <w:szCs w:val="18"/>
              </w:rPr>
            </w:pPr>
          </w:p>
        </w:tc>
        <w:tc>
          <w:tcPr>
            <w:tcW w:w="460" w:type="pct"/>
            <w:tcBorders>
              <w:top w:val="single" w:sz="8" w:space="0" w:color="auto"/>
              <w:left w:val="single" w:sz="8" w:space="0" w:color="auto"/>
              <w:bottom w:val="single" w:sz="8" w:space="0" w:color="auto"/>
              <w:right w:val="single" w:sz="6" w:space="0" w:color="auto"/>
            </w:tcBorders>
            <w:shd w:val="clear" w:color="auto" w:fill="BFBFBF"/>
            <w:vAlign w:val="bottom"/>
            <w:hideMark/>
          </w:tcPr>
          <w:p w14:paraId="45C37BAF" w14:textId="77777777" w:rsidR="00BA3A81" w:rsidRPr="00BA3A81" w:rsidRDefault="00BA3A81" w:rsidP="00BA3A81">
            <w:pPr>
              <w:jc w:val="center"/>
              <w:rPr>
                <w:rFonts w:ascii="Arial Narrow" w:eastAsia="Times New Roman" w:hAnsi="Arial Narrow" w:cs="Times New Roman"/>
                <w:b/>
                <w:bCs/>
                <w:i/>
                <w:iCs/>
                <w:color w:val="000000"/>
                <w:sz w:val="18"/>
                <w:szCs w:val="18"/>
              </w:rPr>
            </w:pPr>
            <w:r w:rsidRPr="00BA3A81">
              <w:rPr>
                <w:rFonts w:ascii="Arial Narrow" w:eastAsia="Times New Roman" w:hAnsi="Arial Narrow" w:cs="Times New Roman"/>
                <w:b/>
                <w:bCs/>
                <w:i/>
                <w:iCs/>
                <w:color w:val="000000"/>
                <w:sz w:val="18"/>
                <w:szCs w:val="18"/>
              </w:rPr>
              <w:t>(a)</w:t>
            </w:r>
          </w:p>
        </w:tc>
        <w:tc>
          <w:tcPr>
            <w:tcW w:w="460" w:type="pct"/>
            <w:tcBorders>
              <w:top w:val="single" w:sz="8" w:space="0" w:color="auto"/>
              <w:left w:val="single" w:sz="6" w:space="0" w:color="auto"/>
              <w:bottom w:val="single" w:sz="8" w:space="0" w:color="auto"/>
              <w:right w:val="single" w:sz="6" w:space="0" w:color="auto"/>
            </w:tcBorders>
            <w:shd w:val="clear" w:color="auto" w:fill="BFBFBF"/>
            <w:vAlign w:val="bottom"/>
            <w:hideMark/>
          </w:tcPr>
          <w:p w14:paraId="776CD538" w14:textId="77777777" w:rsidR="00BA3A81" w:rsidRPr="00BA3A81" w:rsidRDefault="00BA3A81" w:rsidP="00BA3A81">
            <w:pPr>
              <w:jc w:val="center"/>
              <w:rPr>
                <w:rFonts w:ascii="Arial Narrow" w:eastAsia="Times New Roman" w:hAnsi="Arial Narrow" w:cs="Times New Roman"/>
                <w:b/>
                <w:bCs/>
                <w:i/>
                <w:iCs/>
                <w:color w:val="000000"/>
                <w:sz w:val="18"/>
                <w:szCs w:val="18"/>
              </w:rPr>
            </w:pPr>
            <w:r w:rsidRPr="00BA3A81">
              <w:rPr>
                <w:rFonts w:ascii="Arial Narrow" w:eastAsia="Times New Roman" w:hAnsi="Arial Narrow" w:cs="Times New Roman"/>
                <w:b/>
                <w:bCs/>
                <w:i/>
                <w:iCs/>
                <w:color w:val="000000"/>
                <w:sz w:val="18"/>
                <w:szCs w:val="18"/>
              </w:rPr>
              <w:t>(b)</w:t>
            </w:r>
          </w:p>
        </w:tc>
        <w:tc>
          <w:tcPr>
            <w:tcW w:w="451" w:type="pct"/>
            <w:tcBorders>
              <w:top w:val="single" w:sz="8" w:space="0" w:color="auto"/>
              <w:left w:val="single" w:sz="6" w:space="0" w:color="auto"/>
              <w:bottom w:val="single" w:sz="8" w:space="0" w:color="auto"/>
              <w:right w:val="single" w:sz="6" w:space="0" w:color="auto"/>
            </w:tcBorders>
            <w:shd w:val="clear" w:color="auto" w:fill="BFBFBF"/>
            <w:vAlign w:val="bottom"/>
            <w:hideMark/>
          </w:tcPr>
          <w:p w14:paraId="253CADB9" w14:textId="77777777" w:rsidR="00BA3A81" w:rsidRPr="00BA3A81" w:rsidRDefault="00BA3A81" w:rsidP="00BA3A81">
            <w:pPr>
              <w:jc w:val="center"/>
              <w:rPr>
                <w:rFonts w:ascii="Arial Narrow" w:eastAsia="Times New Roman" w:hAnsi="Arial Narrow" w:cs="Times New Roman"/>
                <w:b/>
                <w:bCs/>
                <w:i/>
                <w:iCs/>
                <w:color w:val="000000"/>
                <w:sz w:val="18"/>
                <w:szCs w:val="18"/>
              </w:rPr>
            </w:pPr>
            <w:r w:rsidRPr="00BA3A81">
              <w:rPr>
                <w:rFonts w:ascii="Arial Narrow" w:eastAsia="Times New Roman" w:hAnsi="Arial Narrow" w:cs="Times New Roman"/>
                <w:b/>
                <w:bCs/>
                <w:i/>
                <w:iCs/>
                <w:color w:val="000000"/>
                <w:sz w:val="18"/>
                <w:szCs w:val="18"/>
              </w:rPr>
              <w:t>(c) =(b)/(a)</w:t>
            </w:r>
          </w:p>
        </w:tc>
        <w:tc>
          <w:tcPr>
            <w:tcW w:w="451" w:type="pct"/>
            <w:tcBorders>
              <w:top w:val="single" w:sz="8" w:space="0" w:color="auto"/>
              <w:left w:val="single" w:sz="6" w:space="0" w:color="auto"/>
              <w:bottom w:val="single" w:sz="8" w:space="0" w:color="auto"/>
              <w:right w:val="single" w:sz="6" w:space="0" w:color="auto"/>
            </w:tcBorders>
            <w:shd w:val="clear" w:color="auto" w:fill="BFBFBF"/>
            <w:vAlign w:val="bottom"/>
            <w:hideMark/>
          </w:tcPr>
          <w:p w14:paraId="23E146BC" w14:textId="77777777" w:rsidR="00BA3A81" w:rsidRPr="00BA3A81" w:rsidRDefault="00BA3A81" w:rsidP="00BA3A81">
            <w:pPr>
              <w:jc w:val="center"/>
              <w:rPr>
                <w:rFonts w:ascii="Arial Narrow" w:eastAsia="Times New Roman" w:hAnsi="Arial Narrow" w:cs="Times New Roman"/>
                <w:b/>
                <w:bCs/>
                <w:i/>
                <w:iCs/>
                <w:color w:val="000000"/>
                <w:sz w:val="18"/>
                <w:szCs w:val="18"/>
              </w:rPr>
            </w:pPr>
            <w:r w:rsidRPr="00BA3A81">
              <w:rPr>
                <w:rFonts w:ascii="Arial Narrow" w:eastAsia="Times New Roman" w:hAnsi="Arial Narrow" w:cs="Times New Roman"/>
                <w:b/>
                <w:bCs/>
                <w:i/>
                <w:iCs/>
                <w:color w:val="000000"/>
                <w:sz w:val="18"/>
                <w:szCs w:val="18"/>
              </w:rPr>
              <w:t>(d)</w:t>
            </w:r>
          </w:p>
        </w:tc>
        <w:tc>
          <w:tcPr>
            <w:tcW w:w="601" w:type="pct"/>
            <w:tcBorders>
              <w:top w:val="single" w:sz="8" w:space="0" w:color="auto"/>
              <w:left w:val="single" w:sz="6" w:space="0" w:color="auto"/>
              <w:bottom w:val="single" w:sz="8" w:space="0" w:color="auto"/>
              <w:right w:val="single" w:sz="6" w:space="0" w:color="auto"/>
            </w:tcBorders>
            <w:shd w:val="clear" w:color="auto" w:fill="BFBFBF"/>
            <w:vAlign w:val="bottom"/>
            <w:hideMark/>
          </w:tcPr>
          <w:p w14:paraId="14635A70" w14:textId="77777777" w:rsidR="00BA3A81" w:rsidRPr="00BA3A81" w:rsidRDefault="00BA3A81" w:rsidP="00BA3A81">
            <w:pPr>
              <w:jc w:val="center"/>
              <w:rPr>
                <w:rFonts w:ascii="Arial Narrow" w:eastAsia="Times New Roman" w:hAnsi="Arial Narrow" w:cs="Times New Roman"/>
                <w:b/>
                <w:bCs/>
                <w:i/>
                <w:iCs/>
                <w:color w:val="000000"/>
                <w:sz w:val="18"/>
                <w:szCs w:val="18"/>
              </w:rPr>
            </w:pPr>
            <w:r w:rsidRPr="00BA3A81">
              <w:rPr>
                <w:rFonts w:ascii="Arial Narrow" w:eastAsia="Times New Roman" w:hAnsi="Arial Narrow" w:cs="Times New Roman"/>
                <w:b/>
                <w:bCs/>
                <w:i/>
                <w:iCs/>
                <w:color w:val="000000"/>
                <w:sz w:val="18"/>
                <w:szCs w:val="18"/>
              </w:rPr>
              <w:t>(e)=(c)+(d)+1</w:t>
            </w:r>
          </w:p>
        </w:tc>
        <w:tc>
          <w:tcPr>
            <w:tcW w:w="479" w:type="pct"/>
            <w:tcBorders>
              <w:top w:val="single" w:sz="8" w:space="0" w:color="auto"/>
              <w:left w:val="single" w:sz="6" w:space="0" w:color="auto"/>
              <w:bottom w:val="single" w:sz="8" w:space="0" w:color="auto"/>
              <w:right w:val="single" w:sz="8" w:space="0" w:color="auto"/>
            </w:tcBorders>
            <w:shd w:val="clear" w:color="auto" w:fill="BFBFBF"/>
            <w:vAlign w:val="bottom"/>
            <w:hideMark/>
          </w:tcPr>
          <w:p w14:paraId="429140BF" w14:textId="77777777" w:rsidR="00BA3A81" w:rsidRPr="00BA3A81" w:rsidRDefault="00BA3A81" w:rsidP="00BA3A81">
            <w:pPr>
              <w:jc w:val="center"/>
              <w:rPr>
                <w:rFonts w:ascii="Arial Narrow" w:eastAsia="Times New Roman" w:hAnsi="Arial Narrow" w:cs="Times New Roman"/>
                <w:b/>
                <w:bCs/>
                <w:i/>
                <w:iCs/>
                <w:color w:val="000000"/>
                <w:sz w:val="18"/>
                <w:szCs w:val="18"/>
              </w:rPr>
            </w:pPr>
            <w:r w:rsidRPr="00BA3A81">
              <w:rPr>
                <w:rFonts w:ascii="Arial Narrow" w:eastAsia="Times New Roman" w:hAnsi="Arial Narrow" w:cs="Times New Roman"/>
                <w:b/>
                <w:bCs/>
                <w:i/>
                <w:iCs/>
                <w:color w:val="000000"/>
                <w:sz w:val="18"/>
                <w:szCs w:val="18"/>
              </w:rPr>
              <w:t>(f)=(a)×(e)</w:t>
            </w:r>
          </w:p>
        </w:tc>
      </w:tr>
      <w:tr w:rsidR="00BA3A81" w:rsidRPr="00BA3A81" w14:paraId="1DD9C41B" w14:textId="77777777" w:rsidTr="00E23CDC">
        <w:trPr>
          <w:trHeight w:val="915"/>
        </w:trPr>
        <w:tc>
          <w:tcPr>
            <w:tcW w:w="638" w:type="pct"/>
            <w:tcBorders>
              <w:top w:val="single" w:sz="8" w:space="0" w:color="auto"/>
              <w:left w:val="single" w:sz="8" w:space="0" w:color="auto"/>
              <w:bottom w:val="single" w:sz="6" w:space="0" w:color="auto"/>
              <w:right w:val="single" w:sz="6" w:space="0" w:color="auto"/>
            </w:tcBorders>
            <w:shd w:val="clear" w:color="auto" w:fill="auto"/>
            <w:vAlign w:val="center"/>
            <w:hideMark/>
          </w:tcPr>
          <w:p w14:paraId="607362BC" w14:textId="77777777" w:rsidR="00BA3A81" w:rsidRPr="00BA3A81" w:rsidRDefault="00BA3A81" w:rsidP="00BA3A81">
            <w:pPr>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Managerial</w:t>
            </w:r>
          </w:p>
        </w:tc>
        <w:tc>
          <w:tcPr>
            <w:tcW w:w="1011" w:type="pct"/>
            <w:tcBorders>
              <w:top w:val="single" w:sz="8" w:space="0" w:color="auto"/>
              <w:left w:val="single" w:sz="6" w:space="0" w:color="auto"/>
              <w:bottom w:val="single" w:sz="6" w:space="0" w:color="auto"/>
              <w:right w:val="single" w:sz="6" w:space="0" w:color="auto"/>
            </w:tcBorders>
            <w:shd w:val="clear" w:color="auto" w:fill="auto"/>
            <w:vAlign w:val="center"/>
            <w:hideMark/>
          </w:tcPr>
          <w:p w14:paraId="459FA4B5" w14:textId="77777777" w:rsidR="00BA3A81" w:rsidRPr="00BA3A81" w:rsidRDefault="00BA3A81" w:rsidP="00BA3A81">
            <w:pPr>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BLS ECEC, Private Manufacturing industries, “Mgt, Business, and Financial”</w:t>
            </w:r>
          </w:p>
        </w:tc>
        <w:tc>
          <w:tcPr>
            <w:tcW w:w="449" w:type="pct"/>
            <w:tcBorders>
              <w:top w:val="single" w:sz="8" w:space="0" w:color="auto"/>
              <w:left w:val="single" w:sz="6" w:space="0" w:color="auto"/>
              <w:bottom w:val="single" w:sz="6" w:space="0" w:color="auto"/>
              <w:right w:val="single" w:sz="6" w:space="0" w:color="auto"/>
            </w:tcBorders>
            <w:shd w:val="clear" w:color="auto" w:fill="auto"/>
            <w:vAlign w:val="center"/>
            <w:hideMark/>
          </w:tcPr>
          <w:p w14:paraId="187E8880" w14:textId="77777777" w:rsidR="00BA3A81" w:rsidRPr="00BA3A81" w:rsidRDefault="00BA3A81" w:rsidP="00BA3A81">
            <w:pPr>
              <w:jc w:val="center"/>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Dec-16</w:t>
            </w:r>
          </w:p>
        </w:tc>
        <w:tc>
          <w:tcPr>
            <w:tcW w:w="460" w:type="pct"/>
            <w:tcBorders>
              <w:top w:val="single" w:sz="8" w:space="0" w:color="auto"/>
              <w:left w:val="single" w:sz="6" w:space="0" w:color="auto"/>
              <w:bottom w:val="single" w:sz="6" w:space="0" w:color="auto"/>
              <w:right w:val="single" w:sz="6" w:space="0" w:color="auto"/>
            </w:tcBorders>
            <w:shd w:val="clear" w:color="auto" w:fill="auto"/>
            <w:vAlign w:val="center"/>
            <w:hideMark/>
          </w:tcPr>
          <w:p w14:paraId="49475AAF" w14:textId="77777777" w:rsidR="00BA3A81" w:rsidRPr="00BA3A81" w:rsidRDefault="00BA3A81" w:rsidP="00E23CDC">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 xml:space="preserve">$50.09 </w:t>
            </w:r>
          </w:p>
        </w:tc>
        <w:tc>
          <w:tcPr>
            <w:tcW w:w="460" w:type="pct"/>
            <w:tcBorders>
              <w:top w:val="single" w:sz="8" w:space="0" w:color="auto"/>
              <w:left w:val="single" w:sz="6" w:space="0" w:color="auto"/>
              <w:bottom w:val="single" w:sz="6" w:space="0" w:color="auto"/>
              <w:right w:val="single" w:sz="6" w:space="0" w:color="auto"/>
            </w:tcBorders>
            <w:shd w:val="clear" w:color="auto" w:fill="auto"/>
            <w:vAlign w:val="center"/>
            <w:hideMark/>
          </w:tcPr>
          <w:p w14:paraId="516ED0A7"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 xml:space="preserve">$24.65 </w:t>
            </w:r>
          </w:p>
        </w:tc>
        <w:tc>
          <w:tcPr>
            <w:tcW w:w="451" w:type="pct"/>
            <w:tcBorders>
              <w:top w:val="single" w:sz="8" w:space="0" w:color="auto"/>
              <w:left w:val="single" w:sz="6" w:space="0" w:color="auto"/>
              <w:bottom w:val="single" w:sz="6" w:space="0" w:color="auto"/>
              <w:right w:val="single" w:sz="6" w:space="0" w:color="auto"/>
            </w:tcBorders>
            <w:shd w:val="clear" w:color="auto" w:fill="auto"/>
            <w:vAlign w:val="center"/>
            <w:hideMark/>
          </w:tcPr>
          <w:p w14:paraId="234771C8"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49%</w:t>
            </w:r>
          </w:p>
        </w:tc>
        <w:tc>
          <w:tcPr>
            <w:tcW w:w="451" w:type="pct"/>
            <w:tcBorders>
              <w:top w:val="single" w:sz="8" w:space="0" w:color="auto"/>
              <w:left w:val="single" w:sz="6" w:space="0" w:color="auto"/>
              <w:bottom w:val="single" w:sz="6" w:space="0" w:color="auto"/>
              <w:right w:val="single" w:sz="6" w:space="0" w:color="auto"/>
            </w:tcBorders>
            <w:shd w:val="clear" w:color="auto" w:fill="auto"/>
            <w:vAlign w:val="center"/>
            <w:hideMark/>
          </w:tcPr>
          <w:p w14:paraId="06E4DAB4"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17%</w:t>
            </w:r>
          </w:p>
        </w:tc>
        <w:tc>
          <w:tcPr>
            <w:tcW w:w="601" w:type="pct"/>
            <w:tcBorders>
              <w:top w:val="single" w:sz="8" w:space="0" w:color="auto"/>
              <w:left w:val="single" w:sz="6" w:space="0" w:color="auto"/>
              <w:bottom w:val="single" w:sz="6" w:space="0" w:color="auto"/>
              <w:right w:val="single" w:sz="6" w:space="0" w:color="auto"/>
            </w:tcBorders>
            <w:shd w:val="clear" w:color="auto" w:fill="auto"/>
            <w:vAlign w:val="center"/>
            <w:hideMark/>
          </w:tcPr>
          <w:p w14:paraId="14A6E517"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1.66</w:t>
            </w:r>
          </w:p>
        </w:tc>
        <w:tc>
          <w:tcPr>
            <w:tcW w:w="479" w:type="pct"/>
            <w:tcBorders>
              <w:top w:val="single" w:sz="8" w:space="0" w:color="auto"/>
              <w:left w:val="single" w:sz="6" w:space="0" w:color="auto"/>
              <w:bottom w:val="single" w:sz="6" w:space="0" w:color="auto"/>
              <w:right w:val="single" w:sz="8" w:space="0" w:color="auto"/>
            </w:tcBorders>
            <w:shd w:val="clear" w:color="000000" w:fill="FFFFFF"/>
            <w:vAlign w:val="center"/>
            <w:hideMark/>
          </w:tcPr>
          <w:p w14:paraId="61AF5196"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 xml:space="preserve">$83.26 </w:t>
            </w:r>
          </w:p>
        </w:tc>
      </w:tr>
      <w:tr w:rsidR="00BA3A81" w:rsidRPr="00BA3A81" w14:paraId="73A18CD1" w14:textId="77777777" w:rsidTr="00E23CDC">
        <w:trPr>
          <w:trHeight w:val="640"/>
        </w:trPr>
        <w:tc>
          <w:tcPr>
            <w:tcW w:w="638" w:type="pct"/>
            <w:tcBorders>
              <w:top w:val="single" w:sz="6" w:space="0" w:color="auto"/>
              <w:left w:val="single" w:sz="8" w:space="0" w:color="auto"/>
              <w:bottom w:val="single" w:sz="6" w:space="0" w:color="auto"/>
              <w:right w:val="single" w:sz="6" w:space="0" w:color="auto"/>
            </w:tcBorders>
            <w:shd w:val="clear" w:color="auto" w:fill="auto"/>
            <w:vAlign w:val="center"/>
            <w:hideMark/>
          </w:tcPr>
          <w:p w14:paraId="464506C4" w14:textId="77777777" w:rsidR="00BA3A81" w:rsidRPr="00BA3A81" w:rsidRDefault="00BA3A81" w:rsidP="00BA3A81">
            <w:pPr>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Professional / Technical</w:t>
            </w:r>
          </w:p>
        </w:tc>
        <w:tc>
          <w:tcPr>
            <w:tcW w:w="101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216791" w14:textId="77777777" w:rsidR="00BA3A81" w:rsidRPr="00BA3A81" w:rsidRDefault="00BA3A81" w:rsidP="00BA3A81">
            <w:pPr>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BLS ECEC, Private Manufacturing industries, “Professional and related“</w:t>
            </w:r>
          </w:p>
        </w:tc>
        <w:tc>
          <w:tcPr>
            <w:tcW w:w="4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8F01C3" w14:textId="77777777" w:rsidR="00BA3A81" w:rsidRPr="00BA3A81" w:rsidRDefault="00BA3A81" w:rsidP="00BA3A81">
            <w:pPr>
              <w:jc w:val="center"/>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Dec-16</w:t>
            </w:r>
          </w:p>
        </w:tc>
        <w:tc>
          <w:tcPr>
            <w:tcW w:w="4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4378BE"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 xml:space="preserve">$45.66 </w:t>
            </w:r>
          </w:p>
        </w:tc>
        <w:tc>
          <w:tcPr>
            <w:tcW w:w="4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7C083C"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 xml:space="preserve">$24.98 </w:t>
            </w:r>
          </w:p>
        </w:tc>
        <w:tc>
          <w:tcPr>
            <w:tcW w:w="4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54BF42"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55%</w:t>
            </w:r>
          </w:p>
        </w:tc>
        <w:tc>
          <w:tcPr>
            <w:tcW w:w="4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3A4289"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17%</w:t>
            </w:r>
          </w:p>
        </w:tc>
        <w:tc>
          <w:tcPr>
            <w:tcW w:w="60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174979"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1.72</w:t>
            </w:r>
          </w:p>
        </w:tc>
        <w:tc>
          <w:tcPr>
            <w:tcW w:w="479" w:type="pct"/>
            <w:tcBorders>
              <w:top w:val="single" w:sz="6" w:space="0" w:color="auto"/>
              <w:left w:val="single" w:sz="6" w:space="0" w:color="auto"/>
              <w:bottom w:val="single" w:sz="6" w:space="0" w:color="auto"/>
              <w:right w:val="single" w:sz="8" w:space="0" w:color="auto"/>
            </w:tcBorders>
            <w:shd w:val="clear" w:color="000000" w:fill="FFFFFF"/>
            <w:vAlign w:val="center"/>
            <w:hideMark/>
          </w:tcPr>
          <w:p w14:paraId="766AA0A3"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 xml:space="preserve">$78.40 </w:t>
            </w:r>
          </w:p>
        </w:tc>
      </w:tr>
      <w:tr w:rsidR="00BA3A81" w:rsidRPr="00BA3A81" w14:paraId="76D87A99" w14:textId="77777777" w:rsidTr="00A30919">
        <w:trPr>
          <w:trHeight w:val="640"/>
        </w:trPr>
        <w:tc>
          <w:tcPr>
            <w:tcW w:w="638" w:type="pct"/>
            <w:tcBorders>
              <w:top w:val="single" w:sz="6" w:space="0" w:color="auto"/>
              <w:left w:val="single" w:sz="8" w:space="0" w:color="auto"/>
              <w:bottom w:val="single" w:sz="8" w:space="0" w:color="auto"/>
              <w:right w:val="single" w:sz="6" w:space="0" w:color="auto"/>
            </w:tcBorders>
            <w:shd w:val="clear" w:color="auto" w:fill="auto"/>
            <w:vAlign w:val="center"/>
            <w:hideMark/>
          </w:tcPr>
          <w:p w14:paraId="17A414A8" w14:textId="77777777" w:rsidR="00BA3A81" w:rsidRPr="00BA3A81" w:rsidRDefault="00BA3A81" w:rsidP="00BA3A81">
            <w:pPr>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Clerical</w:t>
            </w:r>
          </w:p>
        </w:tc>
        <w:tc>
          <w:tcPr>
            <w:tcW w:w="1011" w:type="pct"/>
            <w:tcBorders>
              <w:top w:val="single" w:sz="6" w:space="0" w:color="auto"/>
              <w:left w:val="single" w:sz="6" w:space="0" w:color="auto"/>
              <w:bottom w:val="single" w:sz="8" w:space="0" w:color="auto"/>
              <w:right w:val="single" w:sz="6" w:space="0" w:color="auto"/>
            </w:tcBorders>
            <w:shd w:val="clear" w:color="auto" w:fill="auto"/>
            <w:vAlign w:val="center"/>
            <w:hideMark/>
          </w:tcPr>
          <w:p w14:paraId="0CB925B6" w14:textId="77777777" w:rsidR="00BA3A81" w:rsidRPr="00BA3A81" w:rsidRDefault="00BA3A81" w:rsidP="00BA3A81">
            <w:pPr>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BLS ECEC, Private Manufacturing industries, “Office and Administrative Support”</w:t>
            </w:r>
          </w:p>
        </w:tc>
        <w:tc>
          <w:tcPr>
            <w:tcW w:w="449" w:type="pct"/>
            <w:tcBorders>
              <w:top w:val="single" w:sz="6" w:space="0" w:color="auto"/>
              <w:left w:val="single" w:sz="6" w:space="0" w:color="auto"/>
              <w:bottom w:val="single" w:sz="8" w:space="0" w:color="auto"/>
              <w:right w:val="single" w:sz="6" w:space="0" w:color="auto"/>
            </w:tcBorders>
            <w:shd w:val="clear" w:color="auto" w:fill="auto"/>
            <w:vAlign w:val="center"/>
            <w:hideMark/>
          </w:tcPr>
          <w:p w14:paraId="35E85ED5" w14:textId="77777777" w:rsidR="00BA3A81" w:rsidRPr="00BA3A81" w:rsidRDefault="00BA3A81" w:rsidP="00BA3A81">
            <w:pPr>
              <w:jc w:val="center"/>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Dec-16</w:t>
            </w:r>
          </w:p>
        </w:tc>
        <w:tc>
          <w:tcPr>
            <w:tcW w:w="460" w:type="pct"/>
            <w:tcBorders>
              <w:top w:val="single" w:sz="6" w:space="0" w:color="auto"/>
              <w:left w:val="single" w:sz="6" w:space="0" w:color="auto"/>
              <w:bottom w:val="single" w:sz="8" w:space="0" w:color="auto"/>
              <w:right w:val="single" w:sz="6" w:space="0" w:color="auto"/>
            </w:tcBorders>
            <w:shd w:val="clear" w:color="auto" w:fill="auto"/>
            <w:vAlign w:val="center"/>
            <w:hideMark/>
          </w:tcPr>
          <w:p w14:paraId="2E8ACF32"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 xml:space="preserve">$20.29 </w:t>
            </w:r>
          </w:p>
        </w:tc>
        <w:tc>
          <w:tcPr>
            <w:tcW w:w="460" w:type="pct"/>
            <w:tcBorders>
              <w:top w:val="single" w:sz="6" w:space="0" w:color="auto"/>
              <w:left w:val="single" w:sz="6" w:space="0" w:color="auto"/>
              <w:bottom w:val="single" w:sz="8" w:space="0" w:color="auto"/>
              <w:right w:val="single" w:sz="6" w:space="0" w:color="auto"/>
            </w:tcBorders>
            <w:shd w:val="clear" w:color="auto" w:fill="auto"/>
            <w:vAlign w:val="center"/>
            <w:hideMark/>
          </w:tcPr>
          <w:p w14:paraId="1E3B8563"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 xml:space="preserve">$10.52 </w:t>
            </w:r>
          </w:p>
        </w:tc>
        <w:tc>
          <w:tcPr>
            <w:tcW w:w="451" w:type="pct"/>
            <w:tcBorders>
              <w:top w:val="single" w:sz="6" w:space="0" w:color="auto"/>
              <w:left w:val="single" w:sz="6" w:space="0" w:color="auto"/>
              <w:bottom w:val="single" w:sz="8" w:space="0" w:color="auto"/>
              <w:right w:val="single" w:sz="6" w:space="0" w:color="auto"/>
            </w:tcBorders>
            <w:shd w:val="clear" w:color="auto" w:fill="auto"/>
            <w:vAlign w:val="center"/>
            <w:hideMark/>
          </w:tcPr>
          <w:p w14:paraId="6C78E0BB"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52%</w:t>
            </w:r>
          </w:p>
        </w:tc>
        <w:tc>
          <w:tcPr>
            <w:tcW w:w="451" w:type="pct"/>
            <w:tcBorders>
              <w:top w:val="single" w:sz="6" w:space="0" w:color="auto"/>
              <w:left w:val="single" w:sz="6" w:space="0" w:color="auto"/>
              <w:bottom w:val="single" w:sz="8" w:space="0" w:color="auto"/>
              <w:right w:val="single" w:sz="6" w:space="0" w:color="auto"/>
            </w:tcBorders>
            <w:shd w:val="clear" w:color="auto" w:fill="auto"/>
            <w:vAlign w:val="center"/>
            <w:hideMark/>
          </w:tcPr>
          <w:p w14:paraId="745267DB"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17%</w:t>
            </w:r>
          </w:p>
        </w:tc>
        <w:tc>
          <w:tcPr>
            <w:tcW w:w="601" w:type="pct"/>
            <w:tcBorders>
              <w:top w:val="single" w:sz="6" w:space="0" w:color="auto"/>
              <w:left w:val="single" w:sz="6" w:space="0" w:color="auto"/>
              <w:bottom w:val="single" w:sz="8" w:space="0" w:color="auto"/>
              <w:right w:val="single" w:sz="6" w:space="0" w:color="auto"/>
            </w:tcBorders>
            <w:shd w:val="clear" w:color="auto" w:fill="auto"/>
            <w:vAlign w:val="center"/>
            <w:hideMark/>
          </w:tcPr>
          <w:p w14:paraId="18673B91"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1.69</w:t>
            </w:r>
          </w:p>
        </w:tc>
        <w:tc>
          <w:tcPr>
            <w:tcW w:w="479" w:type="pct"/>
            <w:tcBorders>
              <w:top w:val="single" w:sz="6" w:space="0" w:color="auto"/>
              <w:left w:val="single" w:sz="6" w:space="0" w:color="auto"/>
              <w:bottom w:val="single" w:sz="8" w:space="0" w:color="auto"/>
              <w:right w:val="single" w:sz="8" w:space="0" w:color="auto"/>
            </w:tcBorders>
            <w:shd w:val="clear" w:color="000000" w:fill="FFFFFF"/>
            <w:vAlign w:val="center"/>
            <w:hideMark/>
          </w:tcPr>
          <w:p w14:paraId="4B64D8A8" w14:textId="77777777" w:rsidR="00BA3A81" w:rsidRPr="00BA3A81" w:rsidRDefault="00BA3A81" w:rsidP="00E71DA5">
            <w:pPr>
              <w:ind w:right="101"/>
              <w:jc w:val="right"/>
              <w:rPr>
                <w:rFonts w:ascii="Arial Narrow" w:eastAsia="Times New Roman" w:hAnsi="Arial Narrow" w:cs="Times New Roman"/>
                <w:color w:val="000000"/>
                <w:sz w:val="18"/>
                <w:szCs w:val="18"/>
              </w:rPr>
            </w:pPr>
            <w:r w:rsidRPr="00BA3A81">
              <w:rPr>
                <w:rFonts w:ascii="Arial Narrow" w:eastAsia="Times New Roman" w:hAnsi="Arial Narrow" w:cs="Times New Roman"/>
                <w:color w:val="000000"/>
                <w:sz w:val="18"/>
                <w:szCs w:val="18"/>
              </w:rPr>
              <w:t xml:space="preserve">$34.26 </w:t>
            </w:r>
          </w:p>
        </w:tc>
      </w:tr>
      <w:tr w:rsidR="00A30919" w:rsidRPr="00BA3A81" w14:paraId="6AE9AA96" w14:textId="77777777" w:rsidTr="00A30919">
        <w:trPr>
          <w:trHeight w:val="640"/>
        </w:trPr>
        <w:tc>
          <w:tcPr>
            <w:tcW w:w="5000" w:type="pct"/>
            <w:gridSpan w:val="9"/>
            <w:tcBorders>
              <w:top w:val="single" w:sz="8" w:space="0" w:color="auto"/>
              <w:left w:val="single" w:sz="8" w:space="0" w:color="auto"/>
              <w:bottom w:val="single" w:sz="8" w:space="0" w:color="auto"/>
              <w:right w:val="single" w:sz="8" w:space="0" w:color="auto"/>
            </w:tcBorders>
            <w:shd w:val="clear" w:color="auto" w:fill="auto"/>
            <w:vAlign w:val="center"/>
          </w:tcPr>
          <w:p w14:paraId="69E42A0E" w14:textId="77777777" w:rsidR="00603898" w:rsidRPr="00603898" w:rsidRDefault="004F5039" w:rsidP="00A30919">
            <w:pPr>
              <w:pStyle w:val="Footnotetables"/>
            </w:pPr>
            <w:r>
              <w:t xml:space="preserve">Table </w:t>
            </w:r>
            <w:r w:rsidR="00603898" w:rsidRPr="00603898">
              <w:t>Footnotes</w:t>
            </w:r>
          </w:p>
          <w:p w14:paraId="712E3945" w14:textId="77777777" w:rsidR="00A30919" w:rsidRPr="00BA3A81" w:rsidRDefault="00A30919" w:rsidP="002A405A">
            <w:pPr>
              <w:pStyle w:val="Footnotetables"/>
              <w:ind w:left="0" w:firstLine="0"/>
            </w:pPr>
            <w:r w:rsidRPr="00BA3A81">
              <w:rPr>
                <w:vertAlign w:val="superscript"/>
              </w:rPr>
              <w:t>1</w:t>
            </w:r>
            <w:r w:rsidRPr="00BA3A81">
              <w:t xml:space="preserve"> Employer Costs for Employee Compensation Supplementary Tables: December 2006 – December 2016 (U.S. Bureau of Labor Statistics, 2017).</w:t>
            </w:r>
          </w:p>
          <w:p w14:paraId="1557F246" w14:textId="77777777" w:rsidR="00A30919" w:rsidRPr="00BA3A81" w:rsidRDefault="00A30919" w:rsidP="002A405A">
            <w:pPr>
              <w:pStyle w:val="Footnotetables"/>
              <w:ind w:left="0" w:firstLine="0"/>
            </w:pPr>
            <w:r w:rsidRPr="00BA3A81">
              <w:rPr>
                <w:vertAlign w:val="superscript"/>
              </w:rPr>
              <w:t>2</w:t>
            </w:r>
            <w:r w:rsidRPr="00BA3A81">
              <w:t xml:space="preserve"> An overhead rate of 17% is used based on assumptions in Wage Rates for Economic Analysis of the Toxics Release Inventory Program (Rice, 2002</w:t>
            </w:r>
            <w:r>
              <w:t>b</w:t>
            </w:r>
            <w:r w:rsidRPr="00BA3A81">
              <w:t>), and the Revised Economic Analysis for the Amended Inventory Update Rule: Final Report (US EPA, 2002</w:t>
            </w:r>
            <w:r>
              <w:t>a</w:t>
            </w:r>
            <w:r w:rsidRPr="00BA3A81">
              <w:t>).</w:t>
            </w:r>
          </w:p>
          <w:p w14:paraId="69F6119D" w14:textId="77777777" w:rsidR="00A30919" w:rsidRPr="00BA3A81" w:rsidRDefault="00A30919" w:rsidP="00A30919">
            <w:pPr>
              <w:pStyle w:val="Footnotetables"/>
            </w:pPr>
            <w:r w:rsidRPr="00BA3A81">
              <w:rPr>
                <w:vertAlign w:val="superscript"/>
              </w:rPr>
              <w:t>3</w:t>
            </w:r>
            <w:r w:rsidRPr="00BA3A81">
              <w:t xml:space="preserve"> The inflation factor of “1” in the formula for calculating the fringe + overhead factor means wage data are not escalated to reflect inflation.</w:t>
            </w:r>
          </w:p>
          <w:p w14:paraId="200E97FE" w14:textId="77777777" w:rsidR="00A30919" w:rsidRPr="00BA3A81" w:rsidRDefault="00A30919" w:rsidP="003D0229">
            <w:pPr>
              <w:pStyle w:val="Footnotetables"/>
              <w:rPr>
                <w:rFonts w:eastAsia="Times New Roman" w:cs="Times New Roman"/>
                <w:color w:val="000000"/>
                <w:szCs w:val="18"/>
              </w:rPr>
            </w:pPr>
            <w:r w:rsidRPr="00BA3A81">
              <w:rPr>
                <w:vertAlign w:val="superscript"/>
              </w:rPr>
              <w:t>4</w:t>
            </w:r>
            <w:r w:rsidRPr="00BA3A81">
              <w:t xml:space="preserve"> Wage data are rounded to the closest cent in this analysis.</w:t>
            </w:r>
          </w:p>
        </w:tc>
      </w:tr>
    </w:tbl>
    <w:p w14:paraId="214228FE" w14:textId="77777777" w:rsidR="008E1828" w:rsidRDefault="008E1828" w:rsidP="006567EE"/>
    <w:p w14:paraId="022B4C5A" w14:textId="77777777" w:rsidR="00FA0CF8" w:rsidRPr="006567EE" w:rsidRDefault="00FA0CF8" w:rsidP="006567EE"/>
    <w:tbl>
      <w:tblPr>
        <w:tblW w:w="5048" w:type="pct"/>
        <w:tblLayout w:type="fixed"/>
        <w:tblLook w:val="04A0" w:firstRow="1" w:lastRow="0" w:firstColumn="1" w:lastColumn="0" w:noHBand="0" w:noVBand="1"/>
      </w:tblPr>
      <w:tblGrid>
        <w:gridCol w:w="830"/>
        <w:gridCol w:w="4494"/>
        <w:gridCol w:w="998"/>
        <w:gridCol w:w="1063"/>
        <w:gridCol w:w="1065"/>
        <w:gridCol w:w="1218"/>
      </w:tblGrid>
      <w:tr w:rsidR="00DF4FEA" w:rsidRPr="00BA3A81" w14:paraId="373315C1" w14:textId="77777777" w:rsidTr="00C0632D">
        <w:trPr>
          <w:trHeight w:val="320"/>
          <w:tblHeader/>
        </w:trPr>
        <w:tc>
          <w:tcPr>
            <w:tcW w:w="5000" w:type="pct"/>
            <w:gridSpan w:val="6"/>
            <w:tcBorders>
              <w:top w:val="nil"/>
              <w:left w:val="nil"/>
              <w:bottom w:val="single" w:sz="8" w:space="0" w:color="auto"/>
              <w:right w:val="nil"/>
            </w:tcBorders>
          </w:tcPr>
          <w:p w14:paraId="521CD563" w14:textId="77777777" w:rsidR="00DF4FEA" w:rsidRPr="00BA3A81" w:rsidRDefault="00DF4FEA" w:rsidP="00BA3A81">
            <w:pPr>
              <w:pStyle w:val="TableTitle"/>
            </w:pPr>
            <w:r w:rsidRPr="00BA3A81">
              <w:t>Table 7: Submission Cost per Four</w:t>
            </w:r>
            <w:r w:rsidR="00D05FDA">
              <w:t>-</w:t>
            </w:r>
            <w:r w:rsidRPr="00BA3A81">
              <w:t>Year Reporting Cycle, Experienced Reporters </w:t>
            </w:r>
          </w:p>
        </w:tc>
      </w:tr>
      <w:tr w:rsidR="00DF4FEA" w:rsidRPr="00BA3A81" w14:paraId="7C3D24A5" w14:textId="77777777" w:rsidTr="00C0632D">
        <w:trPr>
          <w:trHeight w:val="799"/>
          <w:tblHeader/>
        </w:trPr>
        <w:tc>
          <w:tcPr>
            <w:tcW w:w="429" w:type="pct"/>
            <w:tcBorders>
              <w:top w:val="nil"/>
              <w:left w:val="single" w:sz="8" w:space="0" w:color="auto"/>
              <w:bottom w:val="single" w:sz="8" w:space="0" w:color="auto"/>
              <w:right w:val="single" w:sz="4" w:space="0" w:color="auto"/>
            </w:tcBorders>
            <w:shd w:val="clear" w:color="000000" w:fill="D0CECE"/>
            <w:vAlign w:val="bottom"/>
          </w:tcPr>
          <w:p w14:paraId="3DD64EFA" w14:textId="77777777" w:rsidR="00DF4FEA" w:rsidRPr="00BA3A81" w:rsidRDefault="00DF4FEA" w:rsidP="00DF4FEA">
            <w:pPr>
              <w:jc w:val="center"/>
              <w:rPr>
                <w:rFonts w:ascii="Arial Narrow" w:eastAsia="Times New Roman" w:hAnsi="Arial Narrow" w:cs="Times New Roman"/>
                <w:b/>
                <w:bCs/>
                <w:color w:val="000000"/>
                <w:sz w:val="20"/>
                <w:szCs w:val="20"/>
              </w:rPr>
            </w:pPr>
            <w:r>
              <w:rPr>
                <w:rFonts w:ascii="Arial Narrow" w:eastAsia="Times New Roman" w:hAnsi="Arial Narrow" w:cs="Times New Roman"/>
                <w:b/>
                <w:bCs/>
                <w:color w:val="000000"/>
                <w:sz w:val="20"/>
                <w:szCs w:val="20"/>
              </w:rPr>
              <w:t>Item #</w:t>
            </w:r>
          </w:p>
        </w:tc>
        <w:tc>
          <w:tcPr>
            <w:tcW w:w="2324" w:type="pct"/>
            <w:tcBorders>
              <w:top w:val="nil"/>
              <w:left w:val="single" w:sz="8" w:space="0" w:color="auto"/>
              <w:bottom w:val="single" w:sz="8" w:space="0" w:color="auto"/>
              <w:right w:val="single" w:sz="4" w:space="0" w:color="auto"/>
            </w:tcBorders>
            <w:shd w:val="clear" w:color="000000" w:fill="D0CECE"/>
            <w:noWrap/>
            <w:vAlign w:val="bottom"/>
            <w:hideMark/>
          </w:tcPr>
          <w:p w14:paraId="61A099B2" w14:textId="77777777" w:rsidR="00DF4FEA" w:rsidRPr="00BA3A81" w:rsidRDefault="00DF4FEA" w:rsidP="00BA3A81">
            <w:pP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Activity</w:t>
            </w:r>
          </w:p>
        </w:tc>
        <w:tc>
          <w:tcPr>
            <w:tcW w:w="516" w:type="pct"/>
            <w:tcBorders>
              <w:top w:val="nil"/>
              <w:left w:val="nil"/>
              <w:bottom w:val="single" w:sz="8" w:space="0" w:color="auto"/>
              <w:right w:val="single" w:sz="4" w:space="0" w:color="auto"/>
            </w:tcBorders>
            <w:shd w:val="clear" w:color="000000" w:fill="D0CECE"/>
            <w:vAlign w:val="bottom"/>
            <w:hideMark/>
          </w:tcPr>
          <w:p w14:paraId="69352970" w14:textId="77777777" w:rsidR="00DF4FEA" w:rsidRPr="00BA3A81" w:rsidRDefault="00DF4FEA" w:rsidP="00DF4FEA">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Unit of Analysis</w:t>
            </w:r>
          </w:p>
        </w:tc>
        <w:tc>
          <w:tcPr>
            <w:tcW w:w="550" w:type="pct"/>
            <w:tcBorders>
              <w:top w:val="nil"/>
              <w:left w:val="nil"/>
              <w:bottom w:val="single" w:sz="8" w:space="0" w:color="auto"/>
              <w:right w:val="single" w:sz="4" w:space="0" w:color="auto"/>
            </w:tcBorders>
            <w:shd w:val="clear" w:color="000000" w:fill="D0CECE"/>
            <w:vAlign w:val="bottom"/>
            <w:hideMark/>
          </w:tcPr>
          <w:p w14:paraId="37839D7B" w14:textId="77777777" w:rsidR="00DF4FEA" w:rsidRPr="00BA3A81" w:rsidRDefault="00DF4FEA" w:rsidP="00DF4FEA">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Adjusted Unit Burden</w:t>
            </w:r>
            <w:r w:rsidR="001033D4" w:rsidRPr="001033D4">
              <w:rPr>
                <w:rFonts w:ascii="Arial Narrow" w:eastAsia="Times New Roman" w:hAnsi="Arial Narrow" w:cs="Times New Roman"/>
                <w:b/>
                <w:bCs/>
                <w:color w:val="000000"/>
                <w:sz w:val="20"/>
                <w:szCs w:val="20"/>
                <w:vertAlign w:val="superscript"/>
              </w:rPr>
              <w:t>1</w:t>
            </w:r>
          </w:p>
        </w:tc>
        <w:tc>
          <w:tcPr>
            <w:tcW w:w="551" w:type="pct"/>
            <w:tcBorders>
              <w:top w:val="nil"/>
              <w:left w:val="nil"/>
              <w:bottom w:val="single" w:sz="8" w:space="0" w:color="auto"/>
              <w:right w:val="single" w:sz="4" w:space="0" w:color="auto"/>
            </w:tcBorders>
            <w:shd w:val="clear" w:color="000000" w:fill="D0CECE"/>
            <w:vAlign w:val="bottom"/>
            <w:hideMark/>
          </w:tcPr>
          <w:p w14:paraId="4F3D51D2" w14:textId="77777777" w:rsidR="00DF4FEA" w:rsidRPr="00BA3A81" w:rsidRDefault="00DF4FEA" w:rsidP="00DF4FEA">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Activity Average Wage Rate</w:t>
            </w:r>
          </w:p>
        </w:tc>
        <w:tc>
          <w:tcPr>
            <w:tcW w:w="630" w:type="pct"/>
            <w:tcBorders>
              <w:top w:val="nil"/>
              <w:left w:val="nil"/>
              <w:bottom w:val="single" w:sz="8" w:space="0" w:color="auto"/>
              <w:right w:val="single" w:sz="8" w:space="0" w:color="auto"/>
            </w:tcBorders>
            <w:shd w:val="clear" w:color="000000" w:fill="D0CECE"/>
            <w:vAlign w:val="bottom"/>
            <w:hideMark/>
          </w:tcPr>
          <w:p w14:paraId="7E78D2D5" w14:textId="77777777" w:rsidR="00DF4FEA" w:rsidRPr="00BA3A81" w:rsidRDefault="00DF4FEA" w:rsidP="00DF4FEA">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Adjusted Unit Cost</w:t>
            </w:r>
            <w:r w:rsidRPr="00BA3A81">
              <w:rPr>
                <w:rFonts w:ascii="Arial Narrow" w:eastAsia="Times New Roman" w:hAnsi="Arial Narrow" w:cs="Times New Roman"/>
                <w:b/>
                <w:bCs/>
                <w:color w:val="000000"/>
                <w:sz w:val="20"/>
                <w:szCs w:val="20"/>
              </w:rPr>
              <w:br/>
              <w:t>($2016)</w:t>
            </w:r>
          </w:p>
        </w:tc>
      </w:tr>
      <w:tr w:rsidR="00DF4FEA" w:rsidRPr="00BA3A81" w14:paraId="15A2E812" w14:textId="77777777" w:rsidTr="00C0632D">
        <w:trPr>
          <w:trHeight w:val="315"/>
        </w:trPr>
        <w:tc>
          <w:tcPr>
            <w:tcW w:w="429" w:type="pct"/>
            <w:tcBorders>
              <w:top w:val="single" w:sz="8" w:space="0" w:color="auto"/>
              <w:left w:val="single" w:sz="8" w:space="0" w:color="auto"/>
              <w:bottom w:val="single" w:sz="4" w:space="0" w:color="auto"/>
              <w:right w:val="single" w:sz="4" w:space="0" w:color="auto"/>
            </w:tcBorders>
            <w:vAlign w:val="center"/>
          </w:tcPr>
          <w:p w14:paraId="50B3C41A" w14:textId="77777777" w:rsidR="00DF4FEA" w:rsidRPr="00BA3A81" w:rsidRDefault="00DF4FEA" w:rsidP="00DF4FEA">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1</w:t>
            </w:r>
          </w:p>
        </w:tc>
        <w:tc>
          <w:tcPr>
            <w:tcW w:w="2324"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1B770485" w14:textId="77777777" w:rsidR="00DF4FEA" w:rsidRPr="00BA3A81" w:rsidRDefault="00DF4FEA" w:rsidP="00BA3A81">
            <w:pPr>
              <w:rPr>
                <w:rFonts w:ascii="Arial Narrow" w:eastAsia="Times New Roman" w:hAnsi="Arial Narrow" w:cs="Calibri"/>
                <w:b/>
                <w:bCs/>
                <w:color w:val="000000"/>
                <w:sz w:val="20"/>
                <w:szCs w:val="20"/>
              </w:rPr>
            </w:pPr>
            <w:r w:rsidRPr="00BA3A81">
              <w:rPr>
                <w:rFonts w:ascii="Arial Narrow" w:eastAsia="Times New Roman" w:hAnsi="Arial Narrow" w:cs="Calibri"/>
                <w:b/>
                <w:bCs/>
                <w:color w:val="000000"/>
                <w:sz w:val="20"/>
                <w:szCs w:val="20"/>
              </w:rPr>
              <w:t>R</w:t>
            </w:r>
            <w:r w:rsidR="002D3D60">
              <w:rPr>
                <w:rFonts w:ascii="Arial Narrow" w:eastAsia="Times New Roman" w:hAnsi="Arial Narrow" w:cs="Calibri"/>
                <w:b/>
                <w:bCs/>
                <w:color w:val="000000"/>
                <w:sz w:val="20"/>
                <w:szCs w:val="20"/>
              </w:rPr>
              <w:t>ule</w:t>
            </w:r>
            <w:r w:rsidRPr="00BA3A81">
              <w:rPr>
                <w:rFonts w:ascii="Arial Narrow" w:eastAsia="Times New Roman" w:hAnsi="Arial Narrow" w:cs="Calibri"/>
                <w:b/>
                <w:bCs/>
                <w:color w:val="000000"/>
                <w:sz w:val="20"/>
                <w:szCs w:val="20"/>
              </w:rPr>
              <w:t xml:space="preserve"> </w:t>
            </w:r>
            <w:r w:rsidR="002D3D60" w:rsidRPr="00BA3A81">
              <w:rPr>
                <w:rFonts w:ascii="Arial Narrow" w:eastAsia="Times New Roman" w:hAnsi="Arial Narrow" w:cs="Calibri"/>
                <w:b/>
                <w:bCs/>
                <w:color w:val="000000"/>
                <w:sz w:val="20"/>
                <w:szCs w:val="20"/>
              </w:rPr>
              <w:t>F</w:t>
            </w:r>
            <w:r w:rsidR="002D3D60">
              <w:rPr>
                <w:rFonts w:ascii="Arial Narrow" w:eastAsia="Times New Roman" w:hAnsi="Arial Narrow" w:cs="Calibri"/>
                <w:b/>
                <w:bCs/>
                <w:color w:val="000000"/>
                <w:sz w:val="20"/>
                <w:szCs w:val="20"/>
              </w:rPr>
              <w:t>amiliarization</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F52B72" w14:textId="77777777" w:rsidR="00DF4FEA" w:rsidRPr="00BA3A81" w:rsidRDefault="00DF4FEA" w:rsidP="00BA3A8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Site</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14:paraId="3B90990B"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354C12AA"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N/A</w:t>
            </w:r>
          </w:p>
        </w:tc>
        <w:tc>
          <w:tcPr>
            <w:tcW w:w="630" w:type="pct"/>
            <w:tcBorders>
              <w:top w:val="single" w:sz="4" w:space="0" w:color="auto"/>
              <w:left w:val="nil"/>
              <w:bottom w:val="single" w:sz="4" w:space="0" w:color="auto"/>
              <w:right w:val="single" w:sz="8" w:space="0" w:color="auto"/>
            </w:tcBorders>
            <w:shd w:val="clear" w:color="auto" w:fill="auto"/>
            <w:noWrap/>
            <w:vAlign w:val="center"/>
            <w:hideMark/>
          </w:tcPr>
          <w:p w14:paraId="4274CB2A"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 xml:space="preserve"> N/A</w:t>
            </w:r>
          </w:p>
        </w:tc>
      </w:tr>
      <w:tr w:rsidR="00DF4FEA" w:rsidRPr="00BA3A81" w14:paraId="7C6F6761" w14:textId="77777777" w:rsidTr="00C0632D">
        <w:trPr>
          <w:trHeight w:val="285"/>
        </w:trPr>
        <w:tc>
          <w:tcPr>
            <w:tcW w:w="429" w:type="pct"/>
            <w:tcBorders>
              <w:top w:val="single" w:sz="4" w:space="0" w:color="auto"/>
              <w:left w:val="single" w:sz="8" w:space="0" w:color="auto"/>
              <w:bottom w:val="single" w:sz="4" w:space="0" w:color="auto"/>
              <w:right w:val="single" w:sz="4" w:space="0" w:color="auto"/>
            </w:tcBorders>
            <w:vAlign w:val="center"/>
          </w:tcPr>
          <w:p w14:paraId="25ADBDE7" w14:textId="77777777" w:rsidR="00DF4FEA" w:rsidRPr="00BA3A81" w:rsidRDefault="00DF4FEA" w:rsidP="00DF4FEA">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2</w:t>
            </w:r>
          </w:p>
        </w:tc>
        <w:tc>
          <w:tcPr>
            <w:tcW w:w="232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55B05B6" w14:textId="77777777" w:rsidR="00DF4FEA" w:rsidRPr="00BA3A81" w:rsidRDefault="002D3D60" w:rsidP="00BA3A81">
            <w:pPr>
              <w:rPr>
                <w:rFonts w:ascii="Arial Narrow" w:eastAsia="Times New Roman" w:hAnsi="Arial Narrow" w:cs="Calibri"/>
                <w:b/>
                <w:bCs/>
                <w:color w:val="000000"/>
                <w:sz w:val="20"/>
                <w:szCs w:val="20"/>
              </w:rPr>
            </w:pPr>
            <w:r w:rsidRPr="00BA3A81">
              <w:rPr>
                <w:rFonts w:ascii="Arial Narrow" w:eastAsia="Times New Roman" w:hAnsi="Arial Narrow" w:cs="Calibri"/>
                <w:b/>
                <w:bCs/>
                <w:color w:val="000000"/>
                <w:sz w:val="20"/>
                <w:szCs w:val="20"/>
              </w:rPr>
              <w:t>C</w:t>
            </w:r>
            <w:r>
              <w:rPr>
                <w:rFonts w:ascii="Arial Narrow" w:eastAsia="Times New Roman" w:hAnsi="Arial Narrow" w:cs="Calibri"/>
                <w:b/>
                <w:bCs/>
                <w:color w:val="000000"/>
                <w:sz w:val="20"/>
                <w:szCs w:val="20"/>
              </w:rPr>
              <w:t>ompliance</w:t>
            </w:r>
            <w:r w:rsidRPr="00BA3A81">
              <w:rPr>
                <w:rFonts w:ascii="Arial Narrow" w:eastAsia="Times New Roman" w:hAnsi="Arial Narrow" w:cs="Calibri"/>
                <w:b/>
                <w:bCs/>
                <w:color w:val="000000"/>
                <w:sz w:val="20"/>
                <w:szCs w:val="20"/>
              </w:rPr>
              <w:t xml:space="preserve"> D</w:t>
            </w:r>
            <w:r>
              <w:rPr>
                <w:rFonts w:ascii="Arial Narrow" w:eastAsia="Times New Roman" w:hAnsi="Arial Narrow" w:cs="Calibri"/>
                <w:b/>
                <w:bCs/>
                <w:color w:val="000000"/>
                <w:sz w:val="20"/>
                <w:szCs w:val="20"/>
              </w:rPr>
              <w:t>etermination</w:t>
            </w:r>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5FF6D2D5" w14:textId="77777777" w:rsidR="00DF4FEA" w:rsidRPr="00BA3A81" w:rsidRDefault="00DF4FEA" w:rsidP="00BA3A8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Site</w:t>
            </w:r>
          </w:p>
        </w:tc>
        <w:tc>
          <w:tcPr>
            <w:tcW w:w="550" w:type="pct"/>
            <w:tcBorders>
              <w:top w:val="nil"/>
              <w:left w:val="nil"/>
              <w:bottom w:val="single" w:sz="4" w:space="0" w:color="auto"/>
              <w:right w:val="single" w:sz="4" w:space="0" w:color="auto"/>
            </w:tcBorders>
            <w:shd w:val="clear" w:color="auto" w:fill="auto"/>
            <w:noWrap/>
            <w:vAlign w:val="center"/>
            <w:hideMark/>
          </w:tcPr>
          <w:p w14:paraId="1B032CAB"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6.500</w:t>
            </w:r>
          </w:p>
        </w:tc>
        <w:tc>
          <w:tcPr>
            <w:tcW w:w="551" w:type="pct"/>
            <w:tcBorders>
              <w:top w:val="nil"/>
              <w:left w:val="nil"/>
              <w:bottom w:val="single" w:sz="4" w:space="0" w:color="auto"/>
              <w:right w:val="single" w:sz="4" w:space="0" w:color="auto"/>
            </w:tcBorders>
            <w:shd w:val="clear" w:color="auto" w:fill="auto"/>
            <w:noWrap/>
            <w:vAlign w:val="center"/>
            <w:hideMark/>
          </w:tcPr>
          <w:p w14:paraId="63D55630"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$79.90</w:t>
            </w:r>
          </w:p>
        </w:tc>
        <w:tc>
          <w:tcPr>
            <w:tcW w:w="630" w:type="pct"/>
            <w:tcBorders>
              <w:top w:val="nil"/>
              <w:left w:val="nil"/>
              <w:bottom w:val="single" w:sz="4" w:space="0" w:color="auto"/>
              <w:right w:val="single" w:sz="8" w:space="0" w:color="auto"/>
            </w:tcBorders>
            <w:shd w:val="clear" w:color="auto" w:fill="auto"/>
            <w:noWrap/>
            <w:vAlign w:val="center"/>
            <w:hideMark/>
          </w:tcPr>
          <w:p w14:paraId="0A5866E0"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$519.35</w:t>
            </w:r>
          </w:p>
        </w:tc>
      </w:tr>
      <w:tr w:rsidR="00DF4FEA" w:rsidRPr="00BA3A81" w14:paraId="176A544C" w14:textId="77777777" w:rsidTr="00C0632D">
        <w:trPr>
          <w:trHeight w:val="270"/>
        </w:trPr>
        <w:tc>
          <w:tcPr>
            <w:tcW w:w="429" w:type="pct"/>
            <w:tcBorders>
              <w:top w:val="single" w:sz="4" w:space="0" w:color="auto"/>
              <w:left w:val="single" w:sz="8" w:space="0" w:color="auto"/>
              <w:bottom w:val="single" w:sz="8" w:space="0" w:color="auto"/>
              <w:right w:val="single" w:sz="4" w:space="0" w:color="auto"/>
            </w:tcBorders>
            <w:vAlign w:val="center"/>
          </w:tcPr>
          <w:p w14:paraId="58DDE36E" w14:textId="77777777" w:rsidR="00DF4FEA" w:rsidRPr="00BA3A81" w:rsidRDefault="00DF4FEA" w:rsidP="00DF4FEA">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3</w:t>
            </w:r>
          </w:p>
        </w:tc>
        <w:tc>
          <w:tcPr>
            <w:tcW w:w="2324"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536AE214" w14:textId="77777777" w:rsidR="00DF4FEA" w:rsidRPr="00BA3A81" w:rsidRDefault="002D3D60" w:rsidP="00BA3A81">
            <w:pPr>
              <w:rPr>
                <w:rFonts w:ascii="Arial Narrow" w:eastAsia="Times New Roman" w:hAnsi="Arial Narrow" w:cs="Calibri"/>
                <w:b/>
                <w:bCs/>
                <w:color w:val="000000"/>
                <w:sz w:val="20"/>
                <w:szCs w:val="20"/>
              </w:rPr>
            </w:pPr>
            <w:r w:rsidRPr="00BA3A81">
              <w:rPr>
                <w:rFonts w:ascii="Arial Narrow" w:eastAsia="Times New Roman" w:hAnsi="Arial Narrow" w:cs="Calibri"/>
                <w:b/>
                <w:bCs/>
                <w:color w:val="000000"/>
                <w:sz w:val="20"/>
                <w:szCs w:val="20"/>
              </w:rPr>
              <w:t>R</w:t>
            </w:r>
            <w:r>
              <w:rPr>
                <w:rFonts w:ascii="Arial Narrow" w:eastAsia="Times New Roman" w:hAnsi="Arial Narrow" w:cs="Calibri"/>
                <w:b/>
                <w:bCs/>
                <w:color w:val="000000"/>
                <w:sz w:val="20"/>
                <w:szCs w:val="20"/>
              </w:rPr>
              <w:t>ecordkeeping</w:t>
            </w:r>
          </w:p>
        </w:tc>
        <w:tc>
          <w:tcPr>
            <w:tcW w:w="516" w:type="pct"/>
            <w:tcBorders>
              <w:top w:val="nil"/>
              <w:left w:val="single" w:sz="4" w:space="0" w:color="auto"/>
              <w:bottom w:val="single" w:sz="8" w:space="0" w:color="auto"/>
              <w:right w:val="single" w:sz="4" w:space="0" w:color="auto"/>
            </w:tcBorders>
            <w:shd w:val="clear" w:color="auto" w:fill="auto"/>
            <w:vAlign w:val="center"/>
            <w:hideMark/>
          </w:tcPr>
          <w:p w14:paraId="4670016A" w14:textId="77777777" w:rsidR="00DF4FEA" w:rsidRPr="00BA3A81" w:rsidRDefault="00DF4FEA" w:rsidP="00BA3A8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Site</w:t>
            </w:r>
          </w:p>
        </w:tc>
        <w:tc>
          <w:tcPr>
            <w:tcW w:w="550" w:type="pct"/>
            <w:tcBorders>
              <w:top w:val="nil"/>
              <w:left w:val="nil"/>
              <w:bottom w:val="single" w:sz="8" w:space="0" w:color="auto"/>
              <w:right w:val="single" w:sz="4" w:space="0" w:color="auto"/>
            </w:tcBorders>
            <w:shd w:val="clear" w:color="auto" w:fill="auto"/>
            <w:noWrap/>
            <w:vAlign w:val="center"/>
            <w:hideMark/>
          </w:tcPr>
          <w:p w14:paraId="51F32BC7"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3.000</w:t>
            </w:r>
          </w:p>
        </w:tc>
        <w:tc>
          <w:tcPr>
            <w:tcW w:w="551" w:type="pct"/>
            <w:tcBorders>
              <w:top w:val="nil"/>
              <w:left w:val="nil"/>
              <w:bottom w:val="single" w:sz="8" w:space="0" w:color="auto"/>
              <w:right w:val="single" w:sz="4" w:space="0" w:color="auto"/>
            </w:tcBorders>
            <w:shd w:val="clear" w:color="auto" w:fill="auto"/>
            <w:noWrap/>
            <w:vAlign w:val="center"/>
            <w:hideMark/>
          </w:tcPr>
          <w:p w14:paraId="78E35D30"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$68.58</w:t>
            </w:r>
          </w:p>
        </w:tc>
        <w:tc>
          <w:tcPr>
            <w:tcW w:w="630" w:type="pct"/>
            <w:tcBorders>
              <w:top w:val="nil"/>
              <w:left w:val="nil"/>
              <w:bottom w:val="single" w:sz="8" w:space="0" w:color="auto"/>
              <w:right w:val="single" w:sz="8" w:space="0" w:color="auto"/>
            </w:tcBorders>
            <w:shd w:val="clear" w:color="auto" w:fill="auto"/>
            <w:noWrap/>
            <w:vAlign w:val="center"/>
            <w:hideMark/>
          </w:tcPr>
          <w:p w14:paraId="457AE9DB"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$205.74</w:t>
            </w:r>
          </w:p>
        </w:tc>
      </w:tr>
      <w:tr w:rsidR="00DF4FEA" w:rsidRPr="00621CBC" w14:paraId="11A2C824" w14:textId="77777777" w:rsidTr="00C0632D">
        <w:trPr>
          <w:trHeight w:val="360"/>
        </w:trPr>
        <w:tc>
          <w:tcPr>
            <w:tcW w:w="429" w:type="pct"/>
            <w:tcBorders>
              <w:top w:val="single" w:sz="8" w:space="0" w:color="auto"/>
              <w:left w:val="single" w:sz="8" w:space="0" w:color="auto"/>
              <w:bottom w:val="single" w:sz="8" w:space="0" w:color="auto"/>
              <w:right w:val="single" w:sz="8" w:space="0" w:color="auto"/>
            </w:tcBorders>
            <w:shd w:val="clear" w:color="auto" w:fill="D9D9D9"/>
            <w:vAlign w:val="center"/>
          </w:tcPr>
          <w:p w14:paraId="6530A400" w14:textId="77777777" w:rsidR="00DF4FEA" w:rsidRPr="00BA3A81" w:rsidRDefault="00DF4FEA" w:rsidP="00DF4FEA">
            <w:pPr>
              <w:jc w:val="center"/>
              <w:rPr>
                <w:rFonts w:ascii="Arial Narrow" w:eastAsia="Times New Roman" w:hAnsi="Arial Narrow" w:cs="Calibri"/>
                <w:b/>
                <w:bCs/>
                <w:i/>
                <w:iCs/>
                <w:color w:val="000000"/>
                <w:sz w:val="20"/>
                <w:szCs w:val="20"/>
              </w:rPr>
            </w:pPr>
          </w:p>
        </w:tc>
        <w:tc>
          <w:tcPr>
            <w:tcW w:w="4571" w:type="pct"/>
            <w:gridSpan w:val="5"/>
            <w:tcBorders>
              <w:top w:val="single" w:sz="8" w:space="0" w:color="auto"/>
              <w:left w:val="single" w:sz="8" w:space="0" w:color="auto"/>
              <w:bottom w:val="single" w:sz="8" w:space="0" w:color="auto"/>
              <w:right w:val="single" w:sz="8" w:space="0" w:color="auto"/>
            </w:tcBorders>
            <w:shd w:val="clear" w:color="auto" w:fill="D9D9D9"/>
            <w:vAlign w:val="center"/>
            <w:hideMark/>
          </w:tcPr>
          <w:p w14:paraId="16107D47" w14:textId="77777777" w:rsidR="00DF4FEA" w:rsidRPr="00044368" w:rsidRDefault="00DF4FEA" w:rsidP="00E23CDC">
            <w:pPr>
              <w:jc w:val="center"/>
              <w:rPr>
                <w:rFonts w:ascii="Arial Narrow" w:eastAsia="Times New Roman" w:hAnsi="Arial Narrow" w:cs="Calibri"/>
                <w:color w:val="000000"/>
                <w:sz w:val="20"/>
                <w:szCs w:val="20"/>
                <w:lang w:val="fr-FR"/>
              </w:rPr>
            </w:pPr>
            <w:r w:rsidRPr="00044368">
              <w:rPr>
                <w:rFonts w:ascii="Arial Narrow" w:eastAsia="Times New Roman" w:hAnsi="Arial Narrow" w:cs="Calibri"/>
                <w:b/>
                <w:bCs/>
                <w:i/>
                <w:iCs/>
                <w:color w:val="000000"/>
                <w:sz w:val="20"/>
                <w:szCs w:val="20"/>
                <w:lang w:val="fr-FR"/>
              </w:rPr>
              <w:t>Part I. Site Identification Information</w:t>
            </w:r>
          </w:p>
        </w:tc>
      </w:tr>
      <w:tr w:rsidR="00DF4FEA" w:rsidRPr="00BA3A81" w14:paraId="7E8D2AFD" w14:textId="77777777" w:rsidTr="00C0632D">
        <w:trPr>
          <w:trHeight w:val="330"/>
        </w:trPr>
        <w:tc>
          <w:tcPr>
            <w:tcW w:w="429" w:type="pct"/>
            <w:tcBorders>
              <w:top w:val="single" w:sz="8" w:space="0" w:color="auto"/>
              <w:left w:val="single" w:sz="8" w:space="0" w:color="auto"/>
              <w:bottom w:val="single" w:sz="4" w:space="0" w:color="auto"/>
              <w:right w:val="single" w:sz="4" w:space="0" w:color="auto"/>
            </w:tcBorders>
            <w:vAlign w:val="center"/>
          </w:tcPr>
          <w:p w14:paraId="2CE4BB29" w14:textId="77777777" w:rsidR="00DF4FEA" w:rsidRPr="00BA3A81" w:rsidRDefault="00DF4FEA" w:rsidP="00DF4FEA">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4</w:t>
            </w:r>
          </w:p>
        </w:tc>
        <w:tc>
          <w:tcPr>
            <w:tcW w:w="2324"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5DECE291" w14:textId="77777777" w:rsidR="00DF4FEA" w:rsidRPr="00BA3A81" w:rsidRDefault="00DF4FEA" w:rsidP="00BA3A81">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Certification</w:t>
            </w:r>
          </w:p>
        </w:tc>
        <w:tc>
          <w:tcPr>
            <w:tcW w:w="516" w:type="pct"/>
            <w:tcBorders>
              <w:top w:val="single" w:sz="8" w:space="0" w:color="auto"/>
              <w:left w:val="nil"/>
              <w:bottom w:val="single" w:sz="4" w:space="0" w:color="auto"/>
              <w:right w:val="single" w:sz="4" w:space="0" w:color="auto"/>
            </w:tcBorders>
            <w:shd w:val="clear" w:color="auto" w:fill="auto"/>
            <w:vAlign w:val="center"/>
            <w:hideMark/>
          </w:tcPr>
          <w:p w14:paraId="63BCCA3D" w14:textId="77777777" w:rsidR="00DF4FEA" w:rsidRPr="00BA3A81" w:rsidRDefault="00DF4FEA" w:rsidP="00BA3A8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Site</w:t>
            </w:r>
          </w:p>
        </w:tc>
        <w:tc>
          <w:tcPr>
            <w:tcW w:w="550" w:type="pct"/>
            <w:tcBorders>
              <w:top w:val="single" w:sz="8" w:space="0" w:color="auto"/>
              <w:left w:val="nil"/>
              <w:bottom w:val="single" w:sz="4" w:space="0" w:color="auto"/>
              <w:right w:val="single" w:sz="4" w:space="0" w:color="auto"/>
            </w:tcBorders>
            <w:shd w:val="clear" w:color="auto" w:fill="auto"/>
            <w:noWrap/>
            <w:vAlign w:val="center"/>
            <w:hideMark/>
          </w:tcPr>
          <w:p w14:paraId="5CA75FC6"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1.860</w:t>
            </w:r>
          </w:p>
        </w:tc>
        <w:tc>
          <w:tcPr>
            <w:tcW w:w="551" w:type="pct"/>
            <w:tcBorders>
              <w:top w:val="single" w:sz="8" w:space="0" w:color="auto"/>
              <w:left w:val="nil"/>
              <w:bottom w:val="single" w:sz="4" w:space="0" w:color="auto"/>
              <w:right w:val="single" w:sz="4" w:space="0" w:color="auto"/>
            </w:tcBorders>
            <w:shd w:val="clear" w:color="auto" w:fill="auto"/>
            <w:noWrap/>
            <w:vAlign w:val="center"/>
            <w:hideMark/>
          </w:tcPr>
          <w:p w14:paraId="1C121210"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$81.04</w:t>
            </w:r>
          </w:p>
        </w:tc>
        <w:tc>
          <w:tcPr>
            <w:tcW w:w="630" w:type="pct"/>
            <w:tcBorders>
              <w:top w:val="single" w:sz="8" w:space="0" w:color="auto"/>
              <w:left w:val="nil"/>
              <w:bottom w:val="single" w:sz="4" w:space="0" w:color="auto"/>
              <w:right w:val="single" w:sz="8" w:space="0" w:color="auto"/>
            </w:tcBorders>
            <w:shd w:val="clear" w:color="auto" w:fill="auto"/>
            <w:noWrap/>
            <w:vAlign w:val="center"/>
            <w:hideMark/>
          </w:tcPr>
          <w:p w14:paraId="7C4BAF33"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$150.73</w:t>
            </w:r>
          </w:p>
        </w:tc>
      </w:tr>
      <w:tr w:rsidR="00DF4FEA" w:rsidRPr="00BA3A81" w14:paraId="0B4AA2E2" w14:textId="77777777" w:rsidTr="00C0632D">
        <w:trPr>
          <w:trHeight w:val="300"/>
        </w:trPr>
        <w:tc>
          <w:tcPr>
            <w:tcW w:w="429" w:type="pct"/>
            <w:tcBorders>
              <w:top w:val="single" w:sz="4" w:space="0" w:color="auto"/>
              <w:left w:val="single" w:sz="8" w:space="0" w:color="auto"/>
              <w:bottom w:val="single" w:sz="4" w:space="0" w:color="auto"/>
              <w:right w:val="single" w:sz="4" w:space="0" w:color="auto"/>
            </w:tcBorders>
            <w:vAlign w:val="center"/>
          </w:tcPr>
          <w:p w14:paraId="08B728AB" w14:textId="77777777" w:rsidR="00DF4FEA" w:rsidRPr="00BA3A81" w:rsidRDefault="00DF4FEA" w:rsidP="00DF4FEA">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5</w:t>
            </w:r>
          </w:p>
        </w:tc>
        <w:tc>
          <w:tcPr>
            <w:tcW w:w="232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9FEC3A" w14:textId="77777777" w:rsidR="00DF4FEA" w:rsidRPr="00BA3A81" w:rsidRDefault="00DF4FEA" w:rsidP="00BA3A81">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Parent Company Information (Company Name, Address, D&amp;B Number, Mailing Address)</w:t>
            </w:r>
          </w:p>
        </w:tc>
        <w:tc>
          <w:tcPr>
            <w:tcW w:w="516" w:type="pct"/>
            <w:tcBorders>
              <w:top w:val="nil"/>
              <w:left w:val="nil"/>
              <w:bottom w:val="single" w:sz="4" w:space="0" w:color="auto"/>
              <w:right w:val="single" w:sz="4" w:space="0" w:color="auto"/>
            </w:tcBorders>
            <w:shd w:val="clear" w:color="auto" w:fill="auto"/>
            <w:vAlign w:val="center"/>
            <w:hideMark/>
          </w:tcPr>
          <w:p w14:paraId="1336718C" w14:textId="77777777" w:rsidR="00DF4FEA" w:rsidRPr="00BA3A81" w:rsidRDefault="00DF4FEA" w:rsidP="00BA3A8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Site</w:t>
            </w:r>
          </w:p>
        </w:tc>
        <w:tc>
          <w:tcPr>
            <w:tcW w:w="550" w:type="pct"/>
            <w:tcBorders>
              <w:top w:val="nil"/>
              <w:left w:val="nil"/>
              <w:bottom w:val="single" w:sz="4" w:space="0" w:color="auto"/>
              <w:right w:val="single" w:sz="4" w:space="0" w:color="auto"/>
            </w:tcBorders>
            <w:shd w:val="clear" w:color="auto" w:fill="auto"/>
            <w:noWrap/>
            <w:vAlign w:val="center"/>
            <w:hideMark/>
          </w:tcPr>
          <w:p w14:paraId="2AAEC0BB"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0.008</w:t>
            </w:r>
          </w:p>
        </w:tc>
        <w:tc>
          <w:tcPr>
            <w:tcW w:w="551" w:type="pct"/>
            <w:tcBorders>
              <w:top w:val="nil"/>
              <w:left w:val="nil"/>
              <w:bottom w:val="single" w:sz="4" w:space="0" w:color="auto"/>
              <w:right w:val="single" w:sz="4" w:space="0" w:color="auto"/>
            </w:tcBorders>
            <w:shd w:val="clear" w:color="auto" w:fill="auto"/>
            <w:noWrap/>
            <w:vAlign w:val="center"/>
            <w:hideMark/>
          </w:tcPr>
          <w:p w14:paraId="0D249A9B"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$79.62</w:t>
            </w:r>
          </w:p>
        </w:tc>
        <w:tc>
          <w:tcPr>
            <w:tcW w:w="630" w:type="pct"/>
            <w:tcBorders>
              <w:top w:val="nil"/>
              <w:left w:val="nil"/>
              <w:bottom w:val="single" w:sz="4" w:space="0" w:color="auto"/>
              <w:right w:val="single" w:sz="8" w:space="0" w:color="auto"/>
            </w:tcBorders>
            <w:shd w:val="clear" w:color="auto" w:fill="auto"/>
            <w:noWrap/>
            <w:vAlign w:val="center"/>
            <w:hideMark/>
          </w:tcPr>
          <w:p w14:paraId="504BE986"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$0.64</w:t>
            </w:r>
          </w:p>
        </w:tc>
      </w:tr>
      <w:tr w:rsidR="00DF4FEA" w:rsidRPr="00BA3A81" w14:paraId="75A1CB8D" w14:textId="77777777" w:rsidTr="00C0632D">
        <w:trPr>
          <w:trHeight w:val="300"/>
        </w:trPr>
        <w:tc>
          <w:tcPr>
            <w:tcW w:w="429" w:type="pct"/>
            <w:tcBorders>
              <w:top w:val="single" w:sz="4" w:space="0" w:color="auto"/>
              <w:left w:val="single" w:sz="8" w:space="0" w:color="auto"/>
              <w:bottom w:val="single" w:sz="4" w:space="0" w:color="auto"/>
              <w:right w:val="single" w:sz="4" w:space="0" w:color="auto"/>
            </w:tcBorders>
            <w:vAlign w:val="center"/>
          </w:tcPr>
          <w:p w14:paraId="49576C7A" w14:textId="77777777" w:rsidR="00DF4FEA" w:rsidRPr="00BA3A81" w:rsidRDefault="00DF4FEA" w:rsidP="00DF4FEA">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6</w:t>
            </w:r>
          </w:p>
        </w:tc>
        <w:tc>
          <w:tcPr>
            <w:tcW w:w="232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9E95CE3" w14:textId="77777777" w:rsidR="00DF4FEA" w:rsidRPr="00BA3A81" w:rsidRDefault="00DF4FEA" w:rsidP="00BA3A81">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Site Identification (Site Name, D&amp;B Number, Address, Mailing Address)</w:t>
            </w:r>
          </w:p>
        </w:tc>
        <w:tc>
          <w:tcPr>
            <w:tcW w:w="516" w:type="pct"/>
            <w:tcBorders>
              <w:top w:val="nil"/>
              <w:left w:val="nil"/>
              <w:bottom w:val="single" w:sz="4" w:space="0" w:color="auto"/>
              <w:right w:val="single" w:sz="4" w:space="0" w:color="auto"/>
            </w:tcBorders>
            <w:shd w:val="clear" w:color="auto" w:fill="auto"/>
            <w:vAlign w:val="center"/>
            <w:hideMark/>
          </w:tcPr>
          <w:p w14:paraId="489D3EC4" w14:textId="77777777" w:rsidR="00DF4FEA" w:rsidRPr="00BA3A81" w:rsidRDefault="00DF4FEA" w:rsidP="00BA3A8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Site</w:t>
            </w:r>
          </w:p>
        </w:tc>
        <w:tc>
          <w:tcPr>
            <w:tcW w:w="550" w:type="pct"/>
            <w:tcBorders>
              <w:top w:val="nil"/>
              <w:left w:val="nil"/>
              <w:bottom w:val="single" w:sz="4" w:space="0" w:color="auto"/>
              <w:right w:val="single" w:sz="4" w:space="0" w:color="auto"/>
            </w:tcBorders>
            <w:shd w:val="clear" w:color="auto" w:fill="auto"/>
            <w:noWrap/>
            <w:vAlign w:val="center"/>
            <w:hideMark/>
          </w:tcPr>
          <w:p w14:paraId="537DB7EC"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0.014</w:t>
            </w:r>
          </w:p>
        </w:tc>
        <w:tc>
          <w:tcPr>
            <w:tcW w:w="551" w:type="pct"/>
            <w:tcBorders>
              <w:top w:val="nil"/>
              <w:left w:val="nil"/>
              <w:bottom w:val="single" w:sz="4" w:space="0" w:color="auto"/>
              <w:right w:val="single" w:sz="4" w:space="0" w:color="auto"/>
            </w:tcBorders>
            <w:shd w:val="clear" w:color="auto" w:fill="auto"/>
            <w:noWrap/>
            <w:vAlign w:val="center"/>
            <w:hideMark/>
          </w:tcPr>
          <w:p w14:paraId="1905C6F5"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$79.79</w:t>
            </w:r>
          </w:p>
        </w:tc>
        <w:tc>
          <w:tcPr>
            <w:tcW w:w="630" w:type="pct"/>
            <w:tcBorders>
              <w:top w:val="nil"/>
              <w:left w:val="nil"/>
              <w:bottom w:val="single" w:sz="4" w:space="0" w:color="auto"/>
              <w:right w:val="single" w:sz="8" w:space="0" w:color="auto"/>
            </w:tcBorders>
            <w:shd w:val="clear" w:color="auto" w:fill="auto"/>
            <w:noWrap/>
            <w:vAlign w:val="center"/>
            <w:hideMark/>
          </w:tcPr>
          <w:p w14:paraId="0DAE5FE7"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$1.12</w:t>
            </w:r>
          </w:p>
        </w:tc>
      </w:tr>
      <w:tr w:rsidR="00DF4FEA" w:rsidRPr="00BA3A81" w14:paraId="565751A5" w14:textId="77777777" w:rsidTr="00C0632D">
        <w:trPr>
          <w:trHeight w:val="358"/>
        </w:trPr>
        <w:tc>
          <w:tcPr>
            <w:tcW w:w="429" w:type="pct"/>
            <w:tcBorders>
              <w:top w:val="single" w:sz="8" w:space="0" w:color="auto"/>
              <w:left w:val="single" w:sz="8" w:space="0" w:color="auto"/>
              <w:bottom w:val="single" w:sz="8" w:space="0" w:color="auto"/>
              <w:right w:val="single" w:sz="8" w:space="0" w:color="auto"/>
            </w:tcBorders>
            <w:shd w:val="clear" w:color="auto" w:fill="D9D9D9"/>
            <w:vAlign w:val="center"/>
          </w:tcPr>
          <w:p w14:paraId="5B0AC79F" w14:textId="77777777" w:rsidR="00DF4FEA" w:rsidRPr="00BA3A81" w:rsidRDefault="00DF4FEA" w:rsidP="00DF4FEA">
            <w:pPr>
              <w:keepNext/>
              <w:jc w:val="center"/>
              <w:rPr>
                <w:rFonts w:ascii="Arial Narrow" w:eastAsia="Times New Roman" w:hAnsi="Arial Narrow" w:cs="Calibri"/>
                <w:b/>
                <w:bCs/>
                <w:i/>
                <w:iCs/>
                <w:color w:val="000000"/>
                <w:sz w:val="20"/>
                <w:szCs w:val="20"/>
              </w:rPr>
            </w:pPr>
          </w:p>
        </w:tc>
        <w:tc>
          <w:tcPr>
            <w:tcW w:w="4571" w:type="pct"/>
            <w:gridSpan w:val="5"/>
            <w:tcBorders>
              <w:top w:val="single" w:sz="8" w:space="0" w:color="auto"/>
              <w:left w:val="single" w:sz="8" w:space="0" w:color="auto"/>
              <w:bottom w:val="single" w:sz="8" w:space="0" w:color="auto"/>
              <w:right w:val="single" w:sz="8" w:space="0" w:color="auto"/>
            </w:tcBorders>
            <w:shd w:val="clear" w:color="auto" w:fill="D9D9D9"/>
            <w:vAlign w:val="center"/>
            <w:hideMark/>
          </w:tcPr>
          <w:p w14:paraId="47991214" w14:textId="77777777" w:rsidR="00DF4FEA" w:rsidRPr="00BA3A81" w:rsidRDefault="00DF4FEA" w:rsidP="008E1828">
            <w:pPr>
              <w:keepNext/>
              <w:jc w:val="center"/>
              <w:rPr>
                <w:rFonts w:ascii="Arial Narrow" w:eastAsia="Times New Roman" w:hAnsi="Arial Narrow" w:cs="Calibri"/>
                <w:color w:val="000000"/>
                <w:sz w:val="20"/>
                <w:szCs w:val="20"/>
              </w:rPr>
            </w:pPr>
            <w:r w:rsidRPr="00BA3A81">
              <w:rPr>
                <w:rFonts w:ascii="Arial Narrow" w:eastAsia="Times New Roman" w:hAnsi="Arial Narrow" w:cs="Calibri"/>
                <w:b/>
                <w:bCs/>
                <w:i/>
                <w:iCs/>
                <w:color w:val="000000"/>
                <w:sz w:val="20"/>
                <w:szCs w:val="20"/>
              </w:rPr>
              <w:t>Part I. Site Identification Information</w:t>
            </w:r>
            <w:r>
              <w:rPr>
                <w:rFonts w:ascii="Arial Narrow" w:eastAsia="Times New Roman" w:hAnsi="Arial Narrow" w:cs="Calibri"/>
                <w:b/>
                <w:bCs/>
                <w:i/>
                <w:iCs/>
                <w:color w:val="000000"/>
                <w:sz w:val="20"/>
                <w:szCs w:val="20"/>
              </w:rPr>
              <w:t xml:space="preserve"> </w:t>
            </w:r>
            <w:r w:rsidRPr="00BA3A81">
              <w:rPr>
                <w:rFonts w:ascii="Arial Narrow" w:eastAsia="Times New Roman" w:hAnsi="Arial Narrow" w:cs="Calibri"/>
                <w:b/>
                <w:bCs/>
                <w:i/>
                <w:iCs/>
                <w:color w:val="000000"/>
                <w:sz w:val="20"/>
                <w:szCs w:val="20"/>
              </w:rPr>
              <w:t>Chemical Report Level</w:t>
            </w:r>
          </w:p>
        </w:tc>
      </w:tr>
      <w:tr w:rsidR="00DF4FEA" w:rsidRPr="00BA3A81" w14:paraId="75EC4089" w14:textId="77777777" w:rsidTr="00C0632D">
        <w:trPr>
          <w:trHeight w:val="345"/>
        </w:trPr>
        <w:tc>
          <w:tcPr>
            <w:tcW w:w="429" w:type="pct"/>
            <w:tcBorders>
              <w:top w:val="single" w:sz="8" w:space="0" w:color="auto"/>
              <w:left w:val="single" w:sz="8" w:space="0" w:color="auto"/>
              <w:bottom w:val="single" w:sz="8" w:space="0" w:color="auto"/>
              <w:right w:val="single" w:sz="4" w:space="0" w:color="auto"/>
            </w:tcBorders>
            <w:vAlign w:val="center"/>
          </w:tcPr>
          <w:p w14:paraId="6EE4129C" w14:textId="77777777" w:rsidR="00DF4FEA" w:rsidRPr="00BA3A81" w:rsidRDefault="00365CC1" w:rsidP="00DF4FEA">
            <w:pPr>
              <w:keepNext/>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7</w:t>
            </w:r>
          </w:p>
        </w:tc>
        <w:tc>
          <w:tcPr>
            <w:tcW w:w="2324"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3EAAEB8D" w14:textId="77777777" w:rsidR="00DF4FEA" w:rsidRPr="00BA3A81" w:rsidRDefault="00DF4FEA" w:rsidP="008E1828">
            <w:pPr>
              <w:keepNex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Technical Contact</w:t>
            </w:r>
            <w:r w:rsidR="001033D4">
              <w:rPr>
                <w:rFonts w:ascii="Arial Narrow" w:eastAsia="Times New Roman" w:hAnsi="Arial Narrow" w:cs="Calibri"/>
                <w:color w:val="000000"/>
                <w:sz w:val="20"/>
                <w:szCs w:val="20"/>
              </w:rPr>
              <w:t xml:space="preserve"> Information (Name, Phone, Mailing Address,</w:t>
            </w:r>
            <w:r w:rsidR="005252B2">
              <w:rPr>
                <w:rFonts w:ascii="Arial Narrow" w:eastAsia="Times New Roman" w:hAnsi="Arial Narrow" w:cs="Calibri"/>
                <w:color w:val="000000"/>
                <w:sz w:val="20"/>
                <w:szCs w:val="20"/>
              </w:rPr>
              <w:t xml:space="preserve"> </w:t>
            </w:r>
            <w:r w:rsidR="001033D4">
              <w:rPr>
                <w:rFonts w:ascii="Arial Narrow" w:eastAsia="Times New Roman" w:hAnsi="Arial Narrow" w:cs="Calibri"/>
                <w:color w:val="000000"/>
                <w:sz w:val="20"/>
                <w:szCs w:val="20"/>
              </w:rPr>
              <w:t>Email, Country)</w:t>
            </w:r>
          </w:p>
        </w:tc>
        <w:tc>
          <w:tcPr>
            <w:tcW w:w="516" w:type="pct"/>
            <w:tcBorders>
              <w:top w:val="single" w:sz="8" w:space="0" w:color="auto"/>
              <w:left w:val="nil"/>
              <w:bottom w:val="single" w:sz="8" w:space="0" w:color="auto"/>
              <w:right w:val="single" w:sz="4" w:space="0" w:color="auto"/>
            </w:tcBorders>
            <w:shd w:val="clear" w:color="auto" w:fill="auto"/>
            <w:vAlign w:val="center"/>
            <w:hideMark/>
          </w:tcPr>
          <w:p w14:paraId="3E1B43E2" w14:textId="77777777" w:rsidR="00DF4FEA" w:rsidRPr="00BA3A81" w:rsidRDefault="00DF4FEA" w:rsidP="00BA3A8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single" w:sz="8" w:space="0" w:color="auto"/>
              <w:left w:val="nil"/>
              <w:bottom w:val="single" w:sz="8" w:space="0" w:color="auto"/>
              <w:right w:val="single" w:sz="4" w:space="0" w:color="auto"/>
            </w:tcBorders>
            <w:shd w:val="clear" w:color="auto" w:fill="auto"/>
            <w:noWrap/>
            <w:vAlign w:val="center"/>
            <w:hideMark/>
          </w:tcPr>
          <w:p w14:paraId="37080FC4"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0.006</w:t>
            </w:r>
          </w:p>
        </w:tc>
        <w:tc>
          <w:tcPr>
            <w:tcW w:w="551" w:type="pct"/>
            <w:tcBorders>
              <w:top w:val="single" w:sz="8" w:space="0" w:color="auto"/>
              <w:left w:val="nil"/>
              <w:bottom w:val="single" w:sz="8" w:space="0" w:color="auto"/>
              <w:right w:val="single" w:sz="4" w:space="0" w:color="auto"/>
            </w:tcBorders>
            <w:shd w:val="clear" w:color="auto" w:fill="auto"/>
            <w:noWrap/>
            <w:vAlign w:val="center"/>
            <w:hideMark/>
          </w:tcPr>
          <w:p w14:paraId="4B51A3CD"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$80.02</w:t>
            </w:r>
          </w:p>
        </w:tc>
        <w:tc>
          <w:tcPr>
            <w:tcW w:w="630" w:type="pct"/>
            <w:tcBorders>
              <w:top w:val="single" w:sz="8" w:space="0" w:color="auto"/>
              <w:left w:val="nil"/>
              <w:bottom w:val="single" w:sz="8" w:space="0" w:color="auto"/>
              <w:right w:val="single" w:sz="8" w:space="0" w:color="auto"/>
            </w:tcBorders>
            <w:shd w:val="clear" w:color="auto" w:fill="auto"/>
            <w:noWrap/>
            <w:vAlign w:val="center"/>
            <w:hideMark/>
          </w:tcPr>
          <w:p w14:paraId="1605C1E6" w14:textId="77777777" w:rsidR="00DF4FEA" w:rsidRPr="00BA3A81" w:rsidRDefault="00DF4FEA"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$0.48</w:t>
            </w:r>
          </w:p>
        </w:tc>
      </w:tr>
      <w:tr w:rsidR="00DF4FEA" w:rsidRPr="00BA3A81" w14:paraId="30DF4F39" w14:textId="77777777" w:rsidTr="00C0632D">
        <w:trPr>
          <w:trHeight w:val="330"/>
        </w:trPr>
        <w:tc>
          <w:tcPr>
            <w:tcW w:w="429" w:type="pct"/>
            <w:tcBorders>
              <w:top w:val="single" w:sz="8" w:space="0" w:color="auto"/>
              <w:left w:val="single" w:sz="8" w:space="0" w:color="auto"/>
              <w:bottom w:val="single" w:sz="8" w:space="0" w:color="auto"/>
              <w:right w:val="single" w:sz="8" w:space="0" w:color="auto"/>
            </w:tcBorders>
            <w:shd w:val="clear" w:color="auto" w:fill="D9D9D9"/>
            <w:vAlign w:val="center"/>
          </w:tcPr>
          <w:p w14:paraId="0374B984" w14:textId="77777777" w:rsidR="00DF4FEA" w:rsidRPr="00BA3A81" w:rsidRDefault="00DF4FEA" w:rsidP="00DF4FEA">
            <w:pPr>
              <w:jc w:val="center"/>
              <w:rPr>
                <w:rFonts w:ascii="Arial Narrow" w:eastAsia="Times New Roman" w:hAnsi="Arial Narrow" w:cs="Calibri"/>
                <w:b/>
                <w:bCs/>
                <w:i/>
                <w:iCs/>
                <w:color w:val="000000"/>
                <w:sz w:val="20"/>
                <w:szCs w:val="20"/>
              </w:rPr>
            </w:pPr>
          </w:p>
        </w:tc>
        <w:tc>
          <w:tcPr>
            <w:tcW w:w="4571" w:type="pct"/>
            <w:gridSpan w:val="5"/>
            <w:tcBorders>
              <w:top w:val="single" w:sz="8" w:space="0" w:color="auto"/>
              <w:left w:val="single" w:sz="8" w:space="0" w:color="auto"/>
              <w:bottom w:val="single" w:sz="8" w:space="0" w:color="auto"/>
              <w:right w:val="single" w:sz="8" w:space="0" w:color="auto"/>
            </w:tcBorders>
            <w:shd w:val="clear" w:color="auto" w:fill="D9D9D9"/>
            <w:vAlign w:val="center"/>
            <w:hideMark/>
          </w:tcPr>
          <w:p w14:paraId="2FFDA63D" w14:textId="77777777" w:rsidR="00DF4FEA" w:rsidRPr="00BA3A81" w:rsidRDefault="00DF4FEA" w:rsidP="00E23CDC">
            <w:pPr>
              <w:jc w:val="center"/>
              <w:rPr>
                <w:rFonts w:ascii="Arial Narrow" w:eastAsia="Times New Roman" w:hAnsi="Arial Narrow" w:cs="Calibri"/>
                <w:color w:val="000000"/>
                <w:sz w:val="20"/>
                <w:szCs w:val="20"/>
              </w:rPr>
            </w:pPr>
            <w:r w:rsidRPr="00BA3A81">
              <w:rPr>
                <w:rFonts w:ascii="Arial Narrow" w:eastAsia="Times New Roman" w:hAnsi="Arial Narrow" w:cs="Calibri"/>
                <w:b/>
                <w:bCs/>
                <w:i/>
                <w:iCs/>
                <w:color w:val="000000"/>
                <w:sz w:val="20"/>
                <w:szCs w:val="20"/>
              </w:rPr>
              <w:t>Part II. Manufacturing Information</w:t>
            </w:r>
          </w:p>
        </w:tc>
      </w:tr>
      <w:tr w:rsidR="00365CC1" w:rsidRPr="00BA3A81" w14:paraId="4324ED2F" w14:textId="77777777" w:rsidTr="00C0632D">
        <w:trPr>
          <w:trHeight w:val="330"/>
        </w:trPr>
        <w:tc>
          <w:tcPr>
            <w:tcW w:w="429" w:type="pct"/>
            <w:tcBorders>
              <w:top w:val="single" w:sz="8" w:space="0" w:color="auto"/>
              <w:left w:val="single" w:sz="8" w:space="0" w:color="auto"/>
              <w:bottom w:val="single" w:sz="4" w:space="0" w:color="auto"/>
              <w:right w:val="single" w:sz="4" w:space="0" w:color="auto"/>
            </w:tcBorders>
            <w:vAlign w:val="center"/>
          </w:tcPr>
          <w:p w14:paraId="01EF081D" w14:textId="77777777" w:rsidR="00365CC1" w:rsidRDefault="00365CC1" w:rsidP="00365CC1">
            <w:pPr>
              <w:jc w:val="center"/>
              <w:rPr>
                <w:rFonts w:ascii="Arial Narrow" w:eastAsia="Times New Roman" w:hAnsi="Arial Narrow" w:cs="Calibri"/>
                <w:color w:val="000000"/>
                <w:sz w:val="20"/>
                <w:szCs w:val="20"/>
              </w:rPr>
            </w:pPr>
            <w:r>
              <w:rPr>
                <w:rFonts w:ascii="Arial Narrow" w:eastAsia="Times New Roman" w:hAnsi="Arial Narrow" w:cs="Calibri"/>
                <w:color w:val="000000"/>
                <w:sz w:val="18"/>
                <w:szCs w:val="18"/>
              </w:rPr>
              <w:t>8</w:t>
            </w:r>
          </w:p>
        </w:tc>
        <w:tc>
          <w:tcPr>
            <w:tcW w:w="2324" w:type="pct"/>
            <w:tcBorders>
              <w:top w:val="single" w:sz="8" w:space="0" w:color="auto"/>
              <w:left w:val="single" w:sz="8" w:space="0" w:color="auto"/>
              <w:bottom w:val="single" w:sz="4" w:space="0" w:color="auto"/>
              <w:right w:val="single" w:sz="4" w:space="0" w:color="auto"/>
            </w:tcBorders>
            <w:shd w:val="clear" w:color="auto" w:fill="auto"/>
            <w:vAlign w:val="center"/>
          </w:tcPr>
          <w:p w14:paraId="4A17022C" w14:textId="77777777" w:rsidR="00365CC1" w:rsidRPr="00BA3A81" w:rsidRDefault="00365CC1" w:rsidP="00365CC1">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Chemical Substance Identification</w:t>
            </w:r>
          </w:p>
        </w:tc>
        <w:tc>
          <w:tcPr>
            <w:tcW w:w="516" w:type="pct"/>
            <w:tcBorders>
              <w:top w:val="single" w:sz="8" w:space="0" w:color="auto"/>
              <w:left w:val="nil"/>
              <w:bottom w:val="single" w:sz="4" w:space="0" w:color="auto"/>
              <w:right w:val="single" w:sz="4" w:space="0" w:color="auto"/>
            </w:tcBorders>
            <w:shd w:val="clear" w:color="auto" w:fill="auto"/>
            <w:vAlign w:val="center"/>
          </w:tcPr>
          <w:p w14:paraId="6FBB3052" w14:textId="77777777" w:rsidR="00365CC1" w:rsidRPr="00BA3A81" w:rsidRDefault="00365CC1" w:rsidP="00365CC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single" w:sz="8" w:space="0" w:color="auto"/>
              <w:left w:val="nil"/>
              <w:bottom w:val="single" w:sz="4" w:space="0" w:color="auto"/>
              <w:right w:val="single" w:sz="4" w:space="0" w:color="auto"/>
            </w:tcBorders>
            <w:shd w:val="clear" w:color="auto" w:fill="auto"/>
            <w:noWrap/>
            <w:vAlign w:val="center"/>
          </w:tcPr>
          <w:p w14:paraId="7B399E90"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0.083</w:t>
            </w:r>
          </w:p>
        </w:tc>
        <w:tc>
          <w:tcPr>
            <w:tcW w:w="551" w:type="pct"/>
            <w:tcBorders>
              <w:top w:val="single" w:sz="8" w:space="0" w:color="auto"/>
              <w:left w:val="nil"/>
              <w:bottom w:val="single" w:sz="4" w:space="0" w:color="auto"/>
              <w:right w:val="single" w:sz="4" w:space="0" w:color="auto"/>
            </w:tcBorders>
            <w:shd w:val="clear" w:color="auto" w:fill="auto"/>
            <w:noWrap/>
            <w:vAlign w:val="center"/>
          </w:tcPr>
          <w:p w14:paraId="6C85065A"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$78.40</w:t>
            </w:r>
          </w:p>
        </w:tc>
        <w:tc>
          <w:tcPr>
            <w:tcW w:w="630" w:type="pct"/>
            <w:tcBorders>
              <w:top w:val="single" w:sz="8" w:space="0" w:color="auto"/>
              <w:left w:val="nil"/>
              <w:bottom w:val="single" w:sz="4" w:space="0" w:color="auto"/>
              <w:right w:val="single" w:sz="8" w:space="0" w:color="auto"/>
            </w:tcBorders>
            <w:shd w:val="clear" w:color="auto" w:fill="auto"/>
            <w:noWrap/>
            <w:vAlign w:val="center"/>
          </w:tcPr>
          <w:p w14:paraId="46519744"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$6.51</w:t>
            </w:r>
          </w:p>
        </w:tc>
      </w:tr>
      <w:tr w:rsidR="00365CC1" w:rsidRPr="00BA3A81" w14:paraId="12BC57FD" w14:textId="77777777" w:rsidTr="001646F6">
        <w:trPr>
          <w:trHeight w:val="330"/>
        </w:trPr>
        <w:tc>
          <w:tcPr>
            <w:tcW w:w="429" w:type="pct"/>
            <w:tcBorders>
              <w:top w:val="single" w:sz="8" w:space="0" w:color="auto"/>
              <w:left w:val="single" w:sz="8" w:space="0" w:color="auto"/>
              <w:bottom w:val="single" w:sz="4" w:space="0" w:color="auto"/>
              <w:right w:val="single" w:sz="4" w:space="0" w:color="auto"/>
            </w:tcBorders>
            <w:vAlign w:val="center"/>
          </w:tcPr>
          <w:p w14:paraId="7AAC09F9" w14:textId="77777777" w:rsidR="00365CC1" w:rsidRPr="00BA3A81" w:rsidRDefault="00365CC1" w:rsidP="00365CC1">
            <w:pPr>
              <w:jc w:val="center"/>
              <w:rPr>
                <w:rFonts w:ascii="Arial Narrow" w:eastAsia="Times New Roman" w:hAnsi="Arial Narrow" w:cs="Calibri"/>
                <w:color w:val="000000"/>
                <w:sz w:val="20"/>
                <w:szCs w:val="20"/>
              </w:rPr>
            </w:pPr>
            <w:r>
              <w:rPr>
                <w:rFonts w:ascii="Arial Narrow" w:eastAsia="Times New Roman" w:hAnsi="Arial Narrow" w:cs="Calibri"/>
                <w:color w:val="000000"/>
                <w:sz w:val="18"/>
                <w:szCs w:val="18"/>
              </w:rPr>
              <w:t>9</w:t>
            </w:r>
          </w:p>
        </w:tc>
        <w:tc>
          <w:tcPr>
            <w:tcW w:w="232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0796DC" w14:textId="77777777" w:rsidR="00365CC1" w:rsidRPr="00BA3A81" w:rsidRDefault="00365CC1" w:rsidP="00365CC1">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Chem ID CBI Substantiation</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7F334412" w14:textId="77777777" w:rsidR="00365CC1" w:rsidRPr="00BA3A81" w:rsidRDefault="00365CC1" w:rsidP="00365CC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14:paraId="6CC751AF"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0.040</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35959D30"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$80.01</w:t>
            </w:r>
          </w:p>
        </w:tc>
        <w:tc>
          <w:tcPr>
            <w:tcW w:w="630" w:type="pct"/>
            <w:tcBorders>
              <w:top w:val="single" w:sz="4" w:space="0" w:color="auto"/>
              <w:left w:val="nil"/>
              <w:bottom w:val="single" w:sz="4" w:space="0" w:color="auto"/>
              <w:right w:val="single" w:sz="8" w:space="0" w:color="auto"/>
            </w:tcBorders>
            <w:shd w:val="clear" w:color="auto" w:fill="auto"/>
            <w:noWrap/>
            <w:vAlign w:val="center"/>
            <w:hideMark/>
          </w:tcPr>
          <w:p w14:paraId="47BC0298"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$3.2</w:t>
            </w:r>
            <w:r>
              <w:rPr>
                <w:rFonts w:ascii="Arial Narrow" w:eastAsia="Times New Roman" w:hAnsi="Arial Narrow" w:cs="Calibri"/>
                <w:color w:val="000000"/>
                <w:sz w:val="20"/>
                <w:szCs w:val="20"/>
              </w:rPr>
              <w:t>0</w:t>
            </w:r>
          </w:p>
        </w:tc>
      </w:tr>
      <w:tr w:rsidR="00365CC1" w:rsidRPr="00BA3A81" w14:paraId="6C7D74A8" w14:textId="77777777" w:rsidTr="001646F6">
        <w:trPr>
          <w:trHeight w:val="360"/>
        </w:trPr>
        <w:tc>
          <w:tcPr>
            <w:tcW w:w="429" w:type="pct"/>
            <w:tcBorders>
              <w:top w:val="single" w:sz="4" w:space="0" w:color="auto"/>
              <w:left w:val="single" w:sz="8" w:space="0" w:color="auto"/>
              <w:bottom w:val="single" w:sz="4" w:space="0" w:color="auto"/>
              <w:right w:val="single" w:sz="4" w:space="0" w:color="auto"/>
            </w:tcBorders>
            <w:vAlign w:val="center"/>
          </w:tcPr>
          <w:p w14:paraId="5E88456C" w14:textId="77777777" w:rsidR="00365CC1" w:rsidRPr="00BA3A81" w:rsidRDefault="00365CC1" w:rsidP="00365CC1">
            <w:pPr>
              <w:jc w:val="center"/>
              <w:rPr>
                <w:rFonts w:ascii="Arial Narrow" w:eastAsia="Times New Roman" w:hAnsi="Arial Narrow" w:cs="Calibri"/>
                <w:color w:val="000000"/>
                <w:sz w:val="20"/>
                <w:szCs w:val="20"/>
              </w:rPr>
            </w:pPr>
            <w:r>
              <w:rPr>
                <w:rFonts w:ascii="Arial Narrow" w:eastAsia="Times New Roman" w:hAnsi="Arial Narrow" w:cs="Calibri"/>
                <w:color w:val="000000"/>
                <w:sz w:val="18"/>
                <w:szCs w:val="18"/>
              </w:rPr>
              <w:t>10</w:t>
            </w:r>
          </w:p>
        </w:tc>
        <w:tc>
          <w:tcPr>
            <w:tcW w:w="2324" w:type="pct"/>
            <w:tcBorders>
              <w:top w:val="nil"/>
              <w:left w:val="single" w:sz="8" w:space="0" w:color="auto"/>
              <w:bottom w:val="nil"/>
              <w:right w:val="single" w:sz="4" w:space="0" w:color="auto"/>
            </w:tcBorders>
            <w:shd w:val="clear" w:color="auto" w:fill="auto"/>
            <w:vAlign w:val="center"/>
            <w:hideMark/>
          </w:tcPr>
          <w:p w14:paraId="2CDC2923" w14:textId="77777777" w:rsidR="00365CC1" w:rsidRPr="00BA3A81" w:rsidRDefault="00365CC1" w:rsidP="00365CC1">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Joint Submission</w:t>
            </w:r>
            <w:r>
              <w:rPr>
                <w:rFonts w:ascii="Arial Narrow" w:eastAsia="Times New Roman" w:hAnsi="Arial Narrow" w:cs="Calibri"/>
                <w:color w:val="000000"/>
                <w:sz w:val="20"/>
                <w:szCs w:val="20"/>
              </w:rPr>
              <w:t xml:space="preserve"> Information</w:t>
            </w:r>
          </w:p>
        </w:tc>
        <w:tc>
          <w:tcPr>
            <w:tcW w:w="516" w:type="pct"/>
            <w:tcBorders>
              <w:top w:val="nil"/>
              <w:left w:val="nil"/>
              <w:bottom w:val="single" w:sz="4" w:space="0" w:color="auto"/>
              <w:right w:val="single" w:sz="4" w:space="0" w:color="auto"/>
            </w:tcBorders>
            <w:shd w:val="clear" w:color="auto" w:fill="auto"/>
            <w:vAlign w:val="center"/>
            <w:hideMark/>
          </w:tcPr>
          <w:p w14:paraId="1522E295" w14:textId="77777777" w:rsidR="00365CC1" w:rsidRPr="00BA3A81" w:rsidRDefault="00365CC1" w:rsidP="00365CC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765B30D0"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0.000</w:t>
            </w:r>
            <w:r>
              <w:rPr>
                <w:rFonts w:ascii="Arial Narrow" w:eastAsia="Times New Roman" w:hAnsi="Arial Narrow" w:cs="Calibri"/>
                <w:color w:val="000000"/>
                <w:sz w:val="20"/>
                <w:szCs w:val="20"/>
              </w:rPr>
              <w:t>2</w:t>
            </w:r>
          </w:p>
        </w:tc>
        <w:tc>
          <w:tcPr>
            <w:tcW w:w="551" w:type="pct"/>
            <w:tcBorders>
              <w:top w:val="nil"/>
              <w:left w:val="nil"/>
              <w:bottom w:val="single" w:sz="4" w:space="0" w:color="auto"/>
              <w:right w:val="single" w:sz="4" w:space="0" w:color="auto"/>
            </w:tcBorders>
            <w:shd w:val="clear" w:color="auto" w:fill="auto"/>
            <w:noWrap/>
            <w:vAlign w:val="center"/>
            <w:hideMark/>
          </w:tcPr>
          <w:p w14:paraId="236C8EBB"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$83.26</w:t>
            </w:r>
          </w:p>
        </w:tc>
        <w:tc>
          <w:tcPr>
            <w:tcW w:w="630" w:type="pct"/>
            <w:tcBorders>
              <w:top w:val="nil"/>
              <w:left w:val="nil"/>
              <w:bottom w:val="single" w:sz="4" w:space="0" w:color="auto"/>
              <w:right w:val="single" w:sz="8" w:space="0" w:color="auto"/>
            </w:tcBorders>
            <w:shd w:val="clear" w:color="auto" w:fill="auto"/>
            <w:noWrap/>
            <w:vAlign w:val="center"/>
            <w:hideMark/>
          </w:tcPr>
          <w:p w14:paraId="16AC5675"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$0.02</w:t>
            </w:r>
          </w:p>
        </w:tc>
      </w:tr>
      <w:tr w:rsidR="00365CC1" w:rsidRPr="00BA3A81" w14:paraId="270591C5" w14:textId="77777777" w:rsidTr="00C0632D">
        <w:trPr>
          <w:trHeight w:val="375"/>
        </w:trPr>
        <w:tc>
          <w:tcPr>
            <w:tcW w:w="429" w:type="pct"/>
            <w:tcBorders>
              <w:top w:val="single" w:sz="4" w:space="0" w:color="auto"/>
              <w:left w:val="single" w:sz="8" w:space="0" w:color="auto"/>
              <w:bottom w:val="single" w:sz="4" w:space="0" w:color="auto"/>
              <w:right w:val="single" w:sz="4" w:space="0" w:color="auto"/>
            </w:tcBorders>
            <w:vAlign w:val="center"/>
          </w:tcPr>
          <w:p w14:paraId="23F14D0A" w14:textId="77777777" w:rsidR="00365CC1" w:rsidRPr="00BA3A81" w:rsidRDefault="00365CC1" w:rsidP="00365CC1">
            <w:pPr>
              <w:jc w:val="center"/>
              <w:rPr>
                <w:rFonts w:ascii="Arial Narrow" w:eastAsia="Times New Roman" w:hAnsi="Arial Narrow" w:cs="Calibri"/>
                <w:color w:val="000000"/>
                <w:sz w:val="20"/>
                <w:szCs w:val="20"/>
              </w:rPr>
            </w:pPr>
            <w:r>
              <w:rPr>
                <w:rFonts w:ascii="Arial Narrow" w:eastAsia="Times New Roman" w:hAnsi="Arial Narrow" w:cs="Calibri"/>
                <w:color w:val="000000"/>
                <w:sz w:val="18"/>
                <w:szCs w:val="18"/>
              </w:rPr>
              <w:t>11</w:t>
            </w:r>
          </w:p>
        </w:tc>
        <w:tc>
          <w:tcPr>
            <w:tcW w:w="232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B2543C8" w14:textId="77777777" w:rsidR="00365CC1" w:rsidRPr="00BA3A81" w:rsidRDefault="00365CC1" w:rsidP="00365CC1">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 xml:space="preserve">Activity, Production Volume </w:t>
            </w:r>
            <w:r>
              <w:rPr>
                <w:rFonts w:ascii="Arial Narrow" w:eastAsia="Times New Roman" w:hAnsi="Arial Narrow" w:cs="Calibri"/>
                <w:color w:val="000000"/>
                <w:sz w:val="20"/>
                <w:szCs w:val="20"/>
              </w:rPr>
              <w:t>for Principal Reporting Year</w:t>
            </w:r>
          </w:p>
        </w:tc>
        <w:tc>
          <w:tcPr>
            <w:tcW w:w="516" w:type="pct"/>
            <w:tcBorders>
              <w:top w:val="nil"/>
              <w:left w:val="nil"/>
              <w:bottom w:val="single" w:sz="4" w:space="0" w:color="auto"/>
              <w:right w:val="single" w:sz="4" w:space="0" w:color="auto"/>
            </w:tcBorders>
            <w:shd w:val="clear" w:color="auto" w:fill="auto"/>
            <w:vAlign w:val="center"/>
            <w:hideMark/>
          </w:tcPr>
          <w:p w14:paraId="5FA656FA" w14:textId="77777777" w:rsidR="00365CC1" w:rsidRPr="00BA3A81" w:rsidRDefault="00365CC1" w:rsidP="00365CC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0B639076"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2.270</w:t>
            </w:r>
          </w:p>
        </w:tc>
        <w:tc>
          <w:tcPr>
            <w:tcW w:w="551" w:type="pct"/>
            <w:tcBorders>
              <w:top w:val="nil"/>
              <w:left w:val="nil"/>
              <w:bottom w:val="single" w:sz="4" w:space="0" w:color="auto"/>
              <w:right w:val="single" w:sz="4" w:space="0" w:color="auto"/>
            </w:tcBorders>
            <w:shd w:val="clear" w:color="auto" w:fill="auto"/>
            <w:noWrap/>
            <w:vAlign w:val="center"/>
            <w:hideMark/>
          </w:tcPr>
          <w:p w14:paraId="05A9B7F7"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$79.36</w:t>
            </w:r>
          </w:p>
        </w:tc>
        <w:tc>
          <w:tcPr>
            <w:tcW w:w="630" w:type="pct"/>
            <w:tcBorders>
              <w:top w:val="nil"/>
              <w:left w:val="nil"/>
              <w:bottom w:val="single" w:sz="4" w:space="0" w:color="auto"/>
              <w:right w:val="single" w:sz="8" w:space="0" w:color="auto"/>
            </w:tcBorders>
            <w:shd w:val="clear" w:color="auto" w:fill="auto"/>
            <w:noWrap/>
            <w:vAlign w:val="center"/>
            <w:hideMark/>
          </w:tcPr>
          <w:p w14:paraId="5B0341F1"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$180.15</w:t>
            </w:r>
          </w:p>
        </w:tc>
      </w:tr>
      <w:tr w:rsidR="00365CC1" w:rsidRPr="00BA3A81" w14:paraId="3B36586A" w14:textId="77777777" w:rsidTr="001646F6">
        <w:trPr>
          <w:trHeight w:val="390"/>
        </w:trPr>
        <w:tc>
          <w:tcPr>
            <w:tcW w:w="429" w:type="pct"/>
            <w:tcBorders>
              <w:top w:val="single" w:sz="4" w:space="0" w:color="auto"/>
              <w:left w:val="single" w:sz="8" w:space="0" w:color="auto"/>
              <w:bottom w:val="single" w:sz="4" w:space="0" w:color="auto"/>
              <w:right w:val="single" w:sz="4" w:space="0" w:color="auto"/>
            </w:tcBorders>
            <w:vAlign w:val="center"/>
          </w:tcPr>
          <w:p w14:paraId="1BB5F687" w14:textId="77777777" w:rsidR="00365CC1" w:rsidRPr="00BA3A81" w:rsidRDefault="00365CC1" w:rsidP="00365CC1">
            <w:pPr>
              <w:jc w:val="center"/>
              <w:rPr>
                <w:rFonts w:ascii="Arial Narrow" w:eastAsia="Times New Roman" w:hAnsi="Arial Narrow" w:cs="Calibri"/>
                <w:color w:val="000000"/>
                <w:sz w:val="20"/>
                <w:szCs w:val="20"/>
              </w:rPr>
            </w:pPr>
            <w:r>
              <w:rPr>
                <w:rFonts w:ascii="Arial Narrow" w:eastAsia="Times New Roman" w:hAnsi="Arial Narrow" w:cs="Calibri"/>
                <w:color w:val="000000"/>
                <w:sz w:val="18"/>
                <w:szCs w:val="18"/>
              </w:rPr>
              <w:t>12</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2EBF6938" w14:textId="77777777" w:rsidR="00365CC1" w:rsidRPr="00BA3A81" w:rsidRDefault="00365CC1" w:rsidP="00365CC1">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Whether imported chemical substance is physically at reporting site</w:t>
            </w:r>
          </w:p>
        </w:tc>
        <w:tc>
          <w:tcPr>
            <w:tcW w:w="516" w:type="pct"/>
            <w:tcBorders>
              <w:top w:val="nil"/>
              <w:left w:val="nil"/>
              <w:bottom w:val="single" w:sz="4" w:space="0" w:color="auto"/>
              <w:right w:val="single" w:sz="4" w:space="0" w:color="auto"/>
            </w:tcBorders>
            <w:shd w:val="clear" w:color="auto" w:fill="auto"/>
            <w:vAlign w:val="center"/>
            <w:hideMark/>
          </w:tcPr>
          <w:p w14:paraId="00344A76" w14:textId="77777777" w:rsidR="00365CC1" w:rsidRPr="00BA3A81" w:rsidRDefault="00365CC1" w:rsidP="00365CC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71193E6C"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0.110</w:t>
            </w:r>
          </w:p>
        </w:tc>
        <w:tc>
          <w:tcPr>
            <w:tcW w:w="551" w:type="pct"/>
            <w:tcBorders>
              <w:top w:val="nil"/>
              <w:left w:val="nil"/>
              <w:bottom w:val="single" w:sz="4" w:space="0" w:color="auto"/>
              <w:right w:val="single" w:sz="4" w:space="0" w:color="auto"/>
            </w:tcBorders>
            <w:shd w:val="clear" w:color="auto" w:fill="auto"/>
            <w:noWrap/>
            <w:vAlign w:val="center"/>
            <w:hideMark/>
          </w:tcPr>
          <w:p w14:paraId="707C9FDB"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$79.28</w:t>
            </w:r>
          </w:p>
        </w:tc>
        <w:tc>
          <w:tcPr>
            <w:tcW w:w="630" w:type="pct"/>
            <w:tcBorders>
              <w:top w:val="nil"/>
              <w:left w:val="nil"/>
              <w:bottom w:val="single" w:sz="4" w:space="0" w:color="auto"/>
              <w:right w:val="single" w:sz="8" w:space="0" w:color="auto"/>
            </w:tcBorders>
            <w:shd w:val="clear" w:color="auto" w:fill="auto"/>
            <w:noWrap/>
            <w:vAlign w:val="center"/>
            <w:hideMark/>
          </w:tcPr>
          <w:p w14:paraId="780D8F10"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$8.72</w:t>
            </w:r>
          </w:p>
        </w:tc>
      </w:tr>
      <w:tr w:rsidR="00365CC1" w:rsidRPr="00BA3A81" w14:paraId="46C15FB5" w14:textId="77777777" w:rsidTr="001646F6">
        <w:trPr>
          <w:trHeight w:val="315"/>
        </w:trPr>
        <w:tc>
          <w:tcPr>
            <w:tcW w:w="429" w:type="pct"/>
            <w:tcBorders>
              <w:top w:val="single" w:sz="4" w:space="0" w:color="auto"/>
              <w:left w:val="single" w:sz="8" w:space="0" w:color="auto"/>
              <w:bottom w:val="single" w:sz="4" w:space="0" w:color="auto"/>
              <w:right w:val="single" w:sz="4" w:space="0" w:color="auto"/>
            </w:tcBorders>
            <w:vAlign w:val="center"/>
          </w:tcPr>
          <w:p w14:paraId="2EEAC13C" w14:textId="77777777" w:rsidR="00365CC1" w:rsidRPr="00BA3A81" w:rsidRDefault="00365CC1" w:rsidP="00365CC1">
            <w:pPr>
              <w:jc w:val="center"/>
              <w:rPr>
                <w:rFonts w:ascii="Arial Narrow" w:eastAsia="Times New Roman" w:hAnsi="Arial Narrow" w:cs="Calibri"/>
                <w:color w:val="000000"/>
                <w:sz w:val="20"/>
                <w:szCs w:val="20"/>
              </w:rPr>
            </w:pPr>
            <w:r>
              <w:rPr>
                <w:rFonts w:ascii="Arial Narrow" w:eastAsia="Times New Roman" w:hAnsi="Arial Narrow" w:cs="Calibri"/>
                <w:color w:val="000000"/>
                <w:sz w:val="18"/>
                <w:szCs w:val="18"/>
              </w:rPr>
              <w:t>13</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7F03F5C2" w14:textId="77777777" w:rsidR="00365CC1" w:rsidRPr="00BA3A81" w:rsidRDefault="00365CC1" w:rsidP="00365CC1">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Production Volume used on-site</w:t>
            </w:r>
          </w:p>
        </w:tc>
        <w:tc>
          <w:tcPr>
            <w:tcW w:w="516" w:type="pct"/>
            <w:tcBorders>
              <w:top w:val="nil"/>
              <w:left w:val="nil"/>
              <w:bottom w:val="single" w:sz="4" w:space="0" w:color="auto"/>
              <w:right w:val="single" w:sz="4" w:space="0" w:color="auto"/>
            </w:tcBorders>
            <w:shd w:val="clear" w:color="auto" w:fill="auto"/>
            <w:vAlign w:val="center"/>
            <w:hideMark/>
          </w:tcPr>
          <w:p w14:paraId="55F800F2" w14:textId="77777777" w:rsidR="00365CC1" w:rsidRPr="00BA3A81" w:rsidRDefault="00365CC1" w:rsidP="00365CC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26492C4B"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0.200</w:t>
            </w:r>
          </w:p>
        </w:tc>
        <w:tc>
          <w:tcPr>
            <w:tcW w:w="551" w:type="pct"/>
            <w:tcBorders>
              <w:top w:val="nil"/>
              <w:left w:val="nil"/>
              <w:bottom w:val="single" w:sz="4" w:space="0" w:color="auto"/>
              <w:right w:val="single" w:sz="4" w:space="0" w:color="auto"/>
            </w:tcBorders>
            <w:shd w:val="clear" w:color="auto" w:fill="auto"/>
            <w:noWrap/>
            <w:vAlign w:val="center"/>
            <w:hideMark/>
          </w:tcPr>
          <w:p w14:paraId="6034EDB2"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$79.37</w:t>
            </w:r>
          </w:p>
        </w:tc>
        <w:tc>
          <w:tcPr>
            <w:tcW w:w="630" w:type="pct"/>
            <w:tcBorders>
              <w:top w:val="nil"/>
              <w:left w:val="nil"/>
              <w:bottom w:val="single" w:sz="4" w:space="0" w:color="auto"/>
              <w:right w:val="single" w:sz="8" w:space="0" w:color="auto"/>
            </w:tcBorders>
            <w:shd w:val="clear" w:color="auto" w:fill="auto"/>
            <w:noWrap/>
            <w:vAlign w:val="center"/>
            <w:hideMark/>
          </w:tcPr>
          <w:p w14:paraId="698FA532"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$15.87</w:t>
            </w:r>
          </w:p>
        </w:tc>
      </w:tr>
      <w:tr w:rsidR="00365CC1" w:rsidRPr="00BA3A81" w14:paraId="4E602530" w14:textId="77777777" w:rsidTr="001646F6">
        <w:trPr>
          <w:trHeight w:val="315"/>
        </w:trPr>
        <w:tc>
          <w:tcPr>
            <w:tcW w:w="429" w:type="pct"/>
            <w:tcBorders>
              <w:top w:val="single" w:sz="4" w:space="0" w:color="auto"/>
              <w:left w:val="single" w:sz="8" w:space="0" w:color="auto"/>
              <w:bottom w:val="single" w:sz="4" w:space="0" w:color="auto"/>
              <w:right w:val="single" w:sz="4" w:space="0" w:color="auto"/>
            </w:tcBorders>
            <w:vAlign w:val="center"/>
          </w:tcPr>
          <w:p w14:paraId="038175DA" w14:textId="77777777" w:rsidR="00365CC1" w:rsidRPr="00BA3A81" w:rsidRDefault="00365CC1" w:rsidP="00365CC1">
            <w:pPr>
              <w:jc w:val="center"/>
              <w:rPr>
                <w:rFonts w:ascii="Arial Narrow" w:eastAsia="Times New Roman" w:hAnsi="Arial Narrow" w:cs="Calibri"/>
                <w:color w:val="000000"/>
                <w:sz w:val="20"/>
                <w:szCs w:val="20"/>
              </w:rPr>
            </w:pPr>
            <w:r>
              <w:rPr>
                <w:rFonts w:ascii="Arial Narrow" w:eastAsia="Times New Roman" w:hAnsi="Arial Narrow" w:cs="Calibri"/>
                <w:color w:val="000000"/>
                <w:sz w:val="18"/>
                <w:szCs w:val="18"/>
              </w:rPr>
              <w:t>14</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1892F088" w14:textId="77777777" w:rsidR="00365CC1" w:rsidRPr="00BA3A81" w:rsidRDefault="00365CC1" w:rsidP="00365CC1">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Volume exported</w:t>
            </w:r>
          </w:p>
        </w:tc>
        <w:tc>
          <w:tcPr>
            <w:tcW w:w="516" w:type="pct"/>
            <w:tcBorders>
              <w:top w:val="nil"/>
              <w:left w:val="nil"/>
              <w:bottom w:val="single" w:sz="4" w:space="0" w:color="auto"/>
              <w:right w:val="single" w:sz="4" w:space="0" w:color="auto"/>
            </w:tcBorders>
            <w:shd w:val="clear" w:color="auto" w:fill="auto"/>
            <w:vAlign w:val="center"/>
            <w:hideMark/>
          </w:tcPr>
          <w:p w14:paraId="58225E0F" w14:textId="77777777" w:rsidR="00365CC1" w:rsidRPr="00BA3A81" w:rsidRDefault="00365CC1" w:rsidP="00365CC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397F3852"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1.020</w:t>
            </w:r>
          </w:p>
        </w:tc>
        <w:tc>
          <w:tcPr>
            <w:tcW w:w="551" w:type="pct"/>
            <w:tcBorders>
              <w:top w:val="nil"/>
              <w:left w:val="nil"/>
              <w:bottom w:val="single" w:sz="4" w:space="0" w:color="auto"/>
              <w:right w:val="single" w:sz="4" w:space="0" w:color="auto"/>
            </w:tcBorders>
            <w:shd w:val="clear" w:color="auto" w:fill="auto"/>
            <w:noWrap/>
            <w:vAlign w:val="center"/>
            <w:hideMark/>
          </w:tcPr>
          <w:p w14:paraId="60A07795"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$79.35</w:t>
            </w:r>
          </w:p>
        </w:tc>
        <w:tc>
          <w:tcPr>
            <w:tcW w:w="630" w:type="pct"/>
            <w:tcBorders>
              <w:top w:val="nil"/>
              <w:left w:val="nil"/>
              <w:bottom w:val="single" w:sz="4" w:space="0" w:color="auto"/>
              <w:right w:val="single" w:sz="8" w:space="0" w:color="auto"/>
            </w:tcBorders>
            <w:shd w:val="clear" w:color="auto" w:fill="auto"/>
            <w:noWrap/>
            <w:vAlign w:val="center"/>
            <w:hideMark/>
          </w:tcPr>
          <w:p w14:paraId="07186826"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$80.94</w:t>
            </w:r>
          </w:p>
        </w:tc>
      </w:tr>
      <w:tr w:rsidR="00365CC1" w:rsidRPr="00BA3A81" w14:paraId="7730289D" w14:textId="77777777" w:rsidTr="001646F6">
        <w:trPr>
          <w:trHeight w:val="345"/>
        </w:trPr>
        <w:tc>
          <w:tcPr>
            <w:tcW w:w="429" w:type="pct"/>
            <w:tcBorders>
              <w:top w:val="single" w:sz="4" w:space="0" w:color="auto"/>
              <w:left w:val="single" w:sz="8" w:space="0" w:color="auto"/>
              <w:bottom w:val="single" w:sz="4" w:space="0" w:color="auto"/>
              <w:right w:val="single" w:sz="4" w:space="0" w:color="auto"/>
            </w:tcBorders>
            <w:vAlign w:val="center"/>
          </w:tcPr>
          <w:p w14:paraId="597F82CB" w14:textId="77777777" w:rsidR="00365CC1" w:rsidRPr="00BA3A81" w:rsidRDefault="00365CC1" w:rsidP="00365CC1">
            <w:pPr>
              <w:jc w:val="center"/>
              <w:rPr>
                <w:rFonts w:ascii="Arial Narrow" w:eastAsia="Times New Roman" w:hAnsi="Arial Narrow" w:cs="Calibri"/>
                <w:color w:val="000000"/>
                <w:sz w:val="20"/>
                <w:szCs w:val="20"/>
              </w:rPr>
            </w:pPr>
            <w:r>
              <w:rPr>
                <w:rFonts w:ascii="Arial Narrow" w:eastAsia="Times New Roman" w:hAnsi="Arial Narrow" w:cs="Calibri"/>
                <w:color w:val="000000"/>
                <w:sz w:val="18"/>
                <w:szCs w:val="18"/>
              </w:rPr>
              <w:t>15</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0BC99638" w14:textId="77777777" w:rsidR="00365CC1" w:rsidRPr="00BA3A81" w:rsidRDefault="00365CC1" w:rsidP="00365CC1">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Total Number of Workers</w:t>
            </w:r>
          </w:p>
        </w:tc>
        <w:tc>
          <w:tcPr>
            <w:tcW w:w="516" w:type="pct"/>
            <w:tcBorders>
              <w:top w:val="nil"/>
              <w:left w:val="nil"/>
              <w:bottom w:val="single" w:sz="4" w:space="0" w:color="auto"/>
              <w:right w:val="single" w:sz="4" w:space="0" w:color="auto"/>
            </w:tcBorders>
            <w:shd w:val="clear" w:color="auto" w:fill="auto"/>
            <w:vAlign w:val="center"/>
            <w:hideMark/>
          </w:tcPr>
          <w:p w14:paraId="4F94881B" w14:textId="77777777" w:rsidR="00365CC1" w:rsidRPr="00BA3A81" w:rsidRDefault="00365CC1" w:rsidP="00365CC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103662A1"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1.610</w:t>
            </w:r>
          </w:p>
        </w:tc>
        <w:tc>
          <w:tcPr>
            <w:tcW w:w="551" w:type="pct"/>
            <w:tcBorders>
              <w:top w:val="nil"/>
              <w:left w:val="nil"/>
              <w:bottom w:val="single" w:sz="4" w:space="0" w:color="auto"/>
              <w:right w:val="single" w:sz="4" w:space="0" w:color="auto"/>
            </w:tcBorders>
            <w:shd w:val="clear" w:color="auto" w:fill="auto"/>
            <w:noWrap/>
            <w:vAlign w:val="center"/>
            <w:hideMark/>
          </w:tcPr>
          <w:p w14:paraId="117286C5"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$79.82</w:t>
            </w:r>
          </w:p>
        </w:tc>
        <w:tc>
          <w:tcPr>
            <w:tcW w:w="630" w:type="pct"/>
            <w:tcBorders>
              <w:top w:val="nil"/>
              <w:left w:val="nil"/>
              <w:bottom w:val="single" w:sz="4" w:space="0" w:color="auto"/>
              <w:right w:val="single" w:sz="8" w:space="0" w:color="auto"/>
            </w:tcBorders>
            <w:shd w:val="clear" w:color="auto" w:fill="auto"/>
            <w:noWrap/>
            <w:vAlign w:val="center"/>
            <w:hideMark/>
          </w:tcPr>
          <w:p w14:paraId="71A8E398"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$128.51</w:t>
            </w:r>
          </w:p>
        </w:tc>
      </w:tr>
      <w:tr w:rsidR="00365CC1" w:rsidRPr="00BA3A81" w14:paraId="7BBD528C" w14:textId="77777777" w:rsidTr="001646F6">
        <w:trPr>
          <w:trHeight w:val="345"/>
        </w:trPr>
        <w:tc>
          <w:tcPr>
            <w:tcW w:w="429" w:type="pct"/>
            <w:tcBorders>
              <w:top w:val="single" w:sz="4" w:space="0" w:color="auto"/>
              <w:left w:val="single" w:sz="8" w:space="0" w:color="auto"/>
              <w:bottom w:val="single" w:sz="4" w:space="0" w:color="auto"/>
              <w:right w:val="single" w:sz="4" w:space="0" w:color="auto"/>
            </w:tcBorders>
            <w:vAlign w:val="center"/>
          </w:tcPr>
          <w:p w14:paraId="0D930C8B" w14:textId="77777777" w:rsidR="00365CC1" w:rsidRPr="00BA3A81" w:rsidRDefault="00365CC1" w:rsidP="00365CC1">
            <w:pPr>
              <w:jc w:val="center"/>
              <w:rPr>
                <w:rFonts w:ascii="Arial Narrow" w:eastAsia="Times New Roman" w:hAnsi="Arial Narrow" w:cs="Calibri"/>
                <w:color w:val="000000"/>
                <w:sz w:val="20"/>
                <w:szCs w:val="20"/>
              </w:rPr>
            </w:pPr>
            <w:r>
              <w:rPr>
                <w:rFonts w:ascii="Arial Narrow" w:eastAsia="Times New Roman" w:hAnsi="Arial Narrow" w:cs="Calibri"/>
                <w:color w:val="000000"/>
                <w:sz w:val="18"/>
                <w:szCs w:val="18"/>
              </w:rPr>
              <w:t>16</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5D54ED90" w14:textId="77777777" w:rsidR="00365CC1" w:rsidRPr="00BA3A81" w:rsidRDefault="00365CC1" w:rsidP="00365CC1">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Maximum Concentration, Physical Form, Percent Volume of Production</w:t>
            </w:r>
          </w:p>
        </w:tc>
        <w:tc>
          <w:tcPr>
            <w:tcW w:w="516" w:type="pct"/>
            <w:tcBorders>
              <w:top w:val="nil"/>
              <w:left w:val="nil"/>
              <w:bottom w:val="single" w:sz="4" w:space="0" w:color="auto"/>
              <w:right w:val="single" w:sz="4" w:space="0" w:color="auto"/>
            </w:tcBorders>
            <w:shd w:val="clear" w:color="auto" w:fill="auto"/>
            <w:vAlign w:val="center"/>
            <w:hideMark/>
          </w:tcPr>
          <w:p w14:paraId="1E2A8894" w14:textId="77777777" w:rsidR="00365CC1" w:rsidRPr="00BA3A81" w:rsidRDefault="00365CC1" w:rsidP="00365CC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60C65262"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3.090</w:t>
            </w:r>
          </w:p>
        </w:tc>
        <w:tc>
          <w:tcPr>
            <w:tcW w:w="551" w:type="pct"/>
            <w:tcBorders>
              <w:top w:val="nil"/>
              <w:left w:val="nil"/>
              <w:bottom w:val="single" w:sz="4" w:space="0" w:color="auto"/>
              <w:right w:val="single" w:sz="4" w:space="0" w:color="auto"/>
            </w:tcBorders>
            <w:shd w:val="clear" w:color="auto" w:fill="auto"/>
            <w:noWrap/>
            <w:vAlign w:val="center"/>
            <w:hideMark/>
          </w:tcPr>
          <w:p w14:paraId="3353516B"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$79.75</w:t>
            </w:r>
          </w:p>
        </w:tc>
        <w:tc>
          <w:tcPr>
            <w:tcW w:w="630" w:type="pct"/>
            <w:tcBorders>
              <w:top w:val="nil"/>
              <w:left w:val="nil"/>
              <w:bottom w:val="single" w:sz="4" w:space="0" w:color="auto"/>
              <w:right w:val="single" w:sz="8" w:space="0" w:color="auto"/>
            </w:tcBorders>
            <w:shd w:val="clear" w:color="auto" w:fill="auto"/>
            <w:noWrap/>
            <w:vAlign w:val="center"/>
            <w:hideMark/>
          </w:tcPr>
          <w:p w14:paraId="1E674B37"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$246.43</w:t>
            </w:r>
          </w:p>
        </w:tc>
      </w:tr>
      <w:tr w:rsidR="00365CC1" w:rsidRPr="00BA3A81" w14:paraId="0B2BDCED" w14:textId="77777777" w:rsidTr="001646F6">
        <w:trPr>
          <w:trHeight w:val="330"/>
        </w:trPr>
        <w:tc>
          <w:tcPr>
            <w:tcW w:w="429" w:type="pct"/>
            <w:tcBorders>
              <w:top w:val="single" w:sz="4" w:space="0" w:color="auto"/>
              <w:left w:val="single" w:sz="8" w:space="0" w:color="auto"/>
              <w:bottom w:val="single" w:sz="4" w:space="0" w:color="auto"/>
              <w:right w:val="single" w:sz="4" w:space="0" w:color="auto"/>
            </w:tcBorders>
            <w:vAlign w:val="center"/>
          </w:tcPr>
          <w:p w14:paraId="2914AF56" w14:textId="77777777" w:rsidR="00365CC1" w:rsidRPr="00BA3A81" w:rsidRDefault="00365CC1" w:rsidP="00365CC1">
            <w:pPr>
              <w:jc w:val="center"/>
              <w:rPr>
                <w:rFonts w:ascii="Arial Narrow" w:eastAsia="Times New Roman" w:hAnsi="Arial Narrow" w:cs="Calibri"/>
                <w:color w:val="000000"/>
                <w:sz w:val="20"/>
                <w:szCs w:val="20"/>
              </w:rPr>
            </w:pPr>
            <w:r>
              <w:rPr>
                <w:rFonts w:ascii="Arial Narrow" w:eastAsia="Times New Roman" w:hAnsi="Arial Narrow" w:cs="Calibri"/>
                <w:color w:val="000000"/>
                <w:sz w:val="18"/>
                <w:szCs w:val="18"/>
              </w:rPr>
              <w:t>17</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19972E11" w14:textId="77777777" w:rsidR="00365CC1" w:rsidRPr="00BA3A81" w:rsidRDefault="00365CC1" w:rsidP="00365CC1">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Whether a chemical substance is to be recycled, remanufactured, reprocessed, or reused</w:t>
            </w:r>
          </w:p>
        </w:tc>
        <w:tc>
          <w:tcPr>
            <w:tcW w:w="516" w:type="pct"/>
            <w:tcBorders>
              <w:top w:val="nil"/>
              <w:left w:val="nil"/>
              <w:bottom w:val="single" w:sz="4" w:space="0" w:color="auto"/>
              <w:right w:val="single" w:sz="4" w:space="0" w:color="auto"/>
            </w:tcBorders>
            <w:shd w:val="clear" w:color="auto" w:fill="auto"/>
            <w:vAlign w:val="center"/>
            <w:hideMark/>
          </w:tcPr>
          <w:p w14:paraId="57CF0203" w14:textId="77777777" w:rsidR="00365CC1" w:rsidRPr="00BA3A81" w:rsidRDefault="00365CC1" w:rsidP="00365CC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3B8D2400"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0.110</w:t>
            </w:r>
          </w:p>
        </w:tc>
        <w:tc>
          <w:tcPr>
            <w:tcW w:w="551" w:type="pct"/>
            <w:tcBorders>
              <w:top w:val="nil"/>
              <w:left w:val="nil"/>
              <w:bottom w:val="single" w:sz="4" w:space="0" w:color="auto"/>
              <w:right w:val="single" w:sz="4" w:space="0" w:color="auto"/>
            </w:tcBorders>
            <w:shd w:val="clear" w:color="auto" w:fill="auto"/>
            <w:noWrap/>
            <w:vAlign w:val="center"/>
            <w:hideMark/>
          </w:tcPr>
          <w:p w14:paraId="30AAF7F5"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$79.28</w:t>
            </w:r>
          </w:p>
        </w:tc>
        <w:tc>
          <w:tcPr>
            <w:tcW w:w="630" w:type="pct"/>
            <w:tcBorders>
              <w:top w:val="nil"/>
              <w:left w:val="nil"/>
              <w:bottom w:val="single" w:sz="4" w:space="0" w:color="auto"/>
              <w:right w:val="single" w:sz="8" w:space="0" w:color="auto"/>
            </w:tcBorders>
            <w:shd w:val="clear" w:color="auto" w:fill="auto"/>
            <w:noWrap/>
            <w:vAlign w:val="center"/>
            <w:hideMark/>
          </w:tcPr>
          <w:p w14:paraId="29F73152"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$8.72</w:t>
            </w:r>
          </w:p>
        </w:tc>
      </w:tr>
      <w:tr w:rsidR="00365CC1" w:rsidRPr="00BA3A81" w14:paraId="537E430A" w14:textId="77777777" w:rsidTr="001646F6">
        <w:trPr>
          <w:trHeight w:val="345"/>
        </w:trPr>
        <w:tc>
          <w:tcPr>
            <w:tcW w:w="429" w:type="pct"/>
            <w:tcBorders>
              <w:top w:val="single" w:sz="8" w:space="0" w:color="auto"/>
              <w:left w:val="single" w:sz="8" w:space="0" w:color="auto"/>
              <w:bottom w:val="single" w:sz="4" w:space="0" w:color="auto"/>
              <w:right w:val="single" w:sz="4" w:space="0" w:color="auto"/>
            </w:tcBorders>
            <w:shd w:val="clear" w:color="000000" w:fill="FFFFFF"/>
            <w:vAlign w:val="center"/>
          </w:tcPr>
          <w:p w14:paraId="2CC7242D" w14:textId="77777777" w:rsidR="00365CC1" w:rsidRDefault="00365CC1" w:rsidP="00365CC1">
            <w:pPr>
              <w:jc w:val="center"/>
              <w:rPr>
                <w:rFonts w:ascii="Arial Narrow" w:eastAsia="Times New Roman" w:hAnsi="Arial Narrow" w:cs="Calibri"/>
                <w:color w:val="000000"/>
                <w:sz w:val="20"/>
                <w:szCs w:val="20"/>
              </w:rPr>
            </w:pPr>
            <w:r>
              <w:rPr>
                <w:rFonts w:ascii="Arial Narrow" w:eastAsia="Times New Roman" w:hAnsi="Arial Narrow" w:cs="Calibri"/>
                <w:color w:val="000000"/>
                <w:sz w:val="18"/>
                <w:szCs w:val="18"/>
              </w:rPr>
              <w:t>18</w:t>
            </w:r>
          </w:p>
        </w:tc>
        <w:tc>
          <w:tcPr>
            <w:tcW w:w="2324" w:type="pct"/>
            <w:tcBorders>
              <w:top w:val="nil"/>
              <w:left w:val="single" w:sz="8" w:space="0" w:color="auto"/>
              <w:bottom w:val="single" w:sz="4" w:space="0" w:color="auto"/>
              <w:right w:val="single" w:sz="4" w:space="0" w:color="auto"/>
            </w:tcBorders>
            <w:shd w:val="clear" w:color="000000" w:fill="FFFFFF"/>
            <w:vAlign w:val="center"/>
          </w:tcPr>
          <w:p w14:paraId="6EC38F09" w14:textId="77777777" w:rsidR="00365CC1" w:rsidRPr="00BA3A81" w:rsidRDefault="00365CC1" w:rsidP="00365CC1">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 xml:space="preserve">Production Volume for each of the Years since Last Principal Reporting Year </w:t>
            </w:r>
          </w:p>
        </w:tc>
        <w:tc>
          <w:tcPr>
            <w:tcW w:w="516" w:type="pct"/>
            <w:tcBorders>
              <w:top w:val="nil"/>
              <w:left w:val="nil"/>
              <w:bottom w:val="single" w:sz="4" w:space="0" w:color="auto"/>
              <w:right w:val="single" w:sz="4" w:space="0" w:color="auto"/>
            </w:tcBorders>
            <w:shd w:val="clear" w:color="000000" w:fill="FFFFFF"/>
            <w:vAlign w:val="center"/>
          </w:tcPr>
          <w:p w14:paraId="5F53516A" w14:textId="77777777" w:rsidR="00365CC1" w:rsidRPr="00BA3A81" w:rsidRDefault="00365CC1" w:rsidP="00365CC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tcPr>
          <w:p w14:paraId="1A67472C"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3.060</w:t>
            </w:r>
          </w:p>
        </w:tc>
        <w:tc>
          <w:tcPr>
            <w:tcW w:w="551" w:type="pct"/>
            <w:tcBorders>
              <w:top w:val="nil"/>
              <w:left w:val="nil"/>
              <w:bottom w:val="single" w:sz="4" w:space="0" w:color="auto"/>
              <w:right w:val="single" w:sz="4" w:space="0" w:color="auto"/>
            </w:tcBorders>
            <w:shd w:val="clear" w:color="auto" w:fill="auto"/>
            <w:noWrap/>
            <w:vAlign w:val="center"/>
          </w:tcPr>
          <w:p w14:paraId="07221989"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$79.35</w:t>
            </w:r>
          </w:p>
        </w:tc>
        <w:tc>
          <w:tcPr>
            <w:tcW w:w="630" w:type="pct"/>
            <w:tcBorders>
              <w:top w:val="nil"/>
              <w:left w:val="nil"/>
              <w:bottom w:val="single" w:sz="4" w:space="0" w:color="auto"/>
              <w:right w:val="single" w:sz="8" w:space="0" w:color="auto"/>
            </w:tcBorders>
            <w:shd w:val="clear" w:color="auto" w:fill="auto"/>
            <w:noWrap/>
            <w:vAlign w:val="center"/>
          </w:tcPr>
          <w:p w14:paraId="423A593D"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$242.81</w:t>
            </w:r>
          </w:p>
        </w:tc>
      </w:tr>
      <w:tr w:rsidR="00365CC1" w:rsidRPr="00BA3A81" w14:paraId="3AE1FBA8" w14:textId="77777777" w:rsidTr="001646F6">
        <w:trPr>
          <w:trHeight w:val="345"/>
        </w:trPr>
        <w:tc>
          <w:tcPr>
            <w:tcW w:w="429" w:type="pct"/>
            <w:tcBorders>
              <w:top w:val="single" w:sz="8" w:space="0" w:color="auto"/>
              <w:left w:val="single" w:sz="8" w:space="0" w:color="auto"/>
              <w:bottom w:val="single" w:sz="4" w:space="0" w:color="auto"/>
              <w:right w:val="single" w:sz="4" w:space="0" w:color="auto"/>
            </w:tcBorders>
            <w:shd w:val="clear" w:color="000000" w:fill="FFFFFF"/>
            <w:vAlign w:val="center"/>
          </w:tcPr>
          <w:p w14:paraId="2DDEB438" w14:textId="77777777" w:rsidR="00365CC1" w:rsidRPr="00BA3A81" w:rsidRDefault="00365CC1" w:rsidP="00365CC1">
            <w:pPr>
              <w:jc w:val="center"/>
              <w:rPr>
                <w:rFonts w:ascii="Arial Narrow" w:eastAsia="Times New Roman" w:hAnsi="Arial Narrow" w:cs="Calibri"/>
                <w:color w:val="000000"/>
                <w:sz w:val="20"/>
                <w:szCs w:val="20"/>
              </w:rPr>
            </w:pPr>
            <w:r>
              <w:rPr>
                <w:rFonts w:ascii="Arial Narrow" w:eastAsia="Times New Roman" w:hAnsi="Arial Narrow" w:cs="Calibri"/>
                <w:color w:val="000000"/>
                <w:sz w:val="18"/>
                <w:szCs w:val="18"/>
              </w:rPr>
              <w:t>19</w:t>
            </w:r>
          </w:p>
        </w:tc>
        <w:tc>
          <w:tcPr>
            <w:tcW w:w="2324" w:type="pct"/>
            <w:tcBorders>
              <w:top w:val="nil"/>
              <w:left w:val="single" w:sz="8" w:space="0" w:color="auto"/>
              <w:bottom w:val="single" w:sz="4" w:space="0" w:color="auto"/>
              <w:right w:val="single" w:sz="4" w:space="0" w:color="auto"/>
            </w:tcBorders>
            <w:shd w:val="clear" w:color="000000" w:fill="FFFFFF"/>
            <w:vAlign w:val="center"/>
            <w:hideMark/>
          </w:tcPr>
          <w:p w14:paraId="53B49D29" w14:textId="77777777" w:rsidR="00365CC1" w:rsidRPr="00044368" w:rsidRDefault="00365CC1" w:rsidP="00365CC1">
            <w:pPr>
              <w:rPr>
                <w:rFonts w:ascii="Arial Narrow" w:eastAsia="Times New Roman" w:hAnsi="Arial Narrow" w:cs="Calibri"/>
                <w:color w:val="000000"/>
                <w:sz w:val="20"/>
                <w:szCs w:val="20"/>
                <w:lang w:val="fr-FR"/>
              </w:rPr>
            </w:pPr>
            <w:r w:rsidRPr="00044368">
              <w:rPr>
                <w:rFonts w:ascii="Arial Narrow" w:eastAsia="Times New Roman" w:hAnsi="Arial Narrow" w:cs="Calibri"/>
                <w:color w:val="000000"/>
                <w:sz w:val="20"/>
                <w:szCs w:val="20"/>
                <w:lang w:val="fr-FR"/>
              </w:rPr>
              <w:t>Non-Chem ID CBI Substantiation (Part II)</w:t>
            </w:r>
          </w:p>
        </w:tc>
        <w:tc>
          <w:tcPr>
            <w:tcW w:w="516" w:type="pct"/>
            <w:tcBorders>
              <w:top w:val="nil"/>
              <w:left w:val="nil"/>
              <w:bottom w:val="single" w:sz="4" w:space="0" w:color="auto"/>
              <w:right w:val="single" w:sz="4" w:space="0" w:color="auto"/>
            </w:tcBorders>
            <w:shd w:val="clear" w:color="000000" w:fill="FFFFFF"/>
            <w:vAlign w:val="center"/>
            <w:hideMark/>
          </w:tcPr>
          <w:p w14:paraId="52FE1F69" w14:textId="77777777" w:rsidR="00365CC1" w:rsidRPr="00BA3A81" w:rsidRDefault="00365CC1" w:rsidP="00365CC1">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7A07E019"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w:t>
            </w:r>
            <w:r>
              <w:rPr>
                <w:rFonts w:ascii="Arial Narrow" w:eastAsia="Times New Roman" w:hAnsi="Arial Narrow" w:cs="Calibri"/>
                <w:color w:val="000000"/>
                <w:sz w:val="20"/>
                <w:szCs w:val="20"/>
              </w:rPr>
              <w:t>5</w:t>
            </w:r>
            <w:r w:rsidRPr="00BA3A81">
              <w:rPr>
                <w:rFonts w:ascii="Arial Narrow" w:eastAsia="Times New Roman" w:hAnsi="Arial Narrow" w:cs="Calibri"/>
                <w:color w:val="000000"/>
                <w:sz w:val="20"/>
                <w:szCs w:val="20"/>
              </w:rPr>
              <w:t>6</w:t>
            </w:r>
            <w:r>
              <w:rPr>
                <w:rFonts w:ascii="Arial Narrow" w:eastAsia="Times New Roman" w:hAnsi="Arial Narrow" w:cs="Calibri"/>
                <w:color w:val="000000"/>
                <w:sz w:val="20"/>
                <w:szCs w:val="20"/>
              </w:rPr>
              <w:t>2</w:t>
            </w:r>
          </w:p>
        </w:tc>
        <w:tc>
          <w:tcPr>
            <w:tcW w:w="551" w:type="pct"/>
            <w:tcBorders>
              <w:top w:val="nil"/>
              <w:left w:val="nil"/>
              <w:bottom w:val="single" w:sz="4" w:space="0" w:color="auto"/>
              <w:right w:val="single" w:sz="4" w:space="0" w:color="auto"/>
            </w:tcBorders>
            <w:shd w:val="clear" w:color="auto" w:fill="auto"/>
            <w:noWrap/>
            <w:vAlign w:val="center"/>
            <w:hideMark/>
          </w:tcPr>
          <w:p w14:paraId="1B2D20EF"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w:t>
            </w:r>
            <w:r w:rsidR="00836D83">
              <w:rPr>
                <w:rFonts w:ascii="Arial Narrow" w:eastAsia="Times New Roman" w:hAnsi="Arial Narrow" w:cs="Calibri"/>
                <w:color w:val="000000"/>
                <w:sz w:val="20"/>
                <w:szCs w:val="20"/>
              </w:rPr>
              <w:t>7</w:t>
            </w:r>
            <w:r w:rsidRPr="00BA3A81">
              <w:rPr>
                <w:rFonts w:ascii="Arial Narrow" w:eastAsia="Times New Roman" w:hAnsi="Arial Narrow" w:cs="Calibri"/>
                <w:color w:val="000000"/>
                <w:sz w:val="20"/>
                <w:szCs w:val="20"/>
              </w:rPr>
              <w:t>3</w:t>
            </w:r>
          </w:p>
        </w:tc>
        <w:tc>
          <w:tcPr>
            <w:tcW w:w="630" w:type="pct"/>
            <w:tcBorders>
              <w:top w:val="nil"/>
              <w:left w:val="nil"/>
              <w:bottom w:val="single" w:sz="4" w:space="0" w:color="auto"/>
              <w:right w:val="single" w:sz="8" w:space="0" w:color="auto"/>
            </w:tcBorders>
            <w:shd w:val="clear" w:color="auto" w:fill="auto"/>
            <w:noWrap/>
            <w:vAlign w:val="center"/>
            <w:hideMark/>
          </w:tcPr>
          <w:p w14:paraId="2D55426C" w14:textId="77777777" w:rsidR="00365CC1" w:rsidRPr="00BA3A81" w:rsidRDefault="00365CC1" w:rsidP="00365CC1">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44</w:t>
            </w:r>
            <w:r w:rsidRPr="00BA3A81">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81</w:t>
            </w:r>
          </w:p>
        </w:tc>
      </w:tr>
      <w:tr w:rsidR="00290E29" w:rsidRPr="00BA3A81" w14:paraId="35241EE6" w14:textId="77777777" w:rsidTr="00C0632D">
        <w:trPr>
          <w:trHeight w:val="296"/>
        </w:trPr>
        <w:tc>
          <w:tcPr>
            <w:tcW w:w="429" w:type="pct"/>
            <w:tcBorders>
              <w:top w:val="single" w:sz="8" w:space="0" w:color="auto"/>
              <w:left w:val="single" w:sz="8" w:space="0" w:color="auto"/>
              <w:bottom w:val="single" w:sz="8" w:space="0" w:color="auto"/>
              <w:right w:val="single" w:sz="8" w:space="0" w:color="auto"/>
            </w:tcBorders>
            <w:shd w:val="clear" w:color="auto" w:fill="D9D9D9"/>
            <w:vAlign w:val="center"/>
          </w:tcPr>
          <w:p w14:paraId="0A802E62" w14:textId="77777777" w:rsidR="00290E29" w:rsidRPr="00BA3A81" w:rsidRDefault="00290E29" w:rsidP="00C0632D">
            <w:pPr>
              <w:keepNext/>
              <w:jc w:val="center"/>
              <w:rPr>
                <w:rFonts w:ascii="Arial Narrow" w:eastAsia="Times New Roman" w:hAnsi="Arial Narrow" w:cs="Calibri"/>
                <w:b/>
                <w:bCs/>
                <w:i/>
                <w:iCs/>
                <w:color w:val="000000"/>
                <w:sz w:val="20"/>
                <w:szCs w:val="20"/>
              </w:rPr>
            </w:pPr>
          </w:p>
        </w:tc>
        <w:tc>
          <w:tcPr>
            <w:tcW w:w="4571" w:type="pct"/>
            <w:gridSpan w:val="5"/>
            <w:tcBorders>
              <w:top w:val="single" w:sz="8" w:space="0" w:color="auto"/>
              <w:left w:val="single" w:sz="8" w:space="0" w:color="auto"/>
              <w:bottom w:val="single" w:sz="8" w:space="0" w:color="auto"/>
              <w:right w:val="single" w:sz="8" w:space="0" w:color="auto"/>
            </w:tcBorders>
            <w:shd w:val="clear" w:color="auto" w:fill="D9D9D9"/>
            <w:vAlign w:val="center"/>
            <w:hideMark/>
          </w:tcPr>
          <w:p w14:paraId="72800A9D" w14:textId="77777777" w:rsidR="00290E29" w:rsidRPr="00BA3A81" w:rsidRDefault="00290E29" w:rsidP="00290E29">
            <w:pPr>
              <w:jc w:val="center"/>
              <w:rPr>
                <w:rFonts w:ascii="Arial Narrow" w:eastAsia="Times New Roman" w:hAnsi="Arial Narrow" w:cs="Calibri"/>
                <w:color w:val="000000"/>
                <w:sz w:val="20"/>
                <w:szCs w:val="20"/>
              </w:rPr>
            </w:pPr>
            <w:r w:rsidRPr="00BA3A81">
              <w:rPr>
                <w:rFonts w:ascii="Arial Narrow" w:eastAsia="Times New Roman" w:hAnsi="Arial Narrow" w:cs="Calibri"/>
                <w:b/>
                <w:bCs/>
                <w:i/>
                <w:iCs/>
                <w:color w:val="000000"/>
                <w:sz w:val="20"/>
                <w:szCs w:val="20"/>
              </w:rPr>
              <w:t>Part III Processing and Use Information</w:t>
            </w:r>
          </w:p>
        </w:tc>
      </w:tr>
      <w:tr w:rsidR="00290E29" w:rsidRPr="00E23CDC" w14:paraId="2083DFB4" w14:textId="77777777" w:rsidTr="00C0632D">
        <w:trPr>
          <w:trHeight w:val="345"/>
        </w:trPr>
        <w:tc>
          <w:tcPr>
            <w:tcW w:w="429" w:type="pct"/>
            <w:tcBorders>
              <w:top w:val="single" w:sz="8" w:space="0" w:color="auto"/>
              <w:left w:val="single" w:sz="8" w:space="0" w:color="auto"/>
              <w:bottom w:val="single" w:sz="4" w:space="0" w:color="auto"/>
              <w:right w:val="single" w:sz="8" w:space="0" w:color="auto"/>
            </w:tcBorders>
            <w:shd w:val="clear" w:color="auto" w:fill="F2F2F2"/>
            <w:vAlign w:val="center"/>
          </w:tcPr>
          <w:p w14:paraId="45C22CC1" w14:textId="77777777" w:rsidR="00290E29" w:rsidRPr="00E23CDC" w:rsidRDefault="00290E29" w:rsidP="00C0632D">
            <w:pPr>
              <w:keepNext/>
              <w:jc w:val="center"/>
              <w:rPr>
                <w:rFonts w:ascii="Arial Narrow" w:eastAsia="Times New Roman" w:hAnsi="Arial Narrow" w:cs="Calibri"/>
                <w:i/>
                <w:color w:val="000000"/>
                <w:sz w:val="20"/>
                <w:szCs w:val="20"/>
              </w:rPr>
            </w:pPr>
          </w:p>
        </w:tc>
        <w:tc>
          <w:tcPr>
            <w:tcW w:w="4571" w:type="pct"/>
            <w:gridSpan w:val="5"/>
            <w:tcBorders>
              <w:top w:val="single" w:sz="8" w:space="0" w:color="auto"/>
              <w:left w:val="single" w:sz="8" w:space="0" w:color="auto"/>
              <w:bottom w:val="single" w:sz="4" w:space="0" w:color="auto"/>
              <w:right w:val="single" w:sz="8" w:space="0" w:color="auto"/>
            </w:tcBorders>
            <w:shd w:val="clear" w:color="auto" w:fill="F2F2F2"/>
            <w:vAlign w:val="center"/>
            <w:hideMark/>
          </w:tcPr>
          <w:p w14:paraId="453BC1BA" w14:textId="77777777" w:rsidR="00290E29" w:rsidRPr="00E23CDC" w:rsidRDefault="00290E29" w:rsidP="00290E29">
            <w:pPr>
              <w:rPr>
                <w:rFonts w:ascii="Arial Narrow" w:eastAsia="Times New Roman" w:hAnsi="Arial Narrow" w:cs="Calibri"/>
                <w:i/>
                <w:color w:val="000000"/>
                <w:sz w:val="20"/>
                <w:szCs w:val="20"/>
              </w:rPr>
            </w:pPr>
            <w:r w:rsidRPr="00E23CDC">
              <w:rPr>
                <w:rFonts w:ascii="Arial Narrow" w:eastAsia="Times New Roman" w:hAnsi="Arial Narrow" w:cs="Calibri"/>
                <w:i/>
                <w:color w:val="000000"/>
                <w:sz w:val="20"/>
                <w:szCs w:val="20"/>
              </w:rPr>
              <w:t>Industrial Processing and Use Exposure-Related Data</w:t>
            </w:r>
          </w:p>
        </w:tc>
      </w:tr>
      <w:tr w:rsidR="00290E29" w:rsidRPr="00BA3A81" w14:paraId="1BA3C4DB" w14:textId="77777777" w:rsidTr="00C0632D">
        <w:trPr>
          <w:trHeight w:val="330"/>
        </w:trPr>
        <w:tc>
          <w:tcPr>
            <w:tcW w:w="429" w:type="pct"/>
            <w:tcBorders>
              <w:top w:val="nil"/>
              <w:left w:val="single" w:sz="8" w:space="0" w:color="auto"/>
              <w:bottom w:val="single" w:sz="4" w:space="0" w:color="auto"/>
              <w:right w:val="single" w:sz="4" w:space="0" w:color="auto"/>
            </w:tcBorders>
            <w:vAlign w:val="center"/>
          </w:tcPr>
          <w:p w14:paraId="7E29BBC7" w14:textId="77777777" w:rsidR="00365CC1" w:rsidRPr="00BA3A81" w:rsidRDefault="00290E29">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w:t>
            </w:r>
            <w:r w:rsidR="00365CC1">
              <w:rPr>
                <w:rFonts w:ascii="Arial Narrow" w:eastAsia="Times New Roman" w:hAnsi="Arial Narrow" w:cs="Calibri"/>
                <w:color w:val="000000"/>
                <w:sz w:val="20"/>
                <w:szCs w:val="20"/>
              </w:rPr>
              <w:t>0</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2215B4C2" w14:textId="77777777" w:rsidR="00290E29" w:rsidRPr="00BA3A81" w:rsidRDefault="00290E29" w:rsidP="00290E29">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 xml:space="preserve">Determination of Applicability (includes </w:t>
            </w:r>
            <w:r w:rsidR="00DA3B09">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T</w:t>
            </w:r>
            <w:r w:rsidRPr="00BA3A81">
              <w:rPr>
                <w:rFonts w:ascii="Arial Narrow" w:eastAsia="Times New Roman" w:hAnsi="Arial Narrow" w:cs="Calibri"/>
                <w:color w:val="000000"/>
                <w:sz w:val="20"/>
                <w:szCs w:val="20"/>
              </w:rPr>
              <w:t xml:space="preserve">ype of </w:t>
            </w:r>
            <w:r>
              <w:rPr>
                <w:rFonts w:ascii="Arial Narrow" w:eastAsia="Times New Roman" w:hAnsi="Arial Narrow" w:cs="Calibri"/>
                <w:color w:val="000000"/>
                <w:sz w:val="20"/>
                <w:szCs w:val="20"/>
              </w:rPr>
              <w:t>P</w:t>
            </w:r>
            <w:r w:rsidRPr="00BA3A81">
              <w:rPr>
                <w:rFonts w:ascii="Arial Narrow" w:eastAsia="Times New Roman" w:hAnsi="Arial Narrow" w:cs="Calibri"/>
                <w:color w:val="000000"/>
                <w:sz w:val="20"/>
                <w:szCs w:val="20"/>
              </w:rPr>
              <w:t xml:space="preserve">rocess or </w:t>
            </w:r>
            <w:r>
              <w:rPr>
                <w:rFonts w:ascii="Arial Narrow" w:eastAsia="Times New Roman" w:hAnsi="Arial Narrow" w:cs="Calibri"/>
                <w:color w:val="000000"/>
                <w:sz w:val="20"/>
                <w:szCs w:val="20"/>
              </w:rPr>
              <w:t>U</w:t>
            </w:r>
            <w:r w:rsidRPr="00BA3A81">
              <w:rPr>
                <w:rFonts w:ascii="Arial Narrow" w:eastAsia="Times New Roman" w:hAnsi="Arial Narrow" w:cs="Calibri"/>
                <w:color w:val="000000"/>
                <w:sz w:val="20"/>
                <w:szCs w:val="20"/>
              </w:rPr>
              <w:t>se</w:t>
            </w:r>
            <w:r w:rsidR="00DA3B09">
              <w:rPr>
                <w:rFonts w:ascii="Arial Narrow" w:eastAsia="Times New Roman" w:hAnsi="Arial Narrow" w:cs="Calibri"/>
                <w:color w:val="000000"/>
                <w:sz w:val="20"/>
                <w:szCs w:val="20"/>
              </w:rPr>
              <w:t>”</w:t>
            </w:r>
            <w:r w:rsidRPr="00BA3A81">
              <w:rPr>
                <w:rFonts w:ascii="Arial Narrow" w:eastAsia="Times New Roman" w:hAnsi="Arial Narrow" w:cs="Calibri"/>
                <w:color w:val="000000"/>
                <w:sz w:val="20"/>
                <w:szCs w:val="20"/>
              </w:rPr>
              <w:t>)</w:t>
            </w:r>
          </w:p>
        </w:tc>
        <w:tc>
          <w:tcPr>
            <w:tcW w:w="516" w:type="pct"/>
            <w:tcBorders>
              <w:top w:val="nil"/>
              <w:left w:val="nil"/>
              <w:bottom w:val="single" w:sz="4" w:space="0" w:color="auto"/>
              <w:right w:val="single" w:sz="4" w:space="0" w:color="auto"/>
            </w:tcBorders>
            <w:shd w:val="clear" w:color="auto" w:fill="auto"/>
            <w:vAlign w:val="center"/>
            <w:hideMark/>
          </w:tcPr>
          <w:p w14:paraId="35C44CDF" w14:textId="77777777" w:rsidR="00290E29" w:rsidRPr="00BA3A81" w:rsidRDefault="00290E29" w:rsidP="00290E29">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46C5CB0C"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0.811</w:t>
            </w:r>
          </w:p>
        </w:tc>
        <w:tc>
          <w:tcPr>
            <w:tcW w:w="551" w:type="pct"/>
            <w:tcBorders>
              <w:top w:val="nil"/>
              <w:left w:val="nil"/>
              <w:bottom w:val="single" w:sz="4" w:space="0" w:color="auto"/>
              <w:right w:val="single" w:sz="4" w:space="0" w:color="auto"/>
            </w:tcBorders>
            <w:shd w:val="clear" w:color="auto" w:fill="auto"/>
            <w:noWrap/>
            <w:vAlign w:val="center"/>
            <w:hideMark/>
          </w:tcPr>
          <w:p w14:paraId="2D0B6281"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$79.47</w:t>
            </w:r>
          </w:p>
        </w:tc>
        <w:tc>
          <w:tcPr>
            <w:tcW w:w="630" w:type="pct"/>
            <w:tcBorders>
              <w:top w:val="single" w:sz="4" w:space="0" w:color="auto"/>
              <w:left w:val="nil"/>
              <w:bottom w:val="single" w:sz="4" w:space="0" w:color="auto"/>
              <w:right w:val="single" w:sz="8" w:space="0" w:color="auto"/>
            </w:tcBorders>
            <w:shd w:val="clear" w:color="auto" w:fill="auto"/>
            <w:noWrap/>
            <w:vAlign w:val="center"/>
            <w:hideMark/>
          </w:tcPr>
          <w:p w14:paraId="28CEABDB"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$64.4</w:t>
            </w:r>
            <w:r w:rsidR="001B1C0B">
              <w:rPr>
                <w:rFonts w:ascii="Arial Narrow" w:eastAsia="Times New Roman" w:hAnsi="Arial Narrow" w:cs="Calibri"/>
                <w:color w:val="000000"/>
                <w:sz w:val="20"/>
                <w:szCs w:val="20"/>
              </w:rPr>
              <w:t>5</w:t>
            </w:r>
          </w:p>
        </w:tc>
      </w:tr>
      <w:tr w:rsidR="00290E29" w:rsidRPr="00BA3A81" w14:paraId="637AF09D" w14:textId="77777777" w:rsidTr="00C0632D">
        <w:trPr>
          <w:trHeight w:val="330"/>
        </w:trPr>
        <w:tc>
          <w:tcPr>
            <w:tcW w:w="429" w:type="pct"/>
            <w:tcBorders>
              <w:top w:val="nil"/>
              <w:left w:val="single" w:sz="8" w:space="0" w:color="auto"/>
              <w:bottom w:val="single" w:sz="4" w:space="0" w:color="auto"/>
              <w:right w:val="single" w:sz="4" w:space="0" w:color="auto"/>
            </w:tcBorders>
            <w:vAlign w:val="center"/>
          </w:tcPr>
          <w:p w14:paraId="74C3C64B" w14:textId="77777777" w:rsidR="00290E29" w:rsidRPr="00BA3A81" w:rsidRDefault="00290E29" w:rsidP="00290E29">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w:t>
            </w:r>
            <w:r w:rsidR="00365CC1">
              <w:rPr>
                <w:rFonts w:ascii="Arial Narrow" w:eastAsia="Times New Roman" w:hAnsi="Arial Narrow" w:cs="Calibri"/>
                <w:color w:val="000000"/>
                <w:sz w:val="20"/>
                <w:szCs w:val="20"/>
              </w:rPr>
              <w:t>1</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159B290E" w14:textId="77777777" w:rsidR="00290E29" w:rsidRPr="00BA3A81" w:rsidRDefault="00290E29" w:rsidP="00290E29">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Sector</w:t>
            </w:r>
          </w:p>
        </w:tc>
        <w:tc>
          <w:tcPr>
            <w:tcW w:w="516" w:type="pct"/>
            <w:tcBorders>
              <w:top w:val="nil"/>
              <w:left w:val="nil"/>
              <w:bottom w:val="single" w:sz="4" w:space="0" w:color="auto"/>
              <w:right w:val="single" w:sz="4" w:space="0" w:color="auto"/>
            </w:tcBorders>
            <w:shd w:val="clear" w:color="auto" w:fill="auto"/>
            <w:vAlign w:val="center"/>
            <w:hideMark/>
          </w:tcPr>
          <w:p w14:paraId="7C82B0A9" w14:textId="77777777" w:rsidR="00290E29" w:rsidRPr="00BA3A81" w:rsidRDefault="00290E29" w:rsidP="00290E29">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3CC03489"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0.835</w:t>
            </w:r>
          </w:p>
        </w:tc>
        <w:tc>
          <w:tcPr>
            <w:tcW w:w="551" w:type="pct"/>
            <w:tcBorders>
              <w:top w:val="nil"/>
              <w:left w:val="nil"/>
              <w:bottom w:val="single" w:sz="4" w:space="0" w:color="auto"/>
              <w:right w:val="single" w:sz="4" w:space="0" w:color="auto"/>
            </w:tcBorders>
            <w:shd w:val="clear" w:color="auto" w:fill="auto"/>
            <w:noWrap/>
            <w:vAlign w:val="center"/>
            <w:hideMark/>
          </w:tcPr>
          <w:p w14:paraId="34AC5066"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$79.85</w:t>
            </w:r>
          </w:p>
        </w:tc>
        <w:tc>
          <w:tcPr>
            <w:tcW w:w="630" w:type="pct"/>
            <w:tcBorders>
              <w:top w:val="nil"/>
              <w:left w:val="nil"/>
              <w:bottom w:val="single" w:sz="4" w:space="0" w:color="auto"/>
              <w:right w:val="single" w:sz="8" w:space="0" w:color="auto"/>
            </w:tcBorders>
            <w:shd w:val="clear" w:color="auto" w:fill="auto"/>
            <w:noWrap/>
            <w:vAlign w:val="center"/>
            <w:hideMark/>
          </w:tcPr>
          <w:p w14:paraId="519530B8"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$66.6</w:t>
            </w:r>
            <w:r w:rsidR="001B1C0B">
              <w:rPr>
                <w:rFonts w:ascii="Arial Narrow" w:eastAsia="Times New Roman" w:hAnsi="Arial Narrow" w:cs="Calibri"/>
                <w:color w:val="000000"/>
                <w:sz w:val="20"/>
                <w:szCs w:val="20"/>
              </w:rPr>
              <w:t>7</w:t>
            </w:r>
          </w:p>
        </w:tc>
      </w:tr>
      <w:tr w:rsidR="00290E29" w:rsidRPr="00BA3A81" w14:paraId="508BAD8C" w14:textId="77777777" w:rsidTr="00C0632D">
        <w:trPr>
          <w:trHeight w:val="315"/>
        </w:trPr>
        <w:tc>
          <w:tcPr>
            <w:tcW w:w="429" w:type="pct"/>
            <w:tcBorders>
              <w:top w:val="nil"/>
              <w:left w:val="single" w:sz="8" w:space="0" w:color="auto"/>
              <w:bottom w:val="single" w:sz="4" w:space="0" w:color="auto"/>
              <w:right w:val="single" w:sz="4" w:space="0" w:color="auto"/>
            </w:tcBorders>
            <w:vAlign w:val="center"/>
          </w:tcPr>
          <w:p w14:paraId="7E6D94D8" w14:textId="77777777" w:rsidR="00290E29" w:rsidRPr="00BA3A81" w:rsidRDefault="00290E29" w:rsidP="00290E29">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w:t>
            </w:r>
            <w:r w:rsidR="00365CC1">
              <w:rPr>
                <w:rFonts w:ascii="Arial Narrow" w:eastAsia="Times New Roman" w:hAnsi="Arial Narrow" w:cs="Calibri"/>
                <w:color w:val="000000"/>
                <w:sz w:val="20"/>
                <w:szCs w:val="20"/>
              </w:rPr>
              <w:t>2</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4CF40C31" w14:textId="77777777" w:rsidR="00290E29" w:rsidRPr="00BA3A81" w:rsidRDefault="00290E29" w:rsidP="00290E29">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Industrial Function Category</w:t>
            </w:r>
          </w:p>
        </w:tc>
        <w:tc>
          <w:tcPr>
            <w:tcW w:w="516" w:type="pct"/>
            <w:tcBorders>
              <w:top w:val="nil"/>
              <w:left w:val="nil"/>
              <w:bottom w:val="single" w:sz="4" w:space="0" w:color="auto"/>
              <w:right w:val="single" w:sz="4" w:space="0" w:color="auto"/>
            </w:tcBorders>
            <w:shd w:val="clear" w:color="auto" w:fill="auto"/>
            <w:vAlign w:val="center"/>
            <w:hideMark/>
          </w:tcPr>
          <w:p w14:paraId="49849907" w14:textId="77777777" w:rsidR="00290E29" w:rsidRPr="00BA3A81" w:rsidRDefault="00290E29" w:rsidP="00290E29">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7EEF8A97"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4.040</w:t>
            </w:r>
          </w:p>
        </w:tc>
        <w:tc>
          <w:tcPr>
            <w:tcW w:w="551" w:type="pct"/>
            <w:tcBorders>
              <w:top w:val="nil"/>
              <w:left w:val="nil"/>
              <w:bottom w:val="single" w:sz="4" w:space="0" w:color="auto"/>
              <w:right w:val="single" w:sz="4" w:space="0" w:color="auto"/>
            </w:tcBorders>
            <w:shd w:val="clear" w:color="auto" w:fill="auto"/>
            <w:noWrap/>
            <w:vAlign w:val="center"/>
            <w:hideMark/>
          </w:tcPr>
          <w:p w14:paraId="46A4B605"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$79.95</w:t>
            </w:r>
          </w:p>
        </w:tc>
        <w:tc>
          <w:tcPr>
            <w:tcW w:w="630" w:type="pct"/>
            <w:tcBorders>
              <w:top w:val="nil"/>
              <w:left w:val="nil"/>
              <w:bottom w:val="single" w:sz="4" w:space="0" w:color="auto"/>
              <w:right w:val="single" w:sz="8" w:space="0" w:color="auto"/>
            </w:tcBorders>
            <w:shd w:val="clear" w:color="auto" w:fill="auto"/>
            <w:noWrap/>
            <w:vAlign w:val="center"/>
            <w:hideMark/>
          </w:tcPr>
          <w:p w14:paraId="37E7BEB3"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$323.0</w:t>
            </w:r>
            <w:r w:rsidR="001B1C0B">
              <w:rPr>
                <w:rFonts w:ascii="Arial Narrow" w:eastAsia="Times New Roman" w:hAnsi="Arial Narrow" w:cs="Calibri"/>
                <w:color w:val="000000"/>
                <w:sz w:val="20"/>
                <w:szCs w:val="20"/>
              </w:rPr>
              <w:t>0</w:t>
            </w:r>
          </w:p>
        </w:tc>
      </w:tr>
      <w:tr w:rsidR="00290E29" w:rsidRPr="00BA3A81" w14:paraId="3D3F6614" w14:textId="77777777" w:rsidTr="00C0632D">
        <w:trPr>
          <w:trHeight w:val="315"/>
        </w:trPr>
        <w:tc>
          <w:tcPr>
            <w:tcW w:w="429" w:type="pct"/>
            <w:tcBorders>
              <w:top w:val="nil"/>
              <w:left w:val="single" w:sz="8" w:space="0" w:color="auto"/>
              <w:bottom w:val="single" w:sz="4" w:space="0" w:color="auto"/>
              <w:right w:val="single" w:sz="4" w:space="0" w:color="auto"/>
            </w:tcBorders>
            <w:vAlign w:val="center"/>
          </w:tcPr>
          <w:p w14:paraId="198DA981" w14:textId="77777777" w:rsidR="00290E29" w:rsidRPr="00BA3A81" w:rsidRDefault="00290E29" w:rsidP="00290E29">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w:t>
            </w:r>
            <w:r w:rsidR="00365CC1">
              <w:rPr>
                <w:rFonts w:ascii="Arial Narrow" w:eastAsia="Times New Roman" w:hAnsi="Arial Narrow" w:cs="Calibri"/>
                <w:color w:val="000000"/>
                <w:sz w:val="20"/>
                <w:szCs w:val="20"/>
              </w:rPr>
              <w:t>3</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6AAC84F0" w14:textId="77777777" w:rsidR="00290E29" w:rsidRPr="00BA3A81" w:rsidRDefault="00290E29" w:rsidP="00290E29">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Percent of Production Volume</w:t>
            </w:r>
          </w:p>
        </w:tc>
        <w:tc>
          <w:tcPr>
            <w:tcW w:w="516" w:type="pct"/>
            <w:tcBorders>
              <w:top w:val="nil"/>
              <w:left w:val="nil"/>
              <w:bottom w:val="single" w:sz="4" w:space="0" w:color="auto"/>
              <w:right w:val="single" w:sz="4" w:space="0" w:color="auto"/>
            </w:tcBorders>
            <w:shd w:val="clear" w:color="auto" w:fill="auto"/>
            <w:vAlign w:val="center"/>
            <w:hideMark/>
          </w:tcPr>
          <w:p w14:paraId="7774EB89" w14:textId="77777777" w:rsidR="00290E29" w:rsidRPr="00BA3A81" w:rsidRDefault="00290E29" w:rsidP="00290E29">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5B7CECBD"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9.532</w:t>
            </w:r>
          </w:p>
        </w:tc>
        <w:tc>
          <w:tcPr>
            <w:tcW w:w="551" w:type="pct"/>
            <w:tcBorders>
              <w:top w:val="nil"/>
              <w:left w:val="nil"/>
              <w:bottom w:val="single" w:sz="4" w:space="0" w:color="auto"/>
              <w:right w:val="single" w:sz="4" w:space="0" w:color="auto"/>
            </w:tcBorders>
            <w:shd w:val="clear" w:color="auto" w:fill="auto"/>
            <w:noWrap/>
            <w:vAlign w:val="center"/>
            <w:hideMark/>
          </w:tcPr>
          <w:p w14:paraId="6293062B"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$80.08</w:t>
            </w:r>
          </w:p>
        </w:tc>
        <w:tc>
          <w:tcPr>
            <w:tcW w:w="630" w:type="pct"/>
            <w:tcBorders>
              <w:top w:val="nil"/>
              <w:left w:val="nil"/>
              <w:bottom w:val="single" w:sz="4" w:space="0" w:color="auto"/>
              <w:right w:val="single" w:sz="8" w:space="0" w:color="auto"/>
            </w:tcBorders>
            <w:shd w:val="clear" w:color="auto" w:fill="auto"/>
            <w:noWrap/>
            <w:vAlign w:val="center"/>
            <w:hideMark/>
          </w:tcPr>
          <w:p w14:paraId="3D6094F6"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$763.</w:t>
            </w:r>
            <w:r w:rsidR="001B1C0B">
              <w:rPr>
                <w:rFonts w:ascii="Arial Narrow" w:eastAsia="Times New Roman" w:hAnsi="Arial Narrow" w:cs="Calibri"/>
                <w:color w:val="000000"/>
                <w:sz w:val="20"/>
                <w:szCs w:val="20"/>
              </w:rPr>
              <w:t>32</w:t>
            </w:r>
          </w:p>
        </w:tc>
      </w:tr>
      <w:tr w:rsidR="00290E29" w:rsidRPr="00BA3A81" w14:paraId="5F662770" w14:textId="77777777" w:rsidTr="00C0632D">
        <w:trPr>
          <w:trHeight w:val="285"/>
        </w:trPr>
        <w:tc>
          <w:tcPr>
            <w:tcW w:w="429" w:type="pct"/>
            <w:tcBorders>
              <w:top w:val="nil"/>
              <w:left w:val="single" w:sz="8" w:space="0" w:color="auto"/>
              <w:bottom w:val="single" w:sz="4" w:space="0" w:color="auto"/>
              <w:right w:val="single" w:sz="4" w:space="0" w:color="auto"/>
            </w:tcBorders>
            <w:vAlign w:val="center"/>
          </w:tcPr>
          <w:p w14:paraId="443BD665" w14:textId="77777777" w:rsidR="00290E29" w:rsidRPr="00BA3A81" w:rsidRDefault="00290E29" w:rsidP="00290E29">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w:t>
            </w:r>
            <w:r w:rsidR="00365CC1">
              <w:rPr>
                <w:rFonts w:ascii="Arial Narrow" w:eastAsia="Times New Roman" w:hAnsi="Arial Narrow" w:cs="Calibri"/>
                <w:color w:val="000000"/>
                <w:sz w:val="20"/>
                <w:szCs w:val="20"/>
              </w:rPr>
              <w:t>4</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469CC552" w14:textId="77777777" w:rsidR="00290E29" w:rsidRPr="00BA3A81" w:rsidRDefault="00290E29" w:rsidP="00290E29">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Total Number of Processing and Use Sites</w:t>
            </w:r>
          </w:p>
        </w:tc>
        <w:tc>
          <w:tcPr>
            <w:tcW w:w="516" w:type="pct"/>
            <w:tcBorders>
              <w:top w:val="nil"/>
              <w:left w:val="nil"/>
              <w:bottom w:val="single" w:sz="4" w:space="0" w:color="auto"/>
              <w:right w:val="single" w:sz="4" w:space="0" w:color="auto"/>
            </w:tcBorders>
            <w:shd w:val="clear" w:color="auto" w:fill="auto"/>
            <w:vAlign w:val="center"/>
            <w:hideMark/>
          </w:tcPr>
          <w:p w14:paraId="074AB275" w14:textId="77777777" w:rsidR="00290E29" w:rsidRPr="00BA3A81" w:rsidRDefault="00290E29" w:rsidP="00290E29">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57ACF9E9"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7.901</w:t>
            </w:r>
          </w:p>
        </w:tc>
        <w:tc>
          <w:tcPr>
            <w:tcW w:w="551" w:type="pct"/>
            <w:tcBorders>
              <w:top w:val="nil"/>
              <w:left w:val="nil"/>
              <w:bottom w:val="single" w:sz="4" w:space="0" w:color="auto"/>
              <w:right w:val="single" w:sz="4" w:space="0" w:color="auto"/>
            </w:tcBorders>
            <w:shd w:val="clear" w:color="auto" w:fill="auto"/>
            <w:noWrap/>
            <w:vAlign w:val="center"/>
            <w:hideMark/>
          </w:tcPr>
          <w:p w14:paraId="21FC3D75"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$79.75</w:t>
            </w:r>
          </w:p>
        </w:tc>
        <w:tc>
          <w:tcPr>
            <w:tcW w:w="630" w:type="pct"/>
            <w:tcBorders>
              <w:top w:val="nil"/>
              <w:left w:val="nil"/>
              <w:bottom w:val="single" w:sz="4" w:space="0" w:color="auto"/>
              <w:right w:val="single" w:sz="8" w:space="0" w:color="auto"/>
            </w:tcBorders>
            <w:shd w:val="clear" w:color="auto" w:fill="auto"/>
            <w:noWrap/>
            <w:vAlign w:val="center"/>
            <w:hideMark/>
          </w:tcPr>
          <w:p w14:paraId="64CE74DD"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$630.1</w:t>
            </w:r>
            <w:r w:rsidR="001B1C0B">
              <w:rPr>
                <w:rFonts w:ascii="Arial Narrow" w:eastAsia="Times New Roman" w:hAnsi="Arial Narrow" w:cs="Calibri"/>
                <w:color w:val="000000"/>
                <w:sz w:val="20"/>
                <w:szCs w:val="20"/>
              </w:rPr>
              <w:t>0</w:t>
            </w:r>
          </w:p>
        </w:tc>
      </w:tr>
      <w:tr w:rsidR="00290E29" w:rsidRPr="00BA3A81" w14:paraId="263D5B6C" w14:textId="77777777" w:rsidTr="00C0632D">
        <w:trPr>
          <w:trHeight w:val="390"/>
        </w:trPr>
        <w:tc>
          <w:tcPr>
            <w:tcW w:w="429" w:type="pct"/>
            <w:tcBorders>
              <w:top w:val="nil"/>
              <w:left w:val="single" w:sz="8" w:space="0" w:color="auto"/>
              <w:bottom w:val="single" w:sz="4" w:space="0" w:color="auto"/>
              <w:right w:val="single" w:sz="4" w:space="0" w:color="auto"/>
            </w:tcBorders>
            <w:vAlign w:val="center"/>
          </w:tcPr>
          <w:p w14:paraId="6D03D5C4" w14:textId="77777777" w:rsidR="00290E29" w:rsidRPr="00BA3A81" w:rsidRDefault="00290E29" w:rsidP="00290E29">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w:t>
            </w:r>
            <w:r w:rsidR="00365CC1">
              <w:rPr>
                <w:rFonts w:ascii="Arial Narrow" w:eastAsia="Times New Roman" w:hAnsi="Arial Narrow" w:cs="Calibri"/>
                <w:color w:val="000000"/>
                <w:sz w:val="20"/>
                <w:szCs w:val="20"/>
              </w:rPr>
              <w:t>5</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472CB77D" w14:textId="77777777" w:rsidR="00290E29" w:rsidRPr="00BA3A81" w:rsidRDefault="00290E29" w:rsidP="00290E29">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Total Number of Potentially Exposed Workers</w:t>
            </w:r>
          </w:p>
        </w:tc>
        <w:tc>
          <w:tcPr>
            <w:tcW w:w="516" w:type="pct"/>
            <w:tcBorders>
              <w:top w:val="nil"/>
              <w:left w:val="nil"/>
              <w:bottom w:val="single" w:sz="4" w:space="0" w:color="auto"/>
              <w:right w:val="single" w:sz="4" w:space="0" w:color="auto"/>
            </w:tcBorders>
            <w:shd w:val="clear" w:color="auto" w:fill="auto"/>
            <w:vAlign w:val="center"/>
            <w:hideMark/>
          </w:tcPr>
          <w:p w14:paraId="198816D8" w14:textId="77777777" w:rsidR="00290E29" w:rsidRPr="00BA3A81" w:rsidRDefault="00290E29" w:rsidP="00290E29">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14E12D8B"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12.012</w:t>
            </w:r>
          </w:p>
        </w:tc>
        <w:tc>
          <w:tcPr>
            <w:tcW w:w="551" w:type="pct"/>
            <w:tcBorders>
              <w:top w:val="nil"/>
              <w:left w:val="nil"/>
              <w:bottom w:val="single" w:sz="4" w:space="0" w:color="auto"/>
              <w:right w:val="single" w:sz="4" w:space="0" w:color="auto"/>
            </w:tcBorders>
            <w:shd w:val="clear" w:color="auto" w:fill="auto"/>
            <w:noWrap/>
            <w:vAlign w:val="center"/>
            <w:hideMark/>
          </w:tcPr>
          <w:p w14:paraId="1D9CF581"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$79.37</w:t>
            </w:r>
          </w:p>
        </w:tc>
        <w:tc>
          <w:tcPr>
            <w:tcW w:w="630" w:type="pct"/>
            <w:tcBorders>
              <w:top w:val="nil"/>
              <w:left w:val="nil"/>
              <w:bottom w:val="single" w:sz="4" w:space="0" w:color="auto"/>
              <w:right w:val="single" w:sz="8" w:space="0" w:color="auto"/>
            </w:tcBorders>
            <w:shd w:val="clear" w:color="auto" w:fill="auto"/>
            <w:noWrap/>
            <w:vAlign w:val="center"/>
            <w:hideMark/>
          </w:tcPr>
          <w:p w14:paraId="29831EB2"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$953.39</w:t>
            </w:r>
          </w:p>
        </w:tc>
      </w:tr>
      <w:tr w:rsidR="00290E29" w:rsidRPr="00BA3A81" w14:paraId="1C80B3E4" w14:textId="77777777" w:rsidTr="00C0632D">
        <w:trPr>
          <w:trHeight w:val="390"/>
        </w:trPr>
        <w:tc>
          <w:tcPr>
            <w:tcW w:w="429" w:type="pct"/>
            <w:tcBorders>
              <w:top w:val="nil"/>
              <w:left w:val="single" w:sz="8" w:space="0" w:color="auto"/>
              <w:bottom w:val="single" w:sz="4" w:space="0" w:color="auto"/>
              <w:right w:val="single" w:sz="8" w:space="0" w:color="auto"/>
            </w:tcBorders>
            <w:shd w:val="clear" w:color="auto" w:fill="F2F2F2"/>
            <w:vAlign w:val="center"/>
          </w:tcPr>
          <w:p w14:paraId="1AE90006" w14:textId="77777777" w:rsidR="00290E29" w:rsidRPr="00076B12" w:rsidRDefault="00290E29" w:rsidP="00290E29">
            <w:pPr>
              <w:keepNext/>
              <w:jc w:val="center"/>
              <w:rPr>
                <w:rFonts w:ascii="Arial Narrow" w:eastAsia="Times New Roman" w:hAnsi="Arial Narrow" w:cs="Calibri"/>
                <w:i/>
                <w:color w:val="000000"/>
                <w:sz w:val="20"/>
                <w:szCs w:val="20"/>
              </w:rPr>
            </w:pPr>
          </w:p>
        </w:tc>
        <w:tc>
          <w:tcPr>
            <w:tcW w:w="4571" w:type="pct"/>
            <w:gridSpan w:val="5"/>
            <w:tcBorders>
              <w:top w:val="nil"/>
              <w:left w:val="single" w:sz="8" w:space="0" w:color="auto"/>
              <w:bottom w:val="single" w:sz="4" w:space="0" w:color="auto"/>
              <w:right w:val="single" w:sz="8" w:space="0" w:color="auto"/>
            </w:tcBorders>
            <w:shd w:val="clear" w:color="auto" w:fill="F2F2F2"/>
            <w:vAlign w:val="center"/>
            <w:hideMark/>
          </w:tcPr>
          <w:p w14:paraId="77B2AC16" w14:textId="77777777" w:rsidR="00290E29" w:rsidRPr="00076B12" w:rsidRDefault="00290E29" w:rsidP="00290E29">
            <w:pPr>
              <w:keepNext/>
              <w:rPr>
                <w:rFonts w:ascii="Arial Narrow" w:eastAsia="Times New Roman" w:hAnsi="Arial Narrow" w:cs="Calibri"/>
                <w:i/>
                <w:color w:val="000000"/>
                <w:sz w:val="20"/>
                <w:szCs w:val="20"/>
              </w:rPr>
            </w:pPr>
            <w:r w:rsidRPr="00076B12">
              <w:rPr>
                <w:rFonts w:ascii="Arial Narrow" w:eastAsia="Times New Roman" w:hAnsi="Arial Narrow" w:cs="Calibri"/>
                <w:i/>
                <w:color w:val="000000"/>
                <w:sz w:val="20"/>
                <w:szCs w:val="20"/>
              </w:rPr>
              <w:t>Consumer and Commercial Use Exposure-Related Data</w:t>
            </w:r>
          </w:p>
        </w:tc>
      </w:tr>
      <w:tr w:rsidR="00290E29" w:rsidRPr="00BA3A81" w14:paraId="13B004E3" w14:textId="77777777" w:rsidTr="00C0632D">
        <w:trPr>
          <w:trHeight w:val="330"/>
        </w:trPr>
        <w:tc>
          <w:tcPr>
            <w:tcW w:w="429" w:type="pct"/>
            <w:tcBorders>
              <w:top w:val="nil"/>
              <w:left w:val="single" w:sz="8" w:space="0" w:color="auto"/>
              <w:bottom w:val="single" w:sz="4" w:space="0" w:color="auto"/>
              <w:right w:val="single" w:sz="4" w:space="0" w:color="auto"/>
            </w:tcBorders>
            <w:vAlign w:val="center"/>
          </w:tcPr>
          <w:p w14:paraId="1081FAE3" w14:textId="77777777" w:rsidR="00290E29" w:rsidRPr="00BA3A81" w:rsidRDefault="00365CC1" w:rsidP="00290E29">
            <w:pPr>
              <w:keepNext/>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26</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65828DC3" w14:textId="77777777" w:rsidR="00290E29" w:rsidRPr="00BA3A81" w:rsidRDefault="00290E29" w:rsidP="00290E29">
            <w:pPr>
              <w:keepNex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 xml:space="preserve">Determination of Applicability (includes </w:t>
            </w:r>
            <w:r w:rsidR="000B2908">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C</w:t>
            </w:r>
            <w:r w:rsidRPr="00BA3A81">
              <w:rPr>
                <w:rFonts w:ascii="Arial Narrow" w:eastAsia="Times New Roman" w:hAnsi="Arial Narrow" w:cs="Calibri"/>
                <w:color w:val="000000"/>
                <w:sz w:val="20"/>
                <w:szCs w:val="20"/>
              </w:rPr>
              <w:t>onsumer</w:t>
            </w:r>
            <w:r w:rsidR="000B2908">
              <w:rPr>
                <w:rFonts w:ascii="Arial Narrow" w:eastAsia="Times New Roman" w:hAnsi="Arial Narrow" w:cs="Calibri"/>
                <w:color w:val="000000"/>
                <w:sz w:val="20"/>
                <w:szCs w:val="20"/>
              </w:rPr>
              <w:t>,</w:t>
            </w:r>
            <w:r w:rsidRPr="00BA3A81">
              <w:rPr>
                <w:rFonts w:ascii="Arial Narrow" w:eastAsia="Times New Roman" w:hAnsi="Arial Narrow" w:cs="Calibri"/>
                <w:color w:val="000000"/>
                <w:sz w:val="20"/>
                <w:szCs w:val="20"/>
              </w:rPr>
              <w:t xml:space="preserve"> </w:t>
            </w:r>
            <w:r>
              <w:rPr>
                <w:rFonts w:ascii="Arial Narrow" w:eastAsia="Times New Roman" w:hAnsi="Arial Narrow" w:cs="Calibri"/>
                <w:color w:val="000000"/>
                <w:sz w:val="20"/>
                <w:szCs w:val="20"/>
              </w:rPr>
              <w:t>C</w:t>
            </w:r>
            <w:r w:rsidRPr="00BA3A81">
              <w:rPr>
                <w:rFonts w:ascii="Arial Narrow" w:eastAsia="Times New Roman" w:hAnsi="Arial Narrow" w:cs="Calibri"/>
                <w:color w:val="000000"/>
                <w:sz w:val="20"/>
                <w:szCs w:val="20"/>
              </w:rPr>
              <w:t>ommercial</w:t>
            </w:r>
            <w:r>
              <w:rPr>
                <w:rFonts w:ascii="Arial Narrow" w:eastAsia="Times New Roman" w:hAnsi="Arial Narrow" w:cs="Calibri"/>
                <w:color w:val="000000"/>
                <w:sz w:val="20"/>
                <w:szCs w:val="20"/>
              </w:rPr>
              <w:t xml:space="preserve"> or both</w:t>
            </w:r>
            <w:r w:rsidR="00DA3B09">
              <w:rPr>
                <w:rFonts w:ascii="Arial Narrow" w:eastAsia="Times New Roman" w:hAnsi="Arial Narrow" w:cs="Calibri"/>
                <w:color w:val="000000"/>
                <w:sz w:val="20"/>
                <w:szCs w:val="20"/>
              </w:rPr>
              <w:t>”</w:t>
            </w:r>
            <w:r w:rsidRPr="00BA3A81">
              <w:rPr>
                <w:rFonts w:ascii="Arial Narrow" w:eastAsia="Times New Roman" w:hAnsi="Arial Narrow" w:cs="Calibri"/>
                <w:color w:val="000000"/>
                <w:sz w:val="20"/>
                <w:szCs w:val="20"/>
              </w:rPr>
              <w:t>)</w:t>
            </w:r>
          </w:p>
        </w:tc>
        <w:tc>
          <w:tcPr>
            <w:tcW w:w="516" w:type="pct"/>
            <w:tcBorders>
              <w:top w:val="nil"/>
              <w:left w:val="nil"/>
              <w:bottom w:val="single" w:sz="4" w:space="0" w:color="auto"/>
              <w:right w:val="single" w:sz="4" w:space="0" w:color="auto"/>
            </w:tcBorders>
            <w:shd w:val="clear" w:color="auto" w:fill="auto"/>
            <w:vAlign w:val="center"/>
            <w:hideMark/>
          </w:tcPr>
          <w:p w14:paraId="5C854DA0" w14:textId="77777777" w:rsidR="00290E29" w:rsidRPr="00BA3A81" w:rsidRDefault="00290E29" w:rsidP="00290E29">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00FFE086"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0.741</w:t>
            </w:r>
          </w:p>
        </w:tc>
        <w:tc>
          <w:tcPr>
            <w:tcW w:w="551" w:type="pct"/>
            <w:tcBorders>
              <w:top w:val="nil"/>
              <w:left w:val="nil"/>
              <w:bottom w:val="single" w:sz="4" w:space="0" w:color="auto"/>
              <w:right w:val="single" w:sz="4" w:space="0" w:color="auto"/>
            </w:tcBorders>
            <w:shd w:val="clear" w:color="auto" w:fill="auto"/>
            <w:noWrap/>
            <w:vAlign w:val="center"/>
            <w:hideMark/>
          </w:tcPr>
          <w:p w14:paraId="73552FA5"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$79.42</w:t>
            </w:r>
          </w:p>
        </w:tc>
        <w:tc>
          <w:tcPr>
            <w:tcW w:w="630" w:type="pct"/>
            <w:tcBorders>
              <w:top w:val="single" w:sz="4" w:space="0" w:color="auto"/>
              <w:left w:val="nil"/>
              <w:bottom w:val="single" w:sz="4" w:space="0" w:color="auto"/>
              <w:right w:val="single" w:sz="8" w:space="0" w:color="auto"/>
            </w:tcBorders>
            <w:shd w:val="clear" w:color="auto" w:fill="auto"/>
            <w:noWrap/>
            <w:vAlign w:val="center"/>
            <w:hideMark/>
          </w:tcPr>
          <w:p w14:paraId="2611CB46"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$58.85</w:t>
            </w:r>
          </w:p>
        </w:tc>
      </w:tr>
      <w:tr w:rsidR="00290E29" w:rsidRPr="00BA3A81" w14:paraId="779255B8" w14:textId="77777777" w:rsidTr="00C0632D">
        <w:trPr>
          <w:trHeight w:val="375"/>
        </w:trPr>
        <w:tc>
          <w:tcPr>
            <w:tcW w:w="429" w:type="pct"/>
            <w:tcBorders>
              <w:top w:val="nil"/>
              <w:left w:val="single" w:sz="8" w:space="0" w:color="auto"/>
              <w:bottom w:val="single" w:sz="4" w:space="0" w:color="auto"/>
              <w:right w:val="single" w:sz="4" w:space="0" w:color="auto"/>
            </w:tcBorders>
            <w:vAlign w:val="center"/>
          </w:tcPr>
          <w:p w14:paraId="62B844BD" w14:textId="77777777" w:rsidR="00290E29" w:rsidRPr="00BA3A81" w:rsidRDefault="00365CC1" w:rsidP="00290E29">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27</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5232036A" w14:textId="77777777" w:rsidR="00290E29" w:rsidRPr="00BA3A81" w:rsidRDefault="00290E29" w:rsidP="00290E29">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Identification of Production Category/Use by Children</w:t>
            </w:r>
          </w:p>
        </w:tc>
        <w:tc>
          <w:tcPr>
            <w:tcW w:w="516" w:type="pct"/>
            <w:tcBorders>
              <w:top w:val="nil"/>
              <w:left w:val="nil"/>
              <w:bottom w:val="single" w:sz="4" w:space="0" w:color="auto"/>
              <w:right w:val="single" w:sz="4" w:space="0" w:color="auto"/>
            </w:tcBorders>
            <w:shd w:val="clear" w:color="auto" w:fill="auto"/>
            <w:vAlign w:val="center"/>
            <w:hideMark/>
          </w:tcPr>
          <w:p w14:paraId="63B9E3E7" w14:textId="77777777" w:rsidR="00290E29" w:rsidRPr="00BA3A81" w:rsidRDefault="00290E29" w:rsidP="00290E29">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6D69126C"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0.679</w:t>
            </w:r>
          </w:p>
        </w:tc>
        <w:tc>
          <w:tcPr>
            <w:tcW w:w="551" w:type="pct"/>
            <w:tcBorders>
              <w:top w:val="nil"/>
              <w:left w:val="nil"/>
              <w:bottom w:val="single" w:sz="4" w:space="0" w:color="auto"/>
              <w:right w:val="single" w:sz="4" w:space="0" w:color="auto"/>
            </w:tcBorders>
            <w:shd w:val="clear" w:color="auto" w:fill="auto"/>
            <w:noWrap/>
            <w:vAlign w:val="center"/>
            <w:hideMark/>
          </w:tcPr>
          <w:p w14:paraId="72F49C96"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$79.52</w:t>
            </w:r>
          </w:p>
        </w:tc>
        <w:tc>
          <w:tcPr>
            <w:tcW w:w="630" w:type="pct"/>
            <w:tcBorders>
              <w:top w:val="nil"/>
              <w:left w:val="nil"/>
              <w:bottom w:val="single" w:sz="4" w:space="0" w:color="auto"/>
              <w:right w:val="single" w:sz="8" w:space="0" w:color="auto"/>
            </w:tcBorders>
            <w:shd w:val="clear" w:color="auto" w:fill="auto"/>
            <w:noWrap/>
            <w:vAlign w:val="center"/>
            <w:hideMark/>
          </w:tcPr>
          <w:p w14:paraId="2D28214D"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$53.9</w:t>
            </w:r>
            <w:r w:rsidR="001B1C0B">
              <w:rPr>
                <w:rFonts w:ascii="Arial Narrow" w:eastAsia="Times New Roman" w:hAnsi="Arial Narrow" w:cs="Calibri"/>
                <w:color w:val="000000"/>
                <w:sz w:val="20"/>
                <w:szCs w:val="20"/>
              </w:rPr>
              <w:t>9</w:t>
            </w:r>
          </w:p>
        </w:tc>
      </w:tr>
      <w:tr w:rsidR="00290E29" w:rsidRPr="00BA3A81" w14:paraId="388EDBAA" w14:textId="77777777" w:rsidTr="00C0632D">
        <w:trPr>
          <w:trHeight w:val="360"/>
        </w:trPr>
        <w:tc>
          <w:tcPr>
            <w:tcW w:w="429" w:type="pct"/>
            <w:tcBorders>
              <w:top w:val="nil"/>
              <w:left w:val="single" w:sz="8" w:space="0" w:color="auto"/>
              <w:bottom w:val="single" w:sz="4" w:space="0" w:color="auto"/>
              <w:right w:val="single" w:sz="4" w:space="0" w:color="auto"/>
            </w:tcBorders>
            <w:vAlign w:val="center"/>
          </w:tcPr>
          <w:p w14:paraId="43EF7060" w14:textId="77777777" w:rsidR="00290E29" w:rsidRPr="00BA3A81" w:rsidRDefault="00365CC1" w:rsidP="00290E29">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28</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53B6E884" w14:textId="77777777" w:rsidR="00290E29" w:rsidRPr="00BA3A81" w:rsidRDefault="00290E29" w:rsidP="00290E29">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Percent of Production Volume</w:t>
            </w:r>
          </w:p>
        </w:tc>
        <w:tc>
          <w:tcPr>
            <w:tcW w:w="516" w:type="pct"/>
            <w:tcBorders>
              <w:top w:val="nil"/>
              <w:left w:val="nil"/>
              <w:bottom w:val="single" w:sz="4" w:space="0" w:color="auto"/>
              <w:right w:val="single" w:sz="4" w:space="0" w:color="auto"/>
            </w:tcBorders>
            <w:shd w:val="clear" w:color="auto" w:fill="auto"/>
            <w:vAlign w:val="center"/>
            <w:hideMark/>
          </w:tcPr>
          <w:p w14:paraId="2B030165" w14:textId="77777777" w:rsidR="00290E29" w:rsidRPr="00BA3A81" w:rsidRDefault="00290E29" w:rsidP="00290E29">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2D5959AF"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1.069</w:t>
            </w:r>
          </w:p>
        </w:tc>
        <w:tc>
          <w:tcPr>
            <w:tcW w:w="551" w:type="pct"/>
            <w:tcBorders>
              <w:top w:val="nil"/>
              <w:left w:val="nil"/>
              <w:bottom w:val="single" w:sz="4" w:space="0" w:color="auto"/>
              <w:right w:val="single" w:sz="4" w:space="0" w:color="auto"/>
            </w:tcBorders>
            <w:shd w:val="clear" w:color="auto" w:fill="auto"/>
            <w:noWrap/>
            <w:vAlign w:val="center"/>
            <w:hideMark/>
          </w:tcPr>
          <w:p w14:paraId="57D247D1"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$79.68</w:t>
            </w:r>
          </w:p>
        </w:tc>
        <w:tc>
          <w:tcPr>
            <w:tcW w:w="630" w:type="pct"/>
            <w:tcBorders>
              <w:top w:val="nil"/>
              <w:left w:val="nil"/>
              <w:bottom w:val="single" w:sz="4" w:space="0" w:color="auto"/>
              <w:right w:val="single" w:sz="8" w:space="0" w:color="auto"/>
            </w:tcBorders>
            <w:shd w:val="clear" w:color="auto" w:fill="auto"/>
            <w:noWrap/>
            <w:vAlign w:val="center"/>
            <w:hideMark/>
          </w:tcPr>
          <w:p w14:paraId="391A1470"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$85.1</w:t>
            </w:r>
            <w:r w:rsidR="001B1C0B">
              <w:rPr>
                <w:rFonts w:ascii="Arial Narrow" w:eastAsia="Times New Roman" w:hAnsi="Arial Narrow" w:cs="Calibri"/>
                <w:color w:val="000000"/>
                <w:sz w:val="20"/>
                <w:szCs w:val="20"/>
              </w:rPr>
              <w:t>8</w:t>
            </w:r>
          </w:p>
        </w:tc>
      </w:tr>
      <w:tr w:rsidR="00290E29" w:rsidRPr="00BA3A81" w14:paraId="756BCDA1" w14:textId="77777777" w:rsidTr="00C0632D">
        <w:trPr>
          <w:trHeight w:val="360"/>
        </w:trPr>
        <w:tc>
          <w:tcPr>
            <w:tcW w:w="429" w:type="pct"/>
            <w:tcBorders>
              <w:top w:val="nil"/>
              <w:left w:val="single" w:sz="8" w:space="0" w:color="auto"/>
              <w:bottom w:val="single" w:sz="4" w:space="0" w:color="auto"/>
              <w:right w:val="single" w:sz="4" w:space="0" w:color="auto"/>
            </w:tcBorders>
            <w:vAlign w:val="center"/>
          </w:tcPr>
          <w:p w14:paraId="5B8DCD77" w14:textId="77777777" w:rsidR="00290E29" w:rsidRPr="00BA3A81" w:rsidRDefault="00365CC1" w:rsidP="00290E29">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29</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6A103DB9" w14:textId="77777777" w:rsidR="00290E29" w:rsidRPr="00BA3A81" w:rsidRDefault="00290E29" w:rsidP="00290E29">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Maximum Concentration by Category</w:t>
            </w:r>
          </w:p>
        </w:tc>
        <w:tc>
          <w:tcPr>
            <w:tcW w:w="516" w:type="pct"/>
            <w:tcBorders>
              <w:top w:val="nil"/>
              <w:left w:val="nil"/>
              <w:bottom w:val="single" w:sz="4" w:space="0" w:color="auto"/>
              <w:right w:val="single" w:sz="4" w:space="0" w:color="auto"/>
            </w:tcBorders>
            <w:shd w:val="clear" w:color="auto" w:fill="auto"/>
            <w:vAlign w:val="center"/>
            <w:hideMark/>
          </w:tcPr>
          <w:p w14:paraId="0C1CC6D7" w14:textId="77777777" w:rsidR="00290E29" w:rsidRPr="00BA3A81" w:rsidRDefault="00290E29" w:rsidP="00290E29">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4704D768"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1.069</w:t>
            </w:r>
          </w:p>
        </w:tc>
        <w:tc>
          <w:tcPr>
            <w:tcW w:w="551" w:type="pct"/>
            <w:tcBorders>
              <w:top w:val="nil"/>
              <w:left w:val="nil"/>
              <w:bottom w:val="single" w:sz="4" w:space="0" w:color="auto"/>
              <w:right w:val="single" w:sz="4" w:space="0" w:color="auto"/>
            </w:tcBorders>
            <w:shd w:val="clear" w:color="auto" w:fill="auto"/>
            <w:noWrap/>
            <w:vAlign w:val="center"/>
            <w:hideMark/>
          </w:tcPr>
          <w:p w14:paraId="1FC89E8E"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$79.39</w:t>
            </w:r>
          </w:p>
        </w:tc>
        <w:tc>
          <w:tcPr>
            <w:tcW w:w="630" w:type="pct"/>
            <w:tcBorders>
              <w:top w:val="nil"/>
              <w:left w:val="nil"/>
              <w:bottom w:val="single" w:sz="4" w:space="0" w:color="auto"/>
              <w:right w:val="single" w:sz="8" w:space="0" w:color="auto"/>
            </w:tcBorders>
            <w:shd w:val="clear" w:color="auto" w:fill="auto"/>
            <w:noWrap/>
            <w:vAlign w:val="center"/>
            <w:hideMark/>
          </w:tcPr>
          <w:p w14:paraId="6E776508"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$84.8</w:t>
            </w:r>
            <w:r w:rsidR="001B1C0B">
              <w:rPr>
                <w:rFonts w:ascii="Arial Narrow" w:eastAsia="Times New Roman" w:hAnsi="Arial Narrow" w:cs="Calibri"/>
                <w:color w:val="000000"/>
                <w:sz w:val="20"/>
                <w:szCs w:val="20"/>
              </w:rPr>
              <w:t>7</w:t>
            </w:r>
          </w:p>
        </w:tc>
      </w:tr>
      <w:tr w:rsidR="00290E29" w:rsidRPr="00BA3A81" w14:paraId="1E4AE5D6" w14:textId="77777777" w:rsidTr="00C0632D">
        <w:trPr>
          <w:trHeight w:val="375"/>
        </w:trPr>
        <w:tc>
          <w:tcPr>
            <w:tcW w:w="429" w:type="pct"/>
            <w:tcBorders>
              <w:top w:val="nil"/>
              <w:left w:val="single" w:sz="8" w:space="0" w:color="auto"/>
              <w:bottom w:val="single" w:sz="4" w:space="0" w:color="auto"/>
              <w:right w:val="single" w:sz="4" w:space="0" w:color="auto"/>
            </w:tcBorders>
            <w:vAlign w:val="center"/>
          </w:tcPr>
          <w:p w14:paraId="43BC7EB7" w14:textId="77777777" w:rsidR="00290E29" w:rsidRPr="00BA3A81" w:rsidRDefault="00290E29" w:rsidP="00290E29">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3</w:t>
            </w:r>
            <w:r w:rsidR="00365CC1">
              <w:rPr>
                <w:rFonts w:ascii="Arial Narrow" w:eastAsia="Times New Roman" w:hAnsi="Arial Narrow" w:cs="Calibri"/>
                <w:color w:val="000000"/>
                <w:sz w:val="20"/>
                <w:szCs w:val="20"/>
              </w:rPr>
              <w:t>0</w:t>
            </w:r>
          </w:p>
        </w:tc>
        <w:tc>
          <w:tcPr>
            <w:tcW w:w="2324" w:type="pct"/>
            <w:tcBorders>
              <w:top w:val="nil"/>
              <w:left w:val="single" w:sz="8" w:space="0" w:color="auto"/>
              <w:bottom w:val="single" w:sz="4" w:space="0" w:color="auto"/>
              <w:right w:val="single" w:sz="4" w:space="0" w:color="auto"/>
            </w:tcBorders>
            <w:shd w:val="clear" w:color="auto" w:fill="auto"/>
            <w:vAlign w:val="center"/>
            <w:hideMark/>
          </w:tcPr>
          <w:p w14:paraId="31561B9B" w14:textId="77777777" w:rsidR="00290E29" w:rsidRPr="00BA3A81" w:rsidRDefault="00290E29" w:rsidP="00290E29">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Number of Commercial Workers Reasonably Likely to be exposed</w:t>
            </w:r>
          </w:p>
        </w:tc>
        <w:tc>
          <w:tcPr>
            <w:tcW w:w="516" w:type="pct"/>
            <w:tcBorders>
              <w:top w:val="nil"/>
              <w:left w:val="nil"/>
              <w:bottom w:val="single" w:sz="4" w:space="0" w:color="auto"/>
              <w:right w:val="single" w:sz="4" w:space="0" w:color="auto"/>
            </w:tcBorders>
            <w:shd w:val="clear" w:color="auto" w:fill="auto"/>
            <w:vAlign w:val="center"/>
            <w:hideMark/>
          </w:tcPr>
          <w:p w14:paraId="4F6DDD14" w14:textId="77777777" w:rsidR="00290E29" w:rsidRPr="00BA3A81" w:rsidRDefault="00290E29" w:rsidP="00290E29">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4" w:space="0" w:color="auto"/>
              <w:right w:val="single" w:sz="4" w:space="0" w:color="auto"/>
            </w:tcBorders>
            <w:shd w:val="clear" w:color="auto" w:fill="auto"/>
            <w:noWrap/>
            <w:vAlign w:val="center"/>
            <w:hideMark/>
          </w:tcPr>
          <w:p w14:paraId="44C724F4"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12.012</w:t>
            </w:r>
          </w:p>
        </w:tc>
        <w:tc>
          <w:tcPr>
            <w:tcW w:w="551" w:type="pct"/>
            <w:tcBorders>
              <w:top w:val="nil"/>
              <w:left w:val="nil"/>
              <w:bottom w:val="single" w:sz="4" w:space="0" w:color="auto"/>
              <w:right w:val="single" w:sz="4" w:space="0" w:color="auto"/>
            </w:tcBorders>
            <w:shd w:val="clear" w:color="auto" w:fill="auto"/>
            <w:noWrap/>
            <w:vAlign w:val="center"/>
            <w:hideMark/>
          </w:tcPr>
          <w:p w14:paraId="26E17291"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$79.37</w:t>
            </w:r>
          </w:p>
        </w:tc>
        <w:tc>
          <w:tcPr>
            <w:tcW w:w="630" w:type="pct"/>
            <w:tcBorders>
              <w:top w:val="nil"/>
              <w:left w:val="nil"/>
              <w:bottom w:val="single" w:sz="4" w:space="0" w:color="auto"/>
              <w:right w:val="single" w:sz="8" w:space="0" w:color="auto"/>
            </w:tcBorders>
            <w:shd w:val="clear" w:color="auto" w:fill="auto"/>
            <w:noWrap/>
            <w:vAlign w:val="center"/>
            <w:hideMark/>
          </w:tcPr>
          <w:p w14:paraId="31F4FAEB" w14:textId="77777777" w:rsidR="00290E29" w:rsidRPr="00BA3A81" w:rsidRDefault="00290E29" w:rsidP="00290E29">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$953.39</w:t>
            </w:r>
          </w:p>
        </w:tc>
      </w:tr>
      <w:tr w:rsidR="00280548" w:rsidRPr="00BA3A81" w14:paraId="7659FF16" w14:textId="77777777" w:rsidTr="00C0632D">
        <w:trPr>
          <w:trHeight w:val="330"/>
        </w:trPr>
        <w:tc>
          <w:tcPr>
            <w:tcW w:w="429" w:type="pct"/>
            <w:tcBorders>
              <w:top w:val="single" w:sz="4" w:space="0" w:color="auto"/>
              <w:left w:val="single" w:sz="8" w:space="0" w:color="auto"/>
              <w:bottom w:val="single" w:sz="8" w:space="0" w:color="auto"/>
              <w:right w:val="single" w:sz="8" w:space="0" w:color="auto"/>
            </w:tcBorders>
            <w:shd w:val="clear" w:color="000000" w:fill="FFFFFF"/>
            <w:vAlign w:val="center"/>
          </w:tcPr>
          <w:p w14:paraId="3A5FFBC3" w14:textId="77777777" w:rsidR="00280548" w:rsidRPr="00BA3A81" w:rsidRDefault="00280548" w:rsidP="00280548">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3</w:t>
            </w:r>
            <w:r w:rsidR="00365CC1">
              <w:rPr>
                <w:rFonts w:ascii="Arial Narrow" w:eastAsia="Times New Roman" w:hAnsi="Arial Narrow" w:cs="Calibri"/>
                <w:color w:val="000000"/>
                <w:sz w:val="20"/>
                <w:szCs w:val="20"/>
              </w:rPr>
              <w:t>1</w:t>
            </w:r>
          </w:p>
        </w:tc>
        <w:tc>
          <w:tcPr>
            <w:tcW w:w="2324" w:type="pct"/>
            <w:tcBorders>
              <w:top w:val="nil"/>
              <w:left w:val="single" w:sz="8" w:space="0" w:color="auto"/>
              <w:bottom w:val="nil"/>
              <w:right w:val="nil"/>
            </w:tcBorders>
            <w:shd w:val="clear" w:color="000000" w:fill="FFFFFF"/>
            <w:vAlign w:val="center"/>
            <w:hideMark/>
          </w:tcPr>
          <w:p w14:paraId="0F4A4A73" w14:textId="77777777" w:rsidR="00280548" w:rsidRPr="00044368" w:rsidRDefault="00280548" w:rsidP="00280548">
            <w:pPr>
              <w:rPr>
                <w:rFonts w:ascii="Arial Narrow" w:eastAsia="Times New Roman" w:hAnsi="Arial Narrow" w:cs="Calibri"/>
                <w:color w:val="000000"/>
                <w:sz w:val="20"/>
                <w:szCs w:val="20"/>
                <w:lang w:val="fr-FR"/>
              </w:rPr>
            </w:pPr>
            <w:r w:rsidRPr="00044368">
              <w:rPr>
                <w:rFonts w:ascii="Arial Narrow" w:eastAsia="Times New Roman" w:hAnsi="Arial Narrow" w:cs="Calibri"/>
                <w:color w:val="000000"/>
                <w:sz w:val="20"/>
                <w:szCs w:val="20"/>
                <w:lang w:val="fr-FR"/>
              </w:rPr>
              <w:t>Non-Chem ID CBI Substantiation (Part III)</w:t>
            </w:r>
          </w:p>
        </w:tc>
        <w:tc>
          <w:tcPr>
            <w:tcW w:w="516" w:type="pct"/>
            <w:tcBorders>
              <w:top w:val="nil"/>
              <w:left w:val="single" w:sz="4" w:space="0" w:color="auto"/>
              <w:bottom w:val="single" w:sz="8" w:space="0" w:color="auto"/>
              <w:right w:val="single" w:sz="4" w:space="0" w:color="auto"/>
            </w:tcBorders>
            <w:shd w:val="clear" w:color="000000" w:fill="FFFFFF"/>
            <w:vAlign w:val="center"/>
            <w:hideMark/>
          </w:tcPr>
          <w:p w14:paraId="3016D2C1" w14:textId="77777777" w:rsidR="00280548" w:rsidRPr="00BA3A81" w:rsidRDefault="00280548" w:rsidP="00280548">
            <w:pPr>
              <w:jc w:val="cente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Per chemical</w:t>
            </w:r>
          </w:p>
        </w:tc>
        <w:tc>
          <w:tcPr>
            <w:tcW w:w="550" w:type="pct"/>
            <w:tcBorders>
              <w:top w:val="nil"/>
              <w:left w:val="nil"/>
              <w:bottom w:val="single" w:sz="8" w:space="0" w:color="auto"/>
              <w:right w:val="single" w:sz="4" w:space="0" w:color="auto"/>
            </w:tcBorders>
            <w:shd w:val="clear" w:color="auto" w:fill="auto"/>
            <w:noWrap/>
            <w:vAlign w:val="center"/>
            <w:hideMark/>
          </w:tcPr>
          <w:p w14:paraId="769FF9B2" w14:textId="77777777" w:rsidR="00280548" w:rsidRPr="00BA3A81" w:rsidRDefault="00280548" w:rsidP="00280548">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0.1</w:t>
            </w:r>
            <w:r w:rsidR="0063176C">
              <w:rPr>
                <w:rFonts w:ascii="Arial Narrow" w:eastAsia="Times New Roman" w:hAnsi="Arial Narrow" w:cs="Calibri"/>
                <w:color w:val="000000"/>
                <w:sz w:val="20"/>
                <w:szCs w:val="20"/>
              </w:rPr>
              <w:t>0</w:t>
            </w:r>
            <w:r w:rsidRPr="00BA3A81">
              <w:rPr>
                <w:rFonts w:ascii="Arial Narrow" w:eastAsia="Times New Roman" w:hAnsi="Arial Narrow" w:cs="Calibri"/>
                <w:color w:val="000000"/>
                <w:sz w:val="20"/>
                <w:szCs w:val="20"/>
              </w:rPr>
              <w:t>4</w:t>
            </w:r>
          </w:p>
        </w:tc>
        <w:tc>
          <w:tcPr>
            <w:tcW w:w="551" w:type="pct"/>
            <w:tcBorders>
              <w:top w:val="nil"/>
              <w:left w:val="nil"/>
              <w:bottom w:val="single" w:sz="8" w:space="0" w:color="auto"/>
              <w:right w:val="single" w:sz="4" w:space="0" w:color="auto"/>
            </w:tcBorders>
            <w:shd w:val="clear" w:color="auto" w:fill="auto"/>
            <w:noWrap/>
            <w:vAlign w:val="center"/>
            <w:hideMark/>
          </w:tcPr>
          <w:p w14:paraId="723B1BB8" w14:textId="77777777" w:rsidR="00280548" w:rsidRPr="00BA3A81" w:rsidRDefault="00280548" w:rsidP="00280548">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$79.</w:t>
            </w:r>
            <w:r w:rsidR="001510E1">
              <w:rPr>
                <w:rFonts w:ascii="Arial Narrow" w:hAnsi="Arial Narrow" w:cs="Calibri"/>
                <w:color w:val="000000"/>
                <w:sz w:val="20"/>
                <w:szCs w:val="20"/>
              </w:rPr>
              <w:t>75</w:t>
            </w:r>
          </w:p>
        </w:tc>
        <w:tc>
          <w:tcPr>
            <w:tcW w:w="630" w:type="pct"/>
            <w:tcBorders>
              <w:top w:val="nil"/>
              <w:left w:val="nil"/>
              <w:bottom w:val="single" w:sz="4" w:space="0" w:color="auto"/>
              <w:right w:val="single" w:sz="8" w:space="0" w:color="auto"/>
            </w:tcBorders>
            <w:shd w:val="clear" w:color="auto" w:fill="auto"/>
            <w:noWrap/>
            <w:vAlign w:val="center"/>
            <w:hideMark/>
          </w:tcPr>
          <w:p w14:paraId="60A35E00" w14:textId="77777777" w:rsidR="00280548" w:rsidRPr="00CB3800" w:rsidRDefault="00280548" w:rsidP="0063176C">
            <w:pPr>
              <w:ind w:right="101"/>
              <w:jc w:val="right"/>
              <w:rPr>
                <w:rFonts w:ascii="Arial Narrow" w:hAnsi="Arial Narrow" w:cs="Calibri"/>
                <w:color w:val="000000"/>
                <w:sz w:val="20"/>
                <w:szCs w:val="20"/>
              </w:rPr>
            </w:pPr>
            <w:r>
              <w:rPr>
                <w:rFonts w:ascii="Arial Narrow" w:hAnsi="Arial Narrow" w:cs="Calibri"/>
                <w:color w:val="000000"/>
                <w:sz w:val="20"/>
                <w:szCs w:val="20"/>
              </w:rPr>
              <w:t>$</w:t>
            </w:r>
            <w:r w:rsidR="0063176C">
              <w:rPr>
                <w:rFonts w:ascii="Arial Narrow" w:hAnsi="Arial Narrow" w:cs="Calibri"/>
                <w:color w:val="000000"/>
                <w:sz w:val="20"/>
                <w:szCs w:val="20"/>
              </w:rPr>
              <w:t>8</w:t>
            </w:r>
            <w:r>
              <w:rPr>
                <w:rFonts w:ascii="Arial Narrow" w:hAnsi="Arial Narrow" w:cs="Calibri"/>
                <w:color w:val="000000"/>
                <w:sz w:val="20"/>
                <w:szCs w:val="20"/>
              </w:rPr>
              <w:t>.</w:t>
            </w:r>
            <w:r w:rsidR="0063176C">
              <w:rPr>
                <w:rFonts w:ascii="Arial Narrow" w:hAnsi="Arial Narrow" w:cs="Calibri"/>
                <w:color w:val="000000"/>
                <w:sz w:val="20"/>
                <w:szCs w:val="20"/>
              </w:rPr>
              <w:t>2</w:t>
            </w:r>
            <w:r>
              <w:rPr>
                <w:rFonts w:ascii="Arial Narrow" w:hAnsi="Arial Narrow" w:cs="Calibri"/>
                <w:color w:val="000000"/>
                <w:sz w:val="20"/>
                <w:szCs w:val="20"/>
              </w:rPr>
              <w:t>9</w:t>
            </w:r>
          </w:p>
        </w:tc>
      </w:tr>
      <w:tr w:rsidR="00365CC1" w:rsidRPr="00BA3A81" w14:paraId="4B15E962" w14:textId="77777777" w:rsidTr="001646F6">
        <w:trPr>
          <w:trHeight w:val="300"/>
        </w:trPr>
        <w:tc>
          <w:tcPr>
            <w:tcW w:w="429" w:type="pct"/>
            <w:tcBorders>
              <w:top w:val="single" w:sz="8" w:space="0" w:color="auto"/>
              <w:left w:val="single" w:sz="8" w:space="0" w:color="auto"/>
              <w:bottom w:val="single" w:sz="4" w:space="0" w:color="auto"/>
              <w:right w:val="nil"/>
            </w:tcBorders>
            <w:shd w:val="clear" w:color="auto" w:fill="E8E8E8"/>
            <w:vAlign w:val="center"/>
          </w:tcPr>
          <w:p w14:paraId="759BEE11" w14:textId="77777777" w:rsidR="00365CC1" w:rsidRPr="00BA3A81" w:rsidRDefault="00365CC1" w:rsidP="00365CC1">
            <w:pPr>
              <w:jc w:val="center"/>
              <w:rPr>
                <w:rFonts w:ascii="Arial Narrow" w:eastAsia="Times New Roman" w:hAnsi="Arial Narrow" w:cs="Calibri"/>
                <w:b/>
                <w:bCs/>
                <w:color w:val="000000"/>
                <w:sz w:val="20"/>
                <w:szCs w:val="20"/>
              </w:rPr>
            </w:pPr>
          </w:p>
        </w:tc>
        <w:tc>
          <w:tcPr>
            <w:tcW w:w="2324" w:type="pct"/>
            <w:tcBorders>
              <w:top w:val="single" w:sz="8" w:space="0" w:color="auto"/>
              <w:left w:val="single" w:sz="8" w:space="0" w:color="auto"/>
              <w:bottom w:val="single" w:sz="4" w:space="0" w:color="auto"/>
              <w:right w:val="nil"/>
            </w:tcBorders>
            <w:shd w:val="clear" w:color="auto" w:fill="E8E8E8"/>
            <w:noWrap/>
            <w:vAlign w:val="center"/>
            <w:hideMark/>
          </w:tcPr>
          <w:p w14:paraId="7A0904C6" w14:textId="77777777" w:rsidR="00365CC1" w:rsidRPr="00BA3A81" w:rsidRDefault="00365CC1" w:rsidP="00365CC1">
            <w:pPr>
              <w:rPr>
                <w:rFonts w:ascii="Arial Narrow" w:eastAsia="Times New Roman" w:hAnsi="Arial Narrow" w:cs="Calibri"/>
                <w:b/>
                <w:bCs/>
                <w:color w:val="000000"/>
                <w:sz w:val="20"/>
                <w:szCs w:val="20"/>
              </w:rPr>
            </w:pPr>
            <w:r w:rsidRPr="00BA3A81">
              <w:rPr>
                <w:rFonts w:ascii="Arial Narrow" w:eastAsia="Times New Roman" w:hAnsi="Arial Narrow" w:cs="Calibri"/>
                <w:b/>
                <w:bCs/>
                <w:color w:val="000000"/>
                <w:sz w:val="20"/>
                <w:szCs w:val="20"/>
              </w:rPr>
              <w:t>Subtotal Parts I, II, III - Single Chemical Form Completion</w:t>
            </w:r>
          </w:p>
        </w:tc>
        <w:tc>
          <w:tcPr>
            <w:tcW w:w="516" w:type="pct"/>
            <w:tcBorders>
              <w:top w:val="nil"/>
              <w:left w:val="single" w:sz="4" w:space="0" w:color="auto"/>
              <w:bottom w:val="single" w:sz="8" w:space="0" w:color="auto"/>
              <w:right w:val="single" w:sz="4" w:space="0" w:color="auto"/>
            </w:tcBorders>
            <w:shd w:val="clear" w:color="auto" w:fill="E8E8E8"/>
            <w:vAlign w:val="center"/>
            <w:hideMark/>
          </w:tcPr>
          <w:p w14:paraId="470910D9" w14:textId="77777777" w:rsidR="00365CC1" w:rsidRPr="00BA3A81" w:rsidRDefault="00365CC1" w:rsidP="00365CC1">
            <w:pPr>
              <w:jc w:val="center"/>
              <w:rPr>
                <w:rFonts w:ascii="Arial Narrow" w:eastAsia="Times New Roman" w:hAnsi="Arial Narrow" w:cs="Calibri"/>
                <w:color w:val="000000"/>
                <w:sz w:val="20"/>
                <w:szCs w:val="20"/>
              </w:rPr>
            </w:pPr>
          </w:p>
        </w:tc>
        <w:tc>
          <w:tcPr>
            <w:tcW w:w="550" w:type="pct"/>
            <w:tcBorders>
              <w:top w:val="nil"/>
              <w:left w:val="nil"/>
              <w:bottom w:val="single" w:sz="8" w:space="0" w:color="auto"/>
              <w:right w:val="single" w:sz="4" w:space="0" w:color="auto"/>
            </w:tcBorders>
            <w:shd w:val="clear" w:color="auto" w:fill="E8E8E8"/>
            <w:noWrap/>
            <w:vAlign w:val="bottom"/>
            <w:hideMark/>
          </w:tcPr>
          <w:p w14:paraId="41D8247B" w14:textId="77777777" w:rsidR="00365CC1" w:rsidRPr="00365CC1" w:rsidRDefault="00365CC1">
            <w:pPr>
              <w:ind w:right="101"/>
              <w:jc w:val="right"/>
              <w:rPr>
                <w:rFonts w:ascii="Arial Narrow" w:eastAsia="Times New Roman" w:hAnsi="Arial Narrow" w:cs="Calibri"/>
                <w:b/>
                <w:bCs/>
                <w:color w:val="000000"/>
                <w:sz w:val="20"/>
                <w:szCs w:val="20"/>
              </w:rPr>
            </w:pPr>
            <w:r w:rsidRPr="001646F6">
              <w:rPr>
                <w:rFonts w:ascii="Arial Narrow" w:hAnsi="Arial Narrow"/>
                <w:b/>
                <w:sz w:val="20"/>
                <w:szCs w:val="20"/>
              </w:rPr>
              <w:t xml:space="preserve"> 64.85 </w:t>
            </w:r>
          </w:p>
        </w:tc>
        <w:tc>
          <w:tcPr>
            <w:tcW w:w="551" w:type="pct"/>
            <w:tcBorders>
              <w:top w:val="nil"/>
              <w:left w:val="nil"/>
              <w:bottom w:val="single" w:sz="8" w:space="0" w:color="auto"/>
              <w:right w:val="single" w:sz="4" w:space="0" w:color="auto"/>
            </w:tcBorders>
            <w:shd w:val="clear" w:color="auto" w:fill="E8E8E8"/>
            <w:noWrap/>
            <w:vAlign w:val="bottom"/>
            <w:hideMark/>
          </w:tcPr>
          <w:p w14:paraId="1BFC5FBF" w14:textId="77777777" w:rsidR="00365CC1" w:rsidRPr="00365CC1" w:rsidRDefault="00365CC1">
            <w:pPr>
              <w:ind w:right="101"/>
              <w:jc w:val="right"/>
              <w:rPr>
                <w:rFonts w:ascii="Arial Narrow" w:eastAsia="Times New Roman" w:hAnsi="Arial Narrow" w:cs="Calibri"/>
                <w:b/>
                <w:bCs/>
                <w:color w:val="000000"/>
                <w:sz w:val="20"/>
                <w:szCs w:val="20"/>
              </w:rPr>
            </w:pPr>
            <w:r w:rsidRPr="001646F6">
              <w:rPr>
                <w:rFonts w:ascii="Arial Narrow" w:hAnsi="Arial Narrow"/>
                <w:b/>
                <w:sz w:val="20"/>
                <w:szCs w:val="20"/>
              </w:rPr>
              <w:t>$79.65</w:t>
            </w:r>
          </w:p>
        </w:tc>
        <w:tc>
          <w:tcPr>
            <w:tcW w:w="630" w:type="pct"/>
            <w:tcBorders>
              <w:top w:val="nil"/>
              <w:left w:val="nil"/>
              <w:bottom w:val="single" w:sz="8" w:space="0" w:color="auto"/>
              <w:right w:val="single" w:sz="8" w:space="0" w:color="auto"/>
            </w:tcBorders>
            <w:shd w:val="clear" w:color="auto" w:fill="E8E8E8"/>
            <w:noWrap/>
            <w:vAlign w:val="bottom"/>
            <w:hideMark/>
          </w:tcPr>
          <w:p w14:paraId="3BF1ECCB" w14:textId="77777777" w:rsidR="00365CC1" w:rsidRPr="00365CC1" w:rsidRDefault="00365CC1">
            <w:pPr>
              <w:ind w:right="101"/>
              <w:jc w:val="right"/>
              <w:rPr>
                <w:rFonts w:ascii="Arial Narrow" w:eastAsia="Times New Roman" w:hAnsi="Arial Narrow" w:cs="Calibri"/>
                <w:b/>
                <w:bCs/>
                <w:color w:val="000000"/>
                <w:sz w:val="20"/>
                <w:szCs w:val="20"/>
              </w:rPr>
            </w:pPr>
            <w:r w:rsidRPr="001646F6">
              <w:rPr>
                <w:rFonts w:ascii="Arial Narrow" w:hAnsi="Arial Narrow"/>
                <w:b/>
                <w:sz w:val="20"/>
                <w:szCs w:val="20"/>
              </w:rPr>
              <w:t>$5,165.16</w:t>
            </w:r>
          </w:p>
        </w:tc>
      </w:tr>
      <w:tr w:rsidR="00365CC1" w:rsidRPr="00BA3A81" w14:paraId="69774A6B" w14:textId="77777777" w:rsidTr="001646F6">
        <w:trPr>
          <w:trHeight w:val="300"/>
        </w:trPr>
        <w:tc>
          <w:tcPr>
            <w:tcW w:w="429" w:type="pct"/>
            <w:tcBorders>
              <w:top w:val="single" w:sz="8" w:space="0" w:color="auto"/>
              <w:left w:val="single" w:sz="8" w:space="0" w:color="auto"/>
              <w:bottom w:val="single" w:sz="4" w:space="0" w:color="auto"/>
              <w:right w:val="nil"/>
            </w:tcBorders>
            <w:shd w:val="clear" w:color="auto" w:fill="E8E8E8"/>
            <w:vAlign w:val="center"/>
          </w:tcPr>
          <w:p w14:paraId="22A732F0" w14:textId="77777777" w:rsidR="00365CC1" w:rsidRPr="00BA3A81" w:rsidRDefault="00365CC1" w:rsidP="00365CC1">
            <w:pPr>
              <w:jc w:val="center"/>
              <w:rPr>
                <w:rFonts w:ascii="Arial Narrow" w:eastAsia="Times New Roman" w:hAnsi="Arial Narrow" w:cs="Calibri"/>
                <w:b/>
                <w:bCs/>
                <w:color w:val="000000"/>
                <w:sz w:val="20"/>
                <w:szCs w:val="20"/>
              </w:rPr>
            </w:pPr>
          </w:p>
        </w:tc>
        <w:tc>
          <w:tcPr>
            <w:tcW w:w="2324" w:type="pct"/>
            <w:tcBorders>
              <w:top w:val="single" w:sz="8" w:space="0" w:color="auto"/>
              <w:left w:val="single" w:sz="8" w:space="0" w:color="auto"/>
              <w:bottom w:val="single" w:sz="4" w:space="0" w:color="auto"/>
              <w:right w:val="nil"/>
            </w:tcBorders>
            <w:shd w:val="clear" w:color="auto" w:fill="E8E8E8"/>
            <w:noWrap/>
            <w:vAlign w:val="center"/>
            <w:hideMark/>
          </w:tcPr>
          <w:p w14:paraId="0359EEF8" w14:textId="77777777" w:rsidR="00365CC1" w:rsidRPr="00BA3A81" w:rsidRDefault="00365CC1" w:rsidP="00365CC1">
            <w:pPr>
              <w:rPr>
                <w:rFonts w:ascii="Arial Narrow" w:eastAsia="Times New Roman" w:hAnsi="Arial Narrow" w:cs="Calibri"/>
                <w:b/>
                <w:bCs/>
                <w:color w:val="000000"/>
                <w:sz w:val="20"/>
                <w:szCs w:val="20"/>
              </w:rPr>
            </w:pPr>
            <w:r w:rsidRPr="00BA3A81">
              <w:rPr>
                <w:rFonts w:ascii="Arial Narrow" w:eastAsia="Times New Roman" w:hAnsi="Arial Narrow" w:cs="Calibri"/>
                <w:b/>
                <w:bCs/>
                <w:color w:val="000000"/>
                <w:sz w:val="20"/>
                <w:szCs w:val="20"/>
              </w:rPr>
              <w:t xml:space="preserve">Subtotal Parts I, II, III </w:t>
            </w:r>
            <w:r>
              <w:rPr>
                <w:rFonts w:ascii="Arial Narrow" w:eastAsia="Times New Roman" w:hAnsi="Arial Narrow" w:cs="Calibri"/>
                <w:b/>
                <w:bCs/>
                <w:color w:val="000000"/>
                <w:sz w:val="20"/>
                <w:szCs w:val="20"/>
              </w:rPr>
              <w:t>–</w:t>
            </w:r>
            <w:r w:rsidRPr="00BA3A81">
              <w:rPr>
                <w:rFonts w:ascii="Arial Narrow" w:eastAsia="Times New Roman" w:hAnsi="Arial Narrow" w:cs="Calibri"/>
                <w:b/>
                <w:bCs/>
                <w:color w:val="000000"/>
                <w:sz w:val="20"/>
                <w:szCs w:val="20"/>
              </w:rPr>
              <w:t xml:space="preserve"> </w:t>
            </w:r>
            <w:r>
              <w:rPr>
                <w:rFonts w:ascii="Arial Narrow" w:eastAsia="Times New Roman" w:hAnsi="Arial Narrow" w:cs="Calibri"/>
                <w:b/>
                <w:bCs/>
                <w:color w:val="000000"/>
                <w:sz w:val="20"/>
                <w:szCs w:val="20"/>
              </w:rPr>
              <w:t xml:space="preserve">Average </w:t>
            </w:r>
            <w:r w:rsidRPr="00BA3A81">
              <w:rPr>
                <w:rFonts w:ascii="Arial Narrow" w:eastAsia="Times New Roman" w:hAnsi="Arial Narrow" w:cs="Calibri"/>
                <w:b/>
                <w:bCs/>
                <w:color w:val="000000"/>
                <w:sz w:val="20"/>
                <w:szCs w:val="20"/>
              </w:rPr>
              <w:t>Multi -Chemical Form Completion (7.5 chemicals)</w:t>
            </w:r>
            <w:r w:rsidRPr="001033D4">
              <w:rPr>
                <w:rFonts w:ascii="Arial Narrow" w:eastAsia="Times New Roman" w:hAnsi="Arial Narrow" w:cs="Calibri"/>
                <w:b/>
                <w:bCs/>
                <w:color w:val="000000"/>
                <w:sz w:val="20"/>
                <w:szCs w:val="20"/>
                <w:vertAlign w:val="superscript"/>
              </w:rPr>
              <w:t>2</w:t>
            </w:r>
          </w:p>
        </w:tc>
        <w:tc>
          <w:tcPr>
            <w:tcW w:w="516" w:type="pct"/>
            <w:tcBorders>
              <w:top w:val="nil"/>
              <w:left w:val="single" w:sz="4" w:space="0" w:color="auto"/>
              <w:bottom w:val="single" w:sz="8" w:space="0" w:color="auto"/>
              <w:right w:val="single" w:sz="4" w:space="0" w:color="auto"/>
            </w:tcBorders>
            <w:shd w:val="clear" w:color="auto" w:fill="E8E8E8"/>
            <w:vAlign w:val="center"/>
            <w:hideMark/>
          </w:tcPr>
          <w:p w14:paraId="2C31420A" w14:textId="77777777" w:rsidR="00365CC1" w:rsidRPr="00BA3A81" w:rsidRDefault="00365CC1" w:rsidP="00365CC1">
            <w:pPr>
              <w:jc w:val="center"/>
              <w:rPr>
                <w:rFonts w:ascii="Arial Narrow" w:eastAsia="Times New Roman" w:hAnsi="Arial Narrow" w:cs="Calibri"/>
                <w:color w:val="000000"/>
                <w:sz w:val="20"/>
                <w:szCs w:val="20"/>
              </w:rPr>
            </w:pPr>
          </w:p>
        </w:tc>
        <w:tc>
          <w:tcPr>
            <w:tcW w:w="550" w:type="pct"/>
            <w:tcBorders>
              <w:top w:val="nil"/>
              <w:left w:val="nil"/>
              <w:bottom w:val="single" w:sz="8" w:space="0" w:color="auto"/>
              <w:right w:val="single" w:sz="4" w:space="0" w:color="auto"/>
            </w:tcBorders>
            <w:shd w:val="clear" w:color="auto" w:fill="E8E8E8"/>
            <w:noWrap/>
            <w:vAlign w:val="bottom"/>
            <w:hideMark/>
          </w:tcPr>
          <w:p w14:paraId="78BF37F8" w14:textId="77777777" w:rsidR="00365CC1" w:rsidRPr="00365CC1" w:rsidRDefault="00365CC1">
            <w:pPr>
              <w:ind w:right="101"/>
              <w:jc w:val="right"/>
              <w:rPr>
                <w:rFonts w:ascii="Arial Narrow" w:eastAsia="Times New Roman" w:hAnsi="Arial Narrow" w:cs="Calibri"/>
                <w:b/>
                <w:bCs/>
                <w:color w:val="000000"/>
                <w:sz w:val="20"/>
                <w:szCs w:val="20"/>
              </w:rPr>
            </w:pPr>
            <w:r w:rsidRPr="001646F6">
              <w:rPr>
                <w:rFonts w:ascii="Arial Narrow" w:hAnsi="Arial Narrow" w:cs="Calibri"/>
                <w:b/>
                <w:bCs/>
                <w:color w:val="000000"/>
                <w:sz w:val="20"/>
                <w:szCs w:val="20"/>
              </w:rPr>
              <w:t xml:space="preserve">    474.13 </w:t>
            </w:r>
          </w:p>
        </w:tc>
        <w:tc>
          <w:tcPr>
            <w:tcW w:w="551" w:type="pct"/>
            <w:tcBorders>
              <w:top w:val="nil"/>
              <w:left w:val="nil"/>
              <w:bottom w:val="single" w:sz="8" w:space="0" w:color="auto"/>
              <w:right w:val="single" w:sz="4" w:space="0" w:color="auto"/>
            </w:tcBorders>
            <w:shd w:val="clear" w:color="auto" w:fill="E8E8E8"/>
            <w:noWrap/>
            <w:vAlign w:val="bottom"/>
            <w:hideMark/>
          </w:tcPr>
          <w:p w14:paraId="5AD32A17" w14:textId="77777777" w:rsidR="00365CC1" w:rsidRPr="00365CC1" w:rsidRDefault="00365CC1">
            <w:pPr>
              <w:ind w:right="101"/>
              <w:jc w:val="right"/>
              <w:rPr>
                <w:rFonts w:ascii="Arial Narrow" w:eastAsia="Times New Roman" w:hAnsi="Arial Narrow" w:cs="Calibri"/>
                <w:b/>
                <w:bCs/>
                <w:color w:val="000000"/>
                <w:sz w:val="20"/>
                <w:szCs w:val="20"/>
              </w:rPr>
            </w:pPr>
            <w:r w:rsidRPr="001646F6">
              <w:rPr>
                <w:rFonts w:ascii="Arial Narrow" w:hAnsi="Arial Narrow" w:cs="Calibri"/>
                <w:b/>
                <w:bCs/>
                <w:color w:val="000000"/>
                <w:sz w:val="20"/>
                <w:szCs w:val="20"/>
              </w:rPr>
              <w:t>$79.61</w:t>
            </w:r>
          </w:p>
        </w:tc>
        <w:tc>
          <w:tcPr>
            <w:tcW w:w="630" w:type="pct"/>
            <w:tcBorders>
              <w:top w:val="nil"/>
              <w:left w:val="nil"/>
              <w:bottom w:val="single" w:sz="8" w:space="0" w:color="auto"/>
              <w:right w:val="single" w:sz="8" w:space="0" w:color="auto"/>
            </w:tcBorders>
            <w:shd w:val="clear" w:color="auto" w:fill="E8E8E8"/>
            <w:noWrap/>
            <w:vAlign w:val="bottom"/>
            <w:hideMark/>
          </w:tcPr>
          <w:p w14:paraId="72029E14" w14:textId="77777777" w:rsidR="00365CC1" w:rsidRPr="00365CC1" w:rsidRDefault="00365CC1">
            <w:pPr>
              <w:ind w:right="101"/>
              <w:jc w:val="right"/>
              <w:rPr>
                <w:rFonts w:ascii="Arial Narrow" w:eastAsia="Times New Roman" w:hAnsi="Arial Narrow" w:cs="Calibri"/>
                <w:b/>
                <w:bCs/>
                <w:color w:val="000000"/>
                <w:sz w:val="20"/>
                <w:szCs w:val="20"/>
              </w:rPr>
            </w:pPr>
            <w:r w:rsidRPr="001646F6">
              <w:rPr>
                <w:rFonts w:ascii="Arial Narrow" w:hAnsi="Arial Narrow" w:cs="Calibri"/>
                <w:b/>
                <w:bCs/>
                <w:color w:val="000000"/>
                <w:sz w:val="20"/>
                <w:szCs w:val="20"/>
              </w:rPr>
              <w:t>$37,747.52</w:t>
            </w:r>
          </w:p>
        </w:tc>
      </w:tr>
      <w:tr w:rsidR="00365CC1" w:rsidRPr="00BA3A81" w14:paraId="52CEFF04" w14:textId="77777777" w:rsidTr="001646F6">
        <w:trPr>
          <w:trHeight w:val="547"/>
        </w:trPr>
        <w:tc>
          <w:tcPr>
            <w:tcW w:w="429" w:type="pct"/>
            <w:tcBorders>
              <w:top w:val="single" w:sz="8" w:space="0" w:color="auto"/>
              <w:left w:val="single" w:sz="8" w:space="0" w:color="auto"/>
              <w:bottom w:val="single" w:sz="8" w:space="0" w:color="auto"/>
              <w:right w:val="single" w:sz="4" w:space="0" w:color="000000"/>
            </w:tcBorders>
            <w:shd w:val="clear" w:color="auto" w:fill="E8E8E8"/>
            <w:vAlign w:val="center"/>
          </w:tcPr>
          <w:p w14:paraId="206ECD1B" w14:textId="77777777" w:rsidR="00365CC1" w:rsidRPr="00BA3A81" w:rsidRDefault="00365CC1" w:rsidP="00365CC1">
            <w:pPr>
              <w:jc w:val="center"/>
              <w:rPr>
                <w:rFonts w:ascii="Arial Narrow" w:eastAsia="Times New Roman" w:hAnsi="Arial Narrow" w:cs="Calibri"/>
                <w:b/>
                <w:bCs/>
                <w:color w:val="000000"/>
                <w:sz w:val="20"/>
                <w:szCs w:val="20"/>
              </w:rPr>
            </w:pPr>
          </w:p>
        </w:tc>
        <w:tc>
          <w:tcPr>
            <w:tcW w:w="2840" w:type="pct"/>
            <w:gridSpan w:val="2"/>
            <w:tcBorders>
              <w:top w:val="single" w:sz="8" w:space="0" w:color="auto"/>
              <w:left w:val="single" w:sz="8" w:space="0" w:color="auto"/>
              <w:bottom w:val="single" w:sz="8" w:space="0" w:color="auto"/>
              <w:right w:val="single" w:sz="4" w:space="0" w:color="000000"/>
            </w:tcBorders>
            <w:shd w:val="clear" w:color="auto" w:fill="E8E8E8"/>
            <w:vAlign w:val="bottom"/>
            <w:hideMark/>
          </w:tcPr>
          <w:p w14:paraId="55BF3D4E" w14:textId="77777777" w:rsidR="00365CC1" w:rsidRPr="00BA3A81" w:rsidRDefault="00365CC1" w:rsidP="00365CC1">
            <w:pPr>
              <w:rPr>
                <w:rFonts w:ascii="Arial Narrow" w:eastAsia="Times New Roman" w:hAnsi="Arial Narrow" w:cs="Calibri"/>
                <w:b/>
                <w:bCs/>
                <w:color w:val="000000"/>
                <w:sz w:val="20"/>
                <w:szCs w:val="20"/>
              </w:rPr>
            </w:pPr>
            <w:r w:rsidRPr="00BA3A81">
              <w:rPr>
                <w:rFonts w:ascii="Arial Narrow" w:eastAsia="Times New Roman" w:hAnsi="Arial Narrow" w:cs="Calibri"/>
                <w:b/>
                <w:bCs/>
                <w:color w:val="000000"/>
                <w:sz w:val="20"/>
                <w:szCs w:val="20"/>
              </w:rPr>
              <w:t>Total</w:t>
            </w:r>
            <w:r>
              <w:rPr>
                <w:rFonts w:ascii="Arial Narrow" w:eastAsia="Times New Roman" w:hAnsi="Arial Narrow" w:cs="Calibri"/>
                <w:b/>
                <w:bCs/>
                <w:color w:val="000000"/>
                <w:sz w:val="20"/>
                <w:szCs w:val="20"/>
              </w:rPr>
              <w:t>,</w:t>
            </w:r>
            <w:r w:rsidRPr="00BA3A81">
              <w:rPr>
                <w:rFonts w:ascii="Arial Narrow" w:eastAsia="Times New Roman" w:hAnsi="Arial Narrow" w:cs="Calibri"/>
                <w:b/>
                <w:bCs/>
                <w:color w:val="000000"/>
                <w:sz w:val="20"/>
                <w:szCs w:val="20"/>
              </w:rPr>
              <w:t xml:space="preserve"> </w:t>
            </w:r>
            <w:r>
              <w:rPr>
                <w:rFonts w:ascii="Arial Narrow" w:eastAsia="Times New Roman" w:hAnsi="Arial Narrow" w:cs="Calibri"/>
                <w:b/>
                <w:bCs/>
                <w:color w:val="000000"/>
                <w:sz w:val="20"/>
                <w:szCs w:val="20"/>
              </w:rPr>
              <w:t xml:space="preserve">Average </w:t>
            </w:r>
            <w:r w:rsidRPr="00BA3A81">
              <w:rPr>
                <w:rFonts w:ascii="Arial Narrow" w:eastAsia="Times New Roman" w:hAnsi="Arial Narrow" w:cs="Calibri"/>
                <w:b/>
                <w:bCs/>
                <w:color w:val="000000"/>
                <w:sz w:val="20"/>
                <w:szCs w:val="20"/>
              </w:rPr>
              <w:t>Multi-Chemical Preparation and Submission</w:t>
            </w:r>
            <w:r>
              <w:rPr>
                <w:rFonts w:ascii="Arial Narrow" w:eastAsia="Times New Roman" w:hAnsi="Arial Narrow" w:cs="Calibri"/>
                <w:b/>
                <w:bCs/>
                <w:color w:val="000000"/>
                <w:sz w:val="20"/>
                <w:szCs w:val="20"/>
              </w:rPr>
              <w:t>—</w:t>
            </w:r>
            <w:r w:rsidRPr="00BA3A81">
              <w:rPr>
                <w:rFonts w:ascii="Arial Narrow" w:eastAsia="Times New Roman" w:hAnsi="Arial Narrow" w:cs="Calibri"/>
                <w:b/>
                <w:bCs/>
                <w:color w:val="000000"/>
                <w:sz w:val="20"/>
                <w:szCs w:val="20"/>
              </w:rPr>
              <w:t>includes rule familiarization compliance determination, form completion, and recordkeeping</w:t>
            </w:r>
          </w:p>
        </w:tc>
        <w:tc>
          <w:tcPr>
            <w:tcW w:w="550" w:type="pct"/>
            <w:tcBorders>
              <w:top w:val="nil"/>
              <w:left w:val="nil"/>
              <w:bottom w:val="nil"/>
              <w:right w:val="single" w:sz="4" w:space="0" w:color="auto"/>
            </w:tcBorders>
            <w:shd w:val="clear" w:color="auto" w:fill="E8E8E8"/>
            <w:vAlign w:val="bottom"/>
            <w:hideMark/>
          </w:tcPr>
          <w:p w14:paraId="249FB187" w14:textId="77777777" w:rsidR="00365CC1" w:rsidRPr="00365CC1" w:rsidRDefault="00365CC1">
            <w:pPr>
              <w:ind w:right="101"/>
              <w:jc w:val="right"/>
              <w:rPr>
                <w:rFonts w:ascii="Arial Narrow" w:eastAsia="Times New Roman" w:hAnsi="Arial Narrow" w:cs="Calibri"/>
                <w:b/>
                <w:bCs/>
                <w:color w:val="000000"/>
                <w:sz w:val="20"/>
                <w:szCs w:val="20"/>
              </w:rPr>
            </w:pPr>
            <w:r w:rsidRPr="001646F6">
              <w:rPr>
                <w:rFonts w:ascii="Arial Narrow" w:hAnsi="Arial Narrow" w:cs="Calibri"/>
                <w:b/>
                <w:bCs/>
                <w:color w:val="000000"/>
                <w:sz w:val="20"/>
                <w:szCs w:val="20"/>
              </w:rPr>
              <w:t xml:space="preserve"> 483.63 </w:t>
            </w:r>
          </w:p>
        </w:tc>
        <w:tc>
          <w:tcPr>
            <w:tcW w:w="551" w:type="pct"/>
            <w:tcBorders>
              <w:top w:val="nil"/>
              <w:left w:val="nil"/>
              <w:bottom w:val="nil"/>
              <w:right w:val="single" w:sz="4" w:space="0" w:color="auto"/>
            </w:tcBorders>
            <w:shd w:val="clear" w:color="auto" w:fill="E8E8E8"/>
            <w:noWrap/>
            <w:vAlign w:val="bottom"/>
            <w:hideMark/>
          </w:tcPr>
          <w:p w14:paraId="1D6A59DE" w14:textId="77777777" w:rsidR="00365CC1" w:rsidRPr="00365CC1" w:rsidRDefault="00365CC1">
            <w:pPr>
              <w:ind w:right="101"/>
              <w:jc w:val="right"/>
              <w:rPr>
                <w:rFonts w:ascii="Arial Narrow" w:eastAsia="Times New Roman" w:hAnsi="Arial Narrow" w:cs="Calibri"/>
                <w:b/>
                <w:bCs/>
                <w:color w:val="000000"/>
                <w:sz w:val="20"/>
                <w:szCs w:val="20"/>
              </w:rPr>
            </w:pPr>
            <w:r w:rsidRPr="001646F6">
              <w:rPr>
                <w:rFonts w:ascii="Arial Narrow" w:hAnsi="Arial Narrow" w:cs="Calibri"/>
                <w:b/>
                <w:bCs/>
                <w:color w:val="000000"/>
                <w:sz w:val="20"/>
                <w:szCs w:val="20"/>
              </w:rPr>
              <w:t>$79.55</w:t>
            </w:r>
          </w:p>
        </w:tc>
        <w:tc>
          <w:tcPr>
            <w:tcW w:w="630" w:type="pct"/>
            <w:tcBorders>
              <w:top w:val="nil"/>
              <w:left w:val="nil"/>
              <w:bottom w:val="nil"/>
              <w:right w:val="single" w:sz="8" w:space="0" w:color="auto"/>
            </w:tcBorders>
            <w:shd w:val="clear" w:color="auto" w:fill="E8E8E8"/>
            <w:noWrap/>
            <w:vAlign w:val="bottom"/>
            <w:hideMark/>
          </w:tcPr>
          <w:p w14:paraId="14065A9D" w14:textId="77777777" w:rsidR="00365CC1" w:rsidRPr="00365CC1" w:rsidRDefault="00365CC1">
            <w:pPr>
              <w:ind w:right="101"/>
              <w:jc w:val="right"/>
              <w:rPr>
                <w:rFonts w:ascii="Arial Narrow" w:eastAsia="Times New Roman" w:hAnsi="Arial Narrow" w:cs="Calibri"/>
                <w:b/>
                <w:bCs/>
                <w:color w:val="000000"/>
                <w:sz w:val="20"/>
                <w:szCs w:val="20"/>
              </w:rPr>
            </w:pPr>
            <w:r w:rsidRPr="001646F6">
              <w:rPr>
                <w:rFonts w:ascii="Arial Narrow" w:hAnsi="Arial Narrow" w:cs="Calibri"/>
                <w:b/>
                <w:bCs/>
                <w:color w:val="000000"/>
                <w:sz w:val="20"/>
                <w:szCs w:val="20"/>
              </w:rPr>
              <w:t>$38,472.61</w:t>
            </w:r>
          </w:p>
        </w:tc>
      </w:tr>
      <w:tr w:rsidR="00A30919" w:rsidRPr="00BA3A81" w14:paraId="6746F743" w14:textId="77777777" w:rsidTr="00C0632D">
        <w:trPr>
          <w:trHeight w:val="547"/>
        </w:trPr>
        <w:tc>
          <w:tcPr>
            <w:tcW w:w="5000" w:type="pct"/>
            <w:gridSpan w:val="6"/>
            <w:tcBorders>
              <w:top w:val="single" w:sz="8" w:space="0" w:color="auto"/>
              <w:left w:val="single" w:sz="8" w:space="0" w:color="auto"/>
              <w:bottom w:val="single" w:sz="8" w:space="0" w:color="auto"/>
              <w:right w:val="single" w:sz="8" w:space="0" w:color="auto"/>
            </w:tcBorders>
            <w:shd w:val="clear" w:color="auto" w:fill="auto"/>
            <w:vAlign w:val="center"/>
          </w:tcPr>
          <w:p w14:paraId="6A1A2F51" w14:textId="77777777" w:rsidR="00A30919" w:rsidRPr="001033D4" w:rsidRDefault="00E51B16" w:rsidP="00D75488">
            <w:pPr>
              <w:pStyle w:val="Footnotetables"/>
              <w:rPr>
                <w:rFonts w:eastAsia="Times New Roman" w:cs="Calibri"/>
                <w:bCs/>
                <w:color w:val="000000"/>
                <w:szCs w:val="18"/>
              </w:rPr>
            </w:pPr>
            <w:r>
              <w:rPr>
                <w:rFonts w:eastAsia="Times New Roman" w:cs="Calibri"/>
                <w:bCs/>
                <w:color w:val="000000"/>
                <w:szCs w:val="18"/>
              </w:rPr>
              <w:t>General Notes</w:t>
            </w:r>
          </w:p>
          <w:p w14:paraId="099621BA" w14:textId="77777777" w:rsidR="00D75488" w:rsidRPr="00D75488" w:rsidRDefault="00D75488" w:rsidP="004D4DC1">
            <w:pPr>
              <w:pStyle w:val="Footnotetables"/>
              <w:numPr>
                <w:ilvl w:val="0"/>
                <w:numId w:val="26"/>
              </w:numPr>
              <w:rPr>
                <w:rFonts w:eastAsia="Times New Roman" w:cs="Calibri"/>
                <w:b/>
                <w:bCs/>
                <w:color w:val="000000"/>
                <w:sz w:val="20"/>
              </w:rPr>
            </w:pPr>
            <w:r>
              <w:rPr>
                <w:rFonts w:eastAsia="Times New Roman" w:cs="Calibri"/>
                <w:bCs/>
                <w:szCs w:val="18"/>
              </w:rPr>
              <w:t>See Table 2 for details regarding new CBI substantiation requirements and treatment of joint submissions (i.e., data from Form U Part IV).</w:t>
            </w:r>
          </w:p>
          <w:p w14:paraId="5F98943E" w14:textId="77777777" w:rsidR="00D75488" w:rsidRPr="001033D4" w:rsidRDefault="004F5039" w:rsidP="00D75488">
            <w:pPr>
              <w:pStyle w:val="Footnotetables"/>
              <w:rPr>
                <w:rFonts w:eastAsia="Times New Roman" w:cs="Calibri"/>
                <w:bCs/>
                <w:color w:val="000000"/>
                <w:szCs w:val="18"/>
              </w:rPr>
            </w:pPr>
            <w:r>
              <w:rPr>
                <w:rFonts w:eastAsia="Times New Roman" w:cs="Calibri"/>
                <w:bCs/>
                <w:color w:val="000000"/>
                <w:szCs w:val="18"/>
              </w:rPr>
              <w:t xml:space="preserve">Table </w:t>
            </w:r>
            <w:r w:rsidR="00E51B16">
              <w:rPr>
                <w:rFonts w:eastAsia="Times New Roman" w:cs="Calibri"/>
                <w:bCs/>
                <w:color w:val="000000"/>
                <w:szCs w:val="18"/>
              </w:rPr>
              <w:t>Footnotes</w:t>
            </w:r>
          </w:p>
          <w:p w14:paraId="7B7BE6C9" w14:textId="77777777" w:rsidR="00D75488" w:rsidRPr="00C902F6" w:rsidRDefault="00D75488" w:rsidP="003D0229">
            <w:pPr>
              <w:pStyle w:val="Footnotetables"/>
              <w:ind w:left="0" w:firstLine="0"/>
            </w:pPr>
            <w:r w:rsidRPr="00C902F6">
              <w:rPr>
                <w:vertAlign w:val="superscript"/>
              </w:rPr>
              <w:t>1</w:t>
            </w:r>
            <w:r w:rsidR="000F1C92">
              <w:rPr>
                <w:vertAlign w:val="superscript"/>
              </w:rPr>
              <w:t xml:space="preserve"> </w:t>
            </w:r>
            <w:r>
              <w:t>Unit burdens are pro-rated according to occur</w:t>
            </w:r>
            <w:r w:rsidR="001033D4">
              <w:t>r</w:t>
            </w:r>
            <w:r>
              <w:t xml:space="preserve">ence as measured in </w:t>
            </w:r>
            <w:r w:rsidR="007F1757">
              <w:t xml:space="preserve">2016 </w:t>
            </w:r>
            <w:r>
              <w:t>CDR (</w:t>
            </w:r>
            <w:r w:rsidR="00F0452C">
              <w:t>US EPA, 2017</w:t>
            </w:r>
            <w:r w:rsidR="0092080E">
              <w:t>c</w:t>
            </w:r>
            <w:r>
              <w:t xml:space="preserve">) for </w:t>
            </w:r>
            <w:r w:rsidRPr="00C902F6">
              <w:t>% joint submission</w:t>
            </w:r>
            <w:r>
              <w:t xml:space="preserve"> for Joint Submission Information</w:t>
            </w:r>
            <w:r w:rsidRPr="00C902F6">
              <w:t>, % CBI</w:t>
            </w:r>
            <w:r>
              <w:t xml:space="preserve"> pertaining to Chem</w:t>
            </w:r>
            <w:r w:rsidR="001033D4">
              <w:t xml:space="preserve"> </w:t>
            </w:r>
            <w:r>
              <w:t>ID, Part II and Part III CBI Substantiation, and % full reports for all of Part III.</w:t>
            </w:r>
          </w:p>
          <w:p w14:paraId="5B51AC2C" w14:textId="77777777" w:rsidR="00D75488" w:rsidRPr="00BA3A81" w:rsidRDefault="00D75488" w:rsidP="00851312">
            <w:pPr>
              <w:pStyle w:val="Footnotetables"/>
              <w:ind w:left="0" w:firstLine="0"/>
              <w:rPr>
                <w:rFonts w:eastAsia="Times New Roman" w:cs="Calibri"/>
                <w:b/>
                <w:bCs/>
                <w:color w:val="000000"/>
                <w:sz w:val="20"/>
              </w:rPr>
            </w:pPr>
            <w:r>
              <w:rPr>
                <w:vertAlign w:val="superscript"/>
              </w:rPr>
              <w:t>2</w:t>
            </w:r>
            <w:r w:rsidR="000F1C92">
              <w:rPr>
                <w:vertAlign w:val="superscript"/>
              </w:rPr>
              <w:t xml:space="preserve"> </w:t>
            </w:r>
            <w:r w:rsidRPr="00625217">
              <w:t xml:space="preserve">The average number of chemicals per site submission overall is measured at 7.5 chemicals per site, using </w:t>
            </w:r>
            <w:r w:rsidR="007F1757">
              <w:t xml:space="preserve">2016 </w:t>
            </w:r>
            <w:r w:rsidRPr="00625217">
              <w:t>CDR information (</w:t>
            </w:r>
            <w:r w:rsidR="00F0452C">
              <w:t>US EPA, 2017</w:t>
            </w:r>
            <w:r w:rsidR="0092080E">
              <w:t>c</w:t>
            </w:r>
            <w:r w:rsidRPr="00625217">
              <w:t>).</w:t>
            </w:r>
            <w:r w:rsidR="00CD5307">
              <w:t xml:space="preserve"> </w:t>
            </w:r>
            <w:r w:rsidR="007268F0">
              <w:t xml:space="preserve">Multi-chemical form completion entails performing activities of items </w:t>
            </w:r>
            <w:r w:rsidR="00D033BC">
              <w:t>4</w:t>
            </w:r>
            <w:r w:rsidR="00CE295C">
              <w:t xml:space="preserve"> through </w:t>
            </w:r>
            <w:r w:rsidR="00DD7284">
              <w:t>6</w:t>
            </w:r>
            <w:r w:rsidR="007268F0">
              <w:t xml:space="preserve"> once (per site), and activities of items </w:t>
            </w:r>
            <w:r w:rsidR="00DD7284">
              <w:t>7</w:t>
            </w:r>
            <w:r w:rsidR="00CE295C">
              <w:t xml:space="preserve"> through </w:t>
            </w:r>
            <w:r w:rsidR="00CA1FD0">
              <w:t>3</w:t>
            </w:r>
            <w:r w:rsidR="00851312">
              <w:t>1</w:t>
            </w:r>
            <w:r w:rsidR="00CA1FD0">
              <w:t xml:space="preserve"> </w:t>
            </w:r>
            <w:r w:rsidR="007268F0">
              <w:t>for 7.5 times (once per chemical).</w:t>
            </w:r>
          </w:p>
        </w:tc>
      </w:tr>
    </w:tbl>
    <w:p w14:paraId="2888B908" w14:textId="77777777" w:rsidR="00F06BA6" w:rsidRDefault="00F06BA6" w:rsidP="000F6439"/>
    <w:p w14:paraId="202F2CC5" w14:textId="77777777" w:rsidR="006567EE" w:rsidRDefault="006567EE" w:rsidP="000F6439"/>
    <w:p w14:paraId="4CD53245" w14:textId="77777777" w:rsidR="00F06BA6" w:rsidRDefault="00F06BA6" w:rsidP="000F6439">
      <w:pPr>
        <w:pStyle w:val="BodyText"/>
      </w:pPr>
      <w:r w:rsidRPr="009E313C">
        <w:t xml:space="preserve">EPA estimates the </w:t>
      </w:r>
      <w:r>
        <w:t>industry average Form U per-response cost, including recordkeeping,</w:t>
      </w:r>
      <w:r w:rsidRPr="005973A5">
        <w:t xml:space="preserve"> for </w:t>
      </w:r>
      <w:r>
        <w:t xml:space="preserve">experienced reporters at </w:t>
      </w:r>
      <w:r w:rsidRPr="00C64679">
        <w:t>$3</w:t>
      </w:r>
      <w:r w:rsidR="001C0C7E">
        <w:t xml:space="preserve">8,472.61 </w:t>
      </w:r>
      <w:r>
        <w:t>per four</w:t>
      </w:r>
      <w:r w:rsidR="00093970">
        <w:t>-</w:t>
      </w:r>
      <w:r>
        <w:t>year reporting cycle.</w:t>
      </w:r>
      <w:r w:rsidRPr="005973A5">
        <w:t xml:space="preserve"> </w:t>
      </w:r>
      <w:r>
        <w:t xml:space="preserve">For new reporters, a wage rate is applied to the hours in Table </w:t>
      </w:r>
      <w:r w:rsidR="00670462">
        <w:t>4</w:t>
      </w:r>
      <w:r>
        <w:t xml:space="preserve"> to produce the results in Table </w:t>
      </w:r>
      <w:r w:rsidR="00670462">
        <w:t>8</w:t>
      </w:r>
      <w:r>
        <w:t>.</w:t>
      </w:r>
      <w:r>
        <w:rPr>
          <w:rStyle w:val="FootnoteReference"/>
        </w:rPr>
        <w:footnoteReference w:id="8"/>
      </w:r>
      <w:r>
        <w:t xml:space="preserve"> T</w:t>
      </w:r>
      <w:r w:rsidRPr="007D1E8A">
        <w:t xml:space="preserve">he average per-response </w:t>
      </w:r>
      <w:r>
        <w:t>c</w:t>
      </w:r>
      <w:r w:rsidRPr="007D1E8A">
        <w:t xml:space="preserve">ost for </w:t>
      </w:r>
      <w:r w:rsidR="0055276B">
        <w:t>new</w:t>
      </w:r>
      <w:r w:rsidR="0055276B" w:rsidRPr="007D1E8A">
        <w:t xml:space="preserve"> </w:t>
      </w:r>
      <w:r w:rsidRPr="007D1E8A">
        <w:t xml:space="preserve">reporters </w:t>
      </w:r>
      <w:r w:rsidR="0055276B">
        <w:t xml:space="preserve">is estimated </w:t>
      </w:r>
      <w:r w:rsidRPr="007D1E8A">
        <w:t>at $5</w:t>
      </w:r>
      <w:r w:rsidR="001C0C7E">
        <w:t>0,202.34</w:t>
      </w:r>
      <w:r>
        <w:t xml:space="preserve"> </w:t>
      </w:r>
      <w:r w:rsidRPr="007D1E8A">
        <w:t>per four</w:t>
      </w:r>
      <w:r w:rsidR="00914567">
        <w:t>-</w:t>
      </w:r>
      <w:r w:rsidRPr="007D1E8A">
        <w:t>year reporting cycle.  The result</w:t>
      </w:r>
      <w:r>
        <w:t>s for experienced and new reporters</w:t>
      </w:r>
      <w:r w:rsidRPr="007D1E8A">
        <w:t xml:space="preserve"> reflect average reporting conditions </w:t>
      </w:r>
      <w:r>
        <w:t>of</w:t>
      </w:r>
      <w:r w:rsidRPr="007D1E8A">
        <w:t xml:space="preserve"> 7.5 chemicals per submission, with 22% of chemical reports </w:t>
      </w:r>
      <w:r w:rsidR="000F1C92">
        <w:t xml:space="preserve">consisting of </w:t>
      </w:r>
      <w:r w:rsidRPr="007D1E8A">
        <w:t>partial reports.</w:t>
      </w:r>
    </w:p>
    <w:tbl>
      <w:tblPr>
        <w:tblW w:w="5000" w:type="pct"/>
        <w:tblLayout w:type="fixed"/>
        <w:tblCellMar>
          <w:left w:w="115" w:type="dxa"/>
          <w:right w:w="115" w:type="dxa"/>
        </w:tblCellMar>
        <w:tblLook w:val="04A0" w:firstRow="1" w:lastRow="0" w:firstColumn="1" w:lastColumn="0" w:noHBand="0" w:noVBand="1"/>
      </w:tblPr>
      <w:tblGrid>
        <w:gridCol w:w="2818"/>
        <w:gridCol w:w="1343"/>
        <w:gridCol w:w="1554"/>
        <w:gridCol w:w="1291"/>
        <w:gridCol w:w="1291"/>
        <w:gridCol w:w="1293"/>
      </w:tblGrid>
      <w:tr w:rsidR="00BA3A81" w:rsidRPr="00BA3A81" w14:paraId="6B6C038E" w14:textId="77777777" w:rsidTr="00395A33">
        <w:trPr>
          <w:trHeight w:val="310"/>
        </w:trPr>
        <w:tc>
          <w:tcPr>
            <w:tcW w:w="5000" w:type="pct"/>
            <w:gridSpan w:val="6"/>
            <w:tcBorders>
              <w:top w:val="nil"/>
              <w:left w:val="nil"/>
              <w:bottom w:val="single" w:sz="8" w:space="0" w:color="auto"/>
              <w:right w:val="nil"/>
            </w:tcBorders>
            <w:shd w:val="clear" w:color="auto" w:fill="auto"/>
            <w:noWrap/>
            <w:vAlign w:val="center"/>
            <w:hideMark/>
          </w:tcPr>
          <w:p w14:paraId="29F65D74" w14:textId="77777777" w:rsidR="00BA3A81" w:rsidRPr="00BA3A81" w:rsidRDefault="00BA3A81" w:rsidP="00076B12">
            <w:pPr>
              <w:pStyle w:val="TableTitle"/>
            </w:pPr>
            <w:r w:rsidRPr="00BA3A81">
              <w:t>Table 8: Submission Unit Cost per Four</w:t>
            </w:r>
            <w:r w:rsidR="00D05FDA">
              <w:t>-</w:t>
            </w:r>
            <w:r w:rsidRPr="00BA3A81">
              <w:t xml:space="preserve">Year Reporting Cycle, New Reporters as Derived </w:t>
            </w:r>
            <w:r w:rsidR="00594266">
              <w:t>using the First Time Filer Factor (FTF)</w:t>
            </w:r>
          </w:p>
        </w:tc>
      </w:tr>
      <w:tr w:rsidR="00076B12" w:rsidRPr="00BA3A81" w14:paraId="65543E6E" w14:textId="77777777" w:rsidTr="00395A33">
        <w:trPr>
          <w:trHeight w:val="290"/>
        </w:trPr>
        <w:tc>
          <w:tcPr>
            <w:tcW w:w="1470" w:type="pct"/>
            <w:vMerge w:val="restart"/>
            <w:tcBorders>
              <w:top w:val="nil"/>
              <w:left w:val="single" w:sz="8" w:space="0" w:color="auto"/>
              <w:right w:val="single" w:sz="6" w:space="0" w:color="auto"/>
            </w:tcBorders>
            <w:shd w:val="clear" w:color="auto" w:fill="BFBFBF"/>
            <w:noWrap/>
            <w:vAlign w:val="bottom"/>
            <w:hideMark/>
          </w:tcPr>
          <w:p w14:paraId="29D14550" w14:textId="77777777" w:rsidR="00076B12" w:rsidRPr="00BA3A81" w:rsidRDefault="00076B12" w:rsidP="00076B12">
            <w:pPr>
              <w:keepNext/>
              <w:jc w:val="center"/>
              <w:rPr>
                <w:rFonts w:ascii="Arial Narrow" w:eastAsia="Times New Roman" w:hAnsi="Arial Narrow" w:cs="Calibri"/>
                <w:color w:val="000000"/>
                <w:sz w:val="20"/>
                <w:szCs w:val="20"/>
              </w:rPr>
            </w:pPr>
            <w:r w:rsidRPr="00BA3A81">
              <w:rPr>
                <w:rFonts w:ascii="Arial Narrow" w:eastAsia="Times New Roman" w:hAnsi="Arial Narrow" w:cs="Calibri"/>
                <w:b/>
                <w:bCs/>
                <w:color w:val="000000"/>
                <w:sz w:val="20"/>
                <w:szCs w:val="20"/>
              </w:rPr>
              <w:t>Activity</w:t>
            </w:r>
          </w:p>
        </w:tc>
        <w:tc>
          <w:tcPr>
            <w:tcW w:w="700" w:type="pct"/>
            <w:vMerge w:val="restart"/>
            <w:tcBorders>
              <w:top w:val="nil"/>
              <w:left w:val="single" w:sz="6" w:space="0" w:color="auto"/>
              <w:right w:val="nil"/>
            </w:tcBorders>
            <w:shd w:val="clear" w:color="auto" w:fill="BFBFBF"/>
            <w:noWrap/>
            <w:vAlign w:val="bottom"/>
            <w:hideMark/>
          </w:tcPr>
          <w:p w14:paraId="5C5CE919" w14:textId="77777777" w:rsidR="00076B12" w:rsidRPr="00BA3A81" w:rsidRDefault="00076B12" w:rsidP="00076B12">
            <w:pPr>
              <w:jc w:val="center"/>
              <w:rPr>
                <w:rFonts w:ascii="Arial Narrow" w:eastAsia="Times New Roman" w:hAnsi="Arial Narrow" w:cs="Calibri"/>
                <w:color w:val="000000"/>
                <w:sz w:val="20"/>
                <w:szCs w:val="20"/>
              </w:rPr>
            </w:pPr>
            <w:r w:rsidRPr="00BA3A81">
              <w:rPr>
                <w:rFonts w:ascii="Arial Narrow" w:eastAsia="Times New Roman" w:hAnsi="Arial Narrow" w:cs="Calibri"/>
                <w:b/>
                <w:bCs/>
                <w:color w:val="000000"/>
                <w:sz w:val="20"/>
                <w:szCs w:val="20"/>
              </w:rPr>
              <w:t>Average Wage Rate</w:t>
            </w:r>
          </w:p>
        </w:tc>
        <w:tc>
          <w:tcPr>
            <w:tcW w:w="1483" w:type="pct"/>
            <w:gridSpan w:val="2"/>
            <w:tcBorders>
              <w:top w:val="single" w:sz="8" w:space="0" w:color="auto"/>
              <w:left w:val="single" w:sz="8" w:space="0" w:color="auto"/>
              <w:bottom w:val="single" w:sz="4" w:space="0" w:color="auto"/>
              <w:right w:val="single" w:sz="8" w:space="0" w:color="000000"/>
            </w:tcBorders>
            <w:shd w:val="clear" w:color="auto" w:fill="BFBFBF"/>
            <w:vAlign w:val="bottom"/>
            <w:hideMark/>
          </w:tcPr>
          <w:p w14:paraId="73675885" w14:textId="77777777" w:rsidR="00076B12" w:rsidRPr="00BA3A81" w:rsidRDefault="00076B12" w:rsidP="00BA3A81">
            <w:pPr>
              <w:jc w:val="center"/>
              <w:rPr>
                <w:rFonts w:ascii="Arial Narrow" w:eastAsia="Times New Roman" w:hAnsi="Arial Narrow" w:cs="Arial"/>
                <w:b/>
                <w:bCs/>
                <w:color w:val="000000"/>
                <w:sz w:val="20"/>
                <w:szCs w:val="20"/>
              </w:rPr>
            </w:pPr>
            <w:r w:rsidRPr="00BA3A81">
              <w:rPr>
                <w:rFonts w:ascii="Arial Narrow" w:eastAsia="Times New Roman" w:hAnsi="Arial Narrow" w:cs="Arial"/>
                <w:b/>
                <w:bCs/>
                <w:color w:val="000000"/>
                <w:sz w:val="20"/>
                <w:szCs w:val="20"/>
              </w:rPr>
              <w:t>Experienced Reporters</w:t>
            </w:r>
          </w:p>
        </w:tc>
        <w:tc>
          <w:tcPr>
            <w:tcW w:w="1347" w:type="pct"/>
            <w:gridSpan w:val="2"/>
            <w:tcBorders>
              <w:top w:val="single" w:sz="8" w:space="0" w:color="auto"/>
              <w:left w:val="nil"/>
              <w:bottom w:val="single" w:sz="4" w:space="0" w:color="auto"/>
              <w:right w:val="single" w:sz="8" w:space="0" w:color="000000"/>
            </w:tcBorders>
            <w:shd w:val="clear" w:color="auto" w:fill="BFBFBF"/>
            <w:vAlign w:val="bottom"/>
            <w:hideMark/>
          </w:tcPr>
          <w:p w14:paraId="5EBBCA7E" w14:textId="77777777" w:rsidR="00076B12" w:rsidRPr="00BA3A81" w:rsidRDefault="00076B12" w:rsidP="00BA3A81">
            <w:pPr>
              <w:jc w:val="center"/>
              <w:rPr>
                <w:rFonts w:ascii="Arial Narrow" w:eastAsia="Times New Roman" w:hAnsi="Arial Narrow" w:cs="Arial"/>
                <w:b/>
                <w:bCs/>
                <w:color w:val="000000"/>
                <w:sz w:val="20"/>
                <w:szCs w:val="20"/>
              </w:rPr>
            </w:pPr>
            <w:r w:rsidRPr="00BA3A81">
              <w:rPr>
                <w:rFonts w:ascii="Arial Narrow" w:eastAsia="Times New Roman" w:hAnsi="Arial Narrow" w:cs="Arial"/>
                <w:b/>
                <w:bCs/>
                <w:color w:val="000000"/>
                <w:sz w:val="20"/>
                <w:szCs w:val="20"/>
              </w:rPr>
              <w:t>New Reporters</w:t>
            </w:r>
          </w:p>
        </w:tc>
      </w:tr>
      <w:tr w:rsidR="00076B12" w:rsidRPr="00BA3A81" w14:paraId="627995C1" w14:textId="77777777" w:rsidTr="00395A33">
        <w:trPr>
          <w:trHeight w:val="953"/>
        </w:trPr>
        <w:tc>
          <w:tcPr>
            <w:tcW w:w="1470" w:type="pct"/>
            <w:vMerge/>
            <w:tcBorders>
              <w:left w:val="single" w:sz="8" w:space="0" w:color="auto"/>
              <w:bottom w:val="single" w:sz="8" w:space="0" w:color="auto"/>
              <w:right w:val="single" w:sz="6" w:space="0" w:color="auto"/>
            </w:tcBorders>
            <w:shd w:val="clear" w:color="auto" w:fill="BFBFBF"/>
            <w:noWrap/>
            <w:vAlign w:val="bottom"/>
            <w:hideMark/>
          </w:tcPr>
          <w:p w14:paraId="6BEBE90F" w14:textId="77777777" w:rsidR="00076B12" w:rsidRPr="00BA3A81" w:rsidRDefault="00076B12" w:rsidP="00076B12">
            <w:pPr>
              <w:keepNext/>
              <w:jc w:val="center"/>
              <w:rPr>
                <w:rFonts w:ascii="Arial Narrow" w:eastAsia="Times New Roman" w:hAnsi="Arial Narrow" w:cs="Calibri"/>
                <w:b/>
                <w:bCs/>
                <w:color w:val="000000"/>
                <w:sz w:val="20"/>
                <w:szCs w:val="20"/>
              </w:rPr>
            </w:pPr>
          </w:p>
        </w:tc>
        <w:tc>
          <w:tcPr>
            <w:tcW w:w="700" w:type="pct"/>
            <w:vMerge/>
            <w:tcBorders>
              <w:left w:val="single" w:sz="6" w:space="0" w:color="auto"/>
              <w:bottom w:val="single" w:sz="8" w:space="0" w:color="auto"/>
              <w:right w:val="single" w:sz="8" w:space="0" w:color="auto"/>
            </w:tcBorders>
            <w:shd w:val="clear" w:color="auto" w:fill="BFBFBF"/>
            <w:vAlign w:val="bottom"/>
            <w:hideMark/>
          </w:tcPr>
          <w:p w14:paraId="5458E241" w14:textId="77777777" w:rsidR="00076B12" w:rsidRPr="00BA3A81" w:rsidRDefault="00076B12" w:rsidP="00076B12">
            <w:pPr>
              <w:jc w:val="center"/>
              <w:rPr>
                <w:rFonts w:ascii="Arial Narrow" w:eastAsia="Times New Roman" w:hAnsi="Arial Narrow" w:cs="Calibri"/>
                <w:b/>
                <w:bCs/>
                <w:color w:val="000000"/>
                <w:sz w:val="20"/>
                <w:szCs w:val="20"/>
              </w:rPr>
            </w:pPr>
          </w:p>
        </w:tc>
        <w:tc>
          <w:tcPr>
            <w:tcW w:w="810" w:type="pct"/>
            <w:tcBorders>
              <w:top w:val="single" w:sz="4" w:space="0" w:color="auto"/>
              <w:left w:val="nil"/>
              <w:bottom w:val="single" w:sz="8" w:space="0" w:color="auto"/>
              <w:right w:val="single" w:sz="4" w:space="0" w:color="auto"/>
            </w:tcBorders>
            <w:shd w:val="clear" w:color="auto" w:fill="BFBFBF"/>
            <w:vAlign w:val="bottom"/>
            <w:hideMark/>
          </w:tcPr>
          <w:p w14:paraId="70ECB08D" w14:textId="77777777" w:rsidR="00076B12" w:rsidRPr="00BA3A81" w:rsidRDefault="00076B12" w:rsidP="00076B12">
            <w:pPr>
              <w:jc w:val="center"/>
              <w:rPr>
                <w:rFonts w:ascii="Arial Narrow" w:eastAsia="Times New Roman" w:hAnsi="Arial Narrow" w:cs="Calibri"/>
                <w:b/>
                <w:bCs/>
                <w:color w:val="000000"/>
                <w:sz w:val="20"/>
                <w:szCs w:val="20"/>
              </w:rPr>
            </w:pPr>
            <w:r w:rsidRPr="00BA3A81">
              <w:rPr>
                <w:rFonts w:ascii="Arial Narrow" w:eastAsia="Times New Roman" w:hAnsi="Arial Narrow" w:cs="Calibri"/>
                <w:b/>
                <w:bCs/>
                <w:color w:val="000000"/>
                <w:sz w:val="20"/>
                <w:szCs w:val="20"/>
              </w:rPr>
              <w:t>Unit Burden per Submission (Hours)</w:t>
            </w:r>
          </w:p>
        </w:tc>
        <w:tc>
          <w:tcPr>
            <w:tcW w:w="673" w:type="pct"/>
            <w:tcBorders>
              <w:top w:val="single" w:sz="4" w:space="0" w:color="auto"/>
              <w:left w:val="nil"/>
              <w:bottom w:val="single" w:sz="8" w:space="0" w:color="auto"/>
              <w:right w:val="nil"/>
            </w:tcBorders>
            <w:shd w:val="clear" w:color="auto" w:fill="BFBFBF"/>
            <w:vAlign w:val="bottom"/>
            <w:hideMark/>
          </w:tcPr>
          <w:p w14:paraId="433E025D" w14:textId="77777777" w:rsidR="00076B12" w:rsidRPr="00BA3A81" w:rsidRDefault="00076B12" w:rsidP="00076B12">
            <w:pPr>
              <w:jc w:val="center"/>
              <w:rPr>
                <w:rFonts w:ascii="Arial Narrow" w:eastAsia="Times New Roman" w:hAnsi="Arial Narrow" w:cs="Calibri"/>
                <w:b/>
                <w:bCs/>
                <w:color w:val="000000"/>
                <w:sz w:val="20"/>
                <w:szCs w:val="20"/>
              </w:rPr>
            </w:pPr>
            <w:r w:rsidRPr="00BA3A81">
              <w:rPr>
                <w:rFonts w:ascii="Arial Narrow" w:eastAsia="Times New Roman" w:hAnsi="Arial Narrow" w:cs="Calibri"/>
                <w:b/>
                <w:bCs/>
                <w:color w:val="000000"/>
                <w:sz w:val="20"/>
                <w:szCs w:val="20"/>
              </w:rPr>
              <w:t>Unit Cost per Submission (2016$)</w:t>
            </w:r>
          </w:p>
        </w:tc>
        <w:tc>
          <w:tcPr>
            <w:tcW w:w="673" w:type="pct"/>
            <w:tcBorders>
              <w:top w:val="nil"/>
              <w:left w:val="single" w:sz="8" w:space="0" w:color="auto"/>
              <w:bottom w:val="single" w:sz="8" w:space="0" w:color="auto"/>
              <w:right w:val="single" w:sz="4" w:space="0" w:color="auto"/>
            </w:tcBorders>
            <w:shd w:val="clear" w:color="auto" w:fill="BFBFBF"/>
            <w:vAlign w:val="bottom"/>
            <w:hideMark/>
          </w:tcPr>
          <w:p w14:paraId="3CED8E6A" w14:textId="77777777" w:rsidR="00076B12" w:rsidRPr="00BA3A81" w:rsidRDefault="00076B12" w:rsidP="00076B12">
            <w:pPr>
              <w:jc w:val="center"/>
              <w:rPr>
                <w:rFonts w:ascii="Arial Narrow" w:eastAsia="Times New Roman" w:hAnsi="Arial Narrow" w:cs="Calibri"/>
                <w:b/>
                <w:bCs/>
                <w:color w:val="000000"/>
                <w:sz w:val="20"/>
                <w:szCs w:val="20"/>
              </w:rPr>
            </w:pPr>
            <w:r w:rsidRPr="00BA3A81">
              <w:rPr>
                <w:rFonts w:ascii="Arial Narrow" w:eastAsia="Times New Roman" w:hAnsi="Arial Narrow" w:cs="Calibri"/>
                <w:b/>
                <w:bCs/>
                <w:color w:val="000000"/>
                <w:sz w:val="20"/>
                <w:szCs w:val="20"/>
              </w:rPr>
              <w:t>Unit Burden per Submission (Hours)</w:t>
            </w:r>
          </w:p>
        </w:tc>
        <w:tc>
          <w:tcPr>
            <w:tcW w:w="674" w:type="pct"/>
            <w:tcBorders>
              <w:top w:val="nil"/>
              <w:left w:val="nil"/>
              <w:bottom w:val="single" w:sz="8" w:space="0" w:color="auto"/>
              <w:right w:val="single" w:sz="8" w:space="0" w:color="auto"/>
            </w:tcBorders>
            <w:shd w:val="clear" w:color="auto" w:fill="BFBFBF"/>
            <w:vAlign w:val="bottom"/>
            <w:hideMark/>
          </w:tcPr>
          <w:p w14:paraId="007D502E" w14:textId="77777777" w:rsidR="00076B12" w:rsidRPr="00BA3A81" w:rsidRDefault="00076B12" w:rsidP="00076B12">
            <w:pPr>
              <w:jc w:val="center"/>
              <w:rPr>
                <w:rFonts w:ascii="Arial Narrow" w:eastAsia="Times New Roman" w:hAnsi="Arial Narrow" w:cs="Calibri"/>
                <w:b/>
                <w:bCs/>
                <w:color w:val="000000"/>
                <w:sz w:val="20"/>
                <w:szCs w:val="20"/>
              </w:rPr>
            </w:pPr>
            <w:r w:rsidRPr="00BA3A81">
              <w:rPr>
                <w:rFonts w:ascii="Arial Narrow" w:eastAsia="Times New Roman" w:hAnsi="Arial Narrow" w:cs="Calibri"/>
                <w:b/>
                <w:bCs/>
                <w:color w:val="000000"/>
                <w:sz w:val="20"/>
                <w:szCs w:val="20"/>
              </w:rPr>
              <w:t>Unit Cost per Submission (2016$)</w:t>
            </w:r>
          </w:p>
        </w:tc>
      </w:tr>
      <w:tr w:rsidR="00395A33" w:rsidRPr="00BA3A81" w14:paraId="682BEB25" w14:textId="77777777" w:rsidTr="003E6367">
        <w:trPr>
          <w:trHeight w:val="290"/>
        </w:trPr>
        <w:tc>
          <w:tcPr>
            <w:tcW w:w="1470"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6D72EAEC" w14:textId="77777777" w:rsidR="00BA3A81" w:rsidRPr="00BA3A81" w:rsidRDefault="00BA3A81" w:rsidP="00395A33">
            <w:pPr>
              <w:keepNex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Rule Familiarization</w:t>
            </w:r>
          </w:p>
        </w:tc>
        <w:tc>
          <w:tcPr>
            <w:tcW w:w="700" w:type="pct"/>
            <w:tcBorders>
              <w:top w:val="single" w:sz="8" w:space="0" w:color="auto"/>
              <w:left w:val="nil"/>
              <w:bottom w:val="single" w:sz="4" w:space="0" w:color="auto"/>
              <w:right w:val="single" w:sz="8" w:space="0" w:color="auto"/>
            </w:tcBorders>
            <w:shd w:val="clear" w:color="auto" w:fill="auto"/>
            <w:vAlign w:val="center"/>
            <w:hideMark/>
          </w:tcPr>
          <w:p w14:paraId="6CAB54EB" w14:textId="77777777" w:rsidR="00BA3A81" w:rsidRPr="00BA3A81" w:rsidRDefault="00BA3A81"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$79.82</w:t>
            </w:r>
          </w:p>
        </w:tc>
        <w:tc>
          <w:tcPr>
            <w:tcW w:w="810" w:type="pct"/>
            <w:tcBorders>
              <w:top w:val="single" w:sz="8" w:space="0" w:color="auto"/>
              <w:left w:val="nil"/>
              <w:bottom w:val="single" w:sz="4" w:space="0" w:color="auto"/>
              <w:right w:val="single" w:sz="4" w:space="0" w:color="auto"/>
            </w:tcBorders>
            <w:shd w:val="clear" w:color="auto" w:fill="auto"/>
            <w:noWrap/>
            <w:vAlign w:val="center"/>
            <w:hideMark/>
          </w:tcPr>
          <w:p w14:paraId="03E5BEE0" w14:textId="77777777" w:rsidR="00BA3A81" w:rsidRPr="00BA3A81" w:rsidRDefault="00BA3A81"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w:t>
            </w:r>
          </w:p>
        </w:tc>
        <w:tc>
          <w:tcPr>
            <w:tcW w:w="673" w:type="pct"/>
            <w:tcBorders>
              <w:top w:val="single" w:sz="8" w:space="0" w:color="auto"/>
              <w:left w:val="nil"/>
              <w:bottom w:val="single" w:sz="4" w:space="0" w:color="auto"/>
              <w:right w:val="nil"/>
            </w:tcBorders>
            <w:shd w:val="clear" w:color="auto" w:fill="auto"/>
            <w:noWrap/>
            <w:vAlign w:val="center"/>
            <w:hideMark/>
          </w:tcPr>
          <w:p w14:paraId="1FD84276" w14:textId="77777777" w:rsidR="00BA3A81" w:rsidRPr="00BA3A81" w:rsidRDefault="00BA3A81" w:rsidP="003E6367">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$0.00</w:t>
            </w:r>
          </w:p>
        </w:tc>
        <w:tc>
          <w:tcPr>
            <w:tcW w:w="673"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67A6D5A" w14:textId="77777777" w:rsidR="00BA3A81" w:rsidRPr="00BA3A81" w:rsidRDefault="00BA3A81"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 xml:space="preserve">24.00 </w:t>
            </w:r>
          </w:p>
        </w:tc>
        <w:tc>
          <w:tcPr>
            <w:tcW w:w="674" w:type="pct"/>
            <w:tcBorders>
              <w:top w:val="single" w:sz="8" w:space="0" w:color="auto"/>
              <w:left w:val="nil"/>
              <w:bottom w:val="single" w:sz="4" w:space="0" w:color="auto"/>
              <w:right w:val="single" w:sz="8" w:space="0" w:color="auto"/>
            </w:tcBorders>
            <w:shd w:val="clear" w:color="auto" w:fill="auto"/>
            <w:noWrap/>
            <w:vAlign w:val="center"/>
            <w:hideMark/>
          </w:tcPr>
          <w:p w14:paraId="61C1F048" w14:textId="77777777" w:rsidR="00BA3A81" w:rsidRPr="00BA3A81" w:rsidRDefault="00BA3A81"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$1,915.68</w:t>
            </w:r>
          </w:p>
        </w:tc>
      </w:tr>
      <w:tr w:rsidR="00395A33" w:rsidRPr="00BA3A81" w14:paraId="69A1AA4C" w14:textId="77777777" w:rsidTr="003E6367">
        <w:trPr>
          <w:trHeight w:val="290"/>
        </w:trPr>
        <w:tc>
          <w:tcPr>
            <w:tcW w:w="1470" w:type="pct"/>
            <w:tcBorders>
              <w:top w:val="nil"/>
              <w:left w:val="single" w:sz="8" w:space="0" w:color="auto"/>
              <w:bottom w:val="single" w:sz="4" w:space="0" w:color="auto"/>
              <w:right w:val="single" w:sz="4" w:space="0" w:color="auto"/>
            </w:tcBorders>
            <w:shd w:val="clear" w:color="auto" w:fill="auto"/>
            <w:vAlign w:val="center"/>
            <w:hideMark/>
          </w:tcPr>
          <w:p w14:paraId="77E8E758" w14:textId="77777777" w:rsidR="00BA3A81" w:rsidRPr="00BA3A81" w:rsidRDefault="00BA3A81" w:rsidP="00395A33">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Compliance Determination</w:t>
            </w:r>
          </w:p>
        </w:tc>
        <w:tc>
          <w:tcPr>
            <w:tcW w:w="700" w:type="pct"/>
            <w:tcBorders>
              <w:top w:val="nil"/>
              <w:left w:val="nil"/>
              <w:bottom w:val="single" w:sz="4" w:space="0" w:color="auto"/>
              <w:right w:val="single" w:sz="8" w:space="0" w:color="auto"/>
            </w:tcBorders>
            <w:shd w:val="clear" w:color="auto" w:fill="auto"/>
            <w:vAlign w:val="center"/>
            <w:hideMark/>
          </w:tcPr>
          <w:p w14:paraId="3D00134E" w14:textId="77777777" w:rsidR="00BA3A81" w:rsidRPr="00BA3A81" w:rsidRDefault="00BA3A81"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$79.90</w:t>
            </w:r>
          </w:p>
        </w:tc>
        <w:tc>
          <w:tcPr>
            <w:tcW w:w="810" w:type="pct"/>
            <w:tcBorders>
              <w:top w:val="nil"/>
              <w:left w:val="nil"/>
              <w:bottom w:val="single" w:sz="4" w:space="0" w:color="auto"/>
              <w:right w:val="single" w:sz="4" w:space="0" w:color="auto"/>
            </w:tcBorders>
            <w:shd w:val="clear" w:color="auto" w:fill="auto"/>
            <w:noWrap/>
            <w:vAlign w:val="center"/>
            <w:hideMark/>
          </w:tcPr>
          <w:p w14:paraId="46F16663" w14:textId="77777777" w:rsidR="00BA3A81" w:rsidRPr="00BA3A81" w:rsidRDefault="00BA3A81"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6.50</w:t>
            </w:r>
          </w:p>
        </w:tc>
        <w:tc>
          <w:tcPr>
            <w:tcW w:w="673" w:type="pct"/>
            <w:tcBorders>
              <w:top w:val="nil"/>
              <w:left w:val="nil"/>
              <w:bottom w:val="single" w:sz="4" w:space="0" w:color="auto"/>
              <w:right w:val="nil"/>
            </w:tcBorders>
            <w:shd w:val="clear" w:color="auto" w:fill="auto"/>
            <w:noWrap/>
            <w:vAlign w:val="center"/>
            <w:hideMark/>
          </w:tcPr>
          <w:p w14:paraId="35F1AFA5" w14:textId="77777777" w:rsidR="00BA3A81" w:rsidRPr="00BA3A81" w:rsidRDefault="00BA3A81" w:rsidP="003E6367">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$519.35</w:t>
            </w:r>
          </w:p>
        </w:tc>
        <w:tc>
          <w:tcPr>
            <w:tcW w:w="673" w:type="pct"/>
            <w:tcBorders>
              <w:top w:val="nil"/>
              <w:left w:val="single" w:sz="8" w:space="0" w:color="auto"/>
              <w:bottom w:val="single" w:sz="4" w:space="0" w:color="auto"/>
              <w:right w:val="single" w:sz="4" w:space="0" w:color="auto"/>
            </w:tcBorders>
            <w:shd w:val="clear" w:color="auto" w:fill="auto"/>
            <w:noWrap/>
            <w:vAlign w:val="center"/>
            <w:hideMark/>
          </w:tcPr>
          <w:p w14:paraId="13EC11F4" w14:textId="77777777" w:rsidR="00BA3A81" w:rsidRPr="00BA3A81" w:rsidRDefault="00BA3A81"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6.50</w:t>
            </w:r>
          </w:p>
        </w:tc>
        <w:tc>
          <w:tcPr>
            <w:tcW w:w="674" w:type="pct"/>
            <w:tcBorders>
              <w:top w:val="nil"/>
              <w:left w:val="nil"/>
              <w:bottom w:val="single" w:sz="4" w:space="0" w:color="auto"/>
              <w:right w:val="single" w:sz="8" w:space="0" w:color="auto"/>
            </w:tcBorders>
            <w:shd w:val="clear" w:color="auto" w:fill="auto"/>
            <w:noWrap/>
            <w:vAlign w:val="center"/>
            <w:hideMark/>
          </w:tcPr>
          <w:p w14:paraId="62797C47" w14:textId="77777777" w:rsidR="00BA3A81" w:rsidRPr="00BA3A81" w:rsidRDefault="00BA3A81"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$519.35</w:t>
            </w:r>
          </w:p>
        </w:tc>
      </w:tr>
      <w:tr w:rsidR="00395A33" w:rsidRPr="00BA3A81" w14:paraId="7DFCCF89" w14:textId="77777777" w:rsidTr="003E6367">
        <w:trPr>
          <w:trHeight w:val="290"/>
        </w:trPr>
        <w:tc>
          <w:tcPr>
            <w:tcW w:w="1470" w:type="pct"/>
            <w:tcBorders>
              <w:top w:val="nil"/>
              <w:left w:val="single" w:sz="8" w:space="0" w:color="auto"/>
              <w:bottom w:val="single" w:sz="4" w:space="0" w:color="auto"/>
              <w:right w:val="single" w:sz="4" w:space="0" w:color="auto"/>
            </w:tcBorders>
            <w:shd w:val="clear" w:color="auto" w:fill="auto"/>
            <w:vAlign w:val="center"/>
            <w:hideMark/>
          </w:tcPr>
          <w:p w14:paraId="7A0F2522" w14:textId="77777777" w:rsidR="00BA3A81" w:rsidRPr="00BA3A81" w:rsidRDefault="00BA3A81" w:rsidP="00395A33">
            <w:pPr>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Recordkeeping</w:t>
            </w:r>
          </w:p>
        </w:tc>
        <w:tc>
          <w:tcPr>
            <w:tcW w:w="700" w:type="pct"/>
            <w:tcBorders>
              <w:top w:val="nil"/>
              <w:left w:val="nil"/>
              <w:bottom w:val="single" w:sz="4" w:space="0" w:color="auto"/>
              <w:right w:val="single" w:sz="8" w:space="0" w:color="auto"/>
            </w:tcBorders>
            <w:shd w:val="clear" w:color="auto" w:fill="auto"/>
            <w:vAlign w:val="center"/>
            <w:hideMark/>
          </w:tcPr>
          <w:p w14:paraId="32108F66" w14:textId="77777777" w:rsidR="00BA3A81" w:rsidRPr="00BA3A81" w:rsidRDefault="00BA3A81"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$68.58</w:t>
            </w:r>
          </w:p>
        </w:tc>
        <w:tc>
          <w:tcPr>
            <w:tcW w:w="810" w:type="pct"/>
            <w:tcBorders>
              <w:top w:val="nil"/>
              <w:left w:val="nil"/>
              <w:bottom w:val="single" w:sz="4" w:space="0" w:color="auto"/>
              <w:right w:val="single" w:sz="4" w:space="0" w:color="auto"/>
            </w:tcBorders>
            <w:shd w:val="clear" w:color="auto" w:fill="auto"/>
            <w:noWrap/>
            <w:vAlign w:val="center"/>
            <w:hideMark/>
          </w:tcPr>
          <w:p w14:paraId="405A143F" w14:textId="77777777" w:rsidR="00BA3A81" w:rsidRPr="00BA3A81" w:rsidRDefault="00BA3A81"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3.00</w:t>
            </w:r>
          </w:p>
        </w:tc>
        <w:tc>
          <w:tcPr>
            <w:tcW w:w="673" w:type="pct"/>
            <w:tcBorders>
              <w:top w:val="nil"/>
              <w:left w:val="nil"/>
              <w:bottom w:val="single" w:sz="4" w:space="0" w:color="auto"/>
              <w:right w:val="nil"/>
            </w:tcBorders>
            <w:shd w:val="clear" w:color="auto" w:fill="auto"/>
            <w:noWrap/>
            <w:vAlign w:val="center"/>
            <w:hideMark/>
          </w:tcPr>
          <w:p w14:paraId="5AC786B5" w14:textId="77777777" w:rsidR="00BA3A81" w:rsidRPr="00BA3A81" w:rsidRDefault="00BA3A81" w:rsidP="003E6367">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$205.74</w:t>
            </w:r>
          </w:p>
        </w:tc>
        <w:tc>
          <w:tcPr>
            <w:tcW w:w="673" w:type="pct"/>
            <w:tcBorders>
              <w:top w:val="nil"/>
              <w:left w:val="single" w:sz="8" w:space="0" w:color="auto"/>
              <w:bottom w:val="single" w:sz="4" w:space="0" w:color="auto"/>
              <w:right w:val="single" w:sz="4" w:space="0" w:color="auto"/>
            </w:tcBorders>
            <w:shd w:val="clear" w:color="auto" w:fill="auto"/>
            <w:noWrap/>
            <w:vAlign w:val="center"/>
            <w:hideMark/>
          </w:tcPr>
          <w:p w14:paraId="3387B515" w14:textId="77777777" w:rsidR="00BA3A81" w:rsidRPr="00BA3A81" w:rsidRDefault="00BA3A81"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3.00</w:t>
            </w:r>
          </w:p>
        </w:tc>
        <w:tc>
          <w:tcPr>
            <w:tcW w:w="674" w:type="pct"/>
            <w:tcBorders>
              <w:top w:val="nil"/>
              <w:left w:val="nil"/>
              <w:bottom w:val="single" w:sz="4" w:space="0" w:color="auto"/>
              <w:right w:val="single" w:sz="8" w:space="0" w:color="auto"/>
            </w:tcBorders>
            <w:shd w:val="clear" w:color="auto" w:fill="auto"/>
            <w:noWrap/>
            <w:vAlign w:val="center"/>
            <w:hideMark/>
          </w:tcPr>
          <w:p w14:paraId="783AAC9C" w14:textId="77777777" w:rsidR="00BA3A81" w:rsidRPr="00BA3A81" w:rsidRDefault="00BA3A81" w:rsidP="00076B12">
            <w:pPr>
              <w:ind w:right="101"/>
              <w:jc w:val="right"/>
              <w:rPr>
                <w:rFonts w:ascii="Arial Narrow" w:eastAsia="Times New Roman" w:hAnsi="Arial Narrow" w:cs="Calibri"/>
                <w:color w:val="000000"/>
                <w:sz w:val="20"/>
                <w:szCs w:val="20"/>
              </w:rPr>
            </w:pPr>
            <w:r w:rsidRPr="00BA3A81">
              <w:rPr>
                <w:rFonts w:ascii="Arial Narrow" w:eastAsia="Times New Roman" w:hAnsi="Arial Narrow" w:cs="Calibri"/>
                <w:color w:val="000000"/>
                <w:sz w:val="20"/>
                <w:szCs w:val="20"/>
              </w:rPr>
              <w:t>$205.74</w:t>
            </w:r>
          </w:p>
        </w:tc>
      </w:tr>
      <w:tr w:rsidR="00365CC1" w:rsidRPr="00BA3A81" w14:paraId="1A6C3288" w14:textId="77777777" w:rsidTr="003E6367">
        <w:trPr>
          <w:trHeight w:val="300"/>
        </w:trPr>
        <w:tc>
          <w:tcPr>
            <w:tcW w:w="1470" w:type="pct"/>
            <w:tcBorders>
              <w:top w:val="nil"/>
              <w:left w:val="single" w:sz="8" w:space="0" w:color="auto"/>
              <w:bottom w:val="single" w:sz="8" w:space="0" w:color="auto"/>
              <w:right w:val="single" w:sz="4" w:space="0" w:color="auto"/>
            </w:tcBorders>
            <w:shd w:val="clear" w:color="auto" w:fill="auto"/>
            <w:vAlign w:val="center"/>
            <w:hideMark/>
          </w:tcPr>
          <w:p w14:paraId="66B2A624" w14:textId="77777777" w:rsidR="00365CC1" w:rsidRPr="00BA3A81" w:rsidRDefault="00365CC1" w:rsidP="00365CC1">
            <w:pPr>
              <w:rPr>
                <w:rFonts w:ascii="Arial Narrow" w:eastAsia="Times New Roman" w:hAnsi="Arial Narrow" w:cs="Calibri"/>
                <w:color w:val="000000"/>
                <w:sz w:val="20"/>
                <w:szCs w:val="20"/>
              </w:rPr>
            </w:pPr>
            <w:r w:rsidRPr="004B1CD9">
              <w:rPr>
                <w:rFonts w:ascii="Arial Narrow" w:eastAsia="Times New Roman" w:hAnsi="Arial Narrow" w:cs="Calibri"/>
                <w:color w:val="000000"/>
                <w:sz w:val="20"/>
                <w:szCs w:val="20"/>
              </w:rPr>
              <w:t>Average Multi-Chemical Form Completion (7.5 chemicals)</w:t>
            </w:r>
          </w:p>
        </w:tc>
        <w:tc>
          <w:tcPr>
            <w:tcW w:w="700" w:type="pct"/>
            <w:tcBorders>
              <w:top w:val="nil"/>
              <w:left w:val="nil"/>
              <w:bottom w:val="single" w:sz="4" w:space="0" w:color="auto"/>
              <w:right w:val="single" w:sz="8" w:space="0" w:color="auto"/>
            </w:tcBorders>
            <w:shd w:val="clear" w:color="auto" w:fill="auto"/>
            <w:vAlign w:val="center"/>
            <w:hideMark/>
          </w:tcPr>
          <w:p w14:paraId="6E9C9827" w14:textId="77777777" w:rsidR="00365CC1" w:rsidRPr="00BA3A81" w:rsidRDefault="00365CC1" w:rsidP="00365CC1">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$79.61</w:t>
            </w:r>
          </w:p>
        </w:tc>
        <w:tc>
          <w:tcPr>
            <w:tcW w:w="810" w:type="pct"/>
            <w:tcBorders>
              <w:top w:val="nil"/>
              <w:left w:val="nil"/>
              <w:bottom w:val="single" w:sz="4" w:space="0" w:color="auto"/>
              <w:right w:val="single" w:sz="4" w:space="0" w:color="auto"/>
            </w:tcBorders>
            <w:shd w:val="clear" w:color="auto" w:fill="auto"/>
            <w:noWrap/>
            <w:vAlign w:val="center"/>
            <w:hideMark/>
          </w:tcPr>
          <w:p w14:paraId="088611A6" w14:textId="77777777" w:rsidR="00365CC1" w:rsidRPr="00D177EA" w:rsidRDefault="00365CC1" w:rsidP="00365CC1">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 xml:space="preserve">         474.13 </w:t>
            </w:r>
          </w:p>
        </w:tc>
        <w:tc>
          <w:tcPr>
            <w:tcW w:w="673" w:type="pct"/>
            <w:tcBorders>
              <w:top w:val="nil"/>
              <w:left w:val="nil"/>
              <w:bottom w:val="single" w:sz="8" w:space="0" w:color="000000"/>
              <w:right w:val="nil"/>
            </w:tcBorders>
            <w:shd w:val="clear" w:color="auto" w:fill="auto"/>
            <w:noWrap/>
            <w:vAlign w:val="center"/>
            <w:hideMark/>
          </w:tcPr>
          <w:p w14:paraId="1A5FBBFD" w14:textId="77777777" w:rsidR="00365CC1" w:rsidRPr="00E63764" w:rsidRDefault="00365CC1" w:rsidP="00365CC1">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$37,747.52</w:t>
            </w:r>
          </w:p>
        </w:tc>
        <w:tc>
          <w:tcPr>
            <w:tcW w:w="673" w:type="pct"/>
            <w:tcBorders>
              <w:top w:val="nil"/>
              <w:left w:val="single" w:sz="8" w:space="0" w:color="auto"/>
              <w:bottom w:val="single" w:sz="8" w:space="0" w:color="000000"/>
              <w:right w:val="single" w:sz="4" w:space="0" w:color="auto"/>
            </w:tcBorders>
            <w:shd w:val="clear" w:color="auto" w:fill="auto"/>
            <w:noWrap/>
            <w:vAlign w:val="center"/>
            <w:hideMark/>
          </w:tcPr>
          <w:p w14:paraId="65BB929A" w14:textId="77777777" w:rsidR="00365CC1" w:rsidRPr="00D177EA" w:rsidRDefault="00365CC1" w:rsidP="00365CC1">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 xml:space="preserve">        597.40 </w:t>
            </w:r>
          </w:p>
        </w:tc>
        <w:tc>
          <w:tcPr>
            <w:tcW w:w="674" w:type="pct"/>
            <w:tcBorders>
              <w:top w:val="nil"/>
              <w:left w:val="nil"/>
              <w:bottom w:val="single" w:sz="8" w:space="0" w:color="000000"/>
              <w:right w:val="single" w:sz="8" w:space="0" w:color="auto"/>
            </w:tcBorders>
            <w:shd w:val="clear" w:color="auto" w:fill="auto"/>
            <w:noWrap/>
            <w:vAlign w:val="center"/>
            <w:hideMark/>
          </w:tcPr>
          <w:p w14:paraId="67F418E7" w14:textId="77777777" w:rsidR="00365CC1" w:rsidRPr="00E63764" w:rsidRDefault="00365CC1" w:rsidP="00365CC1">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$47,561.57</w:t>
            </w:r>
          </w:p>
        </w:tc>
      </w:tr>
      <w:tr w:rsidR="00365CC1" w:rsidRPr="00BA3A81" w14:paraId="753A4F24" w14:textId="77777777" w:rsidTr="00C0632D">
        <w:trPr>
          <w:trHeight w:val="304"/>
        </w:trPr>
        <w:tc>
          <w:tcPr>
            <w:tcW w:w="298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3DB525D" w14:textId="77777777" w:rsidR="00365CC1" w:rsidRPr="00E63764" w:rsidRDefault="00365CC1" w:rsidP="00365CC1">
            <w:pPr>
              <w:rPr>
                <w:rFonts w:ascii="Arial Narrow" w:eastAsia="Times New Roman" w:hAnsi="Arial Narrow" w:cs="Calibri"/>
                <w:b/>
                <w:bCs/>
                <w:color w:val="000000"/>
                <w:sz w:val="20"/>
                <w:szCs w:val="20"/>
              </w:rPr>
            </w:pPr>
            <w:r w:rsidRPr="00E63764">
              <w:rPr>
                <w:rFonts w:ascii="Arial Narrow" w:eastAsia="Times New Roman" w:hAnsi="Arial Narrow" w:cs="Calibri"/>
                <w:b/>
                <w:bCs/>
                <w:color w:val="000000"/>
                <w:sz w:val="20"/>
                <w:szCs w:val="20"/>
              </w:rPr>
              <w:t xml:space="preserve">Total </w:t>
            </w:r>
          </w:p>
        </w:tc>
        <w:tc>
          <w:tcPr>
            <w:tcW w:w="673" w:type="pct"/>
            <w:tcBorders>
              <w:top w:val="single" w:sz="8" w:space="0" w:color="000000"/>
              <w:left w:val="nil"/>
              <w:bottom w:val="single" w:sz="8" w:space="0" w:color="000000"/>
              <w:right w:val="single" w:sz="8" w:space="0" w:color="auto"/>
            </w:tcBorders>
            <w:shd w:val="clear" w:color="auto" w:fill="auto"/>
            <w:noWrap/>
            <w:vAlign w:val="bottom"/>
            <w:hideMark/>
          </w:tcPr>
          <w:p w14:paraId="4FF39426" w14:textId="77777777" w:rsidR="00365CC1" w:rsidRPr="00D177EA" w:rsidRDefault="00365CC1" w:rsidP="00365CC1">
            <w:pPr>
              <w:ind w:right="101"/>
              <w:jc w:val="right"/>
              <w:rPr>
                <w:rFonts w:ascii="Arial Narrow" w:eastAsia="Times New Roman" w:hAnsi="Arial Narrow" w:cs="Calibri"/>
                <w:b/>
                <w:color w:val="000000"/>
                <w:sz w:val="20"/>
                <w:szCs w:val="20"/>
              </w:rPr>
            </w:pPr>
            <w:r>
              <w:rPr>
                <w:rFonts w:ascii="Arial Narrow" w:hAnsi="Arial Narrow" w:cs="Calibri"/>
                <w:b/>
                <w:bCs/>
                <w:color w:val="000000"/>
                <w:sz w:val="20"/>
                <w:szCs w:val="20"/>
              </w:rPr>
              <w:t>$38,472.61</w:t>
            </w:r>
          </w:p>
        </w:tc>
        <w:tc>
          <w:tcPr>
            <w:tcW w:w="673" w:type="pct"/>
            <w:tcBorders>
              <w:top w:val="single" w:sz="8" w:space="0" w:color="000000"/>
              <w:left w:val="nil"/>
              <w:bottom w:val="single" w:sz="8" w:space="0" w:color="000000"/>
              <w:right w:val="single" w:sz="8" w:space="0" w:color="auto"/>
            </w:tcBorders>
            <w:shd w:val="clear" w:color="auto" w:fill="auto"/>
            <w:noWrap/>
            <w:vAlign w:val="bottom"/>
            <w:hideMark/>
          </w:tcPr>
          <w:p w14:paraId="4E8751E4" w14:textId="77777777" w:rsidR="00365CC1" w:rsidRPr="00BF437D" w:rsidRDefault="00365CC1" w:rsidP="00365CC1">
            <w:pPr>
              <w:ind w:right="101"/>
              <w:jc w:val="right"/>
              <w:rPr>
                <w:rFonts w:ascii="Arial Narrow" w:eastAsia="Times New Roman" w:hAnsi="Arial Narrow" w:cs="Calibri"/>
                <w:b/>
                <w:bCs/>
                <w:color w:val="000000"/>
                <w:sz w:val="20"/>
                <w:szCs w:val="20"/>
              </w:rPr>
            </w:pPr>
            <w:r>
              <w:rPr>
                <w:rFonts w:ascii="Arial Narrow" w:hAnsi="Arial Narrow" w:cs="Calibri"/>
                <w:b/>
                <w:bCs/>
                <w:color w:val="000000"/>
                <w:sz w:val="20"/>
                <w:szCs w:val="20"/>
              </w:rPr>
              <w:t> </w:t>
            </w:r>
          </w:p>
        </w:tc>
        <w:tc>
          <w:tcPr>
            <w:tcW w:w="674" w:type="pct"/>
            <w:tcBorders>
              <w:top w:val="single" w:sz="8" w:space="0" w:color="000000"/>
              <w:left w:val="nil"/>
              <w:bottom w:val="single" w:sz="8" w:space="0" w:color="000000"/>
              <w:right w:val="single" w:sz="8" w:space="0" w:color="auto"/>
            </w:tcBorders>
            <w:shd w:val="clear" w:color="auto" w:fill="auto"/>
            <w:noWrap/>
            <w:vAlign w:val="bottom"/>
            <w:hideMark/>
          </w:tcPr>
          <w:p w14:paraId="385D7ABC" w14:textId="77777777" w:rsidR="00365CC1" w:rsidRPr="00E63764" w:rsidRDefault="00365CC1" w:rsidP="00365CC1">
            <w:pPr>
              <w:ind w:right="101"/>
              <w:jc w:val="right"/>
              <w:rPr>
                <w:rFonts w:ascii="Arial Narrow" w:eastAsia="Times New Roman" w:hAnsi="Arial Narrow" w:cs="Calibri"/>
                <w:b/>
                <w:color w:val="000000"/>
                <w:sz w:val="20"/>
                <w:szCs w:val="20"/>
              </w:rPr>
            </w:pPr>
            <w:r>
              <w:rPr>
                <w:rFonts w:ascii="Arial Narrow" w:hAnsi="Arial Narrow" w:cs="Calibri"/>
                <w:b/>
                <w:bCs/>
                <w:color w:val="000000"/>
                <w:sz w:val="20"/>
                <w:szCs w:val="20"/>
              </w:rPr>
              <w:t>$50,202.34</w:t>
            </w:r>
          </w:p>
        </w:tc>
      </w:tr>
      <w:tr w:rsidR="00594266" w:rsidRPr="00BA3A81" w14:paraId="0FDB8FD1" w14:textId="77777777" w:rsidTr="00594266">
        <w:trPr>
          <w:trHeight w:val="646"/>
        </w:trPr>
        <w:tc>
          <w:tcPr>
            <w:tcW w:w="5000" w:type="pct"/>
            <w:gridSpan w:val="6"/>
            <w:tcBorders>
              <w:top w:val="single" w:sz="8" w:space="0" w:color="auto"/>
              <w:left w:val="single" w:sz="8" w:space="0" w:color="auto"/>
              <w:bottom w:val="single" w:sz="8" w:space="0" w:color="auto"/>
              <w:right w:val="single" w:sz="8" w:space="0" w:color="auto"/>
            </w:tcBorders>
            <w:shd w:val="clear" w:color="auto" w:fill="auto"/>
            <w:vAlign w:val="center"/>
          </w:tcPr>
          <w:p w14:paraId="58FB17E8" w14:textId="77777777" w:rsidR="00594266" w:rsidRPr="002A1FB8" w:rsidRDefault="00594266" w:rsidP="00C0632D">
            <w:pPr>
              <w:spacing w:before="60"/>
              <w:rPr>
                <w:rFonts w:ascii="Arial Narrow" w:hAnsi="Arial Narrow"/>
                <w:sz w:val="18"/>
                <w:szCs w:val="18"/>
              </w:rPr>
            </w:pPr>
            <w:r w:rsidRPr="002A1FB8">
              <w:rPr>
                <w:rFonts w:ascii="Arial Narrow" w:hAnsi="Arial Narrow"/>
                <w:sz w:val="18"/>
                <w:szCs w:val="18"/>
              </w:rPr>
              <w:t>General Notes</w:t>
            </w:r>
          </w:p>
          <w:p w14:paraId="33D0F4A0" w14:textId="77777777" w:rsidR="00594266" w:rsidRPr="00C0632D" w:rsidRDefault="00594266" w:rsidP="004D4DC1">
            <w:pPr>
              <w:pStyle w:val="ListParagraph"/>
              <w:numPr>
                <w:ilvl w:val="0"/>
                <w:numId w:val="26"/>
              </w:numPr>
              <w:spacing w:before="60"/>
              <w:rPr>
                <w:rFonts w:ascii="Arial Narrow" w:hAnsi="Arial Narrow"/>
                <w:sz w:val="18"/>
                <w:szCs w:val="18"/>
              </w:rPr>
            </w:pPr>
            <w:r w:rsidRPr="00C0632D">
              <w:rPr>
                <w:rFonts w:ascii="Arial Narrow" w:hAnsi="Arial Narrow"/>
                <w:sz w:val="18"/>
                <w:szCs w:val="18"/>
              </w:rPr>
              <w:t xml:space="preserve">Estimates are for a multi-chemical submission of 7.5 chemicals per site, as observed overall in </w:t>
            </w:r>
            <w:r w:rsidR="007F1757" w:rsidRPr="00C0632D">
              <w:rPr>
                <w:rFonts w:ascii="Arial Narrow" w:hAnsi="Arial Narrow"/>
                <w:sz w:val="18"/>
                <w:szCs w:val="18"/>
              </w:rPr>
              <w:t xml:space="preserve">2016 </w:t>
            </w:r>
            <w:r w:rsidRPr="00C0632D">
              <w:rPr>
                <w:rFonts w:ascii="Arial Narrow" w:hAnsi="Arial Narrow"/>
                <w:sz w:val="18"/>
                <w:szCs w:val="18"/>
              </w:rPr>
              <w:t>CDR (</w:t>
            </w:r>
            <w:r w:rsidR="00F0452C" w:rsidRPr="00C0632D">
              <w:rPr>
                <w:rFonts w:ascii="Arial Narrow" w:hAnsi="Arial Narrow"/>
                <w:sz w:val="18"/>
                <w:szCs w:val="18"/>
              </w:rPr>
              <w:t>US EPA, 2017</w:t>
            </w:r>
            <w:r w:rsidR="0092080E">
              <w:rPr>
                <w:rFonts w:ascii="Arial Narrow" w:hAnsi="Arial Narrow"/>
                <w:sz w:val="18"/>
                <w:szCs w:val="18"/>
              </w:rPr>
              <w:t>c</w:t>
            </w:r>
            <w:r w:rsidRPr="00C0632D">
              <w:rPr>
                <w:rFonts w:ascii="Arial Narrow" w:hAnsi="Arial Narrow"/>
                <w:sz w:val="18"/>
                <w:szCs w:val="18"/>
              </w:rPr>
              <w:t>)</w:t>
            </w:r>
            <w:r w:rsidR="00DD6359" w:rsidRPr="00C0632D">
              <w:rPr>
                <w:rFonts w:ascii="Arial Narrow" w:hAnsi="Arial Narrow"/>
                <w:sz w:val="18"/>
                <w:szCs w:val="18"/>
              </w:rPr>
              <w:t>.</w:t>
            </w:r>
          </w:p>
          <w:p w14:paraId="724573B1" w14:textId="77777777" w:rsidR="00BF0B9C" w:rsidRPr="00C0632D" w:rsidRDefault="00BF0B9C" w:rsidP="004D4DC1">
            <w:pPr>
              <w:pStyle w:val="ListParagraph"/>
              <w:numPr>
                <w:ilvl w:val="0"/>
                <w:numId w:val="26"/>
              </w:numPr>
              <w:spacing w:before="60"/>
              <w:rPr>
                <w:rFonts w:ascii="Arial Narrow" w:hAnsi="Arial Narrow"/>
                <w:sz w:val="18"/>
                <w:szCs w:val="18"/>
              </w:rPr>
            </w:pPr>
            <w:r w:rsidRPr="00C0632D">
              <w:rPr>
                <w:rFonts w:ascii="Arial Narrow" w:hAnsi="Arial Narrow"/>
                <w:sz w:val="18"/>
                <w:szCs w:val="18"/>
              </w:rPr>
              <w:t xml:space="preserve">The estimate for new reporter Rule Familiarization burden consists of seven hours of Managerial labor and 17 hours of Technical labor. Compliance Determination and Recordkeeping for new reporters are estimated at the same levels as for experienced reporters. </w:t>
            </w:r>
          </w:p>
          <w:p w14:paraId="6D7437C5" w14:textId="77777777" w:rsidR="00594266" w:rsidRPr="00C0632D" w:rsidRDefault="00594266" w:rsidP="004D4DC1">
            <w:pPr>
              <w:pStyle w:val="ListParagraph"/>
              <w:numPr>
                <w:ilvl w:val="0"/>
                <w:numId w:val="26"/>
              </w:numPr>
              <w:spacing w:before="60"/>
              <w:rPr>
                <w:rFonts w:ascii="Arial Narrow" w:hAnsi="Arial Narrow"/>
                <w:sz w:val="18"/>
                <w:szCs w:val="18"/>
              </w:rPr>
            </w:pPr>
            <w:r w:rsidRPr="00C0632D">
              <w:rPr>
                <w:rFonts w:ascii="Arial Narrow" w:hAnsi="Arial Narrow"/>
                <w:sz w:val="18"/>
                <w:szCs w:val="18"/>
              </w:rPr>
              <w:t xml:space="preserve">The estimate for new reporter Form Completion Unit Cost is based on unit burden in Table 4 (derived using a First Time Factor-FTF </w:t>
            </w:r>
            <w:r w:rsidR="00580682">
              <w:rPr>
                <w:rFonts w:ascii="Arial Narrow" w:hAnsi="Arial Narrow"/>
                <w:sz w:val="18"/>
                <w:szCs w:val="18"/>
              </w:rPr>
              <w:t>of 1.26 —</w:t>
            </w:r>
            <w:r w:rsidRPr="00C0632D">
              <w:rPr>
                <w:rFonts w:ascii="Arial Narrow" w:hAnsi="Arial Narrow"/>
                <w:sz w:val="18"/>
                <w:szCs w:val="18"/>
              </w:rPr>
              <w:t xml:space="preserve">see </w:t>
            </w:r>
            <w:r w:rsidR="00580682">
              <w:rPr>
                <w:rFonts w:ascii="Arial Narrow" w:hAnsi="Arial Narrow"/>
                <w:sz w:val="18"/>
                <w:szCs w:val="18"/>
              </w:rPr>
              <w:t xml:space="preserve">Table 4 and </w:t>
            </w:r>
            <w:r w:rsidRPr="00C0632D">
              <w:rPr>
                <w:rFonts w:ascii="Arial Narrow" w:hAnsi="Arial Narrow"/>
                <w:sz w:val="18"/>
                <w:szCs w:val="18"/>
              </w:rPr>
              <w:t>Section 6(g)).</w:t>
            </w:r>
          </w:p>
          <w:p w14:paraId="1E8C851E" w14:textId="77777777" w:rsidR="00594266" w:rsidRPr="00C0632D" w:rsidRDefault="00594266" w:rsidP="004D4DC1">
            <w:pPr>
              <w:pStyle w:val="ListParagraph"/>
              <w:numPr>
                <w:ilvl w:val="0"/>
                <w:numId w:val="26"/>
              </w:numPr>
              <w:spacing w:before="60"/>
              <w:ind w:right="101"/>
              <w:rPr>
                <w:rFonts w:ascii="Arial Narrow" w:eastAsia="Times New Roman" w:hAnsi="Arial Narrow" w:cs="Calibri"/>
                <w:b/>
                <w:bCs/>
                <w:color w:val="000000"/>
                <w:sz w:val="20"/>
                <w:szCs w:val="20"/>
              </w:rPr>
            </w:pPr>
            <w:r w:rsidRPr="00C0632D">
              <w:rPr>
                <w:rFonts w:ascii="Arial Narrow" w:hAnsi="Arial Narrow"/>
                <w:sz w:val="18"/>
                <w:szCs w:val="18"/>
              </w:rPr>
              <w:t>The wage rate from the experienced reporters’ analysis for Form Completion is assumed to be the same as the wage rate for new reporter Form Completion (see Section 6(g) for additional information).</w:t>
            </w:r>
          </w:p>
        </w:tc>
      </w:tr>
    </w:tbl>
    <w:p w14:paraId="7528F613" w14:textId="77777777" w:rsidR="00BA3A81" w:rsidRPr="00BA3A81" w:rsidRDefault="00BA3A81" w:rsidP="00BA3A81">
      <w:pPr>
        <w:spacing w:after="160" w:line="259" w:lineRule="auto"/>
        <w:rPr>
          <w:rFonts w:ascii="Calibri" w:eastAsia="Calibri" w:hAnsi="Calibri" w:cs="Times New Roman"/>
          <w:sz w:val="22"/>
          <w:szCs w:val="22"/>
        </w:rPr>
      </w:pPr>
    </w:p>
    <w:p w14:paraId="3F753D19" w14:textId="77777777" w:rsidR="00F06BA6" w:rsidRPr="008A7FB7" w:rsidRDefault="00F06BA6" w:rsidP="000D2D6D">
      <w:pPr>
        <w:pStyle w:val="Heading2"/>
      </w:pPr>
      <w:r w:rsidRPr="008A7FB7">
        <w:t>Estimating Agency Burden and Cost</w:t>
      </w:r>
    </w:p>
    <w:p w14:paraId="0FB5CE36" w14:textId="77777777" w:rsidR="00F06BA6" w:rsidRPr="008A7FB7" w:rsidRDefault="00F06BA6" w:rsidP="000F6439">
      <w:pPr>
        <w:pStyle w:val="BodyText"/>
      </w:pPr>
      <w:r w:rsidRPr="008A7FB7">
        <w:t xml:space="preserve">EPA is responsible for the following activities associated with administering the CDR rule: </w:t>
      </w:r>
    </w:p>
    <w:p w14:paraId="4CB4B732" w14:textId="77777777" w:rsidR="00F06BA6" w:rsidRPr="008A7FB7" w:rsidRDefault="00F06BA6" w:rsidP="007F34F8">
      <w:pPr>
        <w:pStyle w:val="ListBulletsingle"/>
      </w:pPr>
      <w:r w:rsidRPr="008A7FB7">
        <w:t>Document receipt and tracking;</w:t>
      </w:r>
    </w:p>
    <w:p w14:paraId="4BE4E13D" w14:textId="77777777" w:rsidR="00F06BA6" w:rsidRPr="008A7FB7" w:rsidRDefault="00F06BA6" w:rsidP="007F34F8">
      <w:pPr>
        <w:pStyle w:val="ListBulletsingle"/>
      </w:pPr>
      <w:r w:rsidRPr="008A7FB7">
        <w:t>Quality control of data, including protection of CBI;</w:t>
      </w:r>
    </w:p>
    <w:p w14:paraId="26A1C677" w14:textId="77777777" w:rsidR="00F06BA6" w:rsidRPr="008A7FB7" w:rsidRDefault="00F06BA6" w:rsidP="007F34F8">
      <w:pPr>
        <w:pStyle w:val="ListBulletsingle"/>
      </w:pPr>
      <w:r w:rsidRPr="008A7FB7">
        <w:t>Backup systems operation;</w:t>
      </w:r>
    </w:p>
    <w:p w14:paraId="27478CE3" w14:textId="77777777" w:rsidR="00F06BA6" w:rsidRPr="008A7FB7" w:rsidRDefault="00F06BA6" w:rsidP="007F34F8">
      <w:pPr>
        <w:pStyle w:val="ListBulletsingle"/>
      </w:pPr>
      <w:r w:rsidRPr="008A7FB7">
        <w:t>Data processing;</w:t>
      </w:r>
    </w:p>
    <w:p w14:paraId="7EF4A924" w14:textId="77777777" w:rsidR="00F06BA6" w:rsidRPr="008A7FB7" w:rsidRDefault="00F06BA6" w:rsidP="007F34F8">
      <w:pPr>
        <w:pStyle w:val="ListBulletsingle"/>
      </w:pPr>
      <w:r w:rsidRPr="008A7FB7">
        <w:t xml:space="preserve">Systems development; </w:t>
      </w:r>
    </w:p>
    <w:p w14:paraId="0B09D1A1" w14:textId="77777777" w:rsidR="00F06BA6" w:rsidRPr="008A7FB7" w:rsidRDefault="00F06BA6" w:rsidP="007F34F8">
      <w:pPr>
        <w:pStyle w:val="ListBulletsingle"/>
      </w:pPr>
      <w:r w:rsidRPr="008A7FB7">
        <w:t xml:space="preserve">Contract oversight and management; </w:t>
      </w:r>
    </w:p>
    <w:p w14:paraId="12BBB13B" w14:textId="77777777" w:rsidR="00F06BA6" w:rsidRPr="008A7FB7" w:rsidRDefault="00F06BA6" w:rsidP="007F34F8">
      <w:pPr>
        <w:pStyle w:val="ListBulletsingle"/>
      </w:pPr>
      <w:r w:rsidRPr="008A7FB7">
        <w:t xml:space="preserve">Publication of materials and creating pdfs of forms; and </w:t>
      </w:r>
    </w:p>
    <w:p w14:paraId="458AF090" w14:textId="77777777" w:rsidR="00F06BA6" w:rsidRPr="008A7FB7" w:rsidRDefault="00F06BA6" w:rsidP="007F34F8">
      <w:pPr>
        <w:pStyle w:val="ListBulletlast"/>
      </w:pPr>
      <w:r w:rsidRPr="008A7FB7">
        <w:t xml:space="preserve">Operation of the TSCA Hotline to handle CDR-related calls. </w:t>
      </w:r>
    </w:p>
    <w:p w14:paraId="7E3B8CC4" w14:textId="77777777" w:rsidR="00F06BA6" w:rsidRPr="00E43E85" w:rsidRDefault="00F06BA6" w:rsidP="000F6439">
      <w:pPr>
        <w:pStyle w:val="BodyText"/>
      </w:pPr>
      <w:r w:rsidRPr="00E43E85">
        <w:t xml:space="preserve">Note that costs related to EPA activities that involve using the data are not included. </w:t>
      </w:r>
    </w:p>
    <w:p w14:paraId="4D942DD8" w14:textId="77777777" w:rsidR="00F06BA6" w:rsidRPr="008A7FB7" w:rsidRDefault="00F06BA6" w:rsidP="007F34F8">
      <w:pPr>
        <w:pStyle w:val="Heading3"/>
      </w:pPr>
      <w:r w:rsidRPr="00E43E85">
        <w:t>EPA Staff Activities</w:t>
      </w:r>
    </w:p>
    <w:p w14:paraId="48AF8E03" w14:textId="77777777" w:rsidR="00F06BA6" w:rsidRPr="008A7FB7" w:rsidRDefault="00F06BA6" w:rsidP="000F6439">
      <w:pPr>
        <w:pStyle w:val="BodyText"/>
      </w:pPr>
      <w:r w:rsidRPr="008A7FB7">
        <w:t>Of the tasks listed above, Agency personnel are responsible for 1) quality control of data; and 2) data processing, systems development, and contract oversight and management. Contractors perform the other activities, as described below.</w:t>
      </w:r>
    </w:p>
    <w:p w14:paraId="11E7DB11" w14:textId="77777777" w:rsidR="00F06BA6" w:rsidRDefault="00F06BA6" w:rsidP="000F6439">
      <w:pPr>
        <w:pStyle w:val="BodyText"/>
      </w:pPr>
      <w:r w:rsidRPr="008A7FB7">
        <w:t xml:space="preserve">EPA estimates the total burden of completing Agency tasks to be one full-time equivalent </w:t>
      </w:r>
      <w:r w:rsidR="00650738">
        <w:t xml:space="preserve">program staff member for quality control of data, and one full-time equivalent </w:t>
      </w:r>
      <w:r>
        <w:t>IT staff</w:t>
      </w:r>
      <w:r w:rsidR="009E4A04">
        <w:t xml:space="preserve"> member</w:t>
      </w:r>
      <w:r w:rsidRPr="008A7FB7">
        <w:t xml:space="preserve"> for </w:t>
      </w:r>
      <w:r w:rsidRPr="008A7FB7">
        <w:rPr>
          <w:rFonts w:ascii="Times-Roman" w:hAnsi="Times-Roman" w:cs="Times-Roman"/>
        </w:rPr>
        <w:t>data processing, systems development, and contract oversight and management, per-report</w:t>
      </w:r>
      <w:r w:rsidRPr="008A7FB7">
        <w:t xml:space="preserve">ing cycle. </w:t>
      </w:r>
    </w:p>
    <w:p w14:paraId="06CBC3B7" w14:textId="77777777" w:rsidR="00F06BA6" w:rsidRPr="008A7FB7" w:rsidRDefault="00F06BA6" w:rsidP="000F6439">
      <w:pPr>
        <w:pStyle w:val="BodyText"/>
      </w:pPr>
      <w:r w:rsidRPr="008A7FB7">
        <w:t>EPA labor costs are based on annual federal wage rates</w:t>
      </w:r>
      <w:r>
        <w:t>,</w:t>
      </w:r>
      <w:r w:rsidRPr="008A7FB7">
        <w:t xml:space="preserve"> </w:t>
      </w:r>
      <w:r>
        <w:t xml:space="preserve">as presented in Table </w:t>
      </w:r>
      <w:r w:rsidR="009E4A04">
        <w:t>9</w:t>
      </w:r>
      <w:r>
        <w:t xml:space="preserve">. As in the previous ICR renewal, </w:t>
      </w:r>
      <w:r w:rsidR="00650738">
        <w:t xml:space="preserve">a </w:t>
      </w:r>
      <w:r>
        <w:t>GS-12 Step 3 is assumed for program staff hours</w:t>
      </w:r>
      <w:r w:rsidR="00650738">
        <w:t xml:space="preserve"> and a GS-13</w:t>
      </w:r>
      <w:r w:rsidR="00650738" w:rsidRPr="008A7FB7">
        <w:t xml:space="preserve"> Step 3 is assumed for </w:t>
      </w:r>
      <w:r w:rsidR="00650738">
        <w:t>IT staff hours</w:t>
      </w:r>
      <w:r>
        <w:t xml:space="preserve">. </w:t>
      </w:r>
      <w:r w:rsidRPr="008A7FB7">
        <w:t xml:space="preserve"> </w:t>
      </w:r>
    </w:p>
    <w:tbl>
      <w:tblPr>
        <w:tblW w:w="5000" w:type="pct"/>
        <w:tblLook w:val="04A0" w:firstRow="1" w:lastRow="0" w:firstColumn="1" w:lastColumn="0" w:noHBand="0" w:noVBand="1"/>
      </w:tblPr>
      <w:tblGrid>
        <w:gridCol w:w="922"/>
        <w:gridCol w:w="2117"/>
        <w:gridCol w:w="921"/>
        <w:gridCol w:w="921"/>
        <w:gridCol w:w="1105"/>
        <w:gridCol w:w="1013"/>
        <w:gridCol w:w="1480"/>
        <w:gridCol w:w="1097"/>
      </w:tblGrid>
      <w:tr w:rsidR="00BA3A81" w:rsidRPr="00BA3A81" w14:paraId="30DBB4F6" w14:textId="77777777" w:rsidTr="00BA3A81">
        <w:trPr>
          <w:trHeight w:val="320"/>
          <w:tblHeader/>
        </w:trPr>
        <w:tc>
          <w:tcPr>
            <w:tcW w:w="5000" w:type="pct"/>
            <w:gridSpan w:val="8"/>
            <w:tcBorders>
              <w:top w:val="nil"/>
              <w:left w:val="nil"/>
              <w:bottom w:val="single" w:sz="8" w:space="0" w:color="auto"/>
              <w:right w:val="nil"/>
            </w:tcBorders>
            <w:shd w:val="clear" w:color="auto" w:fill="auto"/>
            <w:noWrap/>
            <w:vAlign w:val="bottom"/>
            <w:hideMark/>
          </w:tcPr>
          <w:p w14:paraId="52200138" w14:textId="77777777" w:rsidR="00BA3A81" w:rsidRPr="00BA3A81" w:rsidRDefault="00BA3A81" w:rsidP="00395A33">
            <w:pPr>
              <w:pStyle w:val="TableTitle"/>
            </w:pPr>
            <w:r w:rsidRPr="00BA3A81">
              <w:t>Table 9: Agency Wage Rate (201</w:t>
            </w:r>
            <w:r w:rsidR="00703B94">
              <w:t>6</w:t>
            </w:r>
            <w:r w:rsidRPr="00BA3A81">
              <w:t>$)</w:t>
            </w:r>
          </w:p>
        </w:tc>
      </w:tr>
      <w:tr w:rsidR="00BA3A81" w:rsidRPr="00BA3A81" w14:paraId="79BE5A19" w14:textId="77777777" w:rsidTr="002C1543">
        <w:trPr>
          <w:trHeight w:val="470"/>
          <w:tblHeader/>
        </w:trPr>
        <w:tc>
          <w:tcPr>
            <w:tcW w:w="481" w:type="pct"/>
            <w:vMerge w:val="restart"/>
            <w:tcBorders>
              <w:top w:val="nil"/>
              <w:left w:val="single" w:sz="8" w:space="0" w:color="auto"/>
              <w:bottom w:val="single" w:sz="8" w:space="0" w:color="000000"/>
              <w:right w:val="single" w:sz="8" w:space="0" w:color="auto"/>
            </w:tcBorders>
            <w:shd w:val="clear" w:color="auto" w:fill="BFBFBF"/>
            <w:vAlign w:val="center"/>
            <w:hideMark/>
          </w:tcPr>
          <w:p w14:paraId="77B9FF41" w14:textId="77777777" w:rsidR="00BA3A81" w:rsidRPr="00B43006" w:rsidRDefault="00BA3A81" w:rsidP="00BA3A81">
            <w:pPr>
              <w:jc w:val="center"/>
              <w:rPr>
                <w:rFonts w:ascii="Arial Narrow" w:eastAsia="Times New Roman" w:hAnsi="Arial Narrow" w:cs="Times New Roman"/>
                <w:b/>
                <w:bCs/>
                <w:color w:val="000000"/>
                <w:sz w:val="18"/>
                <w:szCs w:val="18"/>
              </w:rPr>
            </w:pPr>
            <w:r w:rsidRPr="00B43006">
              <w:rPr>
                <w:rFonts w:ascii="Arial Narrow" w:eastAsia="Times New Roman" w:hAnsi="Arial Narrow" w:cs="Times New Roman"/>
                <w:b/>
                <w:bCs/>
                <w:color w:val="000000"/>
                <w:sz w:val="18"/>
                <w:szCs w:val="18"/>
              </w:rPr>
              <w:t>Labor Category</w:t>
            </w:r>
          </w:p>
        </w:tc>
        <w:tc>
          <w:tcPr>
            <w:tcW w:w="1105" w:type="pct"/>
            <w:vMerge w:val="restart"/>
            <w:tcBorders>
              <w:top w:val="nil"/>
              <w:left w:val="single" w:sz="8" w:space="0" w:color="auto"/>
              <w:bottom w:val="single" w:sz="8" w:space="0" w:color="000000"/>
              <w:right w:val="single" w:sz="8" w:space="0" w:color="auto"/>
            </w:tcBorders>
            <w:shd w:val="clear" w:color="auto" w:fill="BFBFBF"/>
            <w:vAlign w:val="center"/>
            <w:hideMark/>
          </w:tcPr>
          <w:p w14:paraId="3582622A" w14:textId="77777777" w:rsidR="00BA3A81" w:rsidRPr="00B43006" w:rsidRDefault="00BA3A81" w:rsidP="00BA3A81">
            <w:pPr>
              <w:jc w:val="center"/>
              <w:rPr>
                <w:rFonts w:ascii="Arial Narrow" w:eastAsia="Times New Roman" w:hAnsi="Arial Narrow" w:cs="Times New Roman"/>
                <w:b/>
                <w:bCs/>
                <w:color w:val="000000"/>
                <w:sz w:val="18"/>
                <w:szCs w:val="18"/>
              </w:rPr>
            </w:pPr>
            <w:r w:rsidRPr="00B43006">
              <w:rPr>
                <w:rFonts w:ascii="Arial Narrow" w:eastAsia="Times New Roman" w:hAnsi="Arial Narrow" w:cs="Times New Roman"/>
                <w:b/>
                <w:bCs/>
                <w:color w:val="000000"/>
                <w:sz w:val="18"/>
                <w:szCs w:val="18"/>
              </w:rPr>
              <w:t>Data Source for Wage Information</w:t>
            </w:r>
          </w:p>
        </w:tc>
        <w:tc>
          <w:tcPr>
            <w:tcW w:w="481" w:type="pct"/>
            <w:tcBorders>
              <w:top w:val="nil"/>
              <w:left w:val="nil"/>
              <w:bottom w:val="single" w:sz="8" w:space="0" w:color="auto"/>
              <w:right w:val="single" w:sz="8" w:space="0" w:color="auto"/>
            </w:tcBorders>
            <w:shd w:val="clear" w:color="auto" w:fill="BFBFBF"/>
            <w:vAlign w:val="center"/>
            <w:hideMark/>
          </w:tcPr>
          <w:p w14:paraId="65FCC158" w14:textId="77777777" w:rsidR="00BA3A81" w:rsidRPr="00B43006" w:rsidRDefault="00BA3A81" w:rsidP="00BA3A81">
            <w:pPr>
              <w:jc w:val="center"/>
              <w:rPr>
                <w:rFonts w:ascii="Arial Narrow" w:eastAsia="Times New Roman" w:hAnsi="Arial Narrow" w:cs="Times New Roman"/>
                <w:b/>
                <w:bCs/>
                <w:color w:val="000000"/>
                <w:sz w:val="18"/>
                <w:szCs w:val="18"/>
              </w:rPr>
            </w:pPr>
            <w:r w:rsidRPr="00B43006">
              <w:rPr>
                <w:rFonts w:ascii="Arial Narrow" w:eastAsia="Times New Roman" w:hAnsi="Arial Narrow" w:cs="Times New Roman"/>
                <w:b/>
                <w:bCs/>
                <w:color w:val="000000"/>
                <w:sz w:val="18"/>
                <w:szCs w:val="18"/>
              </w:rPr>
              <w:t>Wage ($/hour)</w:t>
            </w:r>
          </w:p>
        </w:tc>
        <w:tc>
          <w:tcPr>
            <w:tcW w:w="481" w:type="pct"/>
            <w:tcBorders>
              <w:top w:val="nil"/>
              <w:left w:val="nil"/>
              <w:bottom w:val="single" w:sz="8" w:space="0" w:color="auto"/>
              <w:right w:val="single" w:sz="8" w:space="0" w:color="auto"/>
            </w:tcBorders>
            <w:shd w:val="clear" w:color="auto" w:fill="BFBFBF"/>
            <w:vAlign w:val="center"/>
            <w:hideMark/>
          </w:tcPr>
          <w:p w14:paraId="2C922FE0" w14:textId="77777777" w:rsidR="00BA3A81" w:rsidRPr="00B43006" w:rsidRDefault="00BA3A81" w:rsidP="00BA3A81">
            <w:pPr>
              <w:jc w:val="center"/>
              <w:rPr>
                <w:rFonts w:ascii="Arial Narrow" w:eastAsia="Times New Roman" w:hAnsi="Arial Narrow" w:cs="Times New Roman"/>
                <w:b/>
                <w:bCs/>
                <w:color w:val="000000"/>
                <w:sz w:val="18"/>
                <w:szCs w:val="18"/>
              </w:rPr>
            </w:pPr>
            <w:r w:rsidRPr="00B43006">
              <w:rPr>
                <w:rFonts w:ascii="Arial Narrow" w:eastAsia="Times New Roman" w:hAnsi="Arial Narrow" w:cs="Times New Roman"/>
                <w:b/>
                <w:bCs/>
                <w:color w:val="000000"/>
                <w:sz w:val="18"/>
                <w:szCs w:val="18"/>
              </w:rPr>
              <w:t>Fringe Benefit</w:t>
            </w:r>
          </w:p>
        </w:tc>
        <w:tc>
          <w:tcPr>
            <w:tcW w:w="577" w:type="pct"/>
            <w:tcBorders>
              <w:top w:val="nil"/>
              <w:left w:val="nil"/>
              <w:bottom w:val="single" w:sz="8" w:space="0" w:color="auto"/>
              <w:right w:val="single" w:sz="8" w:space="0" w:color="auto"/>
            </w:tcBorders>
            <w:shd w:val="clear" w:color="auto" w:fill="BFBFBF"/>
            <w:vAlign w:val="center"/>
            <w:hideMark/>
          </w:tcPr>
          <w:p w14:paraId="7F437538" w14:textId="77777777" w:rsidR="00BA3A81" w:rsidRPr="00B43006" w:rsidRDefault="00BA3A81" w:rsidP="00BA3A81">
            <w:pPr>
              <w:jc w:val="center"/>
              <w:rPr>
                <w:rFonts w:ascii="Arial Narrow" w:eastAsia="Times New Roman" w:hAnsi="Arial Narrow" w:cs="Times New Roman"/>
                <w:b/>
                <w:bCs/>
                <w:color w:val="000000"/>
                <w:sz w:val="18"/>
                <w:szCs w:val="18"/>
              </w:rPr>
            </w:pPr>
            <w:r w:rsidRPr="00B43006">
              <w:rPr>
                <w:rFonts w:ascii="Arial Narrow" w:eastAsia="Times New Roman" w:hAnsi="Arial Narrow" w:cs="Times New Roman"/>
                <w:b/>
                <w:bCs/>
                <w:color w:val="000000"/>
                <w:sz w:val="18"/>
                <w:szCs w:val="18"/>
              </w:rPr>
              <w:t>Fringes as % wage</w:t>
            </w:r>
          </w:p>
        </w:tc>
        <w:tc>
          <w:tcPr>
            <w:tcW w:w="529" w:type="pct"/>
            <w:tcBorders>
              <w:top w:val="nil"/>
              <w:left w:val="nil"/>
              <w:bottom w:val="single" w:sz="8" w:space="0" w:color="auto"/>
              <w:right w:val="single" w:sz="8" w:space="0" w:color="auto"/>
            </w:tcBorders>
            <w:shd w:val="clear" w:color="auto" w:fill="BFBFBF"/>
            <w:vAlign w:val="center"/>
            <w:hideMark/>
          </w:tcPr>
          <w:p w14:paraId="59F4E52C" w14:textId="77777777" w:rsidR="00BA3A81" w:rsidRPr="00B43006" w:rsidRDefault="00BA3A81" w:rsidP="00BA3A81">
            <w:pPr>
              <w:jc w:val="center"/>
              <w:rPr>
                <w:rFonts w:ascii="Arial Narrow" w:eastAsia="Times New Roman" w:hAnsi="Arial Narrow" w:cs="Times New Roman"/>
                <w:b/>
                <w:bCs/>
                <w:color w:val="000000"/>
                <w:sz w:val="18"/>
                <w:szCs w:val="18"/>
              </w:rPr>
            </w:pPr>
            <w:r w:rsidRPr="00B43006">
              <w:rPr>
                <w:rFonts w:ascii="Arial Narrow" w:eastAsia="Times New Roman" w:hAnsi="Arial Narrow" w:cs="Times New Roman"/>
                <w:b/>
                <w:bCs/>
                <w:color w:val="000000"/>
                <w:sz w:val="18"/>
                <w:szCs w:val="18"/>
              </w:rPr>
              <w:t>Overhead as % wage</w:t>
            </w:r>
          </w:p>
        </w:tc>
        <w:tc>
          <w:tcPr>
            <w:tcW w:w="773" w:type="pct"/>
            <w:tcBorders>
              <w:top w:val="nil"/>
              <w:left w:val="nil"/>
              <w:bottom w:val="single" w:sz="8" w:space="0" w:color="auto"/>
              <w:right w:val="single" w:sz="8" w:space="0" w:color="auto"/>
            </w:tcBorders>
            <w:shd w:val="clear" w:color="auto" w:fill="BFBFBF"/>
            <w:vAlign w:val="center"/>
            <w:hideMark/>
          </w:tcPr>
          <w:p w14:paraId="23089E54" w14:textId="77777777" w:rsidR="00BA3A81" w:rsidRPr="00B43006" w:rsidRDefault="00BA3A81" w:rsidP="00BA3A81">
            <w:pPr>
              <w:jc w:val="center"/>
              <w:rPr>
                <w:rFonts w:ascii="Arial Narrow" w:eastAsia="Times New Roman" w:hAnsi="Arial Narrow" w:cs="Times New Roman"/>
                <w:b/>
                <w:bCs/>
                <w:color w:val="000000"/>
                <w:sz w:val="18"/>
                <w:szCs w:val="18"/>
              </w:rPr>
            </w:pPr>
            <w:r w:rsidRPr="00B43006">
              <w:rPr>
                <w:rFonts w:ascii="Arial Narrow" w:eastAsia="Times New Roman" w:hAnsi="Arial Narrow" w:cs="Times New Roman"/>
                <w:b/>
                <w:bCs/>
                <w:color w:val="000000"/>
                <w:sz w:val="18"/>
                <w:szCs w:val="18"/>
              </w:rPr>
              <w:t>Fringe + Overhead Factor</w:t>
            </w:r>
          </w:p>
        </w:tc>
        <w:tc>
          <w:tcPr>
            <w:tcW w:w="573" w:type="pct"/>
            <w:tcBorders>
              <w:top w:val="nil"/>
              <w:left w:val="nil"/>
              <w:bottom w:val="single" w:sz="8" w:space="0" w:color="auto"/>
              <w:right w:val="single" w:sz="8" w:space="0" w:color="auto"/>
            </w:tcBorders>
            <w:shd w:val="clear" w:color="auto" w:fill="BFBFBF"/>
            <w:vAlign w:val="center"/>
            <w:hideMark/>
          </w:tcPr>
          <w:p w14:paraId="1CAED216" w14:textId="77777777" w:rsidR="00BA3A81" w:rsidRPr="00B43006" w:rsidRDefault="00BA3A81" w:rsidP="00BA3A81">
            <w:pPr>
              <w:jc w:val="center"/>
              <w:rPr>
                <w:rFonts w:ascii="Arial Narrow" w:eastAsia="Times New Roman" w:hAnsi="Arial Narrow" w:cs="Times New Roman"/>
                <w:b/>
                <w:bCs/>
                <w:color w:val="000000"/>
                <w:sz w:val="18"/>
                <w:szCs w:val="18"/>
              </w:rPr>
            </w:pPr>
            <w:r w:rsidRPr="00B43006">
              <w:rPr>
                <w:rFonts w:ascii="Arial Narrow" w:eastAsia="Times New Roman" w:hAnsi="Arial Narrow" w:cs="Times New Roman"/>
                <w:b/>
                <w:bCs/>
                <w:color w:val="000000"/>
                <w:sz w:val="18"/>
                <w:szCs w:val="18"/>
              </w:rPr>
              <w:t>Loaded Wage ($/hr)</w:t>
            </w:r>
          </w:p>
        </w:tc>
      </w:tr>
      <w:tr w:rsidR="00BA3A81" w:rsidRPr="00BA3A81" w14:paraId="302401F6" w14:textId="77777777" w:rsidTr="002C1543">
        <w:trPr>
          <w:trHeight w:val="300"/>
          <w:tblHeader/>
        </w:trPr>
        <w:tc>
          <w:tcPr>
            <w:tcW w:w="481" w:type="pct"/>
            <w:vMerge/>
            <w:tcBorders>
              <w:top w:val="nil"/>
              <w:left w:val="single" w:sz="8" w:space="0" w:color="auto"/>
              <w:bottom w:val="single" w:sz="8" w:space="0" w:color="000000"/>
              <w:right w:val="single" w:sz="8" w:space="0" w:color="auto"/>
            </w:tcBorders>
            <w:shd w:val="clear" w:color="auto" w:fill="BFBFBF"/>
            <w:vAlign w:val="center"/>
            <w:hideMark/>
          </w:tcPr>
          <w:p w14:paraId="1693758F" w14:textId="77777777" w:rsidR="00BA3A81" w:rsidRPr="00B43006" w:rsidRDefault="00BA3A81" w:rsidP="00BA3A81">
            <w:pPr>
              <w:rPr>
                <w:rFonts w:ascii="Arial Narrow" w:eastAsia="Times New Roman" w:hAnsi="Arial Narrow" w:cs="Times New Roman"/>
                <w:b/>
                <w:bCs/>
                <w:color w:val="000000"/>
                <w:sz w:val="18"/>
                <w:szCs w:val="18"/>
              </w:rPr>
            </w:pPr>
          </w:p>
        </w:tc>
        <w:tc>
          <w:tcPr>
            <w:tcW w:w="1105" w:type="pct"/>
            <w:vMerge/>
            <w:tcBorders>
              <w:top w:val="nil"/>
              <w:left w:val="single" w:sz="8" w:space="0" w:color="auto"/>
              <w:bottom w:val="single" w:sz="8" w:space="0" w:color="000000"/>
              <w:right w:val="single" w:sz="8" w:space="0" w:color="auto"/>
            </w:tcBorders>
            <w:shd w:val="clear" w:color="auto" w:fill="BFBFBF"/>
            <w:vAlign w:val="center"/>
            <w:hideMark/>
          </w:tcPr>
          <w:p w14:paraId="3211A7D2" w14:textId="77777777" w:rsidR="00BA3A81" w:rsidRPr="00B43006" w:rsidRDefault="00BA3A81" w:rsidP="00BA3A81">
            <w:pPr>
              <w:rPr>
                <w:rFonts w:ascii="Arial Narrow" w:eastAsia="Times New Roman" w:hAnsi="Arial Narrow" w:cs="Times New Roman"/>
                <w:b/>
                <w:bCs/>
                <w:color w:val="000000"/>
                <w:sz w:val="18"/>
                <w:szCs w:val="18"/>
              </w:rPr>
            </w:pPr>
          </w:p>
        </w:tc>
        <w:tc>
          <w:tcPr>
            <w:tcW w:w="481" w:type="pct"/>
            <w:tcBorders>
              <w:top w:val="nil"/>
              <w:left w:val="nil"/>
              <w:bottom w:val="single" w:sz="8" w:space="0" w:color="auto"/>
              <w:right w:val="single" w:sz="8" w:space="0" w:color="auto"/>
            </w:tcBorders>
            <w:shd w:val="clear" w:color="auto" w:fill="BFBFBF"/>
            <w:vAlign w:val="center"/>
            <w:hideMark/>
          </w:tcPr>
          <w:p w14:paraId="6A5FF7F5" w14:textId="77777777" w:rsidR="00BA3A81" w:rsidRPr="00B43006" w:rsidRDefault="00BA3A81" w:rsidP="00BA3A81">
            <w:pPr>
              <w:jc w:val="center"/>
              <w:rPr>
                <w:rFonts w:ascii="Arial Narrow" w:eastAsia="Times New Roman" w:hAnsi="Arial Narrow" w:cs="Times New Roman"/>
                <w:b/>
                <w:bCs/>
                <w:color w:val="000000"/>
                <w:sz w:val="18"/>
                <w:szCs w:val="18"/>
              </w:rPr>
            </w:pPr>
            <w:r w:rsidRPr="00B43006">
              <w:rPr>
                <w:rFonts w:ascii="Arial Narrow" w:eastAsia="Times New Roman" w:hAnsi="Arial Narrow" w:cs="Times New Roman"/>
                <w:b/>
                <w:bCs/>
                <w:color w:val="000000"/>
                <w:sz w:val="18"/>
                <w:szCs w:val="18"/>
              </w:rPr>
              <w:t>(a)</w:t>
            </w:r>
          </w:p>
        </w:tc>
        <w:tc>
          <w:tcPr>
            <w:tcW w:w="481" w:type="pct"/>
            <w:tcBorders>
              <w:top w:val="nil"/>
              <w:left w:val="nil"/>
              <w:bottom w:val="single" w:sz="8" w:space="0" w:color="auto"/>
              <w:right w:val="single" w:sz="8" w:space="0" w:color="auto"/>
            </w:tcBorders>
            <w:shd w:val="clear" w:color="auto" w:fill="BFBFBF"/>
            <w:vAlign w:val="center"/>
            <w:hideMark/>
          </w:tcPr>
          <w:p w14:paraId="7EB85595" w14:textId="77777777" w:rsidR="00BA3A81" w:rsidRPr="00B43006" w:rsidRDefault="00BA3A81" w:rsidP="00BA3A81">
            <w:pPr>
              <w:jc w:val="center"/>
              <w:rPr>
                <w:rFonts w:ascii="Arial Narrow" w:eastAsia="Times New Roman" w:hAnsi="Arial Narrow" w:cs="Times New Roman"/>
                <w:b/>
                <w:bCs/>
                <w:color w:val="000000"/>
                <w:sz w:val="18"/>
                <w:szCs w:val="18"/>
              </w:rPr>
            </w:pPr>
            <w:r w:rsidRPr="00B43006">
              <w:rPr>
                <w:rFonts w:ascii="Arial Narrow" w:eastAsia="Times New Roman" w:hAnsi="Arial Narrow" w:cs="Times New Roman"/>
                <w:b/>
                <w:bCs/>
                <w:color w:val="000000"/>
                <w:sz w:val="18"/>
                <w:szCs w:val="18"/>
              </w:rPr>
              <w:t>(b)</w:t>
            </w:r>
          </w:p>
        </w:tc>
        <w:tc>
          <w:tcPr>
            <w:tcW w:w="577" w:type="pct"/>
            <w:tcBorders>
              <w:top w:val="nil"/>
              <w:left w:val="nil"/>
              <w:bottom w:val="single" w:sz="8" w:space="0" w:color="auto"/>
              <w:right w:val="single" w:sz="8" w:space="0" w:color="auto"/>
            </w:tcBorders>
            <w:shd w:val="clear" w:color="auto" w:fill="BFBFBF"/>
            <w:vAlign w:val="center"/>
            <w:hideMark/>
          </w:tcPr>
          <w:p w14:paraId="00B81E55" w14:textId="77777777" w:rsidR="00BA3A81" w:rsidRPr="00B43006" w:rsidRDefault="00BA3A81" w:rsidP="00BA3A81">
            <w:pPr>
              <w:jc w:val="center"/>
              <w:rPr>
                <w:rFonts w:ascii="Arial Narrow" w:eastAsia="Times New Roman" w:hAnsi="Arial Narrow" w:cs="Times New Roman"/>
                <w:b/>
                <w:bCs/>
                <w:color w:val="000000"/>
                <w:sz w:val="18"/>
                <w:szCs w:val="18"/>
              </w:rPr>
            </w:pPr>
            <w:r w:rsidRPr="00B43006">
              <w:rPr>
                <w:rFonts w:ascii="Arial Narrow" w:eastAsia="Times New Roman" w:hAnsi="Arial Narrow" w:cs="Times New Roman"/>
                <w:b/>
                <w:bCs/>
                <w:color w:val="000000"/>
                <w:sz w:val="18"/>
                <w:szCs w:val="18"/>
              </w:rPr>
              <w:t>(c) = (b) / (a)</w:t>
            </w:r>
          </w:p>
        </w:tc>
        <w:tc>
          <w:tcPr>
            <w:tcW w:w="529" w:type="pct"/>
            <w:tcBorders>
              <w:top w:val="nil"/>
              <w:left w:val="nil"/>
              <w:bottom w:val="single" w:sz="8" w:space="0" w:color="auto"/>
              <w:right w:val="single" w:sz="8" w:space="0" w:color="auto"/>
            </w:tcBorders>
            <w:shd w:val="clear" w:color="auto" w:fill="BFBFBF"/>
            <w:vAlign w:val="center"/>
            <w:hideMark/>
          </w:tcPr>
          <w:p w14:paraId="32705741" w14:textId="77777777" w:rsidR="00BA3A81" w:rsidRPr="00B43006" w:rsidRDefault="00BA3A81" w:rsidP="00BA3A81">
            <w:pPr>
              <w:jc w:val="center"/>
              <w:rPr>
                <w:rFonts w:ascii="Arial Narrow" w:eastAsia="Times New Roman" w:hAnsi="Arial Narrow" w:cs="Times New Roman"/>
                <w:b/>
                <w:bCs/>
                <w:color w:val="000000"/>
                <w:sz w:val="18"/>
                <w:szCs w:val="18"/>
              </w:rPr>
            </w:pPr>
            <w:r w:rsidRPr="00B43006">
              <w:rPr>
                <w:rFonts w:ascii="Arial Narrow" w:eastAsia="Times New Roman" w:hAnsi="Arial Narrow" w:cs="Times New Roman"/>
                <w:b/>
                <w:bCs/>
                <w:color w:val="000000"/>
                <w:sz w:val="18"/>
                <w:szCs w:val="18"/>
              </w:rPr>
              <w:t>(d)</w:t>
            </w:r>
          </w:p>
        </w:tc>
        <w:tc>
          <w:tcPr>
            <w:tcW w:w="773" w:type="pct"/>
            <w:tcBorders>
              <w:top w:val="nil"/>
              <w:left w:val="nil"/>
              <w:bottom w:val="single" w:sz="8" w:space="0" w:color="auto"/>
              <w:right w:val="single" w:sz="8" w:space="0" w:color="auto"/>
            </w:tcBorders>
            <w:shd w:val="clear" w:color="auto" w:fill="BFBFBF"/>
            <w:vAlign w:val="center"/>
            <w:hideMark/>
          </w:tcPr>
          <w:p w14:paraId="1AD0312F" w14:textId="77777777" w:rsidR="00BA3A81" w:rsidRPr="00B43006" w:rsidRDefault="00BA3A81" w:rsidP="00BA3A81">
            <w:pPr>
              <w:jc w:val="center"/>
              <w:rPr>
                <w:rFonts w:ascii="Arial Narrow" w:eastAsia="Times New Roman" w:hAnsi="Arial Narrow" w:cs="Times New Roman"/>
                <w:b/>
                <w:bCs/>
                <w:color w:val="000000"/>
                <w:sz w:val="18"/>
                <w:szCs w:val="18"/>
              </w:rPr>
            </w:pPr>
            <w:r w:rsidRPr="00B43006">
              <w:rPr>
                <w:rFonts w:ascii="Arial Narrow" w:eastAsia="Times New Roman" w:hAnsi="Arial Narrow" w:cs="Times New Roman"/>
                <w:b/>
                <w:bCs/>
                <w:color w:val="000000"/>
                <w:sz w:val="18"/>
                <w:szCs w:val="18"/>
              </w:rPr>
              <w:t>(e) = (c) + (d) + 1</w:t>
            </w:r>
          </w:p>
        </w:tc>
        <w:tc>
          <w:tcPr>
            <w:tcW w:w="573" w:type="pct"/>
            <w:tcBorders>
              <w:top w:val="nil"/>
              <w:left w:val="nil"/>
              <w:bottom w:val="single" w:sz="8" w:space="0" w:color="auto"/>
              <w:right w:val="single" w:sz="8" w:space="0" w:color="auto"/>
            </w:tcBorders>
            <w:shd w:val="clear" w:color="auto" w:fill="BFBFBF"/>
            <w:vAlign w:val="center"/>
            <w:hideMark/>
          </w:tcPr>
          <w:p w14:paraId="3FFB8B83" w14:textId="77777777" w:rsidR="00BA3A81" w:rsidRPr="00B43006" w:rsidRDefault="00BA3A81" w:rsidP="00BA3A81">
            <w:pPr>
              <w:jc w:val="center"/>
              <w:rPr>
                <w:rFonts w:ascii="Arial Narrow" w:eastAsia="Times New Roman" w:hAnsi="Arial Narrow" w:cs="Times New Roman"/>
                <w:b/>
                <w:bCs/>
                <w:color w:val="000000"/>
                <w:sz w:val="18"/>
                <w:szCs w:val="18"/>
              </w:rPr>
            </w:pPr>
            <w:r w:rsidRPr="00B43006">
              <w:rPr>
                <w:rFonts w:ascii="Arial Narrow" w:eastAsia="Times New Roman" w:hAnsi="Arial Narrow" w:cs="Times New Roman"/>
                <w:b/>
                <w:bCs/>
                <w:color w:val="000000"/>
                <w:sz w:val="18"/>
                <w:szCs w:val="18"/>
              </w:rPr>
              <w:t>(f) = (a) * (e)</w:t>
            </w:r>
          </w:p>
        </w:tc>
      </w:tr>
      <w:tr w:rsidR="00BA3A81" w:rsidRPr="00BA3A81" w14:paraId="2AB14254" w14:textId="77777777" w:rsidTr="002C1543">
        <w:tc>
          <w:tcPr>
            <w:tcW w:w="481" w:type="pct"/>
            <w:tcBorders>
              <w:top w:val="nil"/>
              <w:left w:val="single" w:sz="8" w:space="0" w:color="auto"/>
              <w:bottom w:val="single" w:sz="6" w:space="0" w:color="auto"/>
              <w:right w:val="single" w:sz="6" w:space="0" w:color="auto"/>
            </w:tcBorders>
            <w:shd w:val="clear" w:color="auto" w:fill="auto"/>
            <w:vAlign w:val="center"/>
            <w:hideMark/>
          </w:tcPr>
          <w:p w14:paraId="706C0298" w14:textId="77777777" w:rsidR="00BA3A81" w:rsidRPr="00B43006" w:rsidRDefault="00BA3A81" w:rsidP="006567EE">
            <w:pPr>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EPA program staff</w:t>
            </w:r>
          </w:p>
        </w:tc>
        <w:tc>
          <w:tcPr>
            <w:tcW w:w="1105" w:type="pct"/>
            <w:tcBorders>
              <w:top w:val="nil"/>
              <w:left w:val="single" w:sz="6" w:space="0" w:color="auto"/>
              <w:bottom w:val="single" w:sz="6" w:space="0" w:color="auto"/>
              <w:right w:val="single" w:sz="6" w:space="0" w:color="auto"/>
            </w:tcBorders>
            <w:shd w:val="clear" w:color="auto" w:fill="auto"/>
            <w:vAlign w:val="center"/>
            <w:hideMark/>
          </w:tcPr>
          <w:p w14:paraId="7AAC8550" w14:textId="77777777" w:rsidR="00BA3A81" w:rsidRPr="00B43006" w:rsidRDefault="00BA3A81" w:rsidP="006567EE">
            <w:pPr>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Annual federal staff cost: OPM Washington-Baltimore-Northern Virginia, DC-MD-PA-VA-WV area,</w:t>
            </w:r>
            <w:r w:rsidRPr="00B43006">
              <w:rPr>
                <w:rFonts w:ascii="Arial Narrow" w:eastAsia="Times New Roman" w:hAnsi="Arial Narrow" w:cs="Times New Roman"/>
                <w:color w:val="000000"/>
                <w:sz w:val="18"/>
                <w:szCs w:val="18"/>
                <w:u w:val="single"/>
              </w:rPr>
              <w:t xml:space="preserve"> </w:t>
            </w:r>
            <w:r w:rsidRPr="00B43006">
              <w:rPr>
                <w:rFonts w:ascii="Arial Narrow" w:eastAsia="Times New Roman" w:hAnsi="Arial Narrow" w:cs="Times New Roman"/>
                <w:color w:val="000000"/>
                <w:sz w:val="18"/>
                <w:szCs w:val="18"/>
              </w:rPr>
              <w:t xml:space="preserve">GS-12 Step 3 pay rates </w:t>
            </w:r>
            <w:r w:rsidR="00F05346" w:rsidRPr="00F05346">
              <w:rPr>
                <w:rFonts w:ascii="Arial Narrow" w:eastAsia="Times New Roman" w:hAnsi="Arial Narrow" w:cs="Times New Roman"/>
                <w:color w:val="000000"/>
                <w:sz w:val="18"/>
                <w:szCs w:val="18"/>
                <w:vertAlign w:val="superscript"/>
              </w:rPr>
              <w:t>1</w:t>
            </w:r>
          </w:p>
        </w:tc>
        <w:tc>
          <w:tcPr>
            <w:tcW w:w="481" w:type="pct"/>
            <w:tcBorders>
              <w:top w:val="nil"/>
              <w:left w:val="single" w:sz="6" w:space="0" w:color="auto"/>
              <w:bottom w:val="single" w:sz="6" w:space="0" w:color="auto"/>
              <w:right w:val="single" w:sz="6" w:space="0" w:color="auto"/>
            </w:tcBorders>
            <w:shd w:val="clear" w:color="auto" w:fill="auto"/>
            <w:vAlign w:val="center"/>
            <w:hideMark/>
          </w:tcPr>
          <w:p w14:paraId="47835742" w14:textId="77777777" w:rsidR="00BA3A81" w:rsidRPr="00B43006" w:rsidRDefault="00BA3A81" w:rsidP="006567EE">
            <w:pPr>
              <w:ind w:right="101"/>
              <w:jc w:val="right"/>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w:t>
            </w:r>
            <w:r w:rsidR="006A7E9B">
              <w:rPr>
                <w:rFonts w:ascii="Arial Narrow" w:eastAsia="Times New Roman" w:hAnsi="Arial Narrow" w:cs="Times New Roman"/>
                <w:color w:val="000000"/>
                <w:sz w:val="18"/>
                <w:szCs w:val="18"/>
              </w:rPr>
              <w:t>39</w:t>
            </w:r>
            <w:r w:rsidRPr="00B43006">
              <w:rPr>
                <w:rFonts w:ascii="Arial Narrow" w:eastAsia="Times New Roman" w:hAnsi="Arial Narrow" w:cs="Times New Roman"/>
                <w:color w:val="000000"/>
                <w:sz w:val="18"/>
                <w:szCs w:val="18"/>
              </w:rPr>
              <w:t>.</w:t>
            </w:r>
            <w:r w:rsidR="006A7E9B">
              <w:rPr>
                <w:rFonts w:ascii="Arial Narrow" w:eastAsia="Times New Roman" w:hAnsi="Arial Narrow" w:cs="Times New Roman"/>
                <w:color w:val="000000"/>
                <w:sz w:val="18"/>
                <w:szCs w:val="18"/>
              </w:rPr>
              <w:t>61</w:t>
            </w:r>
          </w:p>
        </w:tc>
        <w:tc>
          <w:tcPr>
            <w:tcW w:w="481" w:type="pct"/>
            <w:tcBorders>
              <w:top w:val="nil"/>
              <w:left w:val="single" w:sz="6" w:space="0" w:color="auto"/>
              <w:bottom w:val="single" w:sz="6" w:space="0" w:color="auto"/>
              <w:right w:val="single" w:sz="6" w:space="0" w:color="auto"/>
            </w:tcBorders>
            <w:shd w:val="clear" w:color="auto" w:fill="auto"/>
            <w:vAlign w:val="center"/>
            <w:hideMark/>
          </w:tcPr>
          <w:p w14:paraId="14B748EF" w14:textId="77777777" w:rsidR="00BA3A81" w:rsidRPr="00B43006" w:rsidRDefault="00BA3A81" w:rsidP="006567EE">
            <w:pPr>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Included in 60% overhead</w:t>
            </w:r>
          </w:p>
        </w:tc>
        <w:tc>
          <w:tcPr>
            <w:tcW w:w="577" w:type="pct"/>
            <w:tcBorders>
              <w:top w:val="nil"/>
              <w:left w:val="single" w:sz="6" w:space="0" w:color="auto"/>
              <w:bottom w:val="single" w:sz="6" w:space="0" w:color="auto"/>
              <w:right w:val="single" w:sz="6" w:space="0" w:color="auto"/>
            </w:tcBorders>
            <w:shd w:val="clear" w:color="auto" w:fill="auto"/>
            <w:vAlign w:val="center"/>
            <w:hideMark/>
          </w:tcPr>
          <w:p w14:paraId="5675B703" w14:textId="77777777" w:rsidR="00BA3A81" w:rsidRPr="00B43006" w:rsidRDefault="00BA3A81" w:rsidP="006567EE">
            <w:pPr>
              <w:ind w:right="101"/>
              <w:jc w:val="right"/>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N/A</w:t>
            </w:r>
          </w:p>
        </w:tc>
        <w:tc>
          <w:tcPr>
            <w:tcW w:w="529" w:type="pct"/>
            <w:tcBorders>
              <w:top w:val="nil"/>
              <w:left w:val="single" w:sz="6" w:space="0" w:color="auto"/>
              <w:bottom w:val="single" w:sz="6" w:space="0" w:color="auto"/>
              <w:right w:val="single" w:sz="6" w:space="0" w:color="auto"/>
            </w:tcBorders>
            <w:shd w:val="clear" w:color="auto" w:fill="auto"/>
            <w:vAlign w:val="center"/>
            <w:hideMark/>
          </w:tcPr>
          <w:p w14:paraId="7CFAE526" w14:textId="77777777" w:rsidR="00BA3A81" w:rsidRPr="00B43006" w:rsidRDefault="00BA3A81" w:rsidP="006567EE">
            <w:pPr>
              <w:ind w:right="101"/>
              <w:jc w:val="right"/>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 xml:space="preserve">60% </w:t>
            </w:r>
            <w:r w:rsidR="00F05346">
              <w:rPr>
                <w:rFonts w:ascii="Arial Narrow" w:eastAsia="Times New Roman" w:hAnsi="Arial Narrow" w:cs="Times New Roman"/>
                <w:color w:val="000000"/>
                <w:sz w:val="18"/>
                <w:szCs w:val="18"/>
                <w:vertAlign w:val="superscript"/>
              </w:rPr>
              <w:t>2</w:t>
            </w:r>
          </w:p>
        </w:tc>
        <w:tc>
          <w:tcPr>
            <w:tcW w:w="773" w:type="pct"/>
            <w:tcBorders>
              <w:top w:val="nil"/>
              <w:left w:val="single" w:sz="6" w:space="0" w:color="auto"/>
              <w:bottom w:val="single" w:sz="6" w:space="0" w:color="auto"/>
              <w:right w:val="single" w:sz="6" w:space="0" w:color="auto"/>
            </w:tcBorders>
            <w:shd w:val="clear" w:color="auto" w:fill="auto"/>
            <w:vAlign w:val="center"/>
            <w:hideMark/>
          </w:tcPr>
          <w:p w14:paraId="4035D4B2" w14:textId="77777777" w:rsidR="00BA3A81" w:rsidRPr="00B43006" w:rsidRDefault="00BA3A81" w:rsidP="006567EE">
            <w:pPr>
              <w:ind w:right="101"/>
              <w:jc w:val="right"/>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1.6</w:t>
            </w:r>
          </w:p>
        </w:tc>
        <w:tc>
          <w:tcPr>
            <w:tcW w:w="573" w:type="pct"/>
            <w:tcBorders>
              <w:top w:val="nil"/>
              <w:left w:val="single" w:sz="6" w:space="0" w:color="auto"/>
              <w:bottom w:val="single" w:sz="6" w:space="0" w:color="auto"/>
              <w:right w:val="single" w:sz="8" w:space="0" w:color="auto"/>
            </w:tcBorders>
            <w:shd w:val="clear" w:color="auto" w:fill="auto"/>
            <w:vAlign w:val="center"/>
            <w:hideMark/>
          </w:tcPr>
          <w:p w14:paraId="6C2D8E19" w14:textId="77777777" w:rsidR="00BA3A81" w:rsidRPr="00B43006" w:rsidRDefault="00BA3A81" w:rsidP="006567EE">
            <w:pPr>
              <w:ind w:right="101"/>
              <w:jc w:val="right"/>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$6</w:t>
            </w:r>
            <w:r w:rsidR="006A7E9B">
              <w:rPr>
                <w:rFonts w:ascii="Arial Narrow" w:eastAsia="Times New Roman" w:hAnsi="Arial Narrow" w:cs="Times New Roman"/>
                <w:color w:val="000000"/>
                <w:sz w:val="18"/>
                <w:szCs w:val="18"/>
              </w:rPr>
              <w:t>3</w:t>
            </w:r>
            <w:r w:rsidRPr="00B43006">
              <w:rPr>
                <w:rFonts w:ascii="Arial Narrow" w:eastAsia="Times New Roman" w:hAnsi="Arial Narrow" w:cs="Times New Roman"/>
                <w:color w:val="000000"/>
                <w:sz w:val="18"/>
                <w:szCs w:val="18"/>
              </w:rPr>
              <w:t>.</w:t>
            </w:r>
            <w:r w:rsidR="006A7E9B">
              <w:rPr>
                <w:rFonts w:ascii="Arial Narrow" w:eastAsia="Times New Roman" w:hAnsi="Arial Narrow" w:cs="Times New Roman"/>
                <w:color w:val="000000"/>
                <w:sz w:val="18"/>
                <w:szCs w:val="18"/>
              </w:rPr>
              <w:t>38</w:t>
            </w:r>
          </w:p>
        </w:tc>
      </w:tr>
      <w:tr w:rsidR="00BA3A81" w:rsidRPr="00BA3A81" w14:paraId="5B78430A" w14:textId="77777777" w:rsidTr="002C1543">
        <w:tc>
          <w:tcPr>
            <w:tcW w:w="481" w:type="pct"/>
            <w:tcBorders>
              <w:top w:val="single" w:sz="6" w:space="0" w:color="auto"/>
              <w:left w:val="single" w:sz="8" w:space="0" w:color="auto"/>
              <w:bottom w:val="single" w:sz="8" w:space="0" w:color="auto"/>
              <w:right w:val="single" w:sz="6" w:space="0" w:color="auto"/>
            </w:tcBorders>
            <w:shd w:val="clear" w:color="auto" w:fill="auto"/>
            <w:vAlign w:val="center"/>
            <w:hideMark/>
          </w:tcPr>
          <w:p w14:paraId="6D4A640F" w14:textId="77777777" w:rsidR="00BA3A81" w:rsidRPr="00B43006" w:rsidRDefault="00BA3A81" w:rsidP="006567EE">
            <w:pPr>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EPA IT staff</w:t>
            </w:r>
          </w:p>
        </w:tc>
        <w:tc>
          <w:tcPr>
            <w:tcW w:w="1105" w:type="pct"/>
            <w:tcBorders>
              <w:top w:val="single" w:sz="6" w:space="0" w:color="auto"/>
              <w:left w:val="single" w:sz="6" w:space="0" w:color="auto"/>
              <w:bottom w:val="single" w:sz="8" w:space="0" w:color="auto"/>
              <w:right w:val="single" w:sz="6" w:space="0" w:color="auto"/>
            </w:tcBorders>
            <w:shd w:val="clear" w:color="auto" w:fill="auto"/>
            <w:vAlign w:val="center"/>
            <w:hideMark/>
          </w:tcPr>
          <w:p w14:paraId="59ED8198" w14:textId="77777777" w:rsidR="00BA3A81" w:rsidRPr="00B43006" w:rsidRDefault="00BA3A81" w:rsidP="006567EE">
            <w:pPr>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Annual federal staff cost: OPM Washington-Baltimore-Northern Virginia, DC-MD-PA-VA-WV area,</w:t>
            </w:r>
            <w:r w:rsidRPr="00B43006">
              <w:rPr>
                <w:rFonts w:ascii="Arial Narrow" w:eastAsia="Times New Roman" w:hAnsi="Arial Narrow" w:cs="Times New Roman"/>
                <w:color w:val="000000"/>
                <w:sz w:val="18"/>
                <w:szCs w:val="18"/>
                <w:u w:val="single"/>
              </w:rPr>
              <w:t xml:space="preserve"> </w:t>
            </w:r>
            <w:r w:rsidRPr="00B43006">
              <w:rPr>
                <w:rFonts w:ascii="Arial Narrow" w:eastAsia="Times New Roman" w:hAnsi="Arial Narrow" w:cs="Times New Roman"/>
                <w:color w:val="000000"/>
                <w:sz w:val="18"/>
                <w:szCs w:val="18"/>
              </w:rPr>
              <w:t xml:space="preserve">GS-13 Step 3 pay rates </w:t>
            </w:r>
            <w:r w:rsidR="00F05346">
              <w:rPr>
                <w:rFonts w:ascii="Arial Narrow" w:eastAsia="Times New Roman" w:hAnsi="Arial Narrow" w:cs="Times New Roman"/>
                <w:color w:val="000000"/>
                <w:sz w:val="18"/>
                <w:szCs w:val="18"/>
                <w:vertAlign w:val="superscript"/>
              </w:rPr>
              <w:t>1</w:t>
            </w:r>
          </w:p>
        </w:tc>
        <w:tc>
          <w:tcPr>
            <w:tcW w:w="481" w:type="pct"/>
            <w:tcBorders>
              <w:top w:val="single" w:sz="6" w:space="0" w:color="auto"/>
              <w:left w:val="single" w:sz="6" w:space="0" w:color="auto"/>
              <w:bottom w:val="single" w:sz="8" w:space="0" w:color="auto"/>
              <w:right w:val="single" w:sz="6" w:space="0" w:color="auto"/>
            </w:tcBorders>
            <w:shd w:val="clear" w:color="auto" w:fill="auto"/>
            <w:vAlign w:val="center"/>
            <w:hideMark/>
          </w:tcPr>
          <w:p w14:paraId="07917EA9" w14:textId="77777777" w:rsidR="00BA3A81" w:rsidRPr="00B43006" w:rsidRDefault="00BA3A81" w:rsidP="006567EE">
            <w:pPr>
              <w:ind w:right="101"/>
              <w:jc w:val="right"/>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$4</w:t>
            </w:r>
            <w:r w:rsidR="006A7E9B">
              <w:rPr>
                <w:rFonts w:ascii="Arial Narrow" w:eastAsia="Times New Roman" w:hAnsi="Arial Narrow" w:cs="Times New Roman"/>
                <w:color w:val="000000"/>
                <w:sz w:val="18"/>
                <w:szCs w:val="18"/>
              </w:rPr>
              <w:t>7</w:t>
            </w:r>
            <w:r w:rsidRPr="00B43006">
              <w:rPr>
                <w:rFonts w:ascii="Arial Narrow" w:eastAsia="Times New Roman" w:hAnsi="Arial Narrow" w:cs="Times New Roman"/>
                <w:color w:val="000000"/>
                <w:sz w:val="18"/>
                <w:szCs w:val="18"/>
              </w:rPr>
              <w:t>.</w:t>
            </w:r>
            <w:r w:rsidR="001510E1">
              <w:rPr>
                <w:rFonts w:ascii="Arial Narrow" w:eastAsia="Times New Roman" w:hAnsi="Arial Narrow" w:cs="Times New Roman"/>
                <w:color w:val="000000"/>
                <w:sz w:val="18"/>
                <w:szCs w:val="18"/>
              </w:rPr>
              <w:t>1</w:t>
            </w:r>
            <w:r w:rsidR="006A7E9B">
              <w:rPr>
                <w:rFonts w:ascii="Arial Narrow" w:eastAsia="Times New Roman" w:hAnsi="Arial Narrow" w:cs="Times New Roman"/>
                <w:color w:val="000000"/>
                <w:sz w:val="18"/>
                <w:szCs w:val="18"/>
              </w:rPr>
              <w:t>0</w:t>
            </w:r>
          </w:p>
        </w:tc>
        <w:tc>
          <w:tcPr>
            <w:tcW w:w="481" w:type="pct"/>
            <w:tcBorders>
              <w:top w:val="single" w:sz="6" w:space="0" w:color="auto"/>
              <w:left w:val="single" w:sz="6" w:space="0" w:color="auto"/>
              <w:bottom w:val="single" w:sz="8" w:space="0" w:color="auto"/>
              <w:right w:val="single" w:sz="6" w:space="0" w:color="auto"/>
            </w:tcBorders>
            <w:shd w:val="clear" w:color="auto" w:fill="auto"/>
            <w:vAlign w:val="center"/>
            <w:hideMark/>
          </w:tcPr>
          <w:p w14:paraId="73B4D615" w14:textId="77777777" w:rsidR="00BA3A81" w:rsidRPr="00B43006" w:rsidRDefault="00BA3A81" w:rsidP="006567EE">
            <w:pPr>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Included in 60% overhead</w:t>
            </w:r>
          </w:p>
        </w:tc>
        <w:tc>
          <w:tcPr>
            <w:tcW w:w="577" w:type="pct"/>
            <w:tcBorders>
              <w:top w:val="single" w:sz="6" w:space="0" w:color="auto"/>
              <w:left w:val="single" w:sz="6" w:space="0" w:color="auto"/>
              <w:bottom w:val="single" w:sz="8" w:space="0" w:color="auto"/>
              <w:right w:val="single" w:sz="6" w:space="0" w:color="auto"/>
            </w:tcBorders>
            <w:shd w:val="clear" w:color="auto" w:fill="auto"/>
            <w:vAlign w:val="center"/>
            <w:hideMark/>
          </w:tcPr>
          <w:p w14:paraId="7B85E8C6" w14:textId="77777777" w:rsidR="00BA3A81" w:rsidRPr="00B43006" w:rsidRDefault="00BA3A81" w:rsidP="006567EE">
            <w:pPr>
              <w:ind w:right="101"/>
              <w:jc w:val="right"/>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N/A</w:t>
            </w:r>
          </w:p>
        </w:tc>
        <w:tc>
          <w:tcPr>
            <w:tcW w:w="529" w:type="pct"/>
            <w:tcBorders>
              <w:top w:val="single" w:sz="6" w:space="0" w:color="auto"/>
              <w:left w:val="single" w:sz="6" w:space="0" w:color="auto"/>
              <w:bottom w:val="single" w:sz="8" w:space="0" w:color="auto"/>
              <w:right w:val="single" w:sz="6" w:space="0" w:color="auto"/>
            </w:tcBorders>
            <w:shd w:val="clear" w:color="auto" w:fill="auto"/>
            <w:vAlign w:val="center"/>
            <w:hideMark/>
          </w:tcPr>
          <w:p w14:paraId="5B3FEB97" w14:textId="77777777" w:rsidR="00BA3A81" w:rsidRPr="00B43006" w:rsidRDefault="00BA3A81" w:rsidP="006567EE">
            <w:pPr>
              <w:ind w:right="101"/>
              <w:jc w:val="right"/>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 xml:space="preserve">60% </w:t>
            </w:r>
            <w:r w:rsidR="00F05346">
              <w:rPr>
                <w:rFonts w:ascii="Arial Narrow" w:eastAsia="Times New Roman" w:hAnsi="Arial Narrow" w:cs="Times New Roman"/>
                <w:color w:val="000000"/>
                <w:sz w:val="18"/>
                <w:szCs w:val="18"/>
                <w:vertAlign w:val="superscript"/>
              </w:rPr>
              <w:t>2</w:t>
            </w:r>
          </w:p>
        </w:tc>
        <w:tc>
          <w:tcPr>
            <w:tcW w:w="773" w:type="pct"/>
            <w:tcBorders>
              <w:top w:val="single" w:sz="6" w:space="0" w:color="auto"/>
              <w:left w:val="single" w:sz="6" w:space="0" w:color="auto"/>
              <w:bottom w:val="single" w:sz="8" w:space="0" w:color="auto"/>
              <w:right w:val="single" w:sz="6" w:space="0" w:color="auto"/>
            </w:tcBorders>
            <w:shd w:val="clear" w:color="auto" w:fill="auto"/>
            <w:vAlign w:val="center"/>
            <w:hideMark/>
          </w:tcPr>
          <w:p w14:paraId="3E3DDCD8" w14:textId="77777777" w:rsidR="00BA3A81" w:rsidRPr="00B43006" w:rsidRDefault="00BA3A81" w:rsidP="006567EE">
            <w:pPr>
              <w:ind w:right="101"/>
              <w:jc w:val="right"/>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1.6</w:t>
            </w:r>
          </w:p>
        </w:tc>
        <w:tc>
          <w:tcPr>
            <w:tcW w:w="573" w:type="pct"/>
            <w:tcBorders>
              <w:top w:val="single" w:sz="6" w:space="0" w:color="auto"/>
              <w:left w:val="single" w:sz="6" w:space="0" w:color="auto"/>
              <w:bottom w:val="single" w:sz="8" w:space="0" w:color="auto"/>
              <w:right w:val="single" w:sz="8" w:space="0" w:color="auto"/>
            </w:tcBorders>
            <w:shd w:val="clear" w:color="auto" w:fill="auto"/>
            <w:vAlign w:val="center"/>
            <w:hideMark/>
          </w:tcPr>
          <w:p w14:paraId="664E0DE7" w14:textId="77777777" w:rsidR="00BA3A81" w:rsidRPr="00B43006" w:rsidRDefault="00BA3A81" w:rsidP="006567EE">
            <w:pPr>
              <w:ind w:right="101"/>
              <w:jc w:val="right"/>
              <w:rPr>
                <w:rFonts w:ascii="Arial Narrow" w:eastAsia="Times New Roman" w:hAnsi="Arial Narrow" w:cs="Times New Roman"/>
                <w:color w:val="000000"/>
                <w:sz w:val="18"/>
                <w:szCs w:val="18"/>
              </w:rPr>
            </w:pPr>
            <w:r w:rsidRPr="00B43006">
              <w:rPr>
                <w:rFonts w:ascii="Arial Narrow" w:eastAsia="Times New Roman" w:hAnsi="Arial Narrow" w:cs="Times New Roman"/>
                <w:color w:val="000000"/>
                <w:sz w:val="18"/>
                <w:szCs w:val="18"/>
              </w:rPr>
              <w:t>$7</w:t>
            </w:r>
            <w:r w:rsidR="006A7E9B">
              <w:rPr>
                <w:rFonts w:ascii="Arial Narrow" w:eastAsia="Times New Roman" w:hAnsi="Arial Narrow" w:cs="Times New Roman"/>
                <w:color w:val="000000"/>
                <w:sz w:val="18"/>
                <w:szCs w:val="18"/>
              </w:rPr>
              <w:t>5</w:t>
            </w:r>
            <w:r w:rsidRPr="00B43006">
              <w:rPr>
                <w:rFonts w:ascii="Arial Narrow" w:eastAsia="Times New Roman" w:hAnsi="Arial Narrow" w:cs="Times New Roman"/>
                <w:color w:val="000000"/>
                <w:sz w:val="18"/>
                <w:szCs w:val="18"/>
              </w:rPr>
              <w:t>.</w:t>
            </w:r>
            <w:r w:rsidR="006A7E9B">
              <w:rPr>
                <w:rFonts w:ascii="Arial Narrow" w:eastAsia="Times New Roman" w:hAnsi="Arial Narrow" w:cs="Times New Roman"/>
                <w:color w:val="000000"/>
                <w:sz w:val="18"/>
                <w:szCs w:val="18"/>
              </w:rPr>
              <w:t>36</w:t>
            </w:r>
          </w:p>
        </w:tc>
      </w:tr>
      <w:tr w:rsidR="00A30919" w:rsidRPr="00BA3A81" w14:paraId="239F711E" w14:textId="77777777" w:rsidTr="00AE75C6">
        <w:tc>
          <w:tcPr>
            <w:tcW w:w="5000" w:type="pct"/>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B0B498" w14:textId="77777777" w:rsidR="00AE75C6" w:rsidRPr="00AE75C6" w:rsidRDefault="00063270" w:rsidP="00A30919">
            <w:pPr>
              <w:pStyle w:val="Footnotetables"/>
            </w:pPr>
            <w:r>
              <w:t xml:space="preserve">Table </w:t>
            </w:r>
            <w:r w:rsidR="00AE75C6" w:rsidRPr="00AE75C6">
              <w:t>Footnotes</w:t>
            </w:r>
          </w:p>
          <w:p w14:paraId="290CFC85" w14:textId="77777777" w:rsidR="00A30919" w:rsidRPr="00AE75C6" w:rsidRDefault="00F05346" w:rsidP="00A30919">
            <w:pPr>
              <w:pStyle w:val="Footnotetables"/>
            </w:pPr>
            <w:r w:rsidRPr="00AE75C6">
              <w:rPr>
                <w:vertAlign w:val="superscript"/>
              </w:rPr>
              <w:t>1</w:t>
            </w:r>
            <w:r w:rsidR="00A30919" w:rsidRPr="00AE75C6">
              <w:t xml:space="preserve"> Source: </w:t>
            </w:r>
            <w:r w:rsidRPr="00AE75C6">
              <w:t>Pay &amp; Leave: Salaries &amp; Wages</w:t>
            </w:r>
            <w:r w:rsidRPr="00AE75C6">
              <w:rPr>
                <w:iCs/>
              </w:rPr>
              <w:t xml:space="preserve"> </w:t>
            </w:r>
            <w:r w:rsidR="00A30919" w:rsidRPr="00AE75C6">
              <w:rPr>
                <w:iCs/>
              </w:rPr>
              <w:t>Table 201</w:t>
            </w:r>
            <w:r w:rsidR="00D26E4F" w:rsidRPr="00AE75C6">
              <w:rPr>
                <w:iCs/>
              </w:rPr>
              <w:t>6</w:t>
            </w:r>
            <w:r w:rsidR="00A30919" w:rsidRPr="00AE75C6">
              <w:rPr>
                <w:iCs/>
              </w:rPr>
              <w:t>-DCB</w:t>
            </w:r>
            <w:r w:rsidR="00A30919" w:rsidRPr="00AE75C6">
              <w:t>. U.S. Office of Personnel Management. (201</w:t>
            </w:r>
            <w:r w:rsidRPr="00AE75C6">
              <w:t>7</w:t>
            </w:r>
            <w:r w:rsidR="00A30919" w:rsidRPr="00AE75C6">
              <w:t>).</w:t>
            </w:r>
          </w:p>
          <w:p w14:paraId="724030DD" w14:textId="77777777" w:rsidR="00A30919" w:rsidRPr="00AE75C6" w:rsidRDefault="00F05346" w:rsidP="00C147A4">
            <w:pPr>
              <w:ind w:left="340" w:right="101" w:hanging="340"/>
              <w:rPr>
                <w:rFonts w:ascii="Arial Narrow" w:eastAsia="Times New Roman" w:hAnsi="Arial Narrow" w:cs="Times New Roman"/>
                <w:color w:val="000000"/>
                <w:sz w:val="18"/>
                <w:szCs w:val="18"/>
              </w:rPr>
            </w:pPr>
            <w:r w:rsidRPr="00AE75C6">
              <w:rPr>
                <w:rFonts w:ascii="Arial Narrow" w:hAnsi="Arial Narrow"/>
                <w:sz w:val="18"/>
                <w:szCs w:val="18"/>
                <w:vertAlign w:val="superscript"/>
              </w:rPr>
              <w:t>2</w:t>
            </w:r>
            <w:r w:rsidR="00C147A4" w:rsidRPr="00AE75C6">
              <w:rPr>
                <w:sz w:val="18"/>
                <w:szCs w:val="18"/>
                <w:vertAlign w:val="superscript"/>
              </w:rPr>
              <w:t xml:space="preserve"> </w:t>
            </w:r>
            <w:r w:rsidR="00C147A4" w:rsidRPr="00AE75C6">
              <w:rPr>
                <w:rFonts w:ascii="Arial Narrow" w:hAnsi="Arial Narrow"/>
                <w:sz w:val="18"/>
                <w:szCs w:val="18"/>
              </w:rPr>
              <w:t>T</w:t>
            </w:r>
            <w:r w:rsidR="00A30919" w:rsidRPr="00AE75C6">
              <w:rPr>
                <w:rFonts w:ascii="Arial Narrow" w:hAnsi="Arial Narrow"/>
                <w:sz w:val="18"/>
                <w:szCs w:val="18"/>
              </w:rPr>
              <w:t>he 60 percent fringes-and-overhead rate is from an EPA guide</w:t>
            </w:r>
            <w:r w:rsidR="00A30919" w:rsidRPr="00AE75C6">
              <w:rPr>
                <w:rFonts w:ascii="Arial Narrow" w:hAnsi="Arial Narrow"/>
                <w:i/>
                <w:iCs/>
                <w:sz w:val="18"/>
                <w:szCs w:val="18"/>
              </w:rPr>
              <w:t>, Instructions for Preparing ICRs</w:t>
            </w:r>
            <w:r w:rsidR="00A30919" w:rsidRPr="00AE75C6">
              <w:rPr>
                <w:rFonts w:ascii="Arial Narrow" w:hAnsi="Arial Narrow"/>
                <w:sz w:val="18"/>
                <w:szCs w:val="18"/>
              </w:rPr>
              <w:t xml:space="preserve"> (US EPA, 2009).</w:t>
            </w:r>
          </w:p>
        </w:tc>
      </w:tr>
    </w:tbl>
    <w:p w14:paraId="36C355DB" w14:textId="77777777" w:rsidR="00395A33" w:rsidRPr="00BA3A81" w:rsidRDefault="00395A33" w:rsidP="00FA0CF8">
      <w:pPr>
        <w:pStyle w:val="Footnotetables"/>
        <w:rPr>
          <w:rFonts w:ascii="Calibri" w:eastAsia="Calibri" w:hAnsi="Calibri"/>
          <w:sz w:val="22"/>
          <w:szCs w:val="22"/>
        </w:rPr>
      </w:pPr>
    </w:p>
    <w:p w14:paraId="7EC170BF" w14:textId="77777777" w:rsidR="00F06BA6" w:rsidRDefault="004523B1" w:rsidP="000F6439">
      <w:pPr>
        <w:pStyle w:val="BodyText"/>
      </w:pPr>
      <w:r w:rsidRPr="004523B1">
        <w:t>Unit Burden and cost associated with EPA staff activities per a four-year reporting cycle are the same as in the previous ICR and presented in Table 10. The cost associated with quality control of data is performed by program staff and is dependent on the number of reports received. The cost of activities performed by IT staff, including systems development, and contract oversight and management, are fixed costs and are not dependent on the number of reports submitted to EPA</w:t>
      </w:r>
      <w:r w:rsidR="00F06BA6" w:rsidRPr="004523B1">
        <w:t>.</w:t>
      </w:r>
      <w:r w:rsidR="00F06BA6" w:rsidRPr="008A7FB7">
        <w:t xml:space="preserve"> </w:t>
      </w:r>
    </w:p>
    <w:p w14:paraId="5E0F4672" w14:textId="77777777" w:rsidR="003B3A5B" w:rsidRDefault="003B3A5B">
      <w:r>
        <w:rPr>
          <w:b/>
        </w:rPr>
        <w:br w:type="page"/>
      </w:r>
    </w:p>
    <w:tbl>
      <w:tblPr>
        <w:tblW w:w="9540" w:type="dxa"/>
        <w:tblLook w:val="04A0" w:firstRow="1" w:lastRow="0" w:firstColumn="1" w:lastColumn="0" w:noHBand="0" w:noVBand="1"/>
      </w:tblPr>
      <w:tblGrid>
        <w:gridCol w:w="3420"/>
        <w:gridCol w:w="2140"/>
        <w:gridCol w:w="2000"/>
        <w:gridCol w:w="1980"/>
      </w:tblGrid>
      <w:tr w:rsidR="00BA3A81" w:rsidRPr="00BA3A81" w14:paraId="44B9EEA4" w14:textId="77777777" w:rsidTr="00B43006">
        <w:trPr>
          <w:trHeight w:val="310"/>
          <w:tblHeader/>
        </w:trPr>
        <w:tc>
          <w:tcPr>
            <w:tcW w:w="9540" w:type="dxa"/>
            <w:gridSpan w:val="4"/>
            <w:tcBorders>
              <w:top w:val="nil"/>
              <w:left w:val="nil"/>
              <w:bottom w:val="single" w:sz="8" w:space="0" w:color="auto"/>
              <w:right w:val="nil"/>
            </w:tcBorders>
            <w:shd w:val="clear" w:color="auto" w:fill="auto"/>
            <w:noWrap/>
            <w:vAlign w:val="center"/>
            <w:hideMark/>
          </w:tcPr>
          <w:p w14:paraId="0B0E7562" w14:textId="77777777" w:rsidR="00BA3A81" w:rsidRPr="00BA3A81" w:rsidRDefault="00BA3A81" w:rsidP="00EB1FDE">
            <w:pPr>
              <w:pStyle w:val="TableTitle"/>
            </w:pPr>
            <w:r w:rsidRPr="00BA3A81">
              <w:t xml:space="preserve">Table 10: EPA Staff </w:t>
            </w:r>
            <w:r w:rsidR="00D37F13">
              <w:t xml:space="preserve">Unit </w:t>
            </w:r>
            <w:r w:rsidRPr="00BA3A81">
              <w:t xml:space="preserve">Burden and Cost of Processing Report and </w:t>
            </w:r>
            <w:r w:rsidR="00395A33">
              <w:br/>
            </w:r>
            <w:r w:rsidRPr="00BA3A81">
              <w:t>Fixed Cost per Four</w:t>
            </w:r>
            <w:r w:rsidR="00D05FDA">
              <w:t>-</w:t>
            </w:r>
            <w:r w:rsidRPr="00BA3A81">
              <w:t xml:space="preserve">Year Reporting Cycle </w:t>
            </w:r>
          </w:p>
        </w:tc>
      </w:tr>
      <w:tr w:rsidR="00BA3A81" w:rsidRPr="00BA3A81" w14:paraId="7ADDA553" w14:textId="77777777" w:rsidTr="00B43006">
        <w:trPr>
          <w:trHeight w:val="520"/>
          <w:tblHeader/>
        </w:trPr>
        <w:tc>
          <w:tcPr>
            <w:tcW w:w="3420" w:type="dxa"/>
            <w:tcBorders>
              <w:top w:val="single" w:sz="8" w:space="0" w:color="auto"/>
              <w:left w:val="single" w:sz="8" w:space="0" w:color="auto"/>
              <w:bottom w:val="single" w:sz="6" w:space="0" w:color="auto"/>
              <w:right w:val="single" w:sz="6" w:space="0" w:color="auto"/>
            </w:tcBorders>
            <w:shd w:val="clear" w:color="auto" w:fill="BFBFBF"/>
            <w:vAlign w:val="bottom"/>
            <w:hideMark/>
          </w:tcPr>
          <w:p w14:paraId="2C04F2B4" w14:textId="77777777" w:rsidR="00BA3A81" w:rsidRPr="00BA3A81" w:rsidRDefault="00BA3A81" w:rsidP="00BA3A81">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Activity</w:t>
            </w:r>
          </w:p>
        </w:tc>
        <w:tc>
          <w:tcPr>
            <w:tcW w:w="2140" w:type="dxa"/>
            <w:tcBorders>
              <w:top w:val="single" w:sz="8" w:space="0" w:color="auto"/>
              <w:left w:val="single" w:sz="6" w:space="0" w:color="auto"/>
              <w:bottom w:val="single" w:sz="6" w:space="0" w:color="auto"/>
              <w:right w:val="single" w:sz="6" w:space="0" w:color="auto"/>
            </w:tcBorders>
            <w:shd w:val="clear" w:color="auto" w:fill="BFBFBF"/>
            <w:vAlign w:val="bottom"/>
            <w:hideMark/>
          </w:tcPr>
          <w:p w14:paraId="54DFB729" w14:textId="77777777" w:rsidR="00BA3A81" w:rsidRPr="00BA3A81" w:rsidRDefault="00BA3A81" w:rsidP="00BA3A81">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Unit of Analysis</w:t>
            </w:r>
          </w:p>
        </w:tc>
        <w:tc>
          <w:tcPr>
            <w:tcW w:w="2000" w:type="dxa"/>
            <w:tcBorders>
              <w:top w:val="single" w:sz="8" w:space="0" w:color="auto"/>
              <w:left w:val="single" w:sz="6" w:space="0" w:color="auto"/>
              <w:bottom w:val="single" w:sz="6" w:space="0" w:color="auto"/>
              <w:right w:val="single" w:sz="6" w:space="0" w:color="auto"/>
            </w:tcBorders>
            <w:shd w:val="clear" w:color="auto" w:fill="BFBFBF"/>
            <w:vAlign w:val="bottom"/>
            <w:hideMark/>
          </w:tcPr>
          <w:p w14:paraId="25827C95" w14:textId="77777777" w:rsidR="00BA3A81" w:rsidRPr="00BA3A81" w:rsidRDefault="00BA3A81" w:rsidP="00B43006">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Agency Burden per</w:t>
            </w:r>
            <w:r w:rsidR="00B43006">
              <w:rPr>
                <w:rFonts w:ascii="Arial Narrow" w:eastAsia="Times New Roman" w:hAnsi="Arial Narrow" w:cs="Times New Roman"/>
                <w:b/>
                <w:bCs/>
                <w:color w:val="000000"/>
                <w:sz w:val="20"/>
                <w:szCs w:val="20"/>
              </w:rPr>
              <w:t xml:space="preserve"> </w:t>
            </w:r>
            <w:r w:rsidRPr="00BA3A81">
              <w:rPr>
                <w:rFonts w:ascii="Arial Narrow" w:eastAsia="Times New Roman" w:hAnsi="Arial Narrow" w:cs="Times New Roman"/>
                <w:b/>
                <w:bCs/>
                <w:color w:val="000000"/>
                <w:sz w:val="20"/>
                <w:szCs w:val="20"/>
              </w:rPr>
              <w:t>Activity</w:t>
            </w:r>
            <w:r w:rsidR="00395A33">
              <w:rPr>
                <w:rFonts w:ascii="Arial Narrow" w:eastAsia="Times New Roman" w:hAnsi="Arial Narrow" w:cs="Times New Roman"/>
                <w:b/>
                <w:bCs/>
                <w:color w:val="000000"/>
                <w:sz w:val="20"/>
                <w:szCs w:val="20"/>
              </w:rPr>
              <w:t xml:space="preserve"> </w:t>
            </w:r>
            <w:r w:rsidRPr="00BA3A81">
              <w:rPr>
                <w:rFonts w:ascii="Arial Narrow" w:eastAsia="Times New Roman" w:hAnsi="Arial Narrow" w:cs="Times New Roman"/>
                <w:b/>
                <w:bCs/>
                <w:color w:val="000000"/>
                <w:sz w:val="20"/>
                <w:szCs w:val="20"/>
              </w:rPr>
              <w:t>(Hours)</w:t>
            </w:r>
          </w:p>
        </w:tc>
        <w:tc>
          <w:tcPr>
            <w:tcW w:w="1980" w:type="dxa"/>
            <w:tcBorders>
              <w:top w:val="single" w:sz="8" w:space="0" w:color="auto"/>
              <w:left w:val="single" w:sz="6" w:space="0" w:color="auto"/>
              <w:bottom w:val="single" w:sz="6" w:space="0" w:color="auto"/>
              <w:right w:val="single" w:sz="8" w:space="0" w:color="auto"/>
            </w:tcBorders>
            <w:shd w:val="clear" w:color="auto" w:fill="BFBFBF"/>
            <w:vAlign w:val="bottom"/>
            <w:hideMark/>
          </w:tcPr>
          <w:p w14:paraId="19F22E0F" w14:textId="77777777" w:rsidR="00BA3A81" w:rsidRPr="00BA3A81" w:rsidRDefault="00BA3A81" w:rsidP="00BA3A81">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Agency Cost per Activity (201</w:t>
            </w:r>
            <w:r w:rsidR="00703B94">
              <w:rPr>
                <w:rFonts w:ascii="Arial Narrow" w:eastAsia="Times New Roman" w:hAnsi="Arial Narrow" w:cs="Times New Roman"/>
                <w:b/>
                <w:bCs/>
                <w:color w:val="000000"/>
                <w:sz w:val="20"/>
                <w:szCs w:val="20"/>
              </w:rPr>
              <w:t>6</w:t>
            </w:r>
            <w:r w:rsidRPr="00BA3A81">
              <w:rPr>
                <w:rFonts w:ascii="Arial Narrow" w:eastAsia="Times New Roman" w:hAnsi="Arial Narrow" w:cs="Times New Roman"/>
                <w:b/>
                <w:bCs/>
                <w:color w:val="000000"/>
                <w:sz w:val="20"/>
                <w:szCs w:val="20"/>
              </w:rPr>
              <w:t>$)</w:t>
            </w:r>
            <w:r w:rsidR="00AE75C6" w:rsidRPr="00AE75C6">
              <w:rPr>
                <w:rFonts w:ascii="Arial Narrow" w:eastAsia="Times New Roman" w:hAnsi="Arial Narrow" w:cs="Times New Roman"/>
                <w:b/>
                <w:bCs/>
                <w:color w:val="000000"/>
                <w:sz w:val="20"/>
                <w:szCs w:val="20"/>
                <w:vertAlign w:val="superscript"/>
              </w:rPr>
              <w:t>1</w:t>
            </w:r>
          </w:p>
        </w:tc>
      </w:tr>
      <w:tr w:rsidR="00BA3A81" w:rsidRPr="00BA3A81" w14:paraId="5627390D" w14:textId="77777777" w:rsidTr="00B43006">
        <w:trPr>
          <w:trHeight w:val="300"/>
        </w:trPr>
        <w:tc>
          <w:tcPr>
            <w:tcW w:w="3420" w:type="dxa"/>
            <w:tcBorders>
              <w:top w:val="single" w:sz="6" w:space="0" w:color="auto"/>
              <w:left w:val="single" w:sz="8" w:space="0" w:color="auto"/>
              <w:bottom w:val="single" w:sz="6" w:space="0" w:color="auto"/>
              <w:right w:val="single" w:sz="6" w:space="0" w:color="auto"/>
            </w:tcBorders>
            <w:shd w:val="clear" w:color="auto" w:fill="auto"/>
            <w:vAlign w:val="center"/>
            <w:hideMark/>
          </w:tcPr>
          <w:p w14:paraId="241C63FB" w14:textId="77777777" w:rsidR="00BA3A81" w:rsidRPr="00BA3A81" w:rsidRDefault="00BA3A81" w:rsidP="00B43006">
            <w:pPr>
              <w:spacing w:before="40" w:after="40"/>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Quality Control of Data for Part I</w:t>
            </w:r>
          </w:p>
        </w:tc>
        <w:tc>
          <w:tcPr>
            <w:tcW w:w="214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0344D5A" w14:textId="77777777" w:rsidR="00BA3A81" w:rsidRPr="00BA3A81" w:rsidRDefault="00BA3A81" w:rsidP="00B43006">
            <w:pPr>
              <w:spacing w:before="40" w:after="40"/>
              <w:jc w:val="center"/>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Per Site</w:t>
            </w:r>
          </w:p>
        </w:tc>
        <w:tc>
          <w:tcPr>
            <w:tcW w:w="2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88663D" w14:textId="77777777" w:rsidR="00BA3A81" w:rsidRPr="00BA3A81" w:rsidRDefault="00BA3A81" w:rsidP="00B43006">
            <w:pPr>
              <w:spacing w:before="40" w:after="40"/>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0.0019</w:t>
            </w:r>
          </w:p>
        </w:tc>
        <w:tc>
          <w:tcPr>
            <w:tcW w:w="1980" w:type="dxa"/>
            <w:tcBorders>
              <w:top w:val="single" w:sz="6" w:space="0" w:color="auto"/>
              <w:left w:val="single" w:sz="6" w:space="0" w:color="auto"/>
              <w:bottom w:val="single" w:sz="6" w:space="0" w:color="auto"/>
              <w:right w:val="single" w:sz="8" w:space="0" w:color="auto"/>
            </w:tcBorders>
            <w:shd w:val="clear" w:color="auto" w:fill="auto"/>
            <w:vAlign w:val="center"/>
            <w:hideMark/>
          </w:tcPr>
          <w:p w14:paraId="08C70569" w14:textId="77777777" w:rsidR="00BA3A81" w:rsidRPr="00BA3A81" w:rsidRDefault="00BA3A81" w:rsidP="00B43006">
            <w:pPr>
              <w:spacing w:before="40" w:after="40"/>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 xml:space="preserve">$0.12 </w:t>
            </w:r>
          </w:p>
        </w:tc>
      </w:tr>
      <w:tr w:rsidR="00BA3A81" w:rsidRPr="00BA3A81" w14:paraId="2DE126A8" w14:textId="77777777" w:rsidTr="00B43006">
        <w:tc>
          <w:tcPr>
            <w:tcW w:w="3420" w:type="dxa"/>
            <w:tcBorders>
              <w:top w:val="single" w:sz="6" w:space="0" w:color="auto"/>
              <w:left w:val="single" w:sz="8" w:space="0" w:color="auto"/>
              <w:bottom w:val="single" w:sz="6" w:space="0" w:color="auto"/>
              <w:right w:val="single" w:sz="6" w:space="0" w:color="auto"/>
            </w:tcBorders>
            <w:shd w:val="clear" w:color="auto" w:fill="auto"/>
            <w:vAlign w:val="center"/>
            <w:hideMark/>
          </w:tcPr>
          <w:p w14:paraId="39C4927F" w14:textId="77777777" w:rsidR="00BA3A81" w:rsidRPr="00BA3A81" w:rsidRDefault="00BA3A81" w:rsidP="00B43006">
            <w:pPr>
              <w:spacing w:before="40" w:after="40"/>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Quality Control of Data for Part II</w:t>
            </w:r>
          </w:p>
        </w:tc>
        <w:tc>
          <w:tcPr>
            <w:tcW w:w="2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34E5C2" w14:textId="77777777" w:rsidR="00BA3A81" w:rsidRPr="00BA3A81" w:rsidRDefault="00BA3A81" w:rsidP="00B43006">
            <w:pPr>
              <w:spacing w:before="40" w:after="40"/>
              <w:jc w:val="center"/>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Per Chemical Report</w:t>
            </w:r>
          </w:p>
        </w:tc>
        <w:tc>
          <w:tcPr>
            <w:tcW w:w="2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F123B" w14:textId="77777777" w:rsidR="00BA3A81" w:rsidRPr="00BA3A81" w:rsidRDefault="00BA3A81" w:rsidP="00B43006">
            <w:pPr>
              <w:spacing w:before="40" w:after="40"/>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0.0054</w:t>
            </w:r>
          </w:p>
        </w:tc>
        <w:tc>
          <w:tcPr>
            <w:tcW w:w="1980" w:type="dxa"/>
            <w:tcBorders>
              <w:top w:val="single" w:sz="6" w:space="0" w:color="auto"/>
              <w:left w:val="single" w:sz="6" w:space="0" w:color="auto"/>
              <w:bottom w:val="single" w:sz="6" w:space="0" w:color="auto"/>
              <w:right w:val="single" w:sz="8" w:space="0" w:color="auto"/>
            </w:tcBorders>
            <w:shd w:val="clear" w:color="auto" w:fill="auto"/>
            <w:vAlign w:val="center"/>
            <w:hideMark/>
          </w:tcPr>
          <w:p w14:paraId="6F4B113C" w14:textId="77777777" w:rsidR="00BA3A81" w:rsidRPr="00BA3A81" w:rsidRDefault="00BA3A81" w:rsidP="00B43006">
            <w:pPr>
              <w:spacing w:before="40" w:after="40"/>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w:t>
            </w:r>
            <w:r w:rsidR="0013288F" w:rsidRPr="00BA3A81">
              <w:rPr>
                <w:rFonts w:ascii="Arial Narrow" w:eastAsia="Times New Roman" w:hAnsi="Arial Narrow" w:cs="Times New Roman"/>
                <w:color w:val="000000"/>
                <w:sz w:val="20"/>
                <w:szCs w:val="20"/>
              </w:rPr>
              <w:t>3</w:t>
            </w:r>
            <w:r w:rsidR="0013288F">
              <w:rPr>
                <w:rFonts w:ascii="Arial Narrow" w:eastAsia="Times New Roman" w:hAnsi="Arial Narrow" w:cs="Times New Roman"/>
                <w:color w:val="000000"/>
                <w:sz w:val="20"/>
                <w:szCs w:val="20"/>
              </w:rPr>
              <w:t>4</w:t>
            </w:r>
            <w:r w:rsidR="0013288F" w:rsidRPr="00BA3A81">
              <w:rPr>
                <w:rFonts w:ascii="Arial Narrow" w:eastAsia="Times New Roman" w:hAnsi="Arial Narrow" w:cs="Times New Roman"/>
                <w:color w:val="000000"/>
                <w:sz w:val="20"/>
                <w:szCs w:val="20"/>
              </w:rPr>
              <w:t xml:space="preserve"> </w:t>
            </w:r>
          </w:p>
        </w:tc>
      </w:tr>
      <w:tr w:rsidR="00BA3A81" w:rsidRPr="00BA3A81" w14:paraId="0BDA72CE" w14:textId="77777777" w:rsidTr="00B43006">
        <w:tc>
          <w:tcPr>
            <w:tcW w:w="3420" w:type="dxa"/>
            <w:tcBorders>
              <w:top w:val="single" w:sz="6" w:space="0" w:color="auto"/>
              <w:left w:val="single" w:sz="8" w:space="0" w:color="auto"/>
              <w:bottom w:val="single" w:sz="6" w:space="0" w:color="auto"/>
              <w:right w:val="single" w:sz="6" w:space="0" w:color="auto"/>
            </w:tcBorders>
            <w:shd w:val="clear" w:color="auto" w:fill="auto"/>
            <w:vAlign w:val="center"/>
            <w:hideMark/>
          </w:tcPr>
          <w:p w14:paraId="3194B840" w14:textId="77777777" w:rsidR="00BA3A81" w:rsidRPr="00BA3A81" w:rsidRDefault="00BA3A81" w:rsidP="00B43006">
            <w:pPr>
              <w:spacing w:before="40" w:after="40"/>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Quality Control of Data for Part III</w:t>
            </w:r>
          </w:p>
        </w:tc>
        <w:tc>
          <w:tcPr>
            <w:tcW w:w="2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6D3216" w14:textId="77777777" w:rsidR="00BA3A81" w:rsidRPr="00BA3A81" w:rsidRDefault="00BA3A81" w:rsidP="00B43006">
            <w:pPr>
              <w:spacing w:before="40" w:after="40"/>
              <w:jc w:val="center"/>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Per Chemical Report</w:t>
            </w:r>
          </w:p>
        </w:tc>
        <w:tc>
          <w:tcPr>
            <w:tcW w:w="2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2750BB" w14:textId="77777777" w:rsidR="00BA3A81" w:rsidRPr="00BA3A81" w:rsidRDefault="00BA3A81" w:rsidP="00B43006">
            <w:pPr>
              <w:spacing w:before="40" w:after="40"/>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0.0063</w:t>
            </w:r>
          </w:p>
        </w:tc>
        <w:tc>
          <w:tcPr>
            <w:tcW w:w="1980" w:type="dxa"/>
            <w:tcBorders>
              <w:top w:val="single" w:sz="6" w:space="0" w:color="auto"/>
              <w:left w:val="single" w:sz="6" w:space="0" w:color="auto"/>
              <w:bottom w:val="single" w:sz="6" w:space="0" w:color="auto"/>
              <w:right w:val="single" w:sz="8" w:space="0" w:color="auto"/>
            </w:tcBorders>
            <w:shd w:val="clear" w:color="auto" w:fill="auto"/>
            <w:vAlign w:val="center"/>
            <w:hideMark/>
          </w:tcPr>
          <w:p w14:paraId="1050EE81" w14:textId="77777777" w:rsidR="00BA3A81" w:rsidRPr="00BA3A81" w:rsidRDefault="00BA3A81" w:rsidP="00B43006">
            <w:pPr>
              <w:spacing w:before="40" w:after="40"/>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w:t>
            </w:r>
            <w:r w:rsidR="0013288F" w:rsidRPr="00BA3A81">
              <w:rPr>
                <w:rFonts w:ascii="Arial Narrow" w:eastAsia="Times New Roman" w:hAnsi="Arial Narrow" w:cs="Times New Roman"/>
                <w:color w:val="000000"/>
                <w:sz w:val="20"/>
                <w:szCs w:val="20"/>
              </w:rPr>
              <w:t>4</w:t>
            </w:r>
            <w:r w:rsidR="0013288F">
              <w:rPr>
                <w:rFonts w:ascii="Arial Narrow" w:eastAsia="Times New Roman" w:hAnsi="Arial Narrow" w:cs="Times New Roman"/>
                <w:color w:val="000000"/>
                <w:sz w:val="20"/>
                <w:szCs w:val="20"/>
              </w:rPr>
              <w:t>0</w:t>
            </w:r>
          </w:p>
        </w:tc>
      </w:tr>
      <w:tr w:rsidR="00BA3A81" w:rsidRPr="00BA3A81" w14:paraId="34089008" w14:textId="77777777" w:rsidTr="00B43006">
        <w:tc>
          <w:tcPr>
            <w:tcW w:w="3420" w:type="dxa"/>
            <w:tcBorders>
              <w:top w:val="single" w:sz="6" w:space="0" w:color="auto"/>
              <w:left w:val="single" w:sz="8" w:space="0" w:color="auto"/>
              <w:bottom w:val="single" w:sz="6" w:space="0" w:color="auto"/>
              <w:right w:val="single" w:sz="6" w:space="0" w:color="auto"/>
            </w:tcBorders>
            <w:shd w:val="clear" w:color="auto" w:fill="auto"/>
            <w:vAlign w:val="center"/>
            <w:hideMark/>
          </w:tcPr>
          <w:p w14:paraId="5672F531" w14:textId="77777777" w:rsidR="00BA3A81" w:rsidRPr="00BA3A81" w:rsidRDefault="00BA3A81" w:rsidP="00B43006">
            <w:pPr>
              <w:spacing w:before="40" w:after="40"/>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 xml:space="preserve">Review of Electronic Signatures </w:t>
            </w:r>
          </w:p>
        </w:tc>
        <w:tc>
          <w:tcPr>
            <w:tcW w:w="2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354706" w14:textId="77777777" w:rsidR="00BA3A81" w:rsidRPr="00BA3A81" w:rsidRDefault="00BA3A81" w:rsidP="00B43006">
            <w:pPr>
              <w:spacing w:before="40" w:after="40"/>
              <w:jc w:val="center"/>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Per CDX Registration</w:t>
            </w:r>
          </w:p>
        </w:tc>
        <w:tc>
          <w:tcPr>
            <w:tcW w:w="2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F26C12" w14:textId="77777777" w:rsidR="00BA3A81" w:rsidRPr="00BA3A81" w:rsidRDefault="00BA3A81" w:rsidP="00B43006">
            <w:pPr>
              <w:spacing w:before="40" w:after="40"/>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0.0081</w:t>
            </w:r>
          </w:p>
        </w:tc>
        <w:tc>
          <w:tcPr>
            <w:tcW w:w="1980" w:type="dxa"/>
            <w:tcBorders>
              <w:top w:val="single" w:sz="6" w:space="0" w:color="auto"/>
              <w:left w:val="single" w:sz="6" w:space="0" w:color="auto"/>
              <w:bottom w:val="single" w:sz="6" w:space="0" w:color="auto"/>
              <w:right w:val="single" w:sz="8" w:space="0" w:color="auto"/>
            </w:tcBorders>
            <w:shd w:val="clear" w:color="auto" w:fill="auto"/>
            <w:vAlign w:val="center"/>
            <w:hideMark/>
          </w:tcPr>
          <w:p w14:paraId="5828E5E6" w14:textId="77777777" w:rsidR="00BA3A81" w:rsidRPr="00BA3A81" w:rsidRDefault="00BA3A81" w:rsidP="00B43006">
            <w:pPr>
              <w:spacing w:before="40" w:after="40"/>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w:t>
            </w:r>
            <w:r w:rsidR="0013288F" w:rsidRPr="00BA3A81">
              <w:rPr>
                <w:rFonts w:ascii="Arial Narrow" w:eastAsia="Times New Roman" w:hAnsi="Arial Narrow" w:cs="Times New Roman"/>
                <w:color w:val="000000"/>
                <w:sz w:val="20"/>
                <w:szCs w:val="20"/>
              </w:rPr>
              <w:t>5</w:t>
            </w:r>
            <w:r w:rsidR="0013288F">
              <w:rPr>
                <w:rFonts w:ascii="Arial Narrow" w:eastAsia="Times New Roman" w:hAnsi="Arial Narrow" w:cs="Times New Roman"/>
                <w:color w:val="000000"/>
                <w:sz w:val="20"/>
                <w:szCs w:val="20"/>
              </w:rPr>
              <w:t>1</w:t>
            </w:r>
            <w:r w:rsidR="0013288F" w:rsidRPr="00BA3A81">
              <w:rPr>
                <w:rFonts w:ascii="Arial Narrow" w:eastAsia="Times New Roman" w:hAnsi="Arial Narrow" w:cs="Times New Roman"/>
                <w:color w:val="000000"/>
                <w:sz w:val="20"/>
                <w:szCs w:val="20"/>
              </w:rPr>
              <w:t xml:space="preserve"> </w:t>
            </w:r>
          </w:p>
        </w:tc>
      </w:tr>
      <w:tr w:rsidR="00BA3A81" w:rsidRPr="00BA3A81" w14:paraId="0758697C" w14:textId="77777777" w:rsidTr="00703B94">
        <w:tc>
          <w:tcPr>
            <w:tcW w:w="3420" w:type="dxa"/>
            <w:tcBorders>
              <w:top w:val="single" w:sz="6" w:space="0" w:color="auto"/>
              <w:left w:val="single" w:sz="8" w:space="0" w:color="auto"/>
              <w:bottom w:val="single" w:sz="6" w:space="0" w:color="auto"/>
              <w:right w:val="single" w:sz="6" w:space="0" w:color="auto"/>
            </w:tcBorders>
            <w:shd w:val="clear" w:color="auto" w:fill="auto"/>
            <w:vAlign w:val="center"/>
            <w:hideMark/>
          </w:tcPr>
          <w:p w14:paraId="478A56D3" w14:textId="77777777" w:rsidR="00BA3A81" w:rsidRPr="00BA3A81" w:rsidRDefault="00BA3A81" w:rsidP="00B43006">
            <w:pPr>
              <w:spacing w:before="40" w:after="40"/>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Systems development, and contract oversight and management</w:t>
            </w:r>
          </w:p>
        </w:tc>
        <w:tc>
          <w:tcPr>
            <w:tcW w:w="2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31C747" w14:textId="77777777" w:rsidR="00BA3A81" w:rsidRPr="00BA3A81" w:rsidRDefault="00BA3A81" w:rsidP="00494D27">
            <w:pPr>
              <w:spacing w:before="40" w:after="40"/>
              <w:jc w:val="center"/>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Per Reporting Cycle</w:t>
            </w:r>
          </w:p>
        </w:tc>
        <w:tc>
          <w:tcPr>
            <w:tcW w:w="2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B6B47B" w14:textId="77777777" w:rsidR="00BA3A81" w:rsidRPr="00BA3A81" w:rsidRDefault="00BA3A81" w:rsidP="00A83092">
            <w:pPr>
              <w:spacing w:before="40" w:after="40"/>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2,080</w:t>
            </w:r>
          </w:p>
        </w:tc>
        <w:tc>
          <w:tcPr>
            <w:tcW w:w="1980" w:type="dxa"/>
            <w:tcBorders>
              <w:top w:val="single" w:sz="6" w:space="0" w:color="auto"/>
              <w:left w:val="single" w:sz="6" w:space="0" w:color="auto"/>
              <w:bottom w:val="single" w:sz="6" w:space="0" w:color="auto"/>
              <w:right w:val="single" w:sz="8" w:space="0" w:color="auto"/>
            </w:tcBorders>
            <w:shd w:val="clear" w:color="auto" w:fill="auto"/>
            <w:vAlign w:val="center"/>
            <w:hideMark/>
          </w:tcPr>
          <w:p w14:paraId="35368350" w14:textId="77777777" w:rsidR="00BA3A81" w:rsidRPr="00BA3A81" w:rsidRDefault="00BA3A81" w:rsidP="00B43006">
            <w:pPr>
              <w:spacing w:before="40" w:after="40"/>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$1</w:t>
            </w:r>
            <w:r w:rsidR="0013288F">
              <w:rPr>
                <w:rFonts w:ascii="Arial Narrow" w:eastAsia="Times New Roman" w:hAnsi="Arial Narrow" w:cs="Times New Roman"/>
                <w:color w:val="000000"/>
                <w:sz w:val="20"/>
                <w:szCs w:val="20"/>
              </w:rPr>
              <w:t>56</w:t>
            </w:r>
            <w:r w:rsidRPr="00BA3A81">
              <w:rPr>
                <w:rFonts w:ascii="Arial Narrow" w:eastAsia="Times New Roman" w:hAnsi="Arial Narrow" w:cs="Times New Roman"/>
                <w:color w:val="000000"/>
                <w:sz w:val="20"/>
                <w:szCs w:val="20"/>
              </w:rPr>
              <w:t>,</w:t>
            </w:r>
            <w:r w:rsidR="0013288F">
              <w:rPr>
                <w:rFonts w:ascii="Arial Narrow" w:eastAsia="Times New Roman" w:hAnsi="Arial Narrow" w:cs="Times New Roman"/>
                <w:color w:val="000000"/>
                <w:sz w:val="20"/>
                <w:szCs w:val="20"/>
              </w:rPr>
              <w:t>749</w:t>
            </w:r>
          </w:p>
        </w:tc>
      </w:tr>
      <w:tr w:rsidR="00703B94" w:rsidRPr="00BA3A81" w14:paraId="4562CC40" w14:textId="77777777" w:rsidTr="00662F48">
        <w:tc>
          <w:tcPr>
            <w:tcW w:w="9540" w:type="dxa"/>
            <w:gridSpan w:val="4"/>
            <w:tcBorders>
              <w:top w:val="single" w:sz="6" w:space="0" w:color="auto"/>
              <w:left w:val="single" w:sz="8" w:space="0" w:color="auto"/>
              <w:bottom w:val="single" w:sz="12" w:space="0" w:color="auto"/>
              <w:right w:val="single" w:sz="8" w:space="0" w:color="auto"/>
            </w:tcBorders>
            <w:shd w:val="clear" w:color="auto" w:fill="auto"/>
            <w:vAlign w:val="center"/>
          </w:tcPr>
          <w:p w14:paraId="65D37038" w14:textId="77777777" w:rsidR="00AE75C6" w:rsidRDefault="00AE75C6" w:rsidP="00D37F13">
            <w:pPr>
              <w:pStyle w:val="Footnotetables"/>
            </w:pPr>
            <w:r>
              <w:t>General Notes</w:t>
            </w:r>
          </w:p>
          <w:p w14:paraId="7B84FAB1" w14:textId="77777777" w:rsidR="00D37F13" w:rsidRDefault="00D37F13" w:rsidP="004D4DC1">
            <w:pPr>
              <w:pStyle w:val="Footnotetables"/>
              <w:numPr>
                <w:ilvl w:val="0"/>
                <w:numId w:val="27"/>
              </w:numPr>
            </w:pPr>
            <w:r w:rsidRPr="00BA3A81">
              <w:t>Source</w:t>
            </w:r>
            <w:r w:rsidR="00AE75C6">
              <w:t>s include</w:t>
            </w:r>
            <w:r w:rsidRPr="00BA3A81">
              <w:t>:</w:t>
            </w:r>
            <w:r w:rsidR="00AE75C6">
              <w:t xml:space="preserve"> </w:t>
            </w:r>
            <w:r w:rsidR="00F0452C">
              <w:t xml:space="preserve">US </w:t>
            </w:r>
            <w:r w:rsidR="00AE75C6">
              <w:t>EPA,</w:t>
            </w:r>
            <w:r w:rsidRPr="00BA3A81">
              <w:t xml:space="preserve"> 2015</w:t>
            </w:r>
            <w:r w:rsidR="00AE75C6">
              <w:t>a</w:t>
            </w:r>
          </w:p>
          <w:p w14:paraId="37925D26" w14:textId="77777777" w:rsidR="00AE75C6" w:rsidRPr="00BA3A81" w:rsidRDefault="00063270" w:rsidP="00AE75C6">
            <w:pPr>
              <w:pStyle w:val="Footnotetables"/>
            </w:pPr>
            <w:r>
              <w:t xml:space="preserve">Table </w:t>
            </w:r>
            <w:r w:rsidR="00AE75C6">
              <w:t>Footnotes</w:t>
            </w:r>
          </w:p>
          <w:p w14:paraId="050C5699" w14:textId="77777777" w:rsidR="00703B94" w:rsidRPr="00BA3A81" w:rsidRDefault="00AE75C6" w:rsidP="00AE75C6">
            <w:pPr>
              <w:pStyle w:val="Footnotetables"/>
              <w:ind w:left="0" w:firstLine="0"/>
            </w:pPr>
            <w:r w:rsidRPr="00AE75C6">
              <w:rPr>
                <w:vertAlign w:val="superscript"/>
              </w:rPr>
              <w:t>1</w:t>
            </w:r>
            <w:r w:rsidR="000F1C92">
              <w:rPr>
                <w:vertAlign w:val="superscript"/>
              </w:rPr>
              <w:t xml:space="preserve"> </w:t>
            </w:r>
            <w:r w:rsidR="00D37F13" w:rsidRPr="00BA3A81">
              <w:t xml:space="preserve">Based on Labor rates (see Table 7) for </w:t>
            </w:r>
            <w:r w:rsidR="00D37F13">
              <w:t xml:space="preserve">(1) Quality Control activities and Review of e-Signatures by </w:t>
            </w:r>
            <w:r w:rsidR="00D37F13" w:rsidRPr="00BA3A81">
              <w:t xml:space="preserve">Program Staff GS12 Step 3; </w:t>
            </w:r>
            <w:r w:rsidR="00D37F13">
              <w:t xml:space="preserve">and (2) Systems development, and contract oversight and management </w:t>
            </w:r>
            <w:r w:rsidR="009A407A">
              <w:t>for IT Staff GS13, Step 3.</w:t>
            </w:r>
          </w:p>
        </w:tc>
      </w:tr>
    </w:tbl>
    <w:p w14:paraId="7A429494" w14:textId="77777777" w:rsidR="00B43006" w:rsidRDefault="00B43006" w:rsidP="00B43006">
      <w:pPr>
        <w:spacing w:after="80"/>
      </w:pPr>
    </w:p>
    <w:p w14:paraId="674AF018" w14:textId="77777777" w:rsidR="00F06BA6" w:rsidRPr="008A7FB7" w:rsidRDefault="00F06BA6" w:rsidP="007F34F8">
      <w:pPr>
        <w:pStyle w:val="Heading3"/>
      </w:pPr>
      <w:r w:rsidRPr="008A7FB7">
        <w:t>Contractor Activities</w:t>
      </w:r>
    </w:p>
    <w:p w14:paraId="40E9AC26" w14:textId="77777777" w:rsidR="00F06BA6" w:rsidRDefault="00F06BA6" w:rsidP="000F6439">
      <w:pPr>
        <w:pStyle w:val="BodyText"/>
      </w:pPr>
      <w:r w:rsidRPr="008A7FB7">
        <w:t>Agency costs also include payment for extramural tasks completed by contractors (this category includes costs to EPA, but not burden hours). Contractor activities include document receipt, tracking, data review, maintaining backup systems, publication of materials, making pdfs of Form Us, and managing the TSCA Hotline, as presented in Table 1</w:t>
      </w:r>
      <w:r w:rsidR="00CF19AB">
        <w:t>1</w:t>
      </w:r>
      <w:r w:rsidRPr="008A7FB7">
        <w:t xml:space="preserve">. With the exception of document receipt, tracking, and data review, all contractor costs are fixed and are not dependent on the number of reports received. All variable and fixed costs are taken from the last published ICR and </w:t>
      </w:r>
      <w:r w:rsidR="00900251">
        <w:t>are</w:t>
      </w:r>
      <w:r w:rsidR="00900251" w:rsidRPr="008A7FB7">
        <w:t xml:space="preserve"> </w:t>
      </w:r>
      <w:r w:rsidRPr="008A7FB7">
        <w:t>inflated from 20</w:t>
      </w:r>
      <w:r>
        <w:t>12</w:t>
      </w:r>
      <w:r w:rsidRPr="008A7FB7">
        <w:t xml:space="preserve"> to 20</w:t>
      </w:r>
      <w:r>
        <w:t>16</w:t>
      </w:r>
      <w:r w:rsidRPr="008A7FB7">
        <w:t xml:space="preserve"> dollars with an inflation factor calculated using the Employment Cost Index (ECI), seasonally adjusted, for management, professional, and related occupations in private industry (BLS, 201</w:t>
      </w:r>
      <w:r w:rsidR="00CF19AB">
        <w:t>7</w:t>
      </w:r>
      <w:r w:rsidRPr="008A7FB7">
        <w:t xml:space="preserve">). </w:t>
      </w:r>
    </w:p>
    <w:p w14:paraId="41401738" w14:textId="77777777" w:rsidR="00740EF4" w:rsidRPr="008A7FB7" w:rsidRDefault="00740EF4" w:rsidP="00740EF4">
      <w:pPr>
        <w:pStyle w:val="TableTitle"/>
      </w:pPr>
      <w:bookmarkStart w:id="57" w:name="RANGE!B13:F25"/>
      <w:r w:rsidRPr="00BA3A81">
        <w:t xml:space="preserve">Table 11: </w:t>
      </w:r>
      <w:r>
        <w:t xml:space="preserve">Unit </w:t>
      </w:r>
      <w:r w:rsidRPr="00BA3A81">
        <w:t>Cost of Contractor Activities for Four</w:t>
      </w:r>
      <w:r w:rsidR="00D05FDA">
        <w:t>-</w:t>
      </w:r>
      <w:r w:rsidRPr="00BA3A81">
        <w:t xml:space="preserve">Year Reporting Cycle, per report </w:t>
      </w:r>
      <w:bookmarkEnd w:id="57"/>
      <w:r w:rsidRPr="00BA3A81">
        <w:rPr>
          <w:rFonts w:ascii="Calibri" w:hAnsi="Calibri" w:cs="Calibri"/>
          <w:sz w:val="22"/>
        </w:rPr>
        <w:t> </w:t>
      </w:r>
    </w:p>
    <w:tbl>
      <w:tblPr>
        <w:tblW w:w="5011" w:type="pct"/>
        <w:tblInd w:w="-10" w:type="dxa"/>
        <w:tblLayout w:type="fixed"/>
        <w:tblCellMar>
          <w:left w:w="115" w:type="dxa"/>
          <w:right w:w="115" w:type="dxa"/>
        </w:tblCellMar>
        <w:tblLook w:val="04A0" w:firstRow="1" w:lastRow="0" w:firstColumn="1" w:lastColumn="0" w:noHBand="0" w:noVBand="1"/>
      </w:tblPr>
      <w:tblGrid>
        <w:gridCol w:w="5826"/>
        <w:gridCol w:w="1938"/>
        <w:gridCol w:w="1847"/>
      </w:tblGrid>
      <w:tr w:rsidR="00BA3A81" w:rsidRPr="00BA3A81" w14:paraId="5C54427A" w14:textId="77777777" w:rsidTr="00515FDE">
        <w:trPr>
          <w:trHeight w:val="517"/>
          <w:tblHeader/>
        </w:trPr>
        <w:tc>
          <w:tcPr>
            <w:tcW w:w="3031" w:type="pct"/>
            <w:vMerge w:val="restart"/>
            <w:tcBorders>
              <w:top w:val="single" w:sz="8" w:space="0" w:color="auto"/>
              <w:left w:val="single" w:sz="8" w:space="0" w:color="auto"/>
              <w:bottom w:val="single" w:sz="8" w:space="0" w:color="000000"/>
              <w:right w:val="single" w:sz="8" w:space="0" w:color="000000"/>
            </w:tcBorders>
            <w:shd w:val="clear" w:color="auto" w:fill="BFBFBF"/>
            <w:vAlign w:val="center"/>
            <w:hideMark/>
          </w:tcPr>
          <w:p w14:paraId="52C787CC" w14:textId="77777777" w:rsidR="00BA3A81" w:rsidRPr="00BA3A81" w:rsidRDefault="00BA3A81" w:rsidP="00515FDE">
            <w:pPr>
              <w:keepNext/>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Activity</w:t>
            </w:r>
          </w:p>
        </w:tc>
        <w:tc>
          <w:tcPr>
            <w:tcW w:w="1008" w:type="pct"/>
            <w:vMerge w:val="restart"/>
            <w:tcBorders>
              <w:top w:val="single" w:sz="8" w:space="0" w:color="auto"/>
              <w:left w:val="nil"/>
              <w:bottom w:val="single" w:sz="8" w:space="0" w:color="000000"/>
              <w:right w:val="single" w:sz="8" w:space="0" w:color="auto"/>
            </w:tcBorders>
            <w:shd w:val="clear" w:color="auto" w:fill="BFBFBF"/>
            <w:vAlign w:val="center"/>
            <w:hideMark/>
          </w:tcPr>
          <w:p w14:paraId="4BB18FC0" w14:textId="77777777" w:rsidR="00BA3A81" w:rsidRPr="00BA3A81" w:rsidRDefault="00BA3A81" w:rsidP="00515FDE">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 xml:space="preserve">Cost </w:t>
            </w:r>
            <w:r w:rsidRPr="00BA3A81">
              <w:rPr>
                <w:rFonts w:ascii="Arial Narrow" w:eastAsia="Times New Roman" w:hAnsi="Arial Narrow" w:cs="Times New Roman"/>
                <w:b/>
                <w:bCs/>
                <w:color w:val="000000"/>
                <w:sz w:val="20"/>
                <w:szCs w:val="20"/>
              </w:rPr>
              <w:br/>
              <w:t>2012$</w:t>
            </w:r>
          </w:p>
        </w:tc>
        <w:tc>
          <w:tcPr>
            <w:tcW w:w="961" w:type="pct"/>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75E48F24" w14:textId="77777777" w:rsidR="00BA3A81" w:rsidRPr="00BA3A81" w:rsidRDefault="00BA3A81" w:rsidP="00515FDE">
            <w:pPr>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Cost</w:t>
            </w:r>
            <w:r w:rsidR="009A407A">
              <w:rPr>
                <w:rFonts w:ascii="Arial Narrow" w:eastAsia="Times New Roman" w:hAnsi="Arial Narrow" w:cs="Times New Roman"/>
                <w:b/>
                <w:bCs/>
                <w:color w:val="000000"/>
                <w:sz w:val="20"/>
                <w:szCs w:val="20"/>
                <w:vertAlign w:val="superscript"/>
              </w:rPr>
              <w:t>1</w:t>
            </w:r>
            <w:r w:rsidRPr="00BA3A81">
              <w:rPr>
                <w:rFonts w:ascii="Arial Narrow" w:eastAsia="Times New Roman" w:hAnsi="Arial Narrow" w:cs="Times New Roman"/>
                <w:b/>
                <w:bCs/>
                <w:color w:val="000000"/>
                <w:sz w:val="20"/>
                <w:szCs w:val="20"/>
              </w:rPr>
              <w:br/>
              <w:t>201</w:t>
            </w:r>
            <w:r w:rsidR="00703B94">
              <w:rPr>
                <w:rFonts w:ascii="Arial Narrow" w:eastAsia="Times New Roman" w:hAnsi="Arial Narrow" w:cs="Times New Roman"/>
                <w:b/>
                <w:bCs/>
                <w:color w:val="000000"/>
                <w:sz w:val="20"/>
                <w:szCs w:val="20"/>
              </w:rPr>
              <w:t>6</w:t>
            </w:r>
            <w:r w:rsidRPr="00BA3A81">
              <w:rPr>
                <w:rFonts w:ascii="Arial Narrow" w:eastAsia="Times New Roman" w:hAnsi="Arial Narrow" w:cs="Times New Roman"/>
                <w:b/>
                <w:bCs/>
                <w:color w:val="000000"/>
                <w:sz w:val="20"/>
                <w:szCs w:val="20"/>
              </w:rPr>
              <w:t>$</w:t>
            </w:r>
          </w:p>
        </w:tc>
      </w:tr>
      <w:tr w:rsidR="00BA3A81" w:rsidRPr="00BA3A81" w14:paraId="54E0891A" w14:textId="77777777" w:rsidTr="00515FDE">
        <w:trPr>
          <w:trHeight w:val="517"/>
          <w:tblHeader/>
        </w:trPr>
        <w:tc>
          <w:tcPr>
            <w:tcW w:w="3031" w:type="pct"/>
            <w:vMerge/>
            <w:tcBorders>
              <w:top w:val="single" w:sz="8" w:space="0" w:color="auto"/>
              <w:left w:val="single" w:sz="8" w:space="0" w:color="auto"/>
              <w:bottom w:val="single" w:sz="8" w:space="0" w:color="auto"/>
              <w:right w:val="single" w:sz="8" w:space="0" w:color="000000"/>
            </w:tcBorders>
            <w:shd w:val="clear" w:color="auto" w:fill="BFBFBF"/>
            <w:vAlign w:val="center"/>
            <w:hideMark/>
          </w:tcPr>
          <w:p w14:paraId="27871977" w14:textId="77777777" w:rsidR="00BA3A81" w:rsidRPr="00BA3A81" w:rsidRDefault="00BA3A81" w:rsidP="006567EE">
            <w:pPr>
              <w:keepNext/>
              <w:rPr>
                <w:rFonts w:ascii="Arial Narrow" w:eastAsia="Times New Roman" w:hAnsi="Arial Narrow" w:cs="Times New Roman"/>
                <w:b/>
                <w:bCs/>
                <w:color w:val="000000"/>
                <w:sz w:val="20"/>
                <w:szCs w:val="20"/>
              </w:rPr>
            </w:pPr>
          </w:p>
        </w:tc>
        <w:tc>
          <w:tcPr>
            <w:tcW w:w="1008" w:type="pct"/>
            <w:vMerge/>
            <w:tcBorders>
              <w:top w:val="single" w:sz="8" w:space="0" w:color="auto"/>
              <w:left w:val="nil"/>
              <w:bottom w:val="single" w:sz="8" w:space="0" w:color="auto"/>
              <w:right w:val="single" w:sz="8" w:space="0" w:color="auto"/>
            </w:tcBorders>
            <w:shd w:val="clear" w:color="auto" w:fill="BFBFBF"/>
            <w:vAlign w:val="center"/>
            <w:hideMark/>
          </w:tcPr>
          <w:p w14:paraId="04E8A73A" w14:textId="77777777" w:rsidR="00BA3A81" w:rsidRPr="00BA3A81" w:rsidRDefault="00BA3A81" w:rsidP="00BA3A81">
            <w:pPr>
              <w:rPr>
                <w:rFonts w:ascii="Arial Narrow" w:eastAsia="Times New Roman" w:hAnsi="Arial Narrow" w:cs="Times New Roman"/>
                <w:b/>
                <w:bCs/>
                <w:color w:val="000000"/>
                <w:sz w:val="20"/>
                <w:szCs w:val="20"/>
              </w:rPr>
            </w:pPr>
          </w:p>
        </w:tc>
        <w:tc>
          <w:tcPr>
            <w:tcW w:w="961" w:type="pct"/>
            <w:vMerge/>
            <w:tcBorders>
              <w:top w:val="nil"/>
              <w:left w:val="single" w:sz="8" w:space="0" w:color="auto"/>
              <w:bottom w:val="single" w:sz="8" w:space="0" w:color="auto"/>
              <w:right w:val="single" w:sz="8" w:space="0" w:color="auto"/>
            </w:tcBorders>
            <w:shd w:val="clear" w:color="auto" w:fill="BFBFBF"/>
            <w:vAlign w:val="center"/>
            <w:hideMark/>
          </w:tcPr>
          <w:p w14:paraId="6C640A00" w14:textId="77777777" w:rsidR="00BA3A81" w:rsidRPr="00BA3A81" w:rsidRDefault="00BA3A81" w:rsidP="00BA3A81">
            <w:pPr>
              <w:rPr>
                <w:rFonts w:ascii="Arial Narrow" w:eastAsia="Times New Roman" w:hAnsi="Arial Narrow" w:cs="Times New Roman"/>
                <w:b/>
                <w:bCs/>
                <w:color w:val="000000"/>
                <w:sz w:val="20"/>
                <w:szCs w:val="20"/>
              </w:rPr>
            </w:pPr>
          </w:p>
        </w:tc>
      </w:tr>
      <w:tr w:rsidR="00B43006" w:rsidRPr="00BA3A81" w14:paraId="0C9BBA55" w14:textId="77777777" w:rsidTr="00740EF4">
        <w:trPr>
          <w:trHeight w:val="300"/>
        </w:trPr>
        <w:tc>
          <w:tcPr>
            <w:tcW w:w="5000" w:type="pct"/>
            <w:gridSpan w:val="3"/>
            <w:tcBorders>
              <w:top w:val="single" w:sz="8" w:space="0" w:color="auto"/>
              <w:left w:val="single" w:sz="8" w:space="0" w:color="auto"/>
              <w:bottom w:val="single" w:sz="8" w:space="0" w:color="auto"/>
              <w:right w:val="single" w:sz="8" w:space="0" w:color="auto"/>
            </w:tcBorders>
            <w:shd w:val="clear" w:color="auto" w:fill="E8E8E8"/>
            <w:vAlign w:val="center"/>
            <w:hideMark/>
          </w:tcPr>
          <w:p w14:paraId="44F881E3" w14:textId="77777777" w:rsidR="00B43006" w:rsidRPr="00BA3A81" w:rsidRDefault="00B43006" w:rsidP="006567EE">
            <w:pPr>
              <w:keepNext/>
              <w:jc w:val="cente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Variable Costs</w:t>
            </w:r>
          </w:p>
        </w:tc>
      </w:tr>
      <w:tr w:rsidR="00BA3A81" w:rsidRPr="00BA3A81" w14:paraId="1E69AB95" w14:textId="77777777" w:rsidTr="00740EF4">
        <w:trPr>
          <w:trHeight w:val="315"/>
        </w:trPr>
        <w:tc>
          <w:tcPr>
            <w:tcW w:w="3031"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4D4812B0" w14:textId="77777777" w:rsidR="00BA3A81" w:rsidRPr="00BA3A81" w:rsidRDefault="00BA3A81" w:rsidP="006567EE">
            <w:pPr>
              <w:keepNex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Document receipt, tracking, and data review for Part I</w:t>
            </w:r>
          </w:p>
        </w:tc>
        <w:tc>
          <w:tcPr>
            <w:tcW w:w="1008" w:type="pct"/>
            <w:tcBorders>
              <w:top w:val="nil"/>
              <w:left w:val="nil"/>
              <w:bottom w:val="single" w:sz="8" w:space="0" w:color="auto"/>
              <w:right w:val="single" w:sz="8" w:space="0" w:color="auto"/>
            </w:tcBorders>
            <w:shd w:val="clear" w:color="auto" w:fill="auto"/>
            <w:vAlign w:val="center"/>
            <w:hideMark/>
          </w:tcPr>
          <w:p w14:paraId="6101D289" w14:textId="77777777" w:rsidR="00BA3A81" w:rsidRPr="00BA3A81" w:rsidRDefault="00BA3A81" w:rsidP="00050BAA">
            <w:pPr>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$0.10</w:t>
            </w:r>
          </w:p>
        </w:tc>
        <w:tc>
          <w:tcPr>
            <w:tcW w:w="961" w:type="pct"/>
            <w:tcBorders>
              <w:top w:val="nil"/>
              <w:left w:val="nil"/>
              <w:bottom w:val="single" w:sz="8" w:space="0" w:color="auto"/>
              <w:right w:val="single" w:sz="8" w:space="0" w:color="auto"/>
            </w:tcBorders>
            <w:shd w:val="clear" w:color="auto" w:fill="auto"/>
            <w:vAlign w:val="center"/>
            <w:hideMark/>
          </w:tcPr>
          <w:p w14:paraId="1DF6C17D" w14:textId="77777777" w:rsidR="00BA3A81" w:rsidRPr="00BA3A81" w:rsidRDefault="00BA3A81" w:rsidP="00050BAA">
            <w:pPr>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$0.11</w:t>
            </w:r>
          </w:p>
        </w:tc>
      </w:tr>
      <w:tr w:rsidR="00BA3A81" w:rsidRPr="00BA3A81" w14:paraId="156BB51C" w14:textId="77777777" w:rsidTr="00740EF4">
        <w:trPr>
          <w:trHeight w:val="315"/>
        </w:trPr>
        <w:tc>
          <w:tcPr>
            <w:tcW w:w="3031"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56E83E6E" w14:textId="77777777" w:rsidR="00BA3A81" w:rsidRPr="00BA3A81" w:rsidRDefault="00BA3A81" w:rsidP="00BA3A81">
            <w:pPr>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Document receipt, tracking, and data review for Part II</w:t>
            </w:r>
          </w:p>
        </w:tc>
        <w:tc>
          <w:tcPr>
            <w:tcW w:w="1008" w:type="pct"/>
            <w:tcBorders>
              <w:top w:val="nil"/>
              <w:left w:val="nil"/>
              <w:bottom w:val="single" w:sz="8" w:space="0" w:color="auto"/>
              <w:right w:val="single" w:sz="8" w:space="0" w:color="auto"/>
            </w:tcBorders>
            <w:shd w:val="clear" w:color="auto" w:fill="auto"/>
            <w:vAlign w:val="center"/>
            <w:hideMark/>
          </w:tcPr>
          <w:p w14:paraId="26AFF0DB" w14:textId="77777777" w:rsidR="00BA3A81" w:rsidRPr="00BA3A81" w:rsidRDefault="00BA3A81" w:rsidP="00050BAA">
            <w:pPr>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$0.28</w:t>
            </w:r>
          </w:p>
        </w:tc>
        <w:tc>
          <w:tcPr>
            <w:tcW w:w="961" w:type="pct"/>
            <w:tcBorders>
              <w:top w:val="nil"/>
              <w:left w:val="nil"/>
              <w:bottom w:val="single" w:sz="8" w:space="0" w:color="auto"/>
              <w:right w:val="single" w:sz="8" w:space="0" w:color="auto"/>
            </w:tcBorders>
            <w:shd w:val="clear" w:color="auto" w:fill="auto"/>
            <w:vAlign w:val="center"/>
            <w:hideMark/>
          </w:tcPr>
          <w:p w14:paraId="46B7D4CE" w14:textId="77777777" w:rsidR="00BA3A81" w:rsidRPr="00BA3A81" w:rsidRDefault="00BA3A81" w:rsidP="00050BAA">
            <w:pPr>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$0.31</w:t>
            </w:r>
          </w:p>
        </w:tc>
      </w:tr>
      <w:tr w:rsidR="00BA3A81" w:rsidRPr="00BA3A81" w14:paraId="7CDDFAAA" w14:textId="77777777" w:rsidTr="00740EF4">
        <w:trPr>
          <w:trHeight w:val="315"/>
        </w:trPr>
        <w:tc>
          <w:tcPr>
            <w:tcW w:w="3031"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600FB794" w14:textId="77777777" w:rsidR="00BA3A81" w:rsidRPr="00BA3A81" w:rsidRDefault="00BA3A81" w:rsidP="00BA3A81">
            <w:pPr>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Document receipt, tracking, and data review for Part III</w:t>
            </w:r>
          </w:p>
        </w:tc>
        <w:tc>
          <w:tcPr>
            <w:tcW w:w="1008" w:type="pct"/>
            <w:tcBorders>
              <w:top w:val="nil"/>
              <w:left w:val="nil"/>
              <w:bottom w:val="single" w:sz="8" w:space="0" w:color="auto"/>
              <w:right w:val="single" w:sz="8" w:space="0" w:color="auto"/>
            </w:tcBorders>
            <w:shd w:val="clear" w:color="auto" w:fill="auto"/>
            <w:vAlign w:val="center"/>
            <w:hideMark/>
          </w:tcPr>
          <w:p w14:paraId="5602A2BF" w14:textId="77777777" w:rsidR="00BA3A81" w:rsidRPr="00BA3A81" w:rsidRDefault="00BA3A81" w:rsidP="00050BAA">
            <w:pPr>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$0.32</w:t>
            </w:r>
          </w:p>
        </w:tc>
        <w:tc>
          <w:tcPr>
            <w:tcW w:w="961" w:type="pct"/>
            <w:tcBorders>
              <w:top w:val="nil"/>
              <w:left w:val="nil"/>
              <w:bottom w:val="single" w:sz="8" w:space="0" w:color="auto"/>
              <w:right w:val="single" w:sz="8" w:space="0" w:color="auto"/>
            </w:tcBorders>
            <w:shd w:val="clear" w:color="auto" w:fill="auto"/>
            <w:vAlign w:val="center"/>
            <w:hideMark/>
          </w:tcPr>
          <w:p w14:paraId="3E2A6E80" w14:textId="77777777" w:rsidR="00BA3A81" w:rsidRPr="00BA3A81" w:rsidRDefault="00BA3A81" w:rsidP="00050BAA">
            <w:pPr>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$0.35</w:t>
            </w:r>
          </w:p>
        </w:tc>
      </w:tr>
      <w:tr w:rsidR="00BA3A81" w:rsidRPr="00BA3A81" w14:paraId="2AC60568" w14:textId="77777777" w:rsidTr="00740EF4">
        <w:trPr>
          <w:trHeight w:val="510"/>
        </w:trPr>
        <w:tc>
          <w:tcPr>
            <w:tcW w:w="3031"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6AE6479D" w14:textId="77777777" w:rsidR="00BA3A81" w:rsidRPr="00BA3A81" w:rsidRDefault="00BA3A81" w:rsidP="00BA3A81">
            <w:pPr>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Total Cost of Document receipt, tracking, and data review, per single chemical full report</w:t>
            </w:r>
          </w:p>
        </w:tc>
        <w:tc>
          <w:tcPr>
            <w:tcW w:w="1008" w:type="pct"/>
            <w:tcBorders>
              <w:top w:val="nil"/>
              <w:left w:val="nil"/>
              <w:bottom w:val="single" w:sz="8" w:space="0" w:color="auto"/>
              <w:right w:val="single" w:sz="8" w:space="0" w:color="auto"/>
            </w:tcBorders>
            <w:shd w:val="clear" w:color="auto" w:fill="auto"/>
            <w:vAlign w:val="center"/>
            <w:hideMark/>
          </w:tcPr>
          <w:p w14:paraId="1F56359E" w14:textId="77777777" w:rsidR="00BA3A81" w:rsidRPr="00BA3A81" w:rsidRDefault="00BA3A81" w:rsidP="00050BAA">
            <w:pPr>
              <w:ind w:right="360"/>
              <w:jc w:val="right"/>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$0.70</w:t>
            </w:r>
          </w:p>
        </w:tc>
        <w:tc>
          <w:tcPr>
            <w:tcW w:w="961" w:type="pct"/>
            <w:tcBorders>
              <w:top w:val="nil"/>
              <w:left w:val="nil"/>
              <w:bottom w:val="single" w:sz="8" w:space="0" w:color="auto"/>
              <w:right w:val="single" w:sz="8" w:space="0" w:color="auto"/>
            </w:tcBorders>
            <w:shd w:val="clear" w:color="auto" w:fill="auto"/>
            <w:vAlign w:val="center"/>
            <w:hideMark/>
          </w:tcPr>
          <w:p w14:paraId="4953B14F" w14:textId="77777777" w:rsidR="00BA3A81" w:rsidRPr="00BA3A81" w:rsidRDefault="00BA3A81" w:rsidP="00050BAA">
            <w:pPr>
              <w:ind w:right="360"/>
              <w:jc w:val="right"/>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$0.77</w:t>
            </w:r>
          </w:p>
        </w:tc>
      </w:tr>
      <w:tr w:rsidR="00B43006" w:rsidRPr="00BA3A81" w14:paraId="2E4EEEBF" w14:textId="77777777" w:rsidTr="00740EF4">
        <w:trPr>
          <w:trHeight w:val="300"/>
        </w:trPr>
        <w:tc>
          <w:tcPr>
            <w:tcW w:w="5000" w:type="pct"/>
            <w:gridSpan w:val="3"/>
            <w:tcBorders>
              <w:top w:val="single" w:sz="8" w:space="0" w:color="auto"/>
              <w:left w:val="single" w:sz="8" w:space="0" w:color="auto"/>
              <w:bottom w:val="single" w:sz="8" w:space="0" w:color="auto"/>
              <w:right w:val="single" w:sz="8" w:space="0" w:color="auto"/>
            </w:tcBorders>
            <w:shd w:val="clear" w:color="auto" w:fill="E8E8E8"/>
            <w:vAlign w:val="center"/>
            <w:hideMark/>
          </w:tcPr>
          <w:p w14:paraId="09CA3B3B" w14:textId="77777777" w:rsidR="00B43006" w:rsidRPr="00BA3A81" w:rsidRDefault="00B43006" w:rsidP="00740EF4">
            <w:pPr>
              <w:keepNext/>
              <w:jc w:val="center"/>
              <w:rPr>
                <w:rFonts w:ascii="Arial Narrow" w:eastAsia="Times New Roman" w:hAnsi="Arial Narrow" w:cs="Times New Roman"/>
                <w:color w:val="000000"/>
                <w:sz w:val="20"/>
                <w:szCs w:val="20"/>
              </w:rPr>
            </w:pPr>
            <w:r w:rsidRPr="00BA3A81">
              <w:rPr>
                <w:rFonts w:ascii="Arial Narrow" w:eastAsia="Times New Roman" w:hAnsi="Arial Narrow" w:cs="Times New Roman"/>
                <w:b/>
                <w:bCs/>
                <w:color w:val="000000"/>
                <w:sz w:val="20"/>
                <w:szCs w:val="20"/>
              </w:rPr>
              <w:t>Fixed Costs</w:t>
            </w:r>
          </w:p>
        </w:tc>
      </w:tr>
      <w:tr w:rsidR="00BA3A81" w:rsidRPr="00BA3A81" w14:paraId="635DBAF0" w14:textId="77777777" w:rsidTr="00740EF4">
        <w:trPr>
          <w:trHeight w:val="300"/>
        </w:trPr>
        <w:tc>
          <w:tcPr>
            <w:tcW w:w="3031"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2529E496" w14:textId="77777777" w:rsidR="00BA3A81" w:rsidRPr="00BA3A81" w:rsidRDefault="00BA3A81" w:rsidP="00740EF4">
            <w:pPr>
              <w:keepNex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Maintaining and Operating Back Up Systems</w:t>
            </w:r>
          </w:p>
        </w:tc>
        <w:tc>
          <w:tcPr>
            <w:tcW w:w="1008" w:type="pct"/>
            <w:tcBorders>
              <w:top w:val="nil"/>
              <w:left w:val="nil"/>
              <w:bottom w:val="single" w:sz="8" w:space="0" w:color="auto"/>
              <w:right w:val="single" w:sz="8" w:space="0" w:color="auto"/>
            </w:tcBorders>
            <w:shd w:val="clear" w:color="auto" w:fill="auto"/>
            <w:vAlign w:val="center"/>
            <w:hideMark/>
          </w:tcPr>
          <w:p w14:paraId="5333281B" w14:textId="77777777" w:rsidR="00BA3A81" w:rsidRPr="00BA3A81" w:rsidRDefault="00BA3A81" w:rsidP="00050BAA">
            <w:pPr>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$63,385</w:t>
            </w:r>
          </w:p>
        </w:tc>
        <w:tc>
          <w:tcPr>
            <w:tcW w:w="961" w:type="pct"/>
            <w:tcBorders>
              <w:top w:val="nil"/>
              <w:left w:val="nil"/>
              <w:bottom w:val="single" w:sz="8" w:space="0" w:color="auto"/>
              <w:right w:val="single" w:sz="8" w:space="0" w:color="auto"/>
            </w:tcBorders>
            <w:shd w:val="clear" w:color="auto" w:fill="auto"/>
            <w:vAlign w:val="center"/>
            <w:hideMark/>
          </w:tcPr>
          <w:p w14:paraId="6C9676F0" w14:textId="77777777" w:rsidR="00BA3A81" w:rsidRPr="00BA3A81" w:rsidRDefault="00BA3A81" w:rsidP="00050BAA">
            <w:pPr>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$69,723.50</w:t>
            </w:r>
          </w:p>
        </w:tc>
      </w:tr>
      <w:tr w:rsidR="00BA3A81" w:rsidRPr="00BA3A81" w14:paraId="221A687E" w14:textId="77777777" w:rsidTr="00740EF4">
        <w:trPr>
          <w:trHeight w:val="300"/>
        </w:trPr>
        <w:tc>
          <w:tcPr>
            <w:tcW w:w="3031"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1DD97CCE" w14:textId="77777777" w:rsidR="00BA3A81" w:rsidRPr="00BA3A81" w:rsidRDefault="00BA3A81" w:rsidP="00740EF4">
            <w:pPr>
              <w:keepNex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Publication of materials and making a pdf of all Form U’s</w:t>
            </w:r>
          </w:p>
        </w:tc>
        <w:tc>
          <w:tcPr>
            <w:tcW w:w="1008" w:type="pct"/>
            <w:tcBorders>
              <w:top w:val="nil"/>
              <w:left w:val="nil"/>
              <w:bottom w:val="single" w:sz="8" w:space="0" w:color="auto"/>
              <w:right w:val="single" w:sz="8" w:space="0" w:color="auto"/>
            </w:tcBorders>
            <w:shd w:val="clear" w:color="auto" w:fill="auto"/>
            <w:vAlign w:val="center"/>
            <w:hideMark/>
          </w:tcPr>
          <w:p w14:paraId="3B95A8BA" w14:textId="77777777" w:rsidR="00BA3A81" w:rsidRPr="00BA3A81" w:rsidRDefault="00BA3A81" w:rsidP="00050BAA">
            <w:pPr>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$5,921</w:t>
            </w:r>
          </w:p>
        </w:tc>
        <w:tc>
          <w:tcPr>
            <w:tcW w:w="961" w:type="pct"/>
            <w:tcBorders>
              <w:top w:val="nil"/>
              <w:left w:val="nil"/>
              <w:bottom w:val="single" w:sz="8" w:space="0" w:color="auto"/>
              <w:right w:val="single" w:sz="8" w:space="0" w:color="auto"/>
            </w:tcBorders>
            <w:shd w:val="clear" w:color="auto" w:fill="auto"/>
            <w:vAlign w:val="center"/>
            <w:hideMark/>
          </w:tcPr>
          <w:p w14:paraId="7776C2C1" w14:textId="77777777" w:rsidR="00BA3A81" w:rsidRPr="00BA3A81" w:rsidRDefault="00BA3A81" w:rsidP="00050BAA">
            <w:pPr>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$6,513.10</w:t>
            </w:r>
          </w:p>
        </w:tc>
      </w:tr>
      <w:tr w:rsidR="00BA3A81" w:rsidRPr="00BA3A81" w14:paraId="61E4D387" w14:textId="77777777" w:rsidTr="00740EF4">
        <w:trPr>
          <w:trHeight w:val="300"/>
        </w:trPr>
        <w:tc>
          <w:tcPr>
            <w:tcW w:w="3031"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6A275F58" w14:textId="77777777" w:rsidR="00BA3A81" w:rsidRPr="00BA3A81" w:rsidRDefault="00BA3A81" w:rsidP="00740EF4">
            <w:pPr>
              <w:keepNex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Managing the TSCA Hotline</w:t>
            </w:r>
          </w:p>
        </w:tc>
        <w:tc>
          <w:tcPr>
            <w:tcW w:w="1008" w:type="pct"/>
            <w:tcBorders>
              <w:top w:val="nil"/>
              <w:left w:val="nil"/>
              <w:bottom w:val="single" w:sz="8" w:space="0" w:color="auto"/>
              <w:right w:val="single" w:sz="8" w:space="0" w:color="auto"/>
            </w:tcBorders>
            <w:shd w:val="clear" w:color="auto" w:fill="auto"/>
            <w:vAlign w:val="center"/>
            <w:hideMark/>
          </w:tcPr>
          <w:p w14:paraId="0381AE4E" w14:textId="77777777" w:rsidR="00BA3A81" w:rsidRPr="00BA3A81" w:rsidRDefault="00BA3A81" w:rsidP="00050BAA">
            <w:pPr>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$47,898</w:t>
            </w:r>
          </w:p>
        </w:tc>
        <w:tc>
          <w:tcPr>
            <w:tcW w:w="961" w:type="pct"/>
            <w:tcBorders>
              <w:top w:val="nil"/>
              <w:left w:val="nil"/>
              <w:bottom w:val="single" w:sz="8" w:space="0" w:color="auto"/>
              <w:right w:val="single" w:sz="8" w:space="0" w:color="auto"/>
            </w:tcBorders>
            <w:shd w:val="clear" w:color="auto" w:fill="auto"/>
            <w:vAlign w:val="center"/>
            <w:hideMark/>
          </w:tcPr>
          <w:p w14:paraId="21089911" w14:textId="77777777" w:rsidR="00BA3A81" w:rsidRPr="00BA3A81" w:rsidRDefault="00BA3A81" w:rsidP="00050BAA">
            <w:pPr>
              <w:ind w:right="360"/>
              <w:jc w:val="right"/>
              <w:rPr>
                <w:rFonts w:ascii="Arial Narrow" w:eastAsia="Times New Roman" w:hAnsi="Arial Narrow" w:cs="Times New Roman"/>
                <w:color w:val="000000"/>
                <w:sz w:val="20"/>
                <w:szCs w:val="20"/>
              </w:rPr>
            </w:pPr>
            <w:r w:rsidRPr="00BA3A81">
              <w:rPr>
                <w:rFonts w:ascii="Arial Narrow" w:eastAsia="Times New Roman" w:hAnsi="Arial Narrow" w:cs="Times New Roman"/>
                <w:color w:val="000000"/>
                <w:sz w:val="20"/>
                <w:szCs w:val="20"/>
              </w:rPr>
              <w:t>$52,687.80</w:t>
            </w:r>
          </w:p>
        </w:tc>
      </w:tr>
      <w:tr w:rsidR="00BA3A81" w:rsidRPr="00BA3A81" w14:paraId="4AA87D81" w14:textId="77777777" w:rsidTr="00740EF4">
        <w:trPr>
          <w:trHeight w:val="349"/>
        </w:trPr>
        <w:tc>
          <w:tcPr>
            <w:tcW w:w="3031" w:type="pct"/>
            <w:tcBorders>
              <w:top w:val="single" w:sz="8" w:space="0" w:color="auto"/>
              <w:left w:val="single" w:sz="8" w:space="0" w:color="auto"/>
              <w:bottom w:val="single" w:sz="8" w:space="0" w:color="auto"/>
              <w:right w:val="single" w:sz="8" w:space="0" w:color="000000"/>
            </w:tcBorders>
            <w:shd w:val="clear" w:color="auto" w:fill="E8E8E8"/>
            <w:vAlign w:val="center"/>
            <w:hideMark/>
          </w:tcPr>
          <w:p w14:paraId="2293BE48" w14:textId="77777777" w:rsidR="00BA3A81" w:rsidRPr="00BA3A81" w:rsidRDefault="00BA3A81" w:rsidP="00740EF4">
            <w:pPr>
              <w:keepNext/>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Total Fixed Cost</w:t>
            </w:r>
          </w:p>
        </w:tc>
        <w:tc>
          <w:tcPr>
            <w:tcW w:w="1008" w:type="pct"/>
            <w:tcBorders>
              <w:top w:val="single" w:sz="8" w:space="0" w:color="auto"/>
              <w:left w:val="nil"/>
              <w:bottom w:val="single" w:sz="8" w:space="0" w:color="auto"/>
              <w:right w:val="single" w:sz="8" w:space="0" w:color="auto"/>
            </w:tcBorders>
            <w:shd w:val="clear" w:color="auto" w:fill="E8E8E8"/>
            <w:vAlign w:val="center"/>
            <w:hideMark/>
          </w:tcPr>
          <w:p w14:paraId="18F79AA3" w14:textId="77777777" w:rsidR="00BA3A81" w:rsidRPr="00BA3A81" w:rsidRDefault="00BA3A81" w:rsidP="00050BAA">
            <w:pPr>
              <w:ind w:right="360"/>
              <w:jc w:val="right"/>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$117,204</w:t>
            </w:r>
          </w:p>
        </w:tc>
        <w:tc>
          <w:tcPr>
            <w:tcW w:w="961" w:type="pct"/>
            <w:tcBorders>
              <w:top w:val="single" w:sz="8" w:space="0" w:color="auto"/>
              <w:left w:val="nil"/>
              <w:bottom w:val="single" w:sz="8" w:space="0" w:color="auto"/>
              <w:right w:val="single" w:sz="8" w:space="0" w:color="auto"/>
            </w:tcBorders>
            <w:shd w:val="clear" w:color="auto" w:fill="E8E8E8"/>
            <w:vAlign w:val="center"/>
            <w:hideMark/>
          </w:tcPr>
          <w:p w14:paraId="6DF427D1" w14:textId="77777777" w:rsidR="00BA3A81" w:rsidRPr="00BA3A81" w:rsidRDefault="00BA3A81" w:rsidP="00050BAA">
            <w:pPr>
              <w:ind w:right="360"/>
              <w:jc w:val="right"/>
              <w:rPr>
                <w:rFonts w:ascii="Arial Narrow" w:eastAsia="Times New Roman" w:hAnsi="Arial Narrow" w:cs="Times New Roman"/>
                <w:b/>
                <w:bCs/>
                <w:color w:val="000000"/>
                <w:sz w:val="20"/>
                <w:szCs w:val="20"/>
              </w:rPr>
            </w:pPr>
            <w:r w:rsidRPr="00BA3A81">
              <w:rPr>
                <w:rFonts w:ascii="Arial Narrow" w:eastAsia="Times New Roman" w:hAnsi="Arial Narrow" w:cs="Times New Roman"/>
                <w:b/>
                <w:bCs/>
                <w:color w:val="000000"/>
                <w:sz w:val="20"/>
                <w:szCs w:val="20"/>
              </w:rPr>
              <w:t>$128,924.40</w:t>
            </w:r>
          </w:p>
        </w:tc>
      </w:tr>
      <w:tr w:rsidR="00D26E4F" w:rsidRPr="00BA3A81" w14:paraId="0EA96298" w14:textId="77777777" w:rsidTr="004777D7">
        <w:trPr>
          <w:trHeight w:val="349"/>
        </w:trPr>
        <w:tc>
          <w:tcPr>
            <w:tcW w:w="5000"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3CE38C04" w14:textId="77777777" w:rsidR="00AA0C9A" w:rsidRDefault="00AA0C9A" w:rsidP="00D26E4F">
            <w:pPr>
              <w:pStyle w:val="Footnotetables"/>
            </w:pPr>
            <w:r>
              <w:t>General Notes</w:t>
            </w:r>
          </w:p>
          <w:p w14:paraId="007F3A3E" w14:textId="77777777" w:rsidR="00D26E4F" w:rsidRDefault="00D26E4F" w:rsidP="004D4DC1">
            <w:pPr>
              <w:pStyle w:val="Footnotetables"/>
              <w:numPr>
                <w:ilvl w:val="0"/>
                <w:numId w:val="27"/>
              </w:numPr>
            </w:pPr>
            <w:r w:rsidRPr="00BA3A81">
              <w:t>Source</w:t>
            </w:r>
            <w:r w:rsidR="00AA0C9A">
              <w:t>s include</w:t>
            </w:r>
            <w:r w:rsidRPr="00BA3A81">
              <w:t xml:space="preserve">: </w:t>
            </w:r>
            <w:r w:rsidR="00F0452C">
              <w:t xml:space="preserve">US </w:t>
            </w:r>
            <w:r w:rsidR="00AA0C9A">
              <w:t xml:space="preserve">EPA, </w:t>
            </w:r>
            <w:r w:rsidRPr="00BA3A81">
              <w:t>2015</w:t>
            </w:r>
            <w:r w:rsidR="00AA0C9A">
              <w:t>a</w:t>
            </w:r>
            <w:r w:rsidRPr="00BA3A81">
              <w:t xml:space="preserve"> and </w:t>
            </w:r>
            <w:r w:rsidR="00352A94">
              <w:t>BLS, 2017b.</w:t>
            </w:r>
          </w:p>
          <w:p w14:paraId="2BEA0643" w14:textId="77777777" w:rsidR="00352A94" w:rsidRDefault="009A7188" w:rsidP="00352A94">
            <w:pPr>
              <w:pStyle w:val="Footnotetables"/>
            </w:pPr>
            <w:r>
              <w:t xml:space="preserve">Table </w:t>
            </w:r>
            <w:r w:rsidR="00352A94">
              <w:t>Footnotes</w:t>
            </w:r>
          </w:p>
          <w:p w14:paraId="4BFEF27C" w14:textId="77777777" w:rsidR="00D26E4F" w:rsidRPr="00BA3A81" w:rsidRDefault="009A407A" w:rsidP="00D26E4F">
            <w:pPr>
              <w:pStyle w:val="Footnotetables"/>
            </w:pPr>
            <w:r w:rsidRPr="009A407A">
              <w:rPr>
                <w:vertAlign w:val="superscript"/>
              </w:rPr>
              <w:t>1</w:t>
            </w:r>
            <w:r w:rsidR="00D26E4F" w:rsidRPr="00BA3A81">
              <w:t xml:space="preserve"> The inflation rate of 1.01 is calculated as the Employment Cost Index (ECI) for 2016 divided by the ECI for 2012.</w:t>
            </w:r>
          </w:p>
        </w:tc>
      </w:tr>
    </w:tbl>
    <w:p w14:paraId="13380D6E" w14:textId="77777777" w:rsidR="008E1828" w:rsidRPr="008E1828" w:rsidRDefault="008E1828" w:rsidP="008E1828"/>
    <w:p w14:paraId="6867EEE1" w14:textId="77777777" w:rsidR="00F06BA6" w:rsidRPr="008A7FB7" w:rsidRDefault="00F06BA6" w:rsidP="000D2D6D">
      <w:pPr>
        <w:pStyle w:val="Heading2"/>
      </w:pPr>
      <w:r w:rsidRPr="008A7FB7">
        <w:t>Bottom-Line Industry Burden and Cost Estimates</w:t>
      </w:r>
    </w:p>
    <w:p w14:paraId="7644173C" w14:textId="77777777" w:rsidR="00F06BA6" w:rsidRPr="008A7FB7" w:rsidRDefault="00F06BA6" w:rsidP="000F6439">
      <w:pPr>
        <w:pStyle w:val="BodyText"/>
      </w:pPr>
      <w:r w:rsidRPr="008A7FB7">
        <w:t>This section describes the estimated social burden and cost of paperwork over the three</w:t>
      </w:r>
      <w:r w:rsidR="00626157">
        <w:t>-</w:t>
      </w:r>
      <w:r w:rsidRPr="008A7FB7">
        <w:t xml:space="preserve"> year ICR period. The next CDR submission period will occur in 20</w:t>
      </w:r>
      <w:r>
        <w:t>20</w:t>
      </w:r>
      <w:r w:rsidRPr="008A7FB7">
        <w:t xml:space="preserve"> for chemical substances manufactured (including imported) during the calendar years </w:t>
      </w:r>
      <w:r w:rsidR="0055276B" w:rsidRPr="008A7FB7">
        <w:t>201</w:t>
      </w:r>
      <w:r w:rsidR="0055276B">
        <w:t>6</w:t>
      </w:r>
      <w:r w:rsidRPr="008A7FB7">
        <w:t>-</w:t>
      </w:r>
      <w:r w:rsidR="0055276B" w:rsidRPr="008A7FB7">
        <w:t>20</w:t>
      </w:r>
      <w:r w:rsidR="0055276B">
        <w:t>19</w:t>
      </w:r>
      <w:r w:rsidRPr="008A7FB7">
        <w:t xml:space="preserve">. Even though reporting occurs only once every 4 years, </w:t>
      </w:r>
      <w:r w:rsidR="00AE5D8F" w:rsidRPr="008A7FB7">
        <w:rPr>
          <w:color w:val="000000"/>
          <w:szCs w:val="22"/>
        </w:rPr>
        <w:t xml:space="preserve">EPA </w:t>
      </w:r>
      <w:r w:rsidR="00AE5D8F">
        <w:rPr>
          <w:color w:val="000000"/>
          <w:szCs w:val="22"/>
        </w:rPr>
        <w:t xml:space="preserve">recognizes that activities associated with the submission are performed over the entire course of the reporting cycle. This section first provides burden and cost estimates for the four-year CDR reporting cycle for industry and the Agency, followed by a summary of estimates </w:t>
      </w:r>
      <w:r w:rsidR="0055276B">
        <w:rPr>
          <w:color w:val="000000"/>
          <w:szCs w:val="22"/>
        </w:rPr>
        <w:t xml:space="preserve">that apply for </w:t>
      </w:r>
      <w:r w:rsidR="00626157">
        <w:rPr>
          <w:color w:val="000000"/>
          <w:szCs w:val="22"/>
        </w:rPr>
        <w:t xml:space="preserve">the </w:t>
      </w:r>
      <w:r w:rsidR="00AE5D8F">
        <w:rPr>
          <w:color w:val="000000"/>
          <w:szCs w:val="22"/>
        </w:rPr>
        <w:t>three</w:t>
      </w:r>
      <w:r w:rsidR="0055276B">
        <w:rPr>
          <w:color w:val="000000"/>
          <w:szCs w:val="22"/>
        </w:rPr>
        <w:t>-</w:t>
      </w:r>
      <w:r w:rsidR="00AE5D8F">
        <w:rPr>
          <w:color w:val="000000"/>
          <w:szCs w:val="22"/>
        </w:rPr>
        <w:t>year ICR renewal period</w:t>
      </w:r>
      <w:r>
        <w:t>.</w:t>
      </w:r>
    </w:p>
    <w:p w14:paraId="2D3C4F69" w14:textId="77777777" w:rsidR="00F06BA6" w:rsidRPr="008A7FB7" w:rsidRDefault="00F06BA6" w:rsidP="007F34F8">
      <w:pPr>
        <w:pStyle w:val="Heading3nonumber"/>
      </w:pPr>
      <w:r w:rsidRPr="008A7FB7">
        <w:t>Respondent Tally</w:t>
      </w:r>
    </w:p>
    <w:p w14:paraId="7DBF374C" w14:textId="77777777" w:rsidR="00F06BA6" w:rsidRDefault="00F06BA6" w:rsidP="000F6439">
      <w:pPr>
        <w:pStyle w:val="BodyText"/>
      </w:pPr>
      <w:r>
        <w:t>Table 1</w:t>
      </w:r>
      <w:r w:rsidR="006246FB">
        <w:t>2</w:t>
      </w:r>
      <w:r>
        <w:t xml:space="preserve"> presents the expected numbers of </w:t>
      </w:r>
      <w:r w:rsidRPr="008A7FB7">
        <w:t>sites</w:t>
      </w:r>
      <w:r>
        <w:t>, chemicals</w:t>
      </w:r>
      <w:r w:rsidR="0055276B">
        <w:t>,</w:t>
      </w:r>
      <w:r>
        <w:t xml:space="preserve"> and chemical </w:t>
      </w:r>
      <w:r w:rsidRPr="008A7FB7">
        <w:t>reports for the 20</w:t>
      </w:r>
      <w:r>
        <w:t>20</w:t>
      </w:r>
      <w:r w:rsidRPr="008A7FB7">
        <w:t xml:space="preserve"> reporting cycle based on information from the </w:t>
      </w:r>
      <w:r>
        <w:t xml:space="preserve">recent 2016 </w:t>
      </w:r>
      <w:r w:rsidRPr="008A7FB7">
        <w:t>CDR</w:t>
      </w:r>
      <w:r w:rsidR="007518C5">
        <w:t xml:space="preserve"> submission period</w:t>
      </w:r>
      <w:r w:rsidRPr="008A7FB7">
        <w:t xml:space="preserve"> </w:t>
      </w:r>
      <w:r w:rsidR="0055276B">
        <w:t>(US EPA, 2017</w:t>
      </w:r>
      <w:r w:rsidR="0092080E">
        <w:t>c</w:t>
      </w:r>
      <w:r w:rsidR="0055276B">
        <w:t>)</w:t>
      </w:r>
      <w:r>
        <w:t>.</w:t>
      </w:r>
      <w:r w:rsidRPr="008A7FB7">
        <w:t xml:space="preserve"> EPA expects </w:t>
      </w:r>
      <w:r>
        <w:t>similar counts for the next CDR reporting cycle</w:t>
      </w:r>
      <w:r w:rsidR="0055276B">
        <w:t xml:space="preserve">, as the </w:t>
      </w:r>
      <w:r w:rsidR="007518C5">
        <w:t>reporting thresholds to CDR have not changed</w:t>
      </w:r>
      <w:r w:rsidR="0055276B">
        <w:t>.</w:t>
      </w:r>
      <w:r>
        <w:t xml:space="preserve"> As </w:t>
      </w:r>
      <w:r w:rsidR="004E195C">
        <w:t xml:space="preserve">in </w:t>
      </w:r>
      <w:r>
        <w:t xml:space="preserve">2016, </w:t>
      </w:r>
      <w:r w:rsidR="0055276B">
        <w:t xml:space="preserve">when a site exceeds the threshold in any of the four years of the reporting cycle, they must report to CDR. Note that as in 2016 CDR, </w:t>
      </w:r>
      <w:r>
        <w:t>the 20</w:t>
      </w:r>
      <w:r w:rsidR="004E195C">
        <w:t>20 CDR</w:t>
      </w:r>
      <w:r>
        <w:t xml:space="preserve"> </w:t>
      </w:r>
      <w:r w:rsidR="0055276B">
        <w:t xml:space="preserve">requires that </w:t>
      </w:r>
      <w:r>
        <w:t xml:space="preserve">certain chemical substances </w:t>
      </w:r>
      <w:r w:rsidR="007518C5">
        <w:t xml:space="preserve">be </w:t>
      </w:r>
      <w:r>
        <w:t>subject to lower thresholds.</w:t>
      </w:r>
      <w:r>
        <w:rPr>
          <w:rStyle w:val="FootnoteReference"/>
        </w:rPr>
        <w:footnoteReference w:id="9"/>
      </w:r>
      <w:r w:rsidR="00770491">
        <w:t xml:space="preserve"> Table 12 also provides an estimate for the universe of CDX registrations, based on 25% of the count of firms submitting the Form U.  As stated in Section 6(a)</w:t>
      </w:r>
      <w:r w:rsidR="007518C5">
        <w:t>,</w:t>
      </w:r>
      <w:r w:rsidR="00770491">
        <w:t xml:space="preserve"> </w:t>
      </w:r>
      <w:r w:rsidR="007518C5">
        <w:t>n</w:t>
      </w:r>
      <w:r w:rsidR="00770491">
        <w:t xml:space="preserve">ot all new reporters necessarily need to conduct CDX activities, as the same registration and e-signature apply to multiple EPA reporting functions. However, given that the CDR information collection involves a relatively large number of submitters and thereby greater potential for turnover, the estimate of registrations </w:t>
      </w:r>
      <w:r w:rsidR="001935F8">
        <w:t xml:space="preserve">for CDR </w:t>
      </w:r>
      <w:r w:rsidR="00770491">
        <w:t xml:space="preserve">is </w:t>
      </w:r>
      <w:r w:rsidR="007518C5">
        <w:t>greater</w:t>
      </w:r>
      <w:r w:rsidR="00770491">
        <w:t xml:space="preserve"> than </w:t>
      </w:r>
      <w:r w:rsidR="001935F8">
        <w:t xml:space="preserve">typical estimates </w:t>
      </w:r>
      <w:r w:rsidR="007518C5">
        <w:t xml:space="preserve">for </w:t>
      </w:r>
      <w:r w:rsidR="001935F8">
        <w:t xml:space="preserve">other </w:t>
      </w:r>
      <w:r w:rsidR="00770491">
        <w:t>EPA programs</w:t>
      </w:r>
      <w:r w:rsidR="0052362B">
        <w:t>.</w:t>
      </w:r>
      <w:r w:rsidR="00770491">
        <w:t xml:space="preserve"> The 25% basis is derived using the percentage for new reporter sites at 15%</w:t>
      </w:r>
      <w:r w:rsidR="001935F8">
        <w:t xml:space="preserve"> plus</w:t>
      </w:r>
      <w:r w:rsidR="00770491">
        <w:t xml:space="preserve"> an additional 10% to account for employee turnover within all firms.</w:t>
      </w:r>
    </w:p>
    <w:p w14:paraId="2BB95BBE" w14:textId="77777777" w:rsidR="0094430B" w:rsidRDefault="00F06BA6" w:rsidP="000F6439">
      <w:pPr>
        <w:pStyle w:val="BodyText"/>
      </w:pPr>
      <w:r w:rsidRPr="008A7FB7">
        <w:t xml:space="preserve">As stated above, EPA assumes that the burden for </w:t>
      </w:r>
      <w:r w:rsidR="00F319D7">
        <w:t>experienced</w:t>
      </w:r>
      <w:r w:rsidR="00F319D7" w:rsidRPr="008A7FB7">
        <w:t xml:space="preserve"> </w:t>
      </w:r>
      <w:r w:rsidRPr="008A7FB7">
        <w:t xml:space="preserve">submitters </w:t>
      </w:r>
      <w:r w:rsidR="00F319D7">
        <w:t xml:space="preserve">is </w:t>
      </w:r>
      <w:r w:rsidRPr="008A7FB7">
        <w:t xml:space="preserve">reduced </w:t>
      </w:r>
      <w:r w:rsidR="00F319D7">
        <w:t>due to</w:t>
      </w:r>
      <w:r w:rsidRPr="008A7FB7">
        <w:t xml:space="preserve"> efficiencies achieved through familiarity with the reporting process. </w:t>
      </w:r>
      <w:r w:rsidR="00F319D7">
        <w:t>Therefore, the respondent tall</w:t>
      </w:r>
      <w:r w:rsidR="00626157">
        <w:t>y</w:t>
      </w:r>
      <w:r w:rsidR="00F319D7">
        <w:t xml:space="preserve"> must distinguish between new and experienced reporters. New reporters are entering the CDR reporting universe with all rele</w:t>
      </w:r>
      <w:r w:rsidR="008979B6">
        <w:t>v</w:t>
      </w:r>
      <w:r w:rsidR="00F319D7">
        <w:t xml:space="preserve">ant chemical reports exceeding thresholds for the first time. </w:t>
      </w:r>
      <w:r>
        <w:t xml:space="preserve">EPA estimates that on average </w:t>
      </w:r>
      <w:r w:rsidR="000C191A">
        <w:t>1</w:t>
      </w:r>
      <w:r w:rsidR="00D25972">
        <w:t>5</w:t>
      </w:r>
      <w:r>
        <w:t xml:space="preserve">% of </w:t>
      </w:r>
      <w:r w:rsidR="00F319D7">
        <w:t xml:space="preserve">CDR sites </w:t>
      </w:r>
      <w:r>
        <w:t xml:space="preserve">are new to CDR </w:t>
      </w:r>
      <w:r w:rsidR="00F319D7">
        <w:t xml:space="preserve">for </w:t>
      </w:r>
      <w:r>
        <w:t>a given four</w:t>
      </w:r>
      <w:r w:rsidR="00626157">
        <w:t>-</w:t>
      </w:r>
      <w:r>
        <w:t>year reporting cycle.</w:t>
      </w:r>
      <w:r>
        <w:rPr>
          <w:rStyle w:val="FootnoteReference"/>
        </w:rPr>
        <w:footnoteReference w:id="10"/>
      </w:r>
      <w:r>
        <w:t xml:space="preserve"> </w:t>
      </w:r>
    </w:p>
    <w:tbl>
      <w:tblPr>
        <w:tblW w:w="7382" w:type="dxa"/>
        <w:jc w:val="center"/>
        <w:tblLook w:val="04A0" w:firstRow="1" w:lastRow="0" w:firstColumn="1" w:lastColumn="0" w:noHBand="0" w:noVBand="1"/>
      </w:tblPr>
      <w:tblGrid>
        <w:gridCol w:w="3742"/>
        <w:gridCol w:w="1478"/>
        <w:gridCol w:w="1408"/>
        <w:gridCol w:w="266"/>
        <w:gridCol w:w="266"/>
        <w:gridCol w:w="222"/>
      </w:tblGrid>
      <w:tr w:rsidR="0005506A" w:rsidRPr="0005506A" w14:paraId="3DA29122" w14:textId="77777777" w:rsidTr="0052362B">
        <w:trPr>
          <w:trHeight w:val="375"/>
          <w:jc w:val="center"/>
        </w:trPr>
        <w:tc>
          <w:tcPr>
            <w:tcW w:w="7382" w:type="dxa"/>
            <w:gridSpan w:val="6"/>
            <w:tcBorders>
              <w:top w:val="nil"/>
              <w:left w:val="nil"/>
              <w:bottom w:val="nil"/>
              <w:right w:val="nil"/>
            </w:tcBorders>
            <w:shd w:val="clear" w:color="auto" w:fill="auto"/>
            <w:noWrap/>
            <w:vAlign w:val="bottom"/>
            <w:hideMark/>
          </w:tcPr>
          <w:p w14:paraId="010148B1" w14:textId="77777777" w:rsidR="0005506A" w:rsidRDefault="0005506A" w:rsidP="0005506A">
            <w:pPr>
              <w:rPr>
                <w:rFonts w:eastAsia="Times New Roman" w:cs="Times New Roman"/>
                <w:b/>
                <w:bCs/>
                <w:color w:val="000000"/>
              </w:rPr>
            </w:pPr>
            <w:r w:rsidRPr="0005506A">
              <w:rPr>
                <w:rFonts w:eastAsia="Times New Roman" w:cs="Times New Roman"/>
                <w:b/>
                <w:bCs/>
                <w:color w:val="000000"/>
              </w:rPr>
              <w:t xml:space="preserve">Table 12: Universe of Respondent Sites, Chemical </w:t>
            </w:r>
          </w:p>
          <w:p w14:paraId="294E586A" w14:textId="77777777" w:rsidR="0005506A" w:rsidRPr="0005506A" w:rsidRDefault="0005506A" w:rsidP="0005506A">
            <w:pPr>
              <w:rPr>
                <w:rFonts w:eastAsia="Times New Roman" w:cs="Times New Roman"/>
                <w:b/>
                <w:bCs/>
                <w:color w:val="000000"/>
              </w:rPr>
            </w:pPr>
            <w:r w:rsidRPr="0005506A">
              <w:rPr>
                <w:rFonts w:eastAsia="Times New Roman" w:cs="Times New Roman"/>
                <w:b/>
                <w:bCs/>
                <w:color w:val="000000"/>
              </w:rPr>
              <w:t>Reports, and CDX Registration</w:t>
            </w:r>
          </w:p>
        </w:tc>
      </w:tr>
      <w:tr w:rsidR="0005506A" w:rsidRPr="0005506A" w14:paraId="65670C1A" w14:textId="77777777" w:rsidTr="0052362B">
        <w:trPr>
          <w:trHeight w:val="90"/>
          <w:jc w:val="center"/>
        </w:trPr>
        <w:tc>
          <w:tcPr>
            <w:tcW w:w="3742" w:type="dxa"/>
            <w:tcBorders>
              <w:top w:val="nil"/>
              <w:left w:val="nil"/>
              <w:bottom w:val="single" w:sz="12" w:space="0" w:color="auto"/>
              <w:right w:val="nil"/>
            </w:tcBorders>
            <w:shd w:val="clear" w:color="auto" w:fill="auto"/>
            <w:noWrap/>
            <w:vAlign w:val="bottom"/>
            <w:hideMark/>
          </w:tcPr>
          <w:p w14:paraId="20A6944A" w14:textId="77777777" w:rsidR="0005506A" w:rsidRPr="0005506A" w:rsidRDefault="0005506A" w:rsidP="0005506A">
            <w:pPr>
              <w:rPr>
                <w:rFonts w:eastAsia="Times New Roman" w:cs="Times New Roman"/>
                <w:b/>
                <w:bCs/>
                <w:color w:val="000000"/>
              </w:rPr>
            </w:pPr>
          </w:p>
        </w:tc>
        <w:tc>
          <w:tcPr>
            <w:tcW w:w="1478" w:type="dxa"/>
            <w:tcBorders>
              <w:top w:val="nil"/>
              <w:left w:val="nil"/>
              <w:bottom w:val="single" w:sz="12" w:space="0" w:color="auto"/>
              <w:right w:val="nil"/>
            </w:tcBorders>
            <w:shd w:val="clear" w:color="auto" w:fill="auto"/>
            <w:noWrap/>
            <w:vAlign w:val="bottom"/>
            <w:hideMark/>
          </w:tcPr>
          <w:p w14:paraId="3193AF41" w14:textId="77777777" w:rsidR="0005506A" w:rsidRPr="0005506A" w:rsidRDefault="0005506A" w:rsidP="0005506A">
            <w:pPr>
              <w:rPr>
                <w:rFonts w:eastAsia="Times New Roman" w:cs="Times New Roman"/>
                <w:sz w:val="20"/>
                <w:szCs w:val="20"/>
              </w:rPr>
            </w:pPr>
          </w:p>
        </w:tc>
        <w:tc>
          <w:tcPr>
            <w:tcW w:w="1408" w:type="dxa"/>
            <w:tcBorders>
              <w:top w:val="nil"/>
              <w:left w:val="nil"/>
              <w:bottom w:val="single" w:sz="12" w:space="0" w:color="auto"/>
              <w:right w:val="nil"/>
            </w:tcBorders>
            <w:shd w:val="clear" w:color="auto" w:fill="auto"/>
            <w:noWrap/>
            <w:vAlign w:val="bottom"/>
            <w:hideMark/>
          </w:tcPr>
          <w:p w14:paraId="09B71853" w14:textId="77777777" w:rsidR="0005506A" w:rsidRPr="0005506A" w:rsidRDefault="0005506A" w:rsidP="0005506A">
            <w:pPr>
              <w:rPr>
                <w:rFonts w:eastAsia="Times New Roman" w:cs="Times New Roman"/>
                <w:sz w:val="20"/>
                <w:szCs w:val="20"/>
              </w:rPr>
            </w:pPr>
          </w:p>
        </w:tc>
        <w:tc>
          <w:tcPr>
            <w:tcW w:w="266" w:type="dxa"/>
            <w:tcBorders>
              <w:top w:val="nil"/>
              <w:left w:val="nil"/>
              <w:bottom w:val="nil"/>
              <w:right w:val="nil"/>
            </w:tcBorders>
            <w:shd w:val="clear" w:color="auto" w:fill="auto"/>
            <w:noWrap/>
            <w:vAlign w:val="bottom"/>
            <w:hideMark/>
          </w:tcPr>
          <w:p w14:paraId="502CD51C" w14:textId="77777777" w:rsidR="0005506A" w:rsidRPr="0005506A" w:rsidRDefault="0005506A" w:rsidP="0005506A">
            <w:pPr>
              <w:rPr>
                <w:rFonts w:eastAsia="Times New Roman" w:cs="Times New Roman"/>
                <w:sz w:val="20"/>
                <w:szCs w:val="20"/>
              </w:rPr>
            </w:pPr>
          </w:p>
        </w:tc>
        <w:tc>
          <w:tcPr>
            <w:tcW w:w="266" w:type="dxa"/>
            <w:tcBorders>
              <w:top w:val="nil"/>
              <w:left w:val="nil"/>
              <w:bottom w:val="nil"/>
              <w:right w:val="nil"/>
            </w:tcBorders>
            <w:shd w:val="clear" w:color="auto" w:fill="auto"/>
            <w:noWrap/>
            <w:vAlign w:val="bottom"/>
            <w:hideMark/>
          </w:tcPr>
          <w:p w14:paraId="62F86C69" w14:textId="77777777" w:rsidR="0005506A" w:rsidRPr="0005506A" w:rsidRDefault="0005506A" w:rsidP="0005506A">
            <w:pPr>
              <w:rPr>
                <w:rFonts w:eastAsia="Times New Roman" w:cs="Times New Roman"/>
                <w:sz w:val="20"/>
                <w:szCs w:val="20"/>
              </w:rPr>
            </w:pPr>
          </w:p>
        </w:tc>
        <w:tc>
          <w:tcPr>
            <w:tcW w:w="222" w:type="dxa"/>
            <w:tcBorders>
              <w:top w:val="nil"/>
              <w:left w:val="nil"/>
              <w:bottom w:val="nil"/>
              <w:right w:val="nil"/>
            </w:tcBorders>
            <w:shd w:val="clear" w:color="auto" w:fill="auto"/>
            <w:noWrap/>
            <w:vAlign w:val="bottom"/>
            <w:hideMark/>
          </w:tcPr>
          <w:p w14:paraId="6F63DECB" w14:textId="77777777" w:rsidR="0005506A" w:rsidRPr="0005506A" w:rsidRDefault="0005506A" w:rsidP="0005506A">
            <w:pPr>
              <w:rPr>
                <w:rFonts w:eastAsia="Times New Roman" w:cs="Times New Roman"/>
                <w:sz w:val="20"/>
                <w:szCs w:val="20"/>
              </w:rPr>
            </w:pPr>
          </w:p>
        </w:tc>
      </w:tr>
      <w:tr w:rsidR="0005506A" w:rsidRPr="0005506A" w14:paraId="4C987BC9" w14:textId="77777777" w:rsidTr="0052362B">
        <w:trPr>
          <w:trHeight w:val="345"/>
          <w:jc w:val="center"/>
        </w:trPr>
        <w:tc>
          <w:tcPr>
            <w:tcW w:w="6628" w:type="dxa"/>
            <w:gridSpan w:val="3"/>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D48331D" w14:textId="77777777" w:rsidR="0005506A" w:rsidRPr="0005506A" w:rsidRDefault="0005506A" w:rsidP="0005506A">
            <w:pPr>
              <w:jc w:val="center"/>
              <w:rPr>
                <w:rFonts w:ascii="Arial Narrow" w:eastAsia="Times New Roman" w:hAnsi="Arial Narrow" w:cs="Calibri"/>
                <w:b/>
                <w:bCs/>
                <w:color w:val="000000"/>
                <w:sz w:val="20"/>
                <w:szCs w:val="20"/>
              </w:rPr>
            </w:pPr>
            <w:r w:rsidRPr="0005506A">
              <w:rPr>
                <w:rFonts w:ascii="Arial Narrow" w:eastAsia="Times New Roman" w:hAnsi="Arial Narrow" w:cs="Calibri"/>
                <w:b/>
                <w:bCs/>
                <w:color w:val="000000"/>
                <w:sz w:val="20"/>
                <w:szCs w:val="20"/>
              </w:rPr>
              <w:t>Form U Submissions Universe</w:t>
            </w:r>
          </w:p>
        </w:tc>
        <w:tc>
          <w:tcPr>
            <w:tcW w:w="266" w:type="dxa"/>
            <w:tcBorders>
              <w:top w:val="nil"/>
              <w:left w:val="single" w:sz="12" w:space="0" w:color="auto"/>
              <w:bottom w:val="nil"/>
              <w:right w:val="nil"/>
            </w:tcBorders>
            <w:shd w:val="clear" w:color="000000" w:fill="FFFFFF"/>
            <w:noWrap/>
            <w:vAlign w:val="bottom"/>
            <w:hideMark/>
          </w:tcPr>
          <w:p w14:paraId="15DDA812"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66" w:type="dxa"/>
            <w:tcBorders>
              <w:top w:val="nil"/>
              <w:left w:val="nil"/>
              <w:bottom w:val="nil"/>
              <w:right w:val="nil"/>
            </w:tcBorders>
            <w:shd w:val="clear" w:color="000000" w:fill="FFFFFF"/>
            <w:noWrap/>
            <w:vAlign w:val="bottom"/>
            <w:hideMark/>
          </w:tcPr>
          <w:p w14:paraId="7385676B"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5FDD6C81" w14:textId="77777777" w:rsidR="0005506A" w:rsidRPr="0005506A" w:rsidRDefault="0005506A" w:rsidP="0005506A">
            <w:pPr>
              <w:rPr>
                <w:rFonts w:ascii="Calibri" w:eastAsia="Times New Roman" w:hAnsi="Calibri" w:cs="Calibri"/>
                <w:color w:val="000000"/>
                <w:sz w:val="22"/>
                <w:szCs w:val="22"/>
              </w:rPr>
            </w:pPr>
          </w:p>
        </w:tc>
      </w:tr>
      <w:tr w:rsidR="0005506A" w:rsidRPr="0005506A" w14:paraId="335A3C62" w14:textId="77777777" w:rsidTr="0052362B">
        <w:trPr>
          <w:trHeight w:val="675"/>
          <w:jc w:val="center"/>
        </w:trPr>
        <w:tc>
          <w:tcPr>
            <w:tcW w:w="3742" w:type="dxa"/>
            <w:tcBorders>
              <w:top w:val="nil"/>
              <w:left w:val="single" w:sz="12" w:space="0" w:color="auto"/>
              <w:bottom w:val="single" w:sz="8" w:space="0" w:color="auto"/>
              <w:right w:val="single" w:sz="4" w:space="0" w:color="auto"/>
            </w:tcBorders>
            <w:shd w:val="clear" w:color="000000" w:fill="BFBFBF"/>
            <w:vAlign w:val="bottom"/>
            <w:hideMark/>
          </w:tcPr>
          <w:p w14:paraId="10D1AF94" w14:textId="77777777" w:rsidR="0005506A" w:rsidRPr="0005506A" w:rsidRDefault="0005506A" w:rsidP="0005506A">
            <w:pPr>
              <w:jc w:val="center"/>
              <w:rPr>
                <w:rFonts w:ascii="Arial Narrow" w:eastAsia="Times New Roman" w:hAnsi="Arial Narrow" w:cs="Calibri"/>
                <w:b/>
                <w:bCs/>
                <w:color w:val="000000"/>
                <w:sz w:val="20"/>
                <w:szCs w:val="20"/>
              </w:rPr>
            </w:pPr>
            <w:r w:rsidRPr="0005506A">
              <w:rPr>
                <w:rFonts w:ascii="Arial Narrow" w:eastAsia="Times New Roman" w:hAnsi="Arial Narrow" w:cs="Calibri"/>
                <w:b/>
                <w:bCs/>
                <w:color w:val="000000"/>
                <w:sz w:val="20"/>
                <w:szCs w:val="20"/>
              </w:rPr>
              <w:t>Submitters/Sites</w:t>
            </w:r>
          </w:p>
        </w:tc>
        <w:tc>
          <w:tcPr>
            <w:tcW w:w="1478" w:type="dxa"/>
            <w:tcBorders>
              <w:top w:val="nil"/>
              <w:left w:val="nil"/>
              <w:bottom w:val="single" w:sz="8" w:space="0" w:color="auto"/>
              <w:right w:val="single" w:sz="4" w:space="0" w:color="auto"/>
            </w:tcBorders>
            <w:shd w:val="clear" w:color="000000" w:fill="BFBFBF"/>
            <w:vAlign w:val="bottom"/>
            <w:hideMark/>
          </w:tcPr>
          <w:p w14:paraId="57498746" w14:textId="77777777" w:rsidR="0005506A" w:rsidRPr="0005506A" w:rsidRDefault="0005506A" w:rsidP="0005506A">
            <w:pPr>
              <w:jc w:val="center"/>
              <w:rPr>
                <w:rFonts w:ascii="Arial Narrow" w:eastAsia="Times New Roman" w:hAnsi="Arial Narrow" w:cs="Calibri"/>
                <w:b/>
                <w:bCs/>
                <w:color w:val="000000"/>
                <w:sz w:val="20"/>
                <w:szCs w:val="20"/>
              </w:rPr>
            </w:pPr>
            <w:r w:rsidRPr="0005506A">
              <w:rPr>
                <w:rFonts w:ascii="Arial Narrow" w:eastAsia="Times New Roman" w:hAnsi="Arial Narrow" w:cs="Calibri"/>
                <w:b/>
                <w:bCs/>
                <w:color w:val="000000"/>
                <w:sz w:val="20"/>
                <w:szCs w:val="20"/>
              </w:rPr>
              <w:t>Chemical Reports</w:t>
            </w:r>
          </w:p>
        </w:tc>
        <w:tc>
          <w:tcPr>
            <w:tcW w:w="1408" w:type="dxa"/>
            <w:tcBorders>
              <w:top w:val="nil"/>
              <w:left w:val="nil"/>
              <w:bottom w:val="single" w:sz="8" w:space="0" w:color="auto"/>
              <w:right w:val="single" w:sz="12" w:space="0" w:color="auto"/>
            </w:tcBorders>
            <w:shd w:val="clear" w:color="000000" w:fill="BFBFBF"/>
            <w:vAlign w:val="bottom"/>
            <w:hideMark/>
          </w:tcPr>
          <w:p w14:paraId="3AD75F59" w14:textId="77777777" w:rsidR="0005506A" w:rsidRPr="0005506A" w:rsidRDefault="0005506A" w:rsidP="0005506A">
            <w:pPr>
              <w:jc w:val="center"/>
              <w:rPr>
                <w:rFonts w:ascii="Arial Narrow" w:eastAsia="Times New Roman" w:hAnsi="Arial Narrow" w:cs="Calibri"/>
                <w:b/>
                <w:bCs/>
                <w:color w:val="000000"/>
                <w:sz w:val="20"/>
                <w:szCs w:val="20"/>
              </w:rPr>
            </w:pPr>
            <w:r w:rsidRPr="0005506A">
              <w:rPr>
                <w:rFonts w:ascii="Arial Narrow" w:eastAsia="Times New Roman" w:hAnsi="Arial Narrow" w:cs="Calibri"/>
                <w:b/>
                <w:bCs/>
                <w:color w:val="000000"/>
                <w:sz w:val="20"/>
                <w:szCs w:val="20"/>
              </w:rPr>
              <w:t>Chemicals</w:t>
            </w:r>
          </w:p>
        </w:tc>
        <w:tc>
          <w:tcPr>
            <w:tcW w:w="266" w:type="dxa"/>
            <w:tcBorders>
              <w:top w:val="nil"/>
              <w:left w:val="single" w:sz="12" w:space="0" w:color="auto"/>
              <w:bottom w:val="nil"/>
              <w:right w:val="nil"/>
            </w:tcBorders>
            <w:shd w:val="clear" w:color="auto" w:fill="auto"/>
            <w:noWrap/>
            <w:vAlign w:val="bottom"/>
            <w:hideMark/>
          </w:tcPr>
          <w:p w14:paraId="7371A7C7" w14:textId="77777777" w:rsidR="0005506A" w:rsidRPr="0005506A" w:rsidRDefault="0005506A" w:rsidP="0005506A">
            <w:pPr>
              <w:jc w:val="center"/>
              <w:rPr>
                <w:rFonts w:ascii="Arial Narrow" w:eastAsia="Times New Roman" w:hAnsi="Arial Narrow" w:cs="Calibri"/>
                <w:b/>
                <w:bCs/>
                <w:color w:val="000000"/>
                <w:sz w:val="22"/>
                <w:szCs w:val="22"/>
              </w:rPr>
            </w:pPr>
          </w:p>
        </w:tc>
        <w:tc>
          <w:tcPr>
            <w:tcW w:w="266" w:type="dxa"/>
            <w:tcBorders>
              <w:top w:val="nil"/>
              <w:left w:val="nil"/>
              <w:bottom w:val="nil"/>
              <w:right w:val="nil"/>
            </w:tcBorders>
            <w:shd w:val="clear" w:color="000000" w:fill="FFFFFF"/>
            <w:noWrap/>
            <w:vAlign w:val="bottom"/>
            <w:hideMark/>
          </w:tcPr>
          <w:p w14:paraId="6A3E8450"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7B66D730" w14:textId="77777777" w:rsidR="0005506A" w:rsidRPr="0005506A" w:rsidRDefault="0005506A" w:rsidP="0005506A">
            <w:pPr>
              <w:rPr>
                <w:rFonts w:ascii="Calibri" w:eastAsia="Times New Roman" w:hAnsi="Calibri" w:cs="Calibri"/>
                <w:color w:val="000000"/>
                <w:sz w:val="22"/>
                <w:szCs w:val="22"/>
              </w:rPr>
            </w:pPr>
          </w:p>
        </w:tc>
      </w:tr>
      <w:tr w:rsidR="0005506A" w:rsidRPr="0005506A" w14:paraId="59DEFEDA" w14:textId="77777777" w:rsidTr="0052362B">
        <w:trPr>
          <w:trHeight w:val="315"/>
          <w:jc w:val="center"/>
        </w:trPr>
        <w:tc>
          <w:tcPr>
            <w:tcW w:w="3742" w:type="dxa"/>
            <w:tcBorders>
              <w:top w:val="nil"/>
              <w:left w:val="single" w:sz="12" w:space="0" w:color="auto"/>
              <w:bottom w:val="nil"/>
              <w:right w:val="single" w:sz="4" w:space="0" w:color="auto"/>
            </w:tcBorders>
            <w:shd w:val="clear" w:color="000000" w:fill="FFFFFF"/>
            <w:noWrap/>
            <w:vAlign w:val="bottom"/>
            <w:hideMark/>
          </w:tcPr>
          <w:p w14:paraId="27CB3D77" w14:textId="77777777" w:rsidR="0005506A" w:rsidRPr="0005506A" w:rsidRDefault="0005506A" w:rsidP="0005506A">
            <w:pPr>
              <w:ind w:firstLineChars="100" w:firstLine="200"/>
              <w:jc w:val="right"/>
              <w:rPr>
                <w:rFonts w:ascii="Arial Narrow" w:eastAsia="Times New Roman" w:hAnsi="Arial Narrow" w:cs="Calibri"/>
                <w:color w:val="000000"/>
                <w:sz w:val="20"/>
                <w:szCs w:val="20"/>
              </w:rPr>
            </w:pPr>
            <w:r w:rsidRPr="0005506A">
              <w:rPr>
                <w:rFonts w:ascii="Arial Narrow" w:eastAsia="Times New Roman" w:hAnsi="Arial Narrow" w:cs="Calibri"/>
                <w:color w:val="000000"/>
                <w:sz w:val="20"/>
                <w:szCs w:val="20"/>
              </w:rPr>
              <w:t xml:space="preserve">5,662 </w:t>
            </w:r>
          </w:p>
        </w:tc>
        <w:tc>
          <w:tcPr>
            <w:tcW w:w="1478" w:type="dxa"/>
            <w:tcBorders>
              <w:top w:val="nil"/>
              <w:left w:val="single" w:sz="4" w:space="0" w:color="auto"/>
              <w:bottom w:val="nil"/>
              <w:right w:val="single" w:sz="4" w:space="0" w:color="auto"/>
            </w:tcBorders>
            <w:shd w:val="clear" w:color="000000" w:fill="FFFFFF"/>
            <w:noWrap/>
            <w:vAlign w:val="bottom"/>
            <w:hideMark/>
          </w:tcPr>
          <w:p w14:paraId="3B01CB1C" w14:textId="77777777" w:rsidR="0005506A" w:rsidRPr="0005506A" w:rsidRDefault="0005506A" w:rsidP="0005506A">
            <w:pPr>
              <w:ind w:firstLineChars="100" w:firstLine="200"/>
              <w:jc w:val="right"/>
              <w:rPr>
                <w:rFonts w:ascii="Arial Narrow" w:eastAsia="Times New Roman" w:hAnsi="Arial Narrow" w:cs="Calibri"/>
                <w:color w:val="000000"/>
                <w:sz w:val="20"/>
                <w:szCs w:val="20"/>
              </w:rPr>
            </w:pPr>
            <w:r w:rsidRPr="0005506A">
              <w:rPr>
                <w:rFonts w:ascii="Arial Narrow" w:eastAsia="Times New Roman" w:hAnsi="Arial Narrow" w:cs="Calibri"/>
                <w:color w:val="000000"/>
                <w:sz w:val="20"/>
                <w:szCs w:val="20"/>
              </w:rPr>
              <w:t>42,466</w:t>
            </w:r>
          </w:p>
        </w:tc>
        <w:tc>
          <w:tcPr>
            <w:tcW w:w="1408" w:type="dxa"/>
            <w:tcBorders>
              <w:top w:val="nil"/>
              <w:left w:val="single" w:sz="4" w:space="0" w:color="auto"/>
              <w:bottom w:val="nil"/>
              <w:right w:val="single" w:sz="12" w:space="0" w:color="auto"/>
            </w:tcBorders>
            <w:shd w:val="clear" w:color="000000" w:fill="FFFFFF"/>
            <w:noWrap/>
            <w:vAlign w:val="bottom"/>
            <w:hideMark/>
          </w:tcPr>
          <w:p w14:paraId="4ED9B295" w14:textId="77777777" w:rsidR="0005506A" w:rsidRPr="0005506A" w:rsidRDefault="0005506A" w:rsidP="0005506A">
            <w:pPr>
              <w:ind w:firstLineChars="100" w:firstLine="200"/>
              <w:jc w:val="right"/>
              <w:rPr>
                <w:rFonts w:ascii="Arial Narrow" w:eastAsia="Times New Roman" w:hAnsi="Arial Narrow" w:cs="Calibri"/>
                <w:color w:val="000000"/>
                <w:sz w:val="20"/>
                <w:szCs w:val="20"/>
              </w:rPr>
            </w:pPr>
            <w:r w:rsidRPr="0005506A">
              <w:rPr>
                <w:rFonts w:ascii="Arial Narrow" w:eastAsia="Times New Roman" w:hAnsi="Arial Narrow" w:cs="Calibri"/>
                <w:color w:val="000000"/>
                <w:sz w:val="20"/>
                <w:szCs w:val="20"/>
              </w:rPr>
              <w:t>8,717</w:t>
            </w:r>
          </w:p>
        </w:tc>
        <w:tc>
          <w:tcPr>
            <w:tcW w:w="266" w:type="dxa"/>
            <w:tcBorders>
              <w:top w:val="nil"/>
              <w:left w:val="single" w:sz="12" w:space="0" w:color="auto"/>
              <w:bottom w:val="nil"/>
              <w:right w:val="nil"/>
            </w:tcBorders>
            <w:shd w:val="clear" w:color="auto" w:fill="auto"/>
            <w:noWrap/>
            <w:vAlign w:val="bottom"/>
            <w:hideMark/>
          </w:tcPr>
          <w:p w14:paraId="10A4EDED" w14:textId="77777777" w:rsidR="0005506A" w:rsidRPr="0005506A" w:rsidRDefault="0005506A" w:rsidP="0005506A">
            <w:pPr>
              <w:ind w:firstLineChars="100" w:firstLine="220"/>
              <w:jc w:val="right"/>
              <w:rPr>
                <w:rFonts w:ascii="Calibri" w:eastAsia="Times New Roman" w:hAnsi="Calibri" w:cs="Calibri"/>
                <w:color w:val="000000"/>
                <w:sz w:val="22"/>
                <w:szCs w:val="22"/>
              </w:rPr>
            </w:pPr>
          </w:p>
        </w:tc>
        <w:tc>
          <w:tcPr>
            <w:tcW w:w="266" w:type="dxa"/>
            <w:tcBorders>
              <w:top w:val="nil"/>
              <w:left w:val="nil"/>
              <w:bottom w:val="nil"/>
              <w:right w:val="nil"/>
            </w:tcBorders>
            <w:shd w:val="clear" w:color="000000" w:fill="FFFFFF"/>
            <w:noWrap/>
            <w:vAlign w:val="bottom"/>
            <w:hideMark/>
          </w:tcPr>
          <w:p w14:paraId="224850E0"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4B53688E" w14:textId="77777777" w:rsidR="0005506A" w:rsidRPr="0005506A" w:rsidRDefault="0005506A" w:rsidP="0005506A">
            <w:pPr>
              <w:rPr>
                <w:rFonts w:ascii="Calibri" w:eastAsia="Times New Roman" w:hAnsi="Calibri" w:cs="Calibri"/>
                <w:color w:val="000000"/>
                <w:sz w:val="22"/>
                <w:szCs w:val="22"/>
              </w:rPr>
            </w:pPr>
          </w:p>
        </w:tc>
      </w:tr>
      <w:tr w:rsidR="0005506A" w:rsidRPr="0005506A" w14:paraId="7B8099F8" w14:textId="77777777" w:rsidTr="0052362B">
        <w:trPr>
          <w:trHeight w:val="232"/>
          <w:jc w:val="center"/>
        </w:trPr>
        <w:tc>
          <w:tcPr>
            <w:tcW w:w="6628" w:type="dxa"/>
            <w:gridSpan w:val="3"/>
            <w:tcBorders>
              <w:top w:val="single" w:sz="8" w:space="0" w:color="auto"/>
              <w:left w:val="single" w:sz="12" w:space="0" w:color="auto"/>
              <w:bottom w:val="single" w:sz="8" w:space="0" w:color="auto"/>
              <w:right w:val="single" w:sz="12" w:space="0" w:color="auto"/>
            </w:tcBorders>
            <w:shd w:val="clear" w:color="000000" w:fill="FFFFFF"/>
            <w:noWrap/>
            <w:vAlign w:val="bottom"/>
            <w:hideMark/>
          </w:tcPr>
          <w:p w14:paraId="5AE3E748" w14:textId="77777777" w:rsidR="0005506A" w:rsidRPr="0005506A" w:rsidRDefault="0005506A" w:rsidP="0005506A">
            <w:pPr>
              <w:jc w:val="center"/>
              <w:rPr>
                <w:rFonts w:ascii="Arial Narrow" w:eastAsia="Times New Roman" w:hAnsi="Arial Narrow" w:cs="Calibri"/>
                <w:color w:val="000000"/>
                <w:sz w:val="20"/>
                <w:szCs w:val="20"/>
              </w:rPr>
            </w:pPr>
            <w:r w:rsidRPr="0005506A">
              <w:rPr>
                <w:rFonts w:ascii="Arial Narrow" w:eastAsia="Times New Roman" w:hAnsi="Arial Narrow" w:cs="Calibri"/>
                <w:b/>
                <w:bCs/>
                <w:color w:val="000000"/>
                <w:sz w:val="20"/>
                <w:szCs w:val="20"/>
              </w:rPr>
              <w:t>Overall Submitter Characteristics, % of Chemical Reports</w:t>
            </w:r>
            <w:r w:rsidRPr="0005506A">
              <w:rPr>
                <w:rFonts w:ascii="Arial Narrow" w:eastAsia="Times New Roman" w:hAnsi="Arial Narrow" w:cs="Calibri"/>
                <w:b/>
                <w:bCs/>
                <w:color w:val="000000"/>
                <w:sz w:val="20"/>
                <w:szCs w:val="20"/>
                <w:vertAlign w:val="superscript"/>
              </w:rPr>
              <w:t>1</w:t>
            </w:r>
          </w:p>
        </w:tc>
        <w:tc>
          <w:tcPr>
            <w:tcW w:w="266" w:type="dxa"/>
            <w:tcBorders>
              <w:top w:val="nil"/>
              <w:left w:val="single" w:sz="12" w:space="0" w:color="auto"/>
              <w:bottom w:val="nil"/>
              <w:right w:val="nil"/>
            </w:tcBorders>
            <w:shd w:val="clear" w:color="auto" w:fill="auto"/>
            <w:noWrap/>
            <w:vAlign w:val="bottom"/>
            <w:hideMark/>
          </w:tcPr>
          <w:p w14:paraId="742C992F" w14:textId="77777777" w:rsidR="0005506A" w:rsidRPr="0005506A" w:rsidRDefault="0005506A" w:rsidP="0005506A">
            <w:pPr>
              <w:rPr>
                <w:rFonts w:ascii="Calibri" w:eastAsia="Times New Roman" w:hAnsi="Calibri" w:cs="Calibri"/>
                <w:color w:val="000000"/>
                <w:sz w:val="22"/>
                <w:szCs w:val="22"/>
              </w:rPr>
            </w:pPr>
          </w:p>
        </w:tc>
        <w:tc>
          <w:tcPr>
            <w:tcW w:w="266" w:type="dxa"/>
            <w:tcBorders>
              <w:top w:val="nil"/>
              <w:left w:val="nil"/>
              <w:bottom w:val="nil"/>
              <w:right w:val="nil"/>
            </w:tcBorders>
            <w:shd w:val="clear" w:color="000000" w:fill="FFFFFF"/>
            <w:noWrap/>
            <w:vAlign w:val="bottom"/>
            <w:hideMark/>
          </w:tcPr>
          <w:p w14:paraId="6DFD8CB8"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330C575F" w14:textId="77777777" w:rsidR="0005506A" w:rsidRPr="0005506A" w:rsidRDefault="0005506A" w:rsidP="0005506A">
            <w:pPr>
              <w:rPr>
                <w:rFonts w:ascii="Calibri" w:eastAsia="Times New Roman" w:hAnsi="Calibri" w:cs="Calibri"/>
                <w:color w:val="000000"/>
                <w:sz w:val="22"/>
                <w:szCs w:val="22"/>
              </w:rPr>
            </w:pPr>
          </w:p>
        </w:tc>
      </w:tr>
      <w:tr w:rsidR="0005506A" w:rsidRPr="0005506A" w14:paraId="0FC3CC5E" w14:textId="77777777" w:rsidTr="0052362B">
        <w:trPr>
          <w:trHeight w:val="345"/>
          <w:jc w:val="center"/>
        </w:trPr>
        <w:tc>
          <w:tcPr>
            <w:tcW w:w="5220" w:type="dxa"/>
            <w:gridSpan w:val="2"/>
            <w:tcBorders>
              <w:top w:val="single" w:sz="8" w:space="0" w:color="auto"/>
              <w:left w:val="single" w:sz="12" w:space="0" w:color="auto"/>
              <w:bottom w:val="single" w:sz="8" w:space="0" w:color="auto"/>
              <w:right w:val="single" w:sz="8" w:space="0" w:color="000000"/>
            </w:tcBorders>
            <w:shd w:val="clear" w:color="000000" w:fill="BFBFBF"/>
            <w:noWrap/>
            <w:vAlign w:val="bottom"/>
            <w:hideMark/>
          </w:tcPr>
          <w:p w14:paraId="0F9FC3B8" w14:textId="77777777" w:rsidR="0005506A" w:rsidRPr="0005506A" w:rsidRDefault="0005506A" w:rsidP="0005506A">
            <w:pPr>
              <w:jc w:val="center"/>
              <w:rPr>
                <w:rFonts w:ascii="Arial Narrow" w:eastAsia="Times New Roman" w:hAnsi="Arial Narrow" w:cs="Calibri"/>
                <w:b/>
                <w:bCs/>
                <w:color w:val="000000"/>
                <w:sz w:val="20"/>
                <w:szCs w:val="20"/>
              </w:rPr>
            </w:pPr>
            <w:r w:rsidRPr="0005506A">
              <w:rPr>
                <w:rFonts w:ascii="Arial Narrow" w:eastAsia="Times New Roman" w:hAnsi="Arial Narrow" w:cs="Calibri"/>
                <w:b/>
                <w:bCs/>
                <w:color w:val="000000"/>
                <w:sz w:val="20"/>
                <w:szCs w:val="20"/>
              </w:rPr>
              <w:t>Characteristic</w:t>
            </w:r>
          </w:p>
        </w:tc>
        <w:tc>
          <w:tcPr>
            <w:tcW w:w="1408" w:type="dxa"/>
            <w:tcBorders>
              <w:top w:val="nil"/>
              <w:left w:val="nil"/>
              <w:bottom w:val="single" w:sz="8" w:space="0" w:color="auto"/>
              <w:right w:val="single" w:sz="12" w:space="0" w:color="auto"/>
            </w:tcBorders>
            <w:shd w:val="clear" w:color="000000" w:fill="BFBFBF"/>
            <w:noWrap/>
            <w:vAlign w:val="bottom"/>
            <w:hideMark/>
          </w:tcPr>
          <w:p w14:paraId="7F2430CC" w14:textId="77777777" w:rsidR="0005506A" w:rsidRPr="0005506A" w:rsidRDefault="0005506A" w:rsidP="0005506A">
            <w:pPr>
              <w:jc w:val="center"/>
              <w:rPr>
                <w:rFonts w:ascii="Arial Narrow" w:eastAsia="Times New Roman" w:hAnsi="Arial Narrow" w:cs="Calibri"/>
                <w:b/>
                <w:bCs/>
                <w:color w:val="000000"/>
                <w:sz w:val="20"/>
                <w:szCs w:val="20"/>
              </w:rPr>
            </w:pPr>
          </w:p>
        </w:tc>
        <w:tc>
          <w:tcPr>
            <w:tcW w:w="266" w:type="dxa"/>
            <w:tcBorders>
              <w:top w:val="nil"/>
              <w:left w:val="single" w:sz="12" w:space="0" w:color="auto"/>
              <w:bottom w:val="nil"/>
              <w:right w:val="nil"/>
            </w:tcBorders>
            <w:shd w:val="clear" w:color="auto" w:fill="auto"/>
            <w:noWrap/>
            <w:vAlign w:val="bottom"/>
            <w:hideMark/>
          </w:tcPr>
          <w:p w14:paraId="2A7102D6" w14:textId="77777777" w:rsidR="0005506A" w:rsidRPr="0005506A" w:rsidRDefault="0005506A" w:rsidP="0005506A">
            <w:pPr>
              <w:jc w:val="center"/>
              <w:rPr>
                <w:rFonts w:ascii="Calibri" w:eastAsia="Times New Roman" w:hAnsi="Calibri" w:cs="Calibri"/>
                <w:b/>
                <w:bCs/>
                <w:color w:val="000000"/>
                <w:sz w:val="22"/>
                <w:szCs w:val="22"/>
              </w:rPr>
            </w:pPr>
          </w:p>
        </w:tc>
        <w:tc>
          <w:tcPr>
            <w:tcW w:w="266" w:type="dxa"/>
            <w:tcBorders>
              <w:top w:val="nil"/>
              <w:left w:val="nil"/>
              <w:bottom w:val="nil"/>
              <w:right w:val="nil"/>
            </w:tcBorders>
            <w:shd w:val="clear" w:color="000000" w:fill="FFFFFF"/>
            <w:noWrap/>
            <w:vAlign w:val="bottom"/>
            <w:hideMark/>
          </w:tcPr>
          <w:p w14:paraId="4C86A7FA"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64E712A9" w14:textId="77777777" w:rsidR="0005506A" w:rsidRPr="0005506A" w:rsidRDefault="0005506A" w:rsidP="0005506A">
            <w:pPr>
              <w:rPr>
                <w:rFonts w:ascii="Calibri" w:eastAsia="Times New Roman" w:hAnsi="Calibri" w:cs="Calibri"/>
                <w:color w:val="000000"/>
                <w:sz w:val="22"/>
                <w:szCs w:val="22"/>
              </w:rPr>
            </w:pPr>
          </w:p>
        </w:tc>
      </w:tr>
      <w:tr w:rsidR="0005506A" w:rsidRPr="0005506A" w14:paraId="51D858A9" w14:textId="77777777" w:rsidTr="0052362B">
        <w:trPr>
          <w:trHeight w:val="330"/>
          <w:jc w:val="center"/>
        </w:trPr>
        <w:tc>
          <w:tcPr>
            <w:tcW w:w="5220" w:type="dxa"/>
            <w:gridSpan w:val="2"/>
            <w:tcBorders>
              <w:top w:val="nil"/>
              <w:left w:val="single" w:sz="12" w:space="0" w:color="auto"/>
              <w:bottom w:val="single" w:sz="4" w:space="0" w:color="auto"/>
              <w:right w:val="single" w:sz="4" w:space="0" w:color="auto"/>
            </w:tcBorders>
            <w:shd w:val="clear" w:color="000000" w:fill="FFFFFF"/>
            <w:noWrap/>
            <w:vAlign w:val="bottom"/>
            <w:hideMark/>
          </w:tcPr>
          <w:p w14:paraId="6583E5FF" w14:textId="77777777" w:rsidR="0005506A" w:rsidRPr="0005506A" w:rsidRDefault="0005506A" w:rsidP="0005506A">
            <w:pPr>
              <w:jc w:val="center"/>
              <w:rPr>
                <w:rFonts w:ascii="Arial Narrow" w:eastAsia="Times New Roman" w:hAnsi="Arial Narrow" w:cs="Calibri"/>
                <w:color w:val="000000"/>
                <w:sz w:val="20"/>
                <w:szCs w:val="20"/>
              </w:rPr>
            </w:pPr>
            <w:r w:rsidRPr="0005506A">
              <w:rPr>
                <w:rFonts w:ascii="Arial Narrow" w:eastAsia="Times New Roman" w:hAnsi="Arial Narrow" w:cs="Calibri"/>
                <w:color w:val="000000"/>
                <w:sz w:val="20"/>
                <w:szCs w:val="20"/>
              </w:rPr>
              <w:t>Chemicals per Report</w:t>
            </w:r>
          </w:p>
        </w:tc>
        <w:tc>
          <w:tcPr>
            <w:tcW w:w="1408" w:type="dxa"/>
            <w:tcBorders>
              <w:top w:val="nil"/>
              <w:left w:val="single" w:sz="4" w:space="0" w:color="auto"/>
              <w:bottom w:val="single" w:sz="4" w:space="0" w:color="auto"/>
              <w:right w:val="single" w:sz="12" w:space="0" w:color="auto"/>
            </w:tcBorders>
            <w:shd w:val="clear" w:color="000000" w:fill="FFFFFF"/>
            <w:noWrap/>
            <w:vAlign w:val="bottom"/>
            <w:hideMark/>
          </w:tcPr>
          <w:p w14:paraId="101B5C27" w14:textId="77777777" w:rsidR="0005506A" w:rsidRPr="0005506A" w:rsidRDefault="0005506A" w:rsidP="0005506A">
            <w:pPr>
              <w:ind w:firstLineChars="100" w:firstLine="200"/>
              <w:jc w:val="right"/>
              <w:rPr>
                <w:rFonts w:ascii="Arial Narrow" w:eastAsia="Times New Roman" w:hAnsi="Arial Narrow" w:cs="Calibri"/>
                <w:color w:val="000000"/>
                <w:sz w:val="20"/>
                <w:szCs w:val="20"/>
              </w:rPr>
            </w:pPr>
            <w:r w:rsidRPr="0005506A">
              <w:rPr>
                <w:rFonts w:ascii="Arial Narrow" w:eastAsia="Times New Roman" w:hAnsi="Arial Narrow" w:cs="Calibri"/>
                <w:color w:val="000000"/>
                <w:sz w:val="20"/>
                <w:szCs w:val="20"/>
              </w:rPr>
              <w:t>7.50</w:t>
            </w:r>
          </w:p>
        </w:tc>
        <w:tc>
          <w:tcPr>
            <w:tcW w:w="266" w:type="dxa"/>
            <w:tcBorders>
              <w:top w:val="nil"/>
              <w:left w:val="single" w:sz="12" w:space="0" w:color="auto"/>
              <w:bottom w:val="nil"/>
              <w:right w:val="nil"/>
            </w:tcBorders>
            <w:shd w:val="clear" w:color="auto" w:fill="auto"/>
            <w:noWrap/>
            <w:vAlign w:val="bottom"/>
            <w:hideMark/>
          </w:tcPr>
          <w:p w14:paraId="04AB08F5" w14:textId="77777777" w:rsidR="0005506A" w:rsidRPr="0005506A" w:rsidRDefault="0005506A" w:rsidP="0005506A">
            <w:pPr>
              <w:ind w:firstLineChars="100" w:firstLine="220"/>
              <w:jc w:val="right"/>
              <w:rPr>
                <w:rFonts w:ascii="Calibri" w:eastAsia="Times New Roman" w:hAnsi="Calibri" w:cs="Calibri"/>
                <w:color w:val="000000"/>
                <w:sz w:val="22"/>
                <w:szCs w:val="22"/>
              </w:rPr>
            </w:pPr>
          </w:p>
        </w:tc>
        <w:tc>
          <w:tcPr>
            <w:tcW w:w="266" w:type="dxa"/>
            <w:tcBorders>
              <w:top w:val="nil"/>
              <w:left w:val="nil"/>
              <w:bottom w:val="nil"/>
              <w:right w:val="nil"/>
            </w:tcBorders>
            <w:shd w:val="clear" w:color="000000" w:fill="FFFFFF"/>
            <w:noWrap/>
            <w:vAlign w:val="bottom"/>
            <w:hideMark/>
          </w:tcPr>
          <w:p w14:paraId="308348BE"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378A5B2B" w14:textId="77777777" w:rsidR="0005506A" w:rsidRPr="0005506A" w:rsidRDefault="0005506A" w:rsidP="0005506A">
            <w:pPr>
              <w:rPr>
                <w:rFonts w:ascii="Calibri" w:eastAsia="Times New Roman" w:hAnsi="Calibri" w:cs="Calibri"/>
                <w:color w:val="000000"/>
                <w:sz w:val="22"/>
                <w:szCs w:val="22"/>
              </w:rPr>
            </w:pPr>
          </w:p>
        </w:tc>
      </w:tr>
      <w:tr w:rsidR="0005506A" w:rsidRPr="0005506A" w14:paraId="741C0A56" w14:textId="77777777" w:rsidTr="0052362B">
        <w:trPr>
          <w:trHeight w:val="330"/>
          <w:jc w:val="center"/>
        </w:trPr>
        <w:tc>
          <w:tcPr>
            <w:tcW w:w="5220"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3CE35A4" w14:textId="77777777" w:rsidR="0005506A" w:rsidRPr="0005506A" w:rsidRDefault="0005506A" w:rsidP="0005506A">
            <w:pPr>
              <w:jc w:val="center"/>
              <w:rPr>
                <w:rFonts w:ascii="Arial Narrow" w:eastAsia="Times New Roman" w:hAnsi="Arial Narrow" w:cs="Calibri"/>
                <w:color w:val="000000"/>
                <w:sz w:val="20"/>
                <w:szCs w:val="20"/>
              </w:rPr>
            </w:pPr>
            <w:r w:rsidRPr="0005506A">
              <w:rPr>
                <w:rFonts w:ascii="Arial Narrow" w:eastAsia="Times New Roman" w:hAnsi="Arial Narrow" w:cs="Calibri"/>
                <w:color w:val="000000"/>
                <w:sz w:val="20"/>
                <w:szCs w:val="20"/>
              </w:rPr>
              <w:t>% of Partial Reports</w:t>
            </w:r>
          </w:p>
        </w:tc>
        <w:tc>
          <w:tcPr>
            <w:tcW w:w="1408" w:type="dxa"/>
            <w:tcBorders>
              <w:top w:val="nil"/>
              <w:left w:val="nil"/>
              <w:bottom w:val="single" w:sz="4" w:space="0" w:color="auto"/>
              <w:right w:val="single" w:sz="12" w:space="0" w:color="auto"/>
            </w:tcBorders>
            <w:shd w:val="clear" w:color="000000" w:fill="FFFFFF"/>
            <w:noWrap/>
            <w:vAlign w:val="bottom"/>
            <w:hideMark/>
          </w:tcPr>
          <w:p w14:paraId="48ECC425" w14:textId="77777777" w:rsidR="0005506A" w:rsidRPr="0005506A" w:rsidRDefault="0005506A" w:rsidP="0005506A">
            <w:pPr>
              <w:ind w:firstLineChars="100" w:firstLine="200"/>
              <w:jc w:val="right"/>
              <w:rPr>
                <w:rFonts w:ascii="Arial Narrow" w:eastAsia="Times New Roman" w:hAnsi="Arial Narrow" w:cs="Calibri"/>
                <w:color w:val="000000"/>
                <w:sz w:val="20"/>
                <w:szCs w:val="20"/>
              </w:rPr>
            </w:pPr>
            <w:r w:rsidRPr="0005506A">
              <w:rPr>
                <w:rFonts w:ascii="Arial Narrow" w:eastAsia="Times New Roman" w:hAnsi="Arial Narrow" w:cs="Calibri"/>
                <w:color w:val="000000"/>
                <w:sz w:val="20"/>
                <w:szCs w:val="20"/>
              </w:rPr>
              <w:t>22.0%</w:t>
            </w:r>
          </w:p>
        </w:tc>
        <w:tc>
          <w:tcPr>
            <w:tcW w:w="266" w:type="dxa"/>
            <w:tcBorders>
              <w:top w:val="nil"/>
              <w:left w:val="single" w:sz="12" w:space="0" w:color="auto"/>
              <w:bottom w:val="nil"/>
              <w:right w:val="nil"/>
            </w:tcBorders>
            <w:shd w:val="clear" w:color="auto" w:fill="auto"/>
            <w:noWrap/>
            <w:vAlign w:val="bottom"/>
            <w:hideMark/>
          </w:tcPr>
          <w:p w14:paraId="3E2DAB1D" w14:textId="77777777" w:rsidR="0005506A" w:rsidRPr="0005506A" w:rsidRDefault="0005506A" w:rsidP="0005506A">
            <w:pPr>
              <w:ind w:firstLineChars="100" w:firstLine="220"/>
              <w:jc w:val="right"/>
              <w:rPr>
                <w:rFonts w:ascii="Calibri" w:eastAsia="Times New Roman" w:hAnsi="Calibri" w:cs="Calibri"/>
                <w:color w:val="000000"/>
                <w:sz w:val="22"/>
                <w:szCs w:val="22"/>
              </w:rPr>
            </w:pPr>
          </w:p>
        </w:tc>
        <w:tc>
          <w:tcPr>
            <w:tcW w:w="266" w:type="dxa"/>
            <w:tcBorders>
              <w:top w:val="nil"/>
              <w:left w:val="nil"/>
              <w:bottom w:val="nil"/>
              <w:right w:val="nil"/>
            </w:tcBorders>
            <w:shd w:val="clear" w:color="000000" w:fill="FFFFFF"/>
            <w:noWrap/>
            <w:vAlign w:val="bottom"/>
            <w:hideMark/>
          </w:tcPr>
          <w:p w14:paraId="790A520C"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1BFA8063" w14:textId="77777777" w:rsidR="0005506A" w:rsidRPr="0005506A" w:rsidRDefault="0005506A" w:rsidP="0005506A">
            <w:pPr>
              <w:rPr>
                <w:rFonts w:ascii="Calibri" w:eastAsia="Times New Roman" w:hAnsi="Calibri" w:cs="Calibri"/>
                <w:color w:val="000000"/>
                <w:sz w:val="22"/>
                <w:szCs w:val="22"/>
              </w:rPr>
            </w:pPr>
          </w:p>
        </w:tc>
      </w:tr>
      <w:tr w:rsidR="0005506A" w:rsidRPr="0005506A" w14:paraId="1377C514" w14:textId="77777777" w:rsidTr="0052362B">
        <w:trPr>
          <w:trHeight w:val="330"/>
          <w:jc w:val="center"/>
        </w:trPr>
        <w:tc>
          <w:tcPr>
            <w:tcW w:w="5220"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2C5842B" w14:textId="77777777" w:rsidR="0005506A" w:rsidRPr="0005506A" w:rsidRDefault="0005506A" w:rsidP="0005506A">
            <w:pPr>
              <w:jc w:val="center"/>
              <w:rPr>
                <w:rFonts w:ascii="Arial Narrow" w:eastAsia="Times New Roman" w:hAnsi="Arial Narrow" w:cs="Calibri"/>
                <w:color w:val="000000"/>
                <w:sz w:val="20"/>
                <w:szCs w:val="20"/>
              </w:rPr>
            </w:pPr>
            <w:r w:rsidRPr="0005506A">
              <w:rPr>
                <w:rFonts w:ascii="Arial Narrow" w:eastAsia="Times New Roman" w:hAnsi="Arial Narrow" w:cs="Calibri"/>
                <w:color w:val="000000"/>
                <w:sz w:val="20"/>
                <w:szCs w:val="20"/>
              </w:rPr>
              <w:t>% Joint Reporters</w:t>
            </w:r>
          </w:p>
        </w:tc>
        <w:tc>
          <w:tcPr>
            <w:tcW w:w="1408" w:type="dxa"/>
            <w:tcBorders>
              <w:top w:val="nil"/>
              <w:left w:val="nil"/>
              <w:bottom w:val="single" w:sz="4" w:space="0" w:color="auto"/>
              <w:right w:val="single" w:sz="12" w:space="0" w:color="auto"/>
            </w:tcBorders>
            <w:shd w:val="clear" w:color="000000" w:fill="FFFFFF"/>
            <w:noWrap/>
            <w:vAlign w:val="bottom"/>
            <w:hideMark/>
          </w:tcPr>
          <w:p w14:paraId="1E6C5A70" w14:textId="77777777" w:rsidR="0005506A" w:rsidRPr="0005506A" w:rsidRDefault="0005506A" w:rsidP="0005506A">
            <w:pPr>
              <w:ind w:firstLineChars="100" w:firstLine="200"/>
              <w:jc w:val="right"/>
              <w:rPr>
                <w:rFonts w:ascii="Arial Narrow" w:eastAsia="Times New Roman" w:hAnsi="Arial Narrow" w:cs="Calibri"/>
                <w:color w:val="000000"/>
                <w:sz w:val="20"/>
                <w:szCs w:val="20"/>
              </w:rPr>
            </w:pPr>
            <w:r w:rsidRPr="0005506A">
              <w:rPr>
                <w:rFonts w:ascii="Arial Narrow" w:eastAsia="Times New Roman" w:hAnsi="Arial Narrow" w:cs="Calibri"/>
                <w:color w:val="000000"/>
                <w:sz w:val="20"/>
                <w:szCs w:val="20"/>
              </w:rPr>
              <w:t>1.7%</w:t>
            </w:r>
          </w:p>
        </w:tc>
        <w:tc>
          <w:tcPr>
            <w:tcW w:w="266" w:type="dxa"/>
            <w:tcBorders>
              <w:top w:val="nil"/>
              <w:left w:val="single" w:sz="12" w:space="0" w:color="auto"/>
              <w:bottom w:val="nil"/>
              <w:right w:val="nil"/>
            </w:tcBorders>
            <w:shd w:val="clear" w:color="auto" w:fill="auto"/>
            <w:noWrap/>
            <w:vAlign w:val="bottom"/>
            <w:hideMark/>
          </w:tcPr>
          <w:p w14:paraId="3DD6350F" w14:textId="77777777" w:rsidR="0005506A" w:rsidRPr="0005506A" w:rsidRDefault="0005506A" w:rsidP="0005506A">
            <w:pPr>
              <w:ind w:firstLineChars="100" w:firstLine="220"/>
              <w:jc w:val="right"/>
              <w:rPr>
                <w:rFonts w:ascii="Calibri" w:eastAsia="Times New Roman" w:hAnsi="Calibri" w:cs="Calibri"/>
                <w:color w:val="000000"/>
                <w:sz w:val="22"/>
                <w:szCs w:val="22"/>
              </w:rPr>
            </w:pPr>
          </w:p>
        </w:tc>
        <w:tc>
          <w:tcPr>
            <w:tcW w:w="266" w:type="dxa"/>
            <w:tcBorders>
              <w:top w:val="nil"/>
              <w:left w:val="nil"/>
              <w:bottom w:val="nil"/>
              <w:right w:val="nil"/>
            </w:tcBorders>
            <w:shd w:val="clear" w:color="000000" w:fill="FFFFFF"/>
            <w:noWrap/>
            <w:vAlign w:val="bottom"/>
            <w:hideMark/>
          </w:tcPr>
          <w:p w14:paraId="5DBE4708"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67B7DBCA" w14:textId="77777777" w:rsidR="0005506A" w:rsidRPr="0005506A" w:rsidRDefault="0005506A" w:rsidP="0005506A">
            <w:pPr>
              <w:rPr>
                <w:rFonts w:ascii="Calibri" w:eastAsia="Times New Roman" w:hAnsi="Calibri" w:cs="Calibri"/>
                <w:color w:val="000000"/>
                <w:sz w:val="22"/>
                <w:szCs w:val="22"/>
              </w:rPr>
            </w:pPr>
          </w:p>
        </w:tc>
      </w:tr>
      <w:tr w:rsidR="0005506A" w:rsidRPr="0005506A" w14:paraId="58465537" w14:textId="77777777" w:rsidTr="0052362B">
        <w:trPr>
          <w:trHeight w:val="330"/>
          <w:jc w:val="center"/>
        </w:trPr>
        <w:tc>
          <w:tcPr>
            <w:tcW w:w="5220"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4D04AEE" w14:textId="77777777" w:rsidR="0005506A" w:rsidRPr="0005506A" w:rsidRDefault="0005506A" w:rsidP="0005506A">
            <w:pPr>
              <w:jc w:val="center"/>
              <w:rPr>
                <w:rFonts w:ascii="Arial Narrow" w:eastAsia="Times New Roman" w:hAnsi="Arial Narrow" w:cs="Calibri"/>
                <w:color w:val="000000"/>
                <w:sz w:val="20"/>
                <w:szCs w:val="20"/>
              </w:rPr>
            </w:pPr>
            <w:r w:rsidRPr="0005506A">
              <w:rPr>
                <w:rFonts w:ascii="Arial Narrow" w:eastAsia="Times New Roman" w:hAnsi="Arial Narrow" w:cs="Calibri"/>
                <w:color w:val="000000"/>
                <w:sz w:val="20"/>
                <w:szCs w:val="20"/>
              </w:rPr>
              <w:t>% CBI Chem ID</w:t>
            </w:r>
          </w:p>
        </w:tc>
        <w:tc>
          <w:tcPr>
            <w:tcW w:w="1408" w:type="dxa"/>
            <w:tcBorders>
              <w:top w:val="nil"/>
              <w:left w:val="nil"/>
              <w:bottom w:val="single" w:sz="4" w:space="0" w:color="auto"/>
              <w:right w:val="single" w:sz="12" w:space="0" w:color="auto"/>
            </w:tcBorders>
            <w:shd w:val="clear" w:color="000000" w:fill="FFFFFF"/>
            <w:noWrap/>
            <w:vAlign w:val="bottom"/>
            <w:hideMark/>
          </w:tcPr>
          <w:p w14:paraId="75D79547" w14:textId="77777777" w:rsidR="0005506A" w:rsidRPr="0005506A" w:rsidRDefault="0005506A" w:rsidP="0005506A">
            <w:pPr>
              <w:ind w:firstLineChars="100" w:firstLine="200"/>
              <w:jc w:val="right"/>
              <w:rPr>
                <w:rFonts w:ascii="Arial Narrow" w:eastAsia="Times New Roman" w:hAnsi="Arial Narrow" w:cs="Calibri"/>
                <w:color w:val="000000"/>
                <w:sz w:val="20"/>
                <w:szCs w:val="20"/>
              </w:rPr>
            </w:pPr>
            <w:r w:rsidRPr="0005506A">
              <w:rPr>
                <w:rFonts w:ascii="Arial Narrow" w:eastAsia="Times New Roman" w:hAnsi="Arial Narrow" w:cs="Calibri"/>
                <w:color w:val="000000"/>
                <w:sz w:val="20"/>
                <w:szCs w:val="20"/>
              </w:rPr>
              <w:t>1.4%</w:t>
            </w:r>
          </w:p>
        </w:tc>
        <w:tc>
          <w:tcPr>
            <w:tcW w:w="266" w:type="dxa"/>
            <w:tcBorders>
              <w:top w:val="nil"/>
              <w:left w:val="single" w:sz="12" w:space="0" w:color="auto"/>
              <w:bottom w:val="nil"/>
              <w:right w:val="nil"/>
            </w:tcBorders>
            <w:shd w:val="clear" w:color="auto" w:fill="auto"/>
            <w:noWrap/>
            <w:vAlign w:val="bottom"/>
            <w:hideMark/>
          </w:tcPr>
          <w:p w14:paraId="6A86B8B4" w14:textId="77777777" w:rsidR="0005506A" w:rsidRPr="0005506A" w:rsidRDefault="0005506A" w:rsidP="0005506A">
            <w:pPr>
              <w:ind w:firstLineChars="100" w:firstLine="220"/>
              <w:jc w:val="right"/>
              <w:rPr>
                <w:rFonts w:ascii="Calibri" w:eastAsia="Times New Roman" w:hAnsi="Calibri" w:cs="Calibri"/>
                <w:color w:val="000000"/>
                <w:sz w:val="22"/>
                <w:szCs w:val="22"/>
              </w:rPr>
            </w:pPr>
          </w:p>
        </w:tc>
        <w:tc>
          <w:tcPr>
            <w:tcW w:w="266" w:type="dxa"/>
            <w:tcBorders>
              <w:top w:val="nil"/>
              <w:left w:val="nil"/>
              <w:bottom w:val="nil"/>
              <w:right w:val="nil"/>
            </w:tcBorders>
            <w:shd w:val="clear" w:color="000000" w:fill="FFFFFF"/>
            <w:noWrap/>
            <w:vAlign w:val="bottom"/>
            <w:hideMark/>
          </w:tcPr>
          <w:p w14:paraId="4D68D198"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493D85E4" w14:textId="77777777" w:rsidR="0005506A" w:rsidRPr="0005506A" w:rsidRDefault="0005506A" w:rsidP="0005506A">
            <w:pPr>
              <w:rPr>
                <w:rFonts w:ascii="Calibri" w:eastAsia="Times New Roman" w:hAnsi="Calibri" w:cs="Calibri"/>
                <w:color w:val="000000"/>
                <w:sz w:val="22"/>
                <w:szCs w:val="22"/>
              </w:rPr>
            </w:pPr>
          </w:p>
        </w:tc>
      </w:tr>
      <w:tr w:rsidR="0005506A" w:rsidRPr="0005506A" w14:paraId="53A6D504" w14:textId="77777777" w:rsidTr="0052362B">
        <w:trPr>
          <w:trHeight w:val="330"/>
          <w:jc w:val="center"/>
        </w:trPr>
        <w:tc>
          <w:tcPr>
            <w:tcW w:w="5220"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1D401392" w14:textId="77777777" w:rsidR="0005506A" w:rsidRPr="00044368" w:rsidRDefault="0005506A" w:rsidP="0005506A">
            <w:pPr>
              <w:jc w:val="center"/>
              <w:rPr>
                <w:rFonts w:ascii="Arial Narrow" w:eastAsia="Times New Roman" w:hAnsi="Arial Narrow" w:cs="Calibri"/>
                <w:color w:val="000000"/>
                <w:sz w:val="20"/>
                <w:szCs w:val="20"/>
                <w:lang w:val="fr-FR"/>
              </w:rPr>
            </w:pPr>
            <w:r w:rsidRPr="00044368">
              <w:rPr>
                <w:rFonts w:ascii="Arial Narrow" w:eastAsia="Times New Roman" w:hAnsi="Arial Narrow" w:cs="Calibri"/>
                <w:color w:val="000000"/>
                <w:sz w:val="20"/>
                <w:szCs w:val="20"/>
                <w:lang w:val="fr-FR"/>
              </w:rPr>
              <w:t>% CBI Non Chem</w:t>
            </w:r>
            <w:r w:rsidR="00E80BC2" w:rsidRPr="00044368">
              <w:rPr>
                <w:rFonts w:ascii="Arial Narrow" w:eastAsia="Times New Roman" w:hAnsi="Arial Narrow" w:cs="Calibri"/>
                <w:color w:val="000000"/>
                <w:sz w:val="20"/>
                <w:szCs w:val="20"/>
                <w:lang w:val="fr-FR"/>
              </w:rPr>
              <w:t xml:space="preserve"> </w:t>
            </w:r>
            <w:r w:rsidRPr="00044368">
              <w:rPr>
                <w:rFonts w:ascii="Arial Narrow" w:eastAsia="Times New Roman" w:hAnsi="Arial Narrow" w:cs="Calibri"/>
                <w:color w:val="000000"/>
                <w:sz w:val="20"/>
                <w:szCs w:val="20"/>
                <w:lang w:val="fr-FR"/>
              </w:rPr>
              <w:t>ID Pt II</w:t>
            </w:r>
          </w:p>
        </w:tc>
        <w:tc>
          <w:tcPr>
            <w:tcW w:w="1408" w:type="dxa"/>
            <w:tcBorders>
              <w:top w:val="nil"/>
              <w:left w:val="nil"/>
              <w:bottom w:val="single" w:sz="4" w:space="0" w:color="auto"/>
              <w:right w:val="single" w:sz="12" w:space="0" w:color="auto"/>
            </w:tcBorders>
            <w:shd w:val="clear" w:color="000000" w:fill="FFFFFF"/>
            <w:noWrap/>
            <w:vAlign w:val="bottom"/>
            <w:hideMark/>
          </w:tcPr>
          <w:p w14:paraId="3E3B93CB" w14:textId="77777777" w:rsidR="0005506A" w:rsidRPr="0005506A" w:rsidRDefault="0005506A" w:rsidP="0005506A">
            <w:pPr>
              <w:ind w:firstLineChars="100" w:firstLine="200"/>
              <w:jc w:val="right"/>
              <w:rPr>
                <w:rFonts w:ascii="Arial Narrow" w:eastAsia="Times New Roman" w:hAnsi="Arial Narrow" w:cs="Calibri"/>
                <w:color w:val="000000"/>
                <w:sz w:val="20"/>
                <w:szCs w:val="20"/>
              </w:rPr>
            </w:pPr>
            <w:r w:rsidRPr="0005506A">
              <w:rPr>
                <w:rFonts w:ascii="Arial Narrow" w:eastAsia="Times New Roman" w:hAnsi="Arial Narrow" w:cs="Calibri"/>
                <w:color w:val="000000"/>
                <w:sz w:val="20"/>
                <w:szCs w:val="20"/>
              </w:rPr>
              <w:t>48.0%</w:t>
            </w:r>
          </w:p>
        </w:tc>
        <w:tc>
          <w:tcPr>
            <w:tcW w:w="266" w:type="dxa"/>
            <w:tcBorders>
              <w:top w:val="nil"/>
              <w:left w:val="single" w:sz="12" w:space="0" w:color="auto"/>
              <w:bottom w:val="nil"/>
              <w:right w:val="nil"/>
            </w:tcBorders>
            <w:shd w:val="clear" w:color="auto" w:fill="auto"/>
            <w:noWrap/>
            <w:vAlign w:val="bottom"/>
            <w:hideMark/>
          </w:tcPr>
          <w:p w14:paraId="0EA19EBA" w14:textId="77777777" w:rsidR="0005506A" w:rsidRPr="0005506A" w:rsidRDefault="0005506A" w:rsidP="0005506A">
            <w:pPr>
              <w:ind w:firstLineChars="100" w:firstLine="220"/>
              <w:jc w:val="right"/>
              <w:rPr>
                <w:rFonts w:ascii="Calibri" w:eastAsia="Times New Roman" w:hAnsi="Calibri" w:cs="Calibri"/>
                <w:color w:val="000000"/>
                <w:sz w:val="22"/>
                <w:szCs w:val="22"/>
              </w:rPr>
            </w:pPr>
          </w:p>
        </w:tc>
        <w:tc>
          <w:tcPr>
            <w:tcW w:w="266" w:type="dxa"/>
            <w:tcBorders>
              <w:top w:val="nil"/>
              <w:left w:val="nil"/>
              <w:bottom w:val="nil"/>
              <w:right w:val="nil"/>
            </w:tcBorders>
            <w:shd w:val="clear" w:color="000000" w:fill="FFFFFF"/>
            <w:noWrap/>
            <w:vAlign w:val="bottom"/>
            <w:hideMark/>
          </w:tcPr>
          <w:p w14:paraId="69530016"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303746E0" w14:textId="77777777" w:rsidR="0005506A" w:rsidRPr="0005506A" w:rsidRDefault="0005506A" w:rsidP="0005506A">
            <w:pPr>
              <w:rPr>
                <w:rFonts w:ascii="Calibri" w:eastAsia="Times New Roman" w:hAnsi="Calibri" w:cs="Calibri"/>
                <w:color w:val="000000"/>
                <w:sz w:val="22"/>
                <w:szCs w:val="22"/>
              </w:rPr>
            </w:pPr>
          </w:p>
        </w:tc>
      </w:tr>
      <w:tr w:rsidR="0005506A" w:rsidRPr="0005506A" w14:paraId="28A3E5F8" w14:textId="77777777" w:rsidTr="0052362B">
        <w:trPr>
          <w:trHeight w:val="345"/>
          <w:jc w:val="center"/>
        </w:trPr>
        <w:tc>
          <w:tcPr>
            <w:tcW w:w="5220" w:type="dxa"/>
            <w:gridSpan w:val="2"/>
            <w:tcBorders>
              <w:top w:val="single" w:sz="4" w:space="0" w:color="auto"/>
              <w:left w:val="single" w:sz="12" w:space="0" w:color="auto"/>
              <w:bottom w:val="nil"/>
              <w:right w:val="single" w:sz="4" w:space="0" w:color="auto"/>
            </w:tcBorders>
            <w:shd w:val="clear" w:color="000000" w:fill="FFFFFF"/>
            <w:noWrap/>
            <w:vAlign w:val="bottom"/>
            <w:hideMark/>
          </w:tcPr>
          <w:p w14:paraId="4246EBE5" w14:textId="77777777" w:rsidR="0005506A" w:rsidRPr="00044368" w:rsidRDefault="0005506A" w:rsidP="0005506A">
            <w:pPr>
              <w:jc w:val="center"/>
              <w:rPr>
                <w:rFonts w:ascii="Arial Narrow" w:eastAsia="Times New Roman" w:hAnsi="Arial Narrow" w:cs="Calibri"/>
                <w:color w:val="000000"/>
                <w:sz w:val="20"/>
                <w:szCs w:val="20"/>
                <w:lang w:val="fr-FR"/>
              </w:rPr>
            </w:pPr>
            <w:r w:rsidRPr="00044368">
              <w:rPr>
                <w:rFonts w:ascii="Arial Narrow" w:eastAsia="Times New Roman" w:hAnsi="Arial Narrow" w:cs="Calibri"/>
                <w:color w:val="000000"/>
                <w:sz w:val="20"/>
                <w:szCs w:val="20"/>
                <w:lang w:val="fr-FR"/>
              </w:rPr>
              <w:t>% CBI Non Chem</w:t>
            </w:r>
            <w:r w:rsidR="00E80BC2" w:rsidRPr="00044368">
              <w:rPr>
                <w:rFonts w:ascii="Arial Narrow" w:eastAsia="Times New Roman" w:hAnsi="Arial Narrow" w:cs="Calibri"/>
                <w:color w:val="000000"/>
                <w:sz w:val="20"/>
                <w:szCs w:val="20"/>
                <w:lang w:val="fr-FR"/>
              </w:rPr>
              <w:t xml:space="preserve"> </w:t>
            </w:r>
            <w:r w:rsidRPr="00044368">
              <w:rPr>
                <w:rFonts w:ascii="Arial Narrow" w:eastAsia="Times New Roman" w:hAnsi="Arial Narrow" w:cs="Calibri"/>
                <w:color w:val="000000"/>
                <w:sz w:val="20"/>
                <w:szCs w:val="20"/>
                <w:lang w:val="fr-FR"/>
              </w:rPr>
              <w:t>ID Pt III</w:t>
            </w:r>
          </w:p>
        </w:tc>
        <w:tc>
          <w:tcPr>
            <w:tcW w:w="1408" w:type="dxa"/>
            <w:tcBorders>
              <w:top w:val="nil"/>
              <w:left w:val="single" w:sz="4" w:space="0" w:color="auto"/>
              <w:bottom w:val="nil"/>
              <w:right w:val="single" w:sz="12" w:space="0" w:color="auto"/>
            </w:tcBorders>
            <w:shd w:val="clear" w:color="000000" w:fill="FFFFFF"/>
            <w:noWrap/>
            <w:vAlign w:val="bottom"/>
            <w:hideMark/>
          </w:tcPr>
          <w:p w14:paraId="35D48A2E" w14:textId="77777777" w:rsidR="0005506A" w:rsidRPr="0005506A" w:rsidRDefault="0005506A" w:rsidP="0005506A">
            <w:pPr>
              <w:ind w:firstLineChars="100" w:firstLine="200"/>
              <w:jc w:val="right"/>
              <w:rPr>
                <w:rFonts w:ascii="Arial Narrow" w:eastAsia="Times New Roman" w:hAnsi="Arial Narrow" w:cs="Calibri"/>
                <w:color w:val="000000"/>
                <w:sz w:val="20"/>
                <w:szCs w:val="20"/>
              </w:rPr>
            </w:pPr>
            <w:r w:rsidRPr="0005506A">
              <w:rPr>
                <w:rFonts w:ascii="Arial Narrow" w:eastAsia="Times New Roman" w:hAnsi="Arial Narrow" w:cs="Calibri"/>
                <w:color w:val="000000"/>
                <w:sz w:val="20"/>
                <w:szCs w:val="20"/>
              </w:rPr>
              <w:t>9.0%</w:t>
            </w:r>
          </w:p>
        </w:tc>
        <w:tc>
          <w:tcPr>
            <w:tcW w:w="266" w:type="dxa"/>
            <w:tcBorders>
              <w:top w:val="nil"/>
              <w:left w:val="single" w:sz="12" w:space="0" w:color="auto"/>
              <w:bottom w:val="nil"/>
              <w:right w:val="nil"/>
            </w:tcBorders>
            <w:shd w:val="clear" w:color="000000" w:fill="FFFFFF"/>
            <w:noWrap/>
            <w:vAlign w:val="bottom"/>
            <w:hideMark/>
          </w:tcPr>
          <w:p w14:paraId="35C5E652"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66" w:type="dxa"/>
            <w:tcBorders>
              <w:top w:val="nil"/>
              <w:left w:val="nil"/>
              <w:bottom w:val="nil"/>
              <w:right w:val="nil"/>
            </w:tcBorders>
            <w:shd w:val="clear" w:color="000000" w:fill="FFFFFF"/>
            <w:noWrap/>
            <w:vAlign w:val="bottom"/>
            <w:hideMark/>
          </w:tcPr>
          <w:p w14:paraId="0421A8F1"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1A5ACE2A" w14:textId="77777777" w:rsidR="0005506A" w:rsidRPr="0005506A" w:rsidRDefault="0005506A" w:rsidP="0005506A">
            <w:pPr>
              <w:rPr>
                <w:rFonts w:ascii="Calibri" w:eastAsia="Times New Roman" w:hAnsi="Calibri" w:cs="Calibri"/>
                <w:color w:val="000000"/>
                <w:sz w:val="22"/>
                <w:szCs w:val="22"/>
              </w:rPr>
            </w:pPr>
          </w:p>
        </w:tc>
      </w:tr>
      <w:tr w:rsidR="0005506A" w:rsidRPr="0005506A" w14:paraId="2CEA1389" w14:textId="77777777" w:rsidTr="0052362B">
        <w:trPr>
          <w:trHeight w:val="232"/>
          <w:jc w:val="center"/>
        </w:trPr>
        <w:tc>
          <w:tcPr>
            <w:tcW w:w="6628" w:type="dxa"/>
            <w:gridSpan w:val="3"/>
            <w:tcBorders>
              <w:top w:val="single" w:sz="8" w:space="0" w:color="auto"/>
              <w:left w:val="single" w:sz="12" w:space="0" w:color="auto"/>
              <w:bottom w:val="single" w:sz="8" w:space="0" w:color="auto"/>
              <w:right w:val="single" w:sz="12" w:space="0" w:color="auto"/>
            </w:tcBorders>
            <w:shd w:val="clear" w:color="000000" w:fill="FFFFFF"/>
            <w:noWrap/>
            <w:vAlign w:val="bottom"/>
            <w:hideMark/>
          </w:tcPr>
          <w:p w14:paraId="32BA243A" w14:textId="77777777" w:rsidR="0005506A" w:rsidRPr="0005506A" w:rsidRDefault="0005506A" w:rsidP="0005506A">
            <w:pPr>
              <w:jc w:val="center"/>
              <w:rPr>
                <w:rFonts w:ascii="Arial Narrow" w:eastAsia="Times New Roman" w:hAnsi="Arial Narrow" w:cs="Calibri"/>
                <w:b/>
                <w:bCs/>
                <w:color w:val="000000"/>
                <w:sz w:val="20"/>
                <w:szCs w:val="20"/>
              </w:rPr>
            </w:pPr>
            <w:r w:rsidRPr="0005506A">
              <w:rPr>
                <w:rFonts w:ascii="Arial Narrow" w:eastAsia="Times New Roman" w:hAnsi="Arial Narrow" w:cs="Calibri"/>
                <w:b/>
                <w:bCs/>
                <w:color w:val="000000"/>
                <w:sz w:val="20"/>
                <w:szCs w:val="20"/>
              </w:rPr>
              <w:t>CDX Registrations Universe</w:t>
            </w:r>
          </w:p>
        </w:tc>
        <w:tc>
          <w:tcPr>
            <w:tcW w:w="266" w:type="dxa"/>
            <w:tcBorders>
              <w:top w:val="nil"/>
              <w:left w:val="single" w:sz="12" w:space="0" w:color="auto"/>
              <w:bottom w:val="nil"/>
              <w:right w:val="nil"/>
            </w:tcBorders>
            <w:shd w:val="clear" w:color="000000" w:fill="FFFFFF"/>
            <w:noWrap/>
            <w:vAlign w:val="bottom"/>
            <w:hideMark/>
          </w:tcPr>
          <w:p w14:paraId="2A0C8356"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66" w:type="dxa"/>
            <w:tcBorders>
              <w:top w:val="nil"/>
              <w:left w:val="nil"/>
              <w:bottom w:val="nil"/>
              <w:right w:val="nil"/>
            </w:tcBorders>
            <w:shd w:val="clear" w:color="000000" w:fill="FFFFFF"/>
            <w:noWrap/>
            <w:vAlign w:val="bottom"/>
            <w:hideMark/>
          </w:tcPr>
          <w:p w14:paraId="3D1751E9"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42AE1F0D" w14:textId="77777777" w:rsidR="0005506A" w:rsidRPr="0005506A" w:rsidRDefault="0005506A" w:rsidP="0005506A">
            <w:pPr>
              <w:rPr>
                <w:rFonts w:ascii="Calibri" w:eastAsia="Times New Roman" w:hAnsi="Calibri" w:cs="Calibri"/>
                <w:color w:val="000000"/>
                <w:sz w:val="22"/>
                <w:szCs w:val="22"/>
              </w:rPr>
            </w:pPr>
          </w:p>
        </w:tc>
      </w:tr>
      <w:tr w:rsidR="0005506A" w:rsidRPr="0005506A" w14:paraId="0C6F557F" w14:textId="77777777" w:rsidTr="0052362B">
        <w:trPr>
          <w:trHeight w:val="405"/>
          <w:jc w:val="center"/>
        </w:trPr>
        <w:tc>
          <w:tcPr>
            <w:tcW w:w="5220" w:type="dxa"/>
            <w:gridSpan w:val="2"/>
            <w:tcBorders>
              <w:top w:val="single" w:sz="8" w:space="0" w:color="auto"/>
              <w:left w:val="single" w:sz="12" w:space="0" w:color="auto"/>
              <w:bottom w:val="single" w:sz="8" w:space="0" w:color="auto"/>
              <w:right w:val="single" w:sz="8" w:space="0" w:color="000000"/>
            </w:tcBorders>
            <w:shd w:val="clear" w:color="000000" w:fill="BFBFBF"/>
            <w:noWrap/>
            <w:vAlign w:val="bottom"/>
            <w:hideMark/>
          </w:tcPr>
          <w:p w14:paraId="2AFC3222" w14:textId="77777777" w:rsidR="0005506A" w:rsidRPr="0005506A" w:rsidRDefault="0005506A" w:rsidP="0005506A">
            <w:pPr>
              <w:jc w:val="center"/>
              <w:rPr>
                <w:rFonts w:ascii="Arial Narrow" w:eastAsia="Times New Roman" w:hAnsi="Arial Narrow" w:cs="Calibri"/>
                <w:b/>
                <w:bCs/>
                <w:color w:val="000000"/>
                <w:sz w:val="20"/>
                <w:szCs w:val="20"/>
              </w:rPr>
            </w:pPr>
            <w:r w:rsidRPr="0005506A">
              <w:rPr>
                <w:rFonts w:ascii="Arial Narrow" w:eastAsia="Times New Roman" w:hAnsi="Arial Narrow" w:cs="Calibri"/>
                <w:b/>
                <w:bCs/>
                <w:color w:val="000000"/>
                <w:sz w:val="20"/>
                <w:szCs w:val="20"/>
              </w:rPr>
              <w:t>Type</w:t>
            </w:r>
          </w:p>
        </w:tc>
        <w:tc>
          <w:tcPr>
            <w:tcW w:w="1408" w:type="dxa"/>
            <w:tcBorders>
              <w:top w:val="nil"/>
              <w:left w:val="nil"/>
              <w:bottom w:val="single" w:sz="8" w:space="0" w:color="auto"/>
              <w:right w:val="single" w:sz="12" w:space="0" w:color="auto"/>
            </w:tcBorders>
            <w:shd w:val="clear" w:color="000000" w:fill="BFBFBF"/>
            <w:noWrap/>
            <w:vAlign w:val="bottom"/>
            <w:hideMark/>
          </w:tcPr>
          <w:p w14:paraId="281C0125" w14:textId="77777777" w:rsidR="0005506A" w:rsidRPr="0005506A" w:rsidRDefault="0005506A" w:rsidP="0005506A">
            <w:pPr>
              <w:jc w:val="center"/>
              <w:rPr>
                <w:rFonts w:ascii="Arial Narrow" w:eastAsia="Times New Roman" w:hAnsi="Arial Narrow" w:cs="Calibri"/>
                <w:b/>
                <w:bCs/>
                <w:color w:val="000000"/>
                <w:sz w:val="20"/>
                <w:szCs w:val="20"/>
              </w:rPr>
            </w:pPr>
          </w:p>
        </w:tc>
        <w:tc>
          <w:tcPr>
            <w:tcW w:w="266" w:type="dxa"/>
            <w:tcBorders>
              <w:top w:val="nil"/>
              <w:left w:val="single" w:sz="12" w:space="0" w:color="auto"/>
              <w:bottom w:val="nil"/>
              <w:right w:val="nil"/>
            </w:tcBorders>
            <w:shd w:val="clear" w:color="000000" w:fill="FFFFFF"/>
            <w:noWrap/>
            <w:vAlign w:val="bottom"/>
            <w:hideMark/>
          </w:tcPr>
          <w:p w14:paraId="5564A429"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66" w:type="dxa"/>
            <w:tcBorders>
              <w:top w:val="nil"/>
              <w:left w:val="nil"/>
              <w:bottom w:val="nil"/>
              <w:right w:val="nil"/>
            </w:tcBorders>
            <w:shd w:val="clear" w:color="000000" w:fill="FFFFFF"/>
            <w:noWrap/>
            <w:vAlign w:val="bottom"/>
            <w:hideMark/>
          </w:tcPr>
          <w:p w14:paraId="10FA89D2"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7685F75B" w14:textId="77777777" w:rsidR="0005506A" w:rsidRPr="0005506A" w:rsidRDefault="0005506A" w:rsidP="0005506A">
            <w:pPr>
              <w:rPr>
                <w:rFonts w:ascii="Calibri" w:eastAsia="Times New Roman" w:hAnsi="Calibri" w:cs="Calibri"/>
                <w:color w:val="000000"/>
                <w:sz w:val="22"/>
                <w:szCs w:val="22"/>
              </w:rPr>
            </w:pPr>
          </w:p>
        </w:tc>
      </w:tr>
      <w:tr w:rsidR="0005506A" w:rsidRPr="0005506A" w14:paraId="0C696089" w14:textId="77777777" w:rsidTr="0052362B">
        <w:trPr>
          <w:trHeight w:val="330"/>
          <w:jc w:val="center"/>
        </w:trPr>
        <w:tc>
          <w:tcPr>
            <w:tcW w:w="5220" w:type="dxa"/>
            <w:gridSpan w:val="2"/>
            <w:tcBorders>
              <w:top w:val="nil"/>
              <w:left w:val="single" w:sz="12" w:space="0" w:color="auto"/>
              <w:bottom w:val="single" w:sz="4" w:space="0" w:color="auto"/>
              <w:right w:val="single" w:sz="4" w:space="0" w:color="auto"/>
            </w:tcBorders>
            <w:shd w:val="clear" w:color="000000" w:fill="FFFFFF"/>
            <w:noWrap/>
            <w:vAlign w:val="bottom"/>
            <w:hideMark/>
          </w:tcPr>
          <w:p w14:paraId="262FB14B" w14:textId="77777777" w:rsidR="0005506A" w:rsidRPr="00C0632D" w:rsidRDefault="0005506A" w:rsidP="0005506A">
            <w:pPr>
              <w:jc w:val="center"/>
              <w:rPr>
                <w:rFonts w:ascii="Arial Narrow" w:eastAsia="Times New Roman" w:hAnsi="Arial Narrow" w:cs="Calibri"/>
                <w:color w:val="000000"/>
                <w:sz w:val="20"/>
                <w:szCs w:val="20"/>
                <w:vertAlign w:val="superscript"/>
              </w:rPr>
            </w:pPr>
            <w:r w:rsidRPr="0005506A">
              <w:rPr>
                <w:rFonts w:ascii="Arial Narrow" w:eastAsia="Times New Roman" w:hAnsi="Arial Narrow" w:cs="Calibri"/>
                <w:color w:val="000000"/>
                <w:sz w:val="20"/>
                <w:szCs w:val="20"/>
              </w:rPr>
              <w:t>CDX Registrations</w:t>
            </w:r>
            <w:r w:rsidR="00E11DFA">
              <w:rPr>
                <w:rFonts w:ascii="Arial Narrow" w:eastAsia="Times New Roman" w:hAnsi="Arial Narrow" w:cs="Calibri"/>
                <w:color w:val="000000"/>
                <w:sz w:val="20"/>
                <w:szCs w:val="20"/>
                <w:vertAlign w:val="superscript"/>
              </w:rPr>
              <w:t>2</w:t>
            </w:r>
          </w:p>
        </w:tc>
        <w:tc>
          <w:tcPr>
            <w:tcW w:w="1408" w:type="dxa"/>
            <w:tcBorders>
              <w:top w:val="nil"/>
              <w:left w:val="single" w:sz="4" w:space="0" w:color="auto"/>
              <w:bottom w:val="single" w:sz="4" w:space="0" w:color="auto"/>
              <w:right w:val="single" w:sz="12" w:space="0" w:color="auto"/>
            </w:tcBorders>
            <w:shd w:val="clear" w:color="000000" w:fill="FFFFFF"/>
            <w:noWrap/>
            <w:vAlign w:val="center"/>
            <w:hideMark/>
          </w:tcPr>
          <w:p w14:paraId="0EB16104" w14:textId="77777777" w:rsidR="0005506A" w:rsidRPr="0005506A" w:rsidRDefault="00FC16D2" w:rsidP="0005506A">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1,416</w:t>
            </w:r>
          </w:p>
        </w:tc>
        <w:tc>
          <w:tcPr>
            <w:tcW w:w="266" w:type="dxa"/>
            <w:tcBorders>
              <w:top w:val="nil"/>
              <w:left w:val="single" w:sz="12" w:space="0" w:color="auto"/>
              <w:bottom w:val="nil"/>
              <w:right w:val="nil"/>
            </w:tcBorders>
            <w:shd w:val="clear" w:color="000000" w:fill="FFFFFF"/>
            <w:noWrap/>
            <w:vAlign w:val="bottom"/>
            <w:hideMark/>
          </w:tcPr>
          <w:p w14:paraId="45E396F7"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66" w:type="dxa"/>
            <w:tcBorders>
              <w:top w:val="nil"/>
              <w:left w:val="nil"/>
              <w:bottom w:val="nil"/>
              <w:right w:val="nil"/>
            </w:tcBorders>
            <w:shd w:val="clear" w:color="000000" w:fill="FFFFFF"/>
            <w:noWrap/>
            <w:vAlign w:val="bottom"/>
            <w:hideMark/>
          </w:tcPr>
          <w:p w14:paraId="47236AA1"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34BE87B8" w14:textId="77777777" w:rsidR="0005506A" w:rsidRPr="0005506A" w:rsidRDefault="0005506A" w:rsidP="0005506A">
            <w:pPr>
              <w:rPr>
                <w:rFonts w:ascii="Calibri" w:eastAsia="Times New Roman" w:hAnsi="Calibri" w:cs="Calibri"/>
                <w:color w:val="000000"/>
                <w:sz w:val="22"/>
                <w:szCs w:val="22"/>
              </w:rPr>
            </w:pPr>
          </w:p>
        </w:tc>
      </w:tr>
      <w:tr w:rsidR="00B82A15" w:rsidRPr="0005506A" w14:paraId="253CF89C" w14:textId="77777777" w:rsidTr="0052362B">
        <w:trPr>
          <w:trHeight w:val="330"/>
          <w:jc w:val="center"/>
        </w:trPr>
        <w:tc>
          <w:tcPr>
            <w:tcW w:w="5220" w:type="dxa"/>
            <w:gridSpan w:val="2"/>
            <w:tcBorders>
              <w:top w:val="nil"/>
              <w:left w:val="single" w:sz="12" w:space="0" w:color="auto"/>
              <w:bottom w:val="single" w:sz="4" w:space="0" w:color="auto"/>
              <w:right w:val="single" w:sz="4" w:space="0" w:color="auto"/>
            </w:tcBorders>
            <w:shd w:val="clear" w:color="000000" w:fill="FFFFFF"/>
            <w:noWrap/>
            <w:vAlign w:val="bottom"/>
          </w:tcPr>
          <w:p w14:paraId="41A90E35" w14:textId="77777777" w:rsidR="00B82A15" w:rsidRPr="0005506A" w:rsidRDefault="00B82A15" w:rsidP="0005506A">
            <w:pPr>
              <w:jc w:val="center"/>
              <w:rPr>
                <w:rFonts w:ascii="Arial Narrow" w:eastAsia="Times New Roman" w:hAnsi="Arial Narrow" w:cs="Calibri"/>
                <w:color w:val="000000"/>
                <w:sz w:val="20"/>
                <w:szCs w:val="20"/>
              </w:rPr>
            </w:pPr>
          </w:p>
        </w:tc>
        <w:tc>
          <w:tcPr>
            <w:tcW w:w="1408" w:type="dxa"/>
            <w:tcBorders>
              <w:top w:val="nil"/>
              <w:left w:val="single" w:sz="4" w:space="0" w:color="auto"/>
              <w:bottom w:val="single" w:sz="4" w:space="0" w:color="auto"/>
              <w:right w:val="single" w:sz="12" w:space="0" w:color="auto"/>
            </w:tcBorders>
            <w:shd w:val="clear" w:color="000000" w:fill="FFFFFF"/>
            <w:noWrap/>
            <w:vAlign w:val="center"/>
          </w:tcPr>
          <w:p w14:paraId="0D92E811" w14:textId="77777777" w:rsidR="00B82A15" w:rsidRPr="0005506A" w:rsidRDefault="00B82A15" w:rsidP="0005506A">
            <w:pPr>
              <w:jc w:val="center"/>
              <w:rPr>
                <w:rFonts w:ascii="Arial Narrow" w:eastAsia="Times New Roman" w:hAnsi="Arial Narrow" w:cs="Calibri"/>
                <w:color w:val="000000"/>
                <w:sz w:val="20"/>
                <w:szCs w:val="20"/>
              </w:rPr>
            </w:pPr>
          </w:p>
        </w:tc>
        <w:tc>
          <w:tcPr>
            <w:tcW w:w="266" w:type="dxa"/>
            <w:tcBorders>
              <w:top w:val="nil"/>
              <w:left w:val="single" w:sz="12" w:space="0" w:color="auto"/>
              <w:bottom w:val="nil"/>
              <w:right w:val="nil"/>
            </w:tcBorders>
            <w:shd w:val="clear" w:color="000000" w:fill="FFFFFF"/>
            <w:noWrap/>
            <w:vAlign w:val="bottom"/>
          </w:tcPr>
          <w:p w14:paraId="57DD7B5D" w14:textId="77777777" w:rsidR="00B82A15" w:rsidRPr="0005506A" w:rsidRDefault="00B82A15" w:rsidP="0005506A">
            <w:pPr>
              <w:rPr>
                <w:rFonts w:ascii="Calibri" w:eastAsia="Times New Roman" w:hAnsi="Calibri" w:cs="Calibri"/>
                <w:color w:val="000000"/>
                <w:sz w:val="22"/>
                <w:szCs w:val="22"/>
              </w:rPr>
            </w:pPr>
          </w:p>
        </w:tc>
        <w:tc>
          <w:tcPr>
            <w:tcW w:w="266" w:type="dxa"/>
            <w:tcBorders>
              <w:top w:val="nil"/>
              <w:left w:val="nil"/>
              <w:bottom w:val="nil"/>
              <w:right w:val="nil"/>
            </w:tcBorders>
            <w:shd w:val="clear" w:color="000000" w:fill="FFFFFF"/>
            <w:noWrap/>
            <w:vAlign w:val="bottom"/>
          </w:tcPr>
          <w:p w14:paraId="66D2788C" w14:textId="77777777" w:rsidR="00B82A15" w:rsidRPr="0005506A" w:rsidRDefault="00B82A15" w:rsidP="0005506A">
            <w:pPr>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tcPr>
          <w:p w14:paraId="336783ED" w14:textId="77777777" w:rsidR="00B82A15" w:rsidRPr="0005506A" w:rsidRDefault="00B82A15" w:rsidP="0005506A">
            <w:pPr>
              <w:rPr>
                <w:rFonts w:ascii="Calibri" w:eastAsia="Times New Roman" w:hAnsi="Calibri" w:cs="Calibri"/>
                <w:color w:val="000000"/>
                <w:sz w:val="22"/>
                <w:szCs w:val="22"/>
              </w:rPr>
            </w:pPr>
          </w:p>
        </w:tc>
      </w:tr>
      <w:tr w:rsidR="0005506A" w:rsidRPr="0005506A" w14:paraId="6572BB40" w14:textId="77777777" w:rsidTr="0052362B">
        <w:trPr>
          <w:trHeight w:val="432"/>
          <w:jc w:val="center"/>
        </w:trPr>
        <w:tc>
          <w:tcPr>
            <w:tcW w:w="6628" w:type="dxa"/>
            <w:gridSpan w:val="3"/>
            <w:tcBorders>
              <w:top w:val="single" w:sz="4" w:space="0" w:color="auto"/>
              <w:left w:val="single" w:sz="12" w:space="0" w:color="auto"/>
              <w:bottom w:val="nil"/>
              <w:right w:val="single" w:sz="12" w:space="0" w:color="auto"/>
            </w:tcBorders>
            <w:shd w:val="clear" w:color="auto" w:fill="auto"/>
            <w:hideMark/>
          </w:tcPr>
          <w:p w14:paraId="2F1A4686" w14:textId="77777777" w:rsidR="00C92CE5" w:rsidRPr="00C92CE5" w:rsidRDefault="009A7188" w:rsidP="0005506A">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Table </w:t>
            </w:r>
            <w:r w:rsidR="00C92CE5" w:rsidRPr="00C92CE5">
              <w:rPr>
                <w:rFonts w:ascii="Arial Narrow" w:eastAsia="Times New Roman" w:hAnsi="Arial Narrow" w:cs="Calibri"/>
                <w:color w:val="000000"/>
                <w:sz w:val="18"/>
                <w:szCs w:val="18"/>
              </w:rPr>
              <w:t>Footnotes</w:t>
            </w:r>
          </w:p>
          <w:p w14:paraId="1E1051F5" w14:textId="77777777" w:rsidR="0005506A" w:rsidRPr="0005506A" w:rsidRDefault="0005506A" w:rsidP="00F14F36">
            <w:pPr>
              <w:rPr>
                <w:rFonts w:ascii="Arial Narrow" w:eastAsia="Times New Roman" w:hAnsi="Arial Narrow" w:cs="Calibri"/>
                <w:color w:val="000000"/>
                <w:sz w:val="18"/>
                <w:szCs w:val="18"/>
              </w:rPr>
            </w:pPr>
            <w:r w:rsidRPr="0005506A">
              <w:rPr>
                <w:rFonts w:ascii="Arial Narrow" w:eastAsia="Times New Roman" w:hAnsi="Arial Narrow" w:cs="Calibri"/>
                <w:color w:val="000000"/>
                <w:sz w:val="18"/>
                <w:szCs w:val="18"/>
                <w:vertAlign w:val="superscript"/>
              </w:rPr>
              <w:t>1</w:t>
            </w:r>
            <w:r w:rsidRPr="0005506A">
              <w:rPr>
                <w:rFonts w:ascii="Arial Narrow" w:eastAsia="Times New Roman" w:hAnsi="Arial Narrow" w:cs="Calibri"/>
                <w:color w:val="000000"/>
                <w:sz w:val="18"/>
                <w:szCs w:val="18"/>
              </w:rPr>
              <w:t xml:space="preserve"> Information on submissions is based on observations in </w:t>
            </w:r>
            <w:r w:rsidR="00F14F36">
              <w:rPr>
                <w:rFonts w:ascii="Arial Narrow" w:eastAsia="Times New Roman" w:hAnsi="Arial Narrow" w:cs="Calibri"/>
                <w:color w:val="000000"/>
                <w:sz w:val="18"/>
                <w:szCs w:val="18"/>
              </w:rPr>
              <w:t xml:space="preserve">2016 </w:t>
            </w:r>
            <w:r w:rsidRPr="0005506A">
              <w:rPr>
                <w:rFonts w:ascii="Arial Narrow" w:eastAsia="Times New Roman" w:hAnsi="Arial Narrow" w:cs="Calibri"/>
                <w:color w:val="000000"/>
                <w:sz w:val="18"/>
                <w:szCs w:val="18"/>
              </w:rPr>
              <w:t>CDR (</w:t>
            </w:r>
            <w:r w:rsidR="00F0452C" w:rsidRPr="00F0452C">
              <w:rPr>
                <w:rFonts w:ascii="Arial Narrow" w:eastAsia="Times New Roman" w:hAnsi="Arial Narrow" w:cs="Calibri"/>
                <w:color w:val="000000"/>
                <w:sz w:val="18"/>
                <w:szCs w:val="18"/>
              </w:rPr>
              <w:t>US EPA, 2017</w:t>
            </w:r>
            <w:r w:rsidR="00A52B61">
              <w:rPr>
                <w:rFonts w:ascii="Arial Narrow" w:eastAsia="Times New Roman" w:hAnsi="Arial Narrow" w:cs="Calibri"/>
                <w:color w:val="000000"/>
                <w:sz w:val="18"/>
                <w:szCs w:val="18"/>
              </w:rPr>
              <w:t>c</w:t>
            </w:r>
            <w:r w:rsidRPr="0005506A">
              <w:rPr>
                <w:rFonts w:ascii="Arial Narrow" w:eastAsia="Times New Roman" w:hAnsi="Arial Narrow" w:cs="Calibri"/>
                <w:color w:val="000000"/>
                <w:sz w:val="18"/>
                <w:szCs w:val="18"/>
              </w:rPr>
              <w:t>)</w:t>
            </w:r>
            <w:r w:rsidR="00D25972">
              <w:rPr>
                <w:rFonts w:ascii="Arial Narrow" w:eastAsia="Times New Roman" w:hAnsi="Arial Narrow" w:cs="Calibri"/>
                <w:color w:val="000000"/>
                <w:sz w:val="18"/>
                <w:szCs w:val="18"/>
              </w:rPr>
              <w:t>.</w:t>
            </w:r>
          </w:p>
        </w:tc>
        <w:tc>
          <w:tcPr>
            <w:tcW w:w="266" w:type="dxa"/>
            <w:tcBorders>
              <w:top w:val="nil"/>
              <w:left w:val="single" w:sz="12" w:space="0" w:color="auto"/>
              <w:bottom w:val="nil"/>
              <w:right w:val="nil"/>
            </w:tcBorders>
            <w:shd w:val="clear" w:color="000000" w:fill="FFFFFF"/>
            <w:noWrap/>
            <w:vAlign w:val="bottom"/>
            <w:hideMark/>
          </w:tcPr>
          <w:p w14:paraId="7324DE38"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66" w:type="dxa"/>
            <w:tcBorders>
              <w:top w:val="nil"/>
              <w:left w:val="nil"/>
              <w:bottom w:val="nil"/>
              <w:right w:val="nil"/>
            </w:tcBorders>
            <w:shd w:val="clear" w:color="000000" w:fill="FFFFFF"/>
            <w:noWrap/>
            <w:vAlign w:val="bottom"/>
            <w:hideMark/>
          </w:tcPr>
          <w:p w14:paraId="686E0FB7"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615DC59B" w14:textId="77777777" w:rsidR="0005506A" w:rsidRPr="0005506A" w:rsidRDefault="0005506A" w:rsidP="0005506A">
            <w:pPr>
              <w:rPr>
                <w:rFonts w:ascii="Calibri" w:eastAsia="Times New Roman" w:hAnsi="Calibri" w:cs="Calibri"/>
                <w:color w:val="000000"/>
                <w:sz w:val="22"/>
                <w:szCs w:val="22"/>
              </w:rPr>
            </w:pPr>
          </w:p>
        </w:tc>
      </w:tr>
      <w:tr w:rsidR="0005506A" w:rsidRPr="0005506A" w14:paraId="4D71DA95" w14:textId="77777777" w:rsidTr="0052362B">
        <w:trPr>
          <w:trHeight w:val="70"/>
          <w:jc w:val="center"/>
        </w:trPr>
        <w:tc>
          <w:tcPr>
            <w:tcW w:w="6628" w:type="dxa"/>
            <w:gridSpan w:val="3"/>
            <w:tcBorders>
              <w:top w:val="nil"/>
              <w:left w:val="single" w:sz="12" w:space="0" w:color="auto"/>
              <w:bottom w:val="single" w:sz="12" w:space="0" w:color="auto"/>
              <w:right w:val="single" w:sz="12" w:space="0" w:color="auto"/>
            </w:tcBorders>
            <w:shd w:val="clear" w:color="auto" w:fill="auto"/>
            <w:hideMark/>
          </w:tcPr>
          <w:p w14:paraId="7D866E52" w14:textId="77777777" w:rsidR="0005506A" w:rsidRPr="0005506A" w:rsidRDefault="0005506A" w:rsidP="00FC16D2">
            <w:pPr>
              <w:rPr>
                <w:rFonts w:ascii="Arial Narrow" w:eastAsia="Times New Roman" w:hAnsi="Arial Narrow" w:cs="Calibri"/>
                <w:color w:val="000000"/>
                <w:sz w:val="18"/>
                <w:szCs w:val="18"/>
              </w:rPr>
            </w:pPr>
            <w:r w:rsidRPr="0005506A">
              <w:rPr>
                <w:rFonts w:ascii="Arial Narrow" w:eastAsia="Times New Roman" w:hAnsi="Arial Narrow" w:cs="Calibri"/>
                <w:color w:val="000000"/>
                <w:sz w:val="18"/>
                <w:szCs w:val="18"/>
                <w:vertAlign w:val="superscript"/>
              </w:rPr>
              <w:t>2</w:t>
            </w:r>
            <w:r w:rsidR="0052362B">
              <w:rPr>
                <w:rFonts w:ascii="Arial Narrow" w:eastAsia="Times New Roman" w:hAnsi="Arial Narrow" w:cs="Calibri"/>
                <w:color w:val="000000"/>
                <w:sz w:val="18"/>
                <w:szCs w:val="18"/>
                <w:vertAlign w:val="superscript"/>
              </w:rPr>
              <w:t xml:space="preserve"> </w:t>
            </w:r>
            <w:r w:rsidRPr="0005506A">
              <w:rPr>
                <w:rFonts w:ascii="Arial Narrow" w:eastAsia="Times New Roman" w:hAnsi="Arial Narrow" w:cs="Calibri"/>
                <w:color w:val="000000"/>
                <w:sz w:val="18"/>
                <w:szCs w:val="18"/>
              </w:rPr>
              <w:t>CDX registrations</w:t>
            </w:r>
            <w:r w:rsidR="00F14F36">
              <w:rPr>
                <w:rFonts w:ascii="Arial Narrow" w:eastAsia="Times New Roman" w:hAnsi="Arial Narrow" w:cs="Calibri"/>
                <w:color w:val="000000"/>
                <w:sz w:val="18"/>
                <w:szCs w:val="18"/>
              </w:rPr>
              <w:t xml:space="preserve">, as </w:t>
            </w:r>
            <w:r w:rsidRPr="0005506A">
              <w:rPr>
                <w:rFonts w:ascii="Arial Narrow" w:eastAsia="Times New Roman" w:hAnsi="Arial Narrow" w:cs="Calibri"/>
                <w:color w:val="000000"/>
                <w:sz w:val="18"/>
                <w:szCs w:val="18"/>
              </w:rPr>
              <w:t xml:space="preserve">estimated </w:t>
            </w:r>
            <w:r w:rsidR="00F14F36">
              <w:rPr>
                <w:rFonts w:ascii="Arial Narrow" w:eastAsia="Times New Roman" w:hAnsi="Arial Narrow" w:cs="Calibri"/>
                <w:color w:val="000000"/>
                <w:sz w:val="18"/>
                <w:szCs w:val="18"/>
              </w:rPr>
              <w:t xml:space="preserve">based on </w:t>
            </w:r>
            <w:r w:rsidR="00FC16D2">
              <w:rPr>
                <w:rFonts w:ascii="Arial Narrow" w:eastAsia="Times New Roman" w:hAnsi="Arial Narrow" w:cs="Calibri"/>
                <w:color w:val="000000"/>
                <w:sz w:val="18"/>
                <w:szCs w:val="18"/>
              </w:rPr>
              <w:t>25</w:t>
            </w:r>
            <w:r w:rsidRPr="0005506A">
              <w:rPr>
                <w:rFonts w:ascii="Arial Narrow" w:eastAsia="Times New Roman" w:hAnsi="Arial Narrow" w:cs="Calibri"/>
                <w:color w:val="000000"/>
                <w:sz w:val="18"/>
                <w:szCs w:val="18"/>
              </w:rPr>
              <w:t>% of the</w:t>
            </w:r>
            <w:r w:rsidR="00F14F36">
              <w:rPr>
                <w:rFonts w:ascii="Arial Narrow" w:eastAsia="Times New Roman" w:hAnsi="Arial Narrow" w:cs="Calibri"/>
                <w:color w:val="000000"/>
                <w:sz w:val="18"/>
                <w:szCs w:val="18"/>
              </w:rPr>
              <w:t xml:space="preserve"> count for </w:t>
            </w:r>
            <w:r w:rsidRPr="0005506A">
              <w:rPr>
                <w:rFonts w:ascii="Arial Narrow" w:eastAsia="Times New Roman" w:hAnsi="Arial Narrow" w:cs="Calibri"/>
                <w:color w:val="000000"/>
                <w:sz w:val="18"/>
                <w:szCs w:val="18"/>
              </w:rPr>
              <w:t>firms</w:t>
            </w:r>
            <w:r w:rsidR="00F14F36">
              <w:rPr>
                <w:rFonts w:ascii="Arial Narrow" w:eastAsia="Times New Roman" w:hAnsi="Arial Narrow" w:cs="Calibri"/>
                <w:color w:val="000000"/>
                <w:sz w:val="18"/>
                <w:szCs w:val="18"/>
              </w:rPr>
              <w:t xml:space="preserve"> submitting</w:t>
            </w:r>
            <w:r w:rsidR="00B82A15">
              <w:rPr>
                <w:rFonts w:ascii="Arial Narrow" w:eastAsia="Times New Roman" w:hAnsi="Arial Narrow" w:cs="Calibri"/>
                <w:color w:val="000000"/>
                <w:sz w:val="18"/>
                <w:szCs w:val="18"/>
              </w:rPr>
              <w:t xml:space="preserve"> the</w:t>
            </w:r>
            <w:r w:rsidR="00F14F36">
              <w:rPr>
                <w:rFonts w:ascii="Arial Narrow" w:eastAsia="Times New Roman" w:hAnsi="Arial Narrow" w:cs="Calibri"/>
                <w:color w:val="000000"/>
                <w:sz w:val="18"/>
                <w:szCs w:val="18"/>
              </w:rPr>
              <w:t xml:space="preserve"> Form U</w:t>
            </w:r>
            <w:r w:rsidRPr="0005506A">
              <w:rPr>
                <w:rFonts w:ascii="Arial Narrow" w:eastAsia="Times New Roman" w:hAnsi="Arial Narrow" w:cs="Calibri"/>
                <w:color w:val="000000"/>
                <w:sz w:val="18"/>
                <w:szCs w:val="18"/>
              </w:rPr>
              <w:t>.</w:t>
            </w:r>
          </w:p>
        </w:tc>
        <w:tc>
          <w:tcPr>
            <w:tcW w:w="266" w:type="dxa"/>
            <w:tcBorders>
              <w:top w:val="nil"/>
              <w:left w:val="single" w:sz="12" w:space="0" w:color="auto"/>
              <w:bottom w:val="nil"/>
              <w:right w:val="nil"/>
            </w:tcBorders>
            <w:shd w:val="clear" w:color="000000" w:fill="FFFFFF"/>
            <w:noWrap/>
            <w:vAlign w:val="bottom"/>
            <w:hideMark/>
          </w:tcPr>
          <w:p w14:paraId="29434B75"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66" w:type="dxa"/>
            <w:tcBorders>
              <w:top w:val="nil"/>
              <w:left w:val="nil"/>
              <w:bottom w:val="nil"/>
              <w:right w:val="nil"/>
            </w:tcBorders>
            <w:shd w:val="clear" w:color="000000" w:fill="FFFFFF"/>
            <w:noWrap/>
            <w:vAlign w:val="bottom"/>
            <w:hideMark/>
          </w:tcPr>
          <w:p w14:paraId="15B29129" w14:textId="77777777" w:rsidR="0005506A" w:rsidRPr="0005506A" w:rsidRDefault="0005506A" w:rsidP="0005506A">
            <w:pPr>
              <w:rPr>
                <w:rFonts w:ascii="Calibri" w:eastAsia="Times New Roman" w:hAnsi="Calibri" w:cs="Calibri"/>
                <w:color w:val="000000"/>
                <w:sz w:val="22"/>
                <w:szCs w:val="22"/>
              </w:rPr>
            </w:pPr>
            <w:r w:rsidRPr="0005506A">
              <w:rPr>
                <w:rFonts w:ascii="Calibri" w:eastAsia="Times New Roman" w:hAnsi="Calibri" w:cs="Calibri"/>
                <w:color w:val="000000"/>
                <w:sz w:val="22"/>
                <w:szCs w:val="22"/>
              </w:rPr>
              <w:t> </w:t>
            </w:r>
          </w:p>
        </w:tc>
        <w:tc>
          <w:tcPr>
            <w:tcW w:w="222" w:type="dxa"/>
            <w:tcBorders>
              <w:top w:val="nil"/>
              <w:left w:val="nil"/>
              <w:bottom w:val="nil"/>
              <w:right w:val="nil"/>
            </w:tcBorders>
            <w:shd w:val="clear" w:color="auto" w:fill="auto"/>
            <w:noWrap/>
            <w:vAlign w:val="bottom"/>
            <w:hideMark/>
          </w:tcPr>
          <w:p w14:paraId="7E779A92" w14:textId="77777777" w:rsidR="0005506A" w:rsidRPr="0005506A" w:rsidRDefault="0005506A" w:rsidP="0005506A">
            <w:pPr>
              <w:rPr>
                <w:rFonts w:ascii="Calibri" w:eastAsia="Times New Roman" w:hAnsi="Calibri" w:cs="Calibri"/>
                <w:color w:val="000000"/>
                <w:sz w:val="22"/>
                <w:szCs w:val="22"/>
              </w:rPr>
            </w:pPr>
          </w:p>
        </w:tc>
      </w:tr>
    </w:tbl>
    <w:p w14:paraId="23DB7699" w14:textId="77777777" w:rsidR="00281719" w:rsidRDefault="00281719" w:rsidP="00F434EC">
      <w:pPr>
        <w:rPr>
          <w:b/>
        </w:rPr>
      </w:pPr>
    </w:p>
    <w:p w14:paraId="356197B6" w14:textId="77777777" w:rsidR="00F434EC" w:rsidRDefault="00F06BA6" w:rsidP="00F434EC">
      <w:r w:rsidRPr="008A7FB7">
        <w:rPr>
          <w:b/>
        </w:rPr>
        <w:t>Total Industry Burden/Cost</w:t>
      </w:r>
      <w:r w:rsidRPr="008A7FB7">
        <w:t xml:space="preserve">. </w:t>
      </w:r>
      <w:r w:rsidR="00F434EC">
        <w:t xml:space="preserve">Estimates of the reporting </w:t>
      </w:r>
      <w:r w:rsidR="00F434EC" w:rsidRPr="008A7FB7">
        <w:t>burden</w:t>
      </w:r>
      <w:r w:rsidR="00F434EC">
        <w:t xml:space="preserve"> and cost</w:t>
      </w:r>
      <w:r w:rsidR="00F434EC" w:rsidRPr="008A7FB7">
        <w:t xml:space="preserve"> per </w:t>
      </w:r>
      <w:r w:rsidR="00F434EC">
        <w:t>four</w:t>
      </w:r>
      <w:r w:rsidR="004064BD">
        <w:t>-</w:t>
      </w:r>
      <w:r w:rsidR="00F434EC">
        <w:t xml:space="preserve">year </w:t>
      </w:r>
      <w:r w:rsidR="00F434EC" w:rsidRPr="008A7FB7">
        <w:t xml:space="preserve">reporting cycle </w:t>
      </w:r>
      <w:r w:rsidR="00F434EC">
        <w:t>are shown in Table 13, broken down by experienced and new reporters</w:t>
      </w:r>
      <w:r w:rsidR="00CA288A">
        <w:t xml:space="preserve"> for Form U submission</w:t>
      </w:r>
      <w:r w:rsidR="00377AF4">
        <w:t>,</w:t>
      </w:r>
      <w:r w:rsidR="00CA288A">
        <w:t xml:space="preserve"> and by registrants for CDX registration activities</w:t>
      </w:r>
      <w:r w:rsidR="00F434EC">
        <w:t xml:space="preserve">. Total burden and cost is estimated at </w:t>
      </w:r>
      <w:r w:rsidR="001A0B53" w:rsidRPr="00CB3800">
        <w:t>2,</w:t>
      </w:r>
      <w:r w:rsidR="00281719">
        <w:t>864,095</w:t>
      </w:r>
      <w:r w:rsidR="001A0B53" w:rsidRPr="007711E7">
        <w:rPr>
          <w:rFonts w:ascii="Arial Narrow" w:hAnsi="Arial Narrow" w:cs="Calibri"/>
          <w:b/>
          <w:color w:val="000000"/>
          <w:sz w:val="20"/>
          <w:szCs w:val="20"/>
        </w:rPr>
        <w:t xml:space="preserve"> </w:t>
      </w:r>
      <w:r w:rsidR="00F434EC">
        <w:t xml:space="preserve">hours and </w:t>
      </w:r>
      <w:r w:rsidR="001A0B53" w:rsidRPr="00CB3800">
        <w:t>$2</w:t>
      </w:r>
      <w:r w:rsidR="00281719">
        <w:t>27,837,</w:t>
      </w:r>
      <w:r w:rsidR="00266AD2">
        <w:t>292</w:t>
      </w:r>
      <w:r w:rsidR="00F434EC">
        <w:t>, respectively per four</w:t>
      </w:r>
      <w:r w:rsidR="004064BD">
        <w:t>-</w:t>
      </w:r>
      <w:r w:rsidR="00F434EC">
        <w:t>year reporting cycle.</w:t>
      </w:r>
      <w:r w:rsidR="00F434EC" w:rsidRPr="009A037E">
        <w:t xml:space="preserve"> </w:t>
      </w:r>
      <w:r w:rsidR="00F434EC">
        <w:t xml:space="preserve">These estimates translate to annual burden and cost for the ICR </w:t>
      </w:r>
      <w:r w:rsidR="00F434EC" w:rsidRPr="00537988">
        <w:t xml:space="preserve">period of </w:t>
      </w:r>
      <w:r w:rsidR="004B0CA0" w:rsidRPr="00392D59">
        <w:t>7</w:t>
      </w:r>
      <w:r w:rsidR="00281719">
        <w:t xml:space="preserve">16,024 </w:t>
      </w:r>
      <w:r w:rsidR="00F434EC">
        <w:t xml:space="preserve">hours and </w:t>
      </w:r>
      <w:r w:rsidR="004B0CA0" w:rsidRPr="00392D59">
        <w:t>$5</w:t>
      </w:r>
      <w:r w:rsidR="00281719">
        <w:t>6</w:t>
      </w:r>
      <w:r w:rsidR="004B0CA0" w:rsidRPr="00392D59">
        <w:t>,</w:t>
      </w:r>
      <w:r w:rsidR="00281719">
        <w:t>959</w:t>
      </w:r>
      <w:r w:rsidR="004B0CA0" w:rsidRPr="00392D59">
        <w:t>,</w:t>
      </w:r>
      <w:r w:rsidR="00281719">
        <w:t>32</w:t>
      </w:r>
      <w:r w:rsidR="00266AD2">
        <w:t>3</w:t>
      </w:r>
      <w:r w:rsidR="00F434EC" w:rsidRPr="00C7155E">
        <w:t>, respectively</w:t>
      </w:r>
      <w:r w:rsidR="00F434EC">
        <w:t xml:space="preserve"> per year (see Table 15).</w:t>
      </w:r>
    </w:p>
    <w:p w14:paraId="7C05E992" w14:textId="77777777" w:rsidR="00BD715D" w:rsidRPr="008A7FB7" w:rsidRDefault="00BD715D" w:rsidP="00F434EC"/>
    <w:tbl>
      <w:tblPr>
        <w:tblW w:w="5433" w:type="pct"/>
        <w:tblLayout w:type="fixed"/>
        <w:tblCellMar>
          <w:left w:w="115" w:type="dxa"/>
          <w:right w:w="115" w:type="dxa"/>
        </w:tblCellMar>
        <w:tblLook w:val="04A0" w:firstRow="1" w:lastRow="0" w:firstColumn="1" w:lastColumn="0" w:noHBand="0" w:noVBand="1"/>
      </w:tblPr>
      <w:tblGrid>
        <w:gridCol w:w="1385"/>
        <w:gridCol w:w="181"/>
        <w:gridCol w:w="1202"/>
        <w:gridCol w:w="1386"/>
        <w:gridCol w:w="1198"/>
        <w:gridCol w:w="1307"/>
        <w:gridCol w:w="1273"/>
        <w:gridCol w:w="1015"/>
        <w:gridCol w:w="1473"/>
      </w:tblGrid>
      <w:tr w:rsidR="001B6BEE" w:rsidRPr="00FF0B3F" w14:paraId="36C881C1" w14:textId="77777777" w:rsidTr="00DE0792">
        <w:trPr>
          <w:trHeight w:val="310"/>
          <w:tblHeader/>
        </w:trPr>
        <w:tc>
          <w:tcPr>
            <w:tcW w:w="5000" w:type="pct"/>
            <w:gridSpan w:val="9"/>
            <w:tcBorders>
              <w:top w:val="nil"/>
              <w:left w:val="nil"/>
              <w:bottom w:val="nil"/>
              <w:right w:val="nil"/>
            </w:tcBorders>
            <w:shd w:val="clear" w:color="auto" w:fill="auto"/>
            <w:noWrap/>
            <w:vAlign w:val="center"/>
            <w:hideMark/>
          </w:tcPr>
          <w:p w14:paraId="09DE78AF" w14:textId="77777777" w:rsidR="001B6BEE" w:rsidRPr="00FF0B3F" w:rsidRDefault="001B6BEE" w:rsidP="00977FC1">
            <w:pPr>
              <w:pStyle w:val="TableTitle"/>
            </w:pPr>
            <w:r w:rsidRPr="00FF0B3F">
              <w:t>Table 13. Respondent Total Burden and Cost for a Four-Year Reporting Cycle</w:t>
            </w:r>
          </w:p>
        </w:tc>
      </w:tr>
      <w:tr w:rsidR="00205E8D" w:rsidRPr="00FF0B3F" w14:paraId="751869E4" w14:textId="77777777" w:rsidTr="00205E8D">
        <w:trPr>
          <w:trHeight w:val="294"/>
          <w:tblHeader/>
        </w:trPr>
        <w:tc>
          <w:tcPr>
            <w:tcW w:w="5000" w:type="pct"/>
            <w:gridSpan w:val="9"/>
            <w:tcBorders>
              <w:top w:val="single" w:sz="12" w:space="0" w:color="auto"/>
              <w:left w:val="single" w:sz="8" w:space="0" w:color="auto"/>
              <w:bottom w:val="nil"/>
              <w:right w:val="single" w:sz="12" w:space="0" w:color="000000"/>
            </w:tcBorders>
            <w:shd w:val="clear" w:color="auto" w:fill="auto"/>
            <w:noWrap/>
            <w:vAlign w:val="center"/>
          </w:tcPr>
          <w:p w14:paraId="45269B16" w14:textId="77777777" w:rsidR="00205E8D" w:rsidRPr="00FF0B3F" w:rsidRDefault="00205E8D" w:rsidP="00FF0B3F">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Form U Submitters</w:t>
            </w:r>
          </w:p>
        </w:tc>
      </w:tr>
      <w:tr w:rsidR="00FF0B3F" w:rsidRPr="00FF0B3F" w14:paraId="6E4061DA" w14:textId="77777777" w:rsidTr="00F83B52">
        <w:trPr>
          <w:trHeight w:val="294"/>
          <w:tblHeader/>
        </w:trPr>
        <w:tc>
          <w:tcPr>
            <w:tcW w:w="751" w:type="pct"/>
            <w:gridSpan w:val="2"/>
            <w:tcBorders>
              <w:top w:val="single" w:sz="12" w:space="0" w:color="auto"/>
              <w:left w:val="single" w:sz="8" w:space="0" w:color="auto"/>
              <w:bottom w:val="nil"/>
              <w:right w:val="nil"/>
            </w:tcBorders>
            <w:shd w:val="clear" w:color="auto" w:fill="auto"/>
            <w:noWrap/>
            <w:vAlign w:val="center"/>
            <w:hideMark/>
          </w:tcPr>
          <w:p w14:paraId="44A333EF" w14:textId="77777777" w:rsidR="00FF0B3F" w:rsidRPr="00FF0B3F" w:rsidRDefault="00FF0B3F" w:rsidP="00FF0B3F">
            <w:pPr>
              <w:ind w:firstLineChars="1000" w:firstLine="2008"/>
              <w:rPr>
                <w:rFonts w:ascii="Arial Narrow" w:eastAsia="Times New Roman" w:hAnsi="Arial Narrow" w:cs="Calibri"/>
                <w:b/>
                <w:bCs/>
                <w:color w:val="000000"/>
                <w:sz w:val="20"/>
                <w:szCs w:val="20"/>
              </w:rPr>
            </w:pPr>
          </w:p>
        </w:tc>
        <w:tc>
          <w:tcPr>
            <w:tcW w:w="1242" w:type="pct"/>
            <w:gridSpan w:val="2"/>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440C2513" w14:textId="77777777" w:rsidR="00FF0B3F" w:rsidRPr="00FF0B3F" w:rsidRDefault="00FF0B3F"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Experienced Reporters</w:t>
            </w:r>
          </w:p>
        </w:tc>
        <w:tc>
          <w:tcPr>
            <w:tcW w:w="1202" w:type="pct"/>
            <w:gridSpan w:val="2"/>
            <w:tcBorders>
              <w:top w:val="single" w:sz="12" w:space="0" w:color="auto"/>
              <w:left w:val="nil"/>
              <w:bottom w:val="single" w:sz="12" w:space="0" w:color="auto"/>
              <w:right w:val="single" w:sz="12" w:space="0" w:color="000000"/>
            </w:tcBorders>
            <w:shd w:val="clear" w:color="auto" w:fill="auto"/>
            <w:noWrap/>
            <w:vAlign w:val="bottom"/>
            <w:hideMark/>
          </w:tcPr>
          <w:p w14:paraId="20F72E29" w14:textId="77777777" w:rsidR="00FF0B3F" w:rsidRPr="00FF0B3F" w:rsidRDefault="00FF0B3F"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New Reporters</w:t>
            </w:r>
            <w:r w:rsidR="00D25972" w:rsidRPr="00D25972">
              <w:rPr>
                <w:rFonts w:ascii="Arial Narrow" w:eastAsia="Times New Roman" w:hAnsi="Arial Narrow" w:cs="Calibri"/>
                <w:b/>
                <w:bCs/>
                <w:color w:val="000000"/>
                <w:sz w:val="20"/>
                <w:szCs w:val="20"/>
                <w:vertAlign w:val="superscript"/>
              </w:rPr>
              <w:t>1</w:t>
            </w:r>
          </w:p>
        </w:tc>
        <w:tc>
          <w:tcPr>
            <w:tcW w:w="1805" w:type="pct"/>
            <w:gridSpan w:val="3"/>
            <w:tcBorders>
              <w:top w:val="single" w:sz="12" w:space="0" w:color="auto"/>
              <w:left w:val="nil"/>
              <w:bottom w:val="single" w:sz="12" w:space="0" w:color="auto"/>
              <w:right w:val="single" w:sz="12" w:space="0" w:color="000000"/>
            </w:tcBorders>
            <w:shd w:val="clear" w:color="auto" w:fill="auto"/>
            <w:vAlign w:val="bottom"/>
            <w:hideMark/>
          </w:tcPr>
          <w:p w14:paraId="45B28FB8" w14:textId="77777777" w:rsidR="00FF0B3F" w:rsidRPr="00FF0B3F" w:rsidRDefault="00FF0B3F"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Total Burden (Hours) and Cost</w:t>
            </w:r>
          </w:p>
        </w:tc>
      </w:tr>
      <w:tr w:rsidR="004225FD" w:rsidRPr="00FF0B3F" w14:paraId="6E17CBD5" w14:textId="77777777" w:rsidTr="00F83B52">
        <w:trPr>
          <w:trHeight w:val="996"/>
          <w:tblHeader/>
        </w:trPr>
        <w:tc>
          <w:tcPr>
            <w:tcW w:w="751" w:type="pct"/>
            <w:gridSpan w:val="2"/>
            <w:tcBorders>
              <w:top w:val="single" w:sz="12" w:space="0" w:color="auto"/>
              <w:left w:val="single" w:sz="8" w:space="0" w:color="auto"/>
              <w:bottom w:val="nil"/>
              <w:right w:val="single" w:sz="8" w:space="0" w:color="auto"/>
            </w:tcBorders>
            <w:shd w:val="clear" w:color="000000" w:fill="BFBFBF"/>
            <w:noWrap/>
            <w:vAlign w:val="bottom"/>
            <w:hideMark/>
          </w:tcPr>
          <w:p w14:paraId="36F6EA7F" w14:textId="77777777" w:rsidR="00FF0B3F" w:rsidRPr="00FF0B3F" w:rsidRDefault="00205E8D" w:rsidP="00205E8D">
            <w:pP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IC: Prepare and Submit Report, and Maintain Reports</w:t>
            </w:r>
          </w:p>
        </w:tc>
        <w:tc>
          <w:tcPr>
            <w:tcW w:w="577" w:type="pct"/>
            <w:tcBorders>
              <w:top w:val="nil"/>
              <w:left w:val="nil"/>
              <w:bottom w:val="nil"/>
              <w:right w:val="single" w:sz="8" w:space="0" w:color="auto"/>
            </w:tcBorders>
            <w:shd w:val="clear" w:color="000000" w:fill="BFBFBF"/>
            <w:vAlign w:val="bottom"/>
            <w:hideMark/>
          </w:tcPr>
          <w:p w14:paraId="398EDF2E" w14:textId="77777777" w:rsidR="00FF0B3F" w:rsidRPr="00FF0B3F" w:rsidRDefault="00FF0B3F"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Unit Burden per Average Submission (Hours)</w:t>
            </w:r>
          </w:p>
        </w:tc>
        <w:tc>
          <w:tcPr>
            <w:tcW w:w="665" w:type="pct"/>
            <w:tcBorders>
              <w:top w:val="nil"/>
              <w:left w:val="nil"/>
              <w:bottom w:val="nil"/>
              <w:right w:val="single" w:sz="8" w:space="0" w:color="auto"/>
            </w:tcBorders>
            <w:shd w:val="clear" w:color="000000" w:fill="BFBFBF"/>
            <w:vAlign w:val="bottom"/>
            <w:hideMark/>
          </w:tcPr>
          <w:p w14:paraId="3914C7C5" w14:textId="77777777" w:rsidR="00FF0B3F" w:rsidRPr="00FF0B3F" w:rsidRDefault="00FF0B3F"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Respondents (Number of Sites)</w:t>
            </w:r>
          </w:p>
        </w:tc>
        <w:tc>
          <w:tcPr>
            <w:tcW w:w="575" w:type="pct"/>
            <w:tcBorders>
              <w:top w:val="nil"/>
              <w:left w:val="nil"/>
              <w:bottom w:val="nil"/>
              <w:right w:val="single" w:sz="8" w:space="0" w:color="auto"/>
            </w:tcBorders>
            <w:shd w:val="clear" w:color="000000" w:fill="BFBFBF"/>
            <w:vAlign w:val="bottom"/>
            <w:hideMark/>
          </w:tcPr>
          <w:p w14:paraId="6D40A528" w14:textId="77777777" w:rsidR="00FF0B3F" w:rsidRPr="00FF0B3F" w:rsidRDefault="00FF0B3F"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Unit Burden per Average Submission (Hours)</w:t>
            </w:r>
          </w:p>
        </w:tc>
        <w:tc>
          <w:tcPr>
            <w:tcW w:w="627" w:type="pct"/>
            <w:tcBorders>
              <w:top w:val="nil"/>
              <w:left w:val="nil"/>
              <w:bottom w:val="nil"/>
              <w:right w:val="single" w:sz="8" w:space="0" w:color="auto"/>
            </w:tcBorders>
            <w:shd w:val="clear" w:color="000000" w:fill="BFBFBF"/>
            <w:vAlign w:val="bottom"/>
            <w:hideMark/>
          </w:tcPr>
          <w:p w14:paraId="640CF281" w14:textId="77777777" w:rsidR="00FF0B3F" w:rsidRPr="00FF0B3F" w:rsidRDefault="00FF0B3F"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Respondents (Number of Sites)</w:t>
            </w:r>
          </w:p>
        </w:tc>
        <w:tc>
          <w:tcPr>
            <w:tcW w:w="611" w:type="pct"/>
            <w:tcBorders>
              <w:top w:val="nil"/>
              <w:left w:val="nil"/>
              <w:bottom w:val="nil"/>
              <w:right w:val="single" w:sz="8" w:space="0" w:color="auto"/>
            </w:tcBorders>
            <w:shd w:val="clear" w:color="000000" w:fill="BFBFBF"/>
            <w:vAlign w:val="bottom"/>
            <w:hideMark/>
          </w:tcPr>
          <w:p w14:paraId="5FC02C2F" w14:textId="77777777" w:rsidR="00FF0B3F" w:rsidRPr="00FF0B3F" w:rsidRDefault="00FF0B3F"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Total Burden (Hours)</w:t>
            </w:r>
          </w:p>
        </w:tc>
        <w:tc>
          <w:tcPr>
            <w:tcW w:w="487" w:type="pct"/>
            <w:tcBorders>
              <w:top w:val="single" w:sz="12" w:space="0" w:color="auto"/>
              <w:left w:val="nil"/>
              <w:bottom w:val="single" w:sz="4" w:space="0" w:color="auto"/>
              <w:right w:val="single" w:sz="8" w:space="0" w:color="auto"/>
            </w:tcBorders>
            <w:shd w:val="clear" w:color="000000" w:fill="BFBFBF"/>
            <w:vAlign w:val="bottom"/>
            <w:hideMark/>
          </w:tcPr>
          <w:p w14:paraId="6A6BE16F" w14:textId="77777777" w:rsidR="00FF0B3F" w:rsidRPr="00FF0B3F" w:rsidRDefault="00FF0B3F"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Average Wage Rate</w:t>
            </w:r>
          </w:p>
        </w:tc>
        <w:tc>
          <w:tcPr>
            <w:tcW w:w="707" w:type="pct"/>
            <w:tcBorders>
              <w:top w:val="single" w:sz="12" w:space="0" w:color="auto"/>
              <w:left w:val="nil"/>
              <w:bottom w:val="nil"/>
              <w:right w:val="single" w:sz="12" w:space="0" w:color="auto"/>
            </w:tcBorders>
            <w:shd w:val="clear" w:color="000000" w:fill="BFBFBF"/>
            <w:vAlign w:val="bottom"/>
            <w:hideMark/>
          </w:tcPr>
          <w:p w14:paraId="47B461C6" w14:textId="77777777" w:rsidR="00FF0B3F" w:rsidRPr="00FF0B3F" w:rsidRDefault="00FF0B3F"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Total Costs (2016$)</w:t>
            </w:r>
          </w:p>
        </w:tc>
      </w:tr>
      <w:tr w:rsidR="00EE2849" w:rsidRPr="00FF0B3F" w14:paraId="1887B951" w14:textId="77777777" w:rsidTr="00EE2849">
        <w:trPr>
          <w:trHeight w:val="290"/>
        </w:trPr>
        <w:tc>
          <w:tcPr>
            <w:tcW w:w="751" w:type="pct"/>
            <w:gridSpan w:val="2"/>
            <w:tcBorders>
              <w:top w:val="single" w:sz="4" w:space="0" w:color="auto"/>
              <w:left w:val="single" w:sz="8" w:space="0" w:color="auto"/>
              <w:bottom w:val="single" w:sz="4" w:space="0" w:color="auto"/>
              <w:right w:val="single" w:sz="8" w:space="0" w:color="auto"/>
            </w:tcBorders>
            <w:shd w:val="clear" w:color="auto" w:fill="auto"/>
            <w:vAlign w:val="bottom"/>
            <w:hideMark/>
          </w:tcPr>
          <w:p w14:paraId="21F3A198" w14:textId="77777777" w:rsidR="00EE2849" w:rsidRPr="00FF0B3F" w:rsidRDefault="00EE2849" w:rsidP="00EE2849">
            <w:pPr>
              <w:rPr>
                <w:rFonts w:ascii="Arial Narrow" w:eastAsia="Times New Roman" w:hAnsi="Arial Narrow" w:cs="Calibri"/>
                <w:color w:val="000000"/>
                <w:sz w:val="20"/>
                <w:szCs w:val="20"/>
              </w:rPr>
            </w:pPr>
            <w:r w:rsidRPr="00FF0B3F">
              <w:rPr>
                <w:rFonts w:ascii="Arial Narrow" w:eastAsia="Times New Roman" w:hAnsi="Arial Narrow" w:cs="Calibri"/>
                <w:color w:val="000000"/>
                <w:sz w:val="20"/>
                <w:szCs w:val="20"/>
              </w:rPr>
              <w:t>Rule Familiarization</w:t>
            </w:r>
          </w:p>
        </w:tc>
        <w:tc>
          <w:tcPr>
            <w:tcW w:w="577" w:type="pct"/>
            <w:tcBorders>
              <w:top w:val="single" w:sz="4" w:space="0" w:color="auto"/>
              <w:left w:val="nil"/>
              <w:bottom w:val="single" w:sz="4" w:space="0" w:color="auto"/>
              <w:right w:val="single" w:sz="8" w:space="0" w:color="auto"/>
            </w:tcBorders>
            <w:shd w:val="clear" w:color="auto" w:fill="auto"/>
            <w:vAlign w:val="bottom"/>
            <w:hideMark/>
          </w:tcPr>
          <w:p w14:paraId="1A8AF766"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0.00</w:t>
            </w:r>
          </w:p>
        </w:tc>
        <w:tc>
          <w:tcPr>
            <w:tcW w:w="665" w:type="pct"/>
            <w:tcBorders>
              <w:top w:val="single" w:sz="4" w:space="0" w:color="auto"/>
              <w:left w:val="nil"/>
              <w:bottom w:val="single" w:sz="4" w:space="0" w:color="auto"/>
              <w:right w:val="single" w:sz="8" w:space="0" w:color="auto"/>
            </w:tcBorders>
            <w:shd w:val="clear" w:color="auto" w:fill="auto"/>
            <w:vAlign w:val="bottom"/>
            <w:hideMark/>
          </w:tcPr>
          <w:p w14:paraId="6041B9DA"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 xml:space="preserve">                      4,813 </w:t>
            </w:r>
          </w:p>
        </w:tc>
        <w:tc>
          <w:tcPr>
            <w:tcW w:w="575" w:type="pct"/>
            <w:tcBorders>
              <w:top w:val="single" w:sz="4" w:space="0" w:color="auto"/>
              <w:left w:val="nil"/>
              <w:bottom w:val="single" w:sz="4" w:space="0" w:color="auto"/>
              <w:right w:val="single" w:sz="8" w:space="0" w:color="auto"/>
            </w:tcBorders>
            <w:shd w:val="clear" w:color="auto" w:fill="auto"/>
            <w:vAlign w:val="bottom"/>
            <w:hideMark/>
          </w:tcPr>
          <w:p w14:paraId="5483CA11"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24.00</w:t>
            </w:r>
          </w:p>
        </w:tc>
        <w:tc>
          <w:tcPr>
            <w:tcW w:w="627" w:type="pct"/>
            <w:tcBorders>
              <w:top w:val="single" w:sz="4" w:space="0" w:color="auto"/>
              <w:left w:val="nil"/>
              <w:bottom w:val="single" w:sz="4" w:space="0" w:color="auto"/>
              <w:right w:val="single" w:sz="8" w:space="0" w:color="auto"/>
            </w:tcBorders>
            <w:shd w:val="clear" w:color="auto" w:fill="auto"/>
            <w:vAlign w:val="bottom"/>
            <w:hideMark/>
          </w:tcPr>
          <w:p w14:paraId="5EEBE144"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 xml:space="preserve">                  849 </w:t>
            </w:r>
          </w:p>
        </w:tc>
        <w:tc>
          <w:tcPr>
            <w:tcW w:w="611" w:type="pct"/>
            <w:tcBorders>
              <w:top w:val="single" w:sz="4" w:space="0" w:color="auto"/>
              <w:left w:val="nil"/>
              <w:bottom w:val="single" w:sz="4" w:space="0" w:color="auto"/>
              <w:right w:val="single" w:sz="8" w:space="0" w:color="auto"/>
            </w:tcBorders>
            <w:shd w:val="clear" w:color="auto" w:fill="auto"/>
            <w:vAlign w:val="bottom"/>
            <w:hideMark/>
          </w:tcPr>
          <w:p w14:paraId="1A2DC78B"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 xml:space="preserve">                 20,376 </w:t>
            </w:r>
          </w:p>
        </w:tc>
        <w:tc>
          <w:tcPr>
            <w:tcW w:w="487" w:type="pct"/>
            <w:tcBorders>
              <w:top w:val="nil"/>
              <w:left w:val="nil"/>
              <w:bottom w:val="single" w:sz="4" w:space="0" w:color="auto"/>
              <w:right w:val="single" w:sz="8" w:space="0" w:color="auto"/>
            </w:tcBorders>
            <w:shd w:val="clear" w:color="000000" w:fill="FFFFFF"/>
            <w:vAlign w:val="bottom"/>
            <w:hideMark/>
          </w:tcPr>
          <w:p w14:paraId="694CF12A"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$79.82</w:t>
            </w:r>
          </w:p>
        </w:tc>
        <w:tc>
          <w:tcPr>
            <w:tcW w:w="707" w:type="pct"/>
            <w:tcBorders>
              <w:top w:val="single" w:sz="4" w:space="0" w:color="auto"/>
              <w:left w:val="nil"/>
              <w:bottom w:val="single" w:sz="4" w:space="0" w:color="auto"/>
              <w:right w:val="single" w:sz="12" w:space="0" w:color="auto"/>
            </w:tcBorders>
            <w:shd w:val="clear" w:color="auto" w:fill="auto"/>
            <w:vAlign w:val="bottom"/>
            <w:hideMark/>
          </w:tcPr>
          <w:p w14:paraId="47CCD803"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$1,626,412</w:t>
            </w:r>
          </w:p>
        </w:tc>
      </w:tr>
      <w:tr w:rsidR="00EE2849" w:rsidRPr="00FF0B3F" w14:paraId="35FBFF33" w14:textId="77777777" w:rsidTr="00EE2849">
        <w:trPr>
          <w:trHeight w:val="290"/>
        </w:trPr>
        <w:tc>
          <w:tcPr>
            <w:tcW w:w="751" w:type="pct"/>
            <w:gridSpan w:val="2"/>
            <w:tcBorders>
              <w:top w:val="nil"/>
              <w:left w:val="single" w:sz="8" w:space="0" w:color="auto"/>
              <w:bottom w:val="single" w:sz="4" w:space="0" w:color="auto"/>
              <w:right w:val="single" w:sz="8" w:space="0" w:color="auto"/>
            </w:tcBorders>
            <w:shd w:val="clear" w:color="auto" w:fill="auto"/>
            <w:vAlign w:val="bottom"/>
            <w:hideMark/>
          </w:tcPr>
          <w:p w14:paraId="29DD242E" w14:textId="77777777" w:rsidR="00EE2849" w:rsidRPr="00FF0B3F" w:rsidRDefault="00EE2849" w:rsidP="00EE2849">
            <w:pPr>
              <w:rPr>
                <w:rFonts w:ascii="Arial Narrow" w:eastAsia="Times New Roman" w:hAnsi="Arial Narrow" w:cs="Calibri"/>
                <w:color w:val="000000"/>
                <w:sz w:val="20"/>
                <w:szCs w:val="20"/>
              </w:rPr>
            </w:pPr>
            <w:r w:rsidRPr="00FF0B3F">
              <w:rPr>
                <w:rFonts w:ascii="Arial Narrow" w:eastAsia="Times New Roman" w:hAnsi="Arial Narrow" w:cs="Calibri"/>
                <w:color w:val="000000"/>
                <w:sz w:val="20"/>
                <w:szCs w:val="20"/>
              </w:rPr>
              <w:t>Compliance Determination</w:t>
            </w:r>
          </w:p>
        </w:tc>
        <w:tc>
          <w:tcPr>
            <w:tcW w:w="577" w:type="pct"/>
            <w:tcBorders>
              <w:top w:val="nil"/>
              <w:left w:val="nil"/>
              <w:bottom w:val="single" w:sz="4" w:space="0" w:color="auto"/>
              <w:right w:val="single" w:sz="8" w:space="0" w:color="auto"/>
            </w:tcBorders>
            <w:shd w:val="clear" w:color="auto" w:fill="auto"/>
            <w:vAlign w:val="bottom"/>
            <w:hideMark/>
          </w:tcPr>
          <w:p w14:paraId="23C1C4B1"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6.50</w:t>
            </w:r>
          </w:p>
        </w:tc>
        <w:tc>
          <w:tcPr>
            <w:tcW w:w="665" w:type="pct"/>
            <w:tcBorders>
              <w:top w:val="nil"/>
              <w:left w:val="nil"/>
              <w:bottom w:val="single" w:sz="4" w:space="0" w:color="auto"/>
              <w:right w:val="single" w:sz="8" w:space="0" w:color="auto"/>
            </w:tcBorders>
            <w:shd w:val="clear" w:color="auto" w:fill="auto"/>
            <w:vAlign w:val="bottom"/>
            <w:hideMark/>
          </w:tcPr>
          <w:p w14:paraId="5BA374D2"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 xml:space="preserve">                      4,813 </w:t>
            </w:r>
          </w:p>
        </w:tc>
        <w:tc>
          <w:tcPr>
            <w:tcW w:w="575" w:type="pct"/>
            <w:tcBorders>
              <w:top w:val="nil"/>
              <w:left w:val="nil"/>
              <w:bottom w:val="single" w:sz="4" w:space="0" w:color="auto"/>
              <w:right w:val="single" w:sz="8" w:space="0" w:color="auto"/>
            </w:tcBorders>
            <w:shd w:val="clear" w:color="auto" w:fill="auto"/>
            <w:vAlign w:val="bottom"/>
            <w:hideMark/>
          </w:tcPr>
          <w:p w14:paraId="28C570CF"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6.50</w:t>
            </w:r>
          </w:p>
        </w:tc>
        <w:tc>
          <w:tcPr>
            <w:tcW w:w="627" w:type="pct"/>
            <w:tcBorders>
              <w:top w:val="nil"/>
              <w:left w:val="nil"/>
              <w:bottom w:val="single" w:sz="4" w:space="0" w:color="auto"/>
              <w:right w:val="single" w:sz="8" w:space="0" w:color="auto"/>
            </w:tcBorders>
            <w:shd w:val="clear" w:color="auto" w:fill="auto"/>
            <w:vAlign w:val="bottom"/>
            <w:hideMark/>
          </w:tcPr>
          <w:p w14:paraId="39858AD8"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 xml:space="preserve">                  849 </w:t>
            </w:r>
          </w:p>
        </w:tc>
        <w:tc>
          <w:tcPr>
            <w:tcW w:w="611" w:type="pct"/>
            <w:tcBorders>
              <w:top w:val="nil"/>
              <w:left w:val="nil"/>
              <w:bottom w:val="single" w:sz="4" w:space="0" w:color="auto"/>
              <w:right w:val="single" w:sz="8" w:space="0" w:color="auto"/>
            </w:tcBorders>
            <w:shd w:val="clear" w:color="auto" w:fill="auto"/>
            <w:vAlign w:val="bottom"/>
            <w:hideMark/>
          </w:tcPr>
          <w:p w14:paraId="532C4B8C"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 xml:space="preserve">                 36,803 </w:t>
            </w:r>
          </w:p>
        </w:tc>
        <w:tc>
          <w:tcPr>
            <w:tcW w:w="487" w:type="pct"/>
            <w:tcBorders>
              <w:top w:val="nil"/>
              <w:left w:val="nil"/>
              <w:bottom w:val="single" w:sz="4" w:space="0" w:color="auto"/>
              <w:right w:val="single" w:sz="8" w:space="0" w:color="auto"/>
            </w:tcBorders>
            <w:shd w:val="clear" w:color="auto" w:fill="auto"/>
            <w:vAlign w:val="bottom"/>
            <w:hideMark/>
          </w:tcPr>
          <w:p w14:paraId="655B13D9"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$79.90</w:t>
            </w:r>
          </w:p>
        </w:tc>
        <w:tc>
          <w:tcPr>
            <w:tcW w:w="707" w:type="pct"/>
            <w:tcBorders>
              <w:top w:val="nil"/>
              <w:left w:val="nil"/>
              <w:bottom w:val="single" w:sz="4" w:space="0" w:color="auto"/>
              <w:right w:val="single" w:sz="12" w:space="0" w:color="auto"/>
            </w:tcBorders>
            <w:shd w:val="clear" w:color="auto" w:fill="auto"/>
            <w:vAlign w:val="bottom"/>
            <w:hideMark/>
          </w:tcPr>
          <w:p w14:paraId="72154B70"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$2,940,560</w:t>
            </w:r>
          </w:p>
        </w:tc>
      </w:tr>
      <w:tr w:rsidR="00EE2849" w:rsidRPr="00FF0B3F" w14:paraId="10BA1DEF" w14:textId="77777777" w:rsidTr="00EE2849">
        <w:trPr>
          <w:trHeight w:val="290"/>
        </w:trPr>
        <w:tc>
          <w:tcPr>
            <w:tcW w:w="751" w:type="pct"/>
            <w:gridSpan w:val="2"/>
            <w:tcBorders>
              <w:top w:val="nil"/>
              <w:left w:val="single" w:sz="8" w:space="0" w:color="auto"/>
              <w:bottom w:val="single" w:sz="4" w:space="0" w:color="auto"/>
              <w:right w:val="single" w:sz="8" w:space="0" w:color="auto"/>
            </w:tcBorders>
            <w:shd w:val="clear" w:color="auto" w:fill="auto"/>
            <w:vAlign w:val="bottom"/>
            <w:hideMark/>
          </w:tcPr>
          <w:p w14:paraId="1F7A1694" w14:textId="77777777" w:rsidR="00EE2849" w:rsidRPr="00FF0B3F" w:rsidRDefault="00EE2849" w:rsidP="00EE2849">
            <w:pPr>
              <w:rPr>
                <w:rFonts w:ascii="Arial Narrow" w:eastAsia="Times New Roman" w:hAnsi="Arial Narrow" w:cs="Calibri"/>
                <w:color w:val="000000"/>
                <w:sz w:val="20"/>
                <w:szCs w:val="20"/>
              </w:rPr>
            </w:pPr>
            <w:r w:rsidRPr="00FF0B3F">
              <w:rPr>
                <w:rFonts w:ascii="Arial Narrow" w:eastAsia="Times New Roman" w:hAnsi="Arial Narrow" w:cs="Calibri"/>
                <w:color w:val="000000"/>
                <w:sz w:val="20"/>
                <w:szCs w:val="20"/>
              </w:rPr>
              <w:t>Recordkeeping</w:t>
            </w:r>
          </w:p>
        </w:tc>
        <w:tc>
          <w:tcPr>
            <w:tcW w:w="577" w:type="pct"/>
            <w:tcBorders>
              <w:top w:val="nil"/>
              <w:left w:val="nil"/>
              <w:bottom w:val="single" w:sz="4" w:space="0" w:color="auto"/>
              <w:right w:val="single" w:sz="8" w:space="0" w:color="auto"/>
            </w:tcBorders>
            <w:shd w:val="clear" w:color="auto" w:fill="auto"/>
            <w:vAlign w:val="bottom"/>
            <w:hideMark/>
          </w:tcPr>
          <w:p w14:paraId="29C0F772"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3.00</w:t>
            </w:r>
          </w:p>
        </w:tc>
        <w:tc>
          <w:tcPr>
            <w:tcW w:w="665" w:type="pct"/>
            <w:tcBorders>
              <w:top w:val="nil"/>
              <w:left w:val="nil"/>
              <w:bottom w:val="single" w:sz="4" w:space="0" w:color="auto"/>
              <w:right w:val="single" w:sz="8" w:space="0" w:color="auto"/>
            </w:tcBorders>
            <w:shd w:val="clear" w:color="auto" w:fill="auto"/>
            <w:vAlign w:val="bottom"/>
            <w:hideMark/>
          </w:tcPr>
          <w:p w14:paraId="6AE1956C"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 xml:space="preserve">                      4,813 </w:t>
            </w:r>
          </w:p>
        </w:tc>
        <w:tc>
          <w:tcPr>
            <w:tcW w:w="575" w:type="pct"/>
            <w:tcBorders>
              <w:top w:val="nil"/>
              <w:left w:val="nil"/>
              <w:bottom w:val="single" w:sz="4" w:space="0" w:color="auto"/>
              <w:right w:val="single" w:sz="8" w:space="0" w:color="auto"/>
            </w:tcBorders>
            <w:shd w:val="clear" w:color="auto" w:fill="auto"/>
            <w:vAlign w:val="bottom"/>
            <w:hideMark/>
          </w:tcPr>
          <w:p w14:paraId="6B2E353C"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3.00</w:t>
            </w:r>
          </w:p>
        </w:tc>
        <w:tc>
          <w:tcPr>
            <w:tcW w:w="627" w:type="pct"/>
            <w:tcBorders>
              <w:top w:val="nil"/>
              <w:left w:val="nil"/>
              <w:bottom w:val="single" w:sz="4" w:space="0" w:color="auto"/>
              <w:right w:val="single" w:sz="8" w:space="0" w:color="auto"/>
            </w:tcBorders>
            <w:shd w:val="clear" w:color="auto" w:fill="auto"/>
            <w:vAlign w:val="bottom"/>
            <w:hideMark/>
          </w:tcPr>
          <w:p w14:paraId="66BD394D"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 xml:space="preserve">                  849 </w:t>
            </w:r>
          </w:p>
        </w:tc>
        <w:tc>
          <w:tcPr>
            <w:tcW w:w="611" w:type="pct"/>
            <w:tcBorders>
              <w:top w:val="nil"/>
              <w:left w:val="nil"/>
              <w:bottom w:val="single" w:sz="4" w:space="0" w:color="auto"/>
              <w:right w:val="single" w:sz="8" w:space="0" w:color="auto"/>
            </w:tcBorders>
            <w:shd w:val="clear" w:color="auto" w:fill="auto"/>
            <w:vAlign w:val="bottom"/>
            <w:hideMark/>
          </w:tcPr>
          <w:p w14:paraId="044C3E94"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 xml:space="preserve">                 16,986 </w:t>
            </w:r>
          </w:p>
        </w:tc>
        <w:tc>
          <w:tcPr>
            <w:tcW w:w="487" w:type="pct"/>
            <w:tcBorders>
              <w:top w:val="nil"/>
              <w:left w:val="nil"/>
              <w:bottom w:val="single" w:sz="4" w:space="0" w:color="auto"/>
              <w:right w:val="single" w:sz="8" w:space="0" w:color="auto"/>
            </w:tcBorders>
            <w:shd w:val="clear" w:color="auto" w:fill="auto"/>
            <w:vAlign w:val="bottom"/>
            <w:hideMark/>
          </w:tcPr>
          <w:p w14:paraId="7C09740D"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$68.58</w:t>
            </w:r>
          </w:p>
        </w:tc>
        <w:tc>
          <w:tcPr>
            <w:tcW w:w="707" w:type="pct"/>
            <w:tcBorders>
              <w:top w:val="nil"/>
              <w:left w:val="nil"/>
              <w:bottom w:val="single" w:sz="4" w:space="0" w:color="auto"/>
              <w:right w:val="single" w:sz="12" w:space="0" w:color="auto"/>
            </w:tcBorders>
            <w:shd w:val="clear" w:color="auto" w:fill="auto"/>
            <w:vAlign w:val="bottom"/>
            <w:hideMark/>
          </w:tcPr>
          <w:p w14:paraId="11B61115" w14:textId="77777777" w:rsidR="00EE2849" w:rsidRPr="00FF0B3F" w:rsidRDefault="00EE2849" w:rsidP="00EE2849">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$1,164,900</w:t>
            </w:r>
          </w:p>
        </w:tc>
      </w:tr>
      <w:tr w:rsidR="001C0C7E" w:rsidRPr="00FF0B3F" w14:paraId="3204570B" w14:textId="77777777" w:rsidTr="00EE2849">
        <w:trPr>
          <w:trHeight w:val="300"/>
        </w:trPr>
        <w:tc>
          <w:tcPr>
            <w:tcW w:w="751" w:type="pct"/>
            <w:gridSpan w:val="2"/>
            <w:tcBorders>
              <w:top w:val="single" w:sz="4" w:space="0" w:color="auto"/>
              <w:left w:val="single" w:sz="8" w:space="0" w:color="auto"/>
              <w:bottom w:val="nil"/>
              <w:right w:val="single" w:sz="8" w:space="0" w:color="auto"/>
            </w:tcBorders>
            <w:shd w:val="clear" w:color="auto" w:fill="auto"/>
            <w:vAlign w:val="bottom"/>
            <w:hideMark/>
          </w:tcPr>
          <w:p w14:paraId="4F1B225B" w14:textId="77777777" w:rsidR="001C0C7E" w:rsidRPr="00FF0B3F" w:rsidRDefault="001C0C7E" w:rsidP="001C0C7E">
            <w:pPr>
              <w:rPr>
                <w:rFonts w:ascii="Arial Narrow" w:eastAsia="Times New Roman" w:hAnsi="Arial Narrow" w:cs="Calibri"/>
                <w:color w:val="000000"/>
                <w:sz w:val="20"/>
                <w:szCs w:val="20"/>
              </w:rPr>
            </w:pPr>
            <w:r w:rsidRPr="004B1CD9">
              <w:rPr>
                <w:rFonts w:ascii="Arial Narrow" w:eastAsia="Times New Roman" w:hAnsi="Arial Narrow" w:cs="Calibri"/>
                <w:color w:val="000000"/>
                <w:sz w:val="20"/>
                <w:szCs w:val="20"/>
              </w:rPr>
              <w:t>Average Multi-Chemical Form Completion (7.5 chemicals)</w:t>
            </w:r>
          </w:p>
        </w:tc>
        <w:tc>
          <w:tcPr>
            <w:tcW w:w="577" w:type="pct"/>
            <w:tcBorders>
              <w:top w:val="single" w:sz="4" w:space="0" w:color="auto"/>
              <w:left w:val="nil"/>
              <w:bottom w:val="nil"/>
              <w:right w:val="single" w:sz="8" w:space="0" w:color="auto"/>
            </w:tcBorders>
            <w:shd w:val="clear" w:color="auto" w:fill="auto"/>
            <w:vAlign w:val="bottom"/>
            <w:hideMark/>
          </w:tcPr>
          <w:p w14:paraId="5F01D04D" w14:textId="77777777" w:rsidR="001C0C7E" w:rsidRPr="00FF0B3F" w:rsidRDefault="001C0C7E" w:rsidP="001C0C7E">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474.13</w:t>
            </w:r>
          </w:p>
        </w:tc>
        <w:tc>
          <w:tcPr>
            <w:tcW w:w="665" w:type="pct"/>
            <w:tcBorders>
              <w:top w:val="single" w:sz="4" w:space="0" w:color="auto"/>
              <w:left w:val="nil"/>
              <w:bottom w:val="nil"/>
              <w:right w:val="single" w:sz="8" w:space="0" w:color="auto"/>
            </w:tcBorders>
            <w:shd w:val="clear" w:color="auto" w:fill="auto"/>
            <w:vAlign w:val="bottom"/>
            <w:hideMark/>
          </w:tcPr>
          <w:p w14:paraId="63A1129B" w14:textId="77777777" w:rsidR="001C0C7E" w:rsidRPr="00FF0B3F" w:rsidRDefault="001C0C7E" w:rsidP="001C0C7E">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 xml:space="preserve">4,813 </w:t>
            </w:r>
          </w:p>
        </w:tc>
        <w:tc>
          <w:tcPr>
            <w:tcW w:w="575" w:type="pct"/>
            <w:tcBorders>
              <w:top w:val="single" w:sz="4" w:space="0" w:color="auto"/>
              <w:left w:val="nil"/>
              <w:bottom w:val="nil"/>
              <w:right w:val="single" w:sz="8" w:space="0" w:color="auto"/>
            </w:tcBorders>
            <w:shd w:val="clear" w:color="auto" w:fill="auto"/>
            <w:vAlign w:val="bottom"/>
            <w:hideMark/>
          </w:tcPr>
          <w:p w14:paraId="3553AF15" w14:textId="77777777" w:rsidR="001C0C7E" w:rsidRPr="00FF0B3F" w:rsidRDefault="001C0C7E" w:rsidP="001C0C7E">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597.40</w:t>
            </w:r>
          </w:p>
        </w:tc>
        <w:tc>
          <w:tcPr>
            <w:tcW w:w="627" w:type="pct"/>
            <w:tcBorders>
              <w:top w:val="single" w:sz="4" w:space="0" w:color="auto"/>
              <w:left w:val="nil"/>
              <w:bottom w:val="nil"/>
              <w:right w:val="single" w:sz="8" w:space="0" w:color="auto"/>
            </w:tcBorders>
            <w:shd w:val="clear" w:color="auto" w:fill="auto"/>
            <w:vAlign w:val="bottom"/>
            <w:hideMark/>
          </w:tcPr>
          <w:p w14:paraId="66708C3F" w14:textId="77777777" w:rsidR="001C0C7E" w:rsidRPr="00FF0B3F" w:rsidRDefault="001C0C7E" w:rsidP="001C0C7E">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 xml:space="preserve">849 </w:t>
            </w:r>
          </w:p>
        </w:tc>
        <w:tc>
          <w:tcPr>
            <w:tcW w:w="611" w:type="pct"/>
            <w:tcBorders>
              <w:top w:val="single" w:sz="4" w:space="0" w:color="auto"/>
              <w:left w:val="nil"/>
              <w:bottom w:val="nil"/>
              <w:right w:val="single" w:sz="8" w:space="0" w:color="auto"/>
            </w:tcBorders>
            <w:shd w:val="clear" w:color="auto" w:fill="auto"/>
            <w:vAlign w:val="bottom"/>
            <w:hideMark/>
          </w:tcPr>
          <w:p w14:paraId="06C14201" w14:textId="77777777" w:rsidR="001C0C7E" w:rsidRPr="00FF0B3F" w:rsidRDefault="001C0C7E" w:rsidP="001C0C7E">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 xml:space="preserve">2,789,180 </w:t>
            </w:r>
          </w:p>
        </w:tc>
        <w:tc>
          <w:tcPr>
            <w:tcW w:w="487" w:type="pct"/>
            <w:tcBorders>
              <w:top w:val="single" w:sz="4" w:space="0" w:color="auto"/>
              <w:left w:val="nil"/>
              <w:bottom w:val="nil"/>
              <w:right w:val="single" w:sz="8" w:space="0" w:color="auto"/>
            </w:tcBorders>
            <w:shd w:val="clear" w:color="auto" w:fill="auto"/>
            <w:vAlign w:val="bottom"/>
            <w:hideMark/>
          </w:tcPr>
          <w:p w14:paraId="3F0DD02B" w14:textId="77777777" w:rsidR="001C0C7E" w:rsidRPr="00FF0B3F" w:rsidRDefault="001C0C7E" w:rsidP="001C0C7E">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$79.61</w:t>
            </w:r>
          </w:p>
        </w:tc>
        <w:tc>
          <w:tcPr>
            <w:tcW w:w="707" w:type="pct"/>
            <w:tcBorders>
              <w:top w:val="nil"/>
              <w:left w:val="nil"/>
              <w:bottom w:val="nil"/>
              <w:right w:val="single" w:sz="12" w:space="0" w:color="auto"/>
            </w:tcBorders>
            <w:shd w:val="clear" w:color="auto" w:fill="auto"/>
            <w:vAlign w:val="bottom"/>
            <w:hideMark/>
          </w:tcPr>
          <w:p w14:paraId="0FF7D71E" w14:textId="77777777" w:rsidR="001C0C7E" w:rsidRPr="00FF0B3F" w:rsidRDefault="001C0C7E" w:rsidP="001C0C7E">
            <w:pPr>
              <w:ind w:right="101"/>
              <w:jc w:val="right"/>
              <w:rPr>
                <w:rFonts w:ascii="Arial Narrow" w:eastAsia="Times New Roman" w:hAnsi="Arial Narrow" w:cs="Calibri"/>
                <w:color w:val="000000"/>
                <w:sz w:val="20"/>
                <w:szCs w:val="20"/>
              </w:rPr>
            </w:pPr>
            <w:r>
              <w:rPr>
                <w:rFonts w:ascii="Arial Narrow" w:hAnsi="Arial Narrow" w:cs="Calibri"/>
                <w:color w:val="000000"/>
                <w:sz w:val="20"/>
                <w:szCs w:val="20"/>
              </w:rPr>
              <w:t>$222,046,</w:t>
            </w:r>
            <w:r w:rsidR="00307E21">
              <w:rPr>
                <w:rFonts w:ascii="Arial Narrow" w:hAnsi="Arial Narrow" w:cs="Calibri"/>
                <w:color w:val="000000"/>
                <w:sz w:val="20"/>
                <w:szCs w:val="20"/>
              </w:rPr>
              <w:t>620</w:t>
            </w:r>
          </w:p>
        </w:tc>
      </w:tr>
      <w:tr w:rsidR="001C0C7E" w:rsidRPr="00FF0B3F" w14:paraId="339AE918" w14:textId="77777777" w:rsidTr="001646F6">
        <w:trPr>
          <w:trHeight w:val="310"/>
        </w:trPr>
        <w:tc>
          <w:tcPr>
            <w:tcW w:w="751" w:type="pct"/>
            <w:gridSpan w:val="2"/>
            <w:tcBorders>
              <w:top w:val="single" w:sz="12" w:space="0" w:color="auto"/>
              <w:left w:val="single" w:sz="8" w:space="0" w:color="auto"/>
              <w:bottom w:val="single" w:sz="12" w:space="0" w:color="auto"/>
              <w:right w:val="single" w:sz="8" w:space="0" w:color="auto"/>
            </w:tcBorders>
            <w:shd w:val="clear" w:color="auto" w:fill="auto"/>
            <w:vAlign w:val="bottom"/>
            <w:hideMark/>
          </w:tcPr>
          <w:p w14:paraId="6B8BFCDD" w14:textId="77777777" w:rsidR="001C0C7E" w:rsidRPr="00CB3800" w:rsidRDefault="001C0C7E" w:rsidP="001C0C7E">
            <w:pPr>
              <w:rPr>
                <w:rFonts w:ascii="Arial Narrow" w:eastAsia="Times New Roman" w:hAnsi="Arial Narrow" w:cs="Calibri"/>
                <w:b/>
                <w:color w:val="000000"/>
                <w:sz w:val="20"/>
                <w:szCs w:val="20"/>
              </w:rPr>
            </w:pPr>
            <w:r w:rsidRPr="00CB3800">
              <w:rPr>
                <w:rFonts w:ascii="Arial Narrow" w:eastAsia="Times New Roman" w:hAnsi="Arial Narrow" w:cs="Calibri"/>
                <w:b/>
                <w:color w:val="000000"/>
                <w:sz w:val="20"/>
                <w:szCs w:val="20"/>
              </w:rPr>
              <w:t xml:space="preserve">Total </w:t>
            </w:r>
          </w:p>
        </w:tc>
        <w:tc>
          <w:tcPr>
            <w:tcW w:w="577" w:type="pct"/>
            <w:tcBorders>
              <w:top w:val="single" w:sz="12" w:space="0" w:color="auto"/>
              <w:left w:val="nil"/>
              <w:bottom w:val="single" w:sz="12" w:space="0" w:color="auto"/>
              <w:right w:val="single" w:sz="8" w:space="0" w:color="auto"/>
            </w:tcBorders>
            <w:shd w:val="clear" w:color="auto" w:fill="auto"/>
            <w:noWrap/>
            <w:vAlign w:val="bottom"/>
            <w:hideMark/>
          </w:tcPr>
          <w:p w14:paraId="74708924" w14:textId="77777777" w:rsidR="001C0C7E" w:rsidRPr="001C0C7E" w:rsidRDefault="001C0C7E">
            <w:pPr>
              <w:ind w:right="101"/>
              <w:jc w:val="right"/>
              <w:rPr>
                <w:rFonts w:ascii="Arial Narrow" w:eastAsia="Times New Roman" w:hAnsi="Arial Narrow" w:cs="Calibri"/>
                <w:b/>
                <w:color w:val="000000"/>
                <w:sz w:val="20"/>
                <w:szCs w:val="20"/>
              </w:rPr>
            </w:pPr>
            <w:r w:rsidRPr="001646F6">
              <w:rPr>
                <w:rFonts w:ascii="Arial Narrow" w:hAnsi="Arial Narrow" w:cs="Calibri"/>
                <w:b/>
                <w:color w:val="000000"/>
                <w:sz w:val="20"/>
                <w:szCs w:val="20"/>
              </w:rPr>
              <w:t>483.63</w:t>
            </w:r>
          </w:p>
        </w:tc>
        <w:tc>
          <w:tcPr>
            <w:tcW w:w="665" w:type="pct"/>
            <w:tcBorders>
              <w:top w:val="single" w:sz="12" w:space="0" w:color="auto"/>
              <w:left w:val="nil"/>
              <w:bottom w:val="single" w:sz="12" w:space="0" w:color="auto"/>
              <w:right w:val="single" w:sz="8" w:space="0" w:color="auto"/>
            </w:tcBorders>
            <w:shd w:val="clear" w:color="auto" w:fill="auto"/>
            <w:noWrap/>
            <w:vAlign w:val="bottom"/>
            <w:hideMark/>
          </w:tcPr>
          <w:p w14:paraId="1C4A28C9" w14:textId="77777777" w:rsidR="001C0C7E" w:rsidRPr="001C0C7E" w:rsidRDefault="001C0C7E">
            <w:pPr>
              <w:ind w:right="101"/>
              <w:jc w:val="right"/>
              <w:rPr>
                <w:rFonts w:ascii="Arial Narrow" w:eastAsia="Times New Roman" w:hAnsi="Arial Narrow" w:cs="Calibri"/>
                <w:b/>
                <w:color w:val="000000"/>
                <w:sz w:val="20"/>
                <w:szCs w:val="20"/>
              </w:rPr>
            </w:pPr>
            <w:r w:rsidRPr="001646F6">
              <w:rPr>
                <w:rFonts w:ascii="Arial Narrow" w:hAnsi="Arial Narrow" w:cs="Calibri"/>
                <w:b/>
                <w:color w:val="000000"/>
                <w:sz w:val="20"/>
                <w:szCs w:val="20"/>
              </w:rPr>
              <w:t>4,813</w:t>
            </w:r>
          </w:p>
        </w:tc>
        <w:tc>
          <w:tcPr>
            <w:tcW w:w="575" w:type="pct"/>
            <w:tcBorders>
              <w:top w:val="single" w:sz="12" w:space="0" w:color="auto"/>
              <w:left w:val="nil"/>
              <w:bottom w:val="single" w:sz="12" w:space="0" w:color="auto"/>
              <w:right w:val="single" w:sz="8" w:space="0" w:color="auto"/>
            </w:tcBorders>
            <w:shd w:val="clear" w:color="auto" w:fill="auto"/>
            <w:noWrap/>
            <w:vAlign w:val="bottom"/>
            <w:hideMark/>
          </w:tcPr>
          <w:p w14:paraId="640B607D" w14:textId="77777777" w:rsidR="001C0C7E" w:rsidRPr="001C0C7E" w:rsidRDefault="001C0C7E">
            <w:pPr>
              <w:ind w:right="101"/>
              <w:jc w:val="right"/>
              <w:rPr>
                <w:rFonts w:ascii="Arial Narrow" w:eastAsia="Times New Roman" w:hAnsi="Arial Narrow" w:cs="Calibri"/>
                <w:b/>
                <w:color w:val="000000"/>
                <w:sz w:val="20"/>
                <w:szCs w:val="20"/>
              </w:rPr>
            </w:pPr>
            <w:r w:rsidRPr="001646F6">
              <w:rPr>
                <w:rFonts w:ascii="Arial Narrow" w:hAnsi="Arial Narrow" w:cs="Calibri"/>
                <w:b/>
                <w:color w:val="000000"/>
                <w:sz w:val="20"/>
                <w:szCs w:val="20"/>
              </w:rPr>
              <w:t>630.90</w:t>
            </w:r>
          </w:p>
        </w:tc>
        <w:tc>
          <w:tcPr>
            <w:tcW w:w="627" w:type="pct"/>
            <w:tcBorders>
              <w:top w:val="single" w:sz="12" w:space="0" w:color="auto"/>
              <w:left w:val="nil"/>
              <w:bottom w:val="single" w:sz="12" w:space="0" w:color="auto"/>
              <w:right w:val="single" w:sz="8" w:space="0" w:color="auto"/>
            </w:tcBorders>
            <w:shd w:val="clear" w:color="auto" w:fill="auto"/>
            <w:noWrap/>
            <w:vAlign w:val="bottom"/>
            <w:hideMark/>
          </w:tcPr>
          <w:p w14:paraId="23818177" w14:textId="77777777" w:rsidR="001C0C7E" w:rsidRPr="001C0C7E" w:rsidRDefault="001C0C7E">
            <w:pPr>
              <w:ind w:right="101"/>
              <w:jc w:val="right"/>
              <w:rPr>
                <w:rFonts w:ascii="Arial Narrow" w:eastAsia="Times New Roman" w:hAnsi="Arial Narrow" w:cs="Calibri"/>
                <w:b/>
                <w:color w:val="000000"/>
                <w:sz w:val="20"/>
                <w:szCs w:val="20"/>
              </w:rPr>
            </w:pPr>
            <w:r w:rsidRPr="001646F6">
              <w:rPr>
                <w:rFonts w:ascii="Arial Narrow" w:hAnsi="Arial Narrow" w:cs="Calibri"/>
                <w:b/>
                <w:color w:val="000000"/>
                <w:sz w:val="20"/>
                <w:szCs w:val="20"/>
              </w:rPr>
              <w:t>849</w:t>
            </w:r>
          </w:p>
        </w:tc>
        <w:tc>
          <w:tcPr>
            <w:tcW w:w="611" w:type="pct"/>
            <w:tcBorders>
              <w:top w:val="single" w:sz="12" w:space="0" w:color="auto"/>
              <w:left w:val="nil"/>
              <w:bottom w:val="single" w:sz="12" w:space="0" w:color="auto"/>
              <w:right w:val="single" w:sz="8" w:space="0" w:color="auto"/>
            </w:tcBorders>
            <w:shd w:val="clear" w:color="auto" w:fill="auto"/>
            <w:vAlign w:val="bottom"/>
            <w:hideMark/>
          </w:tcPr>
          <w:p w14:paraId="3A5074D8" w14:textId="77777777" w:rsidR="001C0C7E" w:rsidRPr="001C0C7E" w:rsidRDefault="001C0C7E">
            <w:pPr>
              <w:ind w:right="101"/>
              <w:jc w:val="right"/>
              <w:rPr>
                <w:rFonts w:ascii="Arial Narrow" w:eastAsia="Times New Roman" w:hAnsi="Arial Narrow" w:cs="Calibri"/>
                <w:b/>
                <w:color w:val="000000"/>
                <w:sz w:val="20"/>
                <w:szCs w:val="20"/>
              </w:rPr>
            </w:pPr>
            <w:r w:rsidRPr="001646F6">
              <w:rPr>
                <w:rFonts w:ascii="Arial Narrow" w:hAnsi="Arial Narrow" w:cs="Calibri"/>
                <w:b/>
                <w:color w:val="000000"/>
                <w:sz w:val="20"/>
                <w:szCs w:val="20"/>
              </w:rPr>
              <w:t xml:space="preserve">2,863,345 </w:t>
            </w:r>
          </w:p>
        </w:tc>
        <w:tc>
          <w:tcPr>
            <w:tcW w:w="487" w:type="pct"/>
            <w:tcBorders>
              <w:top w:val="single" w:sz="12" w:space="0" w:color="auto"/>
              <w:left w:val="nil"/>
              <w:bottom w:val="single" w:sz="12" w:space="0" w:color="auto"/>
              <w:right w:val="single" w:sz="8" w:space="0" w:color="auto"/>
            </w:tcBorders>
            <w:shd w:val="clear" w:color="auto" w:fill="auto"/>
            <w:vAlign w:val="bottom"/>
            <w:hideMark/>
          </w:tcPr>
          <w:p w14:paraId="3B9F484D" w14:textId="77777777" w:rsidR="001C0C7E" w:rsidRPr="001C0C7E" w:rsidRDefault="001C0C7E">
            <w:pPr>
              <w:ind w:right="101"/>
              <w:jc w:val="right"/>
              <w:rPr>
                <w:rFonts w:ascii="Arial Narrow" w:eastAsia="Times New Roman" w:hAnsi="Arial Narrow" w:cs="Calibri"/>
                <w:b/>
                <w:color w:val="000000"/>
                <w:sz w:val="20"/>
                <w:szCs w:val="20"/>
              </w:rPr>
            </w:pPr>
          </w:p>
        </w:tc>
        <w:tc>
          <w:tcPr>
            <w:tcW w:w="707" w:type="pct"/>
            <w:tcBorders>
              <w:top w:val="single" w:sz="12" w:space="0" w:color="auto"/>
              <w:left w:val="nil"/>
              <w:bottom w:val="single" w:sz="12" w:space="0" w:color="auto"/>
              <w:right w:val="single" w:sz="12" w:space="0" w:color="auto"/>
            </w:tcBorders>
            <w:shd w:val="clear" w:color="auto" w:fill="auto"/>
            <w:vAlign w:val="bottom"/>
            <w:hideMark/>
          </w:tcPr>
          <w:p w14:paraId="68A596E6" w14:textId="77777777" w:rsidR="001C0C7E" w:rsidRPr="001C0C7E" w:rsidRDefault="001C0C7E">
            <w:pPr>
              <w:ind w:right="101"/>
              <w:jc w:val="right"/>
              <w:rPr>
                <w:rFonts w:ascii="Arial Narrow" w:eastAsia="Times New Roman" w:hAnsi="Arial Narrow" w:cs="Calibri"/>
                <w:b/>
                <w:color w:val="000000"/>
                <w:sz w:val="20"/>
                <w:szCs w:val="20"/>
              </w:rPr>
            </w:pPr>
            <w:r w:rsidRPr="001646F6">
              <w:rPr>
                <w:rFonts w:ascii="Arial Narrow" w:hAnsi="Arial Narrow" w:cs="Calibri"/>
                <w:b/>
                <w:color w:val="000000"/>
                <w:sz w:val="20"/>
                <w:szCs w:val="20"/>
              </w:rPr>
              <w:t>$227,778,</w:t>
            </w:r>
            <w:r w:rsidR="00307E21">
              <w:rPr>
                <w:rFonts w:ascii="Arial Narrow" w:hAnsi="Arial Narrow" w:cs="Calibri"/>
                <w:b/>
                <w:color w:val="000000"/>
                <w:sz w:val="20"/>
                <w:szCs w:val="20"/>
              </w:rPr>
              <w:t>492</w:t>
            </w:r>
          </w:p>
        </w:tc>
      </w:tr>
      <w:tr w:rsidR="00FF0B3F" w:rsidRPr="00FF0B3F" w14:paraId="1B31D4AD" w14:textId="77777777" w:rsidTr="00DE0792">
        <w:trPr>
          <w:trHeight w:val="310"/>
        </w:trPr>
        <w:tc>
          <w:tcPr>
            <w:tcW w:w="5000" w:type="pct"/>
            <w:gridSpan w:val="9"/>
            <w:tcBorders>
              <w:top w:val="single" w:sz="12" w:space="0" w:color="auto"/>
              <w:left w:val="single" w:sz="8" w:space="0" w:color="auto"/>
              <w:bottom w:val="single" w:sz="8" w:space="0" w:color="auto"/>
              <w:right w:val="single" w:sz="12" w:space="0" w:color="000000"/>
            </w:tcBorders>
            <w:shd w:val="clear" w:color="auto" w:fill="auto"/>
            <w:noWrap/>
            <w:vAlign w:val="center"/>
            <w:hideMark/>
          </w:tcPr>
          <w:p w14:paraId="58ED1B01" w14:textId="77777777" w:rsidR="00FF0B3F" w:rsidRPr="00FF0B3F" w:rsidRDefault="00340417" w:rsidP="00FF0B3F">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CDX</w:t>
            </w:r>
            <w:r w:rsidR="00FF0B3F" w:rsidRPr="00FF0B3F">
              <w:rPr>
                <w:rFonts w:ascii="Arial Narrow" w:eastAsia="Times New Roman" w:hAnsi="Arial Narrow" w:cs="Calibri"/>
                <w:b/>
                <w:bCs/>
                <w:color w:val="000000"/>
                <w:sz w:val="20"/>
                <w:szCs w:val="20"/>
              </w:rPr>
              <w:t xml:space="preserve"> Registrants</w:t>
            </w:r>
          </w:p>
        </w:tc>
      </w:tr>
      <w:tr w:rsidR="004225FD" w:rsidRPr="00FF0B3F" w14:paraId="496F880F" w14:textId="77777777" w:rsidTr="00F83B52">
        <w:trPr>
          <w:trHeight w:val="736"/>
        </w:trPr>
        <w:tc>
          <w:tcPr>
            <w:tcW w:w="751" w:type="pct"/>
            <w:gridSpan w:val="2"/>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61B8A61F" w14:textId="77777777" w:rsidR="00FF0B3F" w:rsidRPr="00FF0B3F" w:rsidRDefault="00205E8D" w:rsidP="00FF0B3F">
            <w:pP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 xml:space="preserve">IC: CDX Registration </w:t>
            </w:r>
            <w:r w:rsidR="00FF0B3F" w:rsidRPr="00FF0B3F">
              <w:rPr>
                <w:rFonts w:ascii="Arial Narrow" w:eastAsia="Times New Roman" w:hAnsi="Arial Narrow" w:cs="Calibri"/>
                <w:b/>
                <w:bCs/>
                <w:color w:val="000000"/>
                <w:sz w:val="20"/>
                <w:szCs w:val="20"/>
              </w:rPr>
              <w:t>Activit</w:t>
            </w:r>
            <w:r>
              <w:rPr>
                <w:rFonts w:ascii="Arial Narrow" w:eastAsia="Times New Roman" w:hAnsi="Arial Narrow" w:cs="Calibri"/>
                <w:b/>
                <w:bCs/>
                <w:color w:val="000000"/>
                <w:sz w:val="20"/>
                <w:szCs w:val="20"/>
              </w:rPr>
              <w:t>ies</w:t>
            </w:r>
          </w:p>
        </w:tc>
        <w:tc>
          <w:tcPr>
            <w:tcW w:w="1242" w:type="pct"/>
            <w:gridSpan w:val="2"/>
            <w:tcBorders>
              <w:top w:val="single" w:sz="8" w:space="0" w:color="auto"/>
              <w:left w:val="nil"/>
              <w:bottom w:val="single" w:sz="8" w:space="0" w:color="auto"/>
              <w:right w:val="single" w:sz="4" w:space="0" w:color="auto"/>
            </w:tcBorders>
            <w:shd w:val="clear" w:color="000000" w:fill="BFBFBF"/>
            <w:vAlign w:val="bottom"/>
            <w:hideMark/>
          </w:tcPr>
          <w:p w14:paraId="03C9D2B9" w14:textId="77777777" w:rsidR="00FF0B3F" w:rsidRPr="00FF0B3F" w:rsidRDefault="00340417"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Number of Registrants</w:t>
            </w:r>
            <w:r w:rsidR="00D25972">
              <w:rPr>
                <w:rFonts w:ascii="Arial Narrow" w:eastAsia="Times New Roman" w:hAnsi="Arial Narrow" w:cs="Calibri"/>
                <w:b/>
                <w:bCs/>
                <w:color w:val="000000"/>
                <w:sz w:val="20"/>
                <w:szCs w:val="20"/>
                <w:vertAlign w:val="superscript"/>
              </w:rPr>
              <w:t>2</w:t>
            </w:r>
          </w:p>
        </w:tc>
        <w:tc>
          <w:tcPr>
            <w:tcW w:w="1202" w:type="pct"/>
            <w:gridSpan w:val="2"/>
            <w:tcBorders>
              <w:top w:val="single" w:sz="8" w:space="0" w:color="auto"/>
              <w:left w:val="nil"/>
              <w:bottom w:val="single" w:sz="8" w:space="0" w:color="auto"/>
              <w:right w:val="single" w:sz="4" w:space="0" w:color="auto"/>
            </w:tcBorders>
            <w:shd w:val="clear" w:color="000000" w:fill="BFBFBF"/>
            <w:noWrap/>
            <w:vAlign w:val="bottom"/>
            <w:hideMark/>
          </w:tcPr>
          <w:p w14:paraId="70A5C66A" w14:textId="77777777" w:rsidR="00FF0B3F" w:rsidRPr="00FF0B3F" w:rsidRDefault="00340417" w:rsidP="00FF0B3F">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Hours per Registration</w:t>
            </w:r>
          </w:p>
        </w:tc>
        <w:tc>
          <w:tcPr>
            <w:tcW w:w="611" w:type="pct"/>
            <w:tcBorders>
              <w:top w:val="single" w:sz="8" w:space="0" w:color="auto"/>
              <w:left w:val="nil"/>
              <w:bottom w:val="single" w:sz="8" w:space="0" w:color="auto"/>
              <w:right w:val="single" w:sz="8" w:space="0" w:color="auto"/>
            </w:tcBorders>
            <w:shd w:val="clear" w:color="000000" w:fill="BFBFBF"/>
            <w:vAlign w:val="bottom"/>
            <w:hideMark/>
          </w:tcPr>
          <w:p w14:paraId="22B9CE17" w14:textId="77777777" w:rsidR="00FF0B3F" w:rsidRPr="00FF0B3F" w:rsidRDefault="00FF0B3F"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Total Burden (Hours)</w:t>
            </w:r>
          </w:p>
        </w:tc>
        <w:tc>
          <w:tcPr>
            <w:tcW w:w="487" w:type="pct"/>
            <w:tcBorders>
              <w:top w:val="single" w:sz="8" w:space="0" w:color="auto"/>
              <w:left w:val="nil"/>
              <w:bottom w:val="single" w:sz="8" w:space="0" w:color="auto"/>
              <w:right w:val="single" w:sz="8" w:space="0" w:color="auto"/>
            </w:tcBorders>
            <w:shd w:val="clear" w:color="000000" w:fill="BFBFBF"/>
            <w:vAlign w:val="bottom"/>
            <w:hideMark/>
          </w:tcPr>
          <w:p w14:paraId="4D240C51" w14:textId="77777777" w:rsidR="00FF0B3F" w:rsidRPr="00FF0B3F" w:rsidRDefault="00FF0B3F"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Average Wage Rate</w:t>
            </w:r>
          </w:p>
        </w:tc>
        <w:tc>
          <w:tcPr>
            <w:tcW w:w="707" w:type="pct"/>
            <w:tcBorders>
              <w:top w:val="single" w:sz="8" w:space="0" w:color="auto"/>
              <w:left w:val="nil"/>
              <w:bottom w:val="single" w:sz="8" w:space="0" w:color="auto"/>
              <w:right w:val="single" w:sz="12" w:space="0" w:color="auto"/>
            </w:tcBorders>
            <w:shd w:val="clear" w:color="000000" w:fill="BFBFBF"/>
            <w:vAlign w:val="bottom"/>
            <w:hideMark/>
          </w:tcPr>
          <w:p w14:paraId="7AF94F99" w14:textId="77777777" w:rsidR="00FF0B3F" w:rsidRPr="00FF0B3F" w:rsidRDefault="00FF0B3F"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Total Costs (2016$)</w:t>
            </w:r>
          </w:p>
        </w:tc>
      </w:tr>
      <w:tr w:rsidR="004225FD" w:rsidRPr="00FF0B3F" w14:paraId="21163C6D" w14:textId="77777777" w:rsidTr="00F83B52">
        <w:trPr>
          <w:trHeight w:val="300"/>
        </w:trPr>
        <w:tc>
          <w:tcPr>
            <w:tcW w:w="751" w:type="pct"/>
            <w:gridSpan w:val="2"/>
            <w:tcBorders>
              <w:top w:val="single" w:sz="8" w:space="0" w:color="auto"/>
              <w:left w:val="single" w:sz="8" w:space="0" w:color="auto"/>
              <w:bottom w:val="single" w:sz="8" w:space="0" w:color="auto"/>
              <w:right w:val="single" w:sz="4" w:space="0" w:color="auto"/>
            </w:tcBorders>
            <w:shd w:val="clear" w:color="auto" w:fill="auto"/>
            <w:vAlign w:val="bottom"/>
            <w:hideMark/>
          </w:tcPr>
          <w:p w14:paraId="56C37B71" w14:textId="77777777" w:rsidR="00FF0B3F" w:rsidRPr="00FF0B3F" w:rsidRDefault="00FF0B3F" w:rsidP="00FF0B3F">
            <w:pPr>
              <w:rPr>
                <w:rFonts w:ascii="Arial Narrow" w:eastAsia="Times New Roman" w:hAnsi="Arial Narrow" w:cs="Calibri"/>
                <w:color w:val="000000"/>
                <w:sz w:val="20"/>
                <w:szCs w:val="20"/>
              </w:rPr>
            </w:pPr>
            <w:r w:rsidRPr="00FF0B3F">
              <w:rPr>
                <w:rFonts w:ascii="Arial Narrow" w:eastAsia="Times New Roman" w:hAnsi="Arial Narrow" w:cs="Calibri"/>
                <w:color w:val="000000"/>
                <w:sz w:val="20"/>
                <w:szCs w:val="20"/>
              </w:rPr>
              <w:t>CDX Registration</w:t>
            </w:r>
            <w:r w:rsidR="00340417">
              <w:rPr>
                <w:rFonts w:ascii="Arial Narrow" w:eastAsia="Times New Roman" w:hAnsi="Arial Narrow" w:cs="Calibri"/>
                <w:color w:val="000000"/>
                <w:sz w:val="20"/>
                <w:szCs w:val="20"/>
              </w:rPr>
              <w:t xml:space="preserve"> and e-Signature</w:t>
            </w:r>
          </w:p>
        </w:tc>
        <w:tc>
          <w:tcPr>
            <w:tcW w:w="1242" w:type="pct"/>
            <w:gridSpan w:val="2"/>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24638FA5" w14:textId="77777777" w:rsidR="00FF0B3F" w:rsidRPr="00FF0B3F" w:rsidRDefault="005F56D6" w:rsidP="00FF0B3F">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1,416</w:t>
            </w:r>
          </w:p>
        </w:tc>
        <w:tc>
          <w:tcPr>
            <w:tcW w:w="1202" w:type="pct"/>
            <w:gridSpan w:val="2"/>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1A8A6E82" w14:textId="77777777" w:rsidR="00FF0B3F" w:rsidRPr="00FF0B3F" w:rsidRDefault="00340417" w:rsidP="00FF0B3F">
            <w:pPr>
              <w:jc w:val="center"/>
              <w:rPr>
                <w:rFonts w:ascii="Arial Narrow" w:eastAsia="Times New Roman" w:hAnsi="Arial Narrow" w:cs="Calibri"/>
                <w:color w:val="000000"/>
                <w:sz w:val="20"/>
                <w:szCs w:val="20"/>
              </w:rPr>
            </w:pPr>
            <w:r w:rsidRPr="00FF0B3F">
              <w:rPr>
                <w:rFonts w:ascii="Arial Narrow" w:eastAsia="Times New Roman" w:hAnsi="Arial Narrow" w:cs="Calibri"/>
                <w:color w:val="000000"/>
                <w:sz w:val="20"/>
                <w:szCs w:val="20"/>
              </w:rPr>
              <w:t>0.53</w:t>
            </w:r>
          </w:p>
        </w:tc>
        <w:tc>
          <w:tcPr>
            <w:tcW w:w="611" w:type="pct"/>
            <w:tcBorders>
              <w:top w:val="single" w:sz="8" w:space="0" w:color="auto"/>
              <w:left w:val="nil"/>
              <w:bottom w:val="single" w:sz="8" w:space="0" w:color="auto"/>
              <w:right w:val="single" w:sz="4" w:space="0" w:color="auto"/>
            </w:tcBorders>
            <w:shd w:val="clear" w:color="auto" w:fill="auto"/>
            <w:noWrap/>
            <w:vAlign w:val="bottom"/>
            <w:hideMark/>
          </w:tcPr>
          <w:p w14:paraId="4BBE223B" w14:textId="77777777" w:rsidR="00FF0B3F" w:rsidRPr="00FF0B3F" w:rsidRDefault="00AF7828" w:rsidP="00977FC1">
            <w:pPr>
              <w:ind w:right="101"/>
              <w:jc w:val="right"/>
              <w:rPr>
                <w:rFonts w:ascii="Arial Narrow" w:eastAsia="Times New Roman" w:hAnsi="Arial Narrow" w:cs="Calibri"/>
                <w:color w:val="000000"/>
                <w:sz w:val="20"/>
                <w:szCs w:val="20"/>
              </w:rPr>
            </w:pPr>
            <w:r>
              <w:rPr>
                <w:rFonts w:ascii="Arial Narrow" w:eastAsia="Times New Roman" w:hAnsi="Arial Narrow" w:cs="Calibri"/>
                <w:color w:val="000000"/>
                <w:sz w:val="20"/>
                <w:szCs w:val="20"/>
              </w:rPr>
              <w:t>750</w:t>
            </w:r>
          </w:p>
        </w:tc>
        <w:tc>
          <w:tcPr>
            <w:tcW w:w="487" w:type="pct"/>
            <w:tcBorders>
              <w:top w:val="single" w:sz="8" w:space="0" w:color="auto"/>
              <w:left w:val="nil"/>
              <w:bottom w:val="single" w:sz="8" w:space="0" w:color="auto"/>
              <w:right w:val="single" w:sz="4" w:space="0" w:color="auto"/>
            </w:tcBorders>
            <w:shd w:val="clear" w:color="auto" w:fill="auto"/>
            <w:noWrap/>
            <w:vAlign w:val="bottom"/>
            <w:hideMark/>
          </w:tcPr>
          <w:p w14:paraId="58340354" w14:textId="77777777" w:rsidR="00FF0B3F" w:rsidRPr="00FF0B3F" w:rsidRDefault="00FF0B3F" w:rsidP="00977FC1">
            <w:pPr>
              <w:ind w:right="101"/>
              <w:jc w:val="right"/>
              <w:rPr>
                <w:rFonts w:ascii="Arial Narrow" w:eastAsia="Times New Roman" w:hAnsi="Arial Narrow" w:cs="Calibri"/>
                <w:color w:val="000000"/>
                <w:sz w:val="20"/>
                <w:szCs w:val="20"/>
              </w:rPr>
            </w:pPr>
            <w:r w:rsidRPr="00FF0B3F">
              <w:rPr>
                <w:rFonts w:ascii="Arial Narrow" w:eastAsia="Times New Roman" w:hAnsi="Arial Narrow" w:cs="Calibri"/>
                <w:color w:val="000000"/>
                <w:sz w:val="20"/>
                <w:szCs w:val="20"/>
              </w:rPr>
              <w:t xml:space="preserve">$78.40 </w:t>
            </w:r>
          </w:p>
        </w:tc>
        <w:tc>
          <w:tcPr>
            <w:tcW w:w="707" w:type="pct"/>
            <w:tcBorders>
              <w:top w:val="single" w:sz="8" w:space="0" w:color="auto"/>
              <w:left w:val="nil"/>
              <w:bottom w:val="single" w:sz="8" w:space="0" w:color="auto"/>
              <w:right w:val="single" w:sz="8" w:space="0" w:color="auto"/>
            </w:tcBorders>
            <w:shd w:val="clear" w:color="auto" w:fill="auto"/>
            <w:noWrap/>
            <w:vAlign w:val="bottom"/>
            <w:hideMark/>
          </w:tcPr>
          <w:p w14:paraId="5E709BCF" w14:textId="77777777" w:rsidR="00FF0B3F" w:rsidRPr="00FF0B3F" w:rsidRDefault="00FF0B3F" w:rsidP="00977FC1">
            <w:pPr>
              <w:ind w:right="101"/>
              <w:jc w:val="right"/>
              <w:rPr>
                <w:rFonts w:ascii="Arial Narrow" w:eastAsia="Times New Roman" w:hAnsi="Arial Narrow" w:cs="Calibri"/>
                <w:color w:val="000000"/>
                <w:sz w:val="20"/>
                <w:szCs w:val="20"/>
              </w:rPr>
            </w:pPr>
            <w:r w:rsidRPr="00FF0B3F">
              <w:rPr>
                <w:rFonts w:ascii="Arial Narrow" w:eastAsia="Times New Roman" w:hAnsi="Arial Narrow" w:cs="Calibri"/>
                <w:color w:val="000000"/>
                <w:sz w:val="20"/>
                <w:szCs w:val="20"/>
              </w:rPr>
              <w:t>$</w:t>
            </w:r>
            <w:r w:rsidR="00AF7828">
              <w:rPr>
                <w:rFonts w:ascii="Arial Narrow" w:eastAsia="Times New Roman" w:hAnsi="Arial Narrow" w:cs="Calibri"/>
                <w:color w:val="000000"/>
                <w:sz w:val="20"/>
                <w:szCs w:val="20"/>
              </w:rPr>
              <w:t>58</w:t>
            </w:r>
            <w:r w:rsidRPr="00FF0B3F">
              <w:rPr>
                <w:rFonts w:ascii="Arial Narrow" w:eastAsia="Times New Roman" w:hAnsi="Arial Narrow" w:cs="Calibri"/>
                <w:color w:val="000000"/>
                <w:sz w:val="20"/>
                <w:szCs w:val="20"/>
              </w:rPr>
              <w:t>,</w:t>
            </w:r>
            <w:r w:rsidR="00AF7828">
              <w:rPr>
                <w:rFonts w:ascii="Arial Narrow" w:eastAsia="Times New Roman" w:hAnsi="Arial Narrow" w:cs="Calibri"/>
                <w:color w:val="000000"/>
                <w:sz w:val="20"/>
                <w:szCs w:val="20"/>
              </w:rPr>
              <w:t>800</w:t>
            </w:r>
            <w:r w:rsidRPr="00FF0B3F">
              <w:rPr>
                <w:rFonts w:ascii="Arial Narrow" w:eastAsia="Times New Roman" w:hAnsi="Arial Narrow" w:cs="Calibri"/>
                <w:color w:val="000000"/>
                <w:sz w:val="20"/>
                <w:szCs w:val="20"/>
              </w:rPr>
              <w:t xml:space="preserve"> </w:t>
            </w:r>
          </w:p>
        </w:tc>
      </w:tr>
      <w:tr w:rsidR="001C0C7E" w:rsidRPr="00FF0B3F" w14:paraId="587B640F" w14:textId="77777777" w:rsidTr="008234AF">
        <w:trPr>
          <w:trHeight w:val="20"/>
        </w:trPr>
        <w:tc>
          <w:tcPr>
            <w:tcW w:w="3195" w:type="pct"/>
            <w:gridSpan w:val="6"/>
            <w:tcBorders>
              <w:top w:val="single" w:sz="4" w:space="0" w:color="auto"/>
              <w:left w:val="single" w:sz="8" w:space="0" w:color="auto"/>
              <w:bottom w:val="single" w:sz="8" w:space="0" w:color="auto"/>
              <w:right w:val="nil"/>
            </w:tcBorders>
            <w:shd w:val="clear" w:color="auto" w:fill="auto"/>
            <w:vAlign w:val="bottom"/>
            <w:hideMark/>
          </w:tcPr>
          <w:p w14:paraId="6D18EE79" w14:textId="77777777" w:rsidR="001C0C7E" w:rsidRPr="00FF0B3F" w:rsidRDefault="001C0C7E" w:rsidP="001C0C7E">
            <w:pP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Total Industry</w:t>
            </w:r>
            <w:r>
              <w:rPr>
                <w:rFonts w:ascii="Arial Narrow" w:eastAsia="Times New Roman" w:hAnsi="Arial Narrow" w:cs="Calibri"/>
                <w:b/>
                <w:bCs/>
                <w:color w:val="000000"/>
                <w:sz w:val="20"/>
                <w:szCs w:val="20"/>
              </w:rPr>
              <w:t xml:space="preserve"> Burden (four-year reporting cycle)</w:t>
            </w:r>
            <w:r w:rsidDel="004153FD">
              <w:rPr>
                <w:rFonts w:ascii="Arial Narrow" w:eastAsia="Times New Roman" w:hAnsi="Arial Narrow" w:cs="Calibri"/>
                <w:b/>
                <w:bCs/>
                <w:color w:val="000000"/>
                <w:sz w:val="20"/>
                <w:szCs w:val="20"/>
              </w:rPr>
              <w:t xml:space="preserve"> </w:t>
            </w:r>
          </w:p>
        </w:tc>
        <w:tc>
          <w:tcPr>
            <w:tcW w:w="611" w:type="pct"/>
            <w:tcBorders>
              <w:top w:val="nil"/>
              <w:left w:val="single" w:sz="8" w:space="0" w:color="auto"/>
              <w:bottom w:val="single" w:sz="8" w:space="0" w:color="auto"/>
              <w:right w:val="nil"/>
            </w:tcBorders>
            <w:shd w:val="clear" w:color="auto" w:fill="auto"/>
            <w:noWrap/>
            <w:vAlign w:val="bottom"/>
            <w:hideMark/>
          </w:tcPr>
          <w:p w14:paraId="70817FBB" w14:textId="77777777" w:rsidR="001C0C7E" w:rsidRPr="006D5F05" w:rsidRDefault="001C0C7E" w:rsidP="001C0C7E">
            <w:pPr>
              <w:ind w:right="101"/>
              <w:jc w:val="right"/>
              <w:rPr>
                <w:rFonts w:ascii="Arial Narrow" w:hAnsi="Arial Narrow"/>
                <w:b/>
                <w:bCs/>
                <w:color w:val="000000"/>
                <w:sz w:val="20"/>
                <w:szCs w:val="20"/>
              </w:rPr>
            </w:pPr>
            <w:r>
              <w:rPr>
                <w:rFonts w:ascii="Arial Narrow" w:hAnsi="Arial Narrow" w:cs="Calibri"/>
                <w:b/>
                <w:bCs/>
                <w:color w:val="000000"/>
                <w:sz w:val="20"/>
                <w:szCs w:val="20"/>
              </w:rPr>
              <w:t xml:space="preserve">            2,864,095 </w:t>
            </w:r>
          </w:p>
        </w:tc>
        <w:tc>
          <w:tcPr>
            <w:tcW w:w="487" w:type="pct"/>
            <w:tcBorders>
              <w:top w:val="nil"/>
              <w:left w:val="single" w:sz="8" w:space="0" w:color="auto"/>
              <w:bottom w:val="single" w:sz="8" w:space="0" w:color="auto"/>
              <w:right w:val="single" w:sz="8" w:space="0" w:color="auto"/>
            </w:tcBorders>
            <w:shd w:val="clear" w:color="auto" w:fill="auto"/>
            <w:noWrap/>
            <w:vAlign w:val="bottom"/>
            <w:hideMark/>
          </w:tcPr>
          <w:p w14:paraId="330E18CD" w14:textId="77777777" w:rsidR="001C0C7E" w:rsidRPr="00FF0B3F" w:rsidRDefault="001C0C7E" w:rsidP="001C0C7E">
            <w:pPr>
              <w:ind w:right="101"/>
              <w:rPr>
                <w:rFonts w:ascii="Arial Narrow" w:eastAsia="Times New Roman" w:hAnsi="Arial Narrow" w:cs="Calibri"/>
                <w:b/>
                <w:bCs/>
                <w:color w:val="000000"/>
                <w:sz w:val="20"/>
                <w:szCs w:val="20"/>
              </w:rPr>
            </w:pPr>
            <w:r>
              <w:rPr>
                <w:rFonts w:ascii="Arial Narrow" w:hAnsi="Arial Narrow" w:cs="Calibri"/>
                <w:b/>
                <w:bCs/>
                <w:color w:val="000000"/>
                <w:sz w:val="20"/>
                <w:szCs w:val="20"/>
              </w:rPr>
              <w:t> </w:t>
            </w:r>
          </w:p>
        </w:tc>
        <w:tc>
          <w:tcPr>
            <w:tcW w:w="707" w:type="pct"/>
            <w:tcBorders>
              <w:top w:val="nil"/>
              <w:left w:val="nil"/>
              <w:bottom w:val="single" w:sz="8" w:space="0" w:color="auto"/>
              <w:right w:val="single" w:sz="8" w:space="0" w:color="auto"/>
            </w:tcBorders>
            <w:shd w:val="clear" w:color="auto" w:fill="auto"/>
            <w:noWrap/>
            <w:vAlign w:val="bottom"/>
            <w:hideMark/>
          </w:tcPr>
          <w:p w14:paraId="3EDA51A8" w14:textId="77777777" w:rsidR="001C0C7E" w:rsidRPr="00B75BBD" w:rsidRDefault="001C0C7E" w:rsidP="001C0C7E">
            <w:pPr>
              <w:jc w:val="center"/>
              <w:rPr>
                <w:rFonts w:ascii="Arial Narrow" w:hAnsi="Arial Narrow" w:cs="Calibri"/>
                <w:b/>
                <w:bCs/>
                <w:color w:val="000000"/>
                <w:sz w:val="20"/>
                <w:szCs w:val="20"/>
              </w:rPr>
            </w:pPr>
            <w:r>
              <w:rPr>
                <w:rFonts w:ascii="Arial Narrow" w:hAnsi="Arial Narrow" w:cs="Calibri"/>
                <w:b/>
                <w:bCs/>
                <w:color w:val="000000"/>
                <w:sz w:val="20"/>
                <w:szCs w:val="20"/>
              </w:rPr>
              <w:t>$227,837,</w:t>
            </w:r>
            <w:r w:rsidR="00B02766">
              <w:rPr>
                <w:rFonts w:ascii="Arial Narrow" w:hAnsi="Arial Narrow" w:cs="Calibri"/>
                <w:b/>
                <w:bCs/>
                <w:color w:val="000000"/>
                <w:sz w:val="20"/>
                <w:szCs w:val="20"/>
              </w:rPr>
              <w:t>292</w:t>
            </w:r>
            <w:r>
              <w:rPr>
                <w:rFonts w:ascii="Arial Narrow" w:hAnsi="Arial Narrow" w:cs="Calibri"/>
                <w:b/>
                <w:bCs/>
                <w:color w:val="000000"/>
                <w:sz w:val="20"/>
                <w:szCs w:val="20"/>
              </w:rPr>
              <w:t xml:space="preserve"> </w:t>
            </w:r>
          </w:p>
        </w:tc>
      </w:tr>
      <w:tr w:rsidR="00FF0B3F" w:rsidRPr="00FF0B3F" w14:paraId="5DA5E308" w14:textId="77777777" w:rsidTr="00DE0792">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bottom"/>
            <w:hideMark/>
          </w:tcPr>
          <w:p w14:paraId="10BA7EF9" w14:textId="77777777" w:rsidR="00FF0B3F" w:rsidRPr="00FF0B3F" w:rsidRDefault="00FF0B3F"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Universe</w:t>
            </w:r>
          </w:p>
        </w:tc>
      </w:tr>
      <w:tr w:rsidR="00F83B52" w:rsidRPr="00FF0B3F" w14:paraId="72686453" w14:textId="77777777" w:rsidTr="00F83B52">
        <w:trPr>
          <w:trHeight w:val="466"/>
        </w:trPr>
        <w:tc>
          <w:tcPr>
            <w:tcW w:w="664" w:type="pct"/>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40039C2C" w14:textId="77777777" w:rsidR="00F83B52" w:rsidRPr="00FF0B3F" w:rsidRDefault="00F83B52"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Total Number of Respondents</w:t>
            </w:r>
            <w:r w:rsidR="00E251D2" w:rsidRPr="002C1543">
              <w:rPr>
                <w:rFonts w:ascii="Arial Narrow" w:eastAsia="Times New Roman" w:hAnsi="Arial Narrow" w:cs="Calibri"/>
                <w:b/>
                <w:bCs/>
                <w:color w:val="000000"/>
                <w:sz w:val="20"/>
                <w:szCs w:val="20"/>
                <w:vertAlign w:val="superscript"/>
              </w:rPr>
              <w:t>2</w:t>
            </w:r>
          </w:p>
        </w:tc>
        <w:tc>
          <w:tcPr>
            <w:tcW w:w="664" w:type="pct"/>
            <w:gridSpan w:val="2"/>
            <w:tcBorders>
              <w:top w:val="single" w:sz="8" w:space="0" w:color="auto"/>
              <w:left w:val="single" w:sz="8" w:space="0" w:color="auto"/>
              <w:bottom w:val="single" w:sz="8" w:space="0" w:color="auto"/>
              <w:right w:val="single" w:sz="8" w:space="0" w:color="auto"/>
            </w:tcBorders>
            <w:shd w:val="clear" w:color="000000" w:fill="BFBFBF"/>
            <w:vAlign w:val="bottom"/>
          </w:tcPr>
          <w:p w14:paraId="658B1DE5" w14:textId="77777777" w:rsidR="00F83B52" w:rsidRPr="00FF0B3F" w:rsidRDefault="00F83B52" w:rsidP="00E251D2">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Total Number of Responses (Form U plus CDX)</w:t>
            </w:r>
          </w:p>
        </w:tc>
        <w:tc>
          <w:tcPr>
            <w:tcW w:w="665" w:type="pct"/>
            <w:tcBorders>
              <w:top w:val="single" w:sz="8" w:space="0" w:color="auto"/>
              <w:left w:val="single" w:sz="8" w:space="0" w:color="auto"/>
              <w:bottom w:val="single" w:sz="8" w:space="0" w:color="auto"/>
              <w:right w:val="single" w:sz="8" w:space="0" w:color="auto"/>
            </w:tcBorders>
            <w:shd w:val="clear" w:color="000000" w:fill="BFBFBF"/>
            <w:vAlign w:val="bottom"/>
          </w:tcPr>
          <w:p w14:paraId="2506D932" w14:textId="77777777" w:rsidR="00F83B52" w:rsidRPr="00FF0B3F" w:rsidRDefault="00F83B52" w:rsidP="00FF0B3F">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Total Number of Site-Level Form Us</w:t>
            </w:r>
          </w:p>
        </w:tc>
        <w:tc>
          <w:tcPr>
            <w:tcW w:w="1202" w:type="pct"/>
            <w:gridSpan w:val="2"/>
            <w:tcBorders>
              <w:top w:val="single" w:sz="8" w:space="0" w:color="auto"/>
              <w:left w:val="nil"/>
              <w:bottom w:val="single" w:sz="8" w:space="0" w:color="auto"/>
              <w:right w:val="single" w:sz="8" w:space="0" w:color="auto"/>
            </w:tcBorders>
            <w:shd w:val="clear" w:color="000000" w:fill="BFBFBF"/>
            <w:vAlign w:val="bottom"/>
            <w:hideMark/>
          </w:tcPr>
          <w:p w14:paraId="12C7286F" w14:textId="77777777" w:rsidR="00F83B52" w:rsidRPr="00FF0B3F" w:rsidRDefault="00F83B52"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 xml:space="preserve">Total Number of </w:t>
            </w:r>
            <w:r>
              <w:rPr>
                <w:rFonts w:ascii="Arial Narrow" w:eastAsia="Times New Roman" w:hAnsi="Arial Narrow" w:cs="Calibri"/>
                <w:b/>
                <w:bCs/>
                <w:color w:val="000000"/>
                <w:sz w:val="20"/>
                <w:szCs w:val="20"/>
              </w:rPr>
              <w:t>Form U C</w:t>
            </w:r>
            <w:r w:rsidRPr="00FF0B3F">
              <w:rPr>
                <w:rFonts w:ascii="Arial Narrow" w:eastAsia="Times New Roman" w:hAnsi="Arial Narrow" w:cs="Calibri"/>
                <w:b/>
                <w:bCs/>
                <w:color w:val="000000"/>
                <w:sz w:val="20"/>
                <w:szCs w:val="20"/>
              </w:rPr>
              <w:t>hemical Reports</w:t>
            </w:r>
          </w:p>
        </w:tc>
        <w:tc>
          <w:tcPr>
            <w:tcW w:w="1805" w:type="pct"/>
            <w:gridSpan w:val="3"/>
            <w:tcBorders>
              <w:top w:val="single" w:sz="8" w:space="0" w:color="auto"/>
              <w:left w:val="nil"/>
              <w:bottom w:val="single" w:sz="8" w:space="0" w:color="auto"/>
              <w:right w:val="single" w:sz="8" w:space="0" w:color="auto"/>
            </w:tcBorders>
            <w:shd w:val="clear" w:color="000000" w:fill="BFBFBF"/>
            <w:noWrap/>
            <w:vAlign w:val="bottom"/>
            <w:hideMark/>
          </w:tcPr>
          <w:p w14:paraId="7D66F8EC" w14:textId="77777777" w:rsidR="00F83B52" w:rsidRPr="00FF0B3F" w:rsidRDefault="00F83B52"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Total Number of Chemicals</w:t>
            </w:r>
          </w:p>
        </w:tc>
      </w:tr>
      <w:tr w:rsidR="00F83B52" w:rsidRPr="00FF0B3F" w14:paraId="481DFFC1" w14:textId="77777777" w:rsidTr="00F83B52">
        <w:trPr>
          <w:trHeight w:val="300"/>
        </w:trPr>
        <w:tc>
          <w:tcPr>
            <w:tcW w:w="664" w:type="pct"/>
            <w:tcBorders>
              <w:top w:val="single" w:sz="8" w:space="0" w:color="auto"/>
              <w:left w:val="single" w:sz="8" w:space="0" w:color="auto"/>
              <w:bottom w:val="single" w:sz="8" w:space="0" w:color="auto"/>
              <w:right w:val="single" w:sz="8" w:space="0" w:color="000000"/>
            </w:tcBorders>
            <w:shd w:val="clear" w:color="auto" w:fill="auto"/>
            <w:vAlign w:val="bottom"/>
            <w:hideMark/>
          </w:tcPr>
          <w:p w14:paraId="29DDC841" w14:textId="77777777" w:rsidR="00F83B52" w:rsidRPr="00FF0B3F" w:rsidRDefault="00F83B52"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 xml:space="preserve">5,662 </w:t>
            </w:r>
          </w:p>
        </w:tc>
        <w:tc>
          <w:tcPr>
            <w:tcW w:w="664" w:type="pct"/>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C582215" w14:textId="77777777" w:rsidR="00F83B52" w:rsidRPr="00FF0B3F" w:rsidRDefault="00AF7828" w:rsidP="00FF0B3F">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7,078</w:t>
            </w:r>
          </w:p>
        </w:tc>
        <w:tc>
          <w:tcPr>
            <w:tcW w:w="665" w:type="pct"/>
            <w:tcBorders>
              <w:top w:val="single" w:sz="8" w:space="0" w:color="auto"/>
              <w:left w:val="single" w:sz="8" w:space="0" w:color="auto"/>
              <w:bottom w:val="single" w:sz="8" w:space="0" w:color="auto"/>
              <w:right w:val="single" w:sz="8" w:space="0" w:color="000000"/>
            </w:tcBorders>
            <w:shd w:val="clear" w:color="auto" w:fill="auto"/>
            <w:vAlign w:val="bottom"/>
          </w:tcPr>
          <w:p w14:paraId="1C204983" w14:textId="77777777" w:rsidR="00F83B52" w:rsidRPr="00FF0B3F" w:rsidRDefault="00F83B52" w:rsidP="00FF0B3F">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5,662</w:t>
            </w:r>
          </w:p>
        </w:tc>
        <w:tc>
          <w:tcPr>
            <w:tcW w:w="1202" w:type="pct"/>
            <w:gridSpan w:val="2"/>
            <w:tcBorders>
              <w:top w:val="single" w:sz="8" w:space="0" w:color="auto"/>
              <w:left w:val="nil"/>
              <w:bottom w:val="single" w:sz="8" w:space="0" w:color="auto"/>
              <w:right w:val="single" w:sz="8" w:space="0" w:color="000000"/>
            </w:tcBorders>
            <w:shd w:val="clear" w:color="auto" w:fill="auto"/>
            <w:noWrap/>
            <w:vAlign w:val="bottom"/>
            <w:hideMark/>
          </w:tcPr>
          <w:p w14:paraId="1DB0DDD0" w14:textId="77777777" w:rsidR="00F83B52" w:rsidRPr="00FF0B3F" w:rsidRDefault="00F83B52"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42,466</w:t>
            </w:r>
          </w:p>
        </w:tc>
        <w:tc>
          <w:tcPr>
            <w:tcW w:w="1805" w:type="pct"/>
            <w:gridSpan w:val="3"/>
            <w:tcBorders>
              <w:top w:val="single" w:sz="8" w:space="0" w:color="auto"/>
              <w:left w:val="nil"/>
              <w:bottom w:val="single" w:sz="8" w:space="0" w:color="auto"/>
              <w:right w:val="single" w:sz="8" w:space="0" w:color="000000"/>
            </w:tcBorders>
            <w:shd w:val="clear" w:color="auto" w:fill="auto"/>
            <w:noWrap/>
            <w:vAlign w:val="bottom"/>
            <w:hideMark/>
          </w:tcPr>
          <w:p w14:paraId="253A4962" w14:textId="77777777" w:rsidR="00F83B52" w:rsidRPr="00FF0B3F" w:rsidRDefault="00F83B52" w:rsidP="00FF0B3F">
            <w:pPr>
              <w:jc w:val="center"/>
              <w:rPr>
                <w:rFonts w:ascii="Arial Narrow" w:eastAsia="Times New Roman" w:hAnsi="Arial Narrow" w:cs="Calibri"/>
                <w:b/>
                <w:bCs/>
                <w:color w:val="000000"/>
                <w:sz w:val="20"/>
                <w:szCs w:val="20"/>
              </w:rPr>
            </w:pPr>
            <w:r w:rsidRPr="00FF0B3F">
              <w:rPr>
                <w:rFonts w:ascii="Arial Narrow" w:eastAsia="Times New Roman" w:hAnsi="Arial Narrow" w:cs="Calibri"/>
                <w:b/>
                <w:bCs/>
                <w:color w:val="000000"/>
                <w:sz w:val="20"/>
                <w:szCs w:val="20"/>
              </w:rPr>
              <w:t xml:space="preserve">8,717 </w:t>
            </w:r>
          </w:p>
        </w:tc>
      </w:tr>
      <w:tr w:rsidR="00D26E4F" w:rsidRPr="00FF0B3F" w14:paraId="2428ABA1" w14:textId="77777777" w:rsidTr="00DE0792">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bottom"/>
          </w:tcPr>
          <w:p w14:paraId="41E97012" w14:textId="77777777" w:rsidR="00A14BD8" w:rsidRPr="00A14BD8" w:rsidRDefault="00E3725C" w:rsidP="00F83B52">
            <w:pPr>
              <w:pStyle w:val="Footnotetables"/>
              <w:ind w:left="180" w:hanging="180"/>
            </w:pPr>
            <w:r>
              <w:t xml:space="preserve">Table </w:t>
            </w:r>
            <w:r w:rsidR="00A14BD8" w:rsidRPr="00A14BD8">
              <w:t>Footnotes</w:t>
            </w:r>
          </w:p>
          <w:p w14:paraId="337D3E07" w14:textId="77777777" w:rsidR="00D25972" w:rsidRPr="00D25972" w:rsidRDefault="00D26E4F" w:rsidP="003B58C0">
            <w:pPr>
              <w:pStyle w:val="Footnotetables"/>
              <w:ind w:left="0" w:firstLine="0"/>
            </w:pPr>
            <w:r w:rsidRPr="00FF0B3F">
              <w:rPr>
                <w:vertAlign w:val="superscript"/>
              </w:rPr>
              <w:t>1</w:t>
            </w:r>
            <w:r w:rsidR="00D25972">
              <w:rPr>
                <w:vertAlign w:val="superscript"/>
              </w:rPr>
              <w:t xml:space="preserve"> </w:t>
            </w:r>
            <w:r w:rsidR="00D25972" w:rsidRPr="00D25972">
              <w:t>New Reporters’</w:t>
            </w:r>
            <w:r w:rsidR="00D25972">
              <w:rPr>
                <w:vertAlign w:val="superscript"/>
              </w:rPr>
              <w:t xml:space="preserve"> </w:t>
            </w:r>
            <w:r w:rsidR="00D25972">
              <w:t xml:space="preserve">submissions are </w:t>
            </w:r>
            <w:r w:rsidR="00A27AB4">
              <w:t>measured at</w:t>
            </w:r>
            <w:r w:rsidR="00D25972">
              <w:t xml:space="preserve"> 15% of </w:t>
            </w:r>
            <w:r w:rsidR="00A27AB4">
              <w:t xml:space="preserve">sites; new reporters </w:t>
            </w:r>
            <w:r w:rsidR="00D25972">
              <w:t xml:space="preserve">and experienced reporters </w:t>
            </w:r>
            <w:r w:rsidR="00A27AB4">
              <w:t xml:space="preserve">are assumed to </w:t>
            </w:r>
            <w:r w:rsidR="00D25972">
              <w:t>hav</w:t>
            </w:r>
            <w:r w:rsidR="00A27AB4">
              <w:t>e</w:t>
            </w:r>
            <w:r w:rsidR="00D25972">
              <w:t xml:space="preserve"> the same characteristics (per overall universe</w:t>
            </w:r>
            <w:r w:rsidR="00F14F36">
              <w:t>, as</w:t>
            </w:r>
            <w:r w:rsidR="00D25972">
              <w:t xml:space="preserve"> reported in Table 12).</w:t>
            </w:r>
            <w:r w:rsidR="00A27AB4">
              <w:t xml:space="preserve"> Analyses using 2016 CDR data (US EPA 2017</w:t>
            </w:r>
            <w:r w:rsidR="00A52B61">
              <w:t>c</w:t>
            </w:r>
            <w:r w:rsidR="00A27AB4">
              <w:t xml:space="preserve">) show that the assumption produces final total estimates that are slightly overstated (by about 5%).  </w:t>
            </w:r>
          </w:p>
          <w:p w14:paraId="66C16410" w14:textId="77777777" w:rsidR="00F83B52" w:rsidRPr="00FF0B3F" w:rsidRDefault="00D25972" w:rsidP="00E251D2">
            <w:pPr>
              <w:pStyle w:val="Footnotetables"/>
              <w:ind w:left="0" w:firstLine="0"/>
            </w:pPr>
            <w:r>
              <w:rPr>
                <w:vertAlign w:val="superscript"/>
              </w:rPr>
              <w:t xml:space="preserve">2 </w:t>
            </w:r>
            <w:r w:rsidR="00F83B52">
              <w:t xml:space="preserve">Registrant counts are </w:t>
            </w:r>
            <w:r w:rsidR="00B2292A">
              <w:t>i</w:t>
            </w:r>
            <w:r w:rsidR="00F83B52" w:rsidRPr="00FF0B3F">
              <w:t xml:space="preserve">ncluded in counts of </w:t>
            </w:r>
            <w:r w:rsidR="00F83B52">
              <w:t xml:space="preserve">Form U submission </w:t>
            </w:r>
            <w:r w:rsidR="00F83B52" w:rsidRPr="00FF0B3F">
              <w:t>respondent</w:t>
            </w:r>
            <w:r w:rsidR="00F83B52">
              <w:t xml:space="preserve"> counts</w:t>
            </w:r>
            <w:r w:rsidR="00F83B52" w:rsidRPr="00FF0B3F">
              <w:t xml:space="preserve"> </w:t>
            </w:r>
            <w:r w:rsidR="00F83B52">
              <w:t xml:space="preserve">because CDX registrants </w:t>
            </w:r>
            <w:r w:rsidR="00E251D2">
              <w:t xml:space="preserve">constitute </w:t>
            </w:r>
            <w:r w:rsidR="00F83B52">
              <w:t>a subgroup of Form U submission respondents.</w:t>
            </w:r>
          </w:p>
        </w:tc>
      </w:tr>
    </w:tbl>
    <w:p w14:paraId="474D15F5" w14:textId="77777777" w:rsidR="00FA0CF8" w:rsidRPr="00FA0CF8" w:rsidRDefault="00FA0CF8" w:rsidP="00FA0CF8"/>
    <w:p w14:paraId="73502301" w14:textId="77777777" w:rsidR="00F06BA6" w:rsidRPr="008A7FB7" w:rsidRDefault="00F06BA6" w:rsidP="007F34F8">
      <w:pPr>
        <w:pStyle w:val="Heading3nonumber"/>
      </w:pPr>
      <w:r w:rsidRPr="008A7FB7">
        <w:t>Agency Tally</w:t>
      </w:r>
    </w:p>
    <w:p w14:paraId="645BD6BF" w14:textId="77777777" w:rsidR="009A1BF1" w:rsidRDefault="0006418F" w:rsidP="00392D59">
      <w:pPr>
        <w:pStyle w:val="BodyText"/>
        <w:spacing w:after="200"/>
      </w:pPr>
      <w:r w:rsidRPr="008A7FB7">
        <w:t xml:space="preserve">Table </w:t>
      </w:r>
      <w:r>
        <w:t>14</w:t>
      </w:r>
      <w:r w:rsidRPr="008A7FB7">
        <w:t xml:space="preserve"> presents the Agency costs associated with the CDR r</w:t>
      </w:r>
      <w:r>
        <w:t>eporting requirements for a four</w:t>
      </w:r>
      <w:r w:rsidR="00D05FDA">
        <w:t>-</w:t>
      </w:r>
      <w:r>
        <w:t>year reporting cycle</w:t>
      </w:r>
      <w:r w:rsidRPr="008A7FB7">
        <w:t xml:space="preserve">. EPA </w:t>
      </w:r>
      <w:r>
        <w:t xml:space="preserve">applied unit cost to report counts for </w:t>
      </w:r>
      <w:r w:rsidRPr="008A7FB7">
        <w:t xml:space="preserve">Parts I, II, and III </w:t>
      </w:r>
      <w:r>
        <w:t xml:space="preserve">where applicable </w:t>
      </w:r>
      <w:r w:rsidRPr="008A7FB7">
        <w:t>to calculate the total burden and cost</w:t>
      </w:r>
      <w:r>
        <w:t xml:space="preserve">. EPA estimates total burden and cost at </w:t>
      </w:r>
      <w:r w:rsidRPr="00B6305D">
        <w:t>2,5</w:t>
      </w:r>
      <w:r>
        <w:t>4</w:t>
      </w:r>
      <w:r w:rsidR="00254169">
        <w:t>0</w:t>
      </w:r>
      <w:r>
        <w:t xml:space="preserve"> hours and $</w:t>
      </w:r>
      <w:r w:rsidRPr="00B6305D">
        <w:t>3</w:t>
      </w:r>
      <w:r w:rsidR="00773CB0">
        <w:t>4</w:t>
      </w:r>
      <w:r w:rsidR="00507A12">
        <w:t>0</w:t>
      </w:r>
      <w:r w:rsidRPr="00B6305D">
        <w:t>,</w:t>
      </w:r>
      <w:r w:rsidR="00507A12">
        <w:t>143</w:t>
      </w:r>
      <w:r>
        <w:t>, respectively per four</w:t>
      </w:r>
      <w:r w:rsidR="00D05FDA">
        <w:t>-</w:t>
      </w:r>
      <w:r>
        <w:t xml:space="preserve">year reporting </w:t>
      </w:r>
      <w:r w:rsidRPr="008A7FB7">
        <w:t>cycle</w:t>
      </w:r>
      <w:r>
        <w:t>.</w:t>
      </w:r>
      <w:r w:rsidRPr="00B6305D">
        <w:t xml:space="preserve"> </w:t>
      </w:r>
      <w:r>
        <w:t xml:space="preserve">These estimates translate to annual burden and cost for the ICR period </w:t>
      </w:r>
      <w:r w:rsidRPr="00915C22">
        <w:t>of 63</w:t>
      </w:r>
      <w:r w:rsidR="00B407B9" w:rsidRPr="00A46C28">
        <w:t>5</w:t>
      </w:r>
      <w:r w:rsidRPr="00915C22">
        <w:t xml:space="preserve"> hours and $</w:t>
      </w:r>
      <w:r w:rsidR="00773CB0" w:rsidRPr="00915C22">
        <w:t>8</w:t>
      </w:r>
      <w:r w:rsidR="00C7155E">
        <w:t>5</w:t>
      </w:r>
      <w:r w:rsidRPr="00915C22">
        <w:t>,</w:t>
      </w:r>
      <w:r w:rsidR="00B407B9" w:rsidRPr="00A46C28">
        <w:t>0</w:t>
      </w:r>
      <w:r w:rsidR="00C7155E">
        <w:t>3</w:t>
      </w:r>
      <w:r w:rsidR="00B407B9" w:rsidRPr="00A46C28">
        <w:t>6</w:t>
      </w:r>
      <w:r w:rsidRPr="00915C22">
        <w:t>, respectively per</w:t>
      </w:r>
      <w:r>
        <w:t xml:space="preserve"> year (see Table 15).</w:t>
      </w:r>
    </w:p>
    <w:tbl>
      <w:tblPr>
        <w:tblW w:w="9885" w:type="dxa"/>
        <w:tblLook w:val="04A0" w:firstRow="1" w:lastRow="0" w:firstColumn="1" w:lastColumn="0" w:noHBand="0" w:noVBand="1"/>
      </w:tblPr>
      <w:tblGrid>
        <w:gridCol w:w="1710"/>
        <w:gridCol w:w="1530"/>
        <w:gridCol w:w="1530"/>
        <w:gridCol w:w="1890"/>
        <w:gridCol w:w="1440"/>
        <w:gridCol w:w="241"/>
        <w:gridCol w:w="236"/>
        <w:gridCol w:w="1308"/>
      </w:tblGrid>
      <w:tr w:rsidR="009A1BF1" w:rsidRPr="009A1BF1" w14:paraId="6A52C7C1" w14:textId="77777777" w:rsidTr="00392D59">
        <w:trPr>
          <w:trHeight w:val="540"/>
        </w:trPr>
        <w:tc>
          <w:tcPr>
            <w:tcW w:w="8100" w:type="dxa"/>
            <w:gridSpan w:val="5"/>
            <w:tcBorders>
              <w:top w:val="nil"/>
              <w:left w:val="nil"/>
              <w:bottom w:val="nil"/>
              <w:right w:val="nil"/>
            </w:tcBorders>
            <w:shd w:val="clear" w:color="auto" w:fill="auto"/>
            <w:noWrap/>
            <w:vAlign w:val="center"/>
            <w:hideMark/>
          </w:tcPr>
          <w:p w14:paraId="324A411E" w14:textId="77777777" w:rsidR="009A1BF1" w:rsidRPr="009A1BF1" w:rsidRDefault="009A1BF1" w:rsidP="00392D59">
            <w:pPr>
              <w:tabs>
                <w:tab w:val="left" w:pos="7545"/>
              </w:tabs>
              <w:jc w:val="center"/>
              <w:rPr>
                <w:rFonts w:eastAsia="Times New Roman" w:cs="Times New Roman"/>
                <w:b/>
                <w:bCs/>
                <w:color w:val="000000"/>
              </w:rPr>
            </w:pPr>
            <w:r w:rsidRPr="009A1BF1">
              <w:rPr>
                <w:rFonts w:eastAsia="Times New Roman" w:cs="Times New Roman"/>
                <w:b/>
                <w:bCs/>
                <w:color w:val="000000"/>
              </w:rPr>
              <w:t xml:space="preserve">Table 14: Total Burden and Cost of Agency Activities, per Reporting </w:t>
            </w:r>
            <w:r w:rsidR="00617F03">
              <w:rPr>
                <w:rFonts w:eastAsia="Times New Roman" w:cs="Times New Roman"/>
                <w:b/>
                <w:bCs/>
                <w:color w:val="000000"/>
              </w:rPr>
              <w:t>C</w:t>
            </w:r>
            <w:r w:rsidRPr="009A1BF1">
              <w:rPr>
                <w:rFonts w:eastAsia="Times New Roman" w:cs="Times New Roman"/>
                <w:b/>
                <w:bCs/>
                <w:color w:val="000000"/>
              </w:rPr>
              <w:t>ycle</w:t>
            </w:r>
          </w:p>
        </w:tc>
        <w:tc>
          <w:tcPr>
            <w:tcW w:w="236" w:type="dxa"/>
            <w:tcBorders>
              <w:top w:val="nil"/>
              <w:left w:val="nil"/>
              <w:bottom w:val="nil"/>
              <w:right w:val="nil"/>
            </w:tcBorders>
            <w:shd w:val="clear" w:color="auto" w:fill="auto"/>
            <w:noWrap/>
            <w:vAlign w:val="bottom"/>
            <w:hideMark/>
          </w:tcPr>
          <w:p w14:paraId="65B0ECAB" w14:textId="77777777" w:rsidR="009A1BF1" w:rsidRPr="009A1BF1" w:rsidRDefault="009A1BF1" w:rsidP="009A1BF1">
            <w:pPr>
              <w:rPr>
                <w:rFonts w:eastAsia="Times New Roman" w:cs="Times New Roman"/>
                <w:b/>
                <w:bCs/>
                <w:color w:val="000000"/>
              </w:rPr>
            </w:pPr>
          </w:p>
        </w:tc>
        <w:tc>
          <w:tcPr>
            <w:tcW w:w="236" w:type="dxa"/>
            <w:tcBorders>
              <w:top w:val="nil"/>
              <w:left w:val="nil"/>
              <w:bottom w:val="nil"/>
              <w:right w:val="nil"/>
            </w:tcBorders>
            <w:shd w:val="clear" w:color="auto" w:fill="auto"/>
            <w:noWrap/>
            <w:vAlign w:val="bottom"/>
            <w:hideMark/>
          </w:tcPr>
          <w:p w14:paraId="4F7454FB" w14:textId="77777777" w:rsidR="009A1BF1" w:rsidRPr="009A1BF1" w:rsidRDefault="009A1BF1" w:rsidP="009A1BF1">
            <w:pPr>
              <w:rPr>
                <w:rFonts w:eastAsia="Times New Roman" w:cs="Times New Roman"/>
                <w:sz w:val="20"/>
                <w:szCs w:val="20"/>
              </w:rPr>
            </w:pPr>
          </w:p>
        </w:tc>
        <w:tc>
          <w:tcPr>
            <w:tcW w:w="1308" w:type="dxa"/>
            <w:tcBorders>
              <w:top w:val="nil"/>
              <w:left w:val="nil"/>
              <w:bottom w:val="nil"/>
              <w:right w:val="nil"/>
            </w:tcBorders>
            <w:shd w:val="clear" w:color="auto" w:fill="auto"/>
            <w:noWrap/>
            <w:vAlign w:val="bottom"/>
            <w:hideMark/>
          </w:tcPr>
          <w:p w14:paraId="3CECFA80" w14:textId="77777777" w:rsidR="009A1BF1" w:rsidRPr="009A1BF1" w:rsidRDefault="009A1BF1" w:rsidP="009A1BF1">
            <w:pPr>
              <w:rPr>
                <w:rFonts w:eastAsia="Times New Roman" w:cs="Times New Roman"/>
                <w:sz w:val="20"/>
                <w:szCs w:val="20"/>
              </w:rPr>
            </w:pPr>
          </w:p>
        </w:tc>
      </w:tr>
      <w:tr w:rsidR="009A1BF1" w:rsidRPr="009A1BF1" w14:paraId="75B6B472" w14:textId="77777777" w:rsidTr="00392D59">
        <w:trPr>
          <w:trHeight w:val="517"/>
        </w:trPr>
        <w:tc>
          <w:tcPr>
            <w:tcW w:w="1710"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14:paraId="04C62D5B" w14:textId="77777777" w:rsidR="009A1BF1" w:rsidRPr="009A1BF1" w:rsidRDefault="009A1BF1" w:rsidP="009A1BF1">
            <w:pPr>
              <w:jc w:val="center"/>
              <w:rPr>
                <w:rFonts w:ascii="Arial Narrow" w:eastAsia="Times New Roman" w:hAnsi="Arial Narrow" w:cs="Calibri"/>
                <w:b/>
                <w:bCs/>
                <w:color w:val="000000"/>
                <w:sz w:val="20"/>
                <w:szCs w:val="20"/>
              </w:rPr>
            </w:pPr>
            <w:r w:rsidRPr="009A1BF1">
              <w:rPr>
                <w:rFonts w:ascii="Arial Narrow" w:eastAsia="Times New Roman" w:hAnsi="Arial Narrow" w:cs="Calibri"/>
                <w:b/>
                <w:bCs/>
                <w:color w:val="000000"/>
                <w:sz w:val="20"/>
                <w:szCs w:val="20"/>
              </w:rPr>
              <w:t>Activity</w:t>
            </w:r>
          </w:p>
        </w:tc>
        <w:tc>
          <w:tcPr>
            <w:tcW w:w="1530" w:type="dxa"/>
            <w:vMerge w:val="restart"/>
            <w:tcBorders>
              <w:top w:val="single" w:sz="8" w:space="0" w:color="auto"/>
              <w:left w:val="nil"/>
              <w:bottom w:val="single" w:sz="8" w:space="0" w:color="000000"/>
              <w:right w:val="single" w:sz="8" w:space="0" w:color="000000"/>
            </w:tcBorders>
            <w:shd w:val="clear" w:color="000000" w:fill="D9D9D9"/>
            <w:vAlign w:val="bottom"/>
            <w:hideMark/>
          </w:tcPr>
          <w:p w14:paraId="41C6A14C" w14:textId="77777777" w:rsidR="009A1BF1" w:rsidRPr="009A1BF1" w:rsidRDefault="009A1BF1" w:rsidP="009A1BF1">
            <w:pPr>
              <w:jc w:val="center"/>
              <w:rPr>
                <w:rFonts w:ascii="Arial Narrow" w:eastAsia="Times New Roman" w:hAnsi="Arial Narrow" w:cs="Calibri"/>
                <w:b/>
                <w:bCs/>
                <w:color w:val="000000"/>
                <w:sz w:val="20"/>
                <w:szCs w:val="20"/>
              </w:rPr>
            </w:pPr>
            <w:r w:rsidRPr="009A1BF1">
              <w:rPr>
                <w:rFonts w:ascii="Arial Narrow" w:eastAsia="Times New Roman" w:hAnsi="Arial Narrow" w:cs="Calibri"/>
                <w:b/>
                <w:bCs/>
                <w:color w:val="000000"/>
                <w:sz w:val="20"/>
                <w:szCs w:val="20"/>
              </w:rPr>
              <w:t>Staff</w:t>
            </w:r>
          </w:p>
        </w:tc>
        <w:tc>
          <w:tcPr>
            <w:tcW w:w="1530" w:type="dxa"/>
            <w:vMerge w:val="restart"/>
            <w:tcBorders>
              <w:top w:val="single" w:sz="8" w:space="0" w:color="auto"/>
              <w:left w:val="single" w:sz="8" w:space="0" w:color="auto"/>
              <w:bottom w:val="single" w:sz="8" w:space="0" w:color="000000"/>
              <w:right w:val="single" w:sz="8" w:space="0" w:color="000000"/>
            </w:tcBorders>
            <w:shd w:val="clear" w:color="000000" w:fill="D9D9D9"/>
            <w:vAlign w:val="bottom"/>
            <w:hideMark/>
          </w:tcPr>
          <w:p w14:paraId="7C26C503" w14:textId="77777777" w:rsidR="009A1BF1" w:rsidRPr="009A1BF1" w:rsidRDefault="009A1BF1" w:rsidP="009A1BF1">
            <w:pPr>
              <w:jc w:val="center"/>
              <w:rPr>
                <w:rFonts w:ascii="Arial Narrow" w:eastAsia="Times New Roman" w:hAnsi="Arial Narrow" w:cs="Calibri"/>
                <w:b/>
                <w:bCs/>
                <w:color w:val="000000"/>
                <w:sz w:val="20"/>
                <w:szCs w:val="20"/>
              </w:rPr>
            </w:pPr>
            <w:r w:rsidRPr="009A1BF1">
              <w:rPr>
                <w:rFonts w:ascii="Arial Narrow" w:eastAsia="Times New Roman" w:hAnsi="Arial Narrow" w:cs="Calibri"/>
                <w:b/>
                <w:bCs/>
                <w:color w:val="000000"/>
                <w:sz w:val="20"/>
                <w:szCs w:val="20"/>
              </w:rPr>
              <w:t>Form U Section</w:t>
            </w:r>
          </w:p>
        </w:tc>
        <w:tc>
          <w:tcPr>
            <w:tcW w:w="1890" w:type="dxa"/>
            <w:vMerge w:val="restart"/>
            <w:tcBorders>
              <w:top w:val="single" w:sz="8" w:space="0" w:color="auto"/>
              <w:left w:val="nil"/>
              <w:bottom w:val="single" w:sz="8" w:space="0" w:color="000000"/>
              <w:right w:val="single" w:sz="8" w:space="0" w:color="000000"/>
            </w:tcBorders>
            <w:shd w:val="clear" w:color="000000" w:fill="D9D9D9"/>
            <w:vAlign w:val="bottom"/>
            <w:hideMark/>
          </w:tcPr>
          <w:p w14:paraId="7660ED36" w14:textId="77777777" w:rsidR="009A1BF1" w:rsidRPr="009A1BF1" w:rsidRDefault="009A1BF1" w:rsidP="009A1BF1">
            <w:pPr>
              <w:jc w:val="center"/>
              <w:rPr>
                <w:rFonts w:ascii="Arial Narrow" w:eastAsia="Times New Roman" w:hAnsi="Arial Narrow" w:cs="Calibri"/>
                <w:b/>
                <w:bCs/>
                <w:color w:val="000000"/>
                <w:sz w:val="20"/>
                <w:szCs w:val="20"/>
              </w:rPr>
            </w:pPr>
            <w:r w:rsidRPr="009A1BF1">
              <w:rPr>
                <w:rFonts w:ascii="Arial Narrow" w:eastAsia="Times New Roman" w:hAnsi="Arial Narrow" w:cs="Calibri"/>
                <w:b/>
                <w:bCs/>
                <w:color w:val="000000"/>
                <w:sz w:val="20"/>
                <w:szCs w:val="20"/>
              </w:rPr>
              <w:t>Affected Universe</w:t>
            </w:r>
          </w:p>
        </w:tc>
        <w:tc>
          <w:tcPr>
            <w:tcW w:w="1681" w:type="dxa"/>
            <w:gridSpan w:val="2"/>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14:paraId="7F792AD2" w14:textId="77777777" w:rsidR="009A1BF1" w:rsidRPr="009A1BF1" w:rsidRDefault="009A1BF1" w:rsidP="009A1BF1">
            <w:pPr>
              <w:jc w:val="center"/>
              <w:rPr>
                <w:rFonts w:ascii="Arial Narrow" w:eastAsia="Times New Roman" w:hAnsi="Arial Narrow" w:cs="Calibri"/>
                <w:b/>
                <w:bCs/>
                <w:color w:val="000000"/>
                <w:sz w:val="20"/>
                <w:szCs w:val="20"/>
              </w:rPr>
            </w:pPr>
            <w:r w:rsidRPr="009A1BF1">
              <w:rPr>
                <w:rFonts w:ascii="Arial Narrow" w:eastAsia="Times New Roman" w:hAnsi="Arial Narrow" w:cs="Calibri"/>
                <w:b/>
                <w:bCs/>
                <w:color w:val="000000"/>
                <w:sz w:val="20"/>
                <w:szCs w:val="20"/>
              </w:rPr>
              <w:t>Cost per Activity</w:t>
            </w:r>
            <w:r w:rsidRPr="009A1BF1">
              <w:rPr>
                <w:rFonts w:ascii="Arial Narrow" w:eastAsia="Times New Roman" w:hAnsi="Arial Narrow" w:cs="Calibri"/>
                <w:b/>
                <w:bCs/>
                <w:color w:val="000000"/>
                <w:sz w:val="20"/>
                <w:szCs w:val="20"/>
              </w:rPr>
              <w:br/>
              <w:t>(2016$)</w:t>
            </w:r>
          </w:p>
        </w:tc>
        <w:tc>
          <w:tcPr>
            <w:tcW w:w="1544" w:type="dxa"/>
            <w:gridSpan w:val="2"/>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14:paraId="666CC461" w14:textId="77777777" w:rsidR="009A1BF1" w:rsidRPr="009A1BF1" w:rsidRDefault="009A1BF1" w:rsidP="009A1BF1">
            <w:pPr>
              <w:jc w:val="center"/>
              <w:rPr>
                <w:rFonts w:ascii="Arial Narrow" w:eastAsia="Times New Roman" w:hAnsi="Arial Narrow" w:cs="Calibri"/>
                <w:b/>
                <w:bCs/>
                <w:color w:val="000000"/>
                <w:sz w:val="20"/>
                <w:szCs w:val="20"/>
              </w:rPr>
            </w:pPr>
            <w:r w:rsidRPr="009A1BF1">
              <w:rPr>
                <w:rFonts w:ascii="Arial Narrow" w:eastAsia="Times New Roman" w:hAnsi="Arial Narrow" w:cs="Calibri"/>
                <w:b/>
                <w:bCs/>
                <w:color w:val="000000"/>
                <w:sz w:val="20"/>
                <w:szCs w:val="20"/>
              </w:rPr>
              <w:t>Total Cost (2016$)</w:t>
            </w:r>
            <w:r w:rsidRPr="009A1BF1">
              <w:rPr>
                <w:rFonts w:ascii="Arial Narrow" w:eastAsia="Times New Roman" w:hAnsi="Arial Narrow" w:cs="Calibri"/>
                <w:b/>
                <w:bCs/>
                <w:color w:val="000000"/>
                <w:sz w:val="20"/>
                <w:szCs w:val="20"/>
                <w:vertAlign w:val="superscript"/>
              </w:rPr>
              <w:t>1</w:t>
            </w:r>
          </w:p>
        </w:tc>
      </w:tr>
      <w:tr w:rsidR="009A1BF1" w:rsidRPr="009A1BF1" w14:paraId="1FF7F095" w14:textId="77777777" w:rsidTr="00392D59">
        <w:trPr>
          <w:trHeight w:val="517"/>
        </w:trPr>
        <w:tc>
          <w:tcPr>
            <w:tcW w:w="1710" w:type="dxa"/>
            <w:vMerge/>
            <w:tcBorders>
              <w:top w:val="single" w:sz="8" w:space="0" w:color="auto"/>
              <w:left w:val="single" w:sz="8" w:space="0" w:color="auto"/>
              <w:bottom w:val="single" w:sz="8" w:space="0" w:color="000000"/>
              <w:right w:val="single" w:sz="8" w:space="0" w:color="auto"/>
            </w:tcBorders>
            <w:vAlign w:val="center"/>
            <w:hideMark/>
          </w:tcPr>
          <w:p w14:paraId="7D35793D" w14:textId="77777777" w:rsidR="009A1BF1" w:rsidRPr="009A1BF1" w:rsidRDefault="009A1BF1" w:rsidP="009A1BF1">
            <w:pPr>
              <w:rPr>
                <w:rFonts w:ascii="Arial Narrow" w:eastAsia="Times New Roman" w:hAnsi="Arial Narrow" w:cs="Calibri"/>
                <w:b/>
                <w:bCs/>
                <w:color w:val="000000"/>
                <w:sz w:val="20"/>
                <w:szCs w:val="20"/>
              </w:rPr>
            </w:pPr>
          </w:p>
        </w:tc>
        <w:tc>
          <w:tcPr>
            <w:tcW w:w="1530" w:type="dxa"/>
            <w:vMerge/>
            <w:tcBorders>
              <w:top w:val="single" w:sz="8" w:space="0" w:color="auto"/>
              <w:left w:val="nil"/>
              <w:bottom w:val="single" w:sz="8" w:space="0" w:color="000000"/>
              <w:right w:val="single" w:sz="8" w:space="0" w:color="000000"/>
            </w:tcBorders>
            <w:vAlign w:val="center"/>
            <w:hideMark/>
          </w:tcPr>
          <w:p w14:paraId="077914DF" w14:textId="77777777" w:rsidR="009A1BF1" w:rsidRPr="009A1BF1" w:rsidRDefault="009A1BF1" w:rsidP="009A1BF1">
            <w:pPr>
              <w:rPr>
                <w:rFonts w:ascii="Arial Narrow" w:eastAsia="Times New Roman" w:hAnsi="Arial Narrow" w:cs="Calibri"/>
                <w:b/>
                <w:bCs/>
                <w:color w:val="000000"/>
                <w:sz w:val="20"/>
                <w:szCs w:val="20"/>
              </w:rPr>
            </w:pPr>
          </w:p>
        </w:tc>
        <w:tc>
          <w:tcPr>
            <w:tcW w:w="1530" w:type="dxa"/>
            <w:vMerge/>
            <w:tcBorders>
              <w:top w:val="single" w:sz="8" w:space="0" w:color="auto"/>
              <w:left w:val="single" w:sz="8" w:space="0" w:color="auto"/>
              <w:bottom w:val="single" w:sz="8" w:space="0" w:color="000000"/>
              <w:right w:val="single" w:sz="8" w:space="0" w:color="000000"/>
            </w:tcBorders>
            <w:vAlign w:val="center"/>
            <w:hideMark/>
          </w:tcPr>
          <w:p w14:paraId="4B225E4B" w14:textId="77777777" w:rsidR="009A1BF1" w:rsidRPr="009A1BF1" w:rsidRDefault="009A1BF1" w:rsidP="009A1BF1">
            <w:pPr>
              <w:rPr>
                <w:rFonts w:ascii="Arial Narrow" w:eastAsia="Times New Roman" w:hAnsi="Arial Narrow" w:cs="Calibri"/>
                <w:b/>
                <w:bCs/>
                <w:color w:val="000000"/>
                <w:sz w:val="20"/>
                <w:szCs w:val="20"/>
              </w:rPr>
            </w:pPr>
          </w:p>
        </w:tc>
        <w:tc>
          <w:tcPr>
            <w:tcW w:w="1890" w:type="dxa"/>
            <w:vMerge/>
            <w:tcBorders>
              <w:top w:val="single" w:sz="8" w:space="0" w:color="auto"/>
              <w:left w:val="nil"/>
              <w:bottom w:val="single" w:sz="8" w:space="0" w:color="000000"/>
              <w:right w:val="single" w:sz="8" w:space="0" w:color="000000"/>
            </w:tcBorders>
            <w:vAlign w:val="center"/>
            <w:hideMark/>
          </w:tcPr>
          <w:p w14:paraId="00882E54" w14:textId="77777777" w:rsidR="009A1BF1" w:rsidRPr="009A1BF1" w:rsidRDefault="009A1BF1" w:rsidP="009A1BF1">
            <w:pPr>
              <w:rPr>
                <w:rFonts w:ascii="Arial Narrow" w:eastAsia="Times New Roman" w:hAnsi="Arial Narrow" w:cs="Calibri"/>
                <w:b/>
                <w:bCs/>
                <w:color w:val="000000"/>
                <w:sz w:val="20"/>
                <w:szCs w:val="20"/>
              </w:rPr>
            </w:pPr>
          </w:p>
        </w:tc>
        <w:tc>
          <w:tcPr>
            <w:tcW w:w="1681" w:type="dxa"/>
            <w:gridSpan w:val="2"/>
            <w:vMerge/>
            <w:tcBorders>
              <w:top w:val="single" w:sz="8" w:space="0" w:color="auto"/>
              <w:left w:val="single" w:sz="8" w:space="0" w:color="auto"/>
              <w:bottom w:val="single" w:sz="8" w:space="0" w:color="000000"/>
              <w:right w:val="single" w:sz="8" w:space="0" w:color="auto"/>
            </w:tcBorders>
            <w:vAlign w:val="center"/>
            <w:hideMark/>
          </w:tcPr>
          <w:p w14:paraId="03660025" w14:textId="77777777" w:rsidR="009A1BF1" w:rsidRPr="009A1BF1" w:rsidRDefault="009A1BF1" w:rsidP="009A1BF1">
            <w:pPr>
              <w:rPr>
                <w:rFonts w:ascii="Arial Narrow" w:eastAsia="Times New Roman" w:hAnsi="Arial Narrow" w:cs="Calibri"/>
                <w:b/>
                <w:bCs/>
                <w:color w:val="000000"/>
                <w:sz w:val="20"/>
                <w:szCs w:val="20"/>
              </w:rPr>
            </w:pPr>
          </w:p>
        </w:tc>
        <w:tc>
          <w:tcPr>
            <w:tcW w:w="1544" w:type="dxa"/>
            <w:gridSpan w:val="2"/>
            <w:vMerge/>
            <w:tcBorders>
              <w:top w:val="single" w:sz="8" w:space="0" w:color="auto"/>
              <w:left w:val="single" w:sz="8" w:space="0" w:color="auto"/>
              <w:bottom w:val="single" w:sz="8" w:space="0" w:color="000000"/>
              <w:right w:val="single" w:sz="8" w:space="0" w:color="auto"/>
            </w:tcBorders>
            <w:vAlign w:val="center"/>
            <w:hideMark/>
          </w:tcPr>
          <w:p w14:paraId="7B2044AF" w14:textId="77777777" w:rsidR="009A1BF1" w:rsidRPr="009A1BF1" w:rsidRDefault="009A1BF1" w:rsidP="009A1BF1">
            <w:pPr>
              <w:rPr>
                <w:rFonts w:ascii="Arial Narrow" w:eastAsia="Times New Roman" w:hAnsi="Arial Narrow" w:cs="Calibri"/>
                <w:b/>
                <w:bCs/>
                <w:color w:val="000000"/>
                <w:sz w:val="20"/>
                <w:szCs w:val="20"/>
              </w:rPr>
            </w:pPr>
          </w:p>
        </w:tc>
      </w:tr>
      <w:tr w:rsidR="009A1BF1" w:rsidRPr="009A1BF1" w14:paraId="64F30B3B" w14:textId="77777777" w:rsidTr="00392D59">
        <w:trPr>
          <w:trHeight w:val="315"/>
        </w:trPr>
        <w:tc>
          <w:tcPr>
            <w:tcW w:w="9885" w:type="dxa"/>
            <w:gridSpan w:val="8"/>
            <w:tcBorders>
              <w:top w:val="single" w:sz="8" w:space="0" w:color="auto"/>
              <w:left w:val="single" w:sz="8" w:space="0" w:color="auto"/>
              <w:bottom w:val="single" w:sz="8" w:space="0" w:color="auto"/>
              <w:right w:val="single" w:sz="8" w:space="0" w:color="000000"/>
            </w:tcBorders>
            <w:shd w:val="clear" w:color="000000" w:fill="F3F3F3"/>
            <w:vAlign w:val="center"/>
            <w:hideMark/>
          </w:tcPr>
          <w:p w14:paraId="05D55A3A" w14:textId="77777777" w:rsidR="009A1BF1" w:rsidRPr="009A1BF1" w:rsidRDefault="009A1BF1" w:rsidP="009A1BF1">
            <w:pPr>
              <w:rPr>
                <w:rFonts w:ascii="Arial Narrow" w:eastAsia="Times New Roman" w:hAnsi="Arial Narrow" w:cs="Calibri"/>
                <w:b/>
                <w:bCs/>
                <w:color w:val="000000"/>
                <w:sz w:val="20"/>
                <w:szCs w:val="20"/>
              </w:rPr>
            </w:pPr>
            <w:r w:rsidRPr="009A1BF1">
              <w:rPr>
                <w:rFonts w:ascii="Arial Narrow" w:eastAsia="Times New Roman" w:hAnsi="Arial Narrow" w:cs="Calibri"/>
                <w:b/>
                <w:bCs/>
                <w:color w:val="000000"/>
                <w:sz w:val="20"/>
                <w:szCs w:val="20"/>
              </w:rPr>
              <w:t>Variable Burdens and Costs</w:t>
            </w:r>
          </w:p>
        </w:tc>
      </w:tr>
      <w:tr w:rsidR="009A1BF1" w:rsidRPr="009A1BF1" w14:paraId="11973B82" w14:textId="77777777" w:rsidTr="00392D59">
        <w:trPr>
          <w:trHeight w:val="315"/>
        </w:trPr>
        <w:tc>
          <w:tcPr>
            <w:tcW w:w="1710" w:type="dxa"/>
            <w:vMerge w:val="restart"/>
            <w:tcBorders>
              <w:top w:val="nil"/>
              <w:left w:val="single" w:sz="8" w:space="0" w:color="auto"/>
              <w:bottom w:val="single" w:sz="8" w:space="0" w:color="000000"/>
              <w:right w:val="single" w:sz="8" w:space="0" w:color="auto"/>
            </w:tcBorders>
            <w:shd w:val="clear" w:color="auto" w:fill="auto"/>
            <w:vAlign w:val="center"/>
            <w:hideMark/>
          </w:tcPr>
          <w:p w14:paraId="5B02BE0F" w14:textId="77777777" w:rsidR="009A1BF1" w:rsidRPr="009A1BF1" w:rsidRDefault="009A1BF1" w:rsidP="009A1BF1">
            <w:pP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Submission Receipt and Tracking; Data Review</w:t>
            </w:r>
          </w:p>
        </w:tc>
        <w:tc>
          <w:tcPr>
            <w:tcW w:w="153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342274F"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Contractor</w:t>
            </w:r>
          </w:p>
        </w:tc>
        <w:tc>
          <w:tcPr>
            <w:tcW w:w="1530" w:type="dxa"/>
            <w:tcBorders>
              <w:top w:val="single" w:sz="8" w:space="0" w:color="auto"/>
              <w:left w:val="nil"/>
              <w:bottom w:val="single" w:sz="8" w:space="0" w:color="auto"/>
              <w:right w:val="single" w:sz="8" w:space="0" w:color="000000"/>
            </w:tcBorders>
            <w:shd w:val="clear" w:color="auto" w:fill="auto"/>
            <w:vAlign w:val="center"/>
            <w:hideMark/>
          </w:tcPr>
          <w:p w14:paraId="6BEABDB7"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Part I</w:t>
            </w:r>
          </w:p>
        </w:tc>
        <w:tc>
          <w:tcPr>
            <w:tcW w:w="1890" w:type="dxa"/>
            <w:tcBorders>
              <w:top w:val="single" w:sz="8" w:space="0" w:color="auto"/>
              <w:left w:val="nil"/>
              <w:bottom w:val="single" w:sz="8" w:space="0" w:color="auto"/>
              <w:right w:val="single" w:sz="8" w:space="0" w:color="000000"/>
            </w:tcBorders>
            <w:shd w:val="clear" w:color="000000" w:fill="FFFFFF"/>
            <w:vAlign w:val="center"/>
            <w:hideMark/>
          </w:tcPr>
          <w:p w14:paraId="277D0247"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5,662 Sites</w:t>
            </w:r>
          </w:p>
        </w:tc>
        <w:tc>
          <w:tcPr>
            <w:tcW w:w="1681" w:type="dxa"/>
            <w:gridSpan w:val="2"/>
            <w:tcBorders>
              <w:top w:val="nil"/>
              <w:left w:val="nil"/>
              <w:bottom w:val="single" w:sz="8" w:space="0" w:color="auto"/>
              <w:right w:val="single" w:sz="8" w:space="0" w:color="auto"/>
            </w:tcBorders>
            <w:shd w:val="clear" w:color="auto" w:fill="auto"/>
            <w:vAlign w:val="center"/>
            <w:hideMark/>
          </w:tcPr>
          <w:p w14:paraId="01CD2DBF"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$0.11 </w:t>
            </w:r>
          </w:p>
        </w:tc>
        <w:tc>
          <w:tcPr>
            <w:tcW w:w="1544" w:type="dxa"/>
            <w:gridSpan w:val="2"/>
            <w:tcBorders>
              <w:top w:val="nil"/>
              <w:left w:val="nil"/>
              <w:bottom w:val="single" w:sz="8" w:space="0" w:color="auto"/>
              <w:right w:val="single" w:sz="8" w:space="0" w:color="auto"/>
            </w:tcBorders>
            <w:shd w:val="clear" w:color="000000" w:fill="FFFFFF"/>
            <w:vAlign w:val="center"/>
            <w:hideMark/>
          </w:tcPr>
          <w:p w14:paraId="3760A498" w14:textId="77777777" w:rsidR="009A1BF1" w:rsidRPr="009A1BF1" w:rsidRDefault="009A1BF1" w:rsidP="009A1BF1">
            <w:pPr>
              <w:ind w:firstLineChars="100" w:firstLine="200"/>
              <w:jc w:val="right"/>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$622.82 </w:t>
            </w:r>
          </w:p>
        </w:tc>
      </w:tr>
      <w:tr w:rsidR="009A1BF1" w:rsidRPr="009A1BF1" w14:paraId="419F5E2E" w14:textId="77777777" w:rsidTr="00392D59">
        <w:trPr>
          <w:trHeight w:val="720"/>
        </w:trPr>
        <w:tc>
          <w:tcPr>
            <w:tcW w:w="1710" w:type="dxa"/>
            <w:vMerge/>
            <w:tcBorders>
              <w:top w:val="nil"/>
              <w:left w:val="single" w:sz="8" w:space="0" w:color="auto"/>
              <w:bottom w:val="single" w:sz="8" w:space="0" w:color="000000"/>
              <w:right w:val="single" w:sz="8" w:space="0" w:color="auto"/>
            </w:tcBorders>
            <w:vAlign w:val="center"/>
            <w:hideMark/>
          </w:tcPr>
          <w:p w14:paraId="71D29E00" w14:textId="77777777" w:rsidR="009A1BF1" w:rsidRPr="009A1BF1" w:rsidRDefault="009A1BF1" w:rsidP="009A1BF1">
            <w:pPr>
              <w:rPr>
                <w:rFonts w:ascii="Arial Narrow" w:eastAsia="Times New Roman" w:hAnsi="Arial Narrow" w:cs="Calibri"/>
                <w:color w:val="000000"/>
                <w:sz w:val="20"/>
                <w:szCs w:val="20"/>
              </w:rPr>
            </w:pPr>
          </w:p>
        </w:tc>
        <w:tc>
          <w:tcPr>
            <w:tcW w:w="1530" w:type="dxa"/>
            <w:vMerge/>
            <w:tcBorders>
              <w:top w:val="single" w:sz="8" w:space="0" w:color="auto"/>
              <w:left w:val="single" w:sz="8" w:space="0" w:color="auto"/>
              <w:bottom w:val="single" w:sz="8" w:space="0" w:color="000000"/>
              <w:right w:val="single" w:sz="8" w:space="0" w:color="000000"/>
            </w:tcBorders>
            <w:vAlign w:val="center"/>
            <w:hideMark/>
          </w:tcPr>
          <w:p w14:paraId="3804538C" w14:textId="77777777" w:rsidR="009A1BF1" w:rsidRPr="009A1BF1" w:rsidRDefault="009A1BF1" w:rsidP="009A1BF1">
            <w:pPr>
              <w:rPr>
                <w:rFonts w:ascii="Arial Narrow" w:eastAsia="Times New Roman" w:hAnsi="Arial Narrow" w:cs="Calibri"/>
                <w:color w:val="000000"/>
                <w:sz w:val="20"/>
                <w:szCs w:val="20"/>
              </w:rPr>
            </w:pPr>
          </w:p>
        </w:tc>
        <w:tc>
          <w:tcPr>
            <w:tcW w:w="1530" w:type="dxa"/>
            <w:tcBorders>
              <w:top w:val="single" w:sz="8" w:space="0" w:color="auto"/>
              <w:left w:val="nil"/>
              <w:bottom w:val="single" w:sz="8" w:space="0" w:color="auto"/>
              <w:right w:val="single" w:sz="8" w:space="0" w:color="000000"/>
            </w:tcBorders>
            <w:shd w:val="clear" w:color="auto" w:fill="auto"/>
            <w:vAlign w:val="center"/>
            <w:hideMark/>
          </w:tcPr>
          <w:p w14:paraId="1905EAEB"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Part II</w:t>
            </w:r>
          </w:p>
        </w:tc>
        <w:tc>
          <w:tcPr>
            <w:tcW w:w="1890" w:type="dxa"/>
            <w:tcBorders>
              <w:top w:val="single" w:sz="8" w:space="0" w:color="auto"/>
              <w:left w:val="nil"/>
              <w:bottom w:val="single" w:sz="8" w:space="0" w:color="auto"/>
              <w:right w:val="single" w:sz="8" w:space="0" w:color="000000"/>
            </w:tcBorders>
            <w:shd w:val="clear" w:color="000000" w:fill="FFFFFF"/>
            <w:vAlign w:val="center"/>
            <w:hideMark/>
          </w:tcPr>
          <w:p w14:paraId="1311F0AC"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42,466 Full and Partial Chemical Reports</w:t>
            </w:r>
          </w:p>
        </w:tc>
        <w:tc>
          <w:tcPr>
            <w:tcW w:w="1681" w:type="dxa"/>
            <w:gridSpan w:val="2"/>
            <w:tcBorders>
              <w:top w:val="nil"/>
              <w:left w:val="nil"/>
              <w:bottom w:val="single" w:sz="8" w:space="0" w:color="auto"/>
              <w:right w:val="single" w:sz="8" w:space="0" w:color="auto"/>
            </w:tcBorders>
            <w:shd w:val="clear" w:color="auto" w:fill="auto"/>
            <w:vAlign w:val="center"/>
            <w:hideMark/>
          </w:tcPr>
          <w:p w14:paraId="324AABE9"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$0.31 </w:t>
            </w:r>
          </w:p>
        </w:tc>
        <w:tc>
          <w:tcPr>
            <w:tcW w:w="1544" w:type="dxa"/>
            <w:gridSpan w:val="2"/>
            <w:tcBorders>
              <w:top w:val="nil"/>
              <w:left w:val="nil"/>
              <w:bottom w:val="single" w:sz="8" w:space="0" w:color="auto"/>
              <w:right w:val="single" w:sz="8" w:space="0" w:color="auto"/>
            </w:tcBorders>
            <w:shd w:val="clear" w:color="000000" w:fill="FFFFFF"/>
            <w:vAlign w:val="center"/>
            <w:hideMark/>
          </w:tcPr>
          <w:p w14:paraId="75B1D0AC" w14:textId="77777777" w:rsidR="009A1BF1" w:rsidRPr="009A1BF1" w:rsidRDefault="009A1BF1" w:rsidP="009A1BF1">
            <w:pPr>
              <w:ind w:firstLineChars="100" w:firstLine="200"/>
              <w:jc w:val="right"/>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$13,164.46 </w:t>
            </w:r>
          </w:p>
        </w:tc>
      </w:tr>
      <w:tr w:rsidR="009A1BF1" w:rsidRPr="009A1BF1" w14:paraId="3CF6E64F" w14:textId="77777777" w:rsidTr="00392D59">
        <w:trPr>
          <w:trHeight w:val="510"/>
        </w:trPr>
        <w:tc>
          <w:tcPr>
            <w:tcW w:w="1710" w:type="dxa"/>
            <w:vMerge/>
            <w:tcBorders>
              <w:top w:val="nil"/>
              <w:left w:val="single" w:sz="8" w:space="0" w:color="auto"/>
              <w:bottom w:val="single" w:sz="8" w:space="0" w:color="000000"/>
              <w:right w:val="single" w:sz="8" w:space="0" w:color="auto"/>
            </w:tcBorders>
            <w:vAlign w:val="center"/>
            <w:hideMark/>
          </w:tcPr>
          <w:p w14:paraId="19ECE2C1" w14:textId="77777777" w:rsidR="009A1BF1" w:rsidRPr="009A1BF1" w:rsidRDefault="009A1BF1" w:rsidP="009A1BF1">
            <w:pPr>
              <w:rPr>
                <w:rFonts w:ascii="Arial Narrow" w:eastAsia="Times New Roman" w:hAnsi="Arial Narrow" w:cs="Calibri"/>
                <w:color w:val="000000"/>
                <w:sz w:val="20"/>
                <w:szCs w:val="20"/>
              </w:rPr>
            </w:pPr>
          </w:p>
        </w:tc>
        <w:tc>
          <w:tcPr>
            <w:tcW w:w="1530" w:type="dxa"/>
            <w:vMerge/>
            <w:tcBorders>
              <w:top w:val="single" w:sz="8" w:space="0" w:color="auto"/>
              <w:left w:val="single" w:sz="8" w:space="0" w:color="auto"/>
              <w:bottom w:val="single" w:sz="8" w:space="0" w:color="000000"/>
              <w:right w:val="single" w:sz="8" w:space="0" w:color="000000"/>
            </w:tcBorders>
            <w:vAlign w:val="center"/>
            <w:hideMark/>
          </w:tcPr>
          <w:p w14:paraId="2FC3CA00" w14:textId="77777777" w:rsidR="009A1BF1" w:rsidRPr="009A1BF1" w:rsidRDefault="009A1BF1" w:rsidP="009A1BF1">
            <w:pPr>
              <w:rPr>
                <w:rFonts w:ascii="Arial Narrow" w:eastAsia="Times New Roman" w:hAnsi="Arial Narrow" w:cs="Calibri"/>
                <w:color w:val="000000"/>
                <w:sz w:val="20"/>
                <w:szCs w:val="20"/>
              </w:rPr>
            </w:pPr>
          </w:p>
        </w:tc>
        <w:tc>
          <w:tcPr>
            <w:tcW w:w="1530" w:type="dxa"/>
            <w:tcBorders>
              <w:top w:val="single" w:sz="8" w:space="0" w:color="auto"/>
              <w:left w:val="nil"/>
              <w:bottom w:val="single" w:sz="8" w:space="0" w:color="auto"/>
              <w:right w:val="single" w:sz="8" w:space="0" w:color="000000"/>
            </w:tcBorders>
            <w:shd w:val="clear" w:color="auto" w:fill="auto"/>
            <w:vAlign w:val="center"/>
            <w:hideMark/>
          </w:tcPr>
          <w:p w14:paraId="05292B35"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Part III</w:t>
            </w:r>
          </w:p>
        </w:tc>
        <w:tc>
          <w:tcPr>
            <w:tcW w:w="1890" w:type="dxa"/>
            <w:tcBorders>
              <w:top w:val="single" w:sz="8" w:space="0" w:color="auto"/>
              <w:left w:val="nil"/>
              <w:bottom w:val="single" w:sz="8" w:space="0" w:color="auto"/>
              <w:right w:val="single" w:sz="8" w:space="0" w:color="000000"/>
            </w:tcBorders>
            <w:shd w:val="clear" w:color="000000" w:fill="FFFFFF"/>
            <w:vAlign w:val="center"/>
            <w:hideMark/>
          </w:tcPr>
          <w:p w14:paraId="176B557E"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33,123 Full Chemical Reports</w:t>
            </w:r>
          </w:p>
        </w:tc>
        <w:tc>
          <w:tcPr>
            <w:tcW w:w="1681" w:type="dxa"/>
            <w:gridSpan w:val="2"/>
            <w:tcBorders>
              <w:top w:val="nil"/>
              <w:left w:val="nil"/>
              <w:bottom w:val="single" w:sz="8" w:space="0" w:color="auto"/>
              <w:right w:val="single" w:sz="8" w:space="0" w:color="auto"/>
            </w:tcBorders>
            <w:shd w:val="clear" w:color="auto" w:fill="auto"/>
            <w:vAlign w:val="center"/>
            <w:hideMark/>
          </w:tcPr>
          <w:p w14:paraId="0BBB6FF5"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$0.35 </w:t>
            </w:r>
          </w:p>
        </w:tc>
        <w:tc>
          <w:tcPr>
            <w:tcW w:w="1544" w:type="dxa"/>
            <w:gridSpan w:val="2"/>
            <w:tcBorders>
              <w:top w:val="nil"/>
              <w:left w:val="nil"/>
              <w:bottom w:val="single" w:sz="8" w:space="0" w:color="auto"/>
              <w:right w:val="single" w:sz="8" w:space="0" w:color="auto"/>
            </w:tcBorders>
            <w:shd w:val="clear" w:color="000000" w:fill="FFFFFF"/>
            <w:vAlign w:val="center"/>
            <w:hideMark/>
          </w:tcPr>
          <w:p w14:paraId="30C2D1C9" w14:textId="77777777" w:rsidR="009A1BF1" w:rsidRPr="009A1BF1" w:rsidRDefault="009A1BF1" w:rsidP="009A1BF1">
            <w:pPr>
              <w:ind w:firstLineChars="100" w:firstLine="200"/>
              <w:jc w:val="right"/>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$11,593.22 </w:t>
            </w:r>
          </w:p>
        </w:tc>
      </w:tr>
      <w:tr w:rsidR="009A1BF1" w:rsidRPr="009A1BF1" w14:paraId="777DF9FD" w14:textId="77777777" w:rsidTr="00392D59">
        <w:trPr>
          <w:trHeight w:val="390"/>
        </w:trPr>
        <w:tc>
          <w:tcPr>
            <w:tcW w:w="1710" w:type="dxa"/>
            <w:vMerge w:val="restart"/>
            <w:tcBorders>
              <w:top w:val="nil"/>
              <w:left w:val="single" w:sz="8" w:space="0" w:color="auto"/>
              <w:bottom w:val="single" w:sz="8" w:space="0" w:color="000000"/>
              <w:right w:val="single" w:sz="8" w:space="0" w:color="auto"/>
            </w:tcBorders>
            <w:shd w:val="clear" w:color="auto" w:fill="auto"/>
            <w:vAlign w:val="center"/>
            <w:hideMark/>
          </w:tcPr>
          <w:p w14:paraId="66EE39D1" w14:textId="77777777" w:rsidR="009A1BF1" w:rsidRPr="009A1BF1" w:rsidRDefault="009A1BF1" w:rsidP="009A1BF1">
            <w:pP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Quality Control</w:t>
            </w:r>
          </w:p>
        </w:tc>
        <w:tc>
          <w:tcPr>
            <w:tcW w:w="153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C2CEDF3"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EPA Program Staff </w:t>
            </w:r>
          </w:p>
        </w:tc>
        <w:tc>
          <w:tcPr>
            <w:tcW w:w="1530" w:type="dxa"/>
            <w:tcBorders>
              <w:top w:val="single" w:sz="8" w:space="0" w:color="auto"/>
              <w:left w:val="nil"/>
              <w:bottom w:val="single" w:sz="8" w:space="0" w:color="auto"/>
              <w:right w:val="single" w:sz="8" w:space="0" w:color="000000"/>
            </w:tcBorders>
            <w:shd w:val="clear" w:color="auto" w:fill="auto"/>
            <w:vAlign w:val="center"/>
            <w:hideMark/>
          </w:tcPr>
          <w:p w14:paraId="42B17A1D"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Part I</w:t>
            </w:r>
          </w:p>
        </w:tc>
        <w:tc>
          <w:tcPr>
            <w:tcW w:w="1890" w:type="dxa"/>
            <w:tcBorders>
              <w:top w:val="single" w:sz="8" w:space="0" w:color="auto"/>
              <w:left w:val="nil"/>
              <w:bottom w:val="single" w:sz="8" w:space="0" w:color="auto"/>
              <w:right w:val="single" w:sz="8" w:space="0" w:color="000000"/>
            </w:tcBorders>
            <w:shd w:val="clear" w:color="000000" w:fill="FFFFFF"/>
            <w:vAlign w:val="center"/>
            <w:hideMark/>
          </w:tcPr>
          <w:p w14:paraId="2DA68786"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5,662 Sites</w:t>
            </w:r>
          </w:p>
        </w:tc>
        <w:tc>
          <w:tcPr>
            <w:tcW w:w="1681" w:type="dxa"/>
            <w:gridSpan w:val="2"/>
            <w:tcBorders>
              <w:top w:val="nil"/>
              <w:left w:val="nil"/>
              <w:bottom w:val="single" w:sz="8" w:space="0" w:color="auto"/>
              <w:right w:val="single" w:sz="8" w:space="0" w:color="auto"/>
            </w:tcBorders>
            <w:shd w:val="clear" w:color="auto" w:fill="auto"/>
            <w:vAlign w:val="center"/>
            <w:hideMark/>
          </w:tcPr>
          <w:p w14:paraId="68A9E31D"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$0.12 </w:t>
            </w:r>
          </w:p>
        </w:tc>
        <w:tc>
          <w:tcPr>
            <w:tcW w:w="1544" w:type="dxa"/>
            <w:gridSpan w:val="2"/>
            <w:tcBorders>
              <w:top w:val="nil"/>
              <w:left w:val="nil"/>
              <w:bottom w:val="single" w:sz="8" w:space="0" w:color="auto"/>
              <w:right w:val="single" w:sz="8" w:space="0" w:color="auto"/>
            </w:tcBorders>
            <w:shd w:val="clear" w:color="000000" w:fill="FFFFFF"/>
            <w:vAlign w:val="center"/>
            <w:hideMark/>
          </w:tcPr>
          <w:p w14:paraId="587ABBA8" w14:textId="77777777" w:rsidR="009A1BF1" w:rsidRPr="009A1BF1" w:rsidRDefault="009A1BF1" w:rsidP="009A1BF1">
            <w:pPr>
              <w:ind w:firstLineChars="100" w:firstLine="200"/>
              <w:jc w:val="right"/>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$679.44 </w:t>
            </w:r>
          </w:p>
        </w:tc>
      </w:tr>
      <w:tr w:rsidR="009A1BF1" w:rsidRPr="009A1BF1" w14:paraId="15699361" w14:textId="77777777" w:rsidTr="00392D59">
        <w:trPr>
          <w:trHeight w:val="570"/>
        </w:trPr>
        <w:tc>
          <w:tcPr>
            <w:tcW w:w="1710" w:type="dxa"/>
            <w:vMerge/>
            <w:tcBorders>
              <w:top w:val="nil"/>
              <w:left w:val="single" w:sz="8" w:space="0" w:color="auto"/>
              <w:bottom w:val="single" w:sz="8" w:space="0" w:color="000000"/>
              <w:right w:val="single" w:sz="8" w:space="0" w:color="auto"/>
            </w:tcBorders>
            <w:vAlign w:val="center"/>
            <w:hideMark/>
          </w:tcPr>
          <w:p w14:paraId="36EC5692" w14:textId="77777777" w:rsidR="009A1BF1" w:rsidRPr="009A1BF1" w:rsidRDefault="009A1BF1" w:rsidP="009A1BF1">
            <w:pPr>
              <w:rPr>
                <w:rFonts w:ascii="Arial Narrow" w:eastAsia="Times New Roman" w:hAnsi="Arial Narrow" w:cs="Calibri"/>
                <w:color w:val="000000"/>
                <w:sz w:val="20"/>
                <w:szCs w:val="20"/>
              </w:rPr>
            </w:pPr>
          </w:p>
        </w:tc>
        <w:tc>
          <w:tcPr>
            <w:tcW w:w="1530" w:type="dxa"/>
            <w:vMerge/>
            <w:tcBorders>
              <w:top w:val="single" w:sz="8" w:space="0" w:color="auto"/>
              <w:left w:val="single" w:sz="8" w:space="0" w:color="auto"/>
              <w:bottom w:val="single" w:sz="8" w:space="0" w:color="000000"/>
              <w:right w:val="single" w:sz="8" w:space="0" w:color="000000"/>
            </w:tcBorders>
            <w:vAlign w:val="center"/>
            <w:hideMark/>
          </w:tcPr>
          <w:p w14:paraId="23C1FC07" w14:textId="77777777" w:rsidR="009A1BF1" w:rsidRPr="009A1BF1" w:rsidRDefault="009A1BF1" w:rsidP="009A1BF1">
            <w:pPr>
              <w:rPr>
                <w:rFonts w:ascii="Arial Narrow" w:eastAsia="Times New Roman" w:hAnsi="Arial Narrow" w:cs="Calibri"/>
                <w:color w:val="000000"/>
                <w:sz w:val="20"/>
                <w:szCs w:val="20"/>
              </w:rPr>
            </w:pPr>
          </w:p>
        </w:tc>
        <w:tc>
          <w:tcPr>
            <w:tcW w:w="1530" w:type="dxa"/>
            <w:tcBorders>
              <w:top w:val="single" w:sz="8" w:space="0" w:color="auto"/>
              <w:left w:val="nil"/>
              <w:bottom w:val="single" w:sz="8" w:space="0" w:color="auto"/>
              <w:right w:val="single" w:sz="8" w:space="0" w:color="000000"/>
            </w:tcBorders>
            <w:shd w:val="clear" w:color="auto" w:fill="auto"/>
            <w:vAlign w:val="center"/>
            <w:hideMark/>
          </w:tcPr>
          <w:p w14:paraId="63EE5BFA"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Part II</w:t>
            </w:r>
          </w:p>
        </w:tc>
        <w:tc>
          <w:tcPr>
            <w:tcW w:w="1890" w:type="dxa"/>
            <w:tcBorders>
              <w:top w:val="single" w:sz="8" w:space="0" w:color="auto"/>
              <w:left w:val="nil"/>
              <w:bottom w:val="single" w:sz="8" w:space="0" w:color="auto"/>
              <w:right w:val="single" w:sz="8" w:space="0" w:color="000000"/>
            </w:tcBorders>
            <w:shd w:val="clear" w:color="000000" w:fill="FFFFFF"/>
            <w:vAlign w:val="center"/>
            <w:hideMark/>
          </w:tcPr>
          <w:p w14:paraId="4A4B71F1"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42,466 Full and Partial Chemical Reports</w:t>
            </w:r>
          </w:p>
        </w:tc>
        <w:tc>
          <w:tcPr>
            <w:tcW w:w="1681" w:type="dxa"/>
            <w:gridSpan w:val="2"/>
            <w:tcBorders>
              <w:top w:val="nil"/>
              <w:left w:val="nil"/>
              <w:bottom w:val="single" w:sz="8" w:space="0" w:color="auto"/>
              <w:right w:val="single" w:sz="8" w:space="0" w:color="auto"/>
            </w:tcBorders>
            <w:shd w:val="clear" w:color="auto" w:fill="auto"/>
            <w:vAlign w:val="center"/>
            <w:hideMark/>
          </w:tcPr>
          <w:p w14:paraId="4B5F0883"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$0.34 </w:t>
            </w:r>
          </w:p>
        </w:tc>
        <w:tc>
          <w:tcPr>
            <w:tcW w:w="1544" w:type="dxa"/>
            <w:gridSpan w:val="2"/>
            <w:tcBorders>
              <w:top w:val="nil"/>
              <w:left w:val="nil"/>
              <w:bottom w:val="single" w:sz="8" w:space="0" w:color="auto"/>
              <w:right w:val="single" w:sz="8" w:space="0" w:color="auto"/>
            </w:tcBorders>
            <w:shd w:val="clear" w:color="000000" w:fill="FFFFFF"/>
            <w:vAlign w:val="center"/>
            <w:hideMark/>
          </w:tcPr>
          <w:p w14:paraId="17D65AE4" w14:textId="77777777" w:rsidR="009A1BF1" w:rsidRPr="009A1BF1" w:rsidRDefault="009A1BF1" w:rsidP="009A1BF1">
            <w:pPr>
              <w:ind w:firstLineChars="100" w:firstLine="200"/>
              <w:jc w:val="right"/>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$14,438.44 </w:t>
            </w:r>
          </w:p>
        </w:tc>
      </w:tr>
      <w:tr w:rsidR="009A1BF1" w:rsidRPr="009A1BF1" w14:paraId="5CF017DA" w14:textId="77777777" w:rsidTr="00392D59">
        <w:trPr>
          <w:trHeight w:val="630"/>
        </w:trPr>
        <w:tc>
          <w:tcPr>
            <w:tcW w:w="1710" w:type="dxa"/>
            <w:vMerge/>
            <w:tcBorders>
              <w:top w:val="nil"/>
              <w:left w:val="single" w:sz="8" w:space="0" w:color="auto"/>
              <w:bottom w:val="single" w:sz="8" w:space="0" w:color="000000"/>
              <w:right w:val="single" w:sz="8" w:space="0" w:color="auto"/>
            </w:tcBorders>
            <w:vAlign w:val="center"/>
            <w:hideMark/>
          </w:tcPr>
          <w:p w14:paraId="0E47ACB5" w14:textId="77777777" w:rsidR="009A1BF1" w:rsidRPr="009A1BF1" w:rsidRDefault="009A1BF1" w:rsidP="009A1BF1">
            <w:pPr>
              <w:rPr>
                <w:rFonts w:ascii="Arial Narrow" w:eastAsia="Times New Roman" w:hAnsi="Arial Narrow" w:cs="Calibri"/>
                <w:color w:val="000000"/>
                <w:sz w:val="20"/>
                <w:szCs w:val="20"/>
              </w:rPr>
            </w:pPr>
          </w:p>
        </w:tc>
        <w:tc>
          <w:tcPr>
            <w:tcW w:w="1530" w:type="dxa"/>
            <w:vMerge/>
            <w:tcBorders>
              <w:top w:val="single" w:sz="8" w:space="0" w:color="auto"/>
              <w:left w:val="single" w:sz="8" w:space="0" w:color="auto"/>
              <w:bottom w:val="single" w:sz="8" w:space="0" w:color="000000"/>
              <w:right w:val="single" w:sz="8" w:space="0" w:color="000000"/>
            </w:tcBorders>
            <w:vAlign w:val="center"/>
            <w:hideMark/>
          </w:tcPr>
          <w:p w14:paraId="6EB965A1" w14:textId="77777777" w:rsidR="009A1BF1" w:rsidRPr="009A1BF1" w:rsidRDefault="009A1BF1" w:rsidP="009A1BF1">
            <w:pPr>
              <w:rPr>
                <w:rFonts w:ascii="Arial Narrow" w:eastAsia="Times New Roman" w:hAnsi="Arial Narrow" w:cs="Calibri"/>
                <w:color w:val="000000"/>
                <w:sz w:val="20"/>
                <w:szCs w:val="20"/>
              </w:rPr>
            </w:pPr>
          </w:p>
        </w:tc>
        <w:tc>
          <w:tcPr>
            <w:tcW w:w="1530" w:type="dxa"/>
            <w:tcBorders>
              <w:top w:val="single" w:sz="8" w:space="0" w:color="auto"/>
              <w:left w:val="nil"/>
              <w:bottom w:val="single" w:sz="8" w:space="0" w:color="auto"/>
              <w:right w:val="single" w:sz="8" w:space="0" w:color="000000"/>
            </w:tcBorders>
            <w:shd w:val="clear" w:color="auto" w:fill="auto"/>
            <w:vAlign w:val="center"/>
            <w:hideMark/>
          </w:tcPr>
          <w:p w14:paraId="597CD570"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Part III</w:t>
            </w:r>
          </w:p>
        </w:tc>
        <w:tc>
          <w:tcPr>
            <w:tcW w:w="1890" w:type="dxa"/>
            <w:tcBorders>
              <w:top w:val="single" w:sz="8" w:space="0" w:color="auto"/>
              <w:left w:val="nil"/>
              <w:bottom w:val="single" w:sz="8" w:space="0" w:color="auto"/>
              <w:right w:val="single" w:sz="8" w:space="0" w:color="000000"/>
            </w:tcBorders>
            <w:shd w:val="clear" w:color="000000" w:fill="FFFFFF"/>
            <w:vAlign w:val="center"/>
            <w:hideMark/>
          </w:tcPr>
          <w:p w14:paraId="2514FE95"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33,123 Full Chemical Reports</w:t>
            </w:r>
          </w:p>
        </w:tc>
        <w:tc>
          <w:tcPr>
            <w:tcW w:w="1681" w:type="dxa"/>
            <w:gridSpan w:val="2"/>
            <w:tcBorders>
              <w:top w:val="nil"/>
              <w:left w:val="nil"/>
              <w:bottom w:val="single" w:sz="8" w:space="0" w:color="auto"/>
              <w:right w:val="single" w:sz="8" w:space="0" w:color="auto"/>
            </w:tcBorders>
            <w:shd w:val="clear" w:color="auto" w:fill="auto"/>
            <w:vAlign w:val="center"/>
            <w:hideMark/>
          </w:tcPr>
          <w:p w14:paraId="31776C40"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$0.40 </w:t>
            </w:r>
          </w:p>
        </w:tc>
        <w:tc>
          <w:tcPr>
            <w:tcW w:w="1544" w:type="dxa"/>
            <w:gridSpan w:val="2"/>
            <w:tcBorders>
              <w:top w:val="nil"/>
              <w:left w:val="nil"/>
              <w:bottom w:val="single" w:sz="8" w:space="0" w:color="auto"/>
              <w:right w:val="single" w:sz="8" w:space="0" w:color="auto"/>
            </w:tcBorders>
            <w:shd w:val="clear" w:color="000000" w:fill="FFFFFF"/>
            <w:vAlign w:val="center"/>
            <w:hideMark/>
          </w:tcPr>
          <w:p w14:paraId="4D80B016" w14:textId="77777777" w:rsidR="009A1BF1" w:rsidRPr="009A1BF1" w:rsidRDefault="009A1BF1" w:rsidP="009A1BF1">
            <w:pPr>
              <w:ind w:firstLineChars="100" w:firstLine="200"/>
              <w:jc w:val="right"/>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$13,249.39 </w:t>
            </w:r>
          </w:p>
        </w:tc>
      </w:tr>
      <w:tr w:rsidR="009A1BF1" w:rsidRPr="009A1BF1" w14:paraId="770A1E0C" w14:textId="77777777" w:rsidTr="00392D59">
        <w:trPr>
          <w:trHeight w:val="540"/>
        </w:trPr>
        <w:tc>
          <w:tcPr>
            <w:tcW w:w="1710" w:type="dxa"/>
            <w:vMerge/>
            <w:tcBorders>
              <w:top w:val="nil"/>
              <w:left w:val="single" w:sz="8" w:space="0" w:color="auto"/>
              <w:bottom w:val="single" w:sz="8" w:space="0" w:color="000000"/>
              <w:right w:val="single" w:sz="8" w:space="0" w:color="auto"/>
            </w:tcBorders>
            <w:vAlign w:val="center"/>
            <w:hideMark/>
          </w:tcPr>
          <w:p w14:paraId="01CFFA90" w14:textId="77777777" w:rsidR="009A1BF1" w:rsidRPr="009A1BF1" w:rsidRDefault="009A1BF1" w:rsidP="009A1BF1">
            <w:pPr>
              <w:rPr>
                <w:rFonts w:ascii="Arial Narrow" w:eastAsia="Times New Roman" w:hAnsi="Arial Narrow" w:cs="Calibri"/>
                <w:color w:val="000000"/>
                <w:sz w:val="20"/>
                <w:szCs w:val="20"/>
              </w:rPr>
            </w:pPr>
          </w:p>
        </w:tc>
        <w:tc>
          <w:tcPr>
            <w:tcW w:w="1530" w:type="dxa"/>
            <w:vMerge/>
            <w:tcBorders>
              <w:top w:val="single" w:sz="8" w:space="0" w:color="auto"/>
              <w:left w:val="single" w:sz="8" w:space="0" w:color="auto"/>
              <w:bottom w:val="single" w:sz="8" w:space="0" w:color="000000"/>
              <w:right w:val="single" w:sz="8" w:space="0" w:color="000000"/>
            </w:tcBorders>
            <w:vAlign w:val="center"/>
            <w:hideMark/>
          </w:tcPr>
          <w:p w14:paraId="22CC1D2A" w14:textId="77777777" w:rsidR="009A1BF1" w:rsidRPr="009A1BF1" w:rsidRDefault="009A1BF1" w:rsidP="009A1BF1">
            <w:pPr>
              <w:rPr>
                <w:rFonts w:ascii="Arial Narrow" w:eastAsia="Times New Roman" w:hAnsi="Arial Narrow" w:cs="Calibri"/>
                <w:color w:val="000000"/>
                <w:sz w:val="20"/>
                <w:szCs w:val="20"/>
              </w:rPr>
            </w:pPr>
          </w:p>
        </w:tc>
        <w:tc>
          <w:tcPr>
            <w:tcW w:w="1530" w:type="dxa"/>
            <w:tcBorders>
              <w:top w:val="single" w:sz="8" w:space="0" w:color="auto"/>
              <w:left w:val="nil"/>
              <w:bottom w:val="single" w:sz="8" w:space="0" w:color="auto"/>
              <w:right w:val="single" w:sz="8" w:space="0" w:color="000000"/>
            </w:tcBorders>
            <w:shd w:val="clear" w:color="auto" w:fill="auto"/>
            <w:vAlign w:val="center"/>
            <w:hideMark/>
          </w:tcPr>
          <w:p w14:paraId="0B87863E"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Electronic Signature Agreements</w:t>
            </w:r>
          </w:p>
        </w:tc>
        <w:tc>
          <w:tcPr>
            <w:tcW w:w="1890" w:type="dxa"/>
            <w:tcBorders>
              <w:top w:val="single" w:sz="8" w:space="0" w:color="auto"/>
              <w:left w:val="nil"/>
              <w:bottom w:val="single" w:sz="8" w:space="0" w:color="auto"/>
              <w:right w:val="single" w:sz="8" w:space="0" w:color="000000"/>
            </w:tcBorders>
            <w:shd w:val="clear" w:color="000000" w:fill="FFFFFF"/>
            <w:vAlign w:val="center"/>
            <w:hideMark/>
          </w:tcPr>
          <w:p w14:paraId="6935A28E" w14:textId="77777777" w:rsidR="009A1BF1" w:rsidRPr="009A1BF1" w:rsidRDefault="00003E7C" w:rsidP="009A1BF1">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1,416</w:t>
            </w:r>
            <w:r w:rsidR="009A1BF1" w:rsidRPr="009A1BF1">
              <w:rPr>
                <w:rFonts w:ascii="Arial Narrow" w:eastAsia="Times New Roman" w:hAnsi="Arial Narrow" w:cs="Calibri"/>
                <w:color w:val="000000"/>
                <w:sz w:val="20"/>
                <w:szCs w:val="20"/>
              </w:rPr>
              <w:t xml:space="preserve"> CDX Registrations</w:t>
            </w:r>
          </w:p>
        </w:tc>
        <w:tc>
          <w:tcPr>
            <w:tcW w:w="1681" w:type="dxa"/>
            <w:gridSpan w:val="2"/>
            <w:tcBorders>
              <w:top w:val="nil"/>
              <w:left w:val="nil"/>
              <w:bottom w:val="single" w:sz="8" w:space="0" w:color="auto"/>
              <w:right w:val="single" w:sz="8" w:space="0" w:color="auto"/>
            </w:tcBorders>
            <w:shd w:val="clear" w:color="auto" w:fill="auto"/>
            <w:vAlign w:val="center"/>
            <w:hideMark/>
          </w:tcPr>
          <w:p w14:paraId="49AA1DF7"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$0.51 </w:t>
            </w:r>
          </w:p>
        </w:tc>
        <w:tc>
          <w:tcPr>
            <w:tcW w:w="1544" w:type="dxa"/>
            <w:gridSpan w:val="2"/>
            <w:tcBorders>
              <w:top w:val="nil"/>
              <w:left w:val="nil"/>
              <w:bottom w:val="single" w:sz="8" w:space="0" w:color="auto"/>
              <w:right w:val="single" w:sz="8" w:space="0" w:color="auto"/>
            </w:tcBorders>
            <w:shd w:val="clear" w:color="000000" w:fill="FFFFFF"/>
            <w:vAlign w:val="center"/>
            <w:hideMark/>
          </w:tcPr>
          <w:p w14:paraId="1E4C7AA7" w14:textId="77777777" w:rsidR="009A1BF1" w:rsidRPr="009A1BF1" w:rsidRDefault="009A1BF1" w:rsidP="009A1BF1">
            <w:pPr>
              <w:ind w:firstLineChars="100" w:firstLine="200"/>
              <w:jc w:val="right"/>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w:t>
            </w:r>
            <w:r w:rsidR="004D049A">
              <w:rPr>
                <w:rFonts w:ascii="Arial Narrow" w:eastAsia="Times New Roman" w:hAnsi="Arial Narrow" w:cs="Calibri"/>
                <w:color w:val="000000"/>
                <w:sz w:val="20"/>
                <w:szCs w:val="20"/>
              </w:rPr>
              <w:t>721.91</w:t>
            </w:r>
            <w:r w:rsidRPr="009A1BF1">
              <w:rPr>
                <w:rFonts w:ascii="Arial Narrow" w:eastAsia="Times New Roman" w:hAnsi="Arial Narrow" w:cs="Calibri"/>
                <w:color w:val="000000"/>
                <w:sz w:val="20"/>
                <w:szCs w:val="20"/>
              </w:rPr>
              <w:t xml:space="preserve"> </w:t>
            </w:r>
          </w:p>
        </w:tc>
      </w:tr>
      <w:tr w:rsidR="009A1BF1" w:rsidRPr="009A1BF1" w14:paraId="559D20A7" w14:textId="77777777" w:rsidTr="00392D59">
        <w:trPr>
          <w:trHeight w:val="315"/>
        </w:trPr>
        <w:tc>
          <w:tcPr>
            <w:tcW w:w="834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A2FBA34" w14:textId="77777777" w:rsidR="009A1BF1" w:rsidRPr="009A1BF1" w:rsidRDefault="009A1BF1" w:rsidP="009A1BF1">
            <w:pPr>
              <w:rPr>
                <w:rFonts w:ascii="Arial Narrow" w:eastAsia="Times New Roman" w:hAnsi="Arial Narrow" w:cs="Calibri"/>
                <w:b/>
                <w:bCs/>
                <w:color w:val="000000"/>
                <w:sz w:val="20"/>
                <w:szCs w:val="20"/>
              </w:rPr>
            </w:pPr>
            <w:r w:rsidRPr="009A1BF1">
              <w:rPr>
                <w:rFonts w:ascii="Arial Narrow" w:eastAsia="Times New Roman" w:hAnsi="Arial Narrow" w:cs="Calibri"/>
                <w:b/>
                <w:bCs/>
                <w:color w:val="000000"/>
                <w:sz w:val="20"/>
                <w:szCs w:val="20"/>
              </w:rPr>
              <w:t>Total Variable Burden and Cost</w:t>
            </w:r>
          </w:p>
        </w:tc>
        <w:tc>
          <w:tcPr>
            <w:tcW w:w="1544" w:type="dxa"/>
            <w:gridSpan w:val="2"/>
            <w:tcBorders>
              <w:top w:val="nil"/>
              <w:left w:val="nil"/>
              <w:bottom w:val="single" w:sz="8" w:space="0" w:color="auto"/>
              <w:right w:val="single" w:sz="8" w:space="0" w:color="auto"/>
            </w:tcBorders>
            <w:shd w:val="clear" w:color="auto" w:fill="auto"/>
            <w:vAlign w:val="center"/>
            <w:hideMark/>
          </w:tcPr>
          <w:p w14:paraId="740742DD" w14:textId="77777777" w:rsidR="009A1BF1" w:rsidRPr="009A1BF1" w:rsidRDefault="009A1BF1" w:rsidP="009A1BF1">
            <w:pPr>
              <w:ind w:firstLineChars="100" w:firstLine="201"/>
              <w:jc w:val="right"/>
              <w:rPr>
                <w:rFonts w:ascii="Arial Narrow" w:eastAsia="Times New Roman" w:hAnsi="Arial Narrow" w:cs="Calibri"/>
                <w:b/>
                <w:bCs/>
                <w:color w:val="000000"/>
                <w:sz w:val="20"/>
                <w:szCs w:val="20"/>
              </w:rPr>
            </w:pPr>
            <w:r w:rsidRPr="009A1BF1">
              <w:rPr>
                <w:rFonts w:ascii="Arial Narrow" w:eastAsia="Times New Roman" w:hAnsi="Arial Narrow" w:cs="Calibri"/>
                <w:b/>
                <w:bCs/>
                <w:color w:val="000000"/>
                <w:sz w:val="20"/>
                <w:szCs w:val="20"/>
              </w:rPr>
              <w:t>$5</w:t>
            </w:r>
            <w:r w:rsidR="004D049A">
              <w:rPr>
                <w:rFonts w:ascii="Arial Narrow" w:eastAsia="Times New Roman" w:hAnsi="Arial Narrow" w:cs="Calibri"/>
                <w:b/>
                <w:bCs/>
                <w:color w:val="000000"/>
                <w:sz w:val="20"/>
                <w:szCs w:val="20"/>
              </w:rPr>
              <w:t>4</w:t>
            </w:r>
            <w:r w:rsidRPr="009A1BF1">
              <w:rPr>
                <w:rFonts w:ascii="Arial Narrow" w:eastAsia="Times New Roman" w:hAnsi="Arial Narrow" w:cs="Calibri"/>
                <w:b/>
                <w:bCs/>
                <w:color w:val="000000"/>
                <w:sz w:val="20"/>
                <w:szCs w:val="20"/>
              </w:rPr>
              <w:t>,</w:t>
            </w:r>
            <w:r w:rsidR="004D049A">
              <w:rPr>
                <w:rFonts w:ascii="Arial Narrow" w:eastAsia="Times New Roman" w:hAnsi="Arial Narrow" w:cs="Calibri"/>
                <w:b/>
                <w:bCs/>
                <w:color w:val="000000"/>
                <w:sz w:val="20"/>
                <w:szCs w:val="20"/>
              </w:rPr>
              <w:t>470</w:t>
            </w:r>
            <w:r w:rsidRPr="009A1BF1">
              <w:rPr>
                <w:rFonts w:ascii="Arial Narrow" w:eastAsia="Times New Roman" w:hAnsi="Arial Narrow" w:cs="Calibri"/>
                <w:b/>
                <w:bCs/>
                <w:color w:val="000000"/>
                <w:sz w:val="20"/>
                <w:szCs w:val="20"/>
              </w:rPr>
              <w:t xml:space="preserve">.00 </w:t>
            </w:r>
          </w:p>
        </w:tc>
      </w:tr>
      <w:tr w:rsidR="009A1BF1" w:rsidRPr="009A1BF1" w14:paraId="337F261A" w14:textId="77777777" w:rsidTr="00392D59">
        <w:trPr>
          <w:trHeight w:val="315"/>
        </w:trPr>
        <w:tc>
          <w:tcPr>
            <w:tcW w:w="9885" w:type="dxa"/>
            <w:gridSpan w:val="8"/>
            <w:tcBorders>
              <w:top w:val="single" w:sz="8" w:space="0" w:color="auto"/>
              <w:left w:val="single" w:sz="8" w:space="0" w:color="auto"/>
              <w:bottom w:val="single" w:sz="8" w:space="0" w:color="auto"/>
              <w:right w:val="single" w:sz="8" w:space="0" w:color="000000"/>
            </w:tcBorders>
            <w:shd w:val="clear" w:color="000000" w:fill="F3F3F3"/>
            <w:vAlign w:val="center"/>
            <w:hideMark/>
          </w:tcPr>
          <w:p w14:paraId="07FA96FD" w14:textId="77777777" w:rsidR="009A1BF1" w:rsidRPr="009A1BF1" w:rsidRDefault="009A1BF1" w:rsidP="009A1BF1">
            <w:pPr>
              <w:rPr>
                <w:rFonts w:ascii="Arial Narrow" w:eastAsia="Times New Roman" w:hAnsi="Arial Narrow" w:cs="Calibri"/>
                <w:b/>
                <w:bCs/>
                <w:color w:val="000000"/>
                <w:sz w:val="20"/>
                <w:szCs w:val="20"/>
              </w:rPr>
            </w:pPr>
            <w:r w:rsidRPr="009A1BF1">
              <w:rPr>
                <w:rFonts w:ascii="Arial Narrow" w:eastAsia="Times New Roman" w:hAnsi="Arial Narrow" w:cs="Calibri"/>
                <w:b/>
                <w:bCs/>
                <w:color w:val="000000"/>
                <w:sz w:val="20"/>
                <w:szCs w:val="20"/>
              </w:rPr>
              <w:t>Printing and Publishing Forms and Materials</w:t>
            </w:r>
          </w:p>
        </w:tc>
      </w:tr>
      <w:tr w:rsidR="009A1BF1" w:rsidRPr="009A1BF1" w14:paraId="47129188" w14:textId="77777777" w:rsidTr="00392D59">
        <w:trPr>
          <w:trHeight w:val="20"/>
        </w:trPr>
        <w:tc>
          <w:tcPr>
            <w:tcW w:w="1710" w:type="dxa"/>
            <w:tcBorders>
              <w:top w:val="nil"/>
              <w:left w:val="single" w:sz="8" w:space="0" w:color="auto"/>
              <w:bottom w:val="nil"/>
              <w:right w:val="single" w:sz="8" w:space="0" w:color="auto"/>
            </w:tcBorders>
            <w:shd w:val="clear" w:color="auto" w:fill="auto"/>
            <w:vAlign w:val="center"/>
            <w:hideMark/>
          </w:tcPr>
          <w:p w14:paraId="2FE58425" w14:textId="77777777" w:rsidR="009A1BF1" w:rsidRPr="009A1BF1" w:rsidRDefault="009A1BF1" w:rsidP="009A1BF1">
            <w:pP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Data Processing, Systems Development; Contract Oversight and Management</w:t>
            </w:r>
          </w:p>
        </w:tc>
        <w:tc>
          <w:tcPr>
            <w:tcW w:w="153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30B4AF9"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EPA IT Staff</w:t>
            </w:r>
          </w:p>
        </w:tc>
        <w:tc>
          <w:tcPr>
            <w:tcW w:w="15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47E988"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N/A</w:t>
            </w:r>
          </w:p>
        </w:tc>
        <w:tc>
          <w:tcPr>
            <w:tcW w:w="189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8D6CD49"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N/A</w:t>
            </w:r>
          </w:p>
        </w:tc>
        <w:tc>
          <w:tcPr>
            <w:tcW w:w="168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38E6348"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N/A</w:t>
            </w:r>
          </w:p>
        </w:tc>
        <w:tc>
          <w:tcPr>
            <w:tcW w:w="154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8837B00" w14:textId="77777777" w:rsidR="009A1BF1" w:rsidRPr="009A1BF1" w:rsidRDefault="009A1BF1" w:rsidP="009A1BF1">
            <w:pPr>
              <w:ind w:firstLineChars="100" w:firstLine="200"/>
              <w:jc w:val="right"/>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$156,748.80 </w:t>
            </w:r>
          </w:p>
        </w:tc>
      </w:tr>
      <w:tr w:rsidR="009A1BF1" w:rsidRPr="009A1BF1" w14:paraId="444A1B1F" w14:textId="77777777" w:rsidTr="00392D59">
        <w:trPr>
          <w:trHeight w:val="20"/>
        </w:trPr>
        <w:tc>
          <w:tcPr>
            <w:tcW w:w="1710" w:type="dxa"/>
            <w:tcBorders>
              <w:top w:val="nil"/>
              <w:left w:val="single" w:sz="8" w:space="0" w:color="auto"/>
              <w:bottom w:val="single" w:sz="8" w:space="0" w:color="auto"/>
              <w:right w:val="single" w:sz="8" w:space="0" w:color="auto"/>
            </w:tcBorders>
            <w:shd w:val="clear" w:color="auto" w:fill="auto"/>
            <w:vAlign w:val="center"/>
            <w:hideMark/>
          </w:tcPr>
          <w:p w14:paraId="2E65E2C7" w14:textId="77777777" w:rsidR="009A1BF1" w:rsidRPr="009A1BF1" w:rsidRDefault="009A1BF1" w:rsidP="009A1BF1">
            <w:pPr>
              <w:rPr>
                <w:rFonts w:ascii="Arial Narrow" w:eastAsia="Times New Roman" w:hAnsi="Arial Narrow" w:cs="Calibri"/>
                <w:color w:val="000000"/>
                <w:sz w:val="20"/>
                <w:szCs w:val="20"/>
              </w:rPr>
            </w:pPr>
          </w:p>
        </w:tc>
        <w:tc>
          <w:tcPr>
            <w:tcW w:w="1530" w:type="dxa"/>
            <w:vMerge/>
            <w:tcBorders>
              <w:top w:val="nil"/>
              <w:left w:val="single" w:sz="8" w:space="0" w:color="auto"/>
              <w:bottom w:val="single" w:sz="8" w:space="0" w:color="auto"/>
              <w:right w:val="single" w:sz="8" w:space="0" w:color="auto"/>
            </w:tcBorders>
            <w:vAlign w:val="center"/>
            <w:hideMark/>
          </w:tcPr>
          <w:p w14:paraId="15B9B401" w14:textId="77777777" w:rsidR="009A1BF1" w:rsidRPr="009A1BF1" w:rsidRDefault="009A1BF1" w:rsidP="009A1BF1">
            <w:pPr>
              <w:rPr>
                <w:rFonts w:ascii="Arial Narrow" w:eastAsia="Times New Roman" w:hAnsi="Arial Narrow" w:cs="Calibri"/>
                <w:color w:val="000000"/>
                <w:sz w:val="20"/>
                <w:szCs w:val="20"/>
              </w:rPr>
            </w:pPr>
          </w:p>
        </w:tc>
        <w:tc>
          <w:tcPr>
            <w:tcW w:w="1530" w:type="dxa"/>
            <w:vMerge/>
            <w:tcBorders>
              <w:top w:val="nil"/>
              <w:left w:val="single" w:sz="8" w:space="0" w:color="auto"/>
              <w:bottom w:val="single" w:sz="8" w:space="0" w:color="auto"/>
              <w:right w:val="single" w:sz="8" w:space="0" w:color="auto"/>
            </w:tcBorders>
            <w:vAlign w:val="center"/>
            <w:hideMark/>
          </w:tcPr>
          <w:p w14:paraId="103B3753" w14:textId="77777777" w:rsidR="009A1BF1" w:rsidRPr="009A1BF1" w:rsidRDefault="009A1BF1" w:rsidP="009A1BF1">
            <w:pPr>
              <w:rPr>
                <w:rFonts w:ascii="Arial Narrow" w:eastAsia="Times New Roman" w:hAnsi="Arial Narrow" w:cs="Calibri"/>
                <w:color w:val="000000"/>
                <w:sz w:val="20"/>
                <w:szCs w:val="20"/>
              </w:rPr>
            </w:pPr>
          </w:p>
        </w:tc>
        <w:tc>
          <w:tcPr>
            <w:tcW w:w="1890" w:type="dxa"/>
            <w:vMerge/>
            <w:tcBorders>
              <w:top w:val="nil"/>
              <w:left w:val="single" w:sz="8" w:space="0" w:color="auto"/>
              <w:bottom w:val="single" w:sz="8" w:space="0" w:color="auto"/>
              <w:right w:val="single" w:sz="8" w:space="0" w:color="auto"/>
            </w:tcBorders>
            <w:vAlign w:val="center"/>
            <w:hideMark/>
          </w:tcPr>
          <w:p w14:paraId="4AC61E07" w14:textId="77777777" w:rsidR="009A1BF1" w:rsidRPr="009A1BF1" w:rsidRDefault="009A1BF1" w:rsidP="009A1BF1">
            <w:pPr>
              <w:rPr>
                <w:rFonts w:ascii="Arial Narrow" w:eastAsia="Times New Roman" w:hAnsi="Arial Narrow" w:cs="Calibri"/>
                <w:color w:val="000000"/>
                <w:sz w:val="20"/>
                <w:szCs w:val="20"/>
              </w:rPr>
            </w:pPr>
          </w:p>
        </w:tc>
        <w:tc>
          <w:tcPr>
            <w:tcW w:w="1681" w:type="dxa"/>
            <w:gridSpan w:val="2"/>
            <w:vMerge/>
            <w:tcBorders>
              <w:top w:val="nil"/>
              <w:left w:val="single" w:sz="8" w:space="0" w:color="auto"/>
              <w:bottom w:val="single" w:sz="8" w:space="0" w:color="000000"/>
              <w:right w:val="single" w:sz="8" w:space="0" w:color="auto"/>
            </w:tcBorders>
            <w:vAlign w:val="center"/>
            <w:hideMark/>
          </w:tcPr>
          <w:p w14:paraId="2D7AD932" w14:textId="77777777" w:rsidR="009A1BF1" w:rsidRPr="009A1BF1" w:rsidRDefault="009A1BF1" w:rsidP="009A1BF1">
            <w:pPr>
              <w:rPr>
                <w:rFonts w:ascii="Arial Narrow" w:eastAsia="Times New Roman" w:hAnsi="Arial Narrow" w:cs="Calibri"/>
                <w:color w:val="000000"/>
                <w:sz w:val="20"/>
                <w:szCs w:val="20"/>
              </w:rPr>
            </w:pPr>
          </w:p>
        </w:tc>
        <w:tc>
          <w:tcPr>
            <w:tcW w:w="1544" w:type="dxa"/>
            <w:gridSpan w:val="2"/>
            <w:vMerge/>
            <w:tcBorders>
              <w:top w:val="nil"/>
              <w:left w:val="single" w:sz="8" w:space="0" w:color="auto"/>
              <w:bottom w:val="single" w:sz="8" w:space="0" w:color="000000"/>
              <w:right w:val="single" w:sz="8" w:space="0" w:color="auto"/>
            </w:tcBorders>
            <w:vAlign w:val="center"/>
            <w:hideMark/>
          </w:tcPr>
          <w:p w14:paraId="5CEB2728" w14:textId="77777777" w:rsidR="009A1BF1" w:rsidRPr="009A1BF1" w:rsidRDefault="009A1BF1" w:rsidP="009A1BF1">
            <w:pPr>
              <w:rPr>
                <w:rFonts w:ascii="Arial Narrow" w:eastAsia="Times New Roman" w:hAnsi="Arial Narrow" w:cs="Calibri"/>
                <w:color w:val="000000"/>
                <w:sz w:val="20"/>
                <w:szCs w:val="20"/>
              </w:rPr>
            </w:pPr>
          </w:p>
        </w:tc>
      </w:tr>
      <w:tr w:rsidR="009A1BF1" w:rsidRPr="009A1BF1" w14:paraId="23F5E5D3" w14:textId="77777777" w:rsidTr="00392D59">
        <w:trPr>
          <w:trHeight w:val="570"/>
        </w:trPr>
        <w:tc>
          <w:tcPr>
            <w:tcW w:w="1710" w:type="dxa"/>
            <w:tcBorders>
              <w:top w:val="nil"/>
              <w:left w:val="single" w:sz="8" w:space="0" w:color="auto"/>
              <w:bottom w:val="single" w:sz="8" w:space="0" w:color="auto"/>
              <w:right w:val="single" w:sz="8" w:space="0" w:color="auto"/>
            </w:tcBorders>
            <w:shd w:val="clear" w:color="auto" w:fill="auto"/>
            <w:vAlign w:val="center"/>
            <w:hideMark/>
          </w:tcPr>
          <w:p w14:paraId="69FF5C2F" w14:textId="77777777" w:rsidR="009A1BF1" w:rsidRPr="009A1BF1" w:rsidRDefault="009A1BF1" w:rsidP="009A1BF1">
            <w:pP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Back Up Systems Operations and Maintenance</w:t>
            </w:r>
          </w:p>
        </w:tc>
        <w:tc>
          <w:tcPr>
            <w:tcW w:w="1530" w:type="dxa"/>
            <w:tcBorders>
              <w:top w:val="single" w:sz="8" w:space="0" w:color="auto"/>
              <w:left w:val="nil"/>
              <w:bottom w:val="single" w:sz="8" w:space="0" w:color="auto"/>
              <w:right w:val="single" w:sz="8" w:space="0" w:color="000000"/>
            </w:tcBorders>
            <w:shd w:val="clear" w:color="auto" w:fill="auto"/>
            <w:vAlign w:val="center"/>
            <w:hideMark/>
          </w:tcPr>
          <w:p w14:paraId="048074CF"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Contractor</w:t>
            </w:r>
          </w:p>
        </w:tc>
        <w:tc>
          <w:tcPr>
            <w:tcW w:w="1530" w:type="dxa"/>
            <w:tcBorders>
              <w:top w:val="single" w:sz="8" w:space="0" w:color="auto"/>
              <w:left w:val="nil"/>
              <w:bottom w:val="single" w:sz="8" w:space="0" w:color="auto"/>
              <w:right w:val="single" w:sz="8" w:space="0" w:color="000000"/>
            </w:tcBorders>
            <w:shd w:val="clear" w:color="auto" w:fill="auto"/>
            <w:vAlign w:val="center"/>
            <w:hideMark/>
          </w:tcPr>
          <w:p w14:paraId="4F0DD4BB"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N/A</w:t>
            </w:r>
          </w:p>
        </w:tc>
        <w:tc>
          <w:tcPr>
            <w:tcW w:w="1890" w:type="dxa"/>
            <w:tcBorders>
              <w:top w:val="single" w:sz="8" w:space="0" w:color="auto"/>
              <w:left w:val="nil"/>
              <w:bottom w:val="single" w:sz="8" w:space="0" w:color="auto"/>
              <w:right w:val="single" w:sz="8" w:space="0" w:color="000000"/>
            </w:tcBorders>
            <w:shd w:val="clear" w:color="auto" w:fill="auto"/>
            <w:vAlign w:val="center"/>
            <w:hideMark/>
          </w:tcPr>
          <w:p w14:paraId="60A6F83A"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N/A</w:t>
            </w:r>
          </w:p>
        </w:tc>
        <w:tc>
          <w:tcPr>
            <w:tcW w:w="1681" w:type="dxa"/>
            <w:gridSpan w:val="2"/>
            <w:tcBorders>
              <w:top w:val="nil"/>
              <w:left w:val="nil"/>
              <w:bottom w:val="nil"/>
              <w:right w:val="single" w:sz="8" w:space="0" w:color="auto"/>
            </w:tcBorders>
            <w:shd w:val="clear" w:color="auto" w:fill="auto"/>
            <w:vAlign w:val="center"/>
            <w:hideMark/>
          </w:tcPr>
          <w:p w14:paraId="008DB14D"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N/A</w:t>
            </w:r>
          </w:p>
        </w:tc>
        <w:tc>
          <w:tcPr>
            <w:tcW w:w="1544" w:type="dxa"/>
            <w:gridSpan w:val="2"/>
            <w:tcBorders>
              <w:top w:val="nil"/>
              <w:left w:val="nil"/>
              <w:bottom w:val="nil"/>
              <w:right w:val="single" w:sz="8" w:space="0" w:color="auto"/>
            </w:tcBorders>
            <w:shd w:val="clear" w:color="auto" w:fill="auto"/>
            <w:vAlign w:val="center"/>
            <w:hideMark/>
          </w:tcPr>
          <w:p w14:paraId="56D77D7C" w14:textId="77777777" w:rsidR="009A1BF1" w:rsidRPr="009A1BF1" w:rsidRDefault="009A1BF1" w:rsidP="009A1BF1">
            <w:pPr>
              <w:ind w:firstLineChars="100" w:firstLine="200"/>
              <w:jc w:val="right"/>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$69,723.50 </w:t>
            </w:r>
          </w:p>
        </w:tc>
      </w:tr>
      <w:tr w:rsidR="009A1BF1" w:rsidRPr="009A1BF1" w14:paraId="6C913F23" w14:textId="77777777" w:rsidTr="00392D59">
        <w:trPr>
          <w:trHeight w:val="315"/>
        </w:trPr>
        <w:tc>
          <w:tcPr>
            <w:tcW w:w="1710" w:type="dxa"/>
            <w:tcBorders>
              <w:top w:val="nil"/>
              <w:left w:val="single" w:sz="8" w:space="0" w:color="auto"/>
              <w:bottom w:val="single" w:sz="8" w:space="0" w:color="auto"/>
              <w:right w:val="single" w:sz="8" w:space="0" w:color="auto"/>
            </w:tcBorders>
            <w:shd w:val="clear" w:color="auto" w:fill="auto"/>
            <w:vAlign w:val="center"/>
            <w:hideMark/>
          </w:tcPr>
          <w:p w14:paraId="2B7EA48C" w14:textId="77777777" w:rsidR="009A1BF1" w:rsidRPr="009A1BF1" w:rsidRDefault="009A1BF1" w:rsidP="009A1BF1">
            <w:pP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Publishing Forms and Materials</w:t>
            </w:r>
          </w:p>
        </w:tc>
        <w:tc>
          <w:tcPr>
            <w:tcW w:w="1530" w:type="dxa"/>
            <w:tcBorders>
              <w:top w:val="single" w:sz="8" w:space="0" w:color="auto"/>
              <w:left w:val="nil"/>
              <w:bottom w:val="single" w:sz="8" w:space="0" w:color="auto"/>
              <w:right w:val="single" w:sz="8" w:space="0" w:color="000000"/>
            </w:tcBorders>
            <w:shd w:val="clear" w:color="auto" w:fill="auto"/>
            <w:vAlign w:val="center"/>
            <w:hideMark/>
          </w:tcPr>
          <w:p w14:paraId="347B60FB"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Contractor</w:t>
            </w:r>
          </w:p>
        </w:tc>
        <w:tc>
          <w:tcPr>
            <w:tcW w:w="1530" w:type="dxa"/>
            <w:tcBorders>
              <w:top w:val="single" w:sz="8" w:space="0" w:color="auto"/>
              <w:left w:val="nil"/>
              <w:bottom w:val="single" w:sz="8" w:space="0" w:color="auto"/>
              <w:right w:val="single" w:sz="8" w:space="0" w:color="000000"/>
            </w:tcBorders>
            <w:shd w:val="clear" w:color="auto" w:fill="auto"/>
            <w:vAlign w:val="center"/>
            <w:hideMark/>
          </w:tcPr>
          <w:p w14:paraId="7C445A04"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N/A</w:t>
            </w:r>
          </w:p>
        </w:tc>
        <w:tc>
          <w:tcPr>
            <w:tcW w:w="1890" w:type="dxa"/>
            <w:tcBorders>
              <w:top w:val="single" w:sz="8" w:space="0" w:color="auto"/>
              <w:left w:val="nil"/>
              <w:bottom w:val="single" w:sz="8" w:space="0" w:color="auto"/>
              <w:right w:val="single" w:sz="8" w:space="0" w:color="000000"/>
            </w:tcBorders>
            <w:shd w:val="clear" w:color="auto" w:fill="auto"/>
            <w:vAlign w:val="center"/>
            <w:hideMark/>
          </w:tcPr>
          <w:p w14:paraId="653E4DAD"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N/A</w:t>
            </w:r>
          </w:p>
        </w:tc>
        <w:tc>
          <w:tcPr>
            <w:tcW w:w="1681" w:type="dxa"/>
            <w:gridSpan w:val="2"/>
            <w:tcBorders>
              <w:top w:val="single" w:sz="8" w:space="0" w:color="auto"/>
              <w:left w:val="nil"/>
              <w:bottom w:val="nil"/>
              <w:right w:val="single" w:sz="8" w:space="0" w:color="auto"/>
            </w:tcBorders>
            <w:shd w:val="clear" w:color="auto" w:fill="auto"/>
            <w:vAlign w:val="center"/>
            <w:hideMark/>
          </w:tcPr>
          <w:p w14:paraId="2236DA5D"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N/A</w:t>
            </w:r>
          </w:p>
        </w:tc>
        <w:tc>
          <w:tcPr>
            <w:tcW w:w="1544" w:type="dxa"/>
            <w:gridSpan w:val="2"/>
            <w:tcBorders>
              <w:top w:val="single" w:sz="8" w:space="0" w:color="auto"/>
              <w:left w:val="nil"/>
              <w:bottom w:val="nil"/>
              <w:right w:val="single" w:sz="8" w:space="0" w:color="auto"/>
            </w:tcBorders>
            <w:shd w:val="clear" w:color="auto" w:fill="auto"/>
            <w:vAlign w:val="center"/>
            <w:hideMark/>
          </w:tcPr>
          <w:p w14:paraId="2D63E692" w14:textId="77777777" w:rsidR="009A1BF1" w:rsidRPr="009A1BF1" w:rsidRDefault="009A1BF1" w:rsidP="009A1BF1">
            <w:pPr>
              <w:ind w:firstLineChars="100" w:firstLine="200"/>
              <w:jc w:val="right"/>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$6,513.10 </w:t>
            </w:r>
          </w:p>
        </w:tc>
      </w:tr>
      <w:tr w:rsidR="009A1BF1" w:rsidRPr="009A1BF1" w14:paraId="72E2C6EE" w14:textId="77777777" w:rsidTr="00392D59">
        <w:trPr>
          <w:trHeight w:val="315"/>
        </w:trPr>
        <w:tc>
          <w:tcPr>
            <w:tcW w:w="1710" w:type="dxa"/>
            <w:tcBorders>
              <w:top w:val="nil"/>
              <w:left w:val="single" w:sz="8" w:space="0" w:color="auto"/>
              <w:bottom w:val="single" w:sz="8" w:space="0" w:color="auto"/>
              <w:right w:val="single" w:sz="8" w:space="0" w:color="auto"/>
            </w:tcBorders>
            <w:shd w:val="clear" w:color="auto" w:fill="auto"/>
            <w:vAlign w:val="center"/>
            <w:hideMark/>
          </w:tcPr>
          <w:p w14:paraId="1B30023A" w14:textId="77777777" w:rsidR="009A1BF1" w:rsidRPr="009A1BF1" w:rsidRDefault="009A1BF1" w:rsidP="009A1BF1">
            <w:pP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Managing the TSCA Hotline</w:t>
            </w:r>
          </w:p>
        </w:tc>
        <w:tc>
          <w:tcPr>
            <w:tcW w:w="1530" w:type="dxa"/>
            <w:tcBorders>
              <w:top w:val="single" w:sz="8" w:space="0" w:color="auto"/>
              <w:left w:val="nil"/>
              <w:bottom w:val="single" w:sz="8" w:space="0" w:color="auto"/>
              <w:right w:val="single" w:sz="8" w:space="0" w:color="000000"/>
            </w:tcBorders>
            <w:shd w:val="clear" w:color="auto" w:fill="auto"/>
            <w:vAlign w:val="center"/>
            <w:hideMark/>
          </w:tcPr>
          <w:p w14:paraId="1BD21CC0"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Contractor</w:t>
            </w:r>
          </w:p>
        </w:tc>
        <w:tc>
          <w:tcPr>
            <w:tcW w:w="1530" w:type="dxa"/>
            <w:tcBorders>
              <w:top w:val="single" w:sz="8" w:space="0" w:color="auto"/>
              <w:left w:val="nil"/>
              <w:bottom w:val="single" w:sz="8" w:space="0" w:color="auto"/>
              <w:right w:val="single" w:sz="8" w:space="0" w:color="000000"/>
            </w:tcBorders>
            <w:shd w:val="clear" w:color="auto" w:fill="auto"/>
            <w:vAlign w:val="center"/>
            <w:hideMark/>
          </w:tcPr>
          <w:p w14:paraId="66A5B5A2"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N/A</w:t>
            </w:r>
          </w:p>
        </w:tc>
        <w:tc>
          <w:tcPr>
            <w:tcW w:w="1890" w:type="dxa"/>
            <w:tcBorders>
              <w:top w:val="single" w:sz="8" w:space="0" w:color="auto"/>
              <w:left w:val="nil"/>
              <w:bottom w:val="single" w:sz="8" w:space="0" w:color="auto"/>
              <w:right w:val="single" w:sz="8" w:space="0" w:color="000000"/>
            </w:tcBorders>
            <w:shd w:val="clear" w:color="auto" w:fill="auto"/>
            <w:vAlign w:val="center"/>
            <w:hideMark/>
          </w:tcPr>
          <w:p w14:paraId="7E35F76B"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N/A</w:t>
            </w:r>
          </w:p>
        </w:tc>
        <w:tc>
          <w:tcPr>
            <w:tcW w:w="1681" w:type="dxa"/>
            <w:gridSpan w:val="2"/>
            <w:tcBorders>
              <w:top w:val="single" w:sz="8" w:space="0" w:color="auto"/>
              <w:left w:val="nil"/>
              <w:bottom w:val="nil"/>
              <w:right w:val="single" w:sz="8" w:space="0" w:color="auto"/>
            </w:tcBorders>
            <w:shd w:val="clear" w:color="auto" w:fill="auto"/>
            <w:vAlign w:val="center"/>
            <w:hideMark/>
          </w:tcPr>
          <w:p w14:paraId="7761AF77" w14:textId="77777777" w:rsidR="009A1BF1" w:rsidRPr="009A1BF1" w:rsidRDefault="009A1BF1" w:rsidP="009A1BF1">
            <w:pPr>
              <w:jc w:val="center"/>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N/A</w:t>
            </w:r>
          </w:p>
        </w:tc>
        <w:tc>
          <w:tcPr>
            <w:tcW w:w="1544" w:type="dxa"/>
            <w:gridSpan w:val="2"/>
            <w:tcBorders>
              <w:top w:val="single" w:sz="8" w:space="0" w:color="auto"/>
              <w:left w:val="nil"/>
              <w:bottom w:val="nil"/>
              <w:right w:val="single" w:sz="8" w:space="0" w:color="auto"/>
            </w:tcBorders>
            <w:shd w:val="clear" w:color="auto" w:fill="auto"/>
            <w:vAlign w:val="center"/>
            <w:hideMark/>
          </w:tcPr>
          <w:p w14:paraId="79956223" w14:textId="77777777" w:rsidR="009A1BF1" w:rsidRPr="009A1BF1" w:rsidRDefault="009A1BF1" w:rsidP="009A1BF1">
            <w:pPr>
              <w:ind w:firstLineChars="100" w:firstLine="200"/>
              <w:jc w:val="right"/>
              <w:rPr>
                <w:rFonts w:ascii="Arial Narrow" w:eastAsia="Times New Roman" w:hAnsi="Arial Narrow" w:cs="Calibri"/>
                <w:color w:val="000000"/>
                <w:sz w:val="20"/>
                <w:szCs w:val="20"/>
              </w:rPr>
            </w:pPr>
            <w:r w:rsidRPr="009A1BF1">
              <w:rPr>
                <w:rFonts w:ascii="Arial Narrow" w:eastAsia="Times New Roman" w:hAnsi="Arial Narrow" w:cs="Calibri"/>
                <w:color w:val="000000"/>
                <w:sz w:val="20"/>
                <w:szCs w:val="20"/>
              </w:rPr>
              <w:t xml:space="preserve">$52,687.80 </w:t>
            </w:r>
          </w:p>
        </w:tc>
      </w:tr>
      <w:tr w:rsidR="009A1BF1" w:rsidRPr="009A1BF1" w14:paraId="72822949" w14:textId="77777777" w:rsidTr="00392D59">
        <w:trPr>
          <w:trHeight w:val="315"/>
        </w:trPr>
        <w:tc>
          <w:tcPr>
            <w:tcW w:w="834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0F6A029" w14:textId="77777777" w:rsidR="009A1BF1" w:rsidRPr="009A1BF1" w:rsidRDefault="009A1BF1" w:rsidP="009A1BF1">
            <w:pPr>
              <w:rPr>
                <w:rFonts w:ascii="Arial Narrow" w:eastAsia="Times New Roman" w:hAnsi="Arial Narrow" w:cs="Calibri"/>
                <w:b/>
                <w:bCs/>
                <w:color w:val="000000"/>
                <w:sz w:val="20"/>
                <w:szCs w:val="20"/>
              </w:rPr>
            </w:pPr>
            <w:r w:rsidRPr="009A1BF1">
              <w:rPr>
                <w:rFonts w:ascii="Arial Narrow" w:eastAsia="Times New Roman" w:hAnsi="Arial Narrow" w:cs="Calibri"/>
                <w:b/>
                <w:bCs/>
                <w:color w:val="000000"/>
                <w:sz w:val="20"/>
                <w:szCs w:val="20"/>
              </w:rPr>
              <w:t>Total Fixed Burden and Cost</w:t>
            </w:r>
          </w:p>
        </w:tc>
        <w:tc>
          <w:tcPr>
            <w:tcW w:w="1544" w:type="dxa"/>
            <w:gridSpan w:val="2"/>
            <w:tcBorders>
              <w:top w:val="single" w:sz="8" w:space="0" w:color="auto"/>
              <w:left w:val="nil"/>
              <w:bottom w:val="single" w:sz="8" w:space="0" w:color="auto"/>
              <w:right w:val="single" w:sz="8" w:space="0" w:color="auto"/>
            </w:tcBorders>
            <w:shd w:val="clear" w:color="auto" w:fill="auto"/>
            <w:vAlign w:val="center"/>
            <w:hideMark/>
          </w:tcPr>
          <w:p w14:paraId="106AF693" w14:textId="77777777" w:rsidR="009A1BF1" w:rsidRPr="009A1BF1" w:rsidRDefault="009A1BF1" w:rsidP="009A1BF1">
            <w:pPr>
              <w:ind w:firstLineChars="100" w:firstLine="201"/>
              <w:jc w:val="right"/>
              <w:rPr>
                <w:rFonts w:ascii="Arial Narrow" w:eastAsia="Times New Roman" w:hAnsi="Arial Narrow" w:cs="Calibri"/>
                <w:b/>
                <w:bCs/>
                <w:color w:val="000000"/>
                <w:sz w:val="20"/>
                <w:szCs w:val="20"/>
              </w:rPr>
            </w:pPr>
            <w:r w:rsidRPr="009A1BF1">
              <w:rPr>
                <w:rFonts w:ascii="Arial Narrow" w:eastAsia="Times New Roman" w:hAnsi="Arial Narrow" w:cs="Calibri"/>
                <w:b/>
                <w:bCs/>
                <w:color w:val="000000"/>
                <w:sz w:val="20"/>
                <w:szCs w:val="20"/>
              </w:rPr>
              <w:t xml:space="preserve">$285,673.20 </w:t>
            </w:r>
          </w:p>
        </w:tc>
      </w:tr>
      <w:tr w:rsidR="009A1BF1" w:rsidRPr="009A1BF1" w14:paraId="351FEA6D" w14:textId="77777777" w:rsidTr="00392D59">
        <w:trPr>
          <w:trHeight w:val="315"/>
        </w:trPr>
        <w:tc>
          <w:tcPr>
            <w:tcW w:w="834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676D098" w14:textId="77777777" w:rsidR="009A1BF1" w:rsidRPr="009A1BF1" w:rsidRDefault="009A1BF1" w:rsidP="009A1BF1">
            <w:pPr>
              <w:rPr>
                <w:rFonts w:ascii="Arial Narrow" w:eastAsia="Times New Roman" w:hAnsi="Arial Narrow" w:cs="Calibri"/>
                <w:b/>
                <w:bCs/>
                <w:color w:val="000000"/>
                <w:sz w:val="20"/>
                <w:szCs w:val="20"/>
              </w:rPr>
            </w:pPr>
            <w:r w:rsidRPr="009A1BF1">
              <w:rPr>
                <w:rFonts w:ascii="Arial Narrow" w:eastAsia="Times New Roman" w:hAnsi="Arial Narrow" w:cs="Calibri"/>
                <w:b/>
                <w:bCs/>
                <w:color w:val="000000"/>
                <w:sz w:val="20"/>
                <w:szCs w:val="20"/>
              </w:rPr>
              <w:t>Total Agency Burden and Cost</w:t>
            </w:r>
          </w:p>
        </w:tc>
        <w:tc>
          <w:tcPr>
            <w:tcW w:w="1544" w:type="dxa"/>
            <w:gridSpan w:val="2"/>
            <w:tcBorders>
              <w:top w:val="nil"/>
              <w:left w:val="nil"/>
              <w:bottom w:val="single" w:sz="8" w:space="0" w:color="auto"/>
              <w:right w:val="single" w:sz="8" w:space="0" w:color="auto"/>
            </w:tcBorders>
            <w:shd w:val="clear" w:color="auto" w:fill="auto"/>
            <w:vAlign w:val="center"/>
            <w:hideMark/>
          </w:tcPr>
          <w:p w14:paraId="172D04DA" w14:textId="77777777" w:rsidR="009A1BF1" w:rsidRPr="009A1BF1" w:rsidRDefault="009A1BF1" w:rsidP="009A1BF1">
            <w:pPr>
              <w:ind w:firstLineChars="100" w:firstLine="201"/>
              <w:jc w:val="right"/>
              <w:rPr>
                <w:rFonts w:ascii="Arial Narrow" w:eastAsia="Times New Roman" w:hAnsi="Arial Narrow" w:cs="Calibri"/>
                <w:b/>
                <w:bCs/>
                <w:color w:val="000000"/>
                <w:sz w:val="20"/>
                <w:szCs w:val="20"/>
              </w:rPr>
            </w:pPr>
            <w:r w:rsidRPr="009A1BF1">
              <w:rPr>
                <w:rFonts w:ascii="Arial Narrow" w:eastAsia="Times New Roman" w:hAnsi="Arial Narrow" w:cs="Calibri"/>
                <w:b/>
                <w:bCs/>
                <w:color w:val="000000"/>
                <w:sz w:val="20"/>
                <w:szCs w:val="20"/>
              </w:rPr>
              <w:t>$34</w:t>
            </w:r>
            <w:r w:rsidR="004B7C7A">
              <w:rPr>
                <w:rFonts w:ascii="Arial Narrow" w:eastAsia="Times New Roman" w:hAnsi="Arial Narrow" w:cs="Calibri"/>
                <w:b/>
                <w:bCs/>
                <w:color w:val="000000"/>
                <w:sz w:val="20"/>
                <w:szCs w:val="20"/>
              </w:rPr>
              <w:t>0</w:t>
            </w:r>
            <w:r w:rsidRPr="009A1BF1">
              <w:rPr>
                <w:rFonts w:ascii="Arial Narrow" w:eastAsia="Times New Roman" w:hAnsi="Arial Narrow" w:cs="Calibri"/>
                <w:b/>
                <w:bCs/>
                <w:color w:val="000000"/>
                <w:sz w:val="20"/>
                <w:szCs w:val="20"/>
              </w:rPr>
              <w:t>,</w:t>
            </w:r>
            <w:r w:rsidR="004B7C7A">
              <w:rPr>
                <w:rFonts w:ascii="Arial Narrow" w:eastAsia="Times New Roman" w:hAnsi="Arial Narrow" w:cs="Calibri"/>
                <w:b/>
                <w:bCs/>
                <w:color w:val="000000"/>
                <w:sz w:val="20"/>
                <w:szCs w:val="20"/>
              </w:rPr>
              <w:t>143</w:t>
            </w:r>
            <w:r w:rsidRPr="009A1BF1">
              <w:rPr>
                <w:rFonts w:ascii="Arial Narrow" w:eastAsia="Times New Roman" w:hAnsi="Arial Narrow" w:cs="Calibri"/>
                <w:b/>
                <w:bCs/>
                <w:color w:val="000000"/>
                <w:sz w:val="20"/>
                <w:szCs w:val="20"/>
              </w:rPr>
              <w:t xml:space="preserve">.20 </w:t>
            </w:r>
          </w:p>
        </w:tc>
      </w:tr>
      <w:tr w:rsidR="009A1BF1" w:rsidRPr="009A1BF1" w14:paraId="05A6093E" w14:textId="77777777" w:rsidTr="00392D59">
        <w:trPr>
          <w:trHeight w:val="315"/>
        </w:trPr>
        <w:tc>
          <w:tcPr>
            <w:tcW w:w="9885"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24711929" w14:textId="77777777" w:rsidR="009A1BF1" w:rsidRPr="00C0632D" w:rsidRDefault="00E3725C" w:rsidP="009A1BF1">
            <w:pPr>
              <w:rPr>
                <w:rFonts w:ascii="Arial Narrow" w:eastAsia="Times New Roman" w:hAnsi="Arial Narrow" w:cs="Calibri"/>
                <w:color w:val="000000"/>
                <w:sz w:val="18"/>
                <w:szCs w:val="18"/>
              </w:rPr>
            </w:pPr>
            <w:r w:rsidRPr="00C0632D">
              <w:rPr>
                <w:rFonts w:ascii="Arial Narrow" w:eastAsia="Times New Roman" w:hAnsi="Arial Narrow" w:cs="Calibri"/>
                <w:color w:val="000000"/>
                <w:sz w:val="18"/>
                <w:szCs w:val="18"/>
              </w:rPr>
              <w:t xml:space="preserve">Table </w:t>
            </w:r>
            <w:r w:rsidR="009A1BF1" w:rsidRPr="00C0632D">
              <w:rPr>
                <w:rFonts w:ascii="Arial Narrow" w:eastAsia="Times New Roman" w:hAnsi="Arial Narrow" w:cs="Calibri"/>
                <w:color w:val="000000"/>
                <w:sz w:val="18"/>
                <w:szCs w:val="18"/>
              </w:rPr>
              <w:t>Footnotes</w:t>
            </w:r>
          </w:p>
          <w:p w14:paraId="21DF1143" w14:textId="77777777" w:rsidR="009A1BF1" w:rsidRPr="009A1BF1" w:rsidRDefault="009A1BF1" w:rsidP="009A1BF1">
            <w:pPr>
              <w:rPr>
                <w:rFonts w:ascii="Arial Narrow" w:eastAsia="Times New Roman" w:hAnsi="Arial Narrow" w:cs="Calibri"/>
                <w:color w:val="000000"/>
                <w:sz w:val="20"/>
                <w:szCs w:val="20"/>
              </w:rPr>
            </w:pPr>
            <w:r w:rsidRPr="00C0632D">
              <w:rPr>
                <w:rFonts w:ascii="Arial Narrow" w:eastAsia="Times New Roman" w:hAnsi="Arial Narrow" w:cs="Calibri"/>
                <w:color w:val="000000"/>
                <w:sz w:val="18"/>
                <w:szCs w:val="18"/>
                <w:vertAlign w:val="superscript"/>
              </w:rPr>
              <w:t xml:space="preserve">1 </w:t>
            </w:r>
            <w:r w:rsidRPr="00C0632D">
              <w:rPr>
                <w:rFonts w:ascii="Arial Narrow" w:eastAsia="Times New Roman" w:hAnsi="Arial Narrow" w:cs="Calibri"/>
                <w:color w:val="000000"/>
                <w:sz w:val="18"/>
                <w:szCs w:val="18"/>
              </w:rPr>
              <w:t>Based on Labor rates (see Table 7) for Program Staff GS12 Step 3; for IT Staff GS13, Step 3.</w:t>
            </w:r>
          </w:p>
        </w:tc>
      </w:tr>
    </w:tbl>
    <w:p w14:paraId="4DBD3117" w14:textId="77777777" w:rsidR="00764871" w:rsidRDefault="00764871" w:rsidP="00101277">
      <w:pPr>
        <w:ind w:firstLine="720"/>
        <w:rPr>
          <w:b/>
          <w:i/>
        </w:rPr>
      </w:pPr>
    </w:p>
    <w:p w14:paraId="6E112794" w14:textId="77777777" w:rsidR="00F06BA6" w:rsidRPr="00101277" w:rsidRDefault="00F06BA6" w:rsidP="00101277">
      <w:pPr>
        <w:ind w:firstLine="720"/>
        <w:rPr>
          <w:b/>
          <w:i/>
        </w:rPr>
      </w:pPr>
      <w:r w:rsidRPr="00101277">
        <w:rPr>
          <w:b/>
          <w:i/>
        </w:rPr>
        <w:t>Total Burden and Cost – ICR Period</w:t>
      </w:r>
    </w:p>
    <w:p w14:paraId="23284C02" w14:textId="77777777" w:rsidR="00F06BA6" w:rsidRDefault="00F06BA6" w:rsidP="000F6439"/>
    <w:p w14:paraId="5BF8AA4A" w14:textId="77777777" w:rsidR="00F06BA6" w:rsidRDefault="002635CB" w:rsidP="00101277">
      <w:pPr>
        <w:pStyle w:val="BodyText"/>
      </w:pPr>
      <w:r>
        <w:t>Table 15 presents the bottom line totals for Industry and Agency Burden/Cost, including average annual</w:t>
      </w:r>
      <w:r w:rsidR="00F14F36">
        <w:t>,</w:t>
      </w:r>
      <w:r>
        <w:t xml:space="preserve"> and ICR </w:t>
      </w:r>
      <w:r w:rsidR="00F14F36">
        <w:t>R</w:t>
      </w:r>
      <w:r>
        <w:t>enewal Period totals</w:t>
      </w:r>
      <w:r w:rsidR="00F06BA6">
        <w:t xml:space="preserve">. </w:t>
      </w:r>
    </w:p>
    <w:tbl>
      <w:tblPr>
        <w:tblW w:w="5000" w:type="pct"/>
        <w:tblLayout w:type="fixed"/>
        <w:tblCellMar>
          <w:left w:w="115" w:type="dxa"/>
          <w:right w:w="115" w:type="dxa"/>
        </w:tblCellMar>
        <w:tblLook w:val="04A0" w:firstRow="1" w:lastRow="0" w:firstColumn="1" w:lastColumn="0" w:noHBand="0" w:noVBand="1"/>
      </w:tblPr>
      <w:tblGrid>
        <w:gridCol w:w="1863"/>
        <w:gridCol w:w="591"/>
        <w:gridCol w:w="591"/>
        <w:gridCol w:w="591"/>
        <w:gridCol w:w="608"/>
        <w:gridCol w:w="1195"/>
        <w:gridCol w:w="1385"/>
        <w:gridCol w:w="1291"/>
        <w:gridCol w:w="1475"/>
      </w:tblGrid>
      <w:tr w:rsidR="00FF0B3F" w:rsidRPr="00FF0B3F" w14:paraId="21DB5926" w14:textId="77777777" w:rsidTr="001646F6">
        <w:trPr>
          <w:trHeight w:val="310"/>
        </w:trPr>
        <w:tc>
          <w:tcPr>
            <w:tcW w:w="5000" w:type="pct"/>
            <w:gridSpan w:val="9"/>
            <w:tcBorders>
              <w:top w:val="nil"/>
              <w:left w:val="nil"/>
              <w:bottom w:val="single" w:sz="8" w:space="0" w:color="auto"/>
              <w:right w:val="nil"/>
            </w:tcBorders>
            <w:shd w:val="clear" w:color="auto" w:fill="auto"/>
            <w:noWrap/>
            <w:vAlign w:val="center"/>
            <w:hideMark/>
          </w:tcPr>
          <w:p w14:paraId="6DA9B03F" w14:textId="77777777" w:rsidR="00FF0B3F" w:rsidRPr="00FF0B3F" w:rsidRDefault="00FF0B3F" w:rsidP="00B07A1E">
            <w:pPr>
              <w:pStyle w:val="TableTitle"/>
            </w:pPr>
            <w:r w:rsidRPr="00FF0B3F">
              <w:t>Table 15. Annual Average and Total Burden and Cost for the ICR Renewal Period</w:t>
            </w:r>
          </w:p>
        </w:tc>
      </w:tr>
      <w:tr w:rsidR="001C0C7E" w:rsidRPr="00FF0B3F" w14:paraId="31ACDE96" w14:textId="77777777" w:rsidTr="001646F6">
        <w:trPr>
          <w:trHeight w:val="519"/>
        </w:trPr>
        <w:tc>
          <w:tcPr>
            <w:tcW w:w="972" w:type="pct"/>
            <w:vMerge w:val="restart"/>
            <w:tcBorders>
              <w:top w:val="single" w:sz="8" w:space="0" w:color="auto"/>
              <w:left w:val="single" w:sz="8" w:space="0" w:color="auto"/>
              <w:bottom w:val="single" w:sz="6" w:space="0" w:color="auto"/>
              <w:right w:val="single" w:sz="6" w:space="0" w:color="auto"/>
            </w:tcBorders>
            <w:shd w:val="clear" w:color="auto" w:fill="BFBFBF"/>
            <w:vAlign w:val="bottom"/>
            <w:hideMark/>
          </w:tcPr>
          <w:p w14:paraId="76F7CECF" w14:textId="77777777" w:rsidR="00FF0B3F" w:rsidRPr="00FF0B3F" w:rsidRDefault="00FF0B3F" w:rsidP="00FF0B3F">
            <w:pPr>
              <w:jc w:val="center"/>
              <w:rPr>
                <w:rFonts w:ascii="Arial Narrow" w:eastAsia="Times New Roman" w:hAnsi="Arial Narrow" w:cs="Times New Roman"/>
                <w:b/>
                <w:bCs/>
                <w:color w:val="000000"/>
                <w:sz w:val="18"/>
                <w:szCs w:val="18"/>
              </w:rPr>
            </w:pPr>
            <w:r w:rsidRPr="00FF0B3F">
              <w:rPr>
                <w:rFonts w:ascii="Arial Narrow" w:eastAsia="Times New Roman" w:hAnsi="Arial Narrow" w:cs="Times New Roman"/>
                <w:b/>
                <w:bCs/>
                <w:color w:val="000000"/>
                <w:sz w:val="18"/>
                <w:szCs w:val="18"/>
              </w:rPr>
              <w:t>Burden Category</w:t>
            </w:r>
          </w:p>
        </w:tc>
        <w:tc>
          <w:tcPr>
            <w:tcW w:w="1241" w:type="pct"/>
            <w:gridSpan w:val="4"/>
            <w:tcBorders>
              <w:top w:val="single" w:sz="8" w:space="0" w:color="auto"/>
              <w:left w:val="single" w:sz="6" w:space="0" w:color="auto"/>
              <w:bottom w:val="single" w:sz="6" w:space="0" w:color="auto"/>
              <w:right w:val="double" w:sz="4" w:space="0" w:color="auto"/>
            </w:tcBorders>
            <w:shd w:val="clear" w:color="auto" w:fill="BFBFBF"/>
            <w:noWrap/>
            <w:vAlign w:val="bottom"/>
            <w:hideMark/>
          </w:tcPr>
          <w:p w14:paraId="1BC5CA65" w14:textId="77777777" w:rsidR="00FF0B3F" w:rsidRPr="00FF0B3F" w:rsidRDefault="00FF0B3F" w:rsidP="00644DFC">
            <w:pPr>
              <w:jc w:val="center"/>
              <w:rPr>
                <w:rFonts w:ascii="Arial Narrow" w:eastAsia="Times New Roman" w:hAnsi="Arial Narrow" w:cs="Times New Roman"/>
                <w:b/>
                <w:bCs/>
                <w:color w:val="000000"/>
                <w:sz w:val="18"/>
                <w:szCs w:val="18"/>
              </w:rPr>
            </w:pPr>
            <w:r w:rsidRPr="00FF0B3F">
              <w:rPr>
                <w:rFonts w:ascii="Arial Narrow" w:eastAsia="Times New Roman" w:hAnsi="Arial Narrow" w:cs="Times New Roman"/>
                <w:b/>
                <w:bCs/>
                <w:color w:val="000000"/>
                <w:sz w:val="18"/>
                <w:szCs w:val="18"/>
              </w:rPr>
              <w:t>CDR Reporting Cycle</w:t>
            </w:r>
            <w:r w:rsidR="005059CE">
              <w:rPr>
                <w:rFonts w:ascii="Arial Narrow" w:eastAsia="Times New Roman" w:hAnsi="Arial Narrow" w:cs="Times New Roman"/>
                <w:b/>
                <w:bCs/>
                <w:color w:val="000000"/>
                <w:sz w:val="18"/>
                <w:szCs w:val="18"/>
              </w:rPr>
              <w:t xml:space="preserve"> Burden</w:t>
            </w:r>
          </w:p>
        </w:tc>
        <w:tc>
          <w:tcPr>
            <w:tcW w:w="1345" w:type="pct"/>
            <w:gridSpan w:val="2"/>
            <w:tcBorders>
              <w:top w:val="single" w:sz="8" w:space="0" w:color="auto"/>
              <w:left w:val="double" w:sz="4" w:space="0" w:color="auto"/>
              <w:bottom w:val="single" w:sz="6" w:space="0" w:color="auto"/>
              <w:right w:val="double" w:sz="4" w:space="0" w:color="auto"/>
            </w:tcBorders>
            <w:shd w:val="clear" w:color="auto" w:fill="BFBFBF"/>
            <w:vAlign w:val="bottom"/>
            <w:hideMark/>
          </w:tcPr>
          <w:p w14:paraId="0DF24D73" w14:textId="77777777" w:rsidR="00FF0B3F" w:rsidRPr="00FF0B3F" w:rsidRDefault="00FF0B3F" w:rsidP="00644DFC">
            <w:pPr>
              <w:jc w:val="center"/>
              <w:rPr>
                <w:rFonts w:ascii="Arial Narrow" w:eastAsia="Times New Roman" w:hAnsi="Arial Narrow" w:cs="Times New Roman"/>
                <w:b/>
                <w:bCs/>
                <w:color w:val="000000"/>
                <w:sz w:val="18"/>
                <w:szCs w:val="18"/>
              </w:rPr>
            </w:pPr>
            <w:r w:rsidRPr="00FF0B3F">
              <w:rPr>
                <w:rFonts w:ascii="Arial Narrow" w:eastAsia="Times New Roman" w:hAnsi="Arial Narrow" w:cs="Times New Roman"/>
                <w:b/>
                <w:bCs/>
                <w:color w:val="000000"/>
                <w:sz w:val="18"/>
                <w:szCs w:val="18"/>
              </w:rPr>
              <w:t xml:space="preserve">Both CDR Cycle and </w:t>
            </w:r>
            <w:r w:rsidRPr="00FF0B3F">
              <w:rPr>
                <w:rFonts w:ascii="Arial Narrow" w:eastAsia="Times New Roman" w:hAnsi="Arial Narrow" w:cs="Times New Roman"/>
                <w:b/>
                <w:bCs/>
                <w:color w:val="000000"/>
                <w:sz w:val="18"/>
                <w:szCs w:val="18"/>
              </w:rPr>
              <w:br/>
              <w:t>ICR Renewal</w:t>
            </w:r>
            <w:r w:rsidR="002229FD">
              <w:rPr>
                <w:rFonts w:ascii="Arial Narrow" w:eastAsia="Times New Roman" w:hAnsi="Arial Narrow" w:cs="Times New Roman"/>
                <w:b/>
                <w:bCs/>
                <w:color w:val="000000"/>
                <w:sz w:val="18"/>
                <w:szCs w:val="18"/>
              </w:rPr>
              <w:t xml:space="preserve"> Period</w:t>
            </w:r>
          </w:p>
        </w:tc>
        <w:tc>
          <w:tcPr>
            <w:tcW w:w="1442" w:type="pct"/>
            <w:gridSpan w:val="2"/>
            <w:tcBorders>
              <w:top w:val="single" w:sz="8" w:space="0" w:color="auto"/>
              <w:left w:val="double" w:sz="4" w:space="0" w:color="auto"/>
              <w:bottom w:val="single" w:sz="6" w:space="0" w:color="auto"/>
              <w:right w:val="single" w:sz="8" w:space="0" w:color="auto"/>
            </w:tcBorders>
            <w:shd w:val="clear" w:color="auto" w:fill="BFBFBF"/>
            <w:vAlign w:val="bottom"/>
            <w:hideMark/>
          </w:tcPr>
          <w:p w14:paraId="2391F691" w14:textId="77777777" w:rsidR="00FF0B3F" w:rsidRPr="00FF0B3F" w:rsidRDefault="00FF0B3F" w:rsidP="00644DFC">
            <w:pPr>
              <w:jc w:val="center"/>
              <w:rPr>
                <w:rFonts w:ascii="Arial Narrow" w:eastAsia="Times New Roman" w:hAnsi="Arial Narrow" w:cs="Times New Roman"/>
                <w:b/>
                <w:bCs/>
                <w:color w:val="000000"/>
                <w:sz w:val="18"/>
                <w:szCs w:val="18"/>
              </w:rPr>
            </w:pPr>
            <w:r w:rsidRPr="00FF0B3F">
              <w:rPr>
                <w:rFonts w:ascii="Arial Narrow" w:eastAsia="Times New Roman" w:hAnsi="Arial Narrow" w:cs="Times New Roman"/>
                <w:b/>
                <w:bCs/>
                <w:color w:val="000000"/>
                <w:sz w:val="18"/>
                <w:szCs w:val="18"/>
              </w:rPr>
              <w:t xml:space="preserve">ICR Renewal Period </w:t>
            </w:r>
            <w:r w:rsidRPr="00FF0B3F">
              <w:rPr>
                <w:rFonts w:ascii="Arial Narrow" w:eastAsia="Times New Roman" w:hAnsi="Arial Narrow" w:cs="Times New Roman"/>
                <w:b/>
                <w:bCs/>
                <w:color w:val="000000"/>
                <w:sz w:val="18"/>
                <w:szCs w:val="18"/>
              </w:rPr>
              <w:br/>
              <w:t>(Nov '18 - Nov '21)</w:t>
            </w:r>
          </w:p>
        </w:tc>
      </w:tr>
      <w:tr w:rsidR="0073618A" w:rsidRPr="00FF0B3F" w14:paraId="7F4163DA" w14:textId="77777777" w:rsidTr="001C0C7E">
        <w:trPr>
          <w:trHeight w:val="439"/>
        </w:trPr>
        <w:tc>
          <w:tcPr>
            <w:tcW w:w="972" w:type="pct"/>
            <w:vMerge/>
            <w:tcBorders>
              <w:top w:val="single" w:sz="6" w:space="0" w:color="auto"/>
              <w:left w:val="single" w:sz="8" w:space="0" w:color="auto"/>
              <w:bottom w:val="single" w:sz="6" w:space="0" w:color="auto"/>
              <w:right w:val="single" w:sz="6" w:space="0" w:color="auto"/>
            </w:tcBorders>
            <w:shd w:val="clear" w:color="auto" w:fill="BFBFBF"/>
            <w:vAlign w:val="bottom"/>
            <w:hideMark/>
          </w:tcPr>
          <w:p w14:paraId="4FE3E606" w14:textId="77777777" w:rsidR="00FF0B3F" w:rsidRPr="00FF0B3F" w:rsidRDefault="00FF0B3F" w:rsidP="00FF0B3F">
            <w:pPr>
              <w:jc w:val="center"/>
              <w:rPr>
                <w:rFonts w:ascii="Arial Narrow" w:eastAsia="Times New Roman" w:hAnsi="Arial Narrow" w:cs="Times New Roman"/>
                <w:b/>
                <w:bCs/>
                <w:color w:val="000000"/>
                <w:sz w:val="18"/>
                <w:szCs w:val="18"/>
              </w:rPr>
            </w:pPr>
          </w:p>
        </w:tc>
        <w:tc>
          <w:tcPr>
            <w:tcW w:w="308" w:type="pct"/>
            <w:tcBorders>
              <w:top w:val="single" w:sz="6" w:space="0" w:color="auto"/>
              <w:left w:val="single" w:sz="6" w:space="0" w:color="auto"/>
              <w:bottom w:val="single" w:sz="6" w:space="0" w:color="auto"/>
              <w:right w:val="single" w:sz="6" w:space="0" w:color="auto"/>
            </w:tcBorders>
            <w:shd w:val="clear" w:color="auto" w:fill="BFBFBF"/>
            <w:vAlign w:val="bottom"/>
            <w:hideMark/>
          </w:tcPr>
          <w:p w14:paraId="74FC6398" w14:textId="77777777" w:rsidR="00FF0B3F" w:rsidRPr="00FF0B3F" w:rsidRDefault="00FF0B3F" w:rsidP="00F14F36">
            <w:pPr>
              <w:jc w:val="center"/>
              <w:rPr>
                <w:rFonts w:ascii="Arial Narrow" w:eastAsia="Times New Roman" w:hAnsi="Arial Narrow" w:cs="Times New Roman"/>
                <w:b/>
                <w:bCs/>
                <w:color w:val="000000"/>
                <w:sz w:val="18"/>
                <w:szCs w:val="18"/>
              </w:rPr>
            </w:pPr>
            <w:r w:rsidRPr="00FF0B3F">
              <w:rPr>
                <w:rFonts w:ascii="Arial Narrow" w:eastAsia="Times New Roman" w:hAnsi="Arial Narrow" w:cs="Times New Roman"/>
                <w:b/>
                <w:bCs/>
                <w:color w:val="000000"/>
                <w:sz w:val="18"/>
                <w:szCs w:val="18"/>
              </w:rPr>
              <w:t>201</w:t>
            </w:r>
            <w:r w:rsidR="00F14F36">
              <w:rPr>
                <w:rFonts w:ascii="Arial Narrow" w:eastAsia="Times New Roman" w:hAnsi="Arial Narrow" w:cs="Times New Roman"/>
                <w:b/>
                <w:bCs/>
                <w:color w:val="000000"/>
                <w:sz w:val="18"/>
                <w:szCs w:val="18"/>
              </w:rPr>
              <w:t>6</w:t>
            </w:r>
          </w:p>
        </w:tc>
        <w:tc>
          <w:tcPr>
            <w:tcW w:w="308" w:type="pct"/>
            <w:tcBorders>
              <w:top w:val="single" w:sz="6" w:space="0" w:color="auto"/>
              <w:left w:val="single" w:sz="6" w:space="0" w:color="auto"/>
              <w:bottom w:val="single" w:sz="6" w:space="0" w:color="auto"/>
              <w:right w:val="single" w:sz="6" w:space="0" w:color="auto"/>
            </w:tcBorders>
            <w:shd w:val="clear" w:color="auto" w:fill="BFBFBF"/>
            <w:vAlign w:val="bottom"/>
            <w:hideMark/>
          </w:tcPr>
          <w:p w14:paraId="1185C23F" w14:textId="77777777" w:rsidR="00FF0B3F" w:rsidRPr="00FF0B3F" w:rsidRDefault="00FF0B3F" w:rsidP="00F14F36">
            <w:pPr>
              <w:jc w:val="center"/>
              <w:rPr>
                <w:rFonts w:ascii="Arial Narrow" w:eastAsia="Times New Roman" w:hAnsi="Arial Narrow" w:cs="Times New Roman"/>
                <w:b/>
                <w:bCs/>
                <w:color w:val="000000"/>
                <w:sz w:val="18"/>
                <w:szCs w:val="18"/>
              </w:rPr>
            </w:pPr>
            <w:r w:rsidRPr="00FF0B3F">
              <w:rPr>
                <w:rFonts w:ascii="Arial Narrow" w:eastAsia="Times New Roman" w:hAnsi="Arial Narrow" w:cs="Times New Roman"/>
                <w:b/>
                <w:bCs/>
                <w:color w:val="000000"/>
                <w:sz w:val="18"/>
                <w:szCs w:val="18"/>
              </w:rPr>
              <w:t>201</w:t>
            </w:r>
            <w:r w:rsidR="00F14F36">
              <w:rPr>
                <w:rFonts w:ascii="Arial Narrow" w:eastAsia="Times New Roman" w:hAnsi="Arial Narrow" w:cs="Times New Roman"/>
                <w:b/>
                <w:bCs/>
                <w:color w:val="000000"/>
                <w:sz w:val="18"/>
                <w:szCs w:val="18"/>
              </w:rPr>
              <w:t>7</w:t>
            </w:r>
          </w:p>
        </w:tc>
        <w:tc>
          <w:tcPr>
            <w:tcW w:w="308" w:type="pct"/>
            <w:tcBorders>
              <w:top w:val="single" w:sz="6" w:space="0" w:color="auto"/>
              <w:left w:val="single" w:sz="6" w:space="0" w:color="auto"/>
              <w:bottom w:val="single" w:sz="6" w:space="0" w:color="auto"/>
              <w:right w:val="single" w:sz="6" w:space="0" w:color="auto"/>
            </w:tcBorders>
            <w:shd w:val="clear" w:color="auto" w:fill="BFBFBF"/>
            <w:vAlign w:val="bottom"/>
            <w:hideMark/>
          </w:tcPr>
          <w:p w14:paraId="5379A076" w14:textId="77777777" w:rsidR="00FF0B3F" w:rsidRPr="00FF0B3F" w:rsidRDefault="00FF0B3F" w:rsidP="00F14F36">
            <w:pPr>
              <w:jc w:val="center"/>
              <w:rPr>
                <w:rFonts w:ascii="Arial Narrow" w:eastAsia="Times New Roman" w:hAnsi="Arial Narrow" w:cs="Times New Roman"/>
                <w:b/>
                <w:bCs/>
                <w:color w:val="000000"/>
                <w:sz w:val="18"/>
                <w:szCs w:val="18"/>
              </w:rPr>
            </w:pPr>
            <w:r w:rsidRPr="00FF0B3F">
              <w:rPr>
                <w:rFonts w:ascii="Arial Narrow" w:eastAsia="Times New Roman" w:hAnsi="Arial Narrow" w:cs="Times New Roman"/>
                <w:b/>
                <w:bCs/>
                <w:color w:val="000000"/>
                <w:sz w:val="18"/>
                <w:szCs w:val="18"/>
              </w:rPr>
              <w:t>201</w:t>
            </w:r>
            <w:r w:rsidR="00F14F36">
              <w:rPr>
                <w:rFonts w:ascii="Arial Narrow" w:eastAsia="Times New Roman" w:hAnsi="Arial Narrow" w:cs="Times New Roman"/>
                <w:b/>
                <w:bCs/>
                <w:color w:val="000000"/>
                <w:sz w:val="18"/>
                <w:szCs w:val="18"/>
              </w:rPr>
              <w:t>8</w:t>
            </w:r>
          </w:p>
        </w:tc>
        <w:tc>
          <w:tcPr>
            <w:tcW w:w="317" w:type="pct"/>
            <w:tcBorders>
              <w:top w:val="single" w:sz="6" w:space="0" w:color="auto"/>
              <w:left w:val="single" w:sz="6" w:space="0" w:color="auto"/>
              <w:bottom w:val="single" w:sz="6" w:space="0" w:color="auto"/>
              <w:right w:val="double" w:sz="4" w:space="0" w:color="auto"/>
            </w:tcBorders>
            <w:shd w:val="clear" w:color="auto" w:fill="BFBFBF"/>
            <w:vAlign w:val="bottom"/>
            <w:hideMark/>
          </w:tcPr>
          <w:p w14:paraId="7C0DA3D5" w14:textId="77777777" w:rsidR="00FF0B3F" w:rsidRPr="00FF0B3F" w:rsidRDefault="00FF0B3F" w:rsidP="00644DFC">
            <w:pPr>
              <w:jc w:val="center"/>
              <w:rPr>
                <w:rFonts w:ascii="Arial Narrow" w:eastAsia="Times New Roman" w:hAnsi="Arial Narrow" w:cs="Times New Roman"/>
                <w:b/>
                <w:bCs/>
                <w:color w:val="000000"/>
                <w:sz w:val="18"/>
                <w:szCs w:val="18"/>
              </w:rPr>
            </w:pPr>
            <w:r w:rsidRPr="00FF0B3F">
              <w:rPr>
                <w:rFonts w:ascii="Arial Narrow" w:eastAsia="Times New Roman" w:hAnsi="Arial Narrow" w:cs="Times New Roman"/>
                <w:b/>
                <w:bCs/>
                <w:color w:val="000000"/>
                <w:sz w:val="18"/>
                <w:szCs w:val="18"/>
              </w:rPr>
              <w:t>20</w:t>
            </w:r>
            <w:r w:rsidR="00F14F36">
              <w:rPr>
                <w:rFonts w:ascii="Arial Narrow" w:eastAsia="Times New Roman" w:hAnsi="Arial Narrow" w:cs="Times New Roman"/>
                <w:b/>
                <w:bCs/>
                <w:color w:val="000000"/>
                <w:sz w:val="18"/>
                <w:szCs w:val="18"/>
              </w:rPr>
              <w:t>19</w:t>
            </w:r>
          </w:p>
        </w:tc>
        <w:tc>
          <w:tcPr>
            <w:tcW w:w="623" w:type="pct"/>
            <w:tcBorders>
              <w:top w:val="single" w:sz="6" w:space="0" w:color="auto"/>
              <w:left w:val="double" w:sz="4" w:space="0" w:color="auto"/>
              <w:bottom w:val="single" w:sz="6" w:space="0" w:color="auto"/>
              <w:right w:val="single" w:sz="6" w:space="0" w:color="auto"/>
            </w:tcBorders>
            <w:shd w:val="clear" w:color="auto" w:fill="BFBFBF"/>
            <w:vAlign w:val="bottom"/>
            <w:hideMark/>
          </w:tcPr>
          <w:p w14:paraId="325321D5" w14:textId="77777777" w:rsidR="00FF0B3F" w:rsidRPr="00FF0B3F" w:rsidRDefault="00FF0B3F" w:rsidP="00644DFC">
            <w:pPr>
              <w:jc w:val="center"/>
              <w:rPr>
                <w:rFonts w:ascii="Arial Narrow" w:eastAsia="Times New Roman" w:hAnsi="Arial Narrow" w:cs="Times New Roman"/>
                <w:b/>
                <w:bCs/>
                <w:color w:val="000000"/>
                <w:sz w:val="18"/>
                <w:szCs w:val="18"/>
              </w:rPr>
            </w:pPr>
            <w:r w:rsidRPr="00FF0B3F">
              <w:rPr>
                <w:rFonts w:ascii="Arial Narrow" w:eastAsia="Times New Roman" w:hAnsi="Arial Narrow" w:cs="Times New Roman"/>
                <w:b/>
                <w:bCs/>
                <w:color w:val="000000"/>
                <w:sz w:val="18"/>
                <w:szCs w:val="18"/>
              </w:rPr>
              <w:t>Annual Average Burden</w:t>
            </w:r>
          </w:p>
        </w:tc>
        <w:tc>
          <w:tcPr>
            <w:tcW w:w="722" w:type="pct"/>
            <w:tcBorders>
              <w:top w:val="single" w:sz="6" w:space="0" w:color="auto"/>
              <w:left w:val="single" w:sz="6" w:space="0" w:color="auto"/>
              <w:bottom w:val="single" w:sz="6" w:space="0" w:color="auto"/>
              <w:right w:val="double" w:sz="4" w:space="0" w:color="auto"/>
            </w:tcBorders>
            <w:shd w:val="clear" w:color="auto" w:fill="BFBFBF"/>
            <w:vAlign w:val="bottom"/>
            <w:hideMark/>
          </w:tcPr>
          <w:p w14:paraId="3A45C12B" w14:textId="77777777" w:rsidR="00FF0B3F" w:rsidRPr="00FF0B3F" w:rsidRDefault="00FF0B3F" w:rsidP="00644DFC">
            <w:pPr>
              <w:jc w:val="center"/>
              <w:rPr>
                <w:rFonts w:ascii="Arial Narrow" w:eastAsia="Times New Roman" w:hAnsi="Arial Narrow" w:cs="Times New Roman"/>
                <w:b/>
                <w:bCs/>
                <w:color w:val="000000"/>
                <w:sz w:val="18"/>
                <w:szCs w:val="18"/>
              </w:rPr>
            </w:pPr>
            <w:r w:rsidRPr="00FF0B3F">
              <w:rPr>
                <w:rFonts w:ascii="Arial Narrow" w:eastAsia="Times New Roman" w:hAnsi="Arial Narrow" w:cs="Times New Roman"/>
                <w:b/>
                <w:bCs/>
                <w:color w:val="000000"/>
                <w:sz w:val="18"/>
                <w:szCs w:val="18"/>
              </w:rPr>
              <w:t xml:space="preserve">Annual </w:t>
            </w:r>
            <w:r w:rsidR="002229FD">
              <w:rPr>
                <w:rFonts w:ascii="Arial Narrow" w:eastAsia="Times New Roman" w:hAnsi="Arial Narrow" w:cs="Times New Roman"/>
                <w:b/>
                <w:bCs/>
                <w:color w:val="000000"/>
                <w:sz w:val="18"/>
                <w:szCs w:val="18"/>
              </w:rPr>
              <w:t xml:space="preserve">    </w:t>
            </w:r>
            <w:r w:rsidRPr="00FF0B3F">
              <w:rPr>
                <w:rFonts w:ascii="Arial Narrow" w:eastAsia="Times New Roman" w:hAnsi="Arial Narrow" w:cs="Times New Roman"/>
                <w:b/>
                <w:bCs/>
                <w:color w:val="000000"/>
                <w:sz w:val="18"/>
                <w:szCs w:val="18"/>
              </w:rPr>
              <w:t>Average</w:t>
            </w:r>
            <w:r w:rsidR="002229FD">
              <w:rPr>
                <w:rFonts w:ascii="Arial Narrow" w:eastAsia="Times New Roman" w:hAnsi="Arial Narrow" w:cs="Times New Roman"/>
                <w:b/>
                <w:bCs/>
                <w:color w:val="000000"/>
                <w:sz w:val="18"/>
                <w:szCs w:val="18"/>
              </w:rPr>
              <w:t xml:space="preserve">        </w:t>
            </w:r>
            <w:r w:rsidRPr="00FF0B3F">
              <w:rPr>
                <w:rFonts w:ascii="Arial Narrow" w:eastAsia="Times New Roman" w:hAnsi="Arial Narrow" w:cs="Times New Roman"/>
                <w:b/>
                <w:bCs/>
                <w:color w:val="000000"/>
                <w:sz w:val="18"/>
                <w:szCs w:val="18"/>
              </w:rPr>
              <w:t xml:space="preserve"> Cost</w:t>
            </w:r>
          </w:p>
        </w:tc>
        <w:tc>
          <w:tcPr>
            <w:tcW w:w="673" w:type="pct"/>
            <w:tcBorders>
              <w:top w:val="single" w:sz="6" w:space="0" w:color="auto"/>
              <w:left w:val="double" w:sz="4" w:space="0" w:color="auto"/>
              <w:bottom w:val="single" w:sz="6" w:space="0" w:color="auto"/>
              <w:right w:val="single" w:sz="6" w:space="0" w:color="auto"/>
            </w:tcBorders>
            <w:shd w:val="clear" w:color="auto" w:fill="BFBFBF"/>
            <w:vAlign w:val="bottom"/>
            <w:hideMark/>
          </w:tcPr>
          <w:p w14:paraId="211071D4" w14:textId="77777777" w:rsidR="00FF0B3F" w:rsidRPr="00FF0B3F" w:rsidRDefault="00FF0B3F" w:rsidP="00644DFC">
            <w:pPr>
              <w:jc w:val="center"/>
              <w:rPr>
                <w:rFonts w:ascii="Arial Narrow" w:eastAsia="Times New Roman" w:hAnsi="Arial Narrow" w:cs="Times New Roman"/>
                <w:b/>
                <w:bCs/>
                <w:color w:val="000000"/>
                <w:sz w:val="18"/>
                <w:szCs w:val="18"/>
              </w:rPr>
            </w:pPr>
            <w:r w:rsidRPr="00FF0B3F">
              <w:rPr>
                <w:rFonts w:ascii="Arial Narrow" w:eastAsia="Times New Roman" w:hAnsi="Arial Narrow" w:cs="Times New Roman"/>
                <w:b/>
                <w:bCs/>
                <w:color w:val="000000"/>
                <w:sz w:val="18"/>
                <w:szCs w:val="18"/>
              </w:rPr>
              <w:t>Total Burden</w:t>
            </w:r>
          </w:p>
        </w:tc>
        <w:tc>
          <w:tcPr>
            <w:tcW w:w="769" w:type="pct"/>
            <w:tcBorders>
              <w:top w:val="single" w:sz="6" w:space="0" w:color="auto"/>
              <w:left w:val="single" w:sz="6" w:space="0" w:color="auto"/>
              <w:bottom w:val="single" w:sz="6" w:space="0" w:color="auto"/>
              <w:right w:val="single" w:sz="8" w:space="0" w:color="auto"/>
            </w:tcBorders>
            <w:shd w:val="clear" w:color="auto" w:fill="BFBFBF"/>
            <w:vAlign w:val="bottom"/>
            <w:hideMark/>
          </w:tcPr>
          <w:p w14:paraId="0EEB9860" w14:textId="77777777" w:rsidR="00FF0B3F" w:rsidRPr="00FF0B3F" w:rsidRDefault="00FF0B3F" w:rsidP="00644DFC">
            <w:pPr>
              <w:jc w:val="center"/>
              <w:rPr>
                <w:rFonts w:ascii="Arial Narrow" w:eastAsia="Times New Roman" w:hAnsi="Arial Narrow" w:cs="Times New Roman"/>
                <w:b/>
                <w:bCs/>
                <w:color w:val="000000"/>
                <w:sz w:val="18"/>
                <w:szCs w:val="18"/>
              </w:rPr>
            </w:pPr>
            <w:r w:rsidRPr="00FF0B3F">
              <w:rPr>
                <w:rFonts w:ascii="Arial Narrow" w:eastAsia="Times New Roman" w:hAnsi="Arial Narrow" w:cs="Times New Roman"/>
                <w:b/>
                <w:bCs/>
                <w:color w:val="000000"/>
                <w:sz w:val="18"/>
                <w:szCs w:val="18"/>
              </w:rPr>
              <w:t>Total Cost</w:t>
            </w:r>
          </w:p>
        </w:tc>
      </w:tr>
      <w:tr w:rsidR="00193490" w:rsidRPr="00FF0B3F" w14:paraId="4F0A3A3C" w14:textId="77777777" w:rsidTr="001646F6">
        <w:trPr>
          <w:trHeight w:val="310"/>
        </w:trPr>
        <w:tc>
          <w:tcPr>
            <w:tcW w:w="5000" w:type="pct"/>
            <w:gridSpan w:val="9"/>
            <w:tcBorders>
              <w:top w:val="single" w:sz="6" w:space="0" w:color="auto"/>
              <w:left w:val="single" w:sz="8" w:space="0" w:color="auto"/>
              <w:bottom w:val="single" w:sz="6" w:space="0" w:color="auto"/>
              <w:right w:val="single" w:sz="8" w:space="0" w:color="auto"/>
            </w:tcBorders>
            <w:shd w:val="clear" w:color="auto" w:fill="auto"/>
            <w:vAlign w:val="center"/>
            <w:hideMark/>
          </w:tcPr>
          <w:p w14:paraId="0AA09F41" w14:textId="77777777" w:rsidR="00193490" w:rsidRPr="00FF0B3F" w:rsidRDefault="00193490" w:rsidP="002356D0">
            <w:pPr>
              <w:ind w:right="101"/>
              <w:rPr>
                <w:rFonts w:ascii="Arial Narrow" w:eastAsia="Times New Roman" w:hAnsi="Arial Narrow" w:cs="Calibri"/>
                <w:color w:val="000000"/>
                <w:sz w:val="18"/>
                <w:szCs w:val="18"/>
              </w:rPr>
            </w:pPr>
            <w:r w:rsidRPr="00FF0B3F">
              <w:rPr>
                <w:rFonts w:ascii="Arial Narrow" w:eastAsia="Times New Roman" w:hAnsi="Arial Narrow" w:cs="Times New Roman"/>
                <w:i/>
                <w:iCs/>
                <w:color w:val="000000"/>
                <w:sz w:val="18"/>
                <w:szCs w:val="18"/>
              </w:rPr>
              <w:t>Industry Burden</w:t>
            </w:r>
          </w:p>
        </w:tc>
      </w:tr>
      <w:tr w:rsidR="001C0C7E" w:rsidRPr="00FF0B3F" w14:paraId="2FA559E1" w14:textId="77777777" w:rsidTr="001C0C7E">
        <w:trPr>
          <w:trHeight w:val="300"/>
        </w:trPr>
        <w:tc>
          <w:tcPr>
            <w:tcW w:w="972" w:type="pct"/>
            <w:tcBorders>
              <w:top w:val="single" w:sz="6" w:space="0" w:color="auto"/>
              <w:left w:val="single" w:sz="8" w:space="0" w:color="auto"/>
              <w:bottom w:val="single" w:sz="6" w:space="0" w:color="auto"/>
              <w:right w:val="single" w:sz="6" w:space="0" w:color="auto"/>
            </w:tcBorders>
            <w:shd w:val="clear" w:color="auto" w:fill="auto"/>
            <w:hideMark/>
          </w:tcPr>
          <w:p w14:paraId="5668DD6C" w14:textId="77777777" w:rsidR="00254169" w:rsidRPr="00FF0B3F" w:rsidRDefault="00254169" w:rsidP="00254169">
            <w:pPr>
              <w:rPr>
                <w:rFonts w:ascii="Arial Narrow" w:eastAsia="Times New Roman" w:hAnsi="Arial Narrow" w:cs="Times New Roman"/>
                <w:color w:val="000000"/>
                <w:sz w:val="18"/>
                <w:szCs w:val="18"/>
              </w:rPr>
            </w:pPr>
            <w:r w:rsidRPr="00FF0B3F">
              <w:rPr>
                <w:rFonts w:ascii="Arial Narrow" w:eastAsia="Times New Roman" w:hAnsi="Arial Narrow" w:cs="Times New Roman"/>
                <w:color w:val="000000"/>
                <w:sz w:val="18"/>
                <w:szCs w:val="18"/>
              </w:rPr>
              <w:t>CDX Registration</w:t>
            </w:r>
            <w:r>
              <w:rPr>
                <w:rFonts w:ascii="Arial Narrow" w:eastAsia="Times New Roman" w:hAnsi="Arial Narrow" w:cs="Times New Roman"/>
                <w:color w:val="000000"/>
                <w:sz w:val="18"/>
                <w:szCs w:val="18"/>
              </w:rPr>
              <w:t xml:space="preserve"> and e-Signature</w:t>
            </w:r>
          </w:p>
        </w:tc>
        <w:tc>
          <w:tcPr>
            <w:tcW w:w="1241" w:type="pct"/>
            <w:gridSpan w:val="4"/>
            <w:tcBorders>
              <w:top w:val="single" w:sz="6" w:space="0" w:color="auto"/>
              <w:left w:val="single" w:sz="6" w:space="0" w:color="auto"/>
              <w:bottom w:val="single" w:sz="6" w:space="0" w:color="auto"/>
              <w:right w:val="double" w:sz="4" w:space="0" w:color="auto"/>
            </w:tcBorders>
            <w:shd w:val="clear" w:color="auto" w:fill="auto"/>
            <w:noWrap/>
            <w:vAlign w:val="bottom"/>
            <w:hideMark/>
          </w:tcPr>
          <w:p w14:paraId="100358F8" w14:textId="77777777" w:rsidR="00254169" w:rsidRPr="008B1959" w:rsidRDefault="00254169" w:rsidP="00D170CC">
            <w:pPr>
              <w:ind w:right="960"/>
              <w:jc w:val="right"/>
              <w:rPr>
                <w:rFonts w:ascii="Arial Narrow" w:eastAsia="Times New Roman" w:hAnsi="Arial Narrow" w:cs="Calibri"/>
                <w:color w:val="000000"/>
                <w:sz w:val="18"/>
                <w:szCs w:val="18"/>
              </w:rPr>
            </w:pPr>
            <w:r>
              <w:rPr>
                <w:rFonts w:ascii="Arial Narrow" w:hAnsi="Arial Narrow" w:cs="Calibri"/>
                <w:color w:val="000000"/>
                <w:sz w:val="18"/>
                <w:szCs w:val="18"/>
              </w:rPr>
              <w:t>750</w:t>
            </w:r>
          </w:p>
        </w:tc>
        <w:tc>
          <w:tcPr>
            <w:tcW w:w="623" w:type="pct"/>
            <w:tcBorders>
              <w:top w:val="single" w:sz="6" w:space="0" w:color="auto"/>
              <w:left w:val="double" w:sz="4" w:space="0" w:color="auto"/>
              <w:bottom w:val="single" w:sz="6" w:space="0" w:color="auto"/>
              <w:right w:val="single" w:sz="6" w:space="0" w:color="auto"/>
            </w:tcBorders>
            <w:shd w:val="clear" w:color="auto" w:fill="auto"/>
            <w:vAlign w:val="bottom"/>
            <w:hideMark/>
          </w:tcPr>
          <w:p w14:paraId="6B78E8AD" w14:textId="77777777" w:rsidR="00254169" w:rsidRPr="00254169" w:rsidRDefault="00254169" w:rsidP="00254169">
            <w:pPr>
              <w:ind w:right="216"/>
              <w:jc w:val="right"/>
              <w:rPr>
                <w:rFonts w:ascii="Arial Narrow" w:eastAsia="Times New Roman" w:hAnsi="Arial Narrow" w:cs="Calibri"/>
                <w:color w:val="000000"/>
                <w:sz w:val="18"/>
                <w:szCs w:val="18"/>
              </w:rPr>
            </w:pPr>
            <w:r w:rsidRPr="00254169">
              <w:rPr>
                <w:rFonts w:ascii="Arial Narrow" w:hAnsi="Arial Narrow" w:cs="Calibri"/>
                <w:color w:val="000000"/>
                <w:sz w:val="18"/>
                <w:szCs w:val="18"/>
              </w:rPr>
              <w:t xml:space="preserve">                   188 </w:t>
            </w:r>
          </w:p>
        </w:tc>
        <w:tc>
          <w:tcPr>
            <w:tcW w:w="722" w:type="pct"/>
            <w:tcBorders>
              <w:top w:val="single" w:sz="6" w:space="0" w:color="auto"/>
              <w:left w:val="single" w:sz="6" w:space="0" w:color="auto"/>
              <w:bottom w:val="single" w:sz="6" w:space="0" w:color="auto"/>
              <w:right w:val="double" w:sz="4" w:space="0" w:color="auto"/>
            </w:tcBorders>
            <w:shd w:val="clear" w:color="auto" w:fill="auto"/>
            <w:vAlign w:val="bottom"/>
            <w:hideMark/>
          </w:tcPr>
          <w:p w14:paraId="188312BC" w14:textId="77777777" w:rsidR="00254169" w:rsidRPr="00254169" w:rsidRDefault="00254169" w:rsidP="00254169">
            <w:pPr>
              <w:ind w:right="216"/>
              <w:jc w:val="right"/>
              <w:rPr>
                <w:rFonts w:ascii="Arial Narrow" w:eastAsia="Times New Roman" w:hAnsi="Arial Narrow" w:cs="Calibri"/>
                <w:color w:val="000000"/>
                <w:sz w:val="18"/>
                <w:szCs w:val="18"/>
              </w:rPr>
            </w:pPr>
            <w:r w:rsidRPr="00254169">
              <w:rPr>
                <w:rFonts w:ascii="Arial Narrow" w:hAnsi="Arial Narrow" w:cs="Calibri"/>
                <w:color w:val="000000"/>
                <w:sz w:val="18"/>
                <w:szCs w:val="18"/>
              </w:rPr>
              <w:t>$14,700</w:t>
            </w:r>
          </w:p>
        </w:tc>
        <w:tc>
          <w:tcPr>
            <w:tcW w:w="673" w:type="pct"/>
            <w:tcBorders>
              <w:top w:val="single" w:sz="6" w:space="0" w:color="auto"/>
              <w:left w:val="double" w:sz="4" w:space="0" w:color="auto"/>
              <w:bottom w:val="single" w:sz="6" w:space="0" w:color="auto"/>
              <w:right w:val="single" w:sz="6" w:space="0" w:color="auto"/>
            </w:tcBorders>
            <w:shd w:val="clear" w:color="auto" w:fill="auto"/>
            <w:noWrap/>
            <w:vAlign w:val="bottom"/>
            <w:hideMark/>
          </w:tcPr>
          <w:p w14:paraId="777280B3" w14:textId="77777777" w:rsidR="00254169" w:rsidRPr="00254169" w:rsidRDefault="00254169" w:rsidP="00254169">
            <w:pPr>
              <w:ind w:right="216"/>
              <w:jc w:val="right"/>
              <w:rPr>
                <w:rFonts w:ascii="Arial Narrow" w:eastAsia="Times New Roman" w:hAnsi="Arial Narrow" w:cs="Calibri"/>
                <w:color w:val="000000"/>
                <w:sz w:val="18"/>
                <w:szCs w:val="18"/>
              </w:rPr>
            </w:pPr>
            <w:r w:rsidRPr="00254169">
              <w:rPr>
                <w:rFonts w:ascii="Arial Narrow" w:hAnsi="Arial Narrow" w:cs="Calibri"/>
                <w:color w:val="000000"/>
                <w:sz w:val="18"/>
                <w:szCs w:val="18"/>
              </w:rPr>
              <w:t xml:space="preserve">                               564 </w:t>
            </w:r>
          </w:p>
        </w:tc>
        <w:tc>
          <w:tcPr>
            <w:tcW w:w="769" w:type="pct"/>
            <w:tcBorders>
              <w:top w:val="single" w:sz="6" w:space="0" w:color="auto"/>
              <w:left w:val="single" w:sz="6" w:space="0" w:color="auto"/>
              <w:bottom w:val="single" w:sz="6" w:space="0" w:color="auto"/>
              <w:right w:val="single" w:sz="8" w:space="0" w:color="auto"/>
            </w:tcBorders>
            <w:shd w:val="clear" w:color="auto" w:fill="auto"/>
            <w:noWrap/>
            <w:vAlign w:val="bottom"/>
            <w:hideMark/>
          </w:tcPr>
          <w:p w14:paraId="7EC03B06" w14:textId="77777777" w:rsidR="00254169" w:rsidRPr="00254169" w:rsidRDefault="00254169" w:rsidP="00254169">
            <w:pPr>
              <w:ind w:right="216"/>
              <w:jc w:val="right"/>
              <w:rPr>
                <w:rFonts w:ascii="Arial Narrow" w:eastAsia="Times New Roman" w:hAnsi="Arial Narrow" w:cs="Calibri"/>
                <w:color w:val="000000"/>
                <w:sz w:val="18"/>
                <w:szCs w:val="18"/>
              </w:rPr>
            </w:pPr>
            <w:r w:rsidRPr="00254169">
              <w:rPr>
                <w:rFonts w:ascii="Arial Narrow" w:hAnsi="Arial Narrow" w:cs="Calibri"/>
                <w:color w:val="000000"/>
                <w:sz w:val="18"/>
                <w:szCs w:val="18"/>
              </w:rPr>
              <w:t>$44,100</w:t>
            </w:r>
          </w:p>
        </w:tc>
      </w:tr>
      <w:tr w:rsidR="001C0C7E" w:rsidRPr="00FF0B3F" w14:paraId="4ADC62B9" w14:textId="77777777" w:rsidTr="001C0C7E">
        <w:trPr>
          <w:trHeight w:val="320"/>
        </w:trPr>
        <w:tc>
          <w:tcPr>
            <w:tcW w:w="972" w:type="pct"/>
            <w:tcBorders>
              <w:top w:val="single" w:sz="6" w:space="0" w:color="auto"/>
              <w:left w:val="single" w:sz="8" w:space="0" w:color="auto"/>
              <w:bottom w:val="single" w:sz="6" w:space="0" w:color="auto"/>
              <w:right w:val="single" w:sz="6" w:space="0" w:color="auto"/>
            </w:tcBorders>
            <w:shd w:val="clear" w:color="000000" w:fill="FFFFFF"/>
            <w:vAlign w:val="center"/>
            <w:hideMark/>
          </w:tcPr>
          <w:p w14:paraId="7575DA96" w14:textId="77777777" w:rsidR="001C0C7E" w:rsidRPr="00FF0B3F" w:rsidRDefault="001C0C7E" w:rsidP="001C0C7E">
            <w:pPr>
              <w:rPr>
                <w:rFonts w:ascii="Arial Narrow" w:eastAsia="Times New Roman" w:hAnsi="Arial Narrow" w:cs="Times New Roman"/>
                <w:color w:val="000000"/>
                <w:sz w:val="18"/>
                <w:szCs w:val="18"/>
              </w:rPr>
            </w:pPr>
            <w:r w:rsidRPr="00FF0B3F">
              <w:rPr>
                <w:rFonts w:ascii="Arial Narrow" w:eastAsia="Times New Roman" w:hAnsi="Arial Narrow" w:cs="Times New Roman"/>
                <w:color w:val="000000"/>
                <w:sz w:val="18"/>
                <w:szCs w:val="18"/>
              </w:rPr>
              <w:t>Form U Submission</w:t>
            </w:r>
            <w:r>
              <w:rPr>
                <w:rFonts w:ascii="Arial Narrow" w:eastAsia="Times New Roman" w:hAnsi="Arial Narrow" w:cs="Times New Roman"/>
                <w:color w:val="000000"/>
                <w:sz w:val="18"/>
                <w:szCs w:val="18"/>
              </w:rPr>
              <w:t>: Prepare and Submit Report, and Maintain Records</w:t>
            </w:r>
            <w:r w:rsidRPr="00FF0B3F">
              <w:rPr>
                <w:rFonts w:ascii="Arial Narrow" w:eastAsia="Times New Roman" w:hAnsi="Arial Narrow" w:cs="Times New Roman"/>
                <w:color w:val="000000"/>
                <w:sz w:val="18"/>
                <w:szCs w:val="18"/>
                <w:vertAlign w:val="superscript"/>
              </w:rPr>
              <w:t>1</w:t>
            </w:r>
          </w:p>
        </w:tc>
        <w:tc>
          <w:tcPr>
            <w:tcW w:w="1241" w:type="pct"/>
            <w:gridSpan w:val="4"/>
            <w:tcBorders>
              <w:top w:val="single" w:sz="6" w:space="0" w:color="auto"/>
              <w:left w:val="single" w:sz="6" w:space="0" w:color="auto"/>
              <w:bottom w:val="single" w:sz="6" w:space="0" w:color="auto"/>
              <w:right w:val="double" w:sz="4" w:space="0" w:color="auto"/>
            </w:tcBorders>
            <w:shd w:val="clear" w:color="auto" w:fill="auto"/>
            <w:noWrap/>
            <w:vAlign w:val="bottom"/>
            <w:hideMark/>
          </w:tcPr>
          <w:p w14:paraId="454FA221" w14:textId="77777777" w:rsidR="001C0C7E" w:rsidRPr="001C0C7E" w:rsidRDefault="001C0C7E" w:rsidP="001C0C7E">
            <w:pPr>
              <w:ind w:right="960"/>
              <w:jc w:val="right"/>
              <w:rPr>
                <w:rFonts w:ascii="Arial Narrow" w:eastAsia="Times New Roman" w:hAnsi="Arial Narrow" w:cs="Calibri"/>
                <w:color w:val="000000"/>
                <w:sz w:val="18"/>
                <w:szCs w:val="18"/>
              </w:rPr>
            </w:pPr>
            <w:r w:rsidRPr="001646F6">
              <w:rPr>
                <w:rFonts w:ascii="Arial Narrow" w:hAnsi="Arial Narrow" w:cs="Calibri"/>
                <w:color w:val="000000"/>
                <w:sz w:val="18"/>
                <w:szCs w:val="18"/>
              </w:rPr>
              <w:t>2,863,345</w:t>
            </w:r>
          </w:p>
        </w:tc>
        <w:tc>
          <w:tcPr>
            <w:tcW w:w="623" w:type="pct"/>
            <w:tcBorders>
              <w:top w:val="single" w:sz="6" w:space="0" w:color="auto"/>
              <w:left w:val="double" w:sz="4" w:space="0" w:color="auto"/>
              <w:bottom w:val="single" w:sz="6" w:space="0" w:color="auto"/>
              <w:right w:val="single" w:sz="6" w:space="0" w:color="auto"/>
            </w:tcBorders>
            <w:shd w:val="clear" w:color="auto" w:fill="auto"/>
            <w:vAlign w:val="bottom"/>
            <w:hideMark/>
          </w:tcPr>
          <w:p w14:paraId="1B0BACB9" w14:textId="77777777" w:rsidR="001C0C7E" w:rsidRPr="001C0C7E" w:rsidRDefault="001C0C7E" w:rsidP="001C0C7E">
            <w:pPr>
              <w:ind w:right="216"/>
              <w:jc w:val="right"/>
              <w:rPr>
                <w:rFonts w:ascii="Arial Narrow" w:eastAsia="Times New Roman" w:hAnsi="Arial Narrow" w:cs="Calibri"/>
                <w:color w:val="000000"/>
                <w:sz w:val="18"/>
                <w:szCs w:val="18"/>
              </w:rPr>
            </w:pPr>
            <w:r w:rsidRPr="001646F6">
              <w:rPr>
                <w:rFonts w:ascii="Arial Narrow" w:hAnsi="Arial Narrow" w:cs="Calibri"/>
                <w:color w:val="000000"/>
                <w:sz w:val="18"/>
                <w:szCs w:val="18"/>
              </w:rPr>
              <w:t xml:space="preserve">715,836 </w:t>
            </w:r>
          </w:p>
        </w:tc>
        <w:tc>
          <w:tcPr>
            <w:tcW w:w="722" w:type="pct"/>
            <w:tcBorders>
              <w:top w:val="single" w:sz="6" w:space="0" w:color="auto"/>
              <w:left w:val="single" w:sz="6" w:space="0" w:color="auto"/>
              <w:bottom w:val="single" w:sz="6" w:space="0" w:color="auto"/>
              <w:right w:val="double" w:sz="4" w:space="0" w:color="auto"/>
            </w:tcBorders>
            <w:shd w:val="clear" w:color="auto" w:fill="auto"/>
            <w:vAlign w:val="bottom"/>
            <w:hideMark/>
          </w:tcPr>
          <w:p w14:paraId="29EDFBCB" w14:textId="77777777" w:rsidR="001C0C7E" w:rsidRPr="001C0C7E" w:rsidRDefault="001C0C7E" w:rsidP="001C0C7E">
            <w:pPr>
              <w:ind w:right="216"/>
              <w:jc w:val="right"/>
              <w:rPr>
                <w:rFonts w:ascii="Arial Narrow" w:eastAsia="Times New Roman" w:hAnsi="Arial Narrow" w:cs="Calibri"/>
                <w:color w:val="000000"/>
                <w:sz w:val="18"/>
                <w:szCs w:val="18"/>
              </w:rPr>
            </w:pPr>
            <w:r w:rsidRPr="001646F6">
              <w:rPr>
                <w:rFonts w:ascii="Arial Narrow" w:hAnsi="Arial Narrow" w:cs="Calibri"/>
                <w:color w:val="000000"/>
                <w:sz w:val="18"/>
                <w:szCs w:val="18"/>
              </w:rPr>
              <w:t>$56,944,62</w:t>
            </w:r>
            <w:r w:rsidR="0087292F">
              <w:rPr>
                <w:rFonts w:ascii="Arial Narrow" w:hAnsi="Arial Narrow" w:cs="Calibri"/>
                <w:color w:val="000000"/>
                <w:sz w:val="18"/>
                <w:szCs w:val="18"/>
              </w:rPr>
              <w:t>3</w:t>
            </w:r>
          </w:p>
        </w:tc>
        <w:tc>
          <w:tcPr>
            <w:tcW w:w="673" w:type="pct"/>
            <w:tcBorders>
              <w:top w:val="single" w:sz="6" w:space="0" w:color="auto"/>
              <w:left w:val="double" w:sz="4" w:space="0" w:color="auto"/>
              <w:bottom w:val="single" w:sz="6" w:space="0" w:color="auto"/>
              <w:right w:val="single" w:sz="6" w:space="0" w:color="auto"/>
            </w:tcBorders>
            <w:shd w:val="clear" w:color="auto" w:fill="auto"/>
            <w:noWrap/>
            <w:vAlign w:val="bottom"/>
            <w:hideMark/>
          </w:tcPr>
          <w:p w14:paraId="29E15245" w14:textId="77777777" w:rsidR="001C0C7E" w:rsidRPr="001C0C7E" w:rsidRDefault="001C0C7E" w:rsidP="001C0C7E">
            <w:pPr>
              <w:ind w:right="216"/>
              <w:jc w:val="right"/>
              <w:rPr>
                <w:rFonts w:ascii="Arial Narrow" w:eastAsia="Times New Roman" w:hAnsi="Arial Narrow" w:cs="Calibri"/>
                <w:color w:val="000000"/>
                <w:sz w:val="18"/>
                <w:szCs w:val="18"/>
              </w:rPr>
            </w:pPr>
            <w:r w:rsidRPr="001646F6">
              <w:rPr>
                <w:rFonts w:ascii="Arial Narrow" w:hAnsi="Arial Narrow" w:cs="Calibri"/>
                <w:color w:val="000000"/>
                <w:sz w:val="18"/>
                <w:szCs w:val="18"/>
              </w:rPr>
              <w:t xml:space="preserve">2,147,508 </w:t>
            </w:r>
          </w:p>
        </w:tc>
        <w:tc>
          <w:tcPr>
            <w:tcW w:w="769" w:type="pct"/>
            <w:tcBorders>
              <w:top w:val="single" w:sz="6" w:space="0" w:color="auto"/>
              <w:left w:val="single" w:sz="6" w:space="0" w:color="auto"/>
              <w:bottom w:val="single" w:sz="6" w:space="0" w:color="auto"/>
              <w:right w:val="single" w:sz="8" w:space="0" w:color="auto"/>
            </w:tcBorders>
            <w:shd w:val="clear" w:color="auto" w:fill="auto"/>
            <w:noWrap/>
            <w:vAlign w:val="bottom"/>
            <w:hideMark/>
          </w:tcPr>
          <w:p w14:paraId="441DEB65" w14:textId="77777777" w:rsidR="001C0C7E" w:rsidRPr="001C0C7E" w:rsidRDefault="001C0C7E" w:rsidP="001C0C7E">
            <w:pPr>
              <w:ind w:right="216"/>
              <w:jc w:val="right"/>
              <w:rPr>
                <w:rFonts w:ascii="Arial Narrow" w:eastAsia="Times New Roman" w:hAnsi="Arial Narrow" w:cs="Calibri"/>
                <w:color w:val="000000"/>
                <w:sz w:val="18"/>
                <w:szCs w:val="18"/>
              </w:rPr>
            </w:pPr>
            <w:r w:rsidRPr="001646F6">
              <w:rPr>
                <w:rFonts w:ascii="Arial Narrow" w:hAnsi="Arial Narrow" w:cs="Calibri"/>
                <w:color w:val="000000"/>
                <w:sz w:val="18"/>
                <w:szCs w:val="18"/>
              </w:rPr>
              <w:t>$170,833,8</w:t>
            </w:r>
            <w:r w:rsidR="0087292F">
              <w:rPr>
                <w:rFonts w:ascii="Arial Narrow" w:hAnsi="Arial Narrow" w:cs="Calibri"/>
                <w:color w:val="000000"/>
                <w:sz w:val="18"/>
                <w:szCs w:val="18"/>
              </w:rPr>
              <w:t>69</w:t>
            </w:r>
          </w:p>
        </w:tc>
      </w:tr>
      <w:tr w:rsidR="001C0C7E" w:rsidRPr="00FF0B3F" w14:paraId="3395F87A" w14:textId="77777777" w:rsidTr="001646F6">
        <w:trPr>
          <w:trHeight w:val="310"/>
        </w:trPr>
        <w:tc>
          <w:tcPr>
            <w:tcW w:w="972" w:type="pct"/>
            <w:tcBorders>
              <w:top w:val="double" w:sz="4" w:space="0" w:color="auto"/>
              <w:left w:val="single" w:sz="8" w:space="0" w:color="auto"/>
              <w:bottom w:val="single" w:sz="6" w:space="0" w:color="auto"/>
              <w:right w:val="single" w:sz="6" w:space="0" w:color="auto"/>
            </w:tcBorders>
            <w:shd w:val="clear" w:color="auto" w:fill="D9D9D9"/>
            <w:vAlign w:val="center"/>
            <w:hideMark/>
          </w:tcPr>
          <w:p w14:paraId="03C435AB" w14:textId="77777777" w:rsidR="001C0C7E" w:rsidRPr="00FF0B3F" w:rsidRDefault="001C0C7E" w:rsidP="001C0C7E">
            <w:pPr>
              <w:rPr>
                <w:rFonts w:ascii="Arial Narrow" w:eastAsia="Times New Roman" w:hAnsi="Arial Narrow" w:cs="Times New Roman"/>
                <w:b/>
                <w:bCs/>
                <w:color w:val="000000"/>
                <w:sz w:val="18"/>
                <w:szCs w:val="18"/>
              </w:rPr>
            </w:pPr>
            <w:r w:rsidRPr="00FF0B3F">
              <w:rPr>
                <w:rFonts w:ascii="Arial Narrow" w:eastAsia="Times New Roman" w:hAnsi="Arial Narrow" w:cs="Times New Roman"/>
                <w:b/>
                <w:bCs/>
                <w:color w:val="000000"/>
                <w:sz w:val="18"/>
                <w:szCs w:val="18"/>
              </w:rPr>
              <w:t>Industry Burden, Total</w:t>
            </w:r>
          </w:p>
        </w:tc>
        <w:tc>
          <w:tcPr>
            <w:tcW w:w="1241" w:type="pct"/>
            <w:gridSpan w:val="4"/>
            <w:tcBorders>
              <w:top w:val="double" w:sz="4" w:space="0" w:color="auto"/>
              <w:left w:val="single" w:sz="6" w:space="0" w:color="auto"/>
              <w:bottom w:val="single" w:sz="6" w:space="0" w:color="auto"/>
              <w:right w:val="double" w:sz="4" w:space="0" w:color="auto"/>
            </w:tcBorders>
            <w:shd w:val="clear" w:color="auto" w:fill="D9D9D9"/>
            <w:noWrap/>
            <w:vAlign w:val="bottom"/>
            <w:hideMark/>
          </w:tcPr>
          <w:p w14:paraId="194B8829" w14:textId="77777777" w:rsidR="001C0C7E" w:rsidRPr="001C0C7E" w:rsidRDefault="001C0C7E">
            <w:pPr>
              <w:ind w:right="960"/>
              <w:jc w:val="right"/>
              <w:rPr>
                <w:rFonts w:ascii="Arial Narrow" w:eastAsia="Times New Roman" w:hAnsi="Arial Narrow" w:cs="Calibri"/>
                <w:b/>
                <w:bCs/>
                <w:color w:val="000000"/>
                <w:sz w:val="18"/>
                <w:szCs w:val="18"/>
              </w:rPr>
            </w:pPr>
            <w:r w:rsidRPr="001646F6">
              <w:rPr>
                <w:rFonts w:ascii="Arial Narrow" w:hAnsi="Arial Narrow" w:cs="Calibri"/>
                <w:b/>
                <w:bCs/>
                <w:color w:val="000000"/>
                <w:sz w:val="18"/>
                <w:szCs w:val="18"/>
              </w:rPr>
              <w:t>2,864,095</w:t>
            </w:r>
          </w:p>
        </w:tc>
        <w:tc>
          <w:tcPr>
            <w:tcW w:w="623" w:type="pct"/>
            <w:tcBorders>
              <w:top w:val="double" w:sz="4" w:space="0" w:color="auto"/>
              <w:left w:val="double" w:sz="4" w:space="0" w:color="auto"/>
              <w:bottom w:val="single" w:sz="6" w:space="0" w:color="auto"/>
              <w:right w:val="single" w:sz="6" w:space="0" w:color="auto"/>
            </w:tcBorders>
            <w:shd w:val="clear" w:color="auto" w:fill="D9D9D9"/>
            <w:vAlign w:val="bottom"/>
            <w:hideMark/>
          </w:tcPr>
          <w:p w14:paraId="01B358BA" w14:textId="77777777" w:rsidR="001C0C7E" w:rsidRPr="001C0C7E" w:rsidRDefault="001C0C7E">
            <w:pPr>
              <w:ind w:right="216"/>
              <w:jc w:val="right"/>
              <w:rPr>
                <w:rFonts w:ascii="Arial Narrow" w:eastAsia="Times New Roman" w:hAnsi="Arial Narrow" w:cs="Calibri"/>
                <w:b/>
                <w:bCs/>
                <w:color w:val="000000"/>
                <w:sz w:val="18"/>
                <w:szCs w:val="18"/>
              </w:rPr>
            </w:pPr>
            <w:r w:rsidRPr="001646F6">
              <w:rPr>
                <w:rFonts w:ascii="Arial Narrow" w:hAnsi="Arial Narrow" w:cs="Calibri"/>
                <w:b/>
                <w:bCs/>
                <w:color w:val="000000"/>
                <w:sz w:val="18"/>
                <w:szCs w:val="18"/>
              </w:rPr>
              <w:t xml:space="preserve">716,024 </w:t>
            </w:r>
          </w:p>
        </w:tc>
        <w:tc>
          <w:tcPr>
            <w:tcW w:w="722" w:type="pct"/>
            <w:tcBorders>
              <w:top w:val="double" w:sz="4" w:space="0" w:color="auto"/>
              <w:left w:val="single" w:sz="6" w:space="0" w:color="auto"/>
              <w:bottom w:val="single" w:sz="6" w:space="0" w:color="auto"/>
              <w:right w:val="double" w:sz="4" w:space="0" w:color="auto"/>
            </w:tcBorders>
            <w:shd w:val="clear" w:color="auto" w:fill="D9D9D9"/>
            <w:vAlign w:val="bottom"/>
            <w:hideMark/>
          </w:tcPr>
          <w:p w14:paraId="585F8427" w14:textId="77777777" w:rsidR="001C0C7E" w:rsidRPr="001C0C7E" w:rsidRDefault="001C0C7E">
            <w:pPr>
              <w:ind w:right="216"/>
              <w:jc w:val="right"/>
              <w:rPr>
                <w:rFonts w:ascii="Arial Narrow" w:eastAsia="Times New Roman" w:hAnsi="Arial Narrow" w:cs="Calibri"/>
                <w:b/>
                <w:bCs/>
                <w:color w:val="000000"/>
                <w:sz w:val="18"/>
                <w:szCs w:val="18"/>
              </w:rPr>
            </w:pPr>
            <w:r w:rsidRPr="001646F6">
              <w:rPr>
                <w:rFonts w:ascii="Arial Narrow" w:hAnsi="Arial Narrow" w:cs="Calibri"/>
                <w:b/>
                <w:bCs/>
                <w:color w:val="000000"/>
                <w:sz w:val="18"/>
                <w:szCs w:val="18"/>
              </w:rPr>
              <w:t>$56,959,32</w:t>
            </w:r>
            <w:r w:rsidR="0087292F">
              <w:rPr>
                <w:rFonts w:ascii="Arial Narrow" w:hAnsi="Arial Narrow" w:cs="Calibri"/>
                <w:b/>
                <w:bCs/>
                <w:color w:val="000000"/>
                <w:sz w:val="18"/>
                <w:szCs w:val="18"/>
              </w:rPr>
              <w:t>3</w:t>
            </w:r>
          </w:p>
        </w:tc>
        <w:tc>
          <w:tcPr>
            <w:tcW w:w="673" w:type="pct"/>
            <w:tcBorders>
              <w:top w:val="double" w:sz="4" w:space="0" w:color="auto"/>
              <w:left w:val="double" w:sz="4" w:space="0" w:color="auto"/>
              <w:bottom w:val="single" w:sz="6" w:space="0" w:color="auto"/>
              <w:right w:val="single" w:sz="6" w:space="0" w:color="auto"/>
            </w:tcBorders>
            <w:shd w:val="clear" w:color="auto" w:fill="D9D9D9"/>
            <w:noWrap/>
            <w:vAlign w:val="bottom"/>
            <w:hideMark/>
          </w:tcPr>
          <w:p w14:paraId="635DA8EE" w14:textId="77777777" w:rsidR="001C0C7E" w:rsidRPr="001C0C7E" w:rsidRDefault="001C0C7E">
            <w:pPr>
              <w:ind w:right="216"/>
              <w:jc w:val="right"/>
              <w:rPr>
                <w:rFonts w:ascii="Arial Narrow" w:eastAsia="Times New Roman" w:hAnsi="Arial Narrow" w:cs="Calibri"/>
                <w:b/>
                <w:bCs/>
                <w:color w:val="000000"/>
                <w:sz w:val="18"/>
                <w:szCs w:val="18"/>
              </w:rPr>
            </w:pPr>
            <w:r w:rsidRPr="001646F6">
              <w:rPr>
                <w:rFonts w:ascii="Arial Narrow" w:hAnsi="Arial Narrow" w:cs="Calibri"/>
                <w:b/>
                <w:bCs/>
                <w:color w:val="000000"/>
                <w:sz w:val="18"/>
                <w:szCs w:val="18"/>
              </w:rPr>
              <w:t>2,148,072</w:t>
            </w:r>
          </w:p>
        </w:tc>
        <w:tc>
          <w:tcPr>
            <w:tcW w:w="769" w:type="pct"/>
            <w:tcBorders>
              <w:top w:val="double" w:sz="4" w:space="0" w:color="auto"/>
              <w:left w:val="single" w:sz="6" w:space="0" w:color="auto"/>
              <w:bottom w:val="single" w:sz="6" w:space="0" w:color="auto"/>
              <w:right w:val="single" w:sz="8" w:space="0" w:color="auto"/>
            </w:tcBorders>
            <w:shd w:val="clear" w:color="auto" w:fill="D9D9D9"/>
            <w:noWrap/>
            <w:vAlign w:val="bottom"/>
            <w:hideMark/>
          </w:tcPr>
          <w:p w14:paraId="1B269E5C" w14:textId="77777777" w:rsidR="001C0C7E" w:rsidRPr="001C0C7E" w:rsidRDefault="001C0C7E">
            <w:pPr>
              <w:ind w:right="216"/>
              <w:jc w:val="right"/>
              <w:rPr>
                <w:rFonts w:ascii="Arial Narrow" w:eastAsia="Times New Roman" w:hAnsi="Arial Narrow" w:cs="Calibri"/>
                <w:b/>
                <w:bCs/>
                <w:color w:val="000000"/>
                <w:sz w:val="18"/>
                <w:szCs w:val="18"/>
              </w:rPr>
            </w:pPr>
            <w:r w:rsidRPr="001646F6">
              <w:rPr>
                <w:rFonts w:ascii="Arial Narrow" w:hAnsi="Arial Narrow" w:cs="Calibri"/>
                <w:b/>
                <w:bCs/>
                <w:color w:val="000000"/>
                <w:sz w:val="18"/>
                <w:szCs w:val="18"/>
              </w:rPr>
              <w:t>$170,877,9</w:t>
            </w:r>
            <w:r w:rsidR="0087292F">
              <w:rPr>
                <w:rFonts w:ascii="Arial Narrow" w:hAnsi="Arial Narrow" w:cs="Calibri"/>
                <w:b/>
                <w:bCs/>
                <w:color w:val="000000"/>
                <w:sz w:val="18"/>
                <w:szCs w:val="18"/>
              </w:rPr>
              <w:t>69</w:t>
            </w:r>
          </w:p>
        </w:tc>
      </w:tr>
      <w:tr w:rsidR="001C0C7E" w:rsidRPr="00FF0B3F" w14:paraId="7F29B804" w14:textId="77777777" w:rsidTr="001646F6">
        <w:trPr>
          <w:trHeight w:val="310"/>
        </w:trPr>
        <w:tc>
          <w:tcPr>
            <w:tcW w:w="972" w:type="pct"/>
            <w:tcBorders>
              <w:top w:val="single" w:sz="6" w:space="0" w:color="auto"/>
              <w:left w:val="single" w:sz="8" w:space="0" w:color="auto"/>
              <w:bottom w:val="single" w:sz="6" w:space="0" w:color="auto"/>
              <w:right w:val="single" w:sz="6" w:space="0" w:color="auto"/>
            </w:tcBorders>
            <w:shd w:val="clear" w:color="auto" w:fill="D9D9D9"/>
            <w:vAlign w:val="center"/>
            <w:hideMark/>
          </w:tcPr>
          <w:p w14:paraId="1B6A3DFC" w14:textId="77777777" w:rsidR="00640BDB" w:rsidRPr="00FF0B3F" w:rsidRDefault="00640BDB" w:rsidP="00640BDB">
            <w:pPr>
              <w:rPr>
                <w:rFonts w:ascii="Arial Narrow" w:eastAsia="Times New Roman" w:hAnsi="Arial Narrow" w:cs="Times New Roman"/>
                <w:b/>
                <w:bCs/>
                <w:color w:val="000000"/>
                <w:sz w:val="18"/>
                <w:szCs w:val="18"/>
              </w:rPr>
            </w:pPr>
            <w:r w:rsidRPr="00FF0B3F">
              <w:rPr>
                <w:rFonts w:ascii="Arial Narrow" w:eastAsia="Times New Roman" w:hAnsi="Arial Narrow" w:cs="Times New Roman"/>
                <w:b/>
                <w:bCs/>
                <w:color w:val="000000"/>
                <w:sz w:val="18"/>
                <w:szCs w:val="18"/>
              </w:rPr>
              <w:t>Agency Burden, Total</w:t>
            </w:r>
          </w:p>
        </w:tc>
        <w:tc>
          <w:tcPr>
            <w:tcW w:w="1241" w:type="pct"/>
            <w:gridSpan w:val="4"/>
            <w:tcBorders>
              <w:top w:val="single" w:sz="6" w:space="0" w:color="auto"/>
              <w:left w:val="single" w:sz="6" w:space="0" w:color="auto"/>
              <w:bottom w:val="single" w:sz="6" w:space="0" w:color="auto"/>
              <w:right w:val="double" w:sz="4" w:space="0" w:color="auto"/>
            </w:tcBorders>
            <w:shd w:val="clear" w:color="auto" w:fill="D9D9D9"/>
            <w:noWrap/>
            <w:vAlign w:val="bottom"/>
            <w:hideMark/>
          </w:tcPr>
          <w:p w14:paraId="55D8A1F8" w14:textId="77777777" w:rsidR="00640BDB" w:rsidRPr="00640BDB" w:rsidRDefault="00640BDB">
            <w:pPr>
              <w:ind w:right="960"/>
              <w:jc w:val="right"/>
              <w:rPr>
                <w:rFonts w:ascii="Arial Narrow" w:eastAsia="Times New Roman" w:hAnsi="Arial Narrow" w:cs="Calibri"/>
                <w:b/>
                <w:bCs/>
                <w:color w:val="000000"/>
                <w:sz w:val="18"/>
                <w:szCs w:val="18"/>
              </w:rPr>
            </w:pPr>
            <w:r w:rsidRPr="00CB3800">
              <w:rPr>
                <w:rFonts w:ascii="Arial Narrow" w:hAnsi="Arial Narrow" w:cs="Calibri"/>
                <w:b/>
                <w:bCs/>
                <w:color w:val="000000"/>
                <w:sz w:val="18"/>
                <w:szCs w:val="18"/>
              </w:rPr>
              <w:t>2,540</w:t>
            </w:r>
          </w:p>
        </w:tc>
        <w:tc>
          <w:tcPr>
            <w:tcW w:w="623" w:type="pct"/>
            <w:tcBorders>
              <w:top w:val="single" w:sz="6" w:space="0" w:color="auto"/>
              <w:left w:val="double" w:sz="4" w:space="0" w:color="auto"/>
              <w:bottom w:val="single" w:sz="6" w:space="0" w:color="auto"/>
              <w:right w:val="single" w:sz="6" w:space="0" w:color="auto"/>
            </w:tcBorders>
            <w:shd w:val="clear" w:color="auto" w:fill="D9D9D9"/>
            <w:vAlign w:val="bottom"/>
            <w:hideMark/>
          </w:tcPr>
          <w:p w14:paraId="72CA947C" w14:textId="77777777" w:rsidR="00640BDB" w:rsidRPr="00640BDB" w:rsidRDefault="00640BDB">
            <w:pPr>
              <w:ind w:right="216"/>
              <w:jc w:val="right"/>
              <w:rPr>
                <w:rFonts w:ascii="Arial Narrow" w:eastAsia="Times New Roman" w:hAnsi="Arial Narrow" w:cs="Calibri"/>
                <w:b/>
                <w:bCs/>
                <w:color w:val="000000"/>
                <w:sz w:val="18"/>
                <w:szCs w:val="18"/>
              </w:rPr>
            </w:pPr>
            <w:r w:rsidRPr="00CB3800">
              <w:rPr>
                <w:rFonts w:ascii="Arial Narrow" w:hAnsi="Arial Narrow" w:cs="Calibri"/>
                <w:b/>
                <w:bCs/>
                <w:color w:val="000000"/>
                <w:sz w:val="18"/>
                <w:szCs w:val="18"/>
              </w:rPr>
              <w:t xml:space="preserve">                   635 </w:t>
            </w:r>
          </w:p>
        </w:tc>
        <w:tc>
          <w:tcPr>
            <w:tcW w:w="722" w:type="pct"/>
            <w:tcBorders>
              <w:top w:val="single" w:sz="6" w:space="0" w:color="auto"/>
              <w:left w:val="single" w:sz="6" w:space="0" w:color="auto"/>
              <w:bottom w:val="single" w:sz="6" w:space="0" w:color="auto"/>
              <w:right w:val="double" w:sz="4" w:space="0" w:color="auto"/>
            </w:tcBorders>
            <w:shd w:val="clear" w:color="auto" w:fill="D9D9D9"/>
            <w:vAlign w:val="bottom"/>
            <w:hideMark/>
          </w:tcPr>
          <w:p w14:paraId="60AF60BE" w14:textId="77777777" w:rsidR="00640BDB" w:rsidRPr="00640BDB" w:rsidRDefault="00640BDB">
            <w:pPr>
              <w:ind w:right="216"/>
              <w:jc w:val="right"/>
              <w:rPr>
                <w:rFonts w:ascii="Arial Narrow" w:eastAsia="Times New Roman" w:hAnsi="Arial Narrow" w:cs="Calibri"/>
                <w:b/>
                <w:bCs/>
                <w:color w:val="000000"/>
                <w:sz w:val="18"/>
                <w:szCs w:val="18"/>
              </w:rPr>
            </w:pPr>
            <w:r w:rsidRPr="00CB3800">
              <w:rPr>
                <w:rFonts w:ascii="Arial Narrow" w:hAnsi="Arial Narrow" w:cs="Calibri"/>
                <w:b/>
                <w:bCs/>
                <w:color w:val="000000"/>
                <w:sz w:val="18"/>
                <w:szCs w:val="18"/>
              </w:rPr>
              <w:t>$85,036</w:t>
            </w:r>
          </w:p>
        </w:tc>
        <w:tc>
          <w:tcPr>
            <w:tcW w:w="673" w:type="pct"/>
            <w:tcBorders>
              <w:top w:val="single" w:sz="6" w:space="0" w:color="auto"/>
              <w:left w:val="double" w:sz="4" w:space="0" w:color="auto"/>
              <w:bottom w:val="single" w:sz="6" w:space="0" w:color="auto"/>
              <w:right w:val="single" w:sz="6" w:space="0" w:color="auto"/>
            </w:tcBorders>
            <w:shd w:val="clear" w:color="auto" w:fill="D9D9D9"/>
            <w:noWrap/>
            <w:vAlign w:val="bottom"/>
            <w:hideMark/>
          </w:tcPr>
          <w:p w14:paraId="431F3110" w14:textId="77777777" w:rsidR="00640BDB" w:rsidRPr="00640BDB" w:rsidRDefault="00640BDB">
            <w:pPr>
              <w:ind w:right="216"/>
              <w:jc w:val="right"/>
              <w:rPr>
                <w:rFonts w:ascii="Arial Narrow" w:eastAsia="Times New Roman" w:hAnsi="Arial Narrow" w:cs="Calibri"/>
                <w:b/>
                <w:bCs/>
                <w:color w:val="000000"/>
                <w:sz w:val="18"/>
                <w:szCs w:val="18"/>
              </w:rPr>
            </w:pPr>
            <w:r w:rsidRPr="00CB3800">
              <w:rPr>
                <w:rFonts w:ascii="Arial Narrow" w:hAnsi="Arial Narrow" w:cs="Calibri"/>
                <w:b/>
                <w:bCs/>
                <w:color w:val="000000"/>
                <w:sz w:val="18"/>
                <w:szCs w:val="18"/>
              </w:rPr>
              <w:t xml:space="preserve">                            1,905 </w:t>
            </w:r>
          </w:p>
        </w:tc>
        <w:tc>
          <w:tcPr>
            <w:tcW w:w="769" w:type="pct"/>
            <w:tcBorders>
              <w:top w:val="single" w:sz="6" w:space="0" w:color="auto"/>
              <w:left w:val="single" w:sz="6" w:space="0" w:color="auto"/>
              <w:bottom w:val="single" w:sz="6" w:space="0" w:color="auto"/>
              <w:right w:val="single" w:sz="8" w:space="0" w:color="auto"/>
            </w:tcBorders>
            <w:shd w:val="clear" w:color="auto" w:fill="D9D9D9"/>
            <w:noWrap/>
            <w:vAlign w:val="bottom"/>
            <w:hideMark/>
          </w:tcPr>
          <w:p w14:paraId="1EAA1D10" w14:textId="77777777" w:rsidR="00640BDB" w:rsidRPr="00640BDB" w:rsidRDefault="00640BDB">
            <w:pPr>
              <w:ind w:right="216"/>
              <w:jc w:val="right"/>
              <w:rPr>
                <w:rFonts w:ascii="Arial Narrow" w:eastAsia="Times New Roman" w:hAnsi="Arial Narrow" w:cs="Calibri"/>
                <w:b/>
                <w:bCs/>
                <w:color w:val="000000"/>
                <w:sz w:val="18"/>
                <w:szCs w:val="18"/>
              </w:rPr>
            </w:pPr>
            <w:r w:rsidRPr="00CB3800">
              <w:rPr>
                <w:rFonts w:ascii="Arial Narrow" w:hAnsi="Arial Narrow" w:cs="Calibri"/>
                <w:b/>
                <w:bCs/>
                <w:color w:val="000000"/>
                <w:sz w:val="18"/>
                <w:szCs w:val="18"/>
              </w:rPr>
              <w:t>$255,108</w:t>
            </w:r>
          </w:p>
        </w:tc>
      </w:tr>
      <w:tr w:rsidR="002356D0" w:rsidRPr="00FF0B3F" w14:paraId="503811EC" w14:textId="77777777" w:rsidTr="001646F6">
        <w:trPr>
          <w:trHeight w:val="310"/>
        </w:trPr>
        <w:tc>
          <w:tcPr>
            <w:tcW w:w="5000" w:type="pct"/>
            <w:gridSpan w:val="9"/>
            <w:tcBorders>
              <w:top w:val="single" w:sz="6" w:space="0" w:color="auto"/>
              <w:left w:val="single" w:sz="8" w:space="0" w:color="auto"/>
              <w:bottom w:val="single" w:sz="8" w:space="0" w:color="auto"/>
              <w:right w:val="single" w:sz="8" w:space="0" w:color="auto"/>
            </w:tcBorders>
            <w:shd w:val="clear" w:color="auto" w:fill="auto"/>
            <w:vAlign w:val="center"/>
          </w:tcPr>
          <w:p w14:paraId="7E855D0C" w14:textId="77777777" w:rsidR="009736F0" w:rsidRPr="00AF72EF" w:rsidRDefault="00E3725C" w:rsidP="002356D0">
            <w:pPr>
              <w:ind w:left="247" w:right="216" w:hanging="247"/>
              <w:rPr>
                <w:rFonts w:ascii="Arial Narrow" w:hAnsi="Arial Narrow"/>
                <w:sz w:val="18"/>
                <w:szCs w:val="18"/>
              </w:rPr>
            </w:pPr>
            <w:r>
              <w:rPr>
                <w:rFonts w:ascii="Arial Narrow" w:hAnsi="Arial Narrow"/>
                <w:sz w:val="18"/>
                <w:szCs w:val="18"/>
              </w:rPr>
              <w:t xml:space="preserve">Table </w:t>
            </w:r>
            <w:r w:rsidR="009736F0" w:rsidRPr="00AF72EF">
              <w:rPr>
                <w:rFonts w:ascii="Arial Narrow" w:hAnsi="Arial Narrow"/>
                <w:sz w:val="18"/>
                <w:szCs w:val="18"/>
              </w:rPr>
              <w:t>Footnotes</w:t>
            </w:r>
          </w:p>
          <w:p w14:paraId="5D4F8F44" w14:textId="77777777" w:rsidR="002356D0" w:rsidRPr="002356D0" w:rsidRDefault="002356D0" w:rsidP="00571292">
            <w:pPr>
              <w:ind w:left="247" w:right="216" w:hanging="247"/>
              <w:rPr>
                <w:rFonts w:ascii="Arial Narrow" w:eastAsia="Times New Roman" w:hAnsi="Arial Narrow" w:cs="Calibri"/>
                <w:b/>
                <w:bCs/>
                <w:color w:val="000000"/>
                <w:sz w:val="18"/>
                <w:szCs w:val="18"/>
              </w:rPr>
            </w:pPr>
            <w:r w:rsidRPr="00AF72EF">
              <w:rPr>
                <w:rFonts w:ascii="Arial Narrow" w:hAnsi="Arial Narrow"/>
                <w:sz w:val="18"/>
                <w:szCs w:val="18"/>
                <w:vertAlign w:val="superscript"/>
              </w:rPr>
              <w:t>1</w:t>
            </w:r>
            <w:r w:rsidR="00662527" w:rsidRPr="00AF72EF">
              <w:rPr>
                <w:rFonts w:ascii="Arial Narrow" w:hAnsi="Arial Narrow"/>
                <w:sz w:val="18"/>
                <w:szCs w:val="18"/>
                <w:vertAlign w:val="superscript"/>
              </w:rPr>
              <w:t xml:space="preserve"> </w:t>
            </w:r>
            <w:r w:rsidRPr="00AF72EF">
              <w:rPr>
                <w:rFonts w:ascii="Arial Narrow" w:hAnsi="Arial Narrow"/>
                <w:sz w:val="18"/>
                <w:szCs w:val="18"/>
              </w:rPr>
              <w:t>Includes rule familiarization (new reporters), compliance determination, form completion</w:t>
            </w:r>
            <w:r w:rsidR="00571292">
              <w:rPr>
                <w:rFonts w:ascii="Arial Narrow" w:hAnsi="Arial Narrow"/>
                <w:sz w:val="18"/>
                <w:szCs w:val="18"/>
              </w:rPr>
              <w:t>, and recordkeeping</w:t>
            </w:r>
          </w:p>
        </w:tc>
      </w:tr>
    </w:tbl>
    <w:p w14:paraId="12146BFF" w14:textId="77777777" w:rsidR="00B07A1E" w:rsidRDefault="00B07A1E" w:rsidP="00FA0CF8">
      <w:pPr>
        <w:pStyle w:val="Footnotetables"/>
      </w:pPr>
    </w:p>
    <w:p w14:paraId="23FFFE78" w14:textId="77777777" w:rsidR="00F06BA6" w:rsidRPr="008A7FB7" w:rsidRDefault="00F06BA6" w:rsidP="000D2D6D">
      <w:pPr>
        <w:pStyle w:val="Heading2"/>
      </w:pPr>
      <w:r w:rsidRPr="008A7FB7">
        <w:t>Reasons for Change in Burden</w:t>
      </w:r>
    </w:p>
    <w:p w14:paraId="2ED20E8C" w14:textId="25FED7D0" w:rsidR="00C44630" w:rsidRDefault="009F4C2D" w:rsidP="000F6439">
      <w:pPr>
        <w:pStyle w:val="BodyText"/>
      </w:pPr>
      <w:r w:rsidRPr="00C123B1">
        <w:t>There is a decrease of 73,179 hours in the total estimated burden compared with that approved by OMB. This decrease reflects a combination of program changes and adjustments. Program changes involve updated CBI substantiation requirements as a result o</w:t>
      </w:r>
      <w:r w:rsidR="00126016">
        <w:t>f the 2016 amendments to TSCA (</w:t>
      </w:r>
      <w:r w:rsidRPr="00C123B1">
        <w:t xml:space="preserve">4,877 hours); and adjustments involve methodology corrections (-184,158 hours) and an increase in the estimated number of respondents (+106,102 hours). </w:t>
      </w:r>
      <w:r w:rsidR="00A02834">
        <w:t xml:space="preserve">Refer to Table 16 for </w:t>
      </w:r>
      <w:r w:rsidR="004153FD">
        <w:t>further detail</w:t>
      </w:r>
      <w:r w:rsidR="00A02834">
        <w:t>.</w:t>
      </w:r>
      <w:r w:rsidR="00F06BA6" w:rsidRPr="008A7FB7">
        <w:t xml:space="preserve"> </w:t>
      </w:r>
    </w:p>
    <w:p w14:paraId="4B84D93D" w14:textId="77777777" w:rsidR="00C44630" w:rsidRDefault="00C44630" w:rsidP="000F6439">
      <w:pPr>
        <w:pStyle w:val="BodyText"/>
      </w:pPr>
    </w:p>
    <w:p w14:paraId="428EE4D5" w14:textId="77777777" w:rsidR="00C44630" w:rsidRDefault="00C44630" w:rsidP="000F6439">
      <w:pPr>
        <w:pStyle w:val="BodyText"/>
        <w:sectPr w:rsidR="00C44630" w:rsidSect="008D0116">
          <w:headerReference w:type="default" r:id="rId37"/>
          <w:pgSz w:w="12240" w:h="15840"/>
          <w:pgMar w:top="1440" w:right="1440" w:bottom="1440" w:left="1440" w:header="720" w:footer="720" w:gutter="0"/>
          <w:cols w:space="720"/>
          <w:docGrid w:linePitch="360"/>
        </w:sectPr>
      </w:pPr>
    </w:p>
    <w:tbl>
      <w:tblPr>
        <w:tblW w:w="5104" w:type="pct"/>
        <w:tblLayout w:type="fixed"/>
        <w:tblCellMar>
          <w:left w:w="115" w:type="dxa"/>
          <w:right w:w="115" w:type="dxa"/>
        </w:tblCellMar>
        <w:tblLook w:val="04A0" w:firstRow="1" w:lastRow="0" w:firstColumn="1" w:lastColumn="0" w:noHBand="0" w:noVBand="1"/>
      </w:tblPr>
      <w:tblGrid>
        <w:gridCol w:w="2192"/>
        <w:gridCol w:w="824"/>
        <w:gridCol w:w="1107"/>
        <w:gridCol w:w="916"/>
        <w:gridCol w:w="1099"/>
        <w:gridCol w:w="824"/>
        <w:gridCol w:w="1101"/>
        <w:gridCol w:w="1010"/>
        <w:gridCol w:w="1645"/>
        <w:gridCol w:w="1190"/>
        <w:gridCol w:w="1540"/>
        <w:gridCol w:w="16"/>
      </w:tblGrid>
      <w:tr w:rsidR="00527E74" w:rsidRPr="00527E74" w14:paraId="7C35A9D9" w14:textId="77777777" w:rsidTr="00F4353D">
        <w:trPr>
          <w:gridAfter w:val="1"/>
          <w:wAfter w:w="6" w:type="pct"/>
        </w:trPr>
        <w:tc>
          <w:tcPr>
            <w:tcW w:w="4994" w:type="pct"/>
            <w:gridSpan w:val="11"/>
            <w:tcBorders>
              <w:bottom w:val="single" w:sz="4" w:space="0" w:color="auto"/>
            </w:tcBorders>
            <w:shd w:val="clear" w:color="auto" w:fill="auto"/>
            <w:vAlign w:val="center"/>
          </w:tcPr>
          <w:p w14:paraId="7EED99E4" w14:textId="77777777" w:rsidR="00527E74" w:rsidRPr="00527E74" w:rsidRDefault="00527E74" w:rsidP="000D2D6D">
            <w:pPr>
              <w:pStyle w:val="Heading2"/>
              <w:numPr>
                <w:ilvl w:val="0"/>
                <w:numId w:val="0"/>
              </w:numPr>
              <w:ind w:left="720"/>
            </w:pPr>
            <w:r w:rsidRPr="00527E74">
              <w:t>Table 16: Reasons for the Change in Burden</w:t>
            </w:r>
          </w:p>
        </w:tc>
      </w:tr>
      <w:tr w:rsidR="00527E74" w:rsidRPr="00527E74" w14:paraId="354A276B" w14:textId="77777777" w:rsidTr="00F4353D">
        <w:tblPrEx>
          <w:tblCellMar>
            <w:left w:w="108" w:type="dxa"/>
            <w:right w:w="108" w:type="dxa"/>
          </w:tblCellMar>
        </w:tblPrEx>
        <w:trPr>
          <w:trHeight w:val="421"/>
        </w:trPr>
        <w:tc>
          <w:tcPr>
            <w:tcW w:w="814" w:type="pct"/>
            <w:vMerge w:val="restart"/>
            <w:tcBorders>
              <w:top w:val="single" w:sz="4" w:space="0" w:color="auto"/>
              <w:left w:val="single" w:sz="8" w:space="0" w:color="auto"/>
              <w:bottom w:val="single" w:sz="8" w:space="0" w:color="000000"/>
              <w:right w:val="single" w:sz="8" w:space="0" w:color="auto"/>
            </w:tcBorders>
            <w:shd w:val="clear" w:color="000000" w:fill="D9D9D9"/>
            <w:vAlign w:val="bottom"/>
            <w:hideMark/>
          </w:tcPr>
          <w:p w14:paraId="31C1EAEF" w14:textId="77777777" w:rsidR="00527E74" w:rsidRPr="00527E74" w:rsidRDefault="00527E74" w:rsidP="00F4353D">
            <w:pPr>
              <w:jc w:val="center"/>
              <w:rPr>
                <w:rFonts w:ascii="Arial Narrow" w:eastAsia="Times New Roman" w:hAnsi="Arial Narrow" w:cs="Calibri"/>
                <w:b/>
                <w:bCs/>
                <w:color w:val="000000"/>
                <w:sz w:val="20"/>
                <w:szCs w:val="20"/>
                <w:u w:val="single"/>
              </w:rPr>
            </w:pPr>
            <w:r w:rsidRPr="00527E74">
              <w:rPr>
                <w:rFonts w:ascii="Arial Narrow" w:eastAsia="Times New Roman" w:hAnsi="Arial Narrow" w:cs="Calibri"/>
                <w:b/>
                <w:bCs/>
                <w:color w:val="000000"/>
                <w:sz w:val="20"/>
                <w:szCs w:val="20"/>
                <w:u w:val="single"/>
              </w:rPr>
              <w:t>Information Collection (IC)</w:t>
            </w:r>
          </w:p>
        </w:tc>
        <w:tc>
          <w:tcPr>
            <w:tcW w:w="717" w:type="pct"/>
            <w:gridSpan w:val="2"/>
            <w:vMerge w:val="restart"/>
            <w:tcBorders>
              <w:top w:val="single" w:sz="4" w:space="0" w:color="auto"/>
              <w:left w:val="single" w:sz="8" w:space="0" w:color="auto"/>
              <w:bottom w:val="single" w:sz="8" w:space="0" w:color="000000"/>
              <w:right w:val="single" w:sz="8" w:space="0" w:color="000000"/>
            </w:tcBorders>
            <w:shd w:val="clear" w:color="000000" w:fill="D9D9D9"/>
            <w:vAlign w:val="bottom"/>
            <w:hideMark/>
          </w:tcPr>
          <w:p w14:paraId="775EAB76" w14:textId="77777777" w:rsidR="00527E74" w:rsidRPr="00527E74" w:rsidRDefault="00527E74" w:rsidP="00F4353D">
            <w:pPr>
              <w:jc w:val="center"/>
              <w:rPr>
                <w:rFonts w:ascii="Arial Narrow" w:eastAsia="Times New Roman" w:hAnsi="Arial Narrow" w:cs="Calibri"/>
                <w:b/>
                <w:bCs/>
                <w:color w:val="000000"/>
                <w:sz w:val="20"/>
                <w:szCs w:val="20"/>
              </w:rPr>
            </w:pPr>
            <w:r w:rsidRPr="00527E74">
              <w:rPr>
                <w:rFonts w:ascii="Arial Narrow" w:eastAsia="Times New Roman" w:hAnsi="Arial Narrow" w:cs="Calibri"/>
                <w:b/>
                <w:bCs/>
                <w:color w:val="000000"/>
                <w:sz w:val="20"/>
                <w:szCs w:val="20"/>
              </w:rPr>
              <w:t>Previous ICR</w:t>
            </w:r>
          </w:p>
        </w:tc>
        <w:tc>
          <w:tcPr>
            <w:tcW w:w="2449" w:type="pct"/>
            <w:gridSpan w:val="6"/>
            <w:tcBorders>
              <w:top w:val="single" w:sz="4" w:space="0" w:color="auto"/>
              <w:left w:val="nil"/>
              <w:bottom w:val="single" w:sz="8" w:space="0" w:color="auto"/>
              <w:right w:val="nil"/>
            </w:tcBorders>
            <w:shd w:val="clear" w:color="auto" w:fill="auto"/>
            <w:noWrap/>
            <w:vAlign w:val="bottom"/>
            <w:hideMark/>
          </w:tcPr>
          <w:p w14:paraId="05E4C981" w14:textId="77777777" w:rsidR="00527E74" w:rsidRPr="00527E74" w:rsidRDefault="00527E74" w:rsidP="00F4353D">
            <w:pPr>
              <w:jc w:val="center"/>
              <w:rPr>
                <w:rFonts w:ascii="Arial Narrow" w:eastAsia="Times New Roman" w:hAnsi="Arial Narrow" w:cs="Calibri"/>
                <w:b/>
                <w:bCs/>
                <w:color w:val="000000"/>
                <w:sz w:val="20"/>
                <w:szCs w:val="20"/>
              </w:rPr>
            </w:pPr>
            <w:r w:rsidRPr="00527E74">
              <w:rPr>
                <w:rFonts w:ascii="Arial Narrow" w:eastAsia="Times New Roman" w:hAnsi="Arial Narrow" w:cs="Calibri"/>
                <w:b/>
                <w:bCs/>
                <w:color w:val="000000"/>
                <w:sz w:val="20"/>
                <w:szCs w:val="20"/>
              </w:rPr>
              <w:t>Changes</w:t>
            </w:r>
          </w:p>
        </w:tc>
        <w:tc>
          <w:tcPr>
            <w:tcW w:w="1020" w:type="pct"/>
            <w:gridSpan w:val="3"/>
            <w:vMerge w:val="restart"/>
            <w:tcBorders>
              <w:top w:val="single" w:sz="8" w:space="0" w:color="auto"/>
              <w:left w:val="single" w:sz="8" w:space="0" w:color="auto"/>
              <w:bottom w:val="single" w:sz="8" w:space="0" w:color="000000"/>
              <w:right w:val="single" w:sz="8" w:space="0" w:color="000000"/>
            </w:tcBorders>
            <w:shd w:val="clear" w:color="000000" w:fill="D9D9D9"/>
            <w:vAlign w:val="bottom"/>
            <w:hideMark/>
          </w:tcPr>
          <w:p w14:paraId="35130240" w14:textId="77777777" w:rsidR="00527E74" w:rsidRPr="00527E74" w:rsidRDefault="00527E74" w:rsidP="00F4353D">
            <w:pPr>
              <w:jc w:val="center"/>
              <w:rPr>
                <w:rFonts w:ascii="Arial Narrow" w:eastAsia="Times New Roman" w:hAnsi="Arial Narrow" w:cs="Calibri"/>
                <w:b/>
                <w:bCs/>
                <w:color w:val="000000"/>
                <w:sz w:val="20"/>
                <w:szCs w:val="20"/>
              </w:rPr>
            </w:pPr>
            <w:r w:rsidRPr="00527E74">
              <w:rPr>
                <w:rFonts w:ascii="Arial Narrow" w:eastAsia="Times New Roman" w:hAnsi="Arial Narrow" w:cs="Calibri"/>
                <w:b/>
                <w:bCs/>
                <w:color w:val="000000"/>
                <w:sz w:val="20"/>
                <w:szCs w:val="20"/>
              </w:rPr>
              <w:t>ICR Renewal</w:t>
            </w:r>
          </w:p>
        </w:tc>
      </w:tr>
      <w:tr w:rsidR="00527E74" w:rsidRPr="00527E74" w14:paraId="7C1E0656" w14:textId="77777777" w:rsidTr="00291AFE">
        <w:tblPrEx>
          <w:tblCellMar>
            <w:left w:w="108" w:type="dxa"/>
            <w:right w:w="108" w:type="dxa"/>
          </w:tblCellMar>
        </w:tblPrEx>
        <w:trPr>
          <w:trHeight w:val="727"/>
        </w:trPr>
        <w:tc>
          <w:tcPr>
            <w:tcW w:w="814" w:type="pct"/>
            <w:vMerge/>
            <w:tcBorders>
              <w:top w:val="nil"/>
              <w:left w:val="single" w:sz="8" w:space="0" w:color="auto"/>
              <w:bottom w:val="single" w:sz="8" w:space="0" w:color="000000"/>
              <w:right w:val="single" w:sz="8" w:space="0" w:color="auto"/>
            </w:tcBorders>
            <w:vAlign w:val="bottom"/>
            <w:hideMark/>
          </w:tcPr>
          <w:p w14:paraId="78D7095C" w14:textId="77777777" w:rsidR="00527E74" w:rsidRPr="00527E74" w:rsidRDefault="00527E74" w:rsidP="00F4353D">
            <w:pPr>
              <w:jc w:val="center"/>
              <w:rPr>
                <w:rFonts w:ascii="Arial Narrow" w:eastAsia="Times New Roman" w:hAnsi="Arial Narrow" w:cs="Calibri"/>
                <w:b/>
                <w:bCs/>
                <w:color w:val="000000"/>
                <w:sz w:val="20"/>
                <w:szCs w:val="20"/>
                <w:u w:val="single"/>
              </w:rPr>
            </w:pPr>
          </w:p>
        </w:tc>
        <w:tc>
          <w:tcPr>
            <w:tcW w:w="717" w:type="pct"/>
            <w:gridSpan w:val="2"/>
            <w:vMerge/>
            <w:tcBorders>
              <w:top w:val="single" w:sz="8" w:space="0" w:color="auto"/>
              <w:left w:val="single" w:sz="8" w:space="0" w:color="auto"/>
              <w:bottom w:val="single" w:sz="8" w:space="0" w:color="000000"/>
              <w:right w:val="single" w:sz="8" w:space="0" w:color="000000"/>
            </w:tcBorders>
            <w:vAlign w:val="bottom"/>
            <w:hideMark/>
          </w:tcPr>
          <w:p w14:paraId="6C8F184A" w14:textId="77777777" w:rsidR="00527E74" w:rsidRPr="00527E74" w:rsidRDefault="00527E74" w:rsidP="00F4353D">
            <w:pPr>
              <w:jc w:val="center"/>
              <w:rPr>
                <w:rFonts w:ascii="Arial Narrow" w:eastAsia="Times New Roman" w:hAnsi="Arial Narrow" w:cs="Calibri"/>
                <w:b/>
                <w:bCs/>
                <w:color w:val="000000"/>
                <w:sz w:val="20"/>
                <w:szCs w:val="20"/>
              </w:rPr>
            </w:pPr>
          </w:p>
        </w:tc>
        <w:tc>
          <w:tcPr>
            <w:tcW w:w="748" w:type="pct"/>
            <w:gridSpan w:val="2"/>
            <w:tcBorders>
              <w:top w:val="single" w:sz="8" w:space="0" w:color="auto"/>
              <w:left w:val="nil"/>
              <w:bottom w:val="single" w:sz="8" w:space="0" w:color="auto"/>
              <w:right w:val="single" w:sz="8" w:space="0" w:color="000000"/>
            </w:tcBorders>
            <w:shd w:val="clear" w:color="auto" w:fill="auto"/>
            <w:vAlign w:val="bottom"/>
            <w:hideMark/>
          </w:tcPr>
          <w:p w14:paraId="48A3B11D" w14:textId="77777777" w:rsidR="00527E74" w:rsidRPr="00527E74" w:rsidRDefault="009E7989" w:rsidP="00F4353D">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w:t>
            </w:r>
            <w:r w:rsidR="00527E74" w:rsidRPr="00527E74">
              <w:rPr>
                <w:rFonts w:ascii="Arial Narrow" w:eastAsia="Times New Roman" w:hAnsi="Arial Narrow" w:cs="Calibri"/>
                <w:b/>
                <w:bCs/>
                <w:color w:val="000000"/>
                <w:sz w:val="20"/>
                <w:szCs w:val="20"/>
              </w:rPr>
              <w:t>1) Changes to the Counts of Reporters</w:t>
            </w:r>
            <w:r w:rsidR="00527E74" w:rsidRPr="00527E74">
              <w:rPr>
                <w:rFonts w:ascii="Arial Narrow" w:eastAsia="Times New Roman" w:hAnsi="Arial Narrow" w:cs="Calibri"/>
                <w:b/>
                <w:bCs/>
                <w:color w:val="000000"/>
                <w:sz w:val="20"/>
                <w:szCs w:val="20"/>
                <w:vertAlign w:val="superscript"/>
              </w:rPr>
              <w:t>1</w:t>
            </w:r>
          </w:p>
        </w:tc>
        <w:tc>
          <w:tcPr>
            <w:tcW w:w="715" w:type="pct"/>
            <w:gridSpan w:val="2"/>
            <w:tcBorders>
              <w:top w:val="nil"/>
              <w:left w:val="nil"/>
              <w:bottom w:val="single" w:sz="8" w:space="0" w:color="auto"/>
              <w:right w:val="nil"/>
            </w:tcBorders>
            <w:shd w:val="clear" w:color="auto" w:fill="auto"/>
            <w:vAlign w:val="bottom"/>
            <w:hideMark/>
          </w:tcPr>
          <w:p w14:paraId="4ACE8478" w14:textId="77777777" w:rsidR="00527E74" w:rsidRPr="00527E74" w:rsidRDefault="009E7989" w:rsidP="00F4353D">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w:t>
            </w:r>
            <w:r w:rsidR="00827850">
              <w:rPr>
                <w:rFonts w:ascii="Arial Narrow" w:eastAsia="Times New Roman" w:hAnsi="Arial Narrow" w:cs="Calibri"/>
                <w:b/>
                <w:bCs/>
                <w:color w:val="000000"/>
                <w:sz w:val="20"/>
                <w:szCs w:val="20"/>
              </w:rPr>
              <w:t>2</w:t>
            </w:r>
            <w:r w:rsidR="00527E74" w:rsidRPr="00527E74">
              <w:rPr>
                <w:rFonts w:ascii="Arial Narrow" w:eastAsia="Times New Roman" w:hAnsi="Arial Narrow" w:cs="Calibri"/>
                <w:b/>
                <w:bCs/>
                <w:color w:val="000000"/>
                <w:sz w:val="20"/>
                <w:szCs w:val="20"/>
              </w:rPr>
              <w:t>) Methodology Corrections and Updates</w:t>
            </w:r>
            <w:r w:rsidR="00527E74" w:rsidRPr="00527E74">
              <w:rPr>
                <w:rFonts w:ascii="Arial Narrow" w:eastAsia="Times New Roman" w:hAnsi="Arial Narrow" w:cs="Calibri"/>
                <w:b/>
                <w:bCs/>
                <w:color w:val="000000"/>
                <w:sz w:val="20"/>
                <w:szCs w:val="20"/>
                <w:vertAlign w:val="superscript"/>
              </w:rPr>
              <w:t>2</w:t>
            </w:r>
          </w:p>
        </w:tc>
        <w:tc>
          <w:tcPr>
            <w:tcW w:w="986" w:type="pct"/>
            <w:gridSpan w:val="2"/>
            <w:tcBorders>
              <w:top w:val="single" w:sz="8" w:space="0" w:color="auto"/>
              <w:left w:val="single" w:sz="8" w:space="0" w:color="000000"/>
              <w:bottom w:val="single" w:sz="8" w:space="0" w:color="auto"/>
              <w:right w:val="single" w:sz="8" w:space="0" w:color="000000"/>
            </w:tcBorders>
            <w:shd w:val="clear" w:color="auto" w:fill="auto"/>
            <w:vAlign w:val="bottom"/>
            <w:hideMark/>
          </w:tcPr>
          <w:p w14:paraId="6FBCCEC0" w14:textId="77777777" w:rsidR="00527E74" w:rsidRPr="00527E74" w:rsidRDefault="009E7989" w:rsidP="00F4353D">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w:t>
            </w:r>
            <w:r w:rsidR="00827850">
              <w:rPr>
                <w:rFonts w:ascii="Arial Narrow" w:eastAsia="Times New Roman" w:hAnsi="Arial Narrow" w:cs="Calibri"/>
                <w:b/>
                <w:bCs/>
                <w:color w:val="000000"/>
                <w:sz w:val="20"/>
                <w:szCs w:val="20"/>
              </w:rPr>
              <w:t>3</w:t>
            </w:r>
            <w:r w:rsidR="00527E74" w:rsidRPr="00527E74">
              <w:rPr>
                <w:rFonts w:ascii="Arial Narrow" w:eastAsia="Times New Roman" w:hAnsi="Arial Narrow" w:cs="Calibri"/>
                <w:b/>
                <w:bCs/>
                <w:color w:val="000000"/>
                <w:sz w:val="20"/>
                <w:szCs w:val="20"/>
              </w:rPr>
              <w:t>) Changes to CBI Substantiation Requirements</w:t>
            </w:r>
          </w:p>
        </w:tc>
        <w:tc>
          <w:tcPr>
            <w:tcW w:w="1020" w:type="pct"/>
            <w:gridSpan w:val="3"/>
            <w:vMerge/>
            <w:tcBorders>
              <w:top w:val="single" w:sz="8" w:space="0" w:color="auto"/>
              <w:left w:val="single" w:sz="8" w:space="0" w:color="auto"/>
              <w:bottom w:val="single" w:sz="8" w:space="0" w:color="000000"/>
              <w:right w:val="single" w:sz="8" w:space="0" w:color="000000"/>
            </w:tcBorders>
            <w:vAlign w:val="bottom"/>
            <w:hideMark/>
          </w:tcPr>
          <w:p w14:paraId="39548FD1" w14:textId="77777777" w:rsidR="00527E74" w:rsidRPr="00527E74" w:rsidRDefault="00527E74" w:rsidP="00F4353D">
            <w:pPr>
              <w:jc w:val="center"/>
              <w:rPr>
                <w:rFonts w:ascii="Arial Narrow" w:eastAsia="Times New Roman" w:hAnsi="Arial Narrow" w:cs="Calibri"/>
                <w:b/>
                <w:bCs/>
                <w:color w:val="000000"/>
                <w:sz w:val="20"/>
                <w:szCs w:val="20"/>
              </w:rPr>
            </w:pPr>
          </w:p>
        </w:tc>
      </w:tr>
      <w:tr w:rsidR="00527E74" w:rsidRPr="00527E74" w14:paraId="6CA85E58" w14:textId="77777777" w:rsidTr="00291AFE">
        <w:tblPrEx>
          <w:tblCellMar>
            <w:left w:w="108" w:type="dxa"/>
            <w:right w:w="108" w:type="dxa"/>
          </w:tblCellMar>
        </w:tblPrEx>
        <w:trPr>
          <w:trHeight w:val="54"/>
        </w:trPr>
        <w:tc>
          <w:tcPr>
            <w:tcW w:w="814" w:type="pct"/>
            <w:vMerge/>
            <w:tcBorders>
              <w:top w:val="nil"/>
              <w:left w:val="single" w:sz="8" w:space="0" w:color="auto"/>
              <w:bottom w:val="single" w:sz="8" w:space="0" w:color="000000"/>
              <w:right w:val="single" w:sz="8" w:space="0" w:color="auto"/>
            </w:tcBorders>
            <w:vAlign w:val="bottom"/>
            <w:hideMark/>
          </w:tcPr>
          <w:p w14:paraId="26E60109" w14:textId="77777777" w:rsidR="00527E74" w:rsidRPr="00527E74" w:rsidRDefault="00527E74" w:rsidP="00F4353D">
            <w:pPr>
              <w:jc w:val="center"/>
              <w:rPr>
                <w:rFonts w:ascii="Arial Narrow" w:eastAsia="Times New Roman" w:hAnsi="Arial Narrow" w:cs="Calibri"/>
                <w:b/>
                <w:bCs/>
                <w:color w:val="000000"/>
                <w:sz w:val="20"/>
                <w:szCs w:val="20"/>
                <w:u w:val="single"/>
              </w:rPr>
            </w:pPr>
          </w:p>
        </w:tc>
        <w:tc>
          <w:tcPr>
            <w:tcW w:w="306" w:type="pct"/>
            <w:tcBorders>
              <w:top w:val="nil"/>
              <w:left w:val="nil"/>
              <w:bottom w:val="single" w:sz="8" w:space="0" w:color="auto"/>
              <w:right w:val="single" w:sz="8" w:space="0" w:color="auto"/>
            </w:tcBorders>
            <w:shd w:val="clear" w:color="000000" w:fill="D9D9D9"/>
            <w:noWrap/>
            <w:vAlign w:val="bottom"/>
            <w:hideMark/>
          </w:tcPr>
          <w:p w14:paraId="60C29068" w14:textId="77777777" w:rsidR="00527E74" w:rsidRPr="00527E74" w:rsidRDefault="00527E74" w:rsidP="00F4353D">
            <w:pPr>
              <w:jc w:val="center"/>
              <w:rPr>
                <w:rFonts w:ascii="Arial Narrow" w:eastAsia="Times New Roman" w:hAnsi="Arial Narrow" w:cs="Calibri"/>
                <w:b/>
                <w:bCs/>
                <w:color w:val="000000"/>
                <w:sz w:val="20"/>
                <w:szCs w:val="20"/>
              </w:rPr>
            </w:pPr>
            <w:r w:rsidRPr="00527E74">
              <w:rPr>
                <w:rFonts w:ascii="Arial Narrow" w:eastAsia="Times New Roman" w:hAnsi="Arial Narrow" w:cs="Calibri"/>
                <w:b/>
                <w:bCs/>
                <w:color w:val="000000"/>
                <w:sz w:val="20"/>
                <w:szCs w:val="20"/>
              </w:rPr>
              <w:t>Unit</w:t>
            </w:r>
          </w:p>
        </w:tc>
        <w:tc>
          <w:tcPr>
            <w:tcW w:w="411" w:type="pct"/>
            <w:tcBorders>
              <w:top w:val="nil"/>
              <w:left w:val="nil"/>
              <w:bottom w:val="single" w:sz="8" w:space="0" w:color="auto"/>
              <w:right w:val="single" w:sz="8" w:space="0" w:color="auto"/>
            </w:tcBorders>
            <w:shd w:val="clear" w:color="000000" w:fill="D9D9D9"/>
            <w:noWrap/>
            <w:vAlign w:val="bottom"/>
            <w:hideMark/>
          </w:tcPr>
          <w:p w14:paraId="232AD354" w14:textId="77777777" w:rsidR="00527E74" w:rsidRPr="00527E74" w:rsidRDefault="00527E74" w:rsidP="00F4353D">
            <w:pPr>
              <w:jc w:val="center"/>
              <w:rPr>
                <w:rFonts w:ascii="Arial Narrow" w:eastAsia="Times New Roman" w:hAnsi="Arial Narrow" w:cs="Calibri"/>
                <w:b/>
                <w:bCs/>
                <w:color w:val="000000"/>
                <w:sz w:val="20"/>
                <w:szCs w:val="20"/>
              </w:rPr>
            </w:pPr>
            <w:r w:rsidRPr="00527E74">
              <w:rPr>
                <w:rFonts w:ascii="Arial Narrow" w:eastAsia="Times New Roman" w:hAnsi="Arial Narrow" w:cs="Calibri"/>
                <w:b/>
                <w:bCs/>
                <w:color w:val="000000"/>
                <w:sz w:val="20"/>
                <w:szCs w:val="20"/>
              </w:rPr>
              <w:t>Total</w:t>
            </w:r>
          </w:p>
        </w:tc>
        <w:tc>
          <w:tcPr>
            <w:tcW w:w="340" w:type="pct"/>
            <w:tcBorders>
              <w:top w:val="nil"/>
              <w:left w:val="nil"/>
              <w:bottom w:val="single" w:sz="8" w:space="0" w:color="auto"/>
              <w:right w:val="single" w:sz="8" w:space="0" w:color="auto"/>
            </w:tcBorders>
            <w:shd w:val="clear" w:color="000000" w:fill="D9D9D9"/>
            <w:noWrap/>
            <w:vAlign w:val="bottom"/>
            <w:hideMark/>
          </w:tcPr>
          <w:p w14:paraId="3CFA066C" w14:textId="77777777" w:rsidR="00527E74" w:rsidRPr="00527E74" w:rsidRDefault="00527E74" w:rsidP="00F4353D">
            <w:pPr>
              <w:jc w:val="center"/>
              <w:rPr>
                <w:rFonts w:ascii="Arial Narrow" w:eastAsia="Times New Roman" w:hAnsi="Arial Narrow" w:cs="Calibri"/>
                <w:b/>
                <w:bCs/>
                <w:color w:val="000000"/>
                <w:sz w:val="20"/>
                <w:szCs w:val="20"/>
              </w:rPr>
            </w:pPr>
            <w:r w:rsidRPr="00527E74">
              <w:rPr>
                <w:rFonts w:ascii="Arial Narrow" w:eastAsia="Times New Roman" w:hAnsi="Arial Narrow" w:cs="Calibri"/>
                <w:b/>
                <w:bCs/>
                <w:color w:val="000000"/>
                <w:sz w:val="20"/>
                <w:szCs w:val="20"/>
              </w:rPr>
              <w:t>Unit</w:t>
            </w:r>
          </w:p>
        </w:tc>
        <w:tc>
          <w:tcPr>
            <w:tcW w:w="408" w:type="pct"/>
            <w:tcBorders>
              <w:top w:val="nil"/>
              <w:left w:val="nil"/>
              <w:bottom w:val="single" w:sz="8" w:space="0" w:color="auto"/>
              <w:right w:val="nil"/>
            </w:tcBorders>
            <w:shd w:val="clear" w:color="000000" w:fill="D9D9D9"/>
            <w:noWrap/>
            <w:vAlign w:val="bottom"/>
            <w:hideMark/>
          </w:tcPr>
          <w:p w14:paraId="5ED52CF5" w14:textId="77777777" w:rsidR="00527E74" w:rsidRPr="00527E74" w:rsidRDefault="00527E74" w:rsidP="00F4353D">
            <w:pPr>
              <w:jc w:val="center"/>
              <w:rPr>
                <w:rFonts w:ascii="Arial Narrow" w:eastAsia="Times New Roman" w:hAnsi="Arial Narrow" w:cs="Calibri"/>
                <w:b/>
                <w:bCs/>
                <w:color w:val="000000"/>
                <w:sz w:val="20"/>
                <w:szCs w:val="20"/>
              </w:rPr>
            </w:pPr>
            <w:r w:rsidRPr="00527E74">
              <w:rPr>
                <w:rFonts w:ascii="Arial Narrow" w:eastAsia="Times New Roman" w:hAnsi="Arial Narrow" w:cs="Calibri"/>
                <w:b/>
                <w:bCs/>
                <w:color w:val="000000"/>
                <w:sz w:val="20"/>
                <w:szCs w:val="20"/>
              </w:rPr>
              <w:t>Total</w:t>
            </w:r>
          </w:p>
        </w:tc>
        <w:tc>
          <w:tcPr>
            <w:tcW w:w="306" w:type="pct"/>
            <w:tcBorders>
              <w:top w:val="nil"/>
              <w:left w:val="single" w:sz="8" w:space="0" w:color="auto"/>
              <w:bottom w:val="single" w:sz="8" w:space="0" w:color="auto"/>
              <w:right w:val="single" w:sz="8" w:space="0" w:color="auto"/>
            </w:tcBorders>
            <w:shd w:val="clear" w:color="000000" w:fill="D9D9D9"/>
            <w:noWrap/>
            <w:vAlign w:val="bottom"/>
            <w:hideMark/>
          </w:tcPr>
          <w:p w14:paraId="332A9709" w14:textId="77777777" w:rsidR="00527E74" w:rsidRPr="00527E74" w:rsidRDefault="00527E74" w:rsidP="00F4353D">
            <w:pPr>
              <w:jc w:val="center"/>
              <w:rPr>
                <w:rFonts w:ascii="Arial Narrow" w:eastAsia="Times New Roman" w:hAnsi="Arial Narrow" w:cs="Calibri"/>
                <w:b/>
                <w:bCs/>
                <w:color w:val="000000"/>
                <w:sz w:val="20"/>
                <w:szCs w:val="20"/>
              </w:rPr>
            </w:pPr>
            <w:r w:rsidRPr="00527E74">
              <w:rPr>
                <w:rFonts w:ascii="Arial Narrow" w:eastAsia="Times New Roman" w:hAnsi="Arial Narrow" w:cs="Calibri"/>
                <w:b/>
                <w:bCs/>
                <w:color w:val="000000"/>
                <w:sz w:val="20"/>
                <w:szCs w:val="20"/>
              </w:rPr>
              <w:t>Unit</w:t>
            </w:r>
          </w:p>
        </w:tc>
        <w:tc>
          <w:tcPr>
            <w:tcW w:w="409" w:type="pct"/>
            <w:tcBorders>
              <w:top w:val="nil"/>
              <w:left w:val="nil"/>
              <w:bottom w:val="single" w:sz="8" w:space="0" w:color="auto"/>
              <w:right w:val="single" w:sz="8" w:space="0" w:color="auto"/>
            </w:tcBorders>
            <w:shd w:val="clear" w:color="000000" w:fill="D9D9D9"/>
            <w:noWrap/>
            <w:vAlign w:val="bottom"/>
            <w:hideMark/>
          </w:tcPr>
          <w:p w14:paraId="03F0FA8E" w14:textId="77777777" w:rsidR="00527E74" w:rsidRPr="00527E74" w:rsidRDefault="00527E74" w:rsidP="00F4353D">
            <w:pPr>
              <w:jc w:val="center"/>
              <w:rPr>
                <w:rFonts w:ascii="Arial Narrow" w:eastAsia="Times New Roman" w:hAnsi="Arial Narrow" w:cs="Calibri"/>
                <w:b/>
                <w:bCs/>
                <w:color w:val="000000"/>
                <w:sz w:val="20"/>
                <w:szCs w:val="20"/>
              </w:rPr>
            </w:pPr>
            <w:r w:rsidRPr="00527E74">
              <w:rPr>
                <w:rFonts w:ascii="Arial Narrow" w:eastAsia="Times New Roman" w:hAnsi="Arial Narrow" w:cs="Calibri"/>
                <w:b/>
                <w:bCs/>
                <w:color w:val="000000"/>
                <w:sz w:val="20"/>
                <w:szCs w:val="20"/>
              </w:rPr>
              <w:t>Total</w:t>
            </w:r>
          </w:p>
        </w:tc>
        <w:tc>
          <w:tcPr>
            <w:tcW w:w="375" w:type="pct"/>
            <w:tcBorders>
              <w:top w:val="nil"/>
              <w:left w:val="nil"/>
              <w:bottom w:val="single" w:sz="8" w:space="0" w:color="auto"/>
              <w:right w:val="single" w:sz="8" w:space="0" w:color="auto"/>
            </w:tcBorders>
            <w:shd w:val="clear" w:color="000000" w:fill="D9D9D9"/>
            <w:noWrap/>
            <w:vAlign w:val="bottom"/>
            <w:hideMark/>
          </w:tcPr>
          <w:p w14:paraId="4EC8DB99" w14:textId="77777777" w:rsidR="00527E74" w:rsidRPr="00527E74" w:rsidRDefault="00527E74" w:rsidP="00F4353D">
            <w:pPr>
              <w:jc w:val="center"/>
              <w:rPr>
                <w:rFonts w:ascii="Arial Narrow" w:eastAsia="Times New Roman" w:hAnsi="Arial Narrow" w:cs="Calibri"/>
                <w:b/>
                <w:bCs/>
                <w:color w:val="000000"/>
                <w:sz w:val="20"/>
                <w:szCs w:val="20"/>
              </w:rPr>
            </w:pPr>
            <w:r w:rsidRPr="00527E74">
              <w:rPr>
                <w:rFonts w:ascii="Arial Narrow" w:eastAsia="Times New Roman" w:hAnsi="Arial Narrow" w:cs="Calibri"/>
                <w:b/>
                <w:bCs/>
                <w:color w:val="000000"/>
                <w:sz w:val="20"/>
                <w:szCs w:val="20"/>
              </w:rPr>
              <w:t>Unit</w:t>
            </w:r>
          </w:p>
        </w:tc>
        <w:tc>
          <w:tcPr>
            <w:tcW w:w="611" w:type="pct"/>
            <w:tcBorders>
              <w:top w:val="nil"/>
              <w:left w:val="nil"/>
              <w:bottom w:val="single" w:sz="8" w:space="0" w:color="auto"/>
              <w:right w:val="nil"/>
            </w:tcBorders>
            <w:shd w:val="clear" w:color="000000" w:fill="D9D9D9"/>
            <w:noWrap/>
            <w:vAlign w:val="bottom"/>
            <w:hideMark/>
          </w:tcPr>
          <w:p w14:paraId="0A9D5766" w14:textId="77777777" w:rsidR="00527E74" w:rsidRPr="00527E74" w:rsidRDefault="00527E74" w:rsidP="00F4353D">
            <w:pPr>
              <w:jc w:val="center"/>
              <w:rPr>
                <w:rFonts w:ascii="Arial Narrow" w:eastAsia="Times New Roman" w:hAnsi="Arial Narrow" w:cs="Calibri"/>
                <w:b/>
                <w:bCs/>
                <w:color w:val="000000"/>
                <w:sz w:val="20"/>
                <w:szCs w:val="20"/>
              </w:rPr>
            </w:pPr>
            <w:r w:rsidRPr="00527E74">
              <w:rPr>
                <w:rFonts w:ascii="Arial Narrow" w:eastAsia="Times New Roman" w:hAnsi="Arial Narrow" w:cs="Calibri"/>
                <w:b/>
                <w:bCs/>
                <w:color w:val="000000"/>
                <w:sz w:val="20"/>
                <w:szCs w:val="20"/>
              </w:rPr>
              <w:t>Total</w:t>
            </w:r>
          </w:p>
        </w:tc>
        <w:tc>
          <w:tcPr>
            <w:tcW w:w="442" w:type="pct"/>
            <w:tcBorders>
              <w:top w:val="nil"/>
              <w:left w:val="single" w:sz="8" w:space="0" w:color="auto"/>
              <w:bottom w:val="single" w:sz="8" w:space="0" w:color="auto"/>
              <w:right w:val="single" w:sz="8" w:space="0" w:color="auto"/>
            </w:tcBorders>
            <w:shd w:val="clear" w:color="000000" w:fill="D9D9D9"/>
            <w:noWrap/>
            <w:vAlign w:val="bottom"/>
            <w:hideMark/>
          </w:tcPr>
          <w:p w14:paraId="512E9D39" w14:textId="77777777" w:rsidR="00527E74" w:rsidRPr="00527E74" w:rsidRDefault="00527E74" w:rsidP="00F4353D">
            <w:pPr>
              <w:jc w:val="center"/>
              <w:rPr>
                <w:rFonts w:ascii="Arial Narrow" w:eastAsia="Times New Roman" w:hAnsi="Arial Narrow" w:cs="Calibri"/>
                <w:b/>
                <w:bCs/>
                <w:color w:val="000000"/>
                <w:sz w:val="20"/>
                <w:szCs w:val="20"/>
              </w:rPr>
            </w:pPr>
            <w:r w:rsidRPr="00527E74">
              <w:rPr>
                <w:rFonts w:ascii="Arial Narrow" w:eastAsia="Times New Roman" w:hAnsi="Arial Narrow" w:cs="Calibri"/>
                <w:b/>
                <w:bCs/>
                <w:color w:val="000000"/>
                <w:sz w:val="20"/>
                <w:szCs w:val="20"/>
              </w:rPr>
              <w:t>Unit</w:t>
            </w:r>
          </w:p>
        </w:tc>
        <w:tc>
          <w:tcPr>
            <w:tcW w:w="578" w:type="pct"/>
            <w:gridSpan w:val="2"/>
            <w:tcBorders>
              <w:top w:val="nil"/>
              <w:left w:val="nil"/>
              <w:bottom w:val="single" w:sz="8" w:space="0" w:color="auto"/>
              <w:right w:val="single" w:sz="8" w:space="0" w:color="auto"/>
            </w:tcBorders>
            <w:shd w:val="clear" w:color="000000" w:fill="D9D9D9"/>
            <w:noWrap/>
            <w:vAlign w:val="bottom"/>
            <w:hideMark/>
          </w:tcPr>
          <w:p w14:paraId="04528441" w14:textId="77777777" w:rsidR="00527E74" w:rsidRPr="00527E74" w:rsidRDefault="00527E74" w:rsidP="00F4353D">
            <w:pPr>
              <w:jc w:val="center"/>
              <w:rPr>
                <w:rFonts w:ascii="Arial Narrow" w:eastAsia="Times New Roman" w:hAnsi="Arial Narrow" w:cs="Calibri"/>
                <w:b/>
                <w:bCs/>
                <w:color w:val="000000"/>
                <w:sz w:val="20"/>
                <w:szCs w:val="20"/>
              </w:rPr>
            </w:pPr>
            <w:r w:rsidRPr="00527E74">
              <w:rPr>
                <w:rFonts w:ascii="Arial Narrow" w:eastAsia="Times New Roman" w:hAnsi="Arial Narrow" w:cs="Calibri"/>
                <w:b/>
                <w:bCs/>
                <w:color w:val="000000"/>
                <w:sz w:val="20"/>
                <w:szCs w:val="20"/>
              </w:rPr>
              <w:t>Total</w:t>
            </w:r>
          </w:p>
        </w:tc>
      </w:tr>
      <w:tr w:rsidR="0074011A" w:rsidRPr="00527E74" w14:paraId="20D3E1CE" w14:textId="77777777" w:rsidTr="00291AFE">
        <w:tblPrEx>
          <w:tblCellMar>
            <w:left w:w="108" w:type="dxa"/>
            <w:right w:w="108" w:type="dxa"/>
          </w:tblCellMar>
        </w:tblPrEx>
        <w:trPr>
          <w:trHeight w:val="315"/>
        </w:trPr>
        <w:tc>
          <w:tcPr>
            <w:tcW w:w="814" w:type="pct"/>
            <w:tcBorders>
              <w:top w:val="nil"/>
              <w:left w:val="single" w:sz="8" w:space="0" w:color="auto"/>
              <w:bottom w:val="single" w:sz="8" w:space="0" w:color="auto"/>
              <w:right w:val="nil"/>
            </w:tcBorders>
            <w:shd w:val="clear" w:color="auto" w:fill="auto"/>
            <w:noWrap/>
            <w:vAlign w:val="center"/>
            <w:hideMark/>
          </w:tcPr>
          <w:p w14:paraId="123840AB" w14:textId="77777777" w:rsidR="0074011A" w:rsidRPr="00527E74" w:rsidRDefault="0074011A" w:rsidP="0074011A">
            <w:pPr>
              <w:rPr>
                <w:rFonts w:ascii="Arial Narrow" w:eastAsia="Times New Roman" w:hAnsi="Arial Narrow" w:cs="Calibri"/>
                <w:color w:val="000000"/>
                <w:sz w:val="20"/>
                <w:szCs w:val="20"/>
              </w:rPr>
            </w:pPr>
            <w:r w:rsidRPr="00527E74">
              <w:rPr>
                <w:rFonts w:ascii="Arial Narrow" w:eastAsia="Times New Roman" w:hAnsi="Arial Narrow" w:cs="Calibri"/>
                <w:color w:val="000000"/>
                <w:sz w:val="20"/>
                <w:szCs w:val="20"/>
              </w:rPr>
              <w:t>CDX Registration</w:t>
            </w:r>
          </w:p>
        </w:tc>
        <w:tc>
          <w:tcPr>
            <w:tcW w:w="306" w:type="pct"/>
            <w:tcBorders>
              <w:top w:val="nil"/>
              <w:left w:val="single" w:sz="8" w:space="0" w:color="auto"/>
              <w:bottom w:val="single" w:sz="8" w:space="0" w:color="auto"/>
              <w:right w:val="nil"/>
            </w:tcBorders>
            <w:shd w:val="clear" w:color="000000" w:fill="D9D9D9"/>
            <w:noWrap/>
            <w:vAlign w:val="center"/>
            <w:hideMark/>
          </w:tcPr>
          <w:p w14:paraId="1315ACC7" w14:textId="77777777" w:rsidR="0074011A" w:rsidRPr="00527E74" w:rsidRDefault="0074011A" w:rsidP="0074011A">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2.67</w:t>
            </w:r>
          </w:p>
        </w:tc>
        <w:tc>
          <w:tcPr>
            <w:tcW w:w="411" w:type="pct"/>
            <w:tcBorders>
              <w:top w:val="nil"/>
              <w:left w:val="single" w:sz="8" w:space="0" w:color="auto"/>
              <w:bottom w:val="single" w:sz="8" w:space="0" w:color="auto"/>
              <w:right w:val="single" w:sz="8" w:space="0" w:color="auto"/>
            </w:tcBorders>
            <w:shd w:val="clear" w:color="000000" w:fill="D9D9D9"/>
            <w:noWrap/>
            <w:vAlign w:val="center"/>
            <w:hideMark/>
          </w:tcPr>
          <w:p w14:paraId="4191FACD" w14:textId="77777777" w:rsidR="0074011A" w:rsidRPr="00527E74" w:rsidRDefault="0074011A" w:rsidP="0074011A">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516</w:t>
            </w:r>
          </w:p>
        </w:tc>
        <w:tc>
          <w:tcPr>
            <w:tcW w:w="340" w:type="pct"/>
            <w:tcBorders>
              <w:top w:val="nil"/>
              <w:left w:val="nil"/>
              <w:bottom w:val="single" w:sz="8" w:space="0" w:color="auto"/>
              <w:right w:val="nil"/>
            </w:tcBorders>
            <w:shd w:val="clear" w:color="auto" w:fill="auto"/>
            <w:noWrap/>
            <w:vAlign w:val="center"/>
            <w:hideMark/>
          </w:tcPr>
          <w:p w14:paraId="184F6045" w14:textId="77777777" w:rsidR="0074011A" w:rsidRPr="00527E74" w:rsidRDefault="0074011A" w:rsidP="0074011A">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 </w:t>
            </w:r>
          </w:p>
        </w:tc>
        <w:tc>
          <w:tcPr>
            <w:tcW w:w="408" w:type="pct"/>
            <w:tcBorders>
              <w:top w:val="nil"/>
              <w:left w:val="single" w:sz="8" w:space="0" w:color="auto"/>
              <w:bottom w:val="single" w:sz="8" w:space="0" w:color="auto"/>
              <w:right w:val="single" w:sz="8" w:space="0" w:color="auto"/>
            </w:tcBorders>
            <w:shd w:val="clear" w:color="auto" w:fill="auto"/>
            <w:noWrap/>
            <w:vAlign w:val="center"/>
            <w:hideMark/>
          </w:tcPr>
          <w:p w14:paraId="382CE9B8" w14:textId="77777777" w:rsidR="0074011A" w:rsidRPr="00527E74" w:rsidRDefault="0074011A" w:rsidP="0074011A">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69</w:t>
            </w:r>
          </w:p>
        </w:tc>
        <w:tc>
          <w:tcPr>
            <w:tcW w:w="306" w:type="pct"/>
            <w:tcBorders>
              <w:top w:val="nil"/>
              <w:left w:val="nil"/>
              <w:bottom w:val="single" w:sz="8" w:space="0" w:color="auto"/>
              <w:right w:val="single" w:sz="8" w:space="0" w:color="auto"/>
            </w:tcBorders>
            <w:shd w:val="clear" w:color="auto" w:fill="auto"/>
            <w:noWrap/>
            <w:vAlign w:val="center"/>
            <w:hideMark/>
          </w:tcPr>
          <w:p w14:paraId="2E0F0998" w14:textId="77777777" w:rsidR="0074011A" w:rsidRPr="00527E74" w:rsidRDefault="0074011A" w:rsidP="0074011A">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-2.14</w:t>
            </w:r>
          </w:p>
        </w:tc>
        <w:tc>
          <w:tcPr>
            <w:tcW w:w="409" w:type="pct"/>
            <w:tcBorders>
              <w:top w:val="nil"/>
              <w:left w:val="nil"/>
              <w:bottom w:val="single" w:sz="8" w:space="0" w:color="auto"/>
              <w:right w:val="nil"/>
            </w:tcBorders>
            <w:shd w:val="clear" w:color="auto" w:fill="auto"/>
            <w:noWrap/>
            <w:vAlign w:val="center"/>
            <w:hideMark/>
          </w:tcPr>
          <w:p w14:paraId="11EFC637" w14:textId="77777777" w:rsidR="0074011A" w:rsidRPr="00527E74" w:rsidRDefault="0074011A" w:rsidP="0074011A">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-397</w:t>
            </w:r>
          </w:p>
        </w:tc>
        <w:tc>
          <w:tcPr>
            <w:tcW w:w="375" w:type="pct"/>
            <w:tcBorders>
              <w:top w:val="nil"/>
              <w:left w:val="single" w:sz="8" w:space="0" w:color="auto"/>
              <w:bottom w:val="single" w:sz="8" w:space="0" w:color="auto"/>
              <w:right w:val="single" w:sz="8" w:space="0" w:color="auto"/>
            </w:tcBorders>
            <w:shd w:val="clear" w:color="auto" w:fill="auto"/>
            <w:noWrap/>
            <w:vAlign w:val="center"/>
            <w:hideMark/>
          </w:tcPr>
          <w:p w14:paraId="3693F616" w14:textId="77777777" w:rsidR="0074011A" w:rsidRPr="00527E74" w:rsidRDefault="0074011A" w:rsidP="0074011A">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 </w:t>
            </w:r>
          </w:p>
        </w:tc>
        <w:tc>
          <w:tcPr>
            <w:tcW w:w="611" w:type="pct"/>
            <w:tcBorders>
              <w:top w:val="single" w:sz="8" w:space="0" w:color="auto"/>
              <w:left w:val="nil"/>
              <w:bottom w:val="single" w:sz="8" w:space="0" w:color="auto"/>
              <w:right w:val="nil"/>
            </w:tcBorders>
            <w:shd w:val="clear" w:color="auto" w:fill="auto"/>
            <w:noWrap/>
            <w:vAlign w:val="center"/>
            <w:hideMark/>
          </w:tcPr>
          <w:p w14:paraId="6554761E" w14:textId="77777777" w:rsidR="0074011A" w:rsidRPr="00527E74" w:rsidRDefault="0074011A" w:rsidP="0074011A">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 </w:t>
            </w:r>
          </w:p>
        </w:tc>
        <w:tc>
          <w:tcPr>
            <w:tcW w:w="442" w:type="pct"/>
            <w:tcBorders>
              <w:top w:val="nil"/>
              <w:left w:val="single" w:sz="8" w:space="0" w:color="auto"/>
              <w:bottom w:val="single" w:sz="8" w:space="0" w:color="auto"/>
              <w:right w:val="single" w:sz="8" w:space="0" w:color="auto"/>
            </w:tcBorders>
            <w:shd w:val="clear" w:color="000000" w:fill="D9D9D9"/>
            <w:noWrap/>
            <w:vAlign w:val="center"/>
            <w:hideMark/>
          </w:tcPr>
          <w:p w14:paraId="74444BB7" w14:textId="77777777" w:rsidR="0074011A" w:rsidRPr="00527E74" w:rsidRDefault="0074011A" w:rsidP="0074011A">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0.53</w:t>
            </w:r>
          </w:p>
        </w:tc>
        <w:tc>
          <w:tcPr>
            <w:tcW w:w="578" w:type="pct"/>
            <w:gridSpan w:val="2"/>
            <w:tcBorders>
              <w:top w:val="nil"/>
              <w:left w:val="nil"/>
              <w:bottom w:val="single" w:sz="8" w:space="0" w:color="auto"/>
              <w:right w:val="single" w:sz="8" w:space="0" w:color="auto"/>
            </w:tcBorders>
            <w:shd w:val="clear" w:color="000000" w:fill="D9D9D9"/>
            <w:noWrap/>
            <w:vAlign w:val="center"/>
            <w:hideMark/>
          </w:tcPr>
          <w:p w14:paraId="7B199E1E" w14:textId="77777777" w:rsidR="0074011A" w:rsidRPr="00527E74" w:rsidRDefault="0074011A" w:rsidP="0074011A">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188</w:t>
            </w:r>
          </w:p>
        </w:tc>
      </w:tr>
      <w:tr w:rsidR="001646F6" w:rsidRPr="00527E74" w14:paraId="64A07D65" w14:textId="77777777" w:rsidTr="001646F6">
        <w:trPr>
          <w:trHeight w:val="795"/>
        </w:trPr>
        <w:tc>
          <w:tcPr>
            <w:tcW w:w="814" w:type="pct"/>
            <w:tcBorders>
              <w:top w:val="nil"/>
              <w:left w:val="single" w:sz="8" w:space="0" w:color="auto"/>
              <w:bottom w:val="single" w:sz="8" w:space="0" w:color="auto"/>
              <w:right w:val="single" w:sz="8" w:space="0" w:color="auto"/>
            </w:tcBorders>
            <w:shd w:val="clear" w:color="auto" w:fill="auto"/>
            <w:vAlign w:val="bottom"/>
            <w:hideMark/>
          </w:tcPr>
          <w:p w14:paraId="7B8A6DE1" w14:textId="77777777" w:rsidR="008C0984" w:rsidRPr="00527E74" w:rsidRDefault="008C0984" w:rsidP="008C0984">
            <w:pPr>
              <w:rPr>
                <w:rFonts w:ascii="Arial Narrow" w:eastAsia="Times New Roman" w:hAnsi="Arial Narrow" w:cs="Calibri"/>
                <w:color w:val="000000"/>
                <w:sz w:val="20"/>
                <w:szCs w:val="20"/>
              </w:rPr>
            </w:pPr>
            <w:r w:rsidRPr="00527E74">
              <w:rPr>
                <w:rFonts w:ascii="Arial Narrow" w:eastAsia="Times New Roman" w:hAnsi="Arial Narrow" w:cs="Calibri"/>
                <w:color w:val="000000"/>
                <w:sz w:val="20"/>
                <w:szCs w:val="20"/>
              </w:rPr>
              <w:t xml:space="preserve">Prepare and Submit Report, and Maintain Records </w:t>
            </w:r>
          </w:p>
        </w:tc>
        <w:tc>
          <w:tcPr>
            <w:tcW w:w="306" w:type="pct"/>
            <w:tcBorders>
              <w:top w:val="nil"/>
              <w:left w:val="single" w:sz="8" w:space="0" w:color="auto"/>
              <w:bottom w:val="single" w:sz="8" w:space="0" w:color="auto"/>
              <w:right w:val="nil"/>
            </w:tcBorders>
            <w:shd w:val="clear" w:color="000000" w:fill="D9D9D9"/>
            <w:vAlign w:val="center"/>
            <w:hideMark/>
          </w:tcPr>
          <w:p w14:paraId="08A64CF9" w14:textId="77777777" w:rsidR="008C0984" w:rsidRPr="00527E74" w:rsidRDefault="008C0984" w:rsidP="001646F6">
            <w:pPr>
              <w:ind w:firstLineChars="46" w:firstLine="83"/>
              <w:jc w:val="right"/>
              <w:rPr>
                <w:rFonts w:ascii="Arial Narrow" w:eastAsia="Times New Roman" w:hAnsi="Arial Narrow" w:cs="Calibri"/>
                <w:color w:val="000000"/>
                <w:sz w:val="18"/>
                <w:szCs w:val="18"/>
              </w:rPr>
            </w:pPr>
            <w:r>
              <w:rPr>
                <w:rFonts w:ascii="Arial Narrow" w:hAnsi="Arial Narrow" w:cs="Calibri"/>
                <w:color w:val="000000"/>
                <w:sz w:val="18"/>
                <w:szCs w:val="18"/>
              </w:rPr>
              <w:t>158</w:t>
            </w:r>
            <w:r w:rsidR="00023B5A">
              <w:rPr>
                <w:rFonts w:ascii="Arial Narrow" w:hAnsi="Arial Narrow" w:cs="Calibri"/>
                <w:color w:val="000000"/>
                <w:sz w:val="18"/>
                <w:szCs w:val="18"/>
              </w:rPr>
              <w:t>.02</w:t>
            </w:r>
          </w:p>
        </w:tc>
        <w:tc>
          <w:tcPr>
            <w:tcW w:w="411" w:type="pct"/>
            <w:tcBorders>
              <w:top w:val="nil"/>
              <w:left w:val="single" w:sz="8" w:space="0" w:color="auto"/>
              <w:bottom w:val="single" w:sz="8" w:space="0" w:color="auto"/>
              <w:right w:val="single" w:sz="8" w:space="0" w:color="auto"/>
            </w:tcBorders>
            <w:shd w:val="clear" w:color="000000" w:fill="D9D9D9"/>
            <w:vAlign w:val="center"/>
            <w:hideMark/>
          </w:tcPr>
          <w:p w14:paraId="6EE3A639" w14:textId="77777777" w:rsidR="008C0984" w:rsidRPr="00527E74" w:rsidRDefault="008C0984" w:rsidP="00023B5A">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788,687</w:t>
            </w:r>
          </w:p>
        </w:tc>
        <w:tc>
          <w:tcPr>
            <w:tcW w:w="340" w:type="pct"/>
            <w:tcBorders>
              <w:top w:val="nil"/>
              <w:left w:val="nil"/>
              <w:bottom w:val="single" w:sz="8" w:space="0" w:color="auto"/>
              <w:right w:val="nil"/>
            </w:tcBorders>
            <w:shd w:val="clear" w:color="auto" w:fill="auto"/>
            <w:noWrap/>
            <w:vAlign w:val="center"/>
            <w:hideMark/>
          </w:tcPr>
          <w:p w14:paraId="2E6CDAA2" w14:textId="77777777" w:rsidR="008C0984" w:rsidRPr="00527E74" w:rsidRDefault="008C0984" w:rsidP="005D7E7C">
            <w:pPr>
              <w:ind w:firstLineChars="100" w:firstLine="180"/>
              <w:jc w:val="right"/>
              <w:rPr>
                <w:rFonts w:ascii="Arial Narrow" w:eastAsia="Times New Roman" w:hAnsi="Arial Narrow" w:cs="Calibri"/>
                <w:color w:val="000000"/>
                <w:sz w:val="18"/>
                <w:szCs w:val="18"/>
              </w:rPr>
            </w:pPr>
          </w:p>
        </w:tc>
        <w:tc>
          <w:tcPr>
            <w:tcW w:w="408" w:type="pct"/>
            <w:tcBorders>
              <w:top w:val="nil"/>
              <w:left w:val="single" w:sz="8" w:space="0" w:color="auto"/>
              <w:bottom w:val="single" w:sz="8" w:space="0" w:color="auto"/>
              <w:right w:val="single" w:sz="8" w:space="0" w:color="auto"/>
            </w:tcBorders>
            <w:shd w:val="clear" w:color="auto" w:fill="auto"/>
            <w:noWrap/>
            <w:vAlign w:val="center"/>
            <w:hideMark/>
          </w:tcPr>
          <w:p w14:paraId="210C517E" w14:textId="77777777" w:rsidR="008C0984" w:rsidRPr="00527E74" w:rsidRDefault="008C0984" w:rsidP="00923E83">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106,033</w:t>
            </w:r>
          </w:p>
        </w:tc>
        <w:tc>
          <w:tcPr>
            <w:tcW w:w="306" w:type="pct"/>
            <w:tcBorders>
              <w:top w:val="nil"/>
              <w:left w:val="nil"/>
              <w:bottom w:val="single" w:sz="8" w:space="0" w:color="auto"/>
              <w:right w:val="nil"/>
            </w:tcBorders>
            <w:shd w:val="clear" w:color="auto" w:fill="auto"/>
            <w:noWrap/>
            <w:vAlign w:val="center"/>
            <w:hideMark/>
          </w:tcPr>
          <w:p w14:paraId="709F240A" w14:textId="77777777" w:rsidR="008C0984" w:rsidRPr="00527E74" w:rsidRDefault="008C0984" w:rsidP="001646F6">
            <w:pPr>
              <w:jc w:val="right"/>
              <w:rPr>
                <w:rFonts w:ascii="Arial Narrow" w:eastAsia="Times New Roman" w:hAnsi="Arial Narrow" w:cs="Calibri"/>
                <w:color w:val="000000"/>
                <w:sz w:val="18"/>
                <w:szCs w:val="18"/>
              </w:rPr>
            </w:pPr>
            <w:r>
              <w:rPr>
                <w:rFonts w:ascii="Arial Narrow" w:hAnsi="Arial Narrow" w:cs="Calibri"/>
                <w:color w:val="000000"/>
                <w:sz w:val="18"/>
                <w:szCs w:val="18"/>
              </w:rPr>
              <w:t>-32</w:t>
            </w:r>
            <w:r w:rsidR="00023B5A">
              <w:rPr>
                <w:rFonts w:ascii="Arial Narrow" w:hAnsi="Arial Narrow" w:cs="Calibri"/>
                <w:color w:val="000000"/>
                <w:sz w:val="18"/>
                <w:szCs w:val="18"/>
              </w:rPr>
              <w:t>.44</w:t>
            </w:r>
          </w:p>
        </w:tc>
        <w:tc>
          <w:tcPr>
            <w:tcW w:w="40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368899" w14:textId="77777777" w:rsidR="008C0984" w:rsidRPr="00527E74" w:rsidRDefault="008C0984" w:rsidP="009F384B">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-183,76</w:t>
            </w:r>
            <w:r w:rsidR="009F384B">
              <w:rPr>
                <w:rFonts w:ascii="Arial Narrow" w:hAnsi="Arial Narrow" w:cs="Calibri"/>
                <w:color w:val="000000"/>
                <w:sz w:val="18"/>
                <w:szCs w:val="18"/>
              </w:rPr>
              <w:t>1</w:t>
            </w:r>
          </w:p>
        </w:tc>
        <w:tc>
          <w:tcPr>
            <w:tcW w:w="375" w:type="pct"/>
            <w:tcBorders>
              <w:top w:val="nil"/>
              <w:left w:val="nil"/>
              <w:bottom w:val="single" w:sz="8" w:space="0" w:color="auto"/>
              <w:right w:val="single" w:sz="8" w:space="0" w:color="auto"/>
            </w:tcBorders>
            <w:shd w:val="clear" w:color="auto" w:fill="auto"/>
            <w:noWrap/>
            <w:vAlign w:val="center"/>
            <w:hideMark/>
          </w:tcPr>
          <w:p w14:paraId="5B231DE3" w14:textId="77777777" w:rsidR="008C0984" w:rsidRPr="00527E74" w:rsidRDefault="00023B5A" w:rsidP="00023B5A">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.86</w:t>
            </w:r>
          </w:p>
        </w:tc>
        <w:tc>
          <w:tcPr>
            <w:tcW w:w="611" w:type="pct"/>
            <w:tcBorders>
              <w:top w:val="single" w:sz="8" w:space="0" w:color="auto"/>
              <w:left w:val="nil"/>
              <w:bottom w:val="single" w:sz="8" w:space="0" w:color="auto"/>
              <w:right w:val="nil"/>
            </w:tcBorders>
            <w:shd w:val="clear" w:color="auto" w:fill="auto"/>
            <w:noWrap/>
            <w:vAlign w:val="center"/>
            <w:hideMark/>
          </w:tcPr>
          <w:p w14:paraId="6D3E722B" w14:textId="77777777" w:rsidR="008C0984" w:rsidRPr="00B76280" w:rsidRDefault="008C0984" w:rsidP="00023B5A">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4,877</w:t>
            </w:r>
          </w:p>
        </w:tc>
        <w:tc>
          <w:tcPr>
            <w:tcW w:w="442" w:type="pct"/>
            <w:tcBorders>
              <w:top w:val="nil"/>
              <w:left w:val="single" w:sz="8" w:space="0" w:color="auto"/>
              <w:bottom w:val="single" w:sz="8" w:space="0" w:color="auto"/>
              <w:right w:val="single" w:sz="8" w:space="0" w:color="auto"/>
            </w:tcBorders>
            <w:shd w:val="clear" w:color="000000" w:fill="D9D9D9"/>
            <w:noWrap/>
            <w:vAlign w:val="center"/>
            <w:hideMark/>
          </w:tcPr>
          <w:p w14:paraId="0FAEBA42" w14:textId="77777777" w:rsidR="008C0984" w:rsidRPr="00B76280" w:rsidRDefault="008C0984" w:rsidP="005D7E7C">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126</w:t>
            </w:r>
            <w:r w:rsidR="00023B5A">
              <w:rPr>
                <w:rFonts w:ascii="Arial Narrow" w:hAnsi="Arial Narrow" w:cs="Calibri"/>
                <w:color w:val="000000"/>
                <w:sz w:val="18"/>
                <w:szCs w:val="18"/>
              </w:rPr>
              <w:t>.44</w:t>
            </w:r>
          </w:p>
        </w:tc>
        <w:tc>
          <w:tcPr>
            <w:tcW w:w="578" w:type="pct"/>
            <w:gridSpan w:val="2"/>
            <w:tcBorders>
              <w:top w:val="nil"/>
              <w:left w:val="nil"/>
              <w:bottom w:val="single" w:sz="8" w:space="0" w:color="auto"/>
              <w:right w:val="single" w:sz="8" w:space="0" w:color="auto"/>
            </w:tcBorders>
            <w:shd w:val="clear" w:color="000000" w:fill="D9D9D9"/>
            <w:vAlign w:val="center"/>
            <w:hideMark/>
          </w:tcPr>
          <w:p w14:paraId="3D2C3956" w14:textId="77777777" w:rsidR="008C0984" w:rsidRPr="00B76280" w:rsidRDefault="008C0984" w:rsidP="00F92D99">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715,</w:t>
            </w:r>
            <w:r w:rsidR="00B832C6">
              <w:rPr>
                <w:rFonts w:ascii="Arial Narrow" w:hAnsi="Arial Narrow" w:cs="Calibri"/>
                <w:color w:val="000000"/>
                <w:sz w:val="18"/>
                <w:szCs w:val="18"/>
              </w:rPr>
              <w:t>836</w:t>
            </w:r>
          </w:p>
        </w:tc>
      </w:tr>
      <w:tr w:rsidR="008C0984" w:rsidRPr="00527E74" w14:paraId="2DC21F59" w14:textId="77777777" w:rsidTr="00CB3800">
        <w:trPr>
          <w:trHeight w:val="315"/>
        </w:trPr>
        <w:tc>
          <w:tcPr>
            <w:tcW w:w="814" w:type="pct"/>
            <w:tcBorders>
              <w:top w:val="nil"/>
              <w:left w:val="single" w:sz="8" w:space="0" w:color="auto"/>
              <w:bottom w:val="single" w:sz="8" w:space="0" w:color="auto"/>
              <w:right w:val="single" w:sz="8" w:space="0" w:color="auto"/>
            </w:tcBorders>
            <w:shd w:val="clear" w:color="auto" w:fill="auto"/>
            <w:vAlign w:val="center"/>
            <w:hideMark/>
          </w:tcPr>
          <w:p w14:paraId="7BF76DC5" w14:textId="77777777" w:rsidR="008C0984" w:rsidRPr="00527E74" w:rsidRDefault="008C0984" w:rsidP="008C0984">
            <w:pPr>
              <w:rPr>
                <w:rFonts w:ascii="Arial Narrow" w:eastAsia="Times New Roman" w:hAnsi="Arial Narrow" w:cs="Calibri"/>
                <w:color w:val="000000"/>
                <w:sz w:val="20"/>
                <w:szCs w:val="20"/>
              </w:rPr>
            </w:pPr>
            <w:r w:rsidRPr="00527E74">
              <w:rPr>
                <w:rFonts w:ascii="Arial Narrow" w:eastAsia="Times New Roman" w:hAnsi="Arial Narrow" w:cs="Calibri"/>
                <w:color w:val="000000"/>
                <w:sz w:val="20"/>
                <w:szCs w:val="20"/>
              </w:rPr>
              <w:t>TOTAL</w:t>
            </w:r>
          </w:p>
        </w:tc>
        <w:tc>
          <w:tcPr>
            <w:tcW w:w="717" w:type="pct"/>
            <w:gridSpan w:val="2"/>
            <w:tcBorders>
              <w:top w:val="single" w:sz="8" w:space="0" w:color="auto"/>
              <w:left w:val="nil"/>
              <w:bottom w:val="single" w:sz="8" w:space="0" w:color="auto"/>
              <w:right w:val="single" w:sz="8" w:space="0" w:color="000000"/>
            </w:tcBorders>
            <w:shd w:val="clear" w:color="000000" w:fill="D9D9D9"/>
            <w:vAlign w:val="center"/>
            <w:hideMark/>
          </w:tcPr>
          <w:p w14:paraId="5E3B15DA" w14:textId="77777777" w:rsidR="008C0984" w:rsidRPr="00527E74" w:rsidRDefault="008C0984" w:rsidP="008C0984">
            <w:pPr>
              <w:ind w:firstLineChars="100" w:firstLine="180"/>
              <w:jc w:val="right"/>
              <w:rPr>
                <w:rFonts w:ascii="Arial Narrow" w:eastAsia="Times New Roman" w:hAnsi="Arial Narrow" w:cs="Calibri"/>
                <w:color w:val="000000"/>
                <w:sz w:val="18"/>
                <w:szCs w:val="18"/>
              </w:rPr>
            </w:pPr>
            <w:r w:rsidRPr="00527E74">
              <w:rPr>
                <w:rFonts w:ascii="Arial Narrow" w:eastAsia="Times New Roman" w:hAnsi="Arial Narrow" w:cs="Calibri"/>
                <w:color w:val="000000"/>
                <w:sz w:val="18"/>
                <w:szCs w:val="18"/>
              </w:rPr>
              <w:t>789,203</w:t>
            </w:r>
          </w:p>
        </w:tc>
        <w:tc>
          <w:tcPr>
            <w:tcW w:w="748"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1BC22CA1" w14:textId="77777777" w:rsidR="008C0984" w:rsidRPr="00527E74" w:rsidRDefault="008C0984" w:rsidP="008C0984">
            <w:pPr>
              <w:ind w:firstLineChars="100" w:firstLine="180"/>
              <w:jc w:val="right"/>
              <w:rPr>
                <w:rFonts w:ascii="Arial Narrow" w:eastAsia="Times New Roman" w:hAnsi="Arial Narrow" w:cs="Calibri"/>
                <w:color w:val="000000"/>
                <w:sz w:val="18"/>
                <w:szCs w:val="18"/>
              </w:rPr>
            </w:pPr>
            <w:r w:rsidRPr="00527E74">
              <w:rPr>
                <w:rFonts w:ascii="Arial Narrow" w:eastAsia="Times New Roman" w:hAnsi="Arial Narrow" w:cs="Calibri"/>
                <w:color w:val="000000"/>
                <w:sz w:val="18"/>
                <w:szCs w:val="18"/>
              </w:rPr>
              <w:t>106,102</w:t>
            </w:r>
          </w:p>
        </w:tc>
        <w:tc>
          <w:tcPr>
            <w:tcW w:w="715"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0336ED91" w14:textId="77777777" w:rsidR="008C0984" w:rsidRPr="00A46C28" w:rsidRDefault="008C0984" w:rsidP="008C0984">
            <w:pPr>
              <w:ind w:firstLineChars="100" w:firstLine="180"/>
              <w:jc w:val="right"/>
              <w:rPr>
                <w:rFonts w:ascii="Arial Narrow" w:hAnsi="Arial Narrow" w:cs="Calibri"/>
                <w:color w:val="000000"/>
                <w:sz w:val="18"/>
                <w:szCs w:val="18"/>
              </w:rPr>
            </w:pPr>
            <w:r>
              <w:rPr>
                <w:rFonts w:ascii="Arial Narrow" w:hAnsi="Arial Narrow" w:cs="Calibri"/>
                <w:color w:val="000000"/>
                <w:sz w:val="18"/>
                <w:szCs w:val="18"/>
              </w:rPr>
              <w:t>-184,158</w:t>
            </w:r>
          </w:p>
        </w:tc>
        <w:tc>
          <w:tcPr>
            <w:tcW w:w="375" w:type="pct"/>
            <w:tcBorders>
              <w:top w:val="nil"/>
              <w:left w:val="nil"/>
              <w:bottom w:val="single" w:sz="8" w:space="0" w:color="auto"/>
              <w:right w:val="nil"/>
            </w:tcBorders>
            <w:shd w:val="clear" w:color="auto" w:fill="auto"/>
            <w:noWrap/>
            <w:vAlign w:val="center"/>
            <w:hideMark/>
          </w:tcPr>
          <w:p w14:paraId="6D447551" w14:textId="77777777" w:rsidR="008C0984" w:rsidRPr="00527E74" w:rsidRDefault="008C0984" w:rsidP="008C0984">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 </w:t>
            </w:r>
          </w:p>
        </w:tc>
        <w:tc>
          <w:tcPr>
            <w:tcW w:w="611" w:type="pct"/>
            <w:tcBorders>
              <w:top w:val="nil"/>
              <w:left w:val="nil"/>
              <w:bottom w:val="single" w:sz="8" w:space="0" w:color="auto"/>
              <w:right w:val="nil"/>
            </w:tcBorders>
            <w:shd w:val="clear" w:color="auto" w:fill="auto"/>
            <w:noWrap/>
            <w:vAlign w:val="center"/>
            <w:hideMark/>
          </w:tcPr>
          <w:p w14:paraId="7655939E" w14:textId="77777777" w:rsidR="008C0984" w:rsidRPr="00527E74" w:rsidRDefault="008C0984" w:rsidP="008C0984">
            <w:pPr>
              <w:ind w:firstLineChars="100" w:firstLine="180"/>
              <w:jc w:val="right"/>
              <w:rPr>
                <w:rFonts w:ascii="Arial Narrow" w:eastAsia="Times New Roman" w:hAnsi="Arial Narrow" w:cs="Calibri"/>
                <w:color w:val="000000"/>
                <w:sz w:val="18"/>
                <w:szCs w:val="18"/>
              </w:rPr>
            </w:pPr>
            <w:r>
              <w:rPr>
                <w:rFonts w:ascii="Arial Narrow" w:hAnsi="Arial Narrow" w:cs="Calibri"/>
                <w:color w:val="000000"/>
                <w:sz w:val="18"/>
                <w:szCs w:val="18"/>
              </w:rPr>
              <w:t>4,877</w:t>
            </w:r>
          </w:p>
        </w:tc>
        <w:tc>
          <w:tcPr>
            <w:tcW w:w="1020" w:type="pct"/>
            <w:gridSpan w:val="3"/>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4C0D1A98" w14:textId="77777777" w:rsidR="008C0984" w:rsidRPr="00527E74" w:rsidRDefault="008C0984" w:rsidP="008C0984">
            <w:pPr>
              <w:ind w:firstLineChars="100" w:firstLine="181"/>
              <w:jc w:val="right"/>
              <w:rPr>
                <w:rFonts w:ascii="Arial Narrow" w:eastAsia="Times New Roman" w:hAnsi="Arial Narrow" w:cs="Calibri"/>
                <w:b/>
                <w:bCs/>
                <w:color w:val="000000"/>
                <w:sz w:val="18"/>
                <w:szCs w:val="18"/>
              </w:rPr>
            </w:pPr>
            <w:r>
              <w:rPr>
                <w:rFonts w:ascii="Arial Narrow" w:hAnsi="Arial Narrow" w:cs="Calibri"/>
                <w:b/>
                <w:bCs/>
                <w:color w:val="000000"/>
                <w:sz w:val="18"/>
                <w:szCs w:val="18"/>
              </w:rPr>
              <w:t>716,024</w:t>
            </w:r>
          </w:p>
        </w:tc>
      </w:tr>
      <w:tr w:rsidR="00527E74" w:rsidRPr="00527E74" w14:paraId="601BB425" w14:textId="77777777" w:rsidTr="00527E74">
        <w:tblPrEx>
          <w:tblCellMar>
            <w:left w:w="108" w:type="dxa"/>
            <w:right w:w="108" w:type="dxa"/>
          </w:tblCellMar>
        </w:tblPrEx>
        <w:trPr>
          <w:trHeight w:val="300"/>
        </w:trPr>
        <w:tc>
          <w:tcPr>
            <w:tcW w:w="5000" w:type="pct"/>
            <w:gridSpan w:val="12"/>
            <w:tcBorders>
              <w:top w:val="single" w:sz="8" w:space="0" w:color="auto"/>
              <w:left w:val="single" w:sz="8" w:space="0" w:color="auto"/>
              <w:bottom w:val="nil"/>
              <w:right w:val="single" w:sz="8" w:space="0" w:color="000000"/>
            </w:tcBorders>
            <w:shd w:val="clear" w:color="auto" w:fill="auto"/>
            <w:vAlign w:val="center"/>
            <w:hideMark/>
          </w:tcPr>
          <w:p w14:paraId="0B3962EA" w14:textId="77777777" w:rsidR="00136E87" w:rsidRDefault="00136E87" w:rsidP="00527E74">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General </w:t>
            </w:r>
            <w:r w:rsidR="00527E74" w:rsidRPr="00527E74">
              <w:rPr>
                <w:rFonts w:ascii="Arial Narrow" w:eastAsia="Times New Roman" w:hAnsi="Arial Narrow" w:cs="Calibri"/>
                <w:color w:val="000000"/>
                <w:sz w:val="18"/>
                <w:szCs w:val="18"/>
              </w:rPr>
              <w:t>Note</w:t>
            </w:r>
            <w:r w:rsidR="00E3725C">
              <w:rPr>
                <w:rFonts w:ascii="Arial Narrow" w:eastAsia="Times New Roman" w:hAnsi="Arial Narrow" w:cs="Calibri"/>
                <w:color w:val="000000"/>
                <w:sz w:val="18"/>
                <w:szCs w:val="18"/>
              </w:rPr>
              <w:t>s</w:t>
            </w:r>
            <w:r w:rsidR="00527E74" w:rsidRPr="00527E74">
              <w:rPr>
                <w:rFonts w:ascii="Arial Narrow" w:eastAsia="Times New Roman" w:hAnsi="Arial Narrow" w:cs="Calibri"/>
                <w:color w:val="000000"/>
                <w:sz w:val="18"/>
                <w:szCs w:val="18"/>
              </w:rPr>
              <w:t xml:space="preserve"> </w:t>
            </w:r>
          </w:p>
          <w:p w14:paraId="33946CB9" w14:textId="77777777" w:rsidR="00527E74" w:rsidRPr="00C0632D" w:rsidRDefault="00527E74" w:rsidP="004D4DC1">
            <w:pPr>
              <w:pStyle w:val="ListParagraph"/>
              <w:numPr>
                <w:ilvl w:val="0"/>
                <w:numId w:val="27"/>
              </w:numPr>
              <w:rPr>
                <w:rFonts w:ascii="Arial Narrow" w:eastAsia="Times New Roman" w:hAnsi="Arial Narrow" w:cs="Calibri"/>
                <w:color w:val="000000"/>
                <w:sz w:val="18"/>
                <w:szCs w:val="18"/>
              </w:rPr>
            </w:pPr>
            <w:r w:rsidRPr="00C0632D">
              <w:rPr>
                <w:rFonts w:ascii="Arial Narrow" w:eastAsia="Times New Roman" w:hAnsi="Arial Narrow" w:cs="Calibri"/>
                <w:color w:val="000000"/>
                <w:sz w:val="18"/>
                <w:szCs w:val="18"/>
              </w:rPr>
              <w:t xml:space="preserve">All unit and total burden </w:t>
            </w:r>
            <w:r w:rsidR="0052362B">
              <w:rPr>
                <w:rFonts w:ascii="Arial Narrow" w:eastAsia="Times New Roman" w:hAnsi="Arial Narrow" w:cs="Calibri"/>
                <w:color w:val="000000"/>
                <w:sz w:val="18"/>
                <w:szCs w:val="18"/>
              </w:rPr>
              <w:t>estimates are reported in hours and are on an annual basis.</w:t>
            </w:r>
          </w:p>
        </w:tc>
      </w:tr>
      <w:tr w:rsidR="00527E74" w:rsidRPr="00527E74" w14:paraId="07592E0C" w14:textId="77777777" w:rsidTr="00C0632D">
        <w:trPr>
          <w:trHeight w:val="60"/>
        </w:trPr>
        <w:tc>
          <w:tcPr>
            <w:tcW w:w="5000" w:type="pct"/>
            <w:gridSpan w:val="12"/>
            <w:tcBorders>
              <w:top w:val="nil"/>
              <w:left w:val="single" w:sz="8" w:space="0" w:color="auto"/>
              <w:bottom w:val="nil"/>
              <w:right w:val="single" w:sz="8" w:space="0" w:color="000000"/>
            </w:tcBorders>
            <w:shd w:val="clear" w:color="auto" w:fill="auto"/>
            <w:vAlign w:val="center"/>
            <w:hideMark/>
          </w:tcPr>
          <w:p w14:paraId="21DADF76" w14:textId="77777777" w:rsidR="00E3725C" w:rsidRDefault="00E3725C" w:rsidP="00527E74">
            <w:pPr>
              <w:rPr>
                <w:rFonts w:ascii="Arial Narrow" w:eastAsia="Times New Roman" w:hAnsi="Arial Narrow" w:cs="Calibri"/>
                <w:color w:val="000000"/>
                <w:sz w:val="18"/>
                <w:szCs w:val="18"/>
              </w:rPr>
            </w:pPr>
          </w:p>
          <w:p w14:paraId="64BB7A8C" w14:textId="77777777" w:rsidR="00527E74" w:rsidRPr="00527E74" w:rsidRDefault="00E3725C" w:rsidP="00527E74">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Table </w:t>
            </w:r>
            <w:r w:rsidR="00527E74" w:rsidRPr="00527E74">
              <w:rPr>
                <w:rFonts w:ascii="Arial Narrow" w:eastAsia="Times New Roman" w:hAnsi="Arial Narrow" w:cs="Calibri"/>
                <w:color w:val="000000"/>
                <w:sz w:val="18"/>
                <w:szCs w:val="18"/>
              </w:rPr>
              <w:t>Footnotes</w:t>
            </w:r>
          </w:p>
        </w:tc>
      </w:tr>
      <w:tr w:rsidR="00527E74" w:rsidRPr="00527E74" w14:paraId="01E79FB5" w14:textId="77777777" w:rsidTr="00527E74">
        <w:tblPrEx>
          <w:tblCellMar>
            <w:left w:w="108" w:type="dxa"/>
            <w:right w:w="108" w:type="dxa"/>
          </w:tblCellMar>
        </w:tblPrEx>
        <w:trPr>
          <w:trHeight w:val="315"/>
        </w:trPr>
        <w:tc>
          <w:tcPr>
            <w:tcW w:w="5000" w:type="pct"/>
            <w:gridSpan w:val="12"/>
            <w:tcBorders>
              <w:top w:val="nil"/>
              <w:left w:val="single" w:sz="8" w:space="0" w:color="auto"/>
              <w:bottom w:val="nil"/>
              <w:right w:val="single" w:sz="8" w:space="0" w:color="000000"/>
            </w:tcBorders>
            <w:shd w:val="clear" w:color="auto" w:fill="auto"/>
            <w:noWrap/>
            <w:vAlign w:val="bottom"/>
            <w:hideMark/>
          </w:tcPr>
          <w:p w14:paraId="03482607" w14:textId="77777777" w:rsidR="00527E74" w:rsidRPr="00527E74" w:rsidRDefault="00527E74" w:rsidP="00527E74">
            <w:pPr>
              <w:rPr>
                <w:rFonts w:ascii="Arial Narrow" w:eastAsia="Times New Roman" w:hAnsi="Arial Narrow" w:cs="Calibri"/>
                <w:color w:val="000000"/>
                <w:sz w:val="18"/>
                <w:szCs w:val="18"/>
              </w:rPr>
            </w:pPr>
            <w:r w:rsidRPr="00527E74">
              <w:rPr>
                <w:rFonts w:ascii="Arial Narrow" w:eastAsia="Times New Roman" w:hAnsi="Arial Narrow" w:cs="Calibri"/>
                <w:color w:val="000000"/>
                <w:sz w:val="18"/>
                <w:szCs w:val="18"/>
                <w:vertAlign w:val="superscript"/>
              </w:rPr>
              <w:t>1</w:t>
            </w:r>
            <w:r w:rsidRPr="00527E74">
              <w:rPr>
                <w:rFonts w:ascii="Arial Narrow" w:eastAsia="Times New Roman" w:hAnsi="Arial Narrow" w:cs="Calibri"/>
                <w:color w:val="000000"/>
                <w:sz w:val="18"/>
                <w:szCs w:val="18"/>
              </w:rPr>
              <w:t xml:space="preserve"> From 4,991 sites in 2012 CDR to 5,662 sites in 2016 CDR.</w:t>
            </w:r>
          </w:p>
        </w:tc>
      </w:tr>
      <w:tr w:rsidR="00527E74" w:rsidRPr="00527E74" w14:paraId="00217500" w14:textId="77777777" w:rsidTr="00C0632D">
        <w:trPr>
          <w:trHeight w:val="153"/>
        </w:trPr>
        <w:tc>
          <w:tcPr>
            <w:tcW w:w="5000" w:type="pct"/>
            <w:gridSpan w:val="12"/>
            <w:tcBorders>
              <w:top w:val="nil"/>
              <w:left w:val="single" w:sz="8" w:space="0" w:color="auto"/>
              <w:bottom w:val="single" w:sz="8" w:space="0" w:color="auto"/>
              <w:right w:val="single" w:sz="8" w:space="0" w:color="000000"/>
            </w:tcBorders>
            <w:shd w:val="clear" w:color="auto" w:fill="auto"/>
            <w:vAlign w:val="bottom"/>
            <w:hideMark/>
          </w:tcPr>
          <w:p w14:paraId="2DE688F9" w14:textId="77777777" w:rsidR="00527E74" w:rsidRPr="00527E74" w:rsidRDefault="00527E74" w:rsidP="001B7C18">
            <w:pPr>
              <w:rPr>
                <w:rFonts w:ascii="Arial Narrow" w:eastAsia="Times New Roman" w:hAnsi="Arial Narrow" w:cs="Calibri"/>
                <w:color w:val="000000"/>
                <w:sz w:val="18"/>
                <w:szCs w:val="18"/>
              </w:rPr>
            </w:pPr>
            <w:r w:rsidRPr="00527E74">
              <w:rPr>
                <w:rFonts w:ascii="Arial Narrow" w:eastAsia="Times New Roman" w:hAnsi="Arial Narrow" w:cs="Calibri"/>
                <w:color w:val="000000"/>
                <w:sz w:val="18"/>
                <w:szCs w:val="18"/>
                <w:vertAlign w:val="superscript"/>
              </w:rPr>
              <w:t>2</w:t>
            </w:r>
            <w:r w:rsidRPr="00527E74">
              <w:rPr>
                <w:rFonts w:ascii="Arial Narrow" w:eastAsia="Times New Roman" w:hAnsi="Arial Narrow" w:cs="Calibri"/>
                <w:color w:val="000000"/>
                <w:sz w:val="18"/>
                <w:szCs w:val="18"/>
              </w:rPr>
              <w:t xml:space="preserve"> For CDX activities, methodology is changed to align </w:t>
            </w:r>
            <w:r w:rsidR="001B7C18">
              <w:rPr>
                <w:rFonts w:ascii="Arial Narrow" w:eastAsia="Times New Roman" w:hAnsi="Arial Narrow" w:cs="Calibri"/>
                <w:color w:val="000000"/>
                <w:sz w:val="18"/>
                <w:szCs w:val="18"/>
              </w:rPr>
              <w:t xml:space="preserve">unit burdens </w:t>
            </w:r>
            <w:r w:rsidRPr="00527E74">
              <w:rPr>
                <w:rFonts w:ascii="Arial Narrow" w:eastAsia="Times New Roman" w:hAnsi="Arial Narrow" w:cs="Calibri"/>
                <w:color w:val="000000"/>
                <w:sz w:val="18"/>
                <w:szCs w:val="18"/>
              </w:rPr>
              <w:t>with other TSCA information collections. For Form U submissions, pro-rating is implemented for certain low occurr</w:t>
            </w:r>
            <w:r>
              <w:rPr>
                <w:rFonts w:ascii="Arial Narrow" w:eastAsia="Times New Roman" w:hAnsi="Arial Narrow" w:cs="Calibri"/>
                <w:color w:val="000000"/>
                <w:sz w:val="18"/>
                <w:szCs w:val="18"/>
              </w:rPr>
              <w:t>e</w:t>
            </w:r>
            <w:r w:rsidRPr="00527E74">
              <w:rPr>
                <w:rFonts w:ascii="Arial Narrow" w:eastAsia="Times New Roman" w:hAnsi="Arial Narrow" w:cs="Calibri"/>
                <w:color w:val="000000"/>
                <w:sz w:val="18"/>
                <w:szCs w:val="18"/>
              </w:rPr>
              <w:t>nce activities, based on observations in 2016 CDR (US EPA 2017</w:t>
            </w:r>
            <w:r w:rsidR="00387EBE">
              <w:rPr>
                <w:rFonts w:ascii="Arial Narrow" w:eastAsia="Times New Roman" w:hAnsi="Arial Narrow" w:cs="Calibri"/>
                <w:color w:val="000000"/>
                <w:sz w:val="18"/>
                <w:szCs w:val="18"/>
              </w:rPr>
              <w:t>c</w:t>
            </w:r>
            <w:r w:rsidRPr="00527E74">
              <w:rPr>
                <w:rFonts w:ascii="Arial Narrow" w:eastAsia="Times New Roman" w:hAnsi="Arial Narrow" w:cs="Calibri"/>
                <w:color w:val="000000"/>
                <w:sz w:val="18"/>
                <w:szCs w:val="18"/>
              </w:rPr>
              <w:t xml:space="preserve">). </w:t>
            </w:r>
          </w:p>
        </w:tc>
      </w:tr>
    </w:tbl>
    <w:p w14:paraId="1E9223D8" w14:textId="77777777" w:rsidR="00527E74" w:rsidRPr="008A7FB7" w:rsidRDefault="00527E74" w:rsidP="00527E74">
      <w:pPr>
        <w:pStyle w:val="Heading1"/>
        <w:numPr>
          <w:ilvl w:val="0"/>
          <w:numId w:val="0"/>
        </w:numPr>
        <w:ind w:left="720" w:hanging="720"/>
      </w:pPr>
    </w:p>
    <w:p w14:paraId="6775DAB4" w14:textId="77777777" w:rsidR="00B20F7D" w:rsidRDefault="00B20F7D" w:rsidP="00527E74">
      <w:pPr>
        <w:pStyle w:val="Heading1"/>
        <w:numPr>
          <w:ilvl w:val="0"/>
          <w:numId w:val="0"/>
        </w:numPr>
        <w:ind w:left="720" w:hanging="720"/>
        <w:sectPr w:rsidR="00B20F7D" w:rsidSect="00527E74">
          <w:pgSz w:w="15840" w:h="12240" w:orient="landscape"/>
          <w:pgMar w:top="1440" w:right="1440" w:bottom="1440" w:left="1440" w:header="720" w:footer="720" w:gutter="0"/>
          <w:cols w:space="720"/>
          <w:docGrid w:linePitch="360"/>
        </w:sectPr>
      </w:pPr>
    </w:p>
    <w:p w14:paraId="2F540D53" w14:textId="77777777" w:rsidR="00F06BA6" w:rsidRPr="008A7FB7" w:rsidRDefault="00B20F7D" w:rsidP="002C1543">
      <w:pPr>
        <w:pStyle w:val="Heading1"/>
        <w:numPr>
          <w:ilvl w:val="0"/>
          <w:numId w:val="0"/>
        </w:numPr>
        <w:ind w:left="1440" w:hanging="720"/>
      </w:pPr>
      <w:r>
        <w:t xml:space="preserve">6(f) </w:t>
      </w:r>
      <w:r w:rsidR="00F06BA6" w:rsidRPr="008A7FB7">
        <w:t>Burden Statement</w:t>
      </w:r>
    </w:p>
    <w:p w14:paraId="468FEC23" w14:textId="73E82C42" w:rsidR="00F06BA6" w:rsidRPr="008A7FB7" w:rsidRDefault="00F44340" w:rsidP="000F6439">
      <w:pPr>
        <w:pStyle w:val="BodyText"/>
      </w:pPr>
      <w:r w:rsidRPr="008A7FB7">
        <w:t xml:space="preserve">The </w:t>
      </w:r>
      <w:r w:rsidR="009F4C2D">
        <w:t>respondent</w:t>
      </w:r>
      <w:r w:rsidRPr="008A7FB7">
        <w:t xml:space="preserve"> burden for this collection of information is estimated </w:t>
      </w:r>
      <w:r w:rsidR="00A236F0">
        <w:t xml:space="preserve">to average </w:t>
      </w:r>
      <w:r w:rsidR="00DF4A70">
        <w:t>126.44</w:t>
      </w:r>
      <w:r>
        <w:t xml:space="preserve"> hours </w:t>
      </w:r>
      <w:r w:rsidR="00163046">
        <w:t>per year</w:t>
      </w:r>
      <w:r w:rsidR="00672DD1">
        <w:t xml:space="preserve"> for </w:t>
      </w:r>
      <w:r w:rsidR="00163046">
        <w:t xml:space="preserve">the average </w:t>
      </w:r>
      <w:r>
        <w:t>multi-chemical submission</w:t>
      </w:r>
      <w:r w:rsidR="00A236F0">
        <w:t xml:space="preserve"> of </w:t>
      </w:r>
      <w:r w:rsidR="00672DD1">
        <w:t xml:space="preserve">7.5 chemicals per site with 22% of reports </w:t>
      </w:r>
      <w:r w:rsidR="009219D1">
        <w:t xml:space="preserve">consisting of </w:t>
      </w:r>
      <w:r w:rsidR="00672DD1">
        <w:t>partial reports</w:t>
      </w:r>
      <w:r w:rsidR="00A236F0">
        <w:t xml:space="preserve"> and 15% of sites as new reporters</w:t>
      </w:r>
      <w:r>
        <w:t>.</w:t>
      </w:r>
      <w:r w:rsidR="00A236F0">
        <w:t xml:space="preserve"> </w:t>
      </w:r>
      <w:r w:rsidR="00672DD1">
        <w:t>This estimate includes time spent on rule familiarization (</w:t>
      </w:r>
      <w:r w:rsidR="00A236F0">
        <w:t xml:space="preserve">for </w:t>
      </w:r>
      <w:r w:rsidR="00672DD1">
        <w:t xml:space="preserve">new reporters), compliance determination, form completion, and recordkeeping. In addition, for CDX activities the average per-response burden is estimated at </w:t>
      </w:r>
      <w:r w:rsidR="00163046">
        <w:t>0</w:t>
      </w:r>
      <w:r w:rsidR="00672DD1">
        <w:t>.5</w:t>
      </w:r>
      <w:r w:rsidR="00C7155E">
        <w:t>3</w:t>
      </w:r>
      <w:r w:rsidR="00672DD1">
        <w:t xml:space="preserve"> hours per registration for those respondents not already registered in CDX. </w:t>
      </w:r>
      <w:r w:rsidR="00163046">
        <w:t xml:space="preserve"> </w:t>
      </w:r>
      <w:r w:rsidR="00F06BA6" w:rsidRPr="008A7FB7">
        <w:t>Burden is defined in 5 CFR 1320.3(b). An Agency may not conduct or sponsor, and a person is not required to respond to, a collection of information unless it displays a currently valid OMB control number. The OMB control numbers for EPA's regulations in title 40 of the CFR, after appearing in the Federal Register when approved, are listed in 40 CFR Part 9, and are displayed either by publication in the Federal Register or by other appropriate means, such as on the related collection instrument or form, if applicable.</w:t>
      </w:r>
    </w:p>
    <w:p w14:paraId="1A62E364" w14:textId="77777777" w:rsidR="00F06BA6" w:rsidRPr="00392D59" w:rsidRDefault="00F06BA6" w:rsidP="000F6439">
      <w:pPr>
        <w:pStyle w:val="BodyText"/>
      </w:pPr>
      <w:r w:rsidRPr="00617F03">
        <w:t xml:space="preserve">The Agency has established a public docket for this ICR under Docket ID No. </w:t>
      </w:r>
      <w:r w:rsidRPr="00392D59">
        <w:t>EPA-HQ-OPPT-201</w:t>
      </w:r>
      <w:r w:rsidR="00617F03" w:rsidRPr="00392D59">
        <w:t>7</w:t>
      </w:r>
      <w:r w:rsidRPr="00392D59">
        <w:t>-</w:t>
      </w:r>
      <w:r w:rsidR="00617F03" w:rsidRPr="00392D59">
        <w:t>0648</w:t>
      </w:r>
      <w:r w:rsidRPr="00617F03">
        <w:t>, which is available for online viewing at www.regulations.gov, or in-person viewing at the Pollution Prevention and Toxics Docket in the EPA Docket Center (EPA/DC).  The EPA/DC Public Reading Room is located in the EPA West Building, Room 3334,</w:t>
      </w:r>
      <w:r w:rsidRPr="00392D59">
        <w:t xml:space="preserve"> 1301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 </w:t>
      </w:r>
    </w:p>
    <w:p w14:paraId="74B58148" w14:textId="06CA3A5C" w:rsidR="009F4C2D" w:rsidRDefault="00F06BA6" w:rsidP="009F4C2D">
      <w:pPr>
        <w:pStyle w:val="BodyText"/>
      </w:pPr>
      <w:r w:rsidRPr="00392D59">
        <w:t xml:space="preserve">You may submit comments regarding the Agency’s need for this information, the accuracy of the provided burden estimates and any suggested methods for minimizing respondent burden, including the use of automated collection techniques. Submit your comments, </w:t>
      </w:r>
      <w:r w:rsidR="009F4C2D">
        <w:t>identified by docket identification (ID) number EPA-HQ-OPPT-2017-0648 and OMB Control No. 2070-0162, to both EPA and OMB as follows:</w:t>
      </w:r>
    </w:p>
    <w:p w14:paraId="722D8F87" w14:textId="77777777" w:rsidR="009F4C2D" w:rsidRDefault="009F4C2D" w:rsidP="009F4C2D">
      <w:pPr>
        <w:pStyle w:val="BodyText"/>
      </w:pPr>
      <w:r>
        <w:t xml:space="preserve">• To EPA online using </w:t>
      </w:r>
      <w:r w:rsidRPr="009F4C2D">
        <w:rPr>
          <w:i/>
        </w:rPr>
        <w:t>http://www.regulations.gov</w:t>
      </w:r>
      <w:r>
        <w:t xml:space="preserve"> (our preferred method) or by mail to: EPA Docket Center, Environmental Protection Agency, Mail Code 28221T, 1200 Pennsylvania Ave., NW, Washington, DC 20460. </w:t>
      </w:r>
    </w:p>
    <w:p w14:paraId="58E82F4B" w14:textId="77777777" w:rsidR="009F4C2D" w:rsidRDefault="009F4C2D" w:rsidP="009F4C2D">
      <w:pPr>
        <w:pStyle w:val="BodyText"/>
      </w:pPr>
      <w:r>
        <w:t xml:space="preserve">• To OMB via email to </w:t>
      </w:r>
      <w:r w:rsidRPr="009F4C2D">
        <w:rPr>
          <w:i/>
        </w:rPr>
        <w:t>oira_submission@omb.eop.gov</w:t>
      </w:r>
      <w:r>
        <w:t>. Address comments to OMB Desk Officer for EPA.</w:t>
      </w:r>
    </w:p>
    <w:p w14:paraId="5EBA43A6" w14:textId="1D25BB3A" w:rsidR="00F06BA6" w:rsidRPr="008A7FB7" w:rsidRDefault="009F4C2D" w:rsidP="009F4C2D">
      <w:pPr>
        <w:pStyle w:val="BodyText"/>
      </w:pPr>
      <w:r>
        <w:t xml:space="preserve">EPA's policy is that all comments received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r w:rsidR="00F06BA6" w:rsidRPr="008A7FB7">
        <w:t xml:space="preserve"> </w:t>
      </w:r>
    </w:p>
    <w:p w14:paraId="2AC22CB8" w14:textId="77777777" w:rsidR="00F06BA6" w:rsidRPr="008A7FB7" w:rsidRDefault="00B20F7D" w:rsidP="000D2D6D">
      <w:pPr>
        <w:pStyle w:val="Heading2"/>
        <w:numPr>
          <w:ilvl w:val="0"/>
          <w:numId w:val="0"/>
        </w:numPr>
        <w:ind w:left="720"/>
      </w:pPr>
      <w:r>
        <w:t>6(g)</w:t>
      </w:r>
      <w:r w:rsidR="009219D1">
        <w:t xml:space="preserve"> </w:t>
      </w:r>
      <w:r w:rsidR="00F06BA6" w:rsidRPr="008A7FB7">
        <w:t>Additional Tables</w:t>
      </w:r>
    </w:p>
    <w:p w14:paraId="763A5A85" w14:textId="77777777" w:rsidR="007F73B0" w:rsidRPr="007F73B0" w:rsidRDefault="007F73B0" w:rsidP="007F73B0">
      <w:pPr>
        <w:pStyle w:val="BodyText"/>
      </w:pPr>
      <w:r w:rsidRPr="007F73B0">
        <w:t xml:space="preserve">This section provides details from corrections made in November 2017 that are used to revise activity-level unit burdens for experienced reporters, as well information for a simplified method for estimating submission-level burden for new reporters. Tables 17A and 17B provide corrections to activity-level burdens for experienced and new reporters, respectively. </w:t>
      </w:r>
    </w:p>
    <w:p w14:paraId="37AF8BB1" w14:textId="77777777" w:rsidR="007F73B0" w:rsidRPr="007F73B0" w:rsidRDefault="007F73B0" w:rsidP="007F73B0">
      <w:pPr>
        <w:pStyle w:val="BodyText"/>
      </w:pPr>
      <w:r w:rsidRPr="007F73B0">
        <w:t xml:space="preserve">From this point forward, separate activity level unit burdens and unit costs for new reporters will not be maintained. Instead, a simplified methodology will be used. For new reporter unit burdens, a first-time factor (FTF) will be applied to experienced reporter estimates of Form Completion burden to translate to </w:t>
      </w:r>
      <w:r w:rsidR="00330FB9">
        <w:t xml:space="preserve">an estimate of </w:t>
      </w:r>
      <w:r w:rsidRPr="007F73B0">
        <w:t xml:space="preserve">Form Completion for new reporters. Using the estimates in Tables 17A and 17B, the FTF for a single chemical submission is 1.25 hours </w:t>
      </w:r>
      <w:r w:rsidR="00330FB9">
        <w:t xml:space="preserve">of </w:t>
      </w:r>
      <w:r w:rsidRPr="007F73B0">
        <w:t xml:space="preserve">new reporter </w:t>
      </w:r>
      <w:r w:rsidR="00330FB9">
        <w:t xml:space="preserve">burden </w:t>
      </w:r>
      <w:r w:rsidRPr="007F73B0">
        <w:t xml:space="preserve">per hour </w:t>
      </w:r>
      <w:r w:rsidR="00330FB9">
        <w:t xml:space="preserve">of </w:t>
      </w:r>
      <w:r w:rsidRPr="007F73B0">
        <w:t>experienced reporter</w:t>
      </w:r>
      <w:r w:rsidR="00330FB9">
        <w:t xml:space="preserve"> burden</w:t>
      </w:r>
      <w:r w:rsidRPr="007F73B0">
        <w:t xml:space="preserve">. Applying the </w:t>
      </w:r>
      <w:r w:rsidR="00330FB9">
        <w:t>method to</w:t>
      </w:r>
      <w:r w:rsidRPr="007F73B0">
        <w:t xml:space="preserve"> a multi-chemical submission involving 7.5 chemicals yields an FTF of 1.26, which is </w:t>
      </w:r>
      <w:r w:rsidR="00330FB9">
        <w:t>used for the</w:t>
      </w:r>
      <w:r w:rsidRPr="007F73B0">
        <w:t xml:space="preserve"> estimates </w:t>
      </w:r>
      <w:r w:rsidR="00D726FD">
        <w:t xml:space="preserve">in previous sections of </w:t>
      </w:r>
      <w:r w:rsidRPr="007F73B0">
        <w:t xml:space="preserve">this report. </w:t>
      </w:r>
    </w:p>
    <w:p w14:paraId="648EC404" w14:textId="77777777" w:rsidR="007F73B0" w:rsidRPr="007F73B0" w:rsidRDefault="00B86510" w:rsidP="007F73B0">
      <w:pPr>
        <w:pStyle w:val="BodyText"/>
      </w:pPr>
      <w:r>
        <w:t>Additionally</w:t>
      </w:r>
      <w:r w:rsidR="007F73B0" w:rsidRPr="007F73B0">
        <w:t xml:space="preserve">, </w:t>
      </w:r>
      <w:r w:rsidR="000C25C0">
        <w:t>for</w:t>
      </w:r>
      <w:r w:rsidR="000C25C0" w:rsidRPr="007F73B0">
        <w:t xml:space="preserve"> </w:t>
      </w:r>
      <w:r w:rsidR="007F73B0" w:rsidRPr="007F73B0">
        <w:t>unit costs for new reporters, rather than using detailed activity-level unit costs based on activity-level unit burdens, the wage rate from the experienced reporters’ analysis for Form Completion is assumed to be the same as the wage rate for new reporter Form Completion.</w:t>
      </w:r>
    </w:p>
    <w:p w14:paraId="5402A891" w14:textId="77777777" w:rsidR="00A15430" w:rsidRDefault="00A15430">
      <w:pPr>
        <w:spacing w:after="200" w:line="276" w:lineRule="auto"/>
        <w:sectPr w:rsidR="00A15430" w:rsidSect="00A15430">
          <w:headerReference w:type="default" r:id="rId38"/>
          <w:pgSz w:w="12240" w:h="15840"/>
          <w:pgMar w:top="1440" w:right="1440" w:bottom="1440" w:left="1440" w:header="720" w:footer="720" w:gutter="0"/>
          <w:cols w:space="720"/>
          <w:docGrid w:linePitch="360"/>
        </w:sectPr>
      </w:pPr>
    </w:p>
    <w:p w14:paraId="050997B9" w14:textId="77777777" w:rsidR="00644DFC" w:rsidRPr="00644DFC" w:rsidRDefault="00644DFC" w:rsidP="00644DFC">
      <w:pPr>
        <w:spacing w:after="160" w:line="259" w:lineRule="auto"/>
        <w:rPr>
          <w:rFonts w:ascii="Calibri" w:eastAsia="Calibri" w:hAnsi="Calibri" w:cs="Times New Roman"/>
          <w:sz w:val="22"/>
          <w:szCs w:val="22"/>
        </w:rPr>
      </w:pPr>
    </w:p>
    <w:tbl>
      <w:tblPr>
        <w:tblW w:w="4884" w:type="pct"/>
        <w:tblLayout w:type="fixed"/>
        <w:tblCellMar>
          <w:left w:w="115" w:type="dxa"/>
          <w:right w:w="115" w:type="dxa"/>
        </w:tblCellMar>
        <w:tblLook w:val="04A0" w:firstRow="1" w:lastRow="0" w:firstColumn="1" w:lastColumn="0" w:noHBand="0" w:noVBand="1"/>
      </w:tblPr>
      <w:tblGrid>
        <w:gridCol w:w="547"/>
        <w:gridCol w:w="1652"/>
        <w:gridCol w:w="1100"/>
        <w:gridCol w:w="1010"/>
        <w:gridCol w:w="917"/>
        <w:gridCol w:w="734"/>
        <w:gridCol w:w="920"/>
        <w:gridCol w:w="549"/>
        <w:gridCol w:w="1657"/>
        <w:gridCol w:w="989"/>
        <w:gridCol w:w="1023"/>
        <w:gridCol w:w="825"/>
        <w:gridCol w:w="961"/>
      </w:tblGrid>
      <w:tr w:rsidR="00644DFC" w:rsidRPr="00644DFC" w14:paraId="2BCF6B83" w14:textId="77777777" w:rsidTr="00644DFC">
        <w:trPr>
          <w:cantSplit/>
          <w:trHeight w:val="310"/>
          <w:tblHeader/>
        </w:trPr>
        <w:tc>
          <w:tcPr>
            <w:tcW w:w="5000" w:type="pct"/>
            <w:gridSpan w:val="13"/>
            <w:tcBorders>
              <w:top w:val="nil"/>
              <w:left w:val="nil"/>
              <w:bottom w:val="single" w:sz="8" w:space="0" w:color="auto"/>
              <w:right w:val="nil"/>
            </w:tcBorders>
            <w:shd w:val="clear" w:color="auto" w:fill="auto"/>
            <w:noWrap/>
            <w:vAlign w:val="bottom"/>
            <w:hideMark/>
          </w:tcPr>
          <w:p w14:paraId="5C0E4DE7" w14:textId="77777777" w:rsidR="00644DFC" w:rsidRPr="00644DFC" w:rsidRDefault="00644DFC" w:rsidP="003E40AA">
            <w:pPr>
              <w:pStyle w:val="TableTitle"/>
            </w:pPr>
            <w:r w:rsidRPr="00644DFC">
              <w:t>Table 17A: Experienced Reporters Activity-Level Unit Burden Correction, November 2017</w:t>
            </w:r>
          </w:p>
        </w:tc>
      </w:tr>
      <w:tr w:rsidR="00644DFC" w:rsidRPr="00644DFC" w14:paraId="625A1132" w14:textId="77777777" w:rsidTr="00644DFC">
        <w:trPr>
          <w:cantSplit/>
          <w:trHeight w:val="320"/>
          <w:tblHeader/>
        </w:trPr>
        <w:tc>
          <w:tcPr>
            <w:tcW w:w="2670" w:type="pct"/>
            <w:gridSpan w:val="7"/>
            <w:tcBorders>
              <w:top w:val="single" w:sz="8" w:space="0" w:color="auto"/>
              <w:left w:val="single" w:sz="8" w:space="0" w:color="auto"/>
              <w:bottom w:val="single" w:sz="8" w:space="0" w:color="auto"/>
              <w:right w:val="single" w:sz="8" w:space="0" w:color="auto"/>
            </w:tcBorders>
            <w:shd w:val="clear" w:color="auto" w:fill="F2F2F2"/>
            <w:noWrap/>
            <w:vAlign w:val="center"/>
            <w:hideMark/>
          </w:tcPr>
          <w:p w14:paraId="4F5C5D33" w14:textId="77777777" w:rsidR="00644DFC" w:rsidRPr="00EB1FDE" w:rsidRDefault="00644DFC" w:rsidP="00644DFC">
            <w:pPr>
              <w:jc w:val="center"/>
              <w:rPr>
                <w:rFonts w:ascii="Arial Narrow" w:eastAsia="Times New Roman" w:hAnsi="Arial Narrow" w:cs="Calibri"/>
                <w:b/>
                <w:bCs/>
                <w:color w:val="000000"/>
                <w:sz w:val="18"/>
                <w:szCs w:val="18"/>
              </w:rPr>
            </w:pPr>
            <w:r w:rsidRPr="00EB1FDE">
              <w:rPr>
                <w:rFonts w:ascii="Arial Narrow" w:eastAsia="Times New Roman" w:hAnsi="Arial Narrow" w:cs="Calibri"/>
                <w:b/>
                <w:bCs/>
                <w:color w:val="000000"/>
                <w:sz w:val="18"/>
                <w:szCs w:val="18"/>
              </w:rPr>
              <w:t>Previous ICR Activity-Level Unit Burdens</w:t>
            </w:r>
          </w:p>
        </w:tc>
        <w:tc>
          <w:tcPr>
            <w:tcW w:w="2330" w:type="pct"/>
            <w:gridSpan w:val="6"/>
            <w:tcBorders>
              <w:top w:val="single" w:sz="8" w:space="0" w:color="auto"/>
              <w:left w:val="single" w:sz="8" w:space="0" w:color="auto"/>
              <w:bottom w:val="single" w:sz="8" w:space="0" w:color="auto"/>
              <w:right w:val="single" w:sz="8" w:space="0" w:color="auto"/>
            </w:tcBorders>
            <w:shd w:val="clear" w:color="auto" w:fill="F2F2F2"/>
            <w:noWrap/>
            <w:vAlign w:val="center"/>
            <w:hideMark/>
          </w:tcPr>
          <w:p w14:paraId="25705ADA" w14:textId="77777777" w:rsidR="00644DFC" w:rsidRPr="00EB1FDE" w:rsidRDefault="00644DFC" w:rsidP="00644DFC">
            <w:pPr>
              <w:jc w:val="center"/>
              <w:rPr>
                <w:rFonts w:ascii="Arial Narrow" w:eastAsia="Times New Roman" w:hAnsi="Arial Narrow" w:cs="Calibri"/>
                <w:b/>
                <w:bCs/>
                <w:color w:val="000000"/>
                <w:sz w:val="18"/>
                <w:szCs w:val="18"/>
              </w:rPr>
            </w:pPr>
            <w:r w:rsidRPr="00EB1FDE">
              <w:rPr>
                <w:rFonts w:ascii="Arial Narrow" w:eastAsia="Times New Roman" w:hAnsi="Arial Narrow" w:cs="Calibri"/>
                <w:b/>
                <w:bCs/>
                <w:color w:val="000000"/>
                <w:sz w:val="18"/>
                <w:szCs w:val="18"/>
              </w:rPr>
              <w:t>Corrected ICR Activity-Level Unit Burdens</w:t>
            </w:r>
          </w:p>
        </w:tc>
      </w:tr>
      <w:tr w:rsidR="00644DFC" w:rsidRPr="00644DFC" w14:paraId="13448CC1" w14:textId="77777777" w:rsidTr="00301D74">
        <w:trPr>
          <w:cantSplit/>
          <w:trHeight w:val="855"/>
          <w:tblHeader/>
        </w:trPr>
        <w:tc>
          <w:tcPr>
            <w:tcW w:w="212" w:type="pct"/>
            <w:tcBorders>
              <w:top w:val="single" w:sz="8" w:space="0" w:color="auto"/>
              <w:left w:val="single" w:sz="8" w:space="0" w:color="auto"/>
              <w:bottom w:val="single" w:sz="8" w:space="0" w:color="auto"/>
              <w:right w:val="single" w:sz="8" w:space="0" w:color="auto"/>
            </w:tcBorders>
            <w:shd w:val="clear" w:color="auto" w:fill="BFBFBF"/>
            <w:vAlign w:val="bottom"/>
            <w:hideMark/>
          </w:tcPr>
          <w:p w14:paraId="34528741" w14:textId="77777777" w:rsidR="00644DFC" w:rsidRPr="00644DFC" w:rsidRDefault="00644DFC" w:rsidP="00644DFC">
            <w:pPr>
              <w:jc w:val="cente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Item #</w:t>
            </w:r>
          </w:p>
        </w:tc>
        <w:tc>
          <w:tcPr>
            <w:tcW w:w="641" w:type="pct"/>
            <w:tcBorders>
              <w:top w:val="single" w:sz="8" w:space="0" w:color="auto"/>
              <w:left w:val="nil"/>
              <w:bottom w:val="single" w:sz="8" w:space="0" w:color="auto"/>
              <w:right w:val="single" w:sz="4" w:space="0" w:color="auto"/>
            </w:tcBorders>
            <w:shd w:val="clear" w:color="auto" w:fill="BFBFBF"/>
            <w:noWrap/>
            <w:vAlign w:val="bottom"/>
            <w:hideMark/>
          </w:tcPr>
          <w:p w14:paraId="5D1B8527" w14:textId="77777777" w:rsidR="00644DFC" w:rsidRPr="00644DFC" w:rsidRDefault="00644DFC" w:rsidP="00644DFC">
            <w:pPr>
              <w:jc w:val="cente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Activity</w:t>
            </w:r>
          </w:p>
        </w:tc>
        <w:tc>
          <w:tcPr>
            <w:tcW w:w="427" w:type="pct"/>
            <w:tcBorders>
              <w:top w:val="single" w:sz="8" w:space="0" w:color="auto"/>
              <w:left w:val="nil"/>
              <w:bottom w:val="single" w:sz="8" w:space="0" w:color="auto"/>
              <w:right w:val="single" w:sz="8" w:space="0" w:color="auto"/>
            </w:tcBorders>
            <w:shd w:val="clear" w:color="auto" w:fill="BFBFBF"/>
            <w:vAlign w:val="bottom"/>
            <w:hideMark/>
          </w:tcPr>
          <w:p w14:paraId="03D02062" w14:textId="77777777" w:rsidR="00644DFC" w:rsidRPr="00644DFC" w:rsidRDefault="00644DFC" w:rsidP="00644DFC">
            <w:pPr>
              <w:jc w:val="cente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Unit of Analysis</w:t>
            </w:r>
          </w:p>
        </w:tc>
        <w:tc>
          <w:tcPr>
            <w:tcW w:w="392" w:type="pct"/>
            <w:tcBorders>
              <w:top w:val="single" w:sz="8" w:space="0" w:color="auto"/>
              <w:left w:val="single" w:sz="4" w:space="0" w:color="auto"/>
              <w:bottom w:val="single" w:sz="8" w:space="0" w:color="auto"/>
              <w:right w:val="single" w:sz="4" w:space="0" w:color="auto"/>
            </w:tcBorders>
            <w:shd w:val="clear" w:color="auto" w:fill="BFBFBF"/>
            <w:vAlign w:val="bottom"/>
            <w:hideMark/>
          </w:tcPr>
          <w:p w14:paraId="627702B3" w14:textId="77777777" w:rsidR="00644DFC" w:rsidRPr="00644DFC" w:rsidRDefault="00644DFC" w:rsidP="00644DFC">
            <w:pPr>
              <w:jc w:val="cente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Managerial Burden (hours)</w:t>
            </w:r>
          </w:p>
        </w:tc>
        <w:tc>
          <w:tcPr>
            <w:tcW w:w="356" w:type="pct"/>
            <w:tcBorders>
              <w:top w:val="single" w:sz="8" w:space="0" w:color="auto"/>
              <w:left w:val="nil"/>
              <w:bottom w:val="single" w:sz="8" w:space="0" w:color="auto"/>
              <w:right w:val="single" w:sz="4" w:space="0" w:color="auto"/>
            </w:tcBorders>
            <w:shd w:val="clear" w:color="000000" w:fill="BFBFBF"/>
            <w:vAlign w:val="bottom"/>
            <w:hideMark/>
          </w:tcPr>
          <w:p w14:paraId="0AAF8896" w14:textId="77777777" w:rsidR="00644DFC" w:rsidRPr="00644DFC" w:rsidRDefault="00644DFC" w:rsidP="00644DFC">
            <w:pPr>
              <w:jc w:val="cente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Technical Burden (hours)</w:t>
            </w:r>
          </w:p>
        </w:tc>
        <w:tc>
          <w:tcPr>
            <w:tcW w:w="285" w:type="pct"/>
            <w:tcBorders>
              <w:top w:val="single" w:sz="8" w:space="0" w:color="auto"/>
              <w:left w:val="nil"/>
              <w:bottom w:val="single" w:sz="8" w:space="0" w:color="auto"/>
              <w:right w:val="single" w:sz="4" w:space="0" w:color="auto"/>
            </w:tcBorders>
            <w:shd w:val="clear" w:color="000000" w:fill="BFBFBF"/>
            <w:vAlign w:val="bottom"/>
            <w:hideMark/>
          </w:tcPr>
          <w:p w14:paraId="0B17AA21" w14:textId="77777777" w:rsidR="00644DFC" w:rsidRPr="00644DFC" w:rsidRDefault="00644DFC" w:rsidP="00644DFC">
            <w:pPr>
              <w:jc w:val="cente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Clerical Burden (hours)</w:t>
            </w:r>
          </w:p>
        </w:tc>
        <w:tc>
          <w:tcPr>
            <w:tcW w:w="357" w:type="pct"/>
            <w:tcBorders>
              <w:top w:val="single" w:sz="8" w:space="0" w:color="auto"/>
              <w:left w:val="nil"/>
              <w:bottom w:val="single" w:sz="8" w:space="0" w:color="auto"/>
              <w:right w:val="single" w:sz="8" w:space="0" w:color="auto"/>
            </w:tcBorders>
            <w:shd w:val="clear" w:color="000000" w:fill="BFBFBF"/>
            <w:vAlign w:val="bottom"/>
            <w:hideMark/>
          </w:tcPr>
          <w:p w14:paraId="25E659FB" w14:textId="77777777" w:rsidR="00644DFC" w:rsidRPr="00644DFC" w:rsidRDefault="00644DFC" w:rsidP="00644DFC">
            <w:pPr>
              <w:jc w:val="cente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Activity-Level Unit Burden (hours)</w:t>
            </w:r>
          </w:p>
        </w:tc>
        <w:tc>
          <w:tcPr>
            <w:tcW w:w="213" w:type="pct"/>
            <w:tcBorders>
              <w:top w:val="single" w:sz="8" w:space="0" w:color="auto"/>
              <w:left w:val="single" w:sz="8" w:space="0" w:color="auto"/>
              <w:bottom w:val="single" w:sz="8" w:space="0" w:color="auto"/>
              <w:right w:val="single" w:sz="8" w:space="0" w:color="auto"/>
            </w:tcBorders>
            <w:shd w:val="clear" w:color="000000" w:fill="BFBFBF"/>
            <w:vAlign w:val="bottom"/>
            <w:hideMark/>
          </w:tcPr>
          <w:p w14:paraId="1116A92F" w14:textId="77777777" w:rsidR="00644DFC" w:rsidRPr="00644DFC" w:rsidRDefault="00644DFC" w:rsidP="00644DFC">
            <w:pPr>
              <w:jc w:val="cente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Item #</w:t>
            </w:r>
          </w:p>
        </w:tc>
        <w:tc>
          <w:tcPr>
            <w:tcW w:w="643" w:type="pct"/>
            <w:tcBorders>
              <w:top w:val="single" w:sz="8" w:space="0" w:color="auto"/>
              <w:left w:val="nil"/>
              <w:bottom w:val="single" w:sz="8" w:space="0" w:color="auto"/>
              <w:right w:val="single" w:sz="4" w:space="0" w:color="auto"/>
            </w:tcBorders>
            <w:shd w:val="clear" w:color="000000" w:fill="BFBFBF"/>
            <w:noWrap/>
            <w:vAlign w:val="bottom"/>
            <w:hideMark/>
          </w:tcPr>
          <w:p w14:paraId="2D652FFD" w14:textId="77777777" w:rsidR="00644DFC" w:rsidRPr="00644DFC" w:rsidRDefault="00644DFC" w:rsidP="00644DFC">
            <w:pPr>
              <w:jc w:val="cente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Activity</w:t>
            </w:r>
          </w:p>
        </w:tc>
        <w:tc>
          <w:tcPr>
            <w:tcW w:w="384" w:type="pct"/>
            <w:tcBorders>
              <w:top w:val="single" w:sz="8" w:space="0" w:color="auto"/>
              <w:left w:val="single" w:sz="4" w:space="0" w:color="auto"/>
              <w:bottom w:val="single" w:sz="8" w:space="0" w:color="auto"/>
              <w:right w:val="single" w:sz="4" w:space="0" w:color="auto"/>
            </w:tcBorders>
            <w:shd w:val="clear" w:color="000000" w:fill="BFBFBF"/>
            <w:vAlign w:val="bottom"/>
            <w:hideMark/>
          </w:tcPr>
          <w:p w14:paraId="1DEED46E" w14:textId="77777777" w:rsidR="00644DFC" w:rsidRPr="00644DFC" w:rsidRDefault="00644DFC" w:rsidP="00644DFC">
            <w:pPr>
              <w:jc w:val="cente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Managerial Burden (hours)</w:t>
            </w:r>
          </w:p>
        </w:tc>
        <w:tc>
          <w:tcPr>
            <w:tcW w:w="397" w:type="pct"/>
            <w:tcBorders>
              <w:top w:val="single" w:sz="8" w:space="0" w:color="auto"/>
              <w:left w:val="nil"/>
              <w:bottom w:val="single" w:sz="8" w:space="0" w:color="auto"/>
              <w:right w:val="single" w:sz="4" w:space="0" w:color="auto"/>
            </w:tcBorders>
            <w:shd w:val="clear" w:color="000000" w:fill="BFBFBF"/>
            <w:vAlign w:val="bottom"/>
            <w:hideMark/>
          </w:tcPr>
          <w:p w14:paraId="6E58396E" w14:textId="77777777" w:rsidR="00644DFC" w:rsidRPr="00644DFC" w:rsidRDefault="00644DFC" w:rsidP="00644DFC">
            <w:pPr>
              <w:jc w:val="cente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Technical Burden (hours)</w:t>
            </w:r>
          </w:p>
        </w:tc>
        <w:tc>
          <w:tcPr>
            <w:tcW w:w="320" w:type="pct"/>
            <w:tcBorders>
              <w:top w:val="single" w:sz="8" w:space="0" w:color="auto"/>
              <w:left w:val="nil"/>
              <w:bottom w:val="single" w:sz="8" w:space="0" w:color="auto"/>
              <w:right w:val="single" w:sz="4" w:space="0" w:color="auto"/>
            </w:tcBorders>
            <w:shd w:val="clear" w:color="000000" w:fill="BFBFBF"/>
            <w:vAlign w:val="bottom"/>
            <w:hideMark/>
          </w:tcPr>
          <w:p w14:paraId="49A01703" w14:textId="77777777" w:rsidR="00644DFC" w:rsidRPr="00644DFC" w:rsidRDefault="00644DFC" w:rsidP="00644DFC">
            <w:pPr>
              <w:jc w:val="cente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Clerical Burden (hours)</w:t>
            </w:r>
          </w:p>
        </w:tc>
        <w:tc>
          <w:tcPr>
            <w:tcW w:w="373" w:type="pct"/>
            <w:tcBorders>
              <w:top w:val="single" w:sz="8" w:space="0" w:color="auto"/>
              <w:left w:val="nil"/>
              <w:bottom w:val="single" w:sz="8" w:space="0" w:color="auto"/>
              <w:right w:val="single" w:sz="8" w:space="0" w:color="auto"/>
            </w:tcBorders>
            <w:shd w:val="clear" w:color="000000" w:fill="BFBFBF"/>
            <w:vAlign w:val="bottom"/>
            <w:hideMark/>
          </w:tcPr>
          <w:p w14:paraId="1D9FB737" w14:textId="77777777" w:rsidR="00644DFC" w:rsidRPr="00644DFC" w:rsidRDefault="00644DFC" w:rsidP="00644DFC">
            <w:pPr>
              <w:jc w:val="cente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Activity-Level Unit Burden (hours)</w:t>
            </w:r>
          </w:p>
        </w:tc>
      </w:tr>
      <w:tr w:rsidR="00644DFC" w:rsidRPr="00644DFC" w14:paraId="62137085" w14:textId="77777777" w:rsidTr="00301D74">
        <w:trPr>
          <w:cantSplit/>
          <w:trHeight w:val="375"/>
        </w:trPr>
        <w:tc>
          <w:tcPr>
            <w:tcW w:w="212"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7D87E70"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sidR="003019B7" w:rsidRPr="002C1543">
              <w:rPr>
                <w:rFonts w:ascii="Arial Narrow" w:eastAsia="Times New Roman" w:hAnsi="Arial Narrow" w:cs="Calibri"/>
                <w:color w:val="000000"/>
                <w:sz w:val="16"/>
                <w:szCs w:val="16"/>
                <w:vertAlign w:val="superscript"/>
              </w:rPr>
              <w:t>1</w:t>
            </w:r>
          </w:p>
        </w:tc>
        <w:tc>
          <w:tcPr>
            <w:tcW w:w="641" w:type="pct"/>
            <w:tcBorders>
              <w:top w:val="single" w:sz="8" w:space="0" w:color="auto"/>
              <w:left w:val="nil"/>
              <w:bottom w:val="single" w:sz="4" w:space="0" w:color="auto"/>
              <w:right w:val="single" w:sz="4" w:space="0" w:color="auto"/>
            </w:tcBorders>
            <w:shd w:val="clear" w:color="auto" w:fill="auto"/>
            <w:vAlign w:val="center"/>
            <w:hideMark/>
          </w:tcPr>
          <w:p w14:paraId="57775C9D" w14:textId="77777777" w:rsidR="00644DFC" w:rsidRPr="00644DFC" w:rsidRDefault="00644DFC" w:rsidP="00644DFC">
            <w:pP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Rule Familiarization</w:t>
            </w:r>
          </w:p>
        </w:tc>
        <w:tc>
          <w:tcPr>
            <w:tcW w:w="427" w:type="pct"/>
            <w:tcBorders>
              <w:top w:val="single" w:sz="8" w:space="0" w:color="auto"/>
              <w:left w:val="nil"/>
              <w:bottom w:val="single" w:sz="4" w:space="0" w:color="auto"/>
              <w:right w:val="single" w:sz="8" w:space="0" w:color="auto"/>
            </w:tcBorders>
            <w:shd w:val="clear" w:color="auto" w:fill="auto"/>
            <w:vAlign w:val="center"/>
            <w:hideMark/>
          </w:tcPr>
          <w:p w14:paraId="1928C948"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site</w:t>
            </w:r>
          </w:p>
        </w:tc>
        <w:tc>
          <w:tcPr>
            <w:tcW w:w="39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CBE854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2.000</w:t>
            </w:r>
          </w:p>
        </w:tc>
        <w:tc>
          <w:tcPr>
            <w:tcW w:w="356" w:type="pct"/>
            <w:tcBorders>
              <w:top w:val="single" w:sz="8" w:space="0" w:color="auto"/>
              <w:left w:val="nil"/>
              <w:bottom w:val="single" w:sz="4" w:space="0" w:color="auto"/>
              <w:right w:val="single" w:sz="4" w:space="0" w:color="auto"/>
            </w:tcBorders>
            <w:shd w:val="clear" w:color="auto" w:fill="auto"/>
            <w:noWrap/>
            <w:vAlign w:val="center"/>
            <w:hideMark/>
          </w:tcPr>
          <w:p w14:paraId="440AEDFF"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2.000</w:t>
            </w:r>
          </w:p>
        </w:tc>
        <w:tc>
          <w:tcPr>
            <w:tcW w:w="285" w:type="pct"/>
            <w:tcBorders>
              <w:top w:val="single" w:sz="8" w:space="0" w:color="auto"/>
              <w:left w:val="nil"/>
              <w:bottom w:val="single" w:sz="4" w:space="0" w:color="auto"/>
              <w:right w:val="single" w:sz="4" w:space="0" w:color="auto"/>
            </w:tcBorders>
            <w:shd w:val="clear" w:color="auto" w:fill="auto"/>
            <w:noWrap/>
            <w:vAlign w:val="center"/>
            <w:hideMark/>
          </w:tcPr>
          <w:p w14:paraId="7259323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single" w:sz="8" w:space="0" w:color="auto"/>
              <w:left w:val="nil"/>
              <w:bottom w:val="single" w:sz="4" w:space="0" w:color="auto"/>
              <w:right w:val="single" w:sz="8" w:space="0" w:color="auto"/>
            </w:tcBorders>
            <w:shd w:val="clear" w:color="auto" w:fill="auto"/>
            <w:noWrap/>
            <w:vAlign w:val="center"/>
            <w:hideMark/>
          </w:tcPr>
          <w:p w14:paraId="62E94FDC"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4.000</w:t>
            </w:r>
          </w:p>
        </w:tc>
        <w:tc>
          <w:tcPr>
            <w:tcW w:w="213"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BA994F2" w14:textId="77777777" w:rsidR="00644DFC" w:rsidRPr="00644DFC" w:rsidRDefault="00644DFC" w:rsidP="003019B7">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sidR="003019B7" w:rsidRPr="002C1543">
              <w:rPr>
                <w:rFonts w:ascii="Arial Narrow" w:eastAsia="Times New Roman" w:hAnsi="Arial Narrow" w:cs="Calibri"/>
                <w:color w:val="000000"/>
                <w:sz w:val="16"/>
                <w:szCs w:val="16"/>
                <w:vertAlign w:val="superscript"/>
              </w:rPr>
              <w:t>1</w:t>
            </w:r>
          </w:p>
        </w:tc>
        <w:tc>
          <w:tcPr>
            <w:tcW w:w="643" w:type="pct"/>
            <w:tcBorders>
              <w:top w:val="single" w:sz="8" w:space="0" w:color="auto"/>
              <w:left w:val="nil"/>
              <w:bottom w:val="single" w:sz="4" w:space="0" w:color="auto"/>
              <w:right w:val="single" w:sz="4" w:space="0" w:color="auto"/>
            </w:tcBorders>
            <w:shd w:val="clear" w:color="auto" w:fill="auto"/>
            <w:vAlign w:val="center"/>
            <w:hideMark/>
          </w:tcPr>
          <w:p w14:paraId="23C3E294" w14:textId="77777777" w:rsidR="00644DFC" w:rsidRPr="00644DFC" w:rsidRDefault="00644DFC" w:rsidP="00644DFC">
            <w:pP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Rule Familiarization</w:t>
            </w:r>
          </w:p>
        </w:tc>
        <w:tc>
          <w:tcPr>
            <w:tcW w:w="384"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CD8195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97" w:type="pct"/>
            <w:tcBorders>
              <w:top w:val="single" w:sz="8" w:space="0" w:color="auto"/>
              <w:left w:val="nil"/>
              <w:bottom w:val="single" w:sz="4" w:space="0" w:color="auto"/>
              <w:right w:val="single" w:sz="4" w:space="0" w:color="auto"/>
            </w:tcBorders>
            <w:shd w:val="clear" w:color="auto" w:fill="auto"/>
            <w:noWrap/>
            <w:vAlign w:val="center"/>
            <w:hideMark/>
          </w:tcPr>
          <w:p w14:paraId="7951D734"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20" w:type="pct"/>
            <w:tcBorders>
              <w:top w:val="single" w:sz="8" w:space="0" w:color="auto"/>
              <w:left w:val="nil"/>
              <w:bottom w:val="single" w:sz="4" w:space="0" w:color="auto"/>
              <w:right w:val="single" w:sz="4" w:space="0" w:color="auto"/>
            </w:tcBorders>
            <w:shd w:val="clear" w:color="auto" w:fill="auto"/>
            <w:noWrap/>
            <w:vAlign w:val="center"/>
            <w:hideMark/>
          </w:tcPr>
          <w:p w14:paraId="53B9DE9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single" w:sz="8" w:space="0" w:color="auto"/>
              <w:left w:val="nil"/>
              <w:bottom w:val="single" w:sz="4" w:space="0" w:color="auto"/>
              <w:right w:val="single" w:sz="8" w:space="0" w:color="auto"/>
            </w:tcBorders>
            <w:shd w:val="clear" w:color="auto" w:fill="auto"/>
            <w:noWrap/>
            <w:vAlign w:val="center"/>
            <w:hideMark/>
          </w:tcPr>
          <w:p w14:paraId="1C9D8567"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r>
      <w:tr w:rsidR="00644DFC" w:rsidRPr="00644DFC" w14:paraId="28E3C466" w14:textId="77777777" w:rsidTr="00301D74">
        <w:trPr>
          <w:cantSplit/>
          <w:trHeight w:val="290"/>
        </w:trPr>
        <w:tc>
          <w:tcPr>
            <w:tcW w:w="212" w:type="pct"/>
            <w:tcBorders>
              <w:top w:val="nil"/>
              <w:left w:val="single" w:sz="8" w:space="0" w:color="auto"/>
              <w:bottom w:val="single" w:sz="4" w:space="0" w:color="auto"/>
              <w:right w:val="single" w:sz="8" w:space="0" w:color="auto"/>
            </w:tcBorders>
            <w:shd w:val="clear" w:color="auto" w:fill="auto"/>
            <w:noWrap/>
            <w:vAlign w:val="center"/>
            <w:hideMark/>
          </w:tcPr>
          <w:p w14:paraId="1ED08FAF"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3019B7" w:rsidRPr="002C1543">
              <w:rPr>
                <w:rFonts w:ascii="Arial Narrow" w:eastAsia="Times New Roman" w:hAnsi="Arial Narrow" w:cs="Calibri"/>
                <w:color w:val="000000"/>
                <w:sz w:val="16"/>
                <w:szCs w:val="16"/>
                <w:vertAlign w:val="superscript"/>
              </w:rPr>
              <w:t>1</w:t>
            </w:r>
          </w:p>
        </w:tc>
        <w:tc>
          <w:tcPr>
            <w:tcW w:w="641" w:type="pct"/>
            <w:tcBorders>
              <w:top w:val="nil"/>
              <w:left w:val="nil"/>
              <w:bottom w:val="single" w:sz="4" w:space="0" w:color="auto"/>
              <w:right w:val="single" w:sz="4" w:space="0" w:color="auto"/>
            </w:tcBorders>
            <w:shd w:val="clear" w:color="auto" w:fill="auto"/>
            <w:vAlign w:val="center"/>
            <w:hideMark/>
          </w:tcPr>
          <w:p w14:paraId="4224FF98" w14:textId="77777777" w:rsidR="00644DFC" w:rsidRPr="00644DFC" w:rsidRDefault="00644DFC" w:rsidP="00644DFC">
            <w:pP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Compliance Determination</w:t>
            </w:r>
          </w:p>
        </w:tc>
        <w:tc>
          <w:tcPr>
            <w:tcW w:w="427" w:type="pct"/>
            <w:tcBorders>
              <w:top w:val="single" w:sz="4" w:space="0" w:color="auto"/>
              <w:left w:val="nil"/>
              <w:bottom w:val="single" w:sz="4" w:space="0" w:color="auto"/>
              <w:right w:val="single" w:sz="8" w:space="0" w:color="auto"/>
            </w:tcBorders>
            <w:shd w:val="clear" w:color="auto" w:fill="auto"/>
            <w:vAlign w:val="center"/>
            <w:hideMark/>
          </w:tcPr>
          <w:p w14:paraId="206E4DF3"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site</w:t>
            </w:r>
          </w:p>
        </w:tc>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42B1340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4" w:space="0" w:color="auto"/>
            </w:tcBorders>
            <w:shd w:val="clear" w:color="auto" w:fill="auto"/>
            <w:noWrap/>
            <w:vAlign w:val="center"/>
            <w:hideMark/>
          </w:tcPr>
          <w:p w14:paraId="2326A93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2.500</w:t>
            </w:r>
          </w:p>
        </w:tc>
        <w:tc>
          <w:tcPr>
            <w:tcW w:w="285" w:type="pct"/>
            <w:tcBorders>
              <w:top w:val="nil"/>
              <w:left w:val="nil"/>
              <w:bottom w:val="single" w:sz="4" w:space="0" w:color="auto"/>
              <w:right w:val="single" w:sz="4" w:space="0" w:color="auto"/>
            </w:tcBorders>
            <w:shd w:val="clear" w:color="auto" w:fill="auto"/>
            <w:noWrap/>
            <w:vAlign w:val="center"/>
            <w:hideMark/>
          </w:tcPr>
          <w:p w14:paraId="1D36A2A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hideMark/>
          </w:tcPr>
          <w:p w14:paraId="540AF4A7"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2.500</w:t>
            </w:r>
          </w:p>
        </w:tc>
        <w:tc>
          <w:tcPr>
            <w:tcW w:w="213" w:type="pct"/>
            <w:tcBorders>
              <w:top w:val="nil"/>
              <w:left w:val="single" w:sz="8" w:space="0" w:color="auto"/>
              <w:bottom w:val="single" w:sz="4" w:space="0" w:color="auto"/>
              <w:right w:val="single" w:sz="8" w:space="0" w:color="auto"/>
            </w:tcBorders>
            <w:shd w:val="clear" w:color="auto" w:fill="auto"/>
            <w:noWrap/>
            <w:vAlign w:val="center"/>
            <w:hideMark/>
          </w:tcPr>
          <w:p w14:paraId="43587A8B"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3019B7" w:rsidRPr="002C1543">
              <w:rPr>
                <w:rFonts w:ascii="Arial Narrow" w:eastAsia="Times New Roman" w:hAnsi="Arial Narrow" w:cs="Calibri"/>
                <w:color w:val="000000"/>
                <w:sz w:val="16"/>
                <w:szCs w:val="16"/>
                <w:vertAlign w:val="superscript"/>
              </w:rPr>
              <w:t>1</w:t>
            </w:r>
          </w:p>
        </w:tc>
        <w:tc>
          <w:tcPr>
            <w:tcW w:w="643" w:type="pct"/>
            <w:tcBorders>
              <w:top w:val="nil"/>
              <w:left w:val="nil"/>
              <w:bottom w:val="single" w:sz="4" w:space="0" w:color="auto"/>
              <w:right w:val="single" w:sz="4" w:space="0" w:color="auto"/>
            </w:tcBorders>
            <w:shd w:val="clear" w:color="auto" w:fill="auto"/>
            <w:vAlign w:val="center"/>
            <w:hideMark/>
          </w:tcPr>
          <w:p w14:paraId="3461F21A" w14:textId="77777777" w:rsidR="00644DFC" w:rsidRPr="00644DFC" w:rsidRDefault="00644DFC" w:rsidP="00644DFC">
            <w:pP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Compliance Determination</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2C918D7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2.000</w:t>
            </w:r>
          </w:p>
        </w:tc>
        <w:tc>
          <w:tcPr>
            <w:tcW w:w="397" w:type="pct"/>
            <w:tcBorders>
              <w:top w:val="nil"/>
              <w:left w:val="nil"/>
              <w:bottom w:val="single" w:sz="4" w:space="0" w:color="auto"/>
              <w:right w:val="single" w:sz="4" w:space="0" w:color="auto"/>
            </w:tcBorders>
            <w:shd w:val="clear" w:color="auto" w:fill="auto"/>
            <w:noWrap/>
            <w:vAlign w:val="center"/>
            <w:hideMark/>
          </w:tcPr>
          <w:p w14:paraId="66EDB72B"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4.500</w:t>
            </w:r>
          </w:p>
        </w:tc>
        <w:tc>
          <w:tcPr>
            <w:tcW w:w="320" w:type="pct"/>
            <w:tcBorders>
              <w:top w:val="nil"/>
              <w:left w:val="nil"/>
              <w:bottom w:val="single" w:sz="4" w:space="0" w:color="auto"/>
              <w:right w:val="single" w:sz="4" w:space="0" w:color="auto"/>
            </w:tcBorders>
            <w:shd w:val="clear" w:color="auto" w:fill="auto"/>
            <w:noWrap/>
            <w:vAlign w:val="center"/>
            <w:hideMark/>
          </w:tcPr>
          <w:p w14:paraId="4898E6C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hideMark/>
          </w:tcPr>
          <w:p w14:paraId="2CD956C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6.500</w:t>
            </w:r>
          </w:p>
        </w:tc>
      </w:tr>
      <w:tr w:rsidR="00644DFC" w:rsidRPr="00644DFC" w14:paraId="2801F9C8" w14:textId="77777777" w:rsidTr="00301D74">
        <w:trPr>
          <w:cantSplit/>
          <w:trHeight w:val="290"/>
        </w:trPr>
        <w:tc>
          <w:tcPr>
            <w:tcW w:w="212" w:type="pct"/>
            <w:tcBorders>
              <w:top w:val="nil"/>
              <w:left w:val="single" w:sz="8" w:space="0" w:color="auto"/>
              <w:bottom w:val="single" w:sz="8" w:space="0" w:color="auto"/>
              <w:right w:val="single" w:sz="8" w:space="0" w:color="auto"/>
            </w:tcBorders>
            <w:shd w:val="clear" w:color="auto" w:fill="auto"/>
            <w:noWrap/>
            <w:vAlign w:val="center"/>
            <w:hideMark/>
          </w:tcPr>
          <w:p w14:paraId="44F2534C"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3</w:t>
            </w:r>
          </w:p>
        </w:tc>
        <w:tc>
          <w:tcPr>
            <w:tcW w:w="641" w:type="pct"/>
            <w:tcBorders>
              <w:top w:val="single" w:sz="4" w:space="0" w:color="auto"/>
              <w:left w:val="nil"/>
              <w:bottom w:val="single" w:sz="8" w:space="0" w:color="auto"/>
              <w:right w:val="single" w:sz="4" w:space="0" w:color="auto"/>
            </w:tcBorders>
            <w:shd w:val="clear" w:color="auto" w:fill="auto"/>
            <w:vAlign w:val="center"/>
            <w:hideMark/>
          </w:tcPr>
          <w:p w14:paraId="1F726713" w14:textId="77777777" w:rsidR="00644DFC" w:rsidRPr="00644DFC" w:rsidRDefault="00644DFC" w:rsidP="00644DFC">
            <w:pP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Recordkeeping</w:t>
            </w:r>
          </w:p>
        </w:tc>
        <w:tc>
          <w:tcPr>
            <w:tcW w:w="427" w:type="pct"/>
            <w:tcBorders>
              <w:top w:val="single" w:sz="4" w:space="0" w:color="auto"/>
              <w:left w:val="nil"/>
              <w:bottom w:val="single" w:sz="8" w:space="0" w:color="auto"/>
              <w:right w:val="single" w:sz="8" w:space="0" w:color="auto"/>
            </w:tcBorders>
            <w:shd w:val="clear" w:color="auto" w:fill="auto"/>
            <w:vAlign w:val="center"/>
            <w:hideMark/>
          </w:tcPr>
          <w:p w14:paraId="02E8FCED"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site</w:t>
            </w:r>
          </w:p>
        </w:tc>
        <w:tc>
          <w:tcPr>
            <w:tcW w:w="392"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F3BCC57"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0.750</w:t>
            </w:r>
          </w:p>
        </w:tc>
        <w:tc>
          <w:tcPr>
            <w:tcW w:w="356" w:type="pct"/>
            <w:tcBorders>
              <w:top w:val="single" w:sz="4" w:space="0" w:color="auto"/>
              <w:left w:val="nil"/>
              <w:bottom w:val="single" w:sz="8" w:space="0" w:color="auto"/>
              <w:right w:val="single" w:sz="4" w:space="0" w:color="auto"/>
            </w:tcBorders>
            <w:shd w:val="clear" w:color="auto" w:fill="auto"/>
            <w:noWrap/>
            <w:vAlign w:val="center"/>
            <w:hideMark/>
          </w:tcPr>
          <w:p w14:paraId="741B00F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1.500</w:t>
            </w:r>
          </w:p>
        </w:tc>
        <w:tc>
          <w:tcPr>
            <w:tcW w:w="285" w:type="pct"/>
            <w:tcBorders>
              <w:top w:val="single" w:sz="4" w:space="0" w:color="auto"/>
              <w:left w:val="nil"/>
              <w:bottom w:val="single" w:sz="8" w:space="0" w:color="auto"/>
              <w:right w:val="single" w:sz="4" w:space="0" w:color="auto"/>
            </w:tcBorders>
            <w:shd w:val="clear" w:color="auto" w:fill="auto"/>
            <w:noWrap/>
            <w:vAlign w:val="center"/>
            <w:hideMark/>
          </w:tcPr>
          <w:p w14:paraId="4B001E8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0.750</w:t>
            </w:r>
          </w:p>
        </w:tc>
        <w:tc>
          <w:tcPr>
            <w:tcW w:w="357" w:type="pct"/>
            <w:tcBorders>
              <w:top w:val="single" w:sz="4" w:space="0" w:color="auto"/>
              <w:left w:val="nil"/>
              <w:bottom w:val="single" w:sz="8" w:space="0" w:color="auto"/>
              <w:right w:val="single" w:sz="8" w:space="0" w:color="auto"/>
            </w:tcBorders>
            <w:shd w:val="clear" w:color="auto" w:fill="auto"/>
            <w:noWrap/>
            <w:vAlign w:val="center"/>
            <w:hideMark/>
          </w:tcPr>
          <w:p w14:paraId="5E9F059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3.000</w:t>
            </w:r>
          </w:p>
        </w:tc>
        <w:tc>
          <w:tcPr>
            <w:tcW w:w="213"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5A56930"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3</w:t>
            </w:r>
          </w:p>
        </w:tc>
        <w:tc>
          <w:tcPr>
            <w:tcW w:w="643" w:type="pct"/>
            <w:tcBorders>
              <w:top w:val="single" w:sz="4" w:space="0" w:color="auto"/>
              <w:left w:val="nil"/>
              <w:bottom w:val="single" w:sz="8" w:space="0" w:color="auto"/>
              <w:right w:val="single" w:sz="4" w:space="0" w:color="auto"/>
            </w:tcBorders>
            <w:shd w:val="clear" w:color="auto" w:fill="auto"/>
            <w:vAlign w:val="center"/>
            <w:hideMark/>
          </w:tcPr>
          <w:p w14:paraId="05C1244B" w14:textId="77777777" w:rsidR="00644DFC" w:rsidRPr="00644DFC" w:rsidRDefault="00644DFC" w:rsidP="00644DFC">
            <w:pP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Recordkeeping</w:t>
            </w:r>
          </w:p>
        </w:tc>
        <w:tc>
          <w:tcPr>
            <w:tcW w:w="384"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D99FA28"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0.750</w:t>
            </w:r>
          </w:p>
        </w:tc>
        <w:tc>
          <w:tcPr>
            <w:tcW w:w="397" w:type="pct"/>
            <w:tcBorders>
              <w:top w:val="single" w:sz="4" w:space="0" w:color="auto"/>
              <w:left w:val="nil"/>
              <w:bottom w:val="single" w:sz="8" w:space="0" w:color="auto"/>
              <w:right w:val="single" w:sz="4" w:space="0" w:color="auto"/>
            </w:tcBorders>
            <w:shd w:val="clear" w:color="auto" w:fill="auto"/>
            <w:noWrap/>
            <w:vAlign w:val="center"/>
            <w:hideMark/>
          </w:tcPr>
          <w:p w14:paraId="771EB11C"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1.500</w:t>
            </w:r>
          </w:p>
        </w:tc>
        <w:tc>
          <w:tcPr>
            <w:tcW w:w="320" w:type="pct"/>
            <w:tcBorders>
              <w:top w:val="single" w:sz="4" w:space="0" w:color="auto"/>
              <w:left w:val="nil"/>
              <w:bottom w:val="single" w:sz="8" w:space="0" w:color="auto"/>
              <w:right w:val="single" w:sz="4" w:space="0" w:color="auto"/>
            </w:tcBorders>
            <w:shd w:val="clear" w:color="auto" w:fill="auto"/>
            <w:noWrap/>
            <w:vAlign w:val="center"/>
            <w:hideMark/>
          </w:tcPr>
          <w:p w14:paraId="6F7D848B"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0.750</w:t>
            </w:r>
          </w:p>
        </w:tc>
        <w:tc>
          <w:tcPr>
            <w:tcW w:w="373" w:type="pct"/>
            <w:tcBorders>
              <w:top w:val="single" w:sz="4" w:space="0" w:color="auto"/>
              <w:left w:val="nil"/>
              <w:bottom w:val="single" w:sz="8" w:space="0" w:color="auto"/>
              <w:right w:val="single" w:sz="8" w:space="0" w:color="auto"/>
            </w:tcBorders>
            <w:shd w:val="clear" w:color="auto" w:fill="auto"/>
            <w:noWrap/>
            <w:vAlign w:val="center"/>
            <w:hideMark/>
          </w:tcPr>
          <w:p w14:paraId="3D52AEA0"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3.000</w:t>
            </w:r>
          </w:p>
        </w:tc>
      </w:tr>
      <w:tr w:rsidR="00301D74" w:rsidRPr="00644DFC" w14:paraId="77A9626C" w14:textId="77777777" w:rsidTr="00D57AF8">
        <w:trPr>
          <w:cantSplit/>
          <w:trHeight w:val="300"/>
        </w:trPr>
        <w:tc>
          <w:tcPr>
            <w:tcW w:w="5000" w:type="pct"/>
            <w:gridSpan w:val="13"/>
            <w:tcBorders>
              <w:top w:val="single" w:sz="8" w:space="0" w:color="auto"/>
              <w:left w:val="single" w:sz="8" w:space="0" w:color="auto"/>
              <w:bottom w:val="single" w:sz="8" w:space="0" w:color="auto"/>
              <w:right w:val="single" w:sz="8" w:space="0" w:color="auto"/>
            </w:tcBorders>
            <w:shd w:val="clear" w:color="auto" w:fill="D9D9D9"/>
            <w:noWrap/>
            <w:vAlign w:val="bottom"/>
            <w:hideMark/>
          </w:tcPr>
          <w:p w14:paraId="6ED83656" w14:textId="77777777" w:rsidR="00301D74" w:rsidRPr="00644DFC" w:rsidRDefault="00301D74" w:rsidP="00D57AF8">
            <w:pPr>
              <w:jc w:val="cente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Form Completion</w:t>
            </w:r>
          </w:p>
        </w:tc>
      </w:tr>
      <w:tr w:rsidR="00301D74" w:rsidRPr="00621CBC" w14:paraId="66ADFA97" w14:textId="77777777" w:rsidTr="00D57AF8">
        <w:trPr>
          <w:cantSplit/>
          <w:trHeight w:val="290"/>
        </w:trPr>
        <w:tc>
          <w:tcPr>
            <w:tcW w:w="5000" w:type="pct"/>
            <w:gridSpan w:val="13"/>
            <w:tcBorders>
              <w:top w:val="single" w:sz="8" w:space="0" w:color="auto"/>
              <w:left w:val="single" w:sz="8" w:space="0" w:color="auto"/>
              <w:bottom w:val="single" w:sz="8" w:space="0" w:color="auto"/>
              <w:right w:val="single" w:sz="8" w:space="0" w:color="auto"/>
            </w:tcBorders>
            <w:shd w:val="clear" w:color="auto" w:fill="D9D9D9"/>
            <w:noWrap/>
            <w:vAlign w:val="bottom"/>
            <w:hideMark/>
          </w:tcPr>
          <w:p w14:paraId="3831B9B4" w14:textId="77777777" w:rsidR="00301D74" w:rsidRPr="00044368" w:rsidRDefault="00301D74" w:rsidP="00D57AF8">
            <w:pPr>
              <w:jc w:val="center"/>
              <w:rPr>
                <w:rFonts w:ascii="Arial Narrow" w:eastAsia="Times New Roman" w:hAnsi="Arial Narrow" w:cs="Calibri"/>
                <w:color w:val="000000"/>
                <w:sz w:val="16"/>
                <w:szCs w:val="16"/>
                <w:lang w:val="fr-FR"/>
              </w:rPr>
            </w:pPr>
            <w:r w:rsidRPr="00044368">
              <w:rPr>
                <w:rFonts w:ascii="Arial Narrow" w:eastAsia="Times New Roman" w:hAnsi="Arial Narrow" w:cs="Calibri"/>
                <w:b/>
                <w:bCs/>
                <w:i/>
                <w:iCs/>
                <w:color w:val="000000"/>
                <w:sz w:val="16"/>
                <w:szCs w:val="16"/>
                <w:lang w:val="fr-FR"/>
              </w:rPr>
              <w:t>Part I. Site Identification Information</w:t>
            </w:r>
          </w:p>
        </w:tc>
      </w:tr>
      <w:tr w:rsidR="00644DFC" w:rsidRPr="00644DFC" w14:paraId="6C628F2E" w14:textId="77777777" w:rsidTr="00301D74">
        <w:trPr>
          <w:cantSplit/>
          <w:trHeight w:val="290"/>
        </w:trPr>
        <w:tc>
          <w:tcPr>
            <w:tcW w:w="212"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B7368A5"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4</w:t>
            </w:r>
          </w:p>
        </w:tc>
        <w:tc>
          <w:tcPr>
            <w:tcW w:w="641" w:type="pct"/>
            <w:tcBorders>
              <w:top w:val="single" w:sz="8" w:space="0" w:color="auto"/>
              <w:left w:val="nil"/>
              <w:bottom w:val="single" w:sz="4" w:space="0" w:color="auto"/>
              <w:right w:val="single" w:sz="4" w:space="0" w:color="auto"/>
            </w:tcBorders>
            <w:shd w:val="clear" w:color="auto" w:fill="auto"/>
            <w:vAlign w:val="center"/>
            <w:hideMark/>
          </w:tcPr>
          <w:p w14:paraId="55824A19"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Certification</w:t>
            </w:r>
          </w:p>
        </w:tc>
        <w:tc>
          <w:tcPr>
            <w:tcW w:w="427" w:type="pct"/>
            <w:tcBorders>
              <w:top w:val="single" w:sz="8" w:space="0" w:color="auto"/>
              <w:left w:val="nil"/>
              <w:bottom w:val="single" w:sz="4" w:space="0" w:color="auto"/>
              <w:right w:val="single" w:sz="8" w:space="0" w:color="auto"/>
            </w:tcBorders>
            <w:shd w:val="clear" w:color="auto" w:fill="auto"/>
            <w:vAlign w:val="center"/>
            <w:hideMark/>
          </w:tcPr>
          <w:p w14:paraId="026177DA"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site</w:t>
            </w:r>
          </w:p>
        </w:tc>
        <w:tc>
          <w:tcPr>
            <w:tcW w:w="39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03FA6B5"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1.010</w:t>
            </w:r>
          </w:p>
        </w:tc>
        <w:tc>
          <w:tcPr>
            <w:tcW w:w="356" w:type="pct"/>
            <w:tcBorders>
              <w:top w:val="single" w:sz="8" w:space="0" w:color="auto"/>
              <w:left w:val="nil"/>
              <w:bottom w:val="single" w:sz="4" w:space="0" w:color="auto"/>
              <w:right w:val="single" w:sz="4" w:space="0" w:color="auto"/>
            </w:tcBorders>
            <w:shd w:val="clear" w:color="auto" w:fill="auto"/>
            <w:noWrap/>
            <w:vAlign w:val="center"/>
            <w:hideMark/>
          </w:tcPr>
          <w:p w14:paraId="54EB56A8"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0.850</w:t>
            </w:r>
          </w:p>
        </w:tc>
        <w:tc>
          <w:tcPr>
            <w:tcW w:w="285" w:type="pct"/>
            <w:tcBorders>
              <w:top w:val="single" w:sz="8" w:space="0" w:color="auto"/>
              <w:left w:val="nil"/>
              <w:bottom w:val="single" w:sz="4" w:space="0" w:color="auto"/>
              <w:right w:val="single" w:sz="4" w:space="0" w:color="auto"/>
            </w:tcBorders>
            <w:shd w:val="clear" w:color="auto" w:fill="auto"/>
            <w:noWrap/>
            <w:vAlign w:val="center"/>
            <w:hideMark/>
          </w:tcPr>
          <w:p w14:paraId="636840F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single" w:sz="8" w:space="0" w:color="auto"/>
              <w:left w:val="nil"/>
              <w:bottom w:val="single" w:sz="4" w:space="0" w:color="auto"/>
              <w:right w:val="single" w:sz="8" w:space="0" w:color="auto"/>
            </w:tcBorders>
            <w:shd w:val="clear" w:color="auto" w:fill="auto"/>
            <w:noWrap/>
            <w:vAlign w:val="center"/>
            <w:hideMark/>
          </w:tcPr>
          <w:p w14:paraId="3191776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1.860</w:t>
            </w:r>
          </w:p>
        </w:tc>
        <w:tc>
          <w:tcPr>
            <w:tcW w:w="213"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49EC0A6"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4</w:t>
            </w:r>
          </w:p>
        </w:tc>
        <w:tc>
          <w:tcPr>
            <w:tcW w:w="643" w:type="pct"/>
            <w:tcBorders>
              <w:top w:val="single" w:sz="8" w:space="0" w:color="auto"/>
              <w:left w:val="nil"/>
              <w:bottom w:val="single" w:sz="4" w:space="0" w:color="auto"/>
              <w:right w:val="single" w:sz="4" w:space="0" w:color="auto"/>
            </w:tcBorders>
            <w:shd w:val="clear" w:color="auto" w:fill="auto"/>
            <w:vAlign w:val="center"/>
            <w:hideMark/>
          </w:tcPr>
          <w:p w14:paraId="49518169"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Certification</w:t>
            </w:r>
          </w:p>
        </w:tc>
        <w:tc>
          <w:tcPr>
            <w:tcW w:w="384"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6DE829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1.010</w:t>
            </w:r>
          </w:p>
        </w:tc>
        <w:tc>
          <w:tcPr>
            <w:tcW w:w="397" w:type="pct"/>
            <w:tcBorders>
              <w:top w:val="single" w:sz="8" w:space="0" w:color="auto"/>
              <w:left w:val="nil"/>
              <w:bottom w:val="single" w:sz="4" w:space="0" w:color="auto"/>
              <w:right w:val="single" w:sz="4" w:space="0" w:color="auto"/>
            </w:tcBorders>
            <w:shd w:val="clear" w:color="auto" w:fill="auto"/>
            <w:noWrap/>
            <w:vAlign w:val="center"/>
            <w:hideMark/>
          </w:tcPr>
          <w:p w14:paraId="3143E452"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0.850</w:t>
            </w:r>
          </w:p>
        </w:tc>
        <w:tc>
          <w:tcPr>
            <w:tcW w:w="320" w:type="pct"/>
            <w:tcBorders>
              <w:top w:val="single" w:sz="8" w:space="0" w:color="auto"/>
              <w:left w:val="nil"/>
              <w:bottom w:val="single" w:sz="4" w:space="0" w:color="auto"/>
              <w:right w:val="single" w:sz="4" w:space="0" w:color="auto"/>
            </w:tcBorders>
            <w:shd w:val="clear" w:color="auto" w:fill="auto"/>
            <w:noWrap/>
            <w:vAlign w:val="center"/>
            <w:hideMark/>
          </w:tcPr>
          <w:p w14:paraId="149AE9FE"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single" w:sz="8" w:space="0" w:color="auto"/>
              <w:left w:val="nil"/>
              <w:bottom w:val="single" w:sz="4" w:space="0" w:color="auto"/>
              <w:right w:val="single" w:sz="8" w:space="0" w:color="auto"/>
            </w:tcBorders>
            <w:shd w:val="clear" w:color="auto" w:fill="auto"/>
            <w:noWrap/>
            <w:vAlign w:val="center"/>
            <w:hideMark/>
          </w:tcPr>
          <w:p w14:paraId="160F84B3"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1.860</w:t>
            </w:r>
          </w:p>
        </w:tc>
      </w:tr>
      <w:tr w:rsidR="00644DFC" w:rsidRPr="00644DFC" w14:paraId="18BACE28" w14:textId="77777777" w:rsidTr="00301D74">
        <w:trPr>
          <w:cantSplit/>
          <w:trHeight w:val="530"/>
        </w:trPr>
        <w:tc>
          <w:tcPr>
            <w:tcW w:w="212" w:type="pct"/>
            <w:tcBorders>
              <w:top w:val="nil"/>
              <w:left w:val="single" w:sz="8" w:space="0" w:color="auto"/>
              <w:bottom w:val="single" w:sz="4" w:space="0" w:color="auto"/>
              <w:right w:val="single" w:sz="8" w:space="0" w:color="auto"/>
            </w:tcBorders>
            <w:shd w:val="clear" w:color="auto" w:fill="auto"/>
            <w:noWrap/>
            <w:vAlign w:val="center"/>
            <w:hideMark/>
          </w:tcPr>
          <w:p w14:paraId="1C1BD4D8" w14:textId="77777777" w:rsidR="00644DFC" w:rsidRPr="001D747A" w:rsidRDefault="00644DFC" w:rsidP="00644DFC">
            <w:pPr>
              <w:jc w:val="center"/>
              <w:rPr>
                <w:rFonts w:ascii="Arial Narrow" w:eastAsia="Times New Roman" w:hAnsi="Arial Narrow" w:cs="Calibri"/>
                <w:color w:val="000000"/>
                <w:sz w:val="16"/>
                <w:szCs w:val="16"/>
                <w:vertAlign w:val="superscript"/>
              </w:rPr>
            </w:pPr>
            <w:r w:rsidRPr="00644DFC">
              <w:rPr>
                <w:rFonts w:ascii="Arial Narrow" w:eastAsia="Times New Roman" w:hAnsi="Arial Narrow" w:cs="Calibri"/>
                <w:color w:val="000000"/>
                <w:sz w:val="16"/>
                <w:szCs w:val="16"/>
              </w:rPr>
              <w:t>5</w:t>
            </w:r>
            <w:r w:rsidR="000342CD">
              <w:rPr>
                <w:rFonts w:ascii="Arial Narrow" w:eastAsia="Times New Roman" w:hAnsi="Arial Narrow" w:cs="Calibri"/>
                <w:color w:val="000000"/>
                <w:sz w:val="16"/>
                <w:szCs w:val="16"/>
                <w:vertAlign w:val="superscript"/>
              </w:rPr>
              <w:t>2</w:t>
            </w:r>
          </w:p>
        </w:tc>
        <w:tc>
          <w:tcPr>
            <w:tcW w:w="641" w:type="pct"/>
            <w:tcBorders>
              <w:top w:val="nil"/>
              <w:left w:val="nil"/>
              <w:bottom w:val="single" w:sz="4" w:space="0" w:color="auto"/>
              <w:right w:val="single" w:sz="4" w:space="0" w:color="auto"/>
            </w:tcBorders>
            <w:shd w:val="clear" w:color="auto" w:fill="auto"/>
            <w:vAlign w:val="center"/>
            <w:hideMark/>
          </w:tcPr>
          <w:p w14:paraId="72C12321"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Company Information (Company Name, Technical Contact, Address, D&amp;B Number, Mailing Address)</w:t>
            </w:r>
          </w:p>
        </w:tc>
        <w:tc>
          <w:tcPr>
            <w:tcW w:w="427" w:type="pct"/>
            <w:tcBorders>
              <w:top w:val="nil"/>
              <w:left w:val="nil"/>
              <w:bottom w:val="single" w:sz="4" w:space="0" w:color="auto"/>
              <w:right w:val="single" w:sz="8" w:space="0" w:color="auto"/>
            </w:tcBorders>
            <w:shd w:val="clear" w:color="auto" w:fill="auto"/>
            <w:vAlign w:val="center"/>
            <w:hideMark/>
          </w:tcPr>
          <w:p w14:paraId="766D9FD2"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site</w:t>
            </w:r>
          </w:p>
        </w:tc>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66993EC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0.004</w:t>
            </w:r>
          </w:p>
        </w:tc>
        <w:tc>
          <w:tcPr>
            <w:tcW w:w="356" w:type="pct"/>
            <w:tcBorders>
              <w:top w:val="nil"/>
              <w:left w:val="nil"/>
              <w:bottom w:val="single" w:sz="4" w:space="0" w:color="auto"/>
              <w:right w:val="single" w:sz="4" w:space="0" w:color="auto"/>
            </w:tcBorders>
            <w:shd w:val="clear" w:color="auto" w:fill="auto"/>
            <w:noWrap/>
            <w:vAlign w:val="center"/>
            <w:hideMark/>
          </w:tcPr>
          <w:p w14:paraId="200A9CD5"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0.010</w:t>
            </w:r>
          </w:p>
        </w:tc>
        <w:tc>
          <w:tcPr>
            <w:tcW w:w="285" w:type="pct"/>
            <w:tcBorders>
              <w:top w:val="nil"/>
              <w:left w:val="nil"/>
              <w:bottom w:val="single" w:sz="4" w:space="0" w:color="auto"/>
              <w:right w:val="single" w:sz="4" w:space="0" w:color="auto"/>
            </w:tcBorders>
            <w:shd w:val="clear" w:color="auto" w:fill="auto"/>
            <w:noWrap/>
            <w:vAlign w:val="center"/>
            <w:hideMark/>
          </w:tcPr>
          <w:p w14:paraId="522F5BD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hideMark/>
          </w:tcPr>
          <w:p w14:paraId="7DE407DF"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0.014</w:t>
            </w:r>
          </w:p>
        </w:tc>
        <w:tc>
          <w:tcPr>
            <w:tcW w:w="213" w:type="pct"/>
            <w:tcBorders>
              <w:top w:val="nil"/>
              <w:left w:val="single" w:sz="8" w:space="0" w:color="auto"/>
              <w:bottom w:val="single" w:sz="4" w:space="0" w:color="auto"/>
              <w:right w:val="single" w:sz="8" w:space="0" w:color="auto"/>
            </w:tcBorders>
            <w:shd w:val="clear" w:color="auto" w:fill="auto"/>
            <w:noWrap/>
            <w:vAlign w:val="center"/>
            <w:hideMark/>
          </w:tcPr>
          <w:p w14:paraId="300EE701" w14:textId="77777777" w:rsidR="00644DFC" w:rsidRPr="00644DFC" w:rsidRDefault="002338C7"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5</w:t>
            </w:r>
            <w:r w:rsidR="000342CD">
              <w:rPr>
                <w:rFonts w:ascii="Arial Narrow" w:eastAsia="Times New Roman" w:hAnsi="Arial Narrow" w:cs="Calibri"/>
                <w:color w:val="000000"/>
                <w:sz w:val="16"/>
                <w:szCs w:val="16"/>
                <w:vertAlign w:val="superscript"/>
              </w:rPr>
              <w:t>2</w:t>
            </w:r>
          </w:p>
        </w:tc>
        <w:tc>
          <w:tcPr>
            <w:tcW w:w="643" w:type="pct"/>
            <w:tcBorders>
              <w:top w:val="nil"/>
              <w:left w:val="nil"/>
              <w:bottom w:val="single" w:sz="4" w:space="0" w:color="auto"/>
              <w:right w:val="single" w:sz="4" w:space="0" w:color="auto"/>
            </w:tcBorders>
            <w:shd w:val="clear" w:color="auto" w:fill="auto"/>
            <w:vAlign w:val="center"/>
            <w:hideMark/>
          </w:tcPr>
          <w:p w14:paraId="46C0E7E8"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Parent Company Information (Company Name, Address, D&amp;B Number, Mailing Address)</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718D8140"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0.002</w:t>
            </w:r>
          </w:p>
        </w:tc>
        <w:tc>
          <w:tcPr>
            <w:tcW w:w="397" w:type="pct"/>
            <w:tcBorders>
              <w:top w:val="nil"/>
              <w:left w:val="nil"/>
              <w:bottom w:val="single" w:sz="4" w:space="0" w:color="auto"/>
              <w:right w:val="single" w:sz="4" w:space="0" w:color="auto"/>
            </w:tcBorders>
            <w:shd w:val="clear" w:color="auto" w:fill="auto"/>
            <w:noWrap/>
            <w:vAlign w:val="center"/>
            <w:hideMark/>
          </w:tcPr>
          <w:p w14:paraId="5CA46983"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0.006</w:t>
            </w:r>
          </w:p>
        </w:tc>
        <w:tc>
          <w:tcPr>
            <w:tcW w:w="320" w:type="pct"/>
            <w:tcBorders>
              <w:top w:val="nil"/>
              <w:left w:val="nil"/>
              <w:bottom w:val="single" w:sz="4" w:space="0" w:color="auto"/>
              <w:right w:val="single" w:sz="4" w:space="0" w:color="auto"/>
            </w:tcBorders>
            <w:shd w:val="clear" w:color="auto" w:fill="auto"/>
            <w:noWrap/>
            <w:vAlign w:val="center"/>
            <w:hideMark/>
          </w:tcPr>
          <w:p w14:paraId="2A70AAC5"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hideMark/>
          </w:tcPr>
          <w:p w14:paraId="3F541BC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0.008</w:t>
            </w:r>
          </w:p>
        </w:tc>
      </w:tr>
      <w:tr w:rsidR="00644DFC" w:rsidRPr="00644DFC" w14:paraId="3D1EBC2C" w14:textId="77777777" w:rsidTr="00301D74">
        <w:trPr>
          <w:cantSplit/>
          <w:trHeight w:val="530"/>
        </w:trPr>
        <w:tc>
          <w:tcPr>
            <w:tcW w:w="212" w:type="pct"/>
            <w:tcBorders>
              <w:top w:val="nil"/>
              <w:left w:val="single" w:sz="8" w:space="0" w:color="auto"/>
              <w:bottom w:val="single" w:sz="4" w:space="0" w:color="auto"/>
              <w:right w:val="single" w:sz="8" w:space="0" w:color="auto"/>
            </w:tcBorders>
            <w:shd w:val="clear" w:color="auto" w:fill="auto"/>
            <w:noWrap/>
            <w:vAlign w:val="center"/>
            <w:hideMark/>
          </w:tcPr>
          <w:p w14:paraId="518389BB"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6</w:t>
            </w:r>
          </w:p>
        </w:tc>
        <w:tc>
          <w:tcPr>
            <w:tcW w:w="641" w:type="pct"/>
            <w:tcBorders>
              <w:top w:val="nil"/>
              <w:left w:val="nil"/>
              <w:bottom w:val="single" w:sz="4" w:space="0" w:color="auto"/>
              <w:right w:val="single" w:sz="4" w:space="0" w:color="auto"/>
            </w:tcBorders>
            <w:shd w:val="clear" w:color="auto" w:fill="auto"/>
            <w:vAlign w:val="center"/>
            <w:hideMark/>
          </w:tcPr>
          <w:p w14:paraId="3E47A36D"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Plant Site Identification (Plant Name, D&amp;B Number, Address, Mailing Address)</w:t>
            </w:r>
          </w:p>
        </w:tc>
        <w:tc>
          <w:tcPr>
            <w:tcW w:w="427" w:type="pct"/>
            <w:tcBorders>
              <w:top w:val="nil"/>
              <w:left w:val="nil"/>
              <w:bottom w:val="single" w:sz="4" w:space="0" w:color="auto"/>
              <w:right w:val="single" w:sz="8" w:space="0" w:color="auto"/>
            </w:tcBorders>
            <w:shd w:val="clear" w:color="auto" w:fill="auto"/>
            <w:vAlign w:val="center"/>
            <w:hideMark/>
          </w:tcPr>
          <w:p w14:paraId="5D5553EE"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site</w:t>
            </w:r>
          </w:p>
        </w:tc>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2D81A84E"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0.004</w:t>
            </w:r>
          </w:p>
        </w:tc>
        <w:tc>
          <w:tcPr>
            <w:tcW w:w="356" w:type="pct"/>
            <w:tcBorders>
              <w:top w:val="nil"/>
              <w:left w:val="nil"/>
              <w:bottom w:val="single" w:sz="4" w:space="0" w:color="auto"/>
              <w:right w:val="single" w:sz="4" w:space="0" w:color="auto"/>
            </w:tcBorders>
            <w:shd w:val="clear" w:color="auto" w:fill="auto"/>
            <w:noWrap/>
            <w:vAlign w:val="center"/>
            <w:hideMark/>
          </w:tcPr>
          <w:p w14:paraId="62227FD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0.010</w:t>
            </w:r>
          </w:p>
        </w:tc>
        <w:tc>
          <w:tcPr>
            <w:tcW w:w="285" w:type="pct"/>
            <w:tcBorders>
              <w:top w:val="nil"/>
              <w:left w:val="nil"/>
              <w:bottom w:val="single" w:sz="4" w:space="0" w:color="auto"/>
              <w:right w:val="single" w:sz="4" w:space="0" w:color="auto"/>
            </w:tcBorders>
            <w:shd w:val="clear" w:color="auto" w:fill="auto"/>
            <w:noWrap/>
            <w:vAlign w:val="center"/>
            <w:hideMark/>
          </w:tcPr>
          <w:p w14:paraId="608E59B4"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hideMark/>
          </w:tcPr>
          <w:p w14:paraId="501433FE"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0.014</w:t>
            </w:r>
          </w:p>
        </w:tc>
        <w:tc>
          <w:tcPr>
            <w:tcW w:w="213" w:type="pct"/>
            <w:tcBorders>
              <w:top w:val="nil"/>
              <w:left w:val="single" w:sz="8" w:space="0" w:color="auto"/>
              <w:bottom w:val="single" w:sz="4" w:space="0" w:color="auto"/>
              <w:right w:val="single" w:sz="8" w:space="0" w:color="auto"/>
            </w:tcBorders>
            <w:shd w:val="clear" w:color="auto" w:fill="auto"/>
            <w:noWrap/>
            <w:vAlign w:val="center"/>
            <w:hideMark/>
          </w:tcPr>
          <w:p w14:paraId="321B7CCD" w14:textId="77777777" w:rsidR="00644DFC" w:rsidRPr="00644DFC" w:rsidRDefault="00644DFC" w:rsidP="00644DFC">
            <w:pPr>
              <w:jc w:val="center"/>
              <w:rPr>
                <w:rFonts w:ascii="Calibri" w:eastAsia="Times New Roman" w:hAnsi="Calibri" w:cs="Calibri"/>
                <w:color w:val="000000"/>
                <w:sz w:val="16"/>
                <w:szCs w:val="16"/>
              </w:rPr>
            </w:pPr>
            <w:r w:rsidRPr="00644DFC">
              <w:rPr>
                <w:rFonts w:ascii="Calibri" w:eastAsia="Times New Roman" w:hAnsi="Calibri" w:cs="Calibri"/>
                <w:color w:val="000000"/>
                <w:sz w:val="16"/>
                <w:szCs w:val="16"/>
              </w:rPr>
              <w:t>6</w:t>
            </w:r>
          </w:p>
        </w:tc>
        <w:tc>
          <w:tcPr>
            <w:tcW w:w="643" w:type="pct"/>
            <w:tcBorders>
              <w:top w:val="nil"/>
              <w:left w:val="nil"/>
              <w:bottom w:val="single" w:sz="4" w:space="0" w:color="auto"/>
              <w:right w:val="single" w:sz="4" w:space="0" w:color="auto"/>
            </w:tcBorders>
            <w:shd w:val="clear" w:color="auto" w:fill="auto"/>
            <w:vAlign w:val="center"/>
            <w:hideMark/>
          </w:tcPr>
          <w:p w14:paraId="638FA308"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Site Identification (Site Name, D&amp;B Number, Address, Mailing Address)</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186E4C97"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0.004</w:t>
            </w:r>
          </w:p>
        </w:tc>
        <w:tc>
          <w:tcPr>
            <w:tcW w:w="397" w:type="pct"/>
            <w:tcBorders>
              <w:top w:val="nil"/>
              <w:left w:val="nil"/>
              <w:bottom w:val="single" w:sz="4" w:space="0" w:color="auto"/>
              <w:right w:val="single" w:sz="4" w:space="0" w:color="auto"/>
            </w:tcBorders>
            <w:shd w:val="clear" w:color="auto" w:fill="auto"/>
            <w:noWrap/>
            <w:vAlign w:val="center"/>
            <w:hideMark/>
          </w:tcPr>
          <w:p w14:paraId="5A7CF8CC"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0.010</w:t>
            </w:r>
          </w:p>
        </w:tc>
        <w:tc>
          <w:tcPr>
            <w:tcW w:w="320" w:type="pct"/>
            <w:tcBorders>
              <w:top w:val="nil"/>
              <w:left w:val="nil"/>
              <w:bottom w:val="single" w:sz="4" w:space="0" w:color="auto"/>
              <w:right w:val="single" w:sz="4" w:space="0" w:color="auto"/>
            </w:tcBorders>
            <w:shd w:val="clear" w:color="auto" w:fill="auto"/>
            <w:noWrap/>
            <w:vAlign w:val="center"/>
            <w:hideMark/>
          </w:tcPr>
          <w:p w14:paraId="07618FF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hideMark/>
          </w:tcPr>
          <w:p w14:paraId="44DBBE42"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0.014</w:t>
            </w:r>
          </w:p>
        </w:tc>
      </w:tr>
      <w:tr w:rsidR="00644DFC" w:rsidRPr="00644DFC" w14:paraId="5BF8675F" w14:textId="77777777" w:rsidTr="00301D74">
        <w:trPr>
          <w:cantSplit/>
          <w:trHeight w:val="300"/>
        </w:trPr>
        <w:tc>
          <w:tcPr>
            <w:tcW w:w="212"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5F25C7CA" w14:textId="77777777" w:rsidR="00644DFC" w:rsidRPr="00644DFC" w:rsidRDefault="00644DFC" w:rsidP="00644DFC">
            <w:pPr>
              <w:jc w:val="center"/>
              <w:rPr>
                <w:rFonts w:ascii="Arial Narrow" w:eastAsia="Times New Roman" w:hAnsi="Arial Narrow" w:cs="Calibri"/>
                <w:color w:val="000000"/>
                <w:sz w:val="16"/>
                <w:szCs w:val="16"/>
              </w:rPr>
            </w:pPr>
          </w:p>
        </w:tc>
        <w:tc>
          <w:tcPr>
            <w:tcW w:w="641" w:type="pct"/>
            <w:tcBorders>
              <w:top w:val="single" w:sz="8" w:space="0" w:color="auto"/>
              <w:left w:val="nil"/>
              <w:bottom w:val="single" w:sz="8" w:space="0" w:color="auto"/>
              <w:right w:val="single" w:sz="4" w:space="0" w:color="auto"/>
            </w:tcBorders>
            <w:shd w:val="clear" w:color="auto" w:fill="D9D9D9"/>
            <w:vAlign w:val="center"/>
            <w:hideMark/>
          </w:tcPr>
          <w:p w14:paraId="476E6820" w14:textId="77777777" w:rsidR="00644DFC" w:rsidRPr="00644DFC" w:rsidRDefault="00644DFC" w:rsidP="00644DFC">
            <w:pP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Subtotal, Part I</w:t>
            </w:r>
          </w:p>
        </w:tc>
        <w:tc>
          <w:tcPr>
            <w:tcW w:w="427" w:type="pct"/>
            <w:tcBorders>
              <w:top w:val="single" w:sz="8" w:space="0" w:color="auto"/>
              <w:left w:val="nil"/>
              <w:bottom w:val="single" w:sz="8" w:space="0" w:color="auto"/>
              <w:right w:val="single" w:sz="8" w:space="0" w:color="auto"/>
            </w:tcBorders>
            <w:shd w:val="clear" w:color="auto" w:fill="D9D9D9"/>
            <w:vAlign w:val="center"/>
          </w:tcPr>
          <w:p w14:paraId="719D61FF" w14:textId="77777777" w:rsidR="00644DFC" w:rsidRPr="00644DFC" w:rsidRDefault="00644DFC" w:rsidP="00644DFC">
            <w:pPr>
              <w:jc w:val="center"/>
              <w:rPr>
                <w:rFonts w:ascii="Arial Narrow" w:eastAsia="Times New Roman" w:hAnsi="Arial Narrow" w:cs="Calibri"/>
                <w:b/>
                <w:bCs/>
                <w:color w:val="000000"/>
                <w:sz w:val="16"/>
                <w:szCs w:val="16"/>
              </w:rPr>
            </w:pPr>
          </w:p>
        </w:tc>
        <w:tc>
          <w:tcPr>
            <w:tcW w:w="392" w:type="pct"/>
            <w:tcBorders>
              <w:top w:val="single" w:sz="8" w:space="0" w:color="auto"/>
              <w:left w:val="nil"/>
              <w:bottom w:val="single" w:sz="8" w:space="0" w:color="auto"/>
              <w:right w:val="single" w:sz="4" w:space="0" w:color="auto"/>
            </w:tcBorders>
            <w:shd w:val="clear" w:color="auto" w:fill="D9D9D9"/>
            <w:noWrap/>
            <w:vAlign w:val="center"/>
          </w:tcPr>
          <w:p w14:paraId="3DC573B1" w14:textId="77777777" w:rsidR="00644DFC" w:rsidRPr="00644DFC" w:rsidRDefault="00644DFC" w:rsidP="00644DFC">
            <w:pPr>
              <w:ind w:right="101"/>
              <w:jc w:val="right"/>
              <w:rPr>
                <w:rFonts w:ascii="Arial Narrow" w:eastAsia="Times New Roman" w:hAnsi="Arial Narrow" w:cs="Calibri"/>
                <w:b/>
                <w:bCs/>
                <w:color w:val="000000"/>
                <w:sz w:val="16"/>
                <w:szCs w:val="16"/>
              </w:rPr>
            </w:pPr>
          </w:p>
        </w:tc>
        <w:tc>
          <w:tcPr>
            <w:tcW w:w="356" w:type="pct"/>
            <w:tcBorders>
              <w:top w:val="single" w:sz="8" w:space="0" w:color="auto"/>
              <w:left w:val="nil"/>
              <w:bottom w:val="single" w:sz="8" w:space="0" w:color="auto"/>
              <w:right w:val="nil"/>
            </w:tcBorders>
            <w:shd w:val="clear" w:color="auto" w:fill="D9D9D9"/>
            <w:noWrap/>
            <w:vAlign w:val="center"/>
            <w:hideMark/>
          </w:tcPr>
          <w:p w14:paraId="5AF4111C"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 </w:t>
            </w:r>
          </w:p>
        </w:tc>
        <w:tc>
          <w:tcPr>
            <w:tcW w:w="285" w:type="pct"/>
            <w:tcBorders>
              <w:top w:val="single" w:sz="8" w:space="0" w:color="auto"/>
              <w:left w:val="single" w:sz="4" w:space="0" w:color="auto"/>
              <w:bottom w:val="single" w:sz="8" w:space="0" w:color="auto"/>
              <w:right w:val="nil"/>
            </w:tcBorders>
            <w:shd w:val="clear" w:color="auto" w:fill="D9D9D9"/>
            <w:noWrap/>
            <w:vAlign w:val="center"/>
            <w:hideMark/>
          </w:tcPr>
          <w:p w14:paraId="604147C5"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 </w:t>
            </w:r>
          </w:p>
        </w:tc>
        <w:tc>
          <w:tcPr>
            <w:tcW w:w="357" w:type="pct"/>
            <w:tcBorders>
              <w:top w:val="single" w:sz="8" w:space="0" w:color="auto"/>
              <w:left w:val="single" w:sz="4" w:space="0" w:color="auto"/>
              <w:bottom w:val="single" w:sz="8" w:space="0" w:color="auto"/>
              <w:right w:val="single" w:sz="8" w:space="0" w:color="auto"/>
            </w:tcBorders>
            <w:shd w:val="clear" w:color="auto" w:fill="D9D9D9"/>
            <w:noWrap/>
            <w:vAlign w:val="center"/>
            <w:hideMark/>
          </w:tcPr>
          <w:p w14:paraId="436B4049"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1.888</w:t>
            </w:r>
          </w:p>
        </w:tc>
        <w:tc>
          <w:tcPr>
            <w:tcW w:w="213"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048E03B2" w14:textId="77777777" w:rsidR="00644DFC" w:rsidRPr="00644DFC" w:rsidRDefault="00644DFC" w:rsidP="00644DFC">
            <w:pPr>
              <w:jc w:val="center"/>
              <w:rPr>
                <w:rFonts w:ascii="Arial Narrow" w:eastAsia="Times New Roman" w:hAnsi="Arial Narrow" w:cs="Calibri"/>
                <w:color w:val="000000"/>
                <w:sz w:val="16"/>
                <w:szCs w:val="16"/>
              </w:rPr>
            </w:pPr>
          </w:p>
        </w:tc>
        <w:tc>
          <w:tcPr>
            <w:tcW w:w="643" w:type="pct"/>
            <w:tcBorders>
              <w:top w:val="single" w:sz="8" w:space="0" w:color="auto"/>
              <w:left w:val="nil"/>
              <w:bottom w:val="single" w:sz="8" w:space="0" w:color="auto"/>
              <w:right w:val="single" w:sz="4" w:space="0" w:color="auto"/>
            </w:tcBorders>
            <w:shd w:val="clear" w:color="auto" w:fill="D9D9D9"/>
            <w:vAlign w:val="center"/>
            <w:hideMark/>
          </w:tcPr>
          <w:p w14:paraId="5730689A" w14:textId="77777777" w:rsidR="00644DFC" w:rsidRPr="00644DFC" w:rsidRDefault="00644DFC" w:rsidP="00644DFC">
            <w:pP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Subtotal, Part I</w:t>
            </w:r>
          </w:p>
        </w:tc>
        <w:tc>
          <w:tcPr>
            <w:tcW w:w="384" w:type="pct"/>
            <w:tcBorders>
              <w:top w:val="single" w:sz="8" w:space="0" w:color="auto"/>
              <w:left w:val="nil"/>
              <w:bottom w:val="single" w:sz="8" w:space="0" w:color="auto"/>
              <w:right w:val="single" w:sz="4" w:space="0" w:color="auto"/>
            </w:tcBorders>
            <w:shd w:val="clear" w:color="auto" w:fill="D9D9D9"/>
            <w:noWrap/>
            <w:vAlign w:val="center"/>
            <w:hideMark/>
          </w:tcPr>
          <w:p w14:paraId="7729CAD6"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 </w:t>
            </w:r>
          </w:p>
        </w:tc>
        <w:tc>
          <w:tcPr>
            <w:tcW w:w="397" w:type="pct"/>
            <w:tcBorders>
              <w:top w:val="single" w:sz="8" w:space="0" w:color="auto"/>
              <w:left w:val="nil"/>
              <w:bottom w:val="single" w:sz="8" w:space="0" w:color="auto"/>
              <w:right w:val="nil"/>
            </w:tcBorders>
            <w:shd w:val="clear" w:color="auto" w:fill="D9D9D9"/>
            <w:noWrap/>
            <w:vAlign w:val="center"/>
            <w:hideMark/>
          </w:tcPr>
          <w:p w14:paraId="19576D5A"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 </w:t>
            </w:r>
          </w:p>
        </w:tc>
        <w:tc>
          <w:tcPr>
            <w:tcW w:w="320" w:type="pct"/>
            <w:tcBorders>
              <w:top w:val="single" w:sz="8" w:space="0" w:color="auto"/>
              <w:left w:val="single" w:sz="4" w:space="0" w:color="auto"/>
              <w:bottom w:val="single" w:sz="8" w:space="0" w:color="auto"/>
              <w:right w:val="nil"/>
            </w:tcBorders>
            <w:shd w:val="clear" w:color="auto" w:fill="D9D9D9"/>
            <w:noWrap/>
            <w:vAlign w:val="center"/>
            <w:hideMark/>
          </w:tcPr>
          <w:p w14:paraId="4A0AE80B"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 </w:t>
            </w:r>
          </w:p>
        </w:tc>
        <w:tc>
          <w:tcPr>
            <w:tcW w:w="373" w:type="pct"/>
            <w:tcBorders>
              <w:top w:val="single" w:sz="8" w:space="0" w:color="auto"/>
              <w:left w:val="single" w:sz="4" w:space="0" w:color="auto"/>
              <w:bottom w:val="single" w:sz="8" w:space="0" w:color="auto"/>
              <w:right w:val="single" w:sz="8" w:space="0" w:color="auto"/>
            </w:tcBorders>
            <w:shd w:val="clear" w:color="auto" w:fill="D9D9D9"/>
            <w:noWrap/>
            <w:vAlign w:val="center"/>
            <w:hideMark/>
          </w:tcPr>
          <w:p w14:paraId="1F74B960"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1.882</w:t>
            </w:r>
          </w:p>
        </w:tc>
      </w:tr>
      <w:tr w:rsidR="00644DFC" w:rsidRPr="00644DFC" w14:paraId="30274E14" w14:textId="77777777" w:rsidTr="00644DFC">
        <w:trPr>
          <w:cantSplit/>
          <w:trHeight w:val="290"/>
        </w:trPr>
        <w:tc>
          <w:tcPr>
            <w:tcW w:w="212" w:type="pct"/>
            <w:tcBorders>
              <w:top w:val="single" w:sz="8" w:space="0" w:color="auto"/>
              <w:left w:val="single" w:sz="8" w:space="0" w:color="auto"/>
              <w:bottom w:val="single" w:sz="8" w:space="0" w:color="auto"/>
              <w:right w:val="single" w:sz="8" w:space="0" w:color="auto"/>
            </w:tcBorders>
            <w:shd w:val="clear" w:color="auto" w:fill="808080"/>
            <w:noWrap/>
            <w:vAlign w:val="center"/>
            <w:hideMark/>
          </w:tcPr>
          <w:p w14:paraId="63A29CFF" w14:textId="77777777" w:rsidR="00644DFC" w:rsidRPr="00644DFC" w:rsidRDefault="00644DFC" w:rsidP="00644DFC">
            <w:pPr>
              <w:jc w:val="center"/>
              <w:rPr>
                <w:rFonts w:ascii="Arial Narrow" w:eastAsia="Times New Roman" w:hAnsi="Arial Narrow" w:cs="Calibri"/>
                <w:color w:val="000000"/>
                <w:sz w:val="16"/>
                <w:szCs w:val="16"/>
              </w:rPr>
            </w:pPr>
          </w:p>
        </w:tc>
        <w:tc>
          <w:tcPr>
            <w:tcW w:w="2458" w:type="pct"/>
            <w:gridSpan w:val="6"/>
            <w:tcBorders>
              <w:top w:val="single" w:sz="8" w:space="0" w:color="auto"/>
              <w:left w:val="nil"/>
              <w:bottom w:val="single" w:sz="8" w:space="0" w:color="auto"/>
              <w:right w:val="single" w:sz="8" w:space="0" w:color="auto"/>
            </w:tcBorders>
            <w:shd w:val="clear" w:color="auto" w:fill="808080"/>
            <w:vAlign w:val="center"/>
            <w:hideMark/>
          </w:tcPr>
          <w:p w14:paraId="706DDBA5" w14:textId="77777777" w:rsidR="00644DFC" w:rsidRPr="00644DFC" w:rsidRDefault="00644DFC" w:rsidP="00644DFC">
            <w:pPr>
              <w:ind w:right="101"/>
              <w:rPr>
                <w:rFonts w:ascii="Arial Narrow" w:eastAsia="Times New Roman" w:hAnsi="Arial Narrow" w:cs="Calibri"/>
                <w:color w:val="000000"/>
                <w:sz w:val="16"/>
                <w:szCs w:val="16"/>
              </w:rPr>
            </w:pPr>
          </w:p>
        </w:tc>
        <w:tc>
          <w:tcPr>
            <w:tcW w:w="213" w:type="pct"/>
            <w:tcBorders>
              <w:top w:val="single" w:sz="8" w:space="0" w:color="auto"/>
              <w:left w:val="single" w:sz="8" w:space="0" w:color="auto"/>
              <w:bottom w:val="single" w:sz="8" w:space="0" w:color="auto"/>
              <w:right w:val="single" w:sz="8" w:space="0" w:color="auto"/>
            </w:tcBorders>
            <w:shd w:val="clear" w:color="auto" w:fill="808080"/>
            <w:noWrap/>
            <w:vAlign w:val="center"/>
            <w:hideMark/>
          </w:tcPr>
          <w:p w14:paraId="41903031" w14:textId="77777777" w:rsidR="00644DFC" w:rsidRPr="00644DFC" w:rsidRDefault="00644DFC" w:rsidP="00644DFC">
            <w:pPr>
              <w:jc w:val="center"/>
              <w:rPr>
                <w:rFonts w:ascii="Arial Narrow" w:eastAsia="Times New Roman" w:hAnsi="Arial Narrow" w:cs="Calibri"/>
                <w:color w:val="000000"/>
                <w:sz w:val="16"/>
                <w:szCs w:val="16"/>
              </w:rPr>
            </w:pPr>
          </w:p>
        </w:tc>
        <w:tc>
          <w:tcPr>
            <w:tcW w:w="2117" w:type="pct"/>
            <w:gridSpan w:val="5"/>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5395AD54" w14:textId="77777777" w:rsidR="00644DFC" w:rsidRPr="00644DFC" w:rsidRDefault="00644DFC" w:rsidP="00644DFC">
            <w:pPr>
              <w:ind w:right="101"/>
              <w:rPr>
                <w:rFonts w:ascii="Arial Narrow" w:eastAsia="Times New Roman" w:hAnsi="Arial Narrow" w:cs="Calibri"/>
                <w:color w:val="000000"/>
                <w:sz w:val="16"/>
                <w:szCs w:val="16"/>
              </w:rPr>
            </w:pPr>
            <w:r w:rsidRPr="00644DFC">
              <w:rPr>
                <w:rFonts w:ascii="Arial Narrow" w:eastAsia="Times New Roman" w:hAnsi="Arial Narrow" w:cs="Calibri"/>
                <w:b/>
                <w:bCs/>
                <w:i/>
                <w:iCs/>
                <w:color w:val="000000"/>
                <w:sz w:val="16"/>
                <w:szCs w:val="16"/>
              </w:rPr>
              <w:t>Part I. Site Identification Information Chemical Report Level</w:t>
            </w:r>
          </w:p>
        </w:tc>
      </w:tr>
      <w:tr w:rsidR="00644DFC" w:rsidRPr="00644DFC" w14:paraId="3A9FAE4F" w14:textId="77777777" w:rsidTr="00301D74">
        <w:trPr>
          <w:cantSplit/>
          <w:trHeight w:val="290"/>
        </w:trPr>
        <w:tc>
          <w:tcPr>
            <w:tcW w:w="212" w:type="pct"/>
            <w:tcBorders>
              <w:top w:val="single" w:sz="8" w:space="0" w:color="auto"/>
              <w:left w:val="single" w:sz="8" w:space="0" w:color="auto"/>
              <w:bottom w:val="single" w:sz="8" w:space="0" w:color="auto"/>
              <w:right w:val="nil"/>
            </w:tcBorders>
            <w:shd w:val="clear" w:color="auto" w:fill="808080"/>
            <w:noWrap/>
            <w:vAlign w:val="center"/>
            <w:hideMark/>
          </w:tcPr>
          <w:p w14:paraId="6EEB1195" w14:textId="77777777" w:rsidR="00644DFC" w:rsidRPr="00644DFC" w:rsidRDefault="00644DFC" w:rsidP="00644DFC">
            <w:pPr>
              <w:ind w:firstLineChars="100" w:firstLine="160"/>
              <w:jc w:val="center"/>
              <w:rPr>
                <w:rFonts w:ascii="Arial Narrow" w:eastAsia="Times New Roman" w:hAnsi="Arial Narrow" w:cs="Calibri"/>
                <w:color w:val="000000"/>
                <w:sz w:val="16"/>
                <w:szCs w:val="16"/>
              </w:rPr>
            </w:pPr>
          </w:p>
        </w:tc>
        <w:tc>
          <w:tcPr>
            <w:tcW w:w="2458" w:type="pct"/>
            <w:gridSpan w:val="6"/>
            <w:tcBorders>
              <w:top w:val="single" w:sz="8" w:space="0" w:color="auto"/>
              <w:left w:val="nil"/>
              <w:bottom w:val="single" w:sz="8" w:space="0" w:color="auto"/>
              <w:right w:val="single" w:sz="8" w:space="0" w:color="auto"/>
            </w:tcBorders>
            <w:shd w:val="clear" w:color="auto" w:fill="808080"/>
            <w:noWrap/>
            <w:vAlign w:val="center"/>
            <w:hideMark/>
          </w:tcPr>
          <w:p w14:paraId="4B0E636F"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 </w:t>
            </w:r>
          </w:p>
        </w:tc>
        <w:tc>
          <w:tcPr>
            <w:tcW w:w="21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097F28"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7</w:t>
            </w:r>
            <w:r w:rsidR="000342CD">
              <w:rPr>
                <w:rFonts w:ascii="Arial Narrow" w:eastAsia="Times New Roman" w:hAnsi="Arial Narrow" w:cs="Calibri"/>
                <w:color w:val="000000"/>
                <w:sz w:val="16"/>
                <w:szCs w:val="16"/>
                <w:vertAlign w:val="superscript"/>
              </w:rPr>
              <w:t>2</w:t>
            </w:r>
          </w:p>
        </w:tc>
        <w:tc>
          <w:tcPr>
            <w:tcW w:w="643" w:type="pct"/>
            <w:tcBorders>
              <w:top w:val="single" w:sz="8" w:space="0" w:color="auto"/>
              <w:left w:val="nil"/>
              <w:bottom w:val="single" w:sz="8" w:space="0" w:color="auto"/>
              <w:right w:val="single" w:sz="4" w:space="0" w:color="auto"/>
            </w:tcBorders>
            <w:shd w:val="clear" w:color="auto" w:fill="auto"/>
            <w:vAlign w:val="center"/>
            <w:hideMark/>
          </w:tcPr>
          <w:p w14:paraId="415FCF3D"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Technical Contact</w:t>
            </w:r>
            <w:r w:rsidR="0089182E">
              <w:rPr>
                <w:rFonts w:ascii="Arial Narrow" w:eastAsia="Times New Roman" w:hAnsi="Arial Narrow" w:cs="Calibri"/>
                <w:color w:val="000000"/>
                <w:sz w:val="16"/>
                <w:szCs w:val="16"/>
              </w:rPr>
              <w:t xml:space="preserve"> Information (</w:t>
            </w:r>
            <w:r w:rsidR="0089182E" w:rsidRPr="00561A16">
              <w:rPr>
                <w:rFonts w:ascii="Arial Narrow" w:eastAsia="Times New Roman" w:hAnsi="Arial Narrow" w:cs="Calibri"/>
                <w:color w:val="000000"/>
                <w:sz w:val="16"/>
                <w:szCs w:val="16"/>
              </w:rPr>
              <w:t>Name, Phone, Mailing Address, Email, Country)</w:t>
            </w:r>
          </w:p>
        </w:tc>
        <w:tc>
          <w:tcPr>
            <w:tcW w:w="384" w:type="pct"/>
            <w:tcBorders>
              <w:top w:val="single" w:sz="8" w:space="0" w:color="auto"/>
              <w:left w:val="single" w:sz="4" w:space="0" w:color="auto"/>
              <w:bottom w:val="single" w:sz="8" w:space="0" w:color="auto"/>
              <w:right w:val="nil"/>
            </w:tcBorders>
            <w:shd w:val="clear" w:color="auto" w:fill="auto"/>
            <w:noWrap/>
            <w:vAlign w:val="center"/>
            <w:hideMark/>
          </w:tcPr>
          <w:p w14:paraId="139E295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0.002</w:t>
            </w:r>
          </w:p>
        </w:tc>
        <w:tc>
          <w:tcPr>
            <w:tcW w:w="397" w:type="pct"/>
            <w:tcBorders>
              <w:top w:val="single" w:sz="8" w:space="0" w:color="auto"/>
              <w:left w:val="single" w:sz="4" w:space="0" w:color="auto"/>
              <w:bottom w:val="single" w:sz="8" w:space="0" w:color="auto"/>
              <w:right w:val="nil"/>
            </w:tcBorders>
            <w:shd w:val="clear" w:color="auto" w:fill="auto"/>
            <w:noWrap/>
            <w:vAlign w:val="center"/>
            <w:hideMark/>
          </w:tcPr>
          <w:p w14:paraId="35A582DE"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0.004</w:t>
            </w:r>
          </w:p>
        </w:tc>
        <w:tc>
          <w:tcPr>
            <w:tcW w:w="320" w:type="pct"/>
            <w:tcBorders>
              <w:top w:val="single" w:sz="8" w:space="0" w:color="auto"/>
              <w:left w:val="single" w:sz="4" w:space="0" w:color="auto"/>
              <w:bottom w:val="single" w:sz="8" w:space="0" w:color="auto"/>
              <w:right w:val="nil"/>
            </w:tcBorders>
            <w:shd w:val="clear" w:color="auto" w:fill="auto"/>
            <w:noWrap/>
            <w:vAlign w:val="center"/>
            <w:hideMark/>
          </w:tcPr>
          <w:p w14:paraId="299A4D53"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F95385B"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0.006</w:t>
            </w:r>
          </w:p>
        </w:tc>
      </w:tr>
      <w:tr w:rsidR="00301D74" w:rsidRPr="00644DFC" w14:paraId="78ACBBAA" w14:textId="77777777" w:rsidTr="00D57AF8">
        <w:trPr>
          <w:cantSplit/>
          <w:trHeight w:val="290"/>
        </w:trPr>
        <w:tc>
          <w:tcPr>
            <w:tcW w:w="5000" w:type="pct"/>
            <w:gridSpan w:val="13"/>
            <w:tcBorders>
              <w:top w:val="single" w:sz="8" w:space="0" w:color="auto"/>
              <w:left w:val="single" w:sz="8" w:space="0" w:color="auto"/>
              <w:bottom w:val="single" w:sz="8" w:space="0" w:color="auto"/>
              <w:right w:val="single" w:sz="8" w:space="0" w:color="auto"/>
            </w:tcBorders>
            <w:shd w:val="clear" w:color="auto" w:fill="D9D9D9"/>
            <w:noWrap/>
            <w:vAlign w:val="bottom"/>
            <w:hideMark/>
          </w:tcPr>
          <w:p w14:paraId="1AEEEFD5" w14:textId="77777777" w:rsidR="00301D74" w:rsidRPr="00644DFC" w:rsidRDefault="00301D74" w:rsidP="00D57AF8">
            <w:pPr>
              <w:jc w:val="center"/>
              <w:rPr>
                <w:rFonts w:ascii="Arial Narrow" w:eastAsia="Times New Roman" w:hAnsi="Arial Narrow" w:cs="Calibri"/>
                <w:color w:val="000000"/>
                <w:sz w:val="16"/>
                <w:szCs w:val="16"/>
              </w:rPr>
            </w:pPr>
          </w:p>
          <w:p w14:paraId="5B737DC4" w14:textId="77777777" w:rsidR="00301D74" w:rsidRPr="00644DFC" w:rsidRDefault="00301D74" w:rsidP="00D57AF8">
            <w:pPr>
              <w:jc w:val="center"/>
              <w:rPr>
                <w:rFonts w:ascii="Arial Narrow" w:eastAsia="Times New Roman" w:hAnsi="Arial Narrow" w:cs="Calibri"/>
                <w:color w:val="000000"/>
                <w:sz w:val="16"/>
                <w:szCs w:val="16"/>
              </w:rPr>
            </w:pPr>
            <w:r w:rsidRPr="00644DFC">
              <w:rPr>
                <w:rFonts w:ascii="Arial Narrow" w:eastAsia="Times New Roman" w:hAnsi="Arial Narrow" w:cs="Calibri"/>
                <w:b/>
                <w:bCs/>
                <w:i/>
                <w:iCs/>
                <w:color w:val="000000"/>
                <w:sz w:val="16"/>
                <w:szCs w:val="16"/>
              </w:rPr>
              <w:t>Part II. Manufacturing Information</w:t>
            </w:r>
          </w:p>
        </w:tc>
      </w:tr>
      <w:tr w:rsidR="00644DFC" w:rsidRPr="00644DFC" w14:paraId="230B9548" w14:textId="77777777" w:rsidTr="00301D74">
        <w:trPr>
          <w:cantSplit/>
        </w:trPr>
        <w:tc>
          <w:tcPr>
            <w:tcW w:w="212" w:type="pct"/>
            <w:tcBorders>
              <w:top w:val="single" w:sz="8" w:space="0" w:color="auto"/>
              <w:left w:val="single" w:sz="8" w:space="0" w:color="auto"/>
              <w:bottom w:val="single" w:sz="4" w:space="0" w:color="auto"/>
              <w:right w:val="single" w:sz="8" w:space="0" w:color="auto"/>
            </w:tcBorders>
            <w:shd w:val="clear" w:color="auto" w:fill="auto"/>
            <w:noWrap/>
            <w:vAlign w:val="center"/>
          </w:tcPr>
          <w:p w14:paraId="15A86571" w14:textId="77777777" w:rsidR="00644DFC" w:rsidRPr="00644DFC" w:rsidRDefault="00644DFC" w:rsidP="000342CD">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7</w:t>
            </w:r>
            <w:r w:rsidR="000342CD">
              <w:rPr>
                <w:rFonts w:ascii="Arial Narrow" w:eastAsia="Times New Roman" w:hAnsi="Arial Narrow" w:cs="Calibri"/>
                <w:color w:val="000000"/>
                <w:sz w:val="16"/>
                <w:szCs w:val="16"/>
                <w:vertAlign w:val="superscript"/>
              </w:rPr>
              <w:t>3</w:t>
            </w:r>
          </w:p>
        </w:tc>
        <w:tc>
          <w:tcPr>
            <w:tcW w:w="641" w:type="pct"/>
            <w:tcBorders>
              <w:top w:val="single" w:sz="8" w:space="0" w:color="auto"/>
              <w:left w:val="nil"/>
              <w:bottom w:val="single" w:sz="4" w:space="0" w:color="auto"/>
              <w:right w:val="single" w:sz="4" w:space="0" w:color="auto"/>
            </w:tcBorders>
            <w:shd w:val="clear" w:color="auto" w:fill="auto"/>
            <w:vAlign w:val="center"/>
          </w:tcPr>
          <w:p w14:paraId="78485D1D"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Chemical Substance Identification, Upfront CBI Substantiation</w:t>
            </w:r>
          </w:p>
        </w:tc>
        <w:tc>
          <w:tcPr>
            <w:tcW w:w="427" w:type="pct"/>
            <w:tcBorders>
              <w:top w:val="single" w:sz="8" w:space="0" w:color="auto"/>
              <w:left w:val="nil"/>
              <w:bottom w:val="single" w:sz="4" w:space="0" w:color="auto"/>
              <w:right w:val="single" w:sz="8" w:space="0" w:color="auto"/>
            </w:tcBorders>
            <w:shd w:val="clear" w:color="auto" w:fill="auto"/>
            <w:vAlign w:val="center"/>
          </w:tcPr>
          <w:p w14:paraId="0B29232A"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single" w:sz="8" w:space="0" w:color="auto"/>
              <w:left w:val="single" w:sz="4" w:space="0" w:color="auto"/>
              <w:bottom w:val="single" w:sz="4" w:space="0" w:color="auto"/>
              <w:right w:val="single" w:sz="4" w:space="0" w:color="auto"/>
            </w:tcBorders>
            <w:shd w:val="clear" w:color="auto" w:fill="auto"/>
            <w:noWrap/>
            <w:vAlign w:val="center"/>
          </w:tcPr>
          <w:p w14:paraId="4436BF06"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0.610</w:t>
            </w:r>
          </w:p>
        </w:tc>
        <w:tc>
          <w:tcPr>
            <w:tcW w:w="356" w:type="pct"/>
            <w:tcBorders>
              <w:top w:val="single" w:sz="8" w:space="0" w:color="auto"/>
              <w:left w:val="nil"/>
              <w:bottom w:val="single" w:sz="4" w:space="0" w:color="auto"/>
              <w:right w:val="single" w:sz="4" w:space="0" w:color="auto"/>
            </w:tcBorders>
            <w:shd w:val="clear" w:color="auto" w:fill="auto"/>
            <w:noWrap/>
            <w:vAlign w:val="center"/>
          </w:tcPr>
          <w:p w14:paraId="034B2EF0"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1.160</w:t>
            </w:r>
          </w:p>
        </w:tc>
        <w:tc>
          <w:tcPr>
            <w:tcW w:w="285" w:type="pct"/>
            <w:tcBorders>
              <w:top w:val="single" w:sz="8" w:space="0" w:color="auto"/>
              <w:left w:val="nil"/>
              <w:bottom w:val="single" w:sz="4" w:space="0" w:color="auto"/>
              <w:right w:val="single" w:sz="4" w:space="0" w:color="auto"/>
            </w:tcBorders>
            <w:shd w:val="clear" w:color="auto" w:fill="auto"/>
            <w:noWrap/>
            <w:vAlign w:val="center"/>
          </w:tcPr>
          <w:p w14:paraId="765453EC"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single" w:sz="8" w:space="0" w:color="auto"/>
              <w:left w:val="nil"/>
              <w:bottom w:val="single" w:sz="4" w:space="0" w:color="auto"/>
              <w:right w:val="single" w:sz="8" w:space="0" w:color="auto"/>
            </w:tcBorders>
            <w:shd w:val="clear" w:color="auto" w:fill="auto"/>
            <w:noWrap/>
            <w:vAlign w:val="center"/>
          </w:tcPr>
          <w:p w14:paraId="1C24816B"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1.770</w:t>
            </w:r>
          </w:p>
        </w:tc>
        <w:tc>
          <w:tcPr>
            <w:tcW w:w="21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3F85BA04"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8</w:t>
            </w:r>
            <w:r w:rsidR="000342CD">
              <w:rPr>
                <w:rFonts w:ascii="Arial Narrow" w:eastAsia="Times New Roman" w:hAnsi="Arial Narrow" w:cs="Calibri"/>
                <w:color w:val="000000"/>
                <w:sz w:val="16"/>
                <w:szCs w:val="16"/>
                <w:vertAlign w:val="superscript"/>
              </w:rPr>
              <w:t>3</w:t>
            </w:r>
          </w:p>
        </w:tc>
        <w:tc>
          <w:tcPr>
            <w:tcW w:w="643" w:type="pct"/>
            <w:tcBorders>
              <w:top w:val="single" w:sz="8" w:space="0" w:color="auto"/>
              <w:left w:val="nil"/>
              <w:bottom w:val="single" w:sz="4" w:space="0" w:color="auto"/>
              <w:right w:val="single" w:sz="4" w:space="0" w:color="auto"/>
            </w:tcBorders>
            <w:shd w:val="clear" w:color="auto" w:fill="auto"/>
            <w:vAlign w:val="center"/>
          </w:tcPr>
          <w:p w14:paraId="083E049F"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Chemical Substance Identification</w:t>
            </w:r>
          </w:p>
        </w:tc>
        <w:tc>
          <w:tcPr>
            <w:tcW w:w="384" w:type="pct"/>
            <w:tcBorders>
              <w:top w:val="single" w:sz="8" w:space="0" w:color="auto"/>
              <w:left w:val="single" w:sz="4" w:space="0" w:color="auto"/>
              <w:bottom w:val="single" w:sz="4" w:space="0" w:color="auto"/>
              <w:right w:val="single" w:sz="4" w:space="0" w:color="auto"/>
            </w:tcBorders>
            <w:shd w:val="clear" w:color="000000" w:fill="FFFFFF"/>
            <w:noWrap/>
            <w:vAlign w:val="center"/>
          </w:tcPr>
          <w:p w14:paraId="4E440115"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97" w:type="pct"/>
            <w:tcBorders>
              <w:top w:val="single" w:sz="8" w:space="0" w:color="auto"/>
              <w:left w:val="nil"/>
              <w:bottom w:val="single" w:sz="4" w:space="0" w:color="auto"/>
              <w:right w:val="single" w:sz="4" w:space="0" w:color="auto"/>
            </w:tcBorders>
            <w:shd w:val="clear" w:color="000000" w:fill="FFFFFF"/>
            <w:noWrap/>
            <w:vAlign w:val="center"/>
          </w:tcPr>
          <w:p w14:paraId="21EA5ABF"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0.083</w:t>
            </w:r>
          </w:p>
        </w:tc>
        <w:tc>
          <w:tcPr>
            <w:tcW w:w="320" w:type="pct"/>
            <w:tcBorders>
              <w:top w:val="single" w:sz="8" w:space="0" w:color="auto"/>
              <w:left w:val="nil"/>
              <w:bottom w:val="single" w:sz="4" w:space="0" w:color="auto"/>
              <w:right w:val="single" w:sz="4" w:space="0" w:color="auto"/>
            </w:tcBorders>
            <w:shd w:val="clear" w:color="000000" w:fill="FFFFFF"/>
            <w:noWrap/>
            <w:vAlign w:val="center"/>
          </w:tcPr>
          <w:p w14:paraId="36A81C3E"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single" w:sz="8" w:space="0" w:color="auto"/>
              <w:left w:val="nil"/>
              <w:bottom w:val="single" w:sz="4" w:space="0" w:color="auto"/>
              <w:right w:val="single" w:sz="8" w:space="0" w:color="auto"/>
            </w:tcBorders>
            <w:shd w:val="clear" w:color="auto" w:fill="auto"/>
            <w:noWrap/>
            <w:vAlign w:val="center"/>
          </w:tcPr>
          <w:p w14:paraId="6A503B9B"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0.083</w:t>
            </w:r>
          </w:p>
        </w:tc>
      </w:tr>
      <w:tr w:rsidR="00644DFC" w:rsidRPr="00644DFC" w14:paraId="4C963B4F" w14:textId="77777777" w:rsidTr="00301D74">
        <w:trPr>
          <w:cantSplit/>
        </w:trPr>
        <w:tc>
          <w:tcPr>
            <w:tcW w:w="212" w:type="pct"/>
            <w:tcBorders>
              <w:top w:val="nil"/>
              <w:left w:val="single" w:sz="8" w:space="0" w:color="auto"/>
              <w:bottom w:val="single" w:sz="4" w:space="0" w:color="auto"/>
              <w:right w:val="single" w:sz="8" w:space="0" w:color="auto"/>
            </w:tcBorders>
            <w:shd w:val="clear" w:color="auto" w:fill="808080"/>
            <w:noWrap/>
            <w:vAlign w:val="center"/>
          </w:tcPr>
          <w:p w14:paraId="0E6ABB2F" w14:textId="77777777" w:rsidR="00644DFC" w:rsidRPr="00644DFC" w:rsidRDefault="00644DFC" w:rsidP="00644DFC">
            <w:pPr>
              <w:jc w:val="center"/>
              <w:rPr>
                <w:rFonts w:ascii="Arial Narrow" w:eastAsia="Times New Roman" w:hAnsi="Arial Narrow" w:cs="Calibri"/>
                <w:color w:val="000000"/>
                <w:sz w:val="16"/>
                <w:szCs w:val="16"/>
              </w:rPr>
            </w:pPr>
          </w:p>
        </w:tc>
        <w:tc>
          <w:tcPr>
            <w:tcW w:w="2458" w:type="pct"/>
            <w:gridSpan w:val="6"/>
            <w:tcBorders>
              <w:top w:val="nil"/>
              <w:left w:val="nil"/>
              <w:bottom w:val="single" w:sz="4" w:space="0" w:color="auto"/>
              <w:right w:val="single" w:sz="8" w:space="0" w:color="auto"/>
            </w:tcBorders>
            <w:shd w:val="clear" w:color="auto" w:fill="808080"/>
            <w:vAlign w:val="bottom"/>
          </w:tcPr>
          <w:p w14:paraId="2F9BAD40" w14:textId="77777777" w:rsidR="00644DFC" w:rsidRPr="00644DFC" w:rsidRDefault="00644DFC" w:rsidP="00644DFC">
            <w:pPr>
              <w:ind w:firstLineChars="100" w:firstLine="160"/>
              <w:rPr>
                <w:rFonts w:ascii="Arial Narrow" w:eastAsia="Times New Roman" w:hAnsi="Arial Narrow" w:cs="Calibri"/>
                <w:color w:val="000000"/>
                <w:sz w:val="16"/>
                <w:szCs w:val="16"/>
              </w:rPr>
            </w:pPr>
          </w:p>
        </w:tc>
        <w:tc>
          <w:tcPr>
            <w:tcW w:w="213" w:type="pct"/>
            <w:tcBorders>
              <w:top w:val="single" w:sz="4" w:space="0" w:color="auto"/>
              <w:left w:val="single" w:sz="8" w:space="0" w:color="auto"/>
              <w:bottom w:val="single" w:sz="4" w:space="0" w:color="auto"/>
              <w:right w:val="single" w:sz="8" w:space="0" w:color="auto"/>
            </w:tcBorders>
            <w:shd w:val="clear" w:color="auto" w:fill="auto"/>
            <w:noWrap/>
            <w:vAlign w:val="center"/>
          </w:tcPr>
          <w:p w14:paraId="02524C6A" w14:textId="77777777" w:rsidR="00644DFC" w:rsidRPr="00644DFC" w:rsidRDefault="002338C7" w:rsidP="00644DFC">
            <w:pPr>
              <w:jc w:val="center"/>
              <w:rPr>
                <w:rFonts w:ascii="Arial Narrow" w:eastAsia="Times New Roman" w:hAnsi="Arial Narrow" w:cs="Calibri"/>
                <w:sz w:val="16"/>
                <w:szCs w:val="16"/>
              </w:rPr>
            </w:pPr>
            <w:r>
              <w:rPr>
                <w:rFonts w:ascii="Arial Narrow" w:eastAsia="Times New Roman" w:hAnsi="Arial Narrow" w:cs="Calibri"/>
                <w:sz w:val="16"/>
                <w:szCs w:val="16"/>
              </w:rPr>
              <w:t>9</w:t>
            </w:r>
            <w:r w:rsidR="000342CD">
              <w:rPr>
                <w:rFonts w:ascii="Arial Narrow" w:eastAsia="Times New Roman" w:hAnsi="Arial Narrow" w:cs="Calibri"/>
                <w:sz w:val="16"/>
                <w:szCs w:val="16"/>
                <w:vertAlign w:val="superscript"/>
              </w:rPr>
              <w:t>3</w:t>
            </w:r>
          </w:p>
        </w:tc>
        <w:tc>
          <w:tcPr>
            <w:tcW w:w="643" w:type="pct"/>
            <w:tcBorders>
              <w:top w:val="nil"/>
              <w:left w:val="nil"/>
              <w:bottom w:val="single" w:sz="4" w:space="0" w:color="auto"/>
              <w:right w:val="single" w:sz="4" w:space="0" w:color="auto"/>
            </w:tcBorders>
            <w:shd w:val="clear" w:color="auto" w:fill="auto"/>
            <w:vAlign w:val="center"/>
          </w:tcPr>
          <w:p w14:paraId="2A4A4205" w14:textId="77777777" w:rsidR="00644DFC" w:rsidRPr="00644DFC" w:rsidRDefault="00644DFC" w:rsidP="00644DFC">
            <w:pPr>
              <w:rPr>
                <w:rFonts w:ascii="Arial Narrow" w:eastAsia="Times New Roman" w:hAnsi="Arial Narrow" w:cs="Calibri"/>
                <w:sz w:val="16"/>
                <w:szCs w:val="16"/>
              </w:rPr>
            </w:pPr>
            <w:r w:rsidRPr="00644DFC">
              <w:rPr>
                <w:rFonts w:ascii="Arial Narrow" w:eastAsia="Times New Roman" w:hAnsi="Arial Narrow" w:cs="Calibri"/>
                <w:sz w:val="16"/>
                <w:szCs w:val="16"/>
              </w:rPr>
              <w:t>Chem ID CBI Substantiation</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D3868B" w14:textId="77777777" w:rsidR="00644DFC" w:rsidRPr="00644DFC" w:rsidRDefault="00805545" w:rsidP="00644DFC">
            <w:pPr>
              <w:ind w:right="101"/>
              <w:jc w:val="right"/>
              <w:rPr>
                <w:rFonts w:ascii="Arial Narrow" w:eastAsia="Times New Roman" w:hAnsi="Arial Narrow" w:cs="Calibri"/>
                <w:sz w:val="16"/>
                <w:szCs w:val="16"/>
              </w:rPr>
            </w:pPr>
            <w:r>
              <w:rPr>
                <w:rFonts w:ascii="Arial Narrow" w:eastAsia="Times New Roman" w:hAnsi="Arial Narrow" w:cs="Calibri"/>
                <w:sz w:val="16"/>
                <w:szCs w:val="16"/>
              </w:rPr>
              <w:t>0</w:t>
            </w:r>
            <w:r w:rsidR="00644DFC" w:rsidRPr="00644DFC">
              <w:rPr>
                <w:rFonts w:ascii="Arial Narrow" w:eastAsia="Times New Roman" w:hAnsi="Arial Narrow" w:cs="Calibri"/>
                <w:sz w:val="16"/>
                <w:szCs w:val="16"/>
              </w:rPr>
              <w:t>.610</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36DD7357"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1.079</w:t>
            </w:r>
          </w:p>
        </w:tc>
        <w:tc>
          <w:tcPr>
            <w:tcW w:w="320" w:type="pct"/>
            <w:tcBorders>
              <w:top w:val="single" w:sz="4" w:space="0" w:color="auto"/>
              <w:left w:val="nil"/>
              <w:bottom w:val="single" w:sz="4" w:space="0" w:color="auto"/>
              <w:right w:val="single" w:sz="4" w:space="0" w:color="auto"/>
            </w:tcBorders>
            <w:shd w:val="clear" w:color="auto" w:fill="auto"/>
            <w:noWrap/>
            <w:vAlign w:val="center"/>
          </w:tcPr>
          <w:p w14:paraId="689E995C"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0.000</w:t>
            </w:r>
          </w:p>
        </w:tc>
        <w:tc>
          <w:tcPr>
            <w:tcW w:w="373" w:type="pct"/>
            <w:tcBorders>
              <w:top w:val="nil"/>
              <w:left w:val="single" w:sz="4" w:space="0" w:color="auto"/>
              <w:bottom w:val="single" w:sz="4" w:space="0" w:color="auto"/>
              <w:right w:val="single" w:sz="8" w:space="0" w:color="auto"/>
            </w:tcBorders>
            <w:shd w:val="clear" w:color="auto" w:fill="auto"/>
            <w:noWrap/>
            <w:vAlign w:val="center"/>
          </w:tcPr>
          <w:p w14:paraId="276E4693"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1.687</w:t>
            </w:r>
          </w:p>
        </w:tc>
      </w:tr>
      <w:tr w:rsidR="00644DFC" w:rsidRPr="00644DFC" w14:paraId="345D1F3C" w14:textId="77777777" w:rsidTr="00301D74">
        <w:trPr>
          <w:cantSplit/>
        </w:trPr>
        <w:tc>
          <w:tcPr>
            <w:tcW w:w="212" w:type="pct"/>
            <w:tcBorders>
              <w:top w:val="nil"/>
              <w:left w:val="single" w:sz="8" w:space="0" w:color="auto"/>
              <w:bottom w:val="single" w:sz="4" w:space="0" w:color="auto"/>
              <w:right w:val="single" w:sz="8" w:space="0" w:color="auto"/>
            </w:tcBorders>
            <w:shd w:val="clear" w:color="auto" w:fill="808080"/>
            <w:noWrap/>
            <w:vAlign w:val="center"/>
          </w:tcPr>
          <w:p w14:paraId="3A6E3199" w14:textId="77777777" w:rsidR="00644DFC" w:rsidRPr="00644DFC" w:rsidRDefault="00644DFC" w:rsidP="00644DFC">
            <w:pPr>
              <w:jc w:val="center"/>
              <w:rPr>
                <w:rFonts w:ascii="Arial Narrow" w:eastAsia="Times New Roman" w:hAnsi="Arial Narrow" w:cs="Calibri"/>
                <w:color w:val="000000"/>
                <w:sz w:val="16"/>
                <w:szCs w:val="16"/>
              </w:rPr>
            </w:pPr>
          </w:p>
        </w:tc>
        <w:tc>
          <w:tcPr>
            <w:tcW w:w="2458" w:type="pct"/>
            <w:gridSpan w:val="6"/>
            <w:tcBorders>
              <w:top w:val="nil"/>
              <w:left w:val="nil"/>
              <w:bottom w:val="single" w:sz="4" w:space="0" w:color="auto"/>
              <w:right w:val="single" w:sz="8" w:space="0" w:color="auto"/>
            </w:tcBorders>
            <w:shd w:val="clear" w:color="auto" w:fill="808080"/>
            <w:vAlign w:val="bottom"/>
          </w:tcPr>
          <w:p w14:paraId="307183A3" w14:textId="77777777" w:rsidR="00644DFC" w:rsidRPr="00644DFC" w:rsidRDefault="00644DFC" w:rsidP="00644DFC">
            <w:pPr>
              <w:ind w:firstLineChars="100" w:firstLine="160"/>
              <w:rPr>
                <w:rFonts w:ascii="Arial Narrow" w:eastAsia="Times New Roman" w:hAnsi="Arial Narrow" w:cs="Calibri"/>
                <w:color w:val="000000"/>
                <w:sz w:val="16"/>
                <w:szCs w:val="16"/>
              </w:rPr>
            </w:pP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0DD3E1E1" w14:textId="77777777" w:rsidR="00644DFC" w:rsidRPr="00644DFC" w:rsidRDefault="002338C7" w:rsidP="00644DFC">
            <w:pPr>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10</w:t>
            </w:r>
            <w:r w:rsidR="000342CD">
              <w:rPr>
                <w:rFonts w:ascii="Arial Narrow" w:eastAsia="Times New Roman" w:hAnsi="Arial Narrow" w:cs="Calibri"/>
                <w:color w:val="000000"/>
                <w:sz w:val="16"/>
                <w:szCs w:val="16"/>
                <w:vertAlign w:val="superscript"/>
              </w:rPr>
              <w:t>4</w:t>
            </w:r>
          </w:p>
        </w:tc>
        <w:tc>
          <w:tcPr>
            <w:tcW w:w="643" w:type="pct"/>
            <w:tcBorders>
              <w:top w:val="nil"/>
              <w:left w:val="nil"/>
              <w:bottom w:val="single" w:sz="4" w:space="0" w:color="auto"/>
              <w:right w:val="single" w:sz="4" w:space="0" w:color="auto"/>
            </w:tcBorders>
            <w:shd w:val="clear" w:color="auto" w:fill="auto"/>
            <w:vAlign w:val="center"/>
          </w:tcPr>
          <w:p w14:paraId="148D2A2A" w14:textId="77777777" w:rsidR="00644DFC" w:rsidRPr="00644DFC" w:rsidRDefault="00644DFC" w:rsidP="00644DFC">
            <w:pPr>
              <w:rPr>
                <w:rFonts w:ascii="Arial Narrow" w:eastAsia="Times New Roman" w:hAnsi="Arial Narrow" w:cs="Calibri"/>
                <w:sz w:val="16"/>
                <w:szCs w:val="16"/>
              </w:rPr>
            </w:pPr>
            <w:r w:rsidRPr="00644DFC">
              <w:rPr>
                <w:rFonts w:ascii="Arial Narrow" w:eastAsia="Times New Roman" w:hAnsi="Arial Narrow" w:cs="Calibri"/>
                <w:sz w:val="16"/>
                <w:szCs w:val="16"/>
              </w:rPr>
              <w:t>Joint Submission Information</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0697544B"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0.012</w:t>
            </w:r>
          </w:p>
        </w:tc>
        <w:tc>
          <w:tcPr>
            <w:tcW w:w="397" w:type="pct"/>
            <w:tcBorders>
              <w:top w:val="nil"/>
              <w:left w:val="nil"/>
              <w:bottom w:val="single" w:sz="4" w:space="0" w:color="auto"/>
              <w:right w:val="single" w:sz="4" w:space="0" w:color="auto"/>
            </w:tcBorders>
            <w:shd w:val="clear" w:color="auto" w:fill="auto"/>
            <w:noWrap/>
            <w:vAlign w:val="center"/>
          </w:tcPr>
          <w:p w14:paraId="76897C36"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20" w:type="pct"/>
            <w:tcBorders>
              <w:top w:val="nil"/>
              <w:left w:val="nil"/>
              <w:bottom w:val="single" w:sz="4" w:space="0" w:color="auto"/>
              <w:right w:val="single" w:sz="4" w:space="0" w:color="auto"/>
            </w:tcBorders>
            <w:shd w:val="clear" w:color="auto" w:fill="auto"/>
            <w:noWrap/>
            <w:vAlign w:val="center"/>
          </w:tcPr>
          <w:p w14:paraId="136F21F3"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tcPr>
          <w:p w14:paraId="29762458"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0.012</w:t>
            </w:r>
          </w:p>
        </w:tc>
      </w:tr>
      <w:tr w:rsidR="00644DFC" w:rsidRPr="00644DFC" w14:paraId="5497F995" w14:textId="77777777" w:rsidTr="00301D74">
        <w:trPr>
          <w:cantSplit/>
        </w:trPr>
        <w:tc>
          <w:tcPr>
            <w:tcW w:w="212" w:type="pct"/>
            <w:tcBorders>
              <w:top w:val="nil"/>
              <w:left w:val="single" w:sz="8" w:space="0" w:color="auto"/>
              <w:bottom w:val="single" w:sz="4" w:space="0" w:color="auto"/>
              <w:right w:val="single" w:sz="8" w:space="0" w:color="auto"/>
            </w:tcBorders>
            <w:shd w:val="clear" w:color="auto" w:fill="auto"/>
            <w:noWrap/>
            <w:vAlign w:val="center"/>
          </w:tcPr>
          <w:p w14:paraId="7383FD69" w14:textId="77777777" w:rsidR="00644DFC" w:rsidRPr="00644DFC" w:rsidRDefault="002338C7" w:rsidP="00644DFC">
            <w:pPr>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8</w:t>
            </w:r>
            <w:r w:rsidR="000342CD">
              <w:rPr>
                <w:rFonts w:ascii="Arial Narrow" w:eastAsia="Times New Roman" w:hAnsi="Arial Narrow" w:cs="Calibri"/>
                <w:color w:val="000000"/>
                <w:sz w:val="16"/>
                <w:szCs w:val="16"/>
                <w:vertAlign w:val="superscript"/>
              </w:rPr>
              <w:t>5</w:t>
            </w:r>
          </w:p>
        </w:tc>
        <w:tc>
          <w:tcPr>
            <w:tcW w:w="641" w:type="pct"/>
            <w:tcBorders>
              <w:top w:val="nil"/>
              <w:left w:val="nil"/>
              <w:bottom w:val="single" w:sz="4" w:space="0" w:color="auto"/>
              <w:right w:val="single" w:sz="4" w:space="0" w:color="auto"/>
            </w:tcBorders>
            <w:shd w:val="clear" w:color="auto" w:fill="auto"/>
            <w:vAlign w:val="center"/>
          </w:tcPr>
          <w:p w14:paraId="299DA353"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Site-Limited, Activity, Production Volume (2015)</w:t>
            </w:r>
          </w:p>
        </w:tc>
        <w:tc>
          <w:tcPr>
            <w:tcW w:w="427" w:type="pct"/>
            <w:tcBorders>
              <w:top w:val="nil"/>
              <w:left w:val="nil"/>
              <w:bottom w:val="single" w:sz="4" w:space="0" w:color="auto"/>
              <w:right w:val="single" w:sz="8" w:space="0" w:color="auto"/>
            </w:tcBorders>
            <w:shd w:val="clear" w:color="auto" w:fill="auto"/>
            <w:vAlign w:val="center"/>
          </w:tcPr>
          <w:p w14:paraId="1F8F7C7F"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tcPr>
          <w:p w14:paraId="5EA7E9B4"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0.450</w:t>
            </w:r>
          </w:p>
        </w:tc>
        <w:tc>
          <w:tcPr>
            <w:tcW w:w="356" w:type="pct"/>
            <w:tcBorders>
              <w:top w:val="nil"/>
              <w:left w:val="nil"/>
              <w:bottom w:val="single" w:sz="4" w:space="0" w:color="auto"/>
              <w:right w:val="single" w:sz="4" w:space="0" w:color="auto"/>
            </w:tcBorders>
            <w:shd w:val="clear" w:color="auto" w:fill="auto"/>
            <w:noWrap/>
            <w:vAlign w:val="center"/>
          </w:tcPr>
          <w:p w14:paraId="6ABD88D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1.820</w:t>
            </w:r>
          </w:p>
        </w:tc>
        <w:tc>
          <w:tcPr>
            <w:tcW w:w="285" w:type="pct"/>
            <w:tcBorders>
              <w:top w:val="nil"/>
              <w:left w:val="nil"/>
              <w:bottom w:val="single" w:sz="4" w:space="0" w:color="auto"/>
              <w:right w:val="single" w:sz="4" w:space="0" w:color="auto"/>
            </w:tcBorders>
            <w:shd w:val="clear" w:color="auto" w:fill="auto"/>
            <w:noWrap/>
            <w:vAlign w:val="center"/>
          </w:tcPr>
          <w:p w14:paraId="04386466"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tcPr>
          <w:p w14:paraId="027055EE"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2.270</w:t>
            </w: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2A9D39C5"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sidR="002338C7">
              <w:rPr>
                <w:rFonts w:ascii="Arial Narrow" w:eastAsia="Times New Roman" w:hAnsi="Arial Narrow" w:cs="Calibri"/>
                <w:color w:val="000000"/>
                <w:sz w:val="16"/>
                <w:szCs w:val="16"/>
              </w:rPr>
              <w:t>1</w:t>
            </w:r>
            <w:r w:rsidR="000342CD">
              <w:rPr>
                <w:rFonts w:ascii="Arial Narrow" w:eastAsia="Times New Roman" w:hAnsi="Arial Narrow" w:cs="Calibri"/>
                <w:color w:val="000000"/>
                <w:sz w:val="16"/>
                <w:szCs w:val="16"/>
                <w:vertAlign w:val="superscript"/>
              </w:rPr>
              <w:t>5</w:t>
            </w:r>
          </w:p>
        </w:tc>
        <w:tc>
          <w:tcPr>
            <w:tcW w:w="643" w:type="pct"/>
            <w:tcBorders>
              <w:top w:val="nil"/>
              <w:left w:val="nil"/>
              <w:bottom w:val="single" w:sz="4" w:space="0" w:color="auto"/>
              <w:right w:val="single" w:sz="4" w:space="0" w:color="auto"/>
            </w:tcBorders>
            <w:shd w:val="clear" w:color="auto" w:fill="auto"/>
            <w:vAlign w:val="center"/>
          </w:tcPr>
          <w:p w14:paraId="6CBDF7C8" w14:textId="77777777" w:rsidR="00644DFC" w:rsidRPr="00644DFC" w:rsidRDefault="00644DFC" w:rsidP="00644DFC">
            <w:pPr>
              <w:rPr>
                <w:rFonts w:ascii="Arial Narrow" w:eastAsia="Times New Roman" w:hAnsi="Arial Narrow" w:cs="Calibri"/>
                <w:sz w:val="16"/>
                <w:szCs w:val="16"/>
              </w:rPr>
            </w:pPr>
            <w:r w:rsidRPr="00644DFC">
              <w:rPr>
                <w:rFonts w:ascii="Arial Narrow" w:eastAsia="Times New Roman" w:hAnsi="Arial Narrow" w:cs="Calibri"/>
                <w:sz w:val="16"/>
                <w:szCs w:val="16"/>
              </w:rPr>
              <w:t>Activity, Production Volume for Principal Reporting Year</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4ED7B3DC"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0.450</w:t>
            </w:r>
          </w:p>
        </w:tc>
        <w:tc>
          <w:tcPr>
            <w:tcW w:w="397" w:type="pct"/>
            <w:tcBorders>
              <w:top w:val="nil"/>
              <w:left w:val="nil"/>
              <w:bottom w:val="single" w:sz="4" w:space="0" w:color="auto"/>
              <w:right w:val="single" w:sz="4" w:space="0" w:color="auto"/>
            </w:tcBorders>
            <w:shd w:val="clear" w:color="auto" w:fill="auto"/>
            <w:noWrap/>
            <w:vAlign w:val="center"/>
          </w:tcPr>
          <w:p w14:paraId="441BD0AB"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1.820</w:t>
            </w:r>
          </w:p>
        </w:tc>
        <w:tc>
          <w:tcPr>
            <w:tcW w:w="320" w:type="pct"/>
            <w:tcBorders>
              <w:top w:val="nil"/>
              <w:left w:val="nil"/>
              <w:bottom w:val="single" w:sz="4" w:space="0" w:color="auto"/>
              <w:right w:val="single" w:sz="4" w:space="0" w:color="auto"/>
            </w:tcBorders>
            <w:shd w:val="clear" w:color="auto" w:fill="auto"/>
            <w:noWrap/>
            <w:vAlign w:val="center"/>
          </w:tcPr>
          <w:p w14:paraId="7A21107A"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tcPr>
          <w:p w14:paraId="618208C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2.270</w:t>
            </w:r>
          </w:p>
        </w:tc>
      </w:tr>
      <w:tr w:rsidR="00644DFC" w:rsidRPr="00644DFC" w14:paraId="2C3E1984" w14:textId="77777777" w:rsidTr="00301D74">
        <w:trPr>
          <w:cantSplit/>
        </w:trPr>
        <w:tc>
          <w:tcPr>
            <w:tcW w:w="212" w:type="pct"/>
            <w:tcBorders>
              <w:top w:val="nil"/>
              <w:left w:val="single" w:sz="8" w:space="0" w:color="auto"/>
              <w:bottom w:val="single" w:sz="4" w:space="0" w:color="auto"/>
              <w:right w:val="single" w:sz="8" w:space="0" w:color="auto"/>
            </w:tcBorders>
            <w:shd w:val="clear" w:color="auto" w:fill="auto"/>
            <w:noWrap/>
            <w:vAlign w:val="center"/>
          </w:tcPr>
          <w:p w14:paraId="654EBEEA" w14:textId="77777777" w:rsidR="00644DFC" w:rsidRPr="00644DFC" w:rsidRDefault="002338C7" w:rsidP="00644DFC">
            <w:pPr>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9</w:t>
            </w:r>
          </w:p>
        </w:tc>
        <w:tc>
          <w:tcPr>
            <w:tcW w:w="641" w:type="pct"/>
            <w:tcBorders>
              <w:top w:val="nil"/>
              <w:left w:val="nil"/>
              <w:bottom w:val="single" w:sz="4" w:space="0" w:color="auto"/>
              <w:right w:val="single" w:sz="4" w:space="0" w:color="auto"/>
            </w:tcBorders>
            <w:shd w:val="clear" w:color="auto" w:fill="auto"/>
            <w:vAlign w:val="center"/>
          </w:tcPr>
          <w:p w14:paraId="18FF0588"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Whether imported chemical substance is physically at reporting site</w:t>
            </w:r>
          </w:p>
        </w:tc>
        <w:tc>
          <w:tcPr>
            <w:tcW w:w="427" w:type="pct"/>
            <w:tcBorders>
              <w:top w:val="nil"/>
              <w:left w:val="nil"/>
              <w:bottom w:val="single" w:sz="4" w:space="0" w:color="auto"/>
              <w:right w:val="single" w:sz="8" w:space="0" w:color="auto"/>
            </w:tcBorders>
            <w:shd w:val="clear" w:color="auto" w:fill="auto"/>
            <w:vAlign w:val="center"/>
          </w:tcPr>
          <w:p w14:paraId="0A83E2D0"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tcPr>
          <w:p w14:paraId="00A10614"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0.020</w:t>
            </w:r>
          </w:p>
        </w:tc>
        <w:tc>
          <w:tcPr>
            <w:tcW w:w="356" w:type="pct"/>
            <w:tcBorders>
              <w:top w:val="nil"/>
              <w:left w:val="nil"/>
              <w:bottom w:val="single" w:sz="4" w:space="0" w:color="auto"/>
              <w:right w:val="single" w:sz="4" w:space="0" w:color="auto"/>
            </w:tcBorders>
            <w:shd w:val="clear" w:color="auto" w:fill="auto"/>
            <w:noWrap/>
            <w:vAlign w:val="center"/>
          </w:tcPr>
          <w:p w14:paraId="3C72EFC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0.090</w:t>
            </w:r>
          </w:p>
        </w:tc>
        <w:tc>
          <w:tcPr>
            <w:tcW w:w="285" w:type="pct"/>
            <w:tcBorders>
              <w:top w:val="nil"/>
              <w:left w:val="nil"/>
              <w:bottom w:val="single" w:sz="4" w:space="0" w:color="auto"/>
              <w:right w:val="single" w:sz="4" w:space="0" w:color="auto"/>
            </w:tcBorders>
            <w:shd w:val="clear" w:color="auto" w:fill="auto"/>
            <w:noWrap/>
            <w:vAlign w:val="center"/>
          </w:tcPr>
          <w:p w14:paraId="206670B4"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tcPr>
          <w:p w14:paraId="14FE778B"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0.110</w:t>
            </w: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013CD449"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sidR="002338C7">
              <w:rPr>
                <w:rFonts w:ascii="Arial Narrow" w:eastAsia="Times New Roman" w:hAnsi="Arial Narrow" w:cs="Calibri"/>
                <w:color w:val="000000"/>
                <w:sz w:val="16"/>
                <w:szCs w:val="16"/>
              </w:rPr>
              <w:t>2</w:t>
            </w:r>
          </w:p>
        </w:tc>
        <w:tc>
          <w:tcPr>
            <w:tcW w:w="643" w:type="pct"/>
            <w:tcBorders>
              <w:top w:val="nil"/>
              <w:left w:val="nil"/>
              <w:bottom w:val="single" w:sz="4" w:space="0" w:color="auto"/>
              <w:right w:val="single" w:sz="4" w:space="0" w:color="auto"/>
            </w:tcBorders>
            <w:shd w:val="clear" w:color="auto" w:fill="auto"/>
            <w:vAlign w:val="center"/>
          </w:tcPr>
          <w:p w14:paraId="15A89E42" w14:textId="77777777" w:rsidR="00644DFC" w:rsidRPr="00644DFC" w:rsidRDefault="00644DFC" w:rsidP="00644DFC">
            <w:pPr>
              <w:rPr>
                <w:rFonts w:ascii="Arial Narrow" w:eastAsia="Times New Roman" w:hAnsi="Arial Narrow" w:cs="Calibri"/>
                <w:sz w:val="16"/>
                <w:szCs w:val="16"/>
              </w:rPr>
            </w:pPr>
            <w:r w:rsidRPr="00644DFC">
              <w:rPr>
                <w:rFonts w:ascii="Arial Narrow" w:eastAsia="Times New Roman" w:hAnsi="Arial Narrow" w:cs="Calibri"/>
                <w:sz w:val="16"/>
                <w:szCs w:val="16"/>
              </w:rPr>
              <w:t>Whether imported chemical substance is physically at reporting site</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00CC0420"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0.020</w:t>
            </w:r>
          </w:p>
        </w:tc>
        <w:tc>
          <w:tcPr>
            <w:tcW w:w="397" w:type="pct"/>
            <w:tcBorders>
              <w:top w:val="nil"/>
              <w:left w:val="nil"/>
              <w:bottom w:val="single" w:sz="4" w:space="0" w:color="auto"/>
              <w:right w:val="single" w:sz="4" w:space="0" w:color="auto"/>
            </w:tcBorders>
            <w:shd w:val="clear" w:color="auto" w:fill="auto"/>
            <w:noWrap/>
            <w:vAlign w:val="center"/>
          </w:tcPr>
          <w:p w14:paraId="2DC6FCCE"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0.090</w:t>
            </w:r>
          </w:p>
        </w:tc>
        <w:tc>
          <w:tcPr>
            <w:tcW w:w="320" w:type="pct"/>
            <w:tcBorders>
              <w:top w:val="nil"/>
              <w:left w:val="nil"/>
              <w:bottom w:val="single" w:sz="4" w:space="0" w:color="auto"/>
              <w:right w:val="single" w:sz="4" w:space="0" w:color="auto"/>
            </w:tcBorders>
            <w:shd w:val="clear" w:color="auto" w:fill="auto"/>
            <w:noWrap/>
            <w:vAlign w:val="center"/>
          </w:tcPr>
          <w:p w14:paraId="45DD3D5F"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tcPr>
          <w:p w14:paraId="53883AA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0.110</w:t>
            </w:r>
          </w:p>
        </w:tc>
      </w:tr>
      <w:tr w:rsidR="00644DFC" w:rsidRPr="00644DFC" w14:paraId="0D6A2F51" w14:textId="77777777" w:rsidTr="00301D74">
        <w:trPr>
          <w:cantSplit/>
          <w:trHeight w:val="290"/>
        </w:trPr>
        <w:tc>
          <w:tcPr>
            <w:tcW w:w="212" w:type="pct"/>
            <w:tcBorders>
              <w:top w:val="nil"/>
              <w:left w:val="single" w:sz="8" w:space="0" w:color="auto"/>
              <w:bottom w:val="single" w:sz="4" w:space="0" w:color="auto"/>
              <w:right w:val="single" w:sz="8" w:space="0" w:color="auto"/>
            </w:tcBorders>
            <w:shd w:val="clear" w:color="auto" w:fill="auto"/>
            <w:noWrap/>
            <w:vAlign w:val="center"/>
          </w:tcPr>
          <w:p w14:paraId="6565AD6D"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sidR="002338C7">
              <w:rPr>
                <w:rFonts w:ascii="Arial Narrow" w:eastAsia="Times New Roman" w:hAnsi="Arial Narrow" w:cs="Calibri"/>
                <w:color w:val="000000"/>
                <w:sz w:val="16"/>
                <w:szCs w:val="16"/>
              </w:rPr>
              <w:t>0</w:t>
            </w:r>
          </w:p>
        </w:tc>
        <w:tc>
          <w:tcPr>
            <w:tcW w:w="641" w:type="pct"/>
            <w:tcBorders>
              <w:top w:val="nil"/>
              <w:left w:val="nil"/>
              <w:bottom w:val="single" w:sz="4" w:space="0" w:color="auto"/>
              <w:right w:val="single" w:sz="4" w:space="0" w:color="auto"/>
            </w:tcBorders>
            <w:shd w:val="clear" w:color="auto" w:fill="auto"/>
            <w:vAlign w:val="center"/>
          </w:tcPr>
          <w:p w14:paraId="08BB0B96"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Production Volume used on-site</w:t>
            </w:r>
          </w:p>
        </w:tc>
        <w:tc>
          <w:tcPr>
            <w:tcW w:w="427" w:type="pct"/>
            <w:tcBorders>
              <w:top w:val="nil"/>
              <w:left w:val="nil"/>
              <w:bottom w:val="single" w:sz="4" w:space="0" w:color="auto"/>
              <w:right w:val="single" w:sz="8" w:space="0" w:color="auto"/>
            </w:tcBorders>
            <w:shd w:val="clear" w:color="auto" w:fill="auto"/>
            <w:vAlign w:val="center"/>
          </w:tcPr>
          <w:p w14:paraId="0AB83CEE"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tcPr>
          <w:p w14:paraId="59063C38"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0.040</w:t>
            </w:r>
          </w:p>
        </w:tc>
        <w:tc>
          <w:tcPr>
            <w:tcW w:w="356" w:type="pct"/>
            <w:tcBorders>
              <w:top w:val="nil"/>
              <w:left w:val="nil"/>
              <w:bottom w:val="single" w:sz="4" w:space="0" w:color="auto"/>
              <w:right w:val="single" w:sz="4" w:space="0" w:color="auto"/>
            </w:tcBorders>
            <w:shd w:val="clear" w:color="auto" w:fill="auto"/>
            <w:noWrap/>
            <w:vAlign w:val="center"/>
          </w:tcPr>
          <w:p w14:paraId="5F410E4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0.160</w:t>
            </w:r>
          </w:p>
        </w:tc>
        <w:tc>
          <w:tcPr>
            <w:tcW w:w="285" w:type="pct"/>
            <w:tcBorders>
              <w:top w:val="nil"/>
              <w:left w:val="nil"/>
              <w:bottom w:val="single" w:sz="4" w:space="0" w:color="auto"/>
              <w:right w:val="single" w:sz="4" w:space="0" w:color="auto"/>
            </w:tcBorders>
            <w:shd w:val="clear" w:color="auto" w:fill="auto"/>
            <w:noWrap/>
            <w:vAlign w:val="center"/>
          </w:tcPr>
          <w:p w14:paraId="5DCE97A2"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tcPr>
          <w:p w14:paraId="599BFEC3"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0.200</w:t>
            </w: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508961AB"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sidR="002338C7">
              <w:rPr>
                <w:rFonts w:ascii="Arial Narrow" w:eastAsia="Times New Roman" w:hAnsi="Arial Narrow" w:cs="Calibri"/>
                <w:color w:val="000000"/>
                <w:sz w:val="16"/>
                <w:szCs w:val="16"/>
              </w:rPr>
              <w:t>3</w:t>
            </w:r>
          </w:p>
        </w:tc>
        <w:tc>
          <w:tcPr>
            <w:tcW w:w="643" w:type="pct"/>
            <w:tcBorders>
              <w:top w:val="nil"/>
              <w:left w:val="nil"/>
              <w:bottom w:val="single" w:sz="4" w:space="0" w:color="auto"/>
              <w:right w:val="single" w:sz="4" w:space="0" w:color="auto"/>
            </w:tcBorders>
            <w:shd w:val="clear" w:color="auto" w:fill="auto"/>
            <w:vAlign w:val="center"/>
          </w:tcPr>
          <w:p w14:paraId="4174CD5D"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Production Volume used on-site</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38F7465F"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0.040</w:t>
            </w:r>
          </w:p>
        </w:tc>
        <w:tc>
          <w:tcPr>
            <w:tcW w:w="397" w:type="pct"/>
            <w:tcBorders>
              <w:top w:val="nil"/>
              <w:left w:val="nil"/>
              <w:bottom w:val="single" w:sz="4" w:space="0" w:color="auto"/>
              <w:right w:val="single" w:sz="4" w:space="0" w:color="auto"/>
            </w:tcBorders>
            <w:shd w:val="clear" w:color="auto" w:fill="auto"/>
            <w:noWrap/>
            <w:vAlign w:val="center"/>
          </w:tcPr>
          <w:p w14:paraId="01537F56"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0.160</w:t>
            </w:r>
          </w:p>
        </w:tc>
        <w:tc>
          <w:tcPr>
            <w:tcW w:w="320" w:type="pct"/>
            <w:tcBorders>
              <w:top w:val="nil"/>
              <w:left w:val="nil"/>
              <w:bottom w:val="single" w:sz="4" w:space="0" w:color="auto"/>
              <w:right w:val="single" w:sz="4" w:space="0" w:color="auto"/>
            </w:tcBorders>
            <w:shd w:val="clear" w:color="auto" w:fill="auto"/>
            <w:noWrap/>
            <w:vAlign w:val="center"/>
          </w:tcPr>
          <w:p w14:paraId="7B48AB07"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tcPr>
          <w:p w14:paraId="2DD632DE"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0.200</w:t>
            </w:r>
          </w:p>
        </w:tc>
      </w:tr>
      <w:tr w:rsidR="00644DFC" w:rsidRPr="00644DFC" w14:paraId="738FFB19" w14:textId="77777777" w:rsidTr="00301D74">
        <w:trPr>
          <w:cantSplit/>
          <w:trHeight w:val="530"/>
        </w:trPr>
        <w:tc>
          <w:tcPr>
            <w:tcW w:w="212" w:type="pct"/>
            <w:tcBorders>
              <w:top w:val="nil"/>
              <w:left w:val="single" w:sz="8" w:space="0" w:color="auto"/>
              <w:bottom w:val="single" w:sz="4" w:space="0" w:color="auto"/>
              <w:right w:val="single" w:sz="8" w:space="0" w:color="auto"/>
            </w:tcBorders>
            <w:shd w:val="clear" w:color="auto" w:fill="auto"/>
            <w:noWrap/>
            <w:vAlign w:val="center"/>
          </w:tcPr>
          <w:p w14:paraId="3DA5E089"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sidR="002338C7">
              <w:rPr>
                <w:rFonts w:ascii="Arial Narrow" w:eastAsia="Times New Roman" w:hAnsi="Arial Narrow" w:cs="Calibri"/>
                <w:color w:val="000000"/>
                <w:sz w:val="16"/>
                <w:szCs w:val="16"/>
              </w:rPr>
              <w:t>1</w:t>
            </w:r>
          </w:p>
        </w:tc>
        <w:tc>
          <w:tcPr>
            <w:tcW w:w="641" w:type="pct"/>
            <w:tcBorders>
              <w:top w:val="nil"/>
              <w:left w:val="nil"/>
              <w:bottom w:val="single" w:sz="4" w:space="0" w:color="auto"/>
              <w:right w:val="single" w:sz="4" w:space="0" w:color="auto"/>
            </w:tcBorders>
            <w:shd w:val="clear" w:color="auto" w:fill="auto"/>
            <w:vAlign w:val="center"/>
          </w:tcPr>
          <w:p w14:paraId="1FA3C4C2"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Volume exported</w:t>
            </w:r>
          </w:p>
        </w:tc>
        <w:tc>
          <w:tcPr>
            <w:tcW w:w="427" w:type="pct"/>
            <w:tcBorders>
              <w:top w:val="nil"/>
              <w:left w:val="nil"/>
              <w:bottom w:val="single" w:sz="4" w:space="0" w:color="auto"/>
              <w:right w:val="single" w:sz="8" w:space="0" w:color="auto"/>
            </w:tcBorders>
            <w:shd w:val="clear" w:color="auto" w:fill="auto"/>
            <w:vAlign w:val="center"/>
          </w:tcPr>
          <w:p w14:paraId="68C009E9"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tcPr>
          <w:p w14:paraId="2A491BC5"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0.200</w:t>
            </w:r>
          </w:p>
        </w:tc>
        <w:tc>
          <w:tcPr>
            <w:tcW w:w="356" w:type="pct"/>
            <w:tcBorders>
              <w:top w:val="nil"/>
              <w:left w:val="nil"/>
              <w:bottom w:val="single" w:sz="4" w:space="0" w:color="auto"/>
              <w:right w:val="single" w:sz="4" w:space="0" w:color="auto"/>
            </w:tcBorders>
            <w:shd w:val="clear" w:color="auto" w:fill="auto"/>
            <w:noWrap/>
            <w:vAlign w:val="center"/>
          </w:tcPr>
          <w:p w14:paraId="51BB0C2A"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0.820</w:t>
            </w:r>
          </w:p>
        </w:tc>
        <w:tc>
          <w:tcPr>
            <w:tcW w:w="285" w:type="pct"/>
            <w:tcBorders>
              <w:top w:val="nil"/>
              <w:left w:val="nil"/>
              <w:bottom w:val="single" w:sz="4" w:space="0" w:color="auto"/>
              <w:right w:val="single" w:sz="4" w:space="0" w:color="auto"/>
            </w:tcBorders>
            <w:shd w:val="clear" w:color="auto" w:fill="auto"/>
            <w:noWrap/>
            <w:vAlign w:val="center"/>
          </w:tcPr>
          <w:p w14:paraId="0FCE788F"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tcPr>
          <w:p w14:paraId="7EF3BC7E"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1.020</w:t>
            </w: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679336F7"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sidR="002338C7">
              <w:rPr>
                <w:rFonts w:ascii="Arial Narrow" w:eastAsia="Times New Roman" w:hAnsi="Arial Narrow" w:cs="Calibri"/>
                <w:color w:val="000000"/>
                <w:sz w:val="16"/>
                <w:szCs w:val="16"/>
              </w:rPr>
              <w:t>4</w:t>
            </w:r>
          </w:p>
        </w:tc>
        <w:tc>
          <w:tcPr>
            <w:tcW w:w="643" w:type="pct"/>
            <w:tcBorders>
              <w:top w:val="nil"/>
              <w:left w:val="nil"/>
              <w:bottom w:val="single" w:sz="4" w:space="0" w:color="auto"/>
              <w:right w:val="single" w:sz="4" w:space="0" w:color="auto"/>
            </w:tcBorders>
            <w:shd w:val="clear" w:color="auto" w:fill="auto"/>
            <w:vAlign w:val="center"/>
          </w:tcPr>
          <w:p w14:paraId="15B0920D"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Volume exported</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31DFBAEA"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0.200</w:t>
            </w:r>
          </w:p>
        </w:tc>
        <w:tc>
          <w:tcPr>
            <w:tcW w:w="397" w:type="pct"/>
            <w:tcBorders>
              <w:top w:val="nil"/>
              <w:left w:val="nil"/>
              <w:bottom w:val="single" w:sz="4" w:space="0" w:color="auto"/>
              <w:right w:val="single" w:sz="4" w:space="0" w:color="auto"/>
            </w:tcBorders>
            <w:shd w:val="clear" w:color="auto" w:fill="auto"/>
            <w:noWrap/>
            <w:vAlign w:val="center"/>
          </w:tcPr>
          <w:p w14:paraId="6F1273B4"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0.820</w:t>
            </w:r>
          </w:p>
        </w:tc>
        <w:tc>
          <w:tcPr>
            <w:tcW w:w="320" w:type="pct"/>
            <w:tcBorders>
              <w:top w:val="nil"/>
              <w:left w:val="nil"/>
              <w:bottom w:val="single" w:sz="4" w:space="0" w:color="auto"/>
              <w:right w:val="single" w:sz="4" w:space="0" w:color="auto"/>
            </w:tcBorders>
            <w:shd w:val="clear" w:color="auto" w:fill="auto"/>
            <w:noWrap/>
            <w:vAlign w:val="center"/>
          </w:tcPr>
          <w:p w14:paraId="31EDB248"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tcPr>
          <w:p w14:paraId="06DD5198"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1.020</w:t>
            </w:r>
          </w:p>
        </w:tc>
      </w:tr>
      <w:tr w:rsidR="00644DFC" w:rsidRPr="00644DFC" w14:paraId="568886FC" w14:textId="77777777" w:rsidTr="00301D74">
        <w:trPr>
          <w:cantSplit/>
          <w:trHeight w:val="530"/>
        </w:trPr>
        <w:tc>
          <w:tcPr>
            <w:tcW w:w="212" w:type="pct"/>
            <w:tcBorders>
              <w:top w:val="nil"/>
              <w:left w:val="single" w:sz="8" w:space="0" w:color="auto"/>
              <w:bottom w:val="single" w:sz="4" w:space="0" w:color="auto"/>
              <w:right w:val="single" w:sz="8" w:space="0" w:color="auto"/>
            </w:tcBorders>
            <w:shd w:val="clear" w:color="auto" w:fill="auto"/>
            <w:noWrap/>
            <w:vAlign w:val="center"/>
          </w:tcPr>
          <w:p w14:paraId="75A0E7D6"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sidR="002338C7">
              <w:rPr>
                <w:rFonts w:ascii="Arial Narrow" w:eastAsia="Times New Roman" w:hAnsi="Arial Narrow" w:cs="Calibri"/>
                <w:color w:val="000000"/>
                <w:sz w:val="16"/>
                <w:szCs w:val="16"/>
              </w:rPr>
              <w:t>2</w:t>
            </w:r>
          </w:p>
        </w:tc>
        <w:tc>
          <w:tcPr>
            <w:tcW w:w="641" w:type="pct"/>
            <w:tcBorders>
              <w:top w:val="nil"/>
              <w:left w:val="nil"/>
              <w:bottom w:val="single" w:sz="4" w:space="0" w:color="auto"/>
              <w:right w:val="single" w:sz="4" w:space="0" w:color="auto"/>
            </w:tcBorders>
            <w:shd w:val="clear" w:color="auto" w:fill="auto"/>
            <w:vAlign w:val="center"/>
          </w:tcPr>
          <w:p w14:paraId="38EB0364"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Total Number of Workers</w:t>
            </w:r>
          </w:p>
        </w:tc>
        <w:tc>
          <w:tcPr>
            <w:tcW w:w="427" w:type="pct"/>
            <w:tcBorders>
              <w:top w:val="nil"/>
              <w:left w:val="nil"/>
              <w:bottom w:val="single" w:sz="4" w:space="0" w:color="auto"/>
              <w:right w:val="single" w:sz="8" w:space="0" w:color="auto"/>
            </w:tcBorders>
            <w:shd w:val="clear" w:color="auto" w:fill="auto"/>
            <w:vAlign w:val="center"/>
          </w:tcPr>
          <w:p w14:paraId="2AEDD68A"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tcPr>
          <w:p w14:paraId="014C435A"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0.470</w:t>
            </w:r>
          </w:p>
        </w:tc>
        <w:tc>
          <w:tcPr>
            <w:tcW w:w="356" w:type="pct"/>
            <w:tcBorders>
              <w:top w:val="nil"/>
              <w:left w:val="nil"/>
              <w:bottom w:val="single" w:sz="4" w:space="0" w:color="auto"/>
              <w:right w:val="single" w:sz="4" w:space="0" w:color="auto"/>
            </w:tcBorders>
            <w:shd w:val="clear" w:color="auto" w:fill="auto"/>
            <w:noWrap/>
            <w:vAlign w:val="center"/>
          </w:tcPr>
          <w:p w14:paraId="65C097A7"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1.140</w:t>
            </w:r>
          </w:p>
        </w:tc>
        <w:tc>
          <w:tcPr>
            <w:tcW w:w="285" w:type="pct"/>
            <w:tcBorders>
              <w:top w:val="nil"/>
              <w:left w:val="nil"/>
              <w:bottom w:val="single" w:sz="4" w:space="0" w:color="auto"/>
              <w:right w:val="single" w:sz="4" w:space="0" w:color="auto"/>
            </w:tcBorders>
            <w:shd w:val="clear" w:color="auto" w:fill="auto"/>
            <w:noWrap/>
            <w:vAlign w:val="center"/>
          </w:tcPr>
          <w:p w14:paraId="2886D835"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tcPr>
          <w:p w14:paraId="582135D4"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1.610</w:t>
            </w: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0D1AF849"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sidR="002338C7">
              <w:rPr>
                <w:rFonts w:ascii="Arial Narrow" w:eastAsia="Times New Roman" w:hAnsi="Arial Narrow" w:cs="Calibri"/>
                <w:color w:val="000000"/>
                <w:sz w:val="16"/>
                <w:szCs w:val="16"/>
              </w:rPr>
              <w:t>5</w:t>
            </w:r>
          </w:p>
        </w:tc>
        <w:tc>
          <w:tcPr>
            <w:tcW w:w="643" w:type="pct"/>
            <w:tcBorders>
              <w:top w:val="nil"/>
              <w:left w:val="nil"/>
              <w:bottom w:val="single" w:sz="4" w:space="0" w:color="auto"/>
              <w:right w:val="single" w:sz="4" w:space="0" w:color="auto"/>
            </w:tcBorders>
            <w:shd w:val="clear" w:color="auto" w:fill="auto"/>
            <w:vAlign w:val="center"/>
          </w:tcPr>
          <w:p w14:paraId="5EB3BC12"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Total Number of Workers</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3042D72E"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0.470</w:t>
            </w:r>
          </w:p>
        </w:tc>
        <w:tc>
          <w:tcPr>
            <w:tcW w:w="397" w:type="pct"/>
            <w:tcBorders>
              <w:top w:val="nil"/>
              <w:left w:val="nil"/>
              <w:bottom w:val="single" w:sz="4" w:space="0" w:color="auto"/>
              <w:right w:val="single" w:sz="4" w:space="0" w:color="auto"/>
            </w:tcBorders>
            <w:shd w:val="clear" w:color="auto" w:fill="auto"/>
            <w:noWrap/>
            <w:vAlign w:val="center"/>
          </w:tcPr>
          <w:p w14:paraId="0F45D4FC"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1.140</w:t>
            </w:r>
          </w:p>
        </w:tc>
        <w:tc>
          <w:tcPr>
            <w:tcW w:w="320" w:type="pct"/>
            <w:tcBorders>
              <w:top w:val="nil"/>
              <w:left w:val="nil"/>
              <w:bottom w:val="single" w:sz="4" w:space="0" w:color="auto"/>
              <w:right w:val="single" w:sz="4" w:space="0" w:color="auto"/>
            </w:tcBorders>
            <w:shd w:val="clear" w:color="auto" w:fill="auto"/>
            <w:noWrap/>
            <w:vAlign w:val="center"/>
          </w:tcPr>
          <w:p w14:paraId="05086FCA"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tcPr>
          <w:p w14:paraId="2FB53A40"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1.610</w:t>
            </w:r>
          </w:p>
        </w:tc>
      </w:tr>
      <w:tr w:rsidR="00644DFC" w:rsidRPr="00644DFC" w14:paraId="2C8B3F16" w14:textId="77777777" w:rsidTr="00301D74">
        <w:trPr>
          <w:cantSplit/>
          <w:trHeight w:val="530"/>
        </w:trPr>
        <w:tc>
          <w:tcPr>
            <w:tcW w:w="212" w:type="pct"/>
            <w:tcBorders>
              <w:top w:val="nil"/>
              <w:left w:val="single" w:sz="8" w:space="0" w:color="auto"/>
              <w:bottom w:val="single" w:sz="4" w:space="0" w:color="auto"/>
              <w:right w:val="single" w:sz="8" w:space="0" w:color="auto"/>
            </w:tcBorders>
            <w:shd w:val="clear" w:color="auto" w:fill="auto"/>
            <w:noWrap/>
            <w:vAlign w:val="center"/>
          </w:tcPr>
          <w:p w14:paraId="4EAF544D"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sidR="002338C7">
              <w:rPr>
                <w:rFonts w:ascii="Arial Narrow" w:eastAsia="Times New Roman" w:hAnsi="Arial Narrow" w:cs="Calibri"/>
                <w:color w:val="000000"/>
                <w:sz w:val="16"/>
                <w:szCs w:val="16"/>
              </w:rPr>
              <w:t>3</w:t>
            </w:r>
          </w:p>
        </w:tc>
        <w:tc>
          <w:tcPr>
            <w:tcW w:w="641" w:type="pct"/>
            <w:tcBorders>
              <w:top w:val="nil"/>
              <w:left w:val="nil"/>
              <w:bottom w:val="single" w:sz="4" w:space="0" w:color="auto"/>
              <w:right w:val="single" w:sz="4" w:space="0" w:color="auto"/>
            </w:tcBorders>
            <w:shd w:val="clear" w:color="auto" w:fill="auto"/>
            <w:vAlign w:val="center"/>
          </w:tcPr>
          <w:p w14:paraId="3741F73F"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Maximum Concentration, Physical Form, Percent Volume of Production</w:t>
            </w:r>
          </w:p>
        </w:tc>
        <w:tc>
          <w:tcPr>
            <w:tcW w:w="427" w:type="pct"/>
            <w:tcBorders>
              <w:top w:val="nil"/>
              <w:left w:val="nil"/>
              <w:bottom w:val="single" w:sz="4" w:space="0" w:color="auto"/>
              <w:right w:val="single" w:sz="8" w:space="0" w:color="auto"/>
            </w:tcBorders>
            <w:shd w:val="clear" w:color="auto" w:fill="auto"/>
            <w:vAlign w:val="center"/>
          </w:tcPr>
          <w:p w14:paraId="78B70D97"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tcPr>
          <w:p w14:paraId="219154AA"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0.860</w:t>
            </w:r>
          </w:p>
        </w:tc>
        <w:tc>
          <w:tcPr>
            <w:tcW w:w="356" w:type="pct"/>
            <w:tcBorders>
              <w:top w:val="nil"/>
              <w:left w:val="nil"/>
              <w:bottom w:val="single" w:sz="4" w:space="0" w:color="auto"/>
              <w:right w:val="single" w:sz="4" w:space="0" w:color="auto"/>
            </w:tcBorders>
            <w:shd w:val="clear" w:color="auto" w:fill="auto"/>
            <w:noWrap/>
            <w:vAlign w:val="center"/>
          </w:tcPr>
          <w:p w14:paraId="5F69CC8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2.230</w:t>
            </w:r>
          </w:p>
        </w:tc>
        <w:tc>
          <w:tcPr>
            <w:tcW w:w="285" w:type="pct"/>
            <w:tcBorders>
              <w:top w:val="nil"/>
              <w:left w:val="nil"/>
              <w:bottom w:val="single" w:sz="4" w:space="0" w:color="auto"/>
              <w:right w:val="single" w:sz="4" w:space="0" w:color="auto"/>
            </w:tcBorders>
            <w:shd w:val="clear" w:color="auto" w:fill="auto"/>
            <w:noWrap/>
            <w:vAlign w:val="center"/>
          </w:tcPr>
          <w:p w14:paraId="78D76D64"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tcPr>
          <w:p w14:paraId="7B8C912E"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3.090</w:t>
            </w: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5AAA9BA7"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sidR="002338C7">
              <w:rPr>
                <w:rFonts w:ascii="Arial Narrow" w:eastAsia="Times New Roman" w:hAnsi="Arial Narrow" w:cs="Calibri"/>
                <w:color w:val="000000"/>
                <w:sz w:val="16"/>
                <w:szCs w:val="16"/>
              </w:rPr>
              <w:t>6</w:t>
            </w:r>
          </w:p>
        </w:tc>
        <w:tc>
          <w:tcPr>
            <w:tcW w:w="643" w:type="pct"/>
            <w:tcBorders>
              <w:top w:val="nil"/>
              <w:left w:val="nil"/>
              <w:bottom w:val="single" w:sz="4" w:space="0" w:color="auto"/>
              <w:right w:val="single" w:sz="4" w:space="0" w:color="auto"/>
            </w:tcBorders>
            <w:shd w:val="clear" w:color="auto" w:fill="auto"/>
            <w:vAlign w:val="center"/>
          </w:tcPr>
          <w:p w14:paraId="5E223EF1"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Maximum Concentration, Physical Form, Percent Volume of Production</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62D5854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0.860</w:t>
            </w:r>
          </w:p>
        </w:tc>
        <w:tc>
          <w:tcPr>
            <w:tcW w:w="397" w:type="pct"/>
            <w:tcBorders>
              <w:top w:val="nil"/>
              <w:left w:val="nil"/>
              <w:bottom w:val="single" w:sz="4" w:space="0" w:color="auto"/>
              <w:right w:val="single" w:sz="4" w:space="0" w:color="auto"/>
            </w:tcBorders>
            <w:shd w:val="clear" w:color="auto" w:fill="auto"/>
            <w:noWrap/>
            <w:vAlign w:val="center"/>
          </w:tcPr>
          <w:p w14:paraId="3466096C"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2.230</w:t>
            </w:r>
          </w:p>
        </w:tc>
        <w:tc>
          <w:tcPr>
            <w:tcW w:w="320" w:type="pct"/>
            <w:tcBorders>
              <w:top w:val="nil"/>
              <w:left w:val="nil"/>
              <w:bottom w:val="single" w:sz="4" w:space="0" w:color="auto"/>
              <w:right w:val="single" w:sz="4" w:space="0" w:color="auto"/>
            </w:tcBorders>
            <w:shd w:val="clear" w:color="auto" w:fill="auto"/>
            <w:noWrap/>
            <w:vAlign w:val="center"/>
          </w:tcPr>
          <w:p w14:paraId="498442E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tcPr>
          <w:p w14:paraId="7207B3D7"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3.090</w:t>
            </w:r>
          </w:p>
        </w:tc>
      </w:tr>
      <w:tr w:rsidR="00644DFC" w:rsidRPr="00644DFC" w14:paraId="3D99DE6D" w14:textId="77777777" w:rsidTr="00301D74">
        <w:trPr>
          <w:cantSplit/>
          <w:trHeight w:val="530"/>
        </w:trPr>
        <w:tc>
          <w:tcPr>
            <w:tcW w:w="212" w:type="pct"/>
            <w:tcBorders>
              <w:top w:val="nil"/>
              <w:left w:val="single" w:sz="8" w:space="0" w:color="auto"/>
              <w:bottom w:val="single" w:sz="4" w:space="0" w:color="auto"/>
              <w:right w:val="single" w:sz="8" w:space="0" w:color="auto"/>
            </w:tcBorders>
            <w:shd w:val="clear" w:color="auto" w:fill="auto"/>
            <w:noWrap/>
            <w:vAlign w:val="center"/>
          </w:tcPr>
          <w:p w14:paraId="74FFEBC2"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sidR="002338C7">
              <w:rPr>
                <w:rFonts w:ascii="Arial Narrow" w:eastAsia="Times New Roman" w:hAnsi="Arial Narrow" w:cs="Calibri"/>
                <w:color w:val="000000"/>
                <w:sz w:val="16"/>
                <w:szCs w:val="16"/>
              </w:rPr>
              <w:t>4</w:t>
            </w:r>
          </w:p>
        </w:tc>
        <w:tc>
          <w:tcPr>
            <w:tcW w:w="641" w:type="pct"/>
            <w:tcBorders>
              <w:top w:val="nil"/>
              <w:left w:val="nil"/>
              <w:bottom w:val="single" w:sz="4" w:space="0" w:color="auto"/>
              <w:right w:val="single" w:sz="4" w:space="0" w:color="auto"/>
            </w:tcBorders>
            <w:shd w:val="clear" w:color="auto" w:fill="auto"/>
            <w:vAlign w:val="center"/>
          </w:tcPr>
          <w:p w14:paraId="1904573B"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Whether a chemical substance is to be recycled, remanufactured, reprocessed, or reused.</w:t>
            </w:r>
          </w:p>
        </w:tc>
        <w:tc>
          <w:tcPr>
            <w:tcW w:w="427" w:type="pct"/>
            <w:tcBorders>
              <w:top w:val="nil"/>
              <w:left w:val="nil"/>
              <w:bottom w:val="single" w:sz="4" w:space="0" w:color="auto"/>
              <w:right w:val="single" w:sz="8" w:space="0" w:color="auto"/>
            </w:tcBorders>
            <w:shd w:val="clear" w:color="auto" w:fill="auto"/>
            <w:vAlign w:val="center"/>
          </w:tcPr>
          <w:p w14:paraId="56933FAF"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tcPr>
          <w:p w14:paraId="69FF00D3"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0.020</w:t>
            </w:r>
          </w:p>
        </w:tc>
        <w:tc>
          <w:tcPr>
            <w:tcW w:w="356" w:type="pct"/>
            <w:tcBorders>
              <w:top w:val="nil"/>
              <w:left w:val="nil"/>
              <w:bottom w:val="single" w:sz="4" w:space="0" w:color="auto"/>
              <w:right w:val="single" w:sz="4" w:space="0" w:color="auto"/>
            </w:tcBorders>
            <w:shd w:val="clear" w:color="auto" w:fill="auto"/>
            <w:noWrap/>
            <w:vAlign w:val="center"/>
          </w:tcPr>
          <w:p w14:paraId="76CFA033"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0.090</w:t>
            </w:r>
          </w:p>
        </w:tc>
        <w:tc>
          <w:tcPr>
            <w:tcW w:w="285" w:type="pct"/>
            <w:tcBorders>
              <w:top w:val="nil"/>
              <w:left w:val="nil"/>
              <w:bottom w:val="single" w:sz="4" w:space="0" w:color="auto"/>
              <w:right w:val="single" w:sz="4" w:space="0" w:color="auto"/>
            </w:tcBorders>
            <w:shd w:val="clear" w:color="auto" w:fill="auto"/>
            <w:noWrap/>
            <w:vAlign w:val="center"/>
          </w:tcPr>
          <w:p w14:paraId="1641C6E8"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tcPr>
          <w:p w14:paraId="747867DA"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0.110</w:t>
            </w: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4A351187"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sidR="002338C7">
              <w:rPr>
                <w:rFonts w:ascii="Arial Narrow" w:eastAsia="Times New Roman" w:hAnsi="Arial Narrow" w:cs="Calibri"/>
                <w:color w:val="000000"/>
                <w:sz w:val="16"/>
                <w:szCs w:val="16"/>
              </w:rPr>
              <w:t>7</w:t>
            </w:r>
          </w:p>
        </w:tc>
        <w:tc>
          <w:tcPr>
            <w:tcW w:w="643" w:type="pct"/>
            <w:tcBorders>
              <w:top w:val="nil"/>
              <w:left w:val="nil"/>
              <w:bottom w:val="single" w:sz="4" w:space="0" w:color="auto"/>
              <w:right w:val="single" w:sz="4" w:space="0" w:color="auto"/>
            </w:tcBorders>
            <w:shd w:val="clear" w:color="auto" w:fill="auto"/>
            <w:vAlign w:val="center"/>
          </w:tcPr>
          <w:p w14:paraId="70EE4148"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Whether a chemical substance is to be recycled, remanufactured, reprocessed, or reused.</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7F4B4DCE"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0.020</w:t>
            </w:r>
          </w:p>
        </w:tc>
        <w:tc>
          <w:tcPr>
            <w:tcW w:w="397" w:type="pct"/>
            <w:tcBorders>
              <w:top w:val="nil"/>
              <w:left w:val="nil"/>
              <w:bottom w:val="single" w:sz="4" w:space="0" w:color="auto"/>
              <w:right w:val="single" w:sz="4" w:space="0" w:color="auto"/>
            </w:tcBorders>
            <w:shd w:val="clear" w:color="auto" w:fill="auto"/>
            <w:noWrap/>
            <w:vAlign w:val="center"/>
          </w:tcPr>
          <w:p w14:paraId="06F4D25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0.090</w:t>
            </w:r>
          </w:p>
        </w:tc>
        <w:tc>
          <w:tcPr>
            <w:tcW w:w="320" w:type="pct"/>
            <w:tcBorders>
              <w:top w:val="nil"/>
              <w:left w:val="nil"/>
              <w:bottom w:val="single" w:sz="4" w:space="0" w:color="auto"/>
              <w:right w:val="single" w:sz="4" w:space="0" w:color="auto"/>
            </w:tcBorders>
            <w:shd w:val="clear" w:color="auto" w:fill="auto"/>
            <w:noWrap/>
            <w:vAlign w:val="center"/>
          </w:tcPr>
          <w:p w14:paraId="79365335"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tcPr>
          <w:p w14:paraId="3422FEE8"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0.110</w:t>
            </w:r>
          </w:p>
        </w:tc>
      </w:tr>
      <w:tr w:rsidR="00644DFC" w:rsidRPr="00644DFC" w14:paraId="345C2947" w14:textId="77777777" w:rsidTr="00301D74">
        <w:trPr>
          <w:cantSplit/>
          <w:trHeight w:val="530"/>
        </w:trPr>
        <w:tc>
          <w:tcPr>
            <w:tcW w:w="212" w:type="pct"/>
            <w:tcBorders>
              <w:top w:val="nil"/>
              <w:left w:val="single" w:sz="8" w:space="0" w:color="auto"/>
              <w:bottom w:val="single" w:sz="4" w:space="0" w:color="auto"/>
              <w:right w:val="single" w:sz="8" w:space="0" w:color="auto"/>
            </w:tcBorders>
            <w:shd w:val="clear" w:color="auto" w:fill="auto"/>
            <w:noWrap/>
            <w:vAlign w:val="center"/>
          </w:tcPr>
          <w:p w14:paraId="52F6D4C3"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sidR="002338C7">
              <w:rPr>
                <w:rFonts w:ascii="Arial Narrow" w:eastAsia="Times New Roman" w:hAnsi="Arial Narrow" w:cs="Calibri"/>
                <w:color w:val="000000"/>
                <w:sz w:val="16"/>
                <w:szCs w:val="16"/>
              </w:rPr>
              <w:t>5</w:t>
            </w:r>
          </w:p>
        </w:tc>
        <w:tc>
          <w:tcPr>
            <w:tcW w:w="641" w:type="pct"/>
            <w:tcBorders>
              <w:top w:val="nil"/>
              <w:left w:val="nil"/>
              <w:bottom w:val="single" w:sz="4" w:space="0" w:color="auto"/>
              <w:right w:val="single" w:sz="4" w:space="0" w:color="auto"/>
            </w:tcBorders>
            <w:shd w:val="clear" w:color="auto" w:fill="auto"/>
            <w:vAlign w:val="center"/>
          </w:tcPr>
          <w:p w14:paraId="624D1C86"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Production Volume for each of the Years since Last Principal Reporting Year (2012-2014)</w:t>
            </w:r>
          </w:p>
        </w:tc>
        <w:tc>
          <w:tcPr>
            <w:tcW w:w="427" w:type="pct"/>
            <w:tcBorders>
              <w:top w:val="nil"/>
              <w:left w:val="nil"/>
              <w:bottom w:val="single" w:sz="4" w:space="0" w:color="auto"/>
              <w:right w:val="single" w:sz="8" w:space="0" w:color="auto"/>
            </w:tcBorders>
            <w:shd w:val="clear" w:color="auto" w:fill="auto"/>
            <w:vAlign w:val="center"/>
          </w:tcPr>
          <w:p w14:paraId="434C18CC"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tcPr>
          <w:p w14:paraId="596014F6"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0.600</w:t>
            </w:r>
          </w:p>
        </w:tc>
        <w:tc>
          <w:tcPr>
            <w:tcW w:w="356" w:type="pct"/>
            <w:tcBorders>
              <w:top w:val="nil"/>
              <w:left w:val="nil"/>
              <w:bottom w:val="single" w:sz="4" w:space="0" w:color="auto"/>
              <w:right w:val="single" w:sz="4" w:space="0" w:color="auto"/>
            </w:tcBorders>
            <w:shd w:val="clear" w:color="auto" w:fill="auto"/>
            <w:noWrap/>
            <w:vAlign w:val="center"/>
          </w:tcPr>
          <w:p w14:paraId="56110CD0"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2.460</w:t>
            </w:r>
          </w:p>
        </w:tc>
        <w:tc>
          <w:tcPr>
            <w:tcW w:w="285" w:type="pct"/>
            <w:tcBorders>
              <w:top w:val="nil"/>
              <w:left w:val="nil"/>
              <w:bottom w:val="single" w:sz="4" w:space="0" w:color="auto"/>
              <w:right w:val="single" w:sz="4" w:space="0" w:color="auto"/>
            </w:tcBorders>
            <w:shd w:val="clear" w:color="auto" w:fill="auto"/>
            <w:noWrap/>
            <w:vAlign w:val="center"/>
          </w:tcPr>
          <w:p w14:paraId="67257388"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tcPr>
          <w:p w14:paraId="22CE1ECC"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3.060</w:t>
            </w: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58802B49" w14:textId="77777777" w:rsidR="00644DFC" w:rsidRPr="00644DFC" w:rsidRDefault="002338C7"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Pr>
                <w:rFonts w:ascii="Arial Narrow" w:eastAsia="Times New Roman" w:hAnsi="Arial Narrow" w:cs="Calibri"/>
                <w:color w:val="000000"/>
                <w:sz w:val="16"/>
                <w:szCs w:val="16"/>
              </w:rPr>
              <w:t>8</w:t>
            </w:r>
          </w:p>
        </w:tc>
        <w:tc>
          <w:tcPr>
            <w:tcW w:w="643" w:type="pct"/>
            <w:tcBorders>
              <w:top w:val="nil"/>
              <w:left w:val="nil"/>
              <w:bottom w:val="single" w:sz="4" w:space="0" w:color="auto"/>
              <w:right w:val="single" w:sz="4" w:space="0" w:color="auto"/>
            </w:tcBorders>
            <w:shd w:val="clear" w:color="auto" w:fill="auto"/>
            <w:vAlign w:val="center"/>
          </w:tcPr>
          <w:p w14:paraId="48096BAE"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Production Volume for each of the Years since Last Principal Reporting Year</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2C74DC16"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0.600</w:t>
            </w:r>
          </w:p>
        </w:tc>
        <w:tc>
          <w:tcPr>
            <w:tcW w:w="397" w:type="pct"/>
            <w:tcBorders>
              <w:top w:val="nil"/>
              <w:left w:val="nil"/>
              <w:bottom w:val="single" w:sz="4" w:space="0" w:color="auto"/>
              <w:right w:val="single" w:sz="4" w:space="0" w:color="auto"/>
            </w:tcBorders>
            <w:shd w:val="clear" w:color="auto" w:fill="auto"/>
            <w:noWrap/>
            <w:vAlign w:val="center"/>
          </w:tcPr>
          <w:p w14:paraId="1A2C04B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2.460</w:t>
            </w:r>
          </w:p>
        </w:tc>
        <w:tc>
          <w:tcPr>
            <w:tcW w:w="320" w:type="pct"/>
            <w:tcBorders>
              <w:top w:val="nil"/>
              <w:left w:val="nil"/>
              <w:bottom w:val="single" w:sz="4" w:space="0" w:color="auto"/>
              <w:right w:val="single" w:sz="4" w:space="0" w:color="auto"/>
            </w:tcBorders>
            <w:shd w:val="clear" w:color="auto" w:fill="auto"/>
            <w:noWrap/>
            <w:vAlign w:val="center"/>
          </w:tcPr>
          <w:p w14:paraId="25BDE0AF"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tcPr>
          <w:p w14:paraId="00616B40"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3.060</w:t>
            </w:r>
          </w:p>
        </w:tc>
      </w:tr>
      <w:tr w:rsidR="00644DFC" w:rsidRPr="00644DFC" w14:paraId="2804F684" w14:textId="77777777" w:rsidTr="00301D74">
        <w:trPr>
          <w:cantSplit/>
          <w:trHeight w:val="530"/>
        </w:trPr>
        <w:tc>
          <w:tcPr>
            <w:tcW w:w="212" w:type="pct"/>
            <w:tcBorders>
              <w:top w:val="nil"/>
              <w:left w:val="single" w:sz="8" w:space="0" w:color="auto"/>
              <w:bottom w:val="single" w:sz="4" w:space="0" w:color="auto"/>
              <w:right w:val="single" w:sz="8" w:space="0" w:color="auto"/>
            </w:tcBorders>
            <w:shd w:val="clear" w:color="auto" w:fill="auto"/>
            <w:noWrap/>
            <w:vAlign w:val="center"/>
          </w:tcPr>
          <w:p w14:paraId="4EA85705" w14:textId="77777777" w:rsidR="00644DFC" w:rsidRPr="00644DFC" w:rsidRDefault="002338C7" w:rsidP="00644DFC">
            <w:pPr>
              <w:jc w:val="center"/>
              <w:rPr>
                <w:rFonts w:ascii="Arial Narrow" w:eastAsia="Times New Roman" w:hAnsi="Arial Narrow" w:cs="Calibri"/>
                <w:sz w:val="16"/>
                <w:szCs w:val="16"/>
              </w:rPr>
            </w:pPr>
            <w:r>
              <w:rPr>
                <w:rFonts w:ascii="Arial Narrow" w:eastAsia="Times New Roman" w:hAnsi="Arial Narrow" w:cs="Calibri"/>
                <w:sz w:val="16"/>
                <w:szCs w:val="16"/>
              </w:rPr>
              <w:t>16</w:t>
            </w:r>
            <w:r w:rsidR="000342CD">
              <w:rPr>
                <w:rFonts w:ascii="Arial Narrow" w:eastAsia="Times New Roman" w:hAnsi="Arial Narrow" w:cs="Calibri"/>
                <w:sz w:val="16"/>
                <w:szCs w:val="16"/>
                <w:vertAlign w:val="superscript"/>
              </w:rPr>
              <w:t>6</w:t>
            </w:r>
          </w:p>
        </w:tc>
        <w:tc>
          <w:tcPr>
            <w:tcW w:w="641" w:type="pct"/>
            <w:tcBorders>
              <w:top w:val="nil"/>
              <w:left w:val="nil"/>
              <w:bottom w:val="single" w:sz="4" w:space="0" w:color="auto"/>
              <w:right w:val="single" w:sz="4" w:space="0" w:color="auto"/>
            </w:tcBorders>
            <w:shd w:val="clear" w:color="auto" w:fill="auto"/>
            <w:vAlign w:val="center"/>
          </w:tcPr>
          <w:p w14:paraId="2B1F34F5" w14:textId="77777777" w:rsidR="00644DFC" w:rsidRPr="00644DFC" w:rsidRDefault="00644DFC" w:rsidP="00644DFC">
            <w:pPr>
              <w:rPr>
                <w:rFonts w:ascii="Arial Narrow" w:eastAsia="Times New Roman" w:hAnsi="Arial Narrow" w:cs="Calibri"/>
                <w:sz w:val="16"/>
                <w:szCs w:val="16"/>
              </w:rPr>
            </w:pPr>
            <w:r w:rsidRPr="00644DFC">
              <w:rPr>
                <w:rFonts w:ascii="Arial Narrow" w:eastAsia="Times New Roman" w:hAnsi="Arial Narrow" w:cs="Calibri"/>
                <w:sz w:val="16"/>
                <w:szCs w:val="16"/>
              </w:rPr>
              <w:t>Plant Site Upfront Substantiation</w:t>
            </w:r>
          </w:p>
        </w:tc>
        <w:tc>
          <w:tcPr>
            <w:tcW w:w="427" w:type="pct"/>
            <w:tcBorders>
              <w:top w:val="nil"/>
              <w:left w:val="nil"/>
              <w:bottom w:val="single" w:sz="4" w:space="0" w:color="auto"/>
              <w:right w:val="single" w:sz="8" w:space="0" w:color="auto"/>
            </w:tcBorders>
            <w:shd w:val="clear" w:color="auto" w:fill="auto"/>
            <w:vAlign w:val="center"/>
          </w:tcPr>
          <w:p w14:paraId="673F622F" w14:textId="77777777" w:rsidR="00644DFC" w:rsidRPr="00644DFC" w:rsidRDefault="00644DFC" w:rsidP="00644DFC">
            <w:pPr>
              <w:jc w:val="center"/>
              <w:rPr>
                <w:rFonts w:ascii="Arial Narrow" w:eastAsia="Times New Roman" w:hAnsi="Arial Narrow" w:cs="Calibri"/>
                <w:sz w:val="16"/>
                <w:szCs w:val="16"/>
              </w:rPr>
            </w:pPr>
            <w:r w:rsidRPr="00644DFC">
              <w:rPr>
                <w:rFonts w:ascii="Arial Narrow" w:eastAsia="Times New Roman" w:hAnsi="Arial Narrow" w:cs="Calibri"/>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tcPr>
          <w:p w14:paraId="05A69459"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0.410</w:t>
            </w:r>
          </w:p>
        </w:tc>
        <w:tc>
          <w:tcPr>
            <w:tcW w:w="356" w:type="pct"/>
            <w:tcBorders>
              <w:top w:val="nil"/>
              <w:left w:val="nil"/>
              <w:bottom w:val="single" w:sz="4" w:space="0" w:color="auto"/>
              <w:right w:val="single" w:sz="4" w:space="0" w:color="auto"/>
            </w:tcBorders>
            <w:shd w:val="clear" w:color="auto" w:fill="auto"/>
            <w:noWrap/>
            <w:vAlign w:val="center"/>
          </w:tcPr>
          <w:p w14:paraId="6295C3B1"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0.660</w:t>
            </w:r>
          </w:p>
        </w:tc>
        <w:tc>
          <w:tcPr>
            <w:tcW w:w="285" w:type="pct"/>
            <w:tcBorders>
              <w:top w:val="nil"/>
              <w:left w:val="nil"/>
              <w:bottom w:val="single" w:sz="4" w:space="0" w:color="auto"/>
              <w:right w:val="single" w:sz="4" w:space="0" w:color="auto"/>
            </w:tcBorders>
            <w:shd w:val="clear" w:color="auto" w:fill="auto"/>
            <w:noWrap/>
            <w:vAlign w:val="center"/>
          </w:tcPr>
          <w:p w14:paraId="26814155"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0.000</w:t>
            </w:r>
          </w:p>
        </w:tc>
        <w:tc>
          <w:tcPr>
            <w:tcW w:w="357" w:type="pct"/>
            <w:tcBorders>
              <w:top w:val="nil"/>
              <w:left w:val="nil"/>
              <w:bottom w:val="single" w:sz="4" w:space="0" w:color="auto"/>
              <w:right w:val="single" w:sz="8" w:space="0" w:color="auto"/>
            </w:tcBorders>
            <w:shd w:val="clear" w:color="auto" w:fill="auto"/>
            <w:noWrap/>
            <w:vAlign w:val="center"/>
          </w:tcPr>
          <w:p w14:paraId="47B42029"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1.070</w:t>
            </w: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6442AD45" w14:textId="77777777" w:rsidR="00644DFC" w:rsidRPr="00644DFC" w:rsidRDefault="002338C7" w:rsidP="00644DFC">
            <w:pPr>
              <w:jc w:val="center"/>
              <w:rPr>
                <w:rFonts w:ascii="Arial Narrow" w:eastAsia="Times New Roman" w:hAnsi="Arial Narrow" w:cs="Calibri"/>
                <w:sz w:val="16"/>
                <w:szCs w:val="16"/>
              </w:rPr>
            </w:pPr>
            <w:r>
              <w:rPr>
                <w:rFonts w:ascii="Arial Narrow" w:eastAsia="Times New Roman" w:hAnsi="Arial Narrow" w:cs="Calibri"/>
                <w:sz w:val="16"/>
                <w:szCs w:val="16"/>
              </w:rPr>
              <w:t>19</w:t>
            </w:r>
            <w:r w:rsidR="000342CD">
              <w:rPr>
                <w:rFonts w:ascii="Arial Narrow" w:eastAsia="Times New Roman" w:hAnsi="Arial Narrow" w:cs="Calibri"/>
                <w:sz w:val="16"/>
                <w:szCs w:val="16"/>
                <w:vertAlign w:val="superscript"/>
              </w:rPr>
              <w:t>6</w:t>
            </w:r>
          </w:p>
        </w:tc>
        <w:tc>
          <w:tcPr>
            <w:tcW w:w="643" w:type="pct"/>
            <w:tcBorders>
              <w:top w:val="nil"/>
              <w:left w:val="nil"/>
              <w:bottom w:val="single" w:sz="4" w:space="0" w:color="auto"/>
              <w:right w:val="single" w:sz="4" w:space="0" w:color="auto"/>
            </w:tcBorders>
            <w:shd w:val="clear" w:color="auto" w:fill="auto"/>
            <w:vAlign w:val="center"/>
          </w:tcPr>
          <w:p w14:paraId="6CFE0AE1" w14:textId="77777777" w:rsidR="00644DFC" w:rsidRPr="00044368" w:rsidRDefault="00644DFC" w:rsidP="00644DFC">
            <w:pPr>
              <w:rPr>
                <w:rFonts w:ascii="Arial Narrow" w:eastAsia="Times New Roman" w:hAnsi="Arial Narrow" w:cs="Calibri"/>
                <w:sz w:val="16"/>
                <w:szCs w:val="16"/>
                <w:lang w:val="fr-FR"/>
              </w:rPr>
            </w:pPr>
            <w:r w:rsidRPr="00044368">
              <w:rPr>
                <w:rFonts w:ascii="Arial Narrow" w:eastAsia="Times New Roman" w:hAnsi="Arial Narrow" w:cs="Calibri"/>
                <w:sz w:val="16"/>
                <w:szCs w:val="16"/>
                <w:lang w:val="fr-FR"/>
              </w:rPr>
              <w:t>Non-Chem ID CBI Substantiation (Part II)</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68F43945"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0.410</w:t>
            </w:r>
          </w:p>
        </w:tc>
        <w:tc>
          <w:tcPr>
            <w:tcW w:w="397" w:type="pct"/>
            <w:tcBorders>
              <w:top w:val="nil"/>
              <w:left w:val="nil"/>
              <w:bottom w:val="single" w:sz="4" w:space="0" w:color="auto"/>
              <w:right w:val="single" w:sz="4" w:space="0" w:color="auto"/>
            </w:tcBorders>
            <w:shd w:val="clear" w:color="auto" w:fill="auto"/>
            <w:noWrap/>
            <w:vAlign w:val="center"/>
          </w:tcPr>
          <w:p w14:paraId="7C45FCAE"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0.660</w:t>
            </w:r>
          </w:p>
        </w:tc>
        <w:tc>
          <w:tcPr>
            <w:tcW w:w="320" w:type="pct"/>
            <w:tcBorders>
              <w:top w:val="nil"/>
              <w:left w:val="nil"/>
              <w:bottom w:val="single" w:sz="4" w:space="0" w:color="auto"/>
              <w:right w:val="single" w:sz="4" w:space="0" w:color="auto"/>
            </w:tcBorders>
            <w:shd w:val="clear" w:color="auto" w:fill="auto"/>
            <w:noWrap/>
            <w:vAlign w:val="center"/>
          </w:tcPr>
          <w:p w14:paraId="23FB9FA4"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0.000</w:t>
            </w:r>
          </w:p>
        </w:tc>
        <w:tc>
          <w:tcPr>
            <w:tcW w:w="373" w:type="pct"/>
            <w:tcBorders>
              <w:top w:val="nil"/>
              <w:left w:val="nil"/>
              <w:bottom w:val="single" w:sz="4" w:space="0" w:color="auto"/>
              <w:right w:val="single" w:sz="8" w:space="0" w:color="auto"/>
            </w:tcBorders>
            <w:shd w:val="clear" w:color="auto" w:fill="auto"/>
            <w:noWrap/>
            <w:vAlign w:val="center"/>
          </w:tcPr>
          <w:p w14:paraId="072816F2"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1.070</w:t>
            </w:r>
          </w:p>
        </w:tc>
      </w:tr>
      <w:tr w:rsidR="00644DFC" w:rsidRPr="00644DFC" w14:paraId="3968A673" w14:textId="77777777" w:rsidTr="00301D74">
        <w:trPr>
          <w:cantSplit/>
          <w:trHeight w:val="448"/>
        </w:trPr>
        <w:tc>
          <w:tcPr>
            <w:tcW w:w="212"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6171ED0F" w14:textId="77777777" w:rsidR="00644DFC" w:rsidRPr="00644DFC" w:rsidRDefault="00644DFC" w:rsidP="00644DFC">
            <w:pPr>
              <w:jc w:val="center"/>
              <w:rPr>
                <w:rFonts w:ascii="Arial Narrow" w:eastAsia="Times New Roman" w:hAnsi="Arial Narrow" w:cs="Calibri"/>
                <w:color w:val="000000"/>
                <w:sz w:val="16"/>
                <w:szCs w:val="16"/>
              </w:rPr>
            </w:pPr>
          </w:p>
        </w:tc>
        <w:tc>
          <w:tcPr>
            <w:tcW w:w="641" w:type="pct"/>
            <w:tcBorders>
              <w:top w:val="single" w:sz="8" w:space="0" w:color="auto"/>
              <w:left w:val="single" w:sz="8" w:space="0" w:color="auto"/>
              <w:bottom w:val="single" w:sz="8" w:space="0" w:color="auto"/>
              <w:right w:val="single" w:sz="6" w:space="0" w:color="auto"/>
            </w:tcBorders>
            <w:shd w:val="clear" w:color="auto" w:fill="D9D9D9"/>
            <w:vAlign w:val="center"/>
            <w:hideMark/>
          </w:tcPr>
          <w:p w14:paraId="6AA040BF" w14:textId="77777777" w:rsidR="00644DFC" w:rsidRPr="00644DFC" w:rsidRDefault="00644DFC" w:rsidP="00644DFC">
            <w:pP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Subtotal, Part II</w:t>
            </w:r>
          </w:p>
        </w:tc>
        <w:tc>
          <w:tcPr>
            <w:tcW w:w="427" w:type="pct"/>
            <w:tcBorders>
              <w:top w:val="single" w:sz="8" w:space="0" w:color="auto"/>
              <w:left w:val="single" w:sz="6" w:space="0" w:color="auto"/>
              <w:bottom w:val="single" w:sz="8" w:space="0" w:color="auto"/>
              <w:right w:val="single" w:sz="6" w:space="0" w:color="auto"/>
            </w:tcBorders>
            <w:shd w:val="clear" w:color="auto" w:fill="D9D9D9"/>
            <w:vAlign w:val="center"/>
            <w:hideMark/>
          </w:tcPr>
          <w:p w14:paraId="20E0D999" w14:textId="77777777" w:rsidR="00644DFC" w:rsidRPr="00644DFC" w:rsidRDefault="00644DFC" w:rsidP="00644DFC">
            <w:pPr>
              <w:jc w:val="cente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Per chemical</w:t>
            </w:r>
          </w:p>
        </w:tc>
        <w:tc>
          <w:tcPr>
            <w:tcW w:w="392" w:type="pct"/>
            <w:tcBorders>
              <w:top w:val="single" w:sz="8" w:space="0" w:color="auto"/>
              <w:left w:val="single" w:sz="6" w:space="0" w:color="auto"/>
              <w:bottom w:val="single" w:sz="8" w:space="0" w:color="auto"/>
              <w:right w:val="single" w:sz="6" w:space="0" w:color="auto"/>
            </w:tcBorders>
            <w:shd w:val="clear" w:color="auto" w:fill="D9D9D9"/>
            <w:noWrap/>
            <w:vAlign w:val="center"/>
            <w:hideMark/>
          </w:tcPr>
          <w:p w14:paraId="6D087FDF" w14:textId="77777777" w:rsidR="00644DFC" w:rsidRPr="00644DFC" w:rsidRDefault="00644DFC" w:rsidP="00644DFC">
            <w:pPr>
              <w:ind w:right="101"/>
              <w:jc w:val="center"/>
              <w:rPr>
                <w:rFonts w:ascii="Arial Narrow" w:eastAsia="Times New Roman" w:hAnsi="Arial Narrow" w:cs="Calibri"/>
                <w:b/>
                <w:bCs/>
                <w:color w:val="000000"/>
                <w:sz w:val="16"/>
                <w:szCs w:val="16"/>
              </w:rPr>
            </w:pPr>
          </w:p>
        </w:tc>
        <w:tc>
          <w:tcPr>
            <w:tcW w:w="356" w:type="pct"/>
            <w:tcBorders>
              <w:top w:val="single" w:sz="8" w:space="0" w:color="auto"/>
              <w:left w:val="single" w:sz="6" w:space="0" w:color="auto"/>
              <w:bottom w:val="single" w:sz="8" w:space="0" w:color="auto"/>
              <w:right w:val="single" w:sz="6" w:space="0" w:color="auto"/>
            </w:tcBorders>
            <w:shd w:val="clear" w:color="auto" w:fill="D9D9D9"/>
            <w:noWrap/>
            <w:vAlign w:val="center"/>
            <w:hideMark/>
          </w:tcPr>
          <w:p w14:paraId="7A1E7E2D" w14:textId="77777777" w:rsidR="00644DFC" w:rsidRPr="00644DFC" w:rsidRDefault="00644DFC" w:rsidP="00644DFC">
            <w:pPr>
              <w:ind w:right="101"/>
              <w:jc w:val="center"/>
              <w:rPr>
                <w:rFonts w:ascii="Arial Narrow" w:eastAsia="Times New Roman" w:hAnsi="Arial Narrow" w:cs="Calibri"/>
                <w:b/>
                <w:bCs/>
                <w:color w:val="000000"/>
                <w:sz w:val="16"/>
                <w:szCs w:val="16"/>
              </w:rPr>
            </w:pPr>
          </w:p>
        </w:tc>
        <w:tc>
          <w:tcPr>
            <w:tcW w:w="285" w:type="pct"/>
            <w:tcBorders>
              <w:top w:val="single" w:sz="8" w:space="0" w:color="auto"/>
              <w:left w:val="single" w:sz="6" w:space="0" w:color="auto"/>
              <w:bottom w:val="single" w:sz="8" w:space="0" w:color="auto"/>
              <w:right w:val="single" w:sz="6" w:space="0" w:color="auto"/>
            </w:tcBorders>
            <w:shd w:val="clear" w:color="auto" w:fill="D9D9D9"/>
            <w:noWrap/>
            <w:vAlign w:val="center"/>
            <w:hideMark/>
          </w:tcPr>
          <w:p w14:paraId="7EDB8166" w14:textId="77777777" w:rsidR="00644DFC" w:rsidRPr="00644DFC" w:rsidRDefault="00644DFC" w:rsidP="00644DFC">
            <w:pPr>
              <w:ind w:right="101"/>
              <w:jc w:val="center"/>
              <w:rPr>
                <w:rFonts w:ascii="Arial Narrow" w:eastAsia="Times New Roman" w:hAnsi="Arial Narrow" w:cs="Calibri"/>
                <w:b/>
                <w:bCs/>
                <w:color w:val="000000"/>
                <w:sz w:val="16"/>
                <w:szCs w:val="16"/>
              </w:rPr>
            </w:pPr>
          </w:p>
        </w:tc>
        <w:tc>
          <w:tcPr>
            <w:tcW w:w="357" w:type="pct"/>
            <w:tcBorders>
              <w:top w:val="single" w:sz="8" w:space="0" w:color="auto"/>
              <w:left w:val="single" w:sz="6" w:space="0" w:color="auto"/>
              <w:bottom w:val="single" w:sz="8" w:space="0" w:color="auto"/>
              <w:right w:val="single" w:sz="8" w:space="0" w:color="auto"/>
            </w:tcBorders>
            <w:shd w:val="clear" w:color="auto" w:fill="D9D9D9"/>
            <w:noWrap/>
            <w:vAlign w:val="center"/>
            <w:hideMark/>
          </w:tcPr>
          <w:p w14:paraId="46002C67"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14.310</w:t>
            </w:r>
          </w:p>
        </w:tc>
        <w:tc>
          <w:tcPr>
            <w:tcW w:w="213"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0FB4391F" w14:textId="77777777" w:rsidR="00644DFC" w:rsidRPr="00644DFC" w:rsidRDefault="00644DFC" w:rsidP="00644DFC">
            <w:pPr>
              <w:jc w:val="center"/>
              <w:rPr>
                <w:rFonts w:ascii="Calibri" w:eastAsia="Times New Roman" w:hAnsi="Calibri" w:cs="Calibri"/>
                <w:color w:val="000000"/>
                <w:sz w:val="16"/>
                <w:szCs w:val="16"/>
              </w:rPr>
            </w:pPr>
          </w:p>
        </w:tc>
        <w:tc>
          <w:tcPr>
            <w:tcW w:w="643" w:type="pct"/>
            <w:tcBorders>
              <w:top w:val="single" w:sz="8" w:space="0" w:color="auto"/>
              <w:left w:val="single" w:sz="8" w:space="0" w:color="auto"/>
              <w:bottom w:val="single" w:sz="8" w:space="0" w:color="auto"/>
              <w:right w:val="single" w:sz="6" w:space="0" w:color="auto"/>
            </w:tcBorders>
            <w:shd w:val="clear" w:color="auto" w:fill="D9D9D9"/>
            <w:vAlign w:val="center"/>
            <w:hideMark/>
          </w:tcPr>
          <w:p w14:paraId="10001B9A" w14:textId="77777777" w:rsidR="00644DFC" w:rsidRPr="00644DFC" w:rsidRDefault="00644DFC" w:rsidP="00644DFC">
            <w:pP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Subtotal, Part II</w:t>
            </w:r>
          </w:p>
        </w:tc>
        <w:tc>
          <w:tcPr>
            <w:tcW w:w="384" w:type="pct"/>
            <w:tcBorders>
              <w:top w:val="single" w:sz="8" w:space="0" w:color="auto"/>
              <w:left w:val="single" w:sz="6" w:space="0" w:color="auto"/>
              <w:bottom w:val="single" w:sz="8" w:space="0" w:color="auto"/>
              <w:right w:val="single" w:sz="6" w:space="0" w:color="auto"/>
            </w:tcBorders>
            <w:shd w:val="clear" w:color="auto" w:fill="D9D9D9"/>
            <w:noWrap/>
            <w:vAlign w:val="center"/>
            <w:hideMark/>
          </w:tcPr>
          <w:p w14:paraId="6F2FA567" w14:textId="77777777" w:rsidR="00644DFC" w:rsidRPr="00644DFC" w:rsidRDefault="00644DFC" w:rsidP="00644DFC">
            <w:pPr>
              <w:ind w:right="101"/>
              <w:jc w:val="center"/>
              <w:rPr>
                <w:rFonts w:ascii="Arial Narrow" w:eastAsia="Times New Roman" w:hAnsi="Arial Narrow" w:cs="Calibri"/>
                <w:b/>
                <w:bCs/>
                <w:color w:val="000000"/>
                <w:sz w:val="16"/>
                <w:szCs w:val="16"/>
              </w:rPr>
            </w:pPr>
          </w:p>
        </w:tc>
        <w:tc>
          <w:tcPr>
            <w:tcW w:w="397" w:type="pct"/>
            <w:tcBorders>
              <w:top w:val="single" w:sz="8" w:space="0" w:color="auto"/>
              <w:left w:val="single" w:sz="6" w:space="0" w:color="auto"/>
              <w:bottom w:val="single" w:sz="8" w:space="0" w:color="auto"/>
              <w:right w:val="single" w:sz="6" w:space="0" w:color="auto"/>
            </w:tcBorders>
            <w:shd w:val="clear" w:color="auto" w:fill="D9D9D9"/>
            <w:noWrap/>
            <w:vAlign w:val="center"/>
            <w:hideMark/>
          </w:tcPr>
          <w:p w14:paraId="11E9650B" w14:textId="77777777" w:rsidR="00644DFC" w:rsidRPr="00644DFC" w:rsidRDefault="00644DFC" w:rsidP="00644DFC">
            <w:pPr>
              <w:ind w:right="101"/>
              <w:jc w:val="center"/>
              <w:rPr>
                <w:rFonts w:ascii="Arial Narrow" w:eastAsia="Times New Roman" w:hAnsi="Arial Narrow" w:cs="Calibri"/>
                <w:b/>
                <w:bCs/>
                <w:color w:val="000000"/>
                <w:sz w:val="16"/>
                <w:szCs w:val="16"/>
              </w:rPr>
            </w:pPr>
          </w:p>
        </w:tc>
        <w:tc>
          <w:tcPr>
            <w:tcW w:w="320" w:type="pct"/>
            <w:tcBorders>
              <w:top w:val="single" w:sz="8" w:space="0" w:color="auto"/>
              <w:left w:val="single" w:sz="6" w:space="0" w:color="auto"/>
              <w:bottom w:val="single" w:sz="8" w:space="0" w:color="auto"/>
              <w:right w:val="single" w:sz="6" w:space="0" w:color="auto"/>
            </w:tcBorders>
            <w:shd w:val="clear" w:color="auto" w:fill="D9D9D9"/>
            <w:noWrap/>
            <w:vAlign w:val="center"/>
            <w:hideMark/>
          </w:tcPr>
          <w:p w14:paraId="41D61DF4" w14:textId="77777777" w:rsidR="00644DFC" w:rsidRPr="00644DFC" w:rsidRDefault="00644DFC" w:rsidP="00644DFC">
            <w:pPr>
              <w:ind w:right="101"/>
              <w:jc w:val="center"/>
              <w:rPr>
                <w:rFonts w:ascii="Arial Narrow" w:eastAsia="Times New Roman" w:hAnsi="Arial Narrow" w:cs="Calibri"/>
                <w:b/>
                <w:bCs/>
                <w:color w:val="000000"/>
                <w:sz w:val="16"/>
                <w:szCs w:val="16"/>
              </w:rPr>
            </w:pPr>
          </w:p>
        </w:tc>
        <w:tc>
          <w:tcPr>
            <w:tcW w:w="373" w:type="pct"/>
            <w:tcBorders>
              <w:top w:val="single" w:sz="8" w:space="0" w:color="auto"/>
              <w:left w:val="single" w:sz="6" w:space="0" w:color="auto"/>
              <w:bottom w:val="single" w:sz="8" w:space="0" w:color="auto"/>
              <w:right w:val="single" w:sz="8" w:space="0" w:color="auto"/>
            </w:tcBorders>
            <w:shd w:val="clear" w:color="auto" w:fill="D9D9D9"/>
            <w:noWrap/>
            <w:vAlign w:val="center"/>
            <w:hideMark/>
          </w:tcPr>
          <w:p w14:paraId="4E47F401"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1</w:t>
            </w:r>
            <w:r w:rsidR="00D57AF8">
              <w:rPr>
                <w:rFonts w:ascii="Arial Narrow" w:eastAsia="Times New Roman" w:hAnsi="Arial Narrow" w:cs="Calibri"/>
                <w:b/>
                <w:bCs/>
                <w:color w:val="000000"/>
                <w:sz w:val="16"/>
                <w:szCs w:val="16"/>
              </w:rPr>
              <w:t>4</w:t>
            </w:r>
            <w:r w:rsidRPr="00644DFC">
              <w:rPr>
                <w:rFonts w:ascii="Arial Narrow" w:eastAsia="Times New Roman" w:hAnsi="Arial Narrow" w:cs="Calibri"/>
                <w:b/>
                <w:bCs/>
                <w:color w:val="000000"/>
                <w:sz w:val="16"/>
                <w:szCs w:val="16"/>
              </w:rPr>
              <w:t>.</w:t>
            </w:r>
            <w:r w:rsidR="00D57AF8">
              <w:rPr>
                <w:rFonts w:ascii="Arial Narrow" w:eastAsia="Times New Roman" w:hAnsi="Arial Narrow" w:cs="Calibri"/>
                <w:b/>
                <w:bCs/>
                <w:color w:val="000000"/>
                <w:sz w:val="16"/>
                <w:szCs w:val="16"/>
              </w:rPr>
              <w:t>322</w:t>
            </w:r>
          </w:p>
        </w:tc>
      </w:tr>
      <w:tr w:rsidR="00301D74" w:rsidRPr="00644DFC" w14:paraId="1D44466D" w14:textId="77777777" w:rsidTr="00D57AF8">
        <w:trPr>
          <w:cantSplit/>
          <w:trHeight w:val="290"/>
        </w:trPr>
        <w:tc>
          <w:tcPr>
            <w:tcW w:w="5000" w:type="pct"/>
            <w:gridSpan w:val="13"/>
            <w:tcBorders>
              <w:top w:val="single" w:sz="8" w:space="0" w:color="auto"/>
              <w:left w:val="single" w:sz="8" w:space="0" w:color="auto"/>
              <w:bottom w:val="single" w:sz="8" w:space="0" w:color="auto"/>
              <w:right w:val="single" w:sz="8" w:space="0" w:color="auto"/>
            </w:tcBorders>
            <w:shd w:val="clear" w:color="auto" w:fill="D9D9D9"/>
            <w:noWrap/>
            <w:vAlign w:val="bottom"/>
            <w:hideMark/>
          </w:tcPr>
          <w:p w14:paraId="7EC66CAE" w14:textId="77777777" w:rsidR="00301D74" w:rsidRPr="00644DFC" w:rsidRDefault="00301D74" w:rsidP="00D57AF8">
            <w:pPr>
              <w:jc w:val="center"/>
              <w:rPr>
                <w:rFonts w:ascii="Arial Narrow" w:eastAsia="Times New Roman" w:hAnsi="Arial Narrow" w:cs="Calibri"/>
                <w:color w:val="000000"/>
                <w:sz w:val="16"/>
                <w:szCs w:val="16"/>
              </w:rPr>
            </w:pPr>
            <w:r w:rsidRPr="00644DFC">
              <w:rPr>
                <w:rFonts w:ascii="Arial Narrow" w:eastAsia="Times New Roman" w:hAnsi="Arial Narrow" w:cs="Calibri"/>
                <w:b/>
                <w:bCs/>
                <w:i/>
                <w:iCs/>
                <w:color w:val="000000"/>
                <w:sz w:val="16"/>
                <w:szCs w:val="16"/>
              </w:rPr>
              <w:t>Part III Processing and Use Information</w:t>
            </w:r>
          </w:p>
        </w:tc>
      </w:tr>
      <w:tr w:rsidR="00644DFC" w:rsidRPr="00644DFC" w14:paraId="1AA8CCBC" w14:textId="77777777" w:rsidTr="00644DFC">
        <w:trPr>
          <w:cantSplit/>
          <w:trHeight w:val="290"/>
        </w:trPr>
        <w:tc>
          <w:tcPr>
            <w:tcW w:w="212" w:type="pct"/>
            <w:tcBorders>
              <w:top w:val="nil"/>
              <w:left w:val="single" w:sz="8" w:space="0" w:color="auto"/>
              <w:bottom w:val="single" w:sz="4" w:space="0" w:color="auto"/>
              <w:right w:val="single" w:sz="8" w:space="0" w:color="auto"/>
            </w:tcBorders>
            <w:shd w:val="clear" w:color="auto" w:fill="F2F2F2"/>
            <w:noWrap/>
            <w:vAlign w:val="center"/>
            <w:hideMark/>
          </w:tcPr>
          <w:p w14:paraId="5F4E76C6" w14:textId="77777777" w:rsidR="00644DFC" w:rsidRPr="00644DFC" w:rsidRDefault="00644DFC" w:rsidP="00644DFC">
            <w:pPr>
              <w:jc w:val="center"/>
              <w:rPr>
                <w:rFonts w:ascii="Arial Narrow" w:eastAsia="Times New Roman" w:hAnsi="Arial Narrow" w:cs="Calibri"/>
                <w:color w:val="000000"/>
                <w:sz w:val="16"/>
                <w:szCs w:val="16"/>
              </w:rPr>
            </w:pPr>
          </w:p>
        </w:tc>
        <w:tc>
          <w:tcPr>
            <w:tcW w:w="2458" w:type="pct"/>
            <w:gridSpan w:val="6"/>
            <w:tcBorders>
              <w:top w:val="single" w:sz="4" w:space="0" w:color="auto"/>
              <w:left w:val="single" w:sz="8" w:space="0" w:color="auto"/>
              <w:bottom w:val="single" w:sz="4" w:space="0" w:color="auto"/>
              <w:right w:val="single" w:sz="8" w:space="0" w:color="auto"/>
            </w:tcBorders>
            <w:shd w:val="clear" w:color="auto" w:fill="F2F2F2"/>
            <w:noWrap/>
            <w:vAlign w:val="center"/>
            <w:hideMark/>
          </w:tcPr>
          <w:p w14:paraId="602F6617" w14:textId="77777777" w:rsidR="00644DFC" w:rsidRPr="00644DFC" w:rsidRDefault="00644DFC" w:rsidP="00644DFC">
            <w:pPr>
              <w:rPr>
                <w:rFonts w:ascii="Arial Narrow" w:eastAsia="Times New Roman" w:hAnsi="Arial Narrow" w:cs="Calibri"/>
                <w:i/>
                <w:color w:val="000000"/>
                <w:sz w:val="16"/>
                <w:szCs w:val="16"/>
              </w:rPr>
            </w:pPr>
            <w:r w:rsidRPr="00644DFC">
              <w:rPr>
                <w:rFonts w:ascii="Arial Narrow" w:eastAsia="Times New Roman" w:hAnsi="Arial Narrow" w:cs="Calibri"/>
                <w:i/>
                <w:color w:val="000000"/>
                <w:sz w:val="16"/>
                <w:szCs w:val="16"/>
              </w:rPr>
              <w:t>Industrial Processing and Use Exposure-Related Data</w:t>
            </w:r>
          </w:p>
        </w:tc>
        <w:tc>
          <w:tcPr>
            <w:tcW w:w="213" w:type="pct"/>
            <w:tcBorders>
              <w:top w:val="single" w:sz="4" w:space="0" w:color="auto"/>
              <w:left w:val="single" w:sz="8" w:space="0" w:color="auto"/>
              <w:bottom w:val="single" w:sz="4" w:space="0" w:color="auto"/>
              <w:right w:val="single" w:sz="8" w:space="0" w:color="auto"/>
            </w:tcBorders>
            <w:shd w:val="clear" w:color="auto" w:fill="F2F2F2"/>
            <w:noWrap/>
            <w:vAlign w:val="center"/>
            <w:hideMark/>
          </w:tcPr>
          <w:p w14:paraId="156C6A3B" w14:textId="77777777" w:rsidR="00644DFC" w:rsidRPr="00644DFC" w:rsidRDefault="00644DFC" w:rsidP="00644DFC">
            <w:pPr>
              <w:jc w:val="center"/>
              <w:rPr>
                <w:rFonts w:ascii="Arial Narrow" w:eastAsia="Times New Roman" w:hAnsi="Arial Narrow" w:cs="Calibri"/>
                <w:i/>
                <w:color w:val="000000"/>
                <w:sz w:val="16"/>
                <w:szCs w:val="16"/>
              </w:rPr>
            </w:pPr>
          </w:p>
        </w:tc>
        <w:tc>
          <w:tcPr>
            <w:tcW w:w="2117" w:type="pct"/>
            <w:gridSpan w:val="5"/>
            <w:tcBorders>
              <w:top w:val="nil"/>
              <w:left w:val="nil"/>
              <w:bottom w:val="single" w:sz="4" w:space="0" w:color="auto"/>
              <w:right w:val="single" w:sz="8" w:space="0" w:color="auto"/>
            </w:tcBorders>
            <w:shd w:val="clear" w:color="auto" w:fill="F2F2F2"/>
            <w:vAlign w:val="center"/>
            <w:hideMark/>
          </w:tcPr>
          <w:p w14:paraId="7B342628" w14:textId="77777777" w:rsidR="00644DFC" w:rsidRPr="00644DFC" w:rsidRDefault="00644DFC" w:rsidP="00644DFC">
            <w:pPr>
              <w:rPr>
                <w:rFonts w:ascii="Arial Narrow" w:eastAsia="Times New Roman" w:hAnsi="Arial Narrow" w:cs="Calibri"/>
                <w:i/>
                <w:color w:val="000000"/>
                <w:sz w:val="16"/>
                <w:szCs w:val="16"/>
              </w:rPr>
            </w:pPr>
            <w:r w:rsidRPr="00644DFC">
              <w:rPr>
                <w:rFonts w:ascii="Arial Narrow" w:eastAsia="Times New Roman" w:hAnsi="Arial Narrow" w:cs="Calibri"/>
                <w:i/>
                <w:color w:val="000000"/>
                <w:sz w:val="16"/>
                <w:szCs w:val="16"/>
              </w:rPr>
              <w:t>Industrial Processing and Use Exposure-Related Data</w:t>
            </w:r>
          </w:p>
        </w:tc>
      </w:tr>
      <w:tr w:rsidR="00644DFC" w:rsidRPr="00644DFC" w14:paraId="37972FD0" w14:textId="77777777" w:rsidTr="00301D74">
        <w:trPr>
          <w:cantSplit/>
          <w:trHeight w:val="600"/>
        </w:trPr>
        <w:tc>
          <w:tcPr>
            <w:tcW w:w="212" w:type="pct"/>
            <w:tcBorders>
              <w:top w:val="nil"/>
              <w:left w:val="single" w:sz="8" w:space="0" w:color="auto"/>
              <w:bottom w:val="single" w:sz="4" w:space="0" w:color="auto"/>
              <w:right w:val="single" w:sz="8" w:space="0" w:color="auto"/>
            </w:tcBorders>
            <w:shd w:val="clear" w:color="auto" w:fill="auto"/>
            <w:noWrap/>
            <w:vAlign w:val="center"/>
          </w:tcPr>
          <w:p w14:paraId="58C31A0B" w14:textId="77777777" w:rsidR="00644DFC" w:rsidRPr="00644DFC" w:rsidRDefault="001D747A" w:rsidP="00644DFC">
            <w:pPr>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17</w:t>
            </w:r>
            <w:r w:rsidR="000342CD">
              <w:rPr>
                <w:rFonts w:ascii="Arial Narrow" w:eastAsia="Times New Roman" w:hAnsi="Arial Narrow" w:cs="Calibri"/>
                <w:color w:val="000000"/>
                <w:sz w:val="16"/>
                <w:szCs w:val="16"/>
                <w:vertAlign w:val="superscript"/>
              </w:rPr>
              <w:t>7</w:t>
            </w:r>
          </w:p>
        </w:tc>
        <w:tc>
          <w:tcPr>
            <w:tcW w:w="641" w:type="pct"/>
            <w:tcBorders>
              <w:top w:val="nil"/>
              <w:left w:val="nil"/>
              <w:bottom w:val="single" w:sz="4" w:space="0" w:color="auto"/>
              <w:right w:val="single" w:sz="4" w:space="0" w:color="auto"/>
            </w:tcBorders>
            <w:shd w:val="clear" w:color="auto" w:fill="auto"/>
            <w:vAlign w:val="center"/>
          </w:tcPr>
          <w:p w14:paraId="4FCAF85A"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Determination of Applicability</w:t>
            </w:r>
          </w:p>
        </w:tc>
        <w:tc>
          <w:tcPr>
            <w:tcW w:w="427" w:type="pct"/>
            <w:tcBorders>
              <w:top w:val="single" w:sz="4" w:space="0" w:color="auto"/>
              <w:left w:val="nil"/>
              <w:bottom w:val="single" w:sz="4" w:space="0" w:color="auto"/>
              <w:right w:val="single" w:sz="8" w:space="0" w:color="auto"/>
            </w:tcBorders>
            <w:shd w:val="clear" w:color="auto" w:fill="auto"/>
            <w:vAlign w:val="center"/>
          </w:tcPr>
          <w:p w14:paraId="38A6852A"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tcPr>
          <w:p w14:paraId="674F6862"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0.230</w:t>
            </w:r>
          </w:p>
        </w:tc>
        <w:tc>
          <w:tcPr>
            <w:tcW w:w="356" w:type="pct"/>
            <w:tcBorders>
              <w:top w:val="nil"/>
              <w:left w:val="nil"/>
              <w:bottom w:val="single" w:sz="4" w:space="0" w:color="auto"/>
              <w:right w:val="single" w:sz="4" w:space="0" w:color="auto"/>
            </w:tcBorders>
            <w:shd w:val="clear" w:color="auto" w:fill="auto"/>
            <w:noWrap/>
            <w:vAlign w:val="center"/>
          </w:tcPr>
          <w:p w14:paraId="6C64666B"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0.810</w:t>
            </w:r>
          </w:p>
        </w:tc>
        <w:tc>
          <w:tcPr>
            <w:tcW w:w="285" w:type="pct"/>
            <w:tcBorders>
              <w:top w:val="nil"/>
              <w:left w:val="nil"/>
              <w:bottom w:val="single" w:sz="4" w:space="0" w:color="auto"/>
              <w:right w:val="single" w:sz="4" w:space="0" w:color="auto"/>
            </w:tcBorders>
            <w:shd w:val="clear" w:color="auto" w:fill="auto"/>
            <w:noWrap/>
            <w:vAlign w:val="center"/>
          </w:tcPr>
          <w:p w14:paraId="62BA0982"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single" w:sz="4" w:space="0" w:color="auto"/>
              <w:left w:val="nil"/>
              <w:bottom w:val="single" w:sz="4" w:space="0" w:color="auto"/>
              <w:right w:val="single" w:sz="8" w:space="0" w:color="auto"/>
            </w:tcBorders>
            <w:shd w:val="clear" w:color="auto" w:fill="auto"/>
            <w:noWrap/>
            <w:vAlign w:val="center"/>
          </w:tcPr>
          <w:p w14:paraId="160BBD23"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1.040</w:t>
            </w: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5B639352" w14:textId="77777777" w:rsidR="00644DFC" w:rsidRPr="00644DFC" w:rsidRDefault="001D747A" w:rsidP="00644DFC">
            <w:pPr>
              <w:jc w:val="center"/>
              <w:rPr>
                <w:rFonts w:ascii="Calibri" w:eastAsia="Times New Roman" w:hAnsi="Calibri" w:cs="Calibri"/>
                <w:color w:val="000000"/>
                <w:sz w:val="16"/>
                <w:szCs w:val="16"/>
              </w:rPr>
            </w:pPr>
            <w:r>
              <w:rPr>
                <w:rFonts w:ascii="Arial Narrow" w:eastAsia="Times New Roman" w:hAnsi="Arial Narrow" w:cs="Calibri"/>
                <w:color w:val="000000"/>
                <w:sz w:val="16"/>
                <w:szCs w:val="16"/>
              </w:rPr>
              <w:t>20</w:t>
            </w:r>
            <w:r w:rsidR="000342CD">
              <w:rPr>
                <w:rFonts w:ascii="Arial Narrow" w:eastAsia="Times New Roman" w:hAnsi="Arial Narrow" w:cs="Calibri"/>
                <w:color w:val="000000"/>
                <w:sz w:val="16"/>
                <w:szCs w:val="16"/>
                <w:vertAlign w:val="superscript"/>
              </w:rPr>
              <w:t>7</w:t>
            </w:r>
            <w:r w:rsidR="00644DFC" w:rsidRPr="00644DFC">
              <w:rPr>
                <w:rFonts w:ascii="Arial Narrow" w:eastAsia="Times New Roman" w:hAnsi="Arial Narrow" w:cs="Calibri"/>
                <w:color w:val="000000"/>
                <w:sz w:val="16"/>
                <w:szCs w:val="16"/>
                <w:vertAlign w:val="superscript"/>
              </w:rPr>
              <w:t>`</w:t>
            </w:r>
          </w:p>
        </w:tc>
        <w:tc>
          <w:tcPr>
            <w:tcW w:w="643" w:type="pct"/>
            <w:tcBorders>
              <w:top w:val="nil"/>
              <w:left w:val="nil"/>
              <w:bottom w:val="single" w:sz="4" w:space="0" w:color="auto"/>
              <w:right w:val="single" w:sz="4" w:space="0" w:color="auto"/>
            </w:tcBorders>
            <w:shd w:val="clear" w:color="auto" w:fill="auto"/>
            <w:vAlign w:val="center"/>
          </w:tcPr>
          <w:p w14:paraId="1617A60E"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 xml:space="preserve">Determination of Applicability (includes </w:t>
            </w:r>
            <w:r w:rsidR="00CE1448">
              <w:rPr>
                <w:rFonts w:ascii="Arial Narrow" w:eastAsia="Times New Roman" w:hAnsi="Arial Narrow" w:cs="Calibri"/>
                <w:color w:val="000000"/>
                <w:sz w:val="16"/>
                <w:szCs w:val="16"/>
              </w:rPr>
              <w:t>“</w:t>
            </w:r>
            <w:r w:rsidR="00F45688">
              <w:rPr>
                <w:rFonts w:ascii="Arial Narrow" w:eastAsia="Times New Roman" w:hAnsi="Arial Narrow" w:cs="Calibri"/>
                <w:color w:val="000000"/>
                <w:sz w:val="16"/>
                <w:szCs w:val="16"/>
              </w:rPr>
              <w:t>T</w:t>
            </w:r>
            <w:r w:rsidRPr="00644DFC">
              <w:rPr>
                <w:rFonts w:ascii="Arial Narrow" w:eastAsia="Times New Roman" w:hAnsi="Arial Narrow" w:cs="Calibri"/>
                <w:color w:val="000000"/>
                <w:sz w:val="16"/>
                <w:szCs w:val="16"/>
              </w:rPr>
              <w:t xml:space="preserve">ype of </w:t>
            </w:r>
            <w:r w:rsidR="00F45688">
              <w:rPr>
                <w:rFonts w:ascii="Arial Narrow" w:eastAsia="Times New Roman" w:hAnsi="Arial Narrow" w:cs="Calibri"/>
                <w:color w:val="000000"/>
                <w:sz w:val="16"/>
                <w:szCs w:val="16"/>
              </w:rPr>
              <w:t>P</w:t>
            </w:r>
            <w:r w:rsidRPr="00644DFC">
              <w:rPr>
                <w:rFonts w:ascii="Arial Narrow" w:eastAsia="Times New Roman" w:hAnsi="Arial Narrow" w:cs="Calibri"/>
                <w:color w:val="000000"/>
                <w:sz w:val="16"/>
                <w:szCs w:val="16"/>
              </w:rPr>
              <w:t xml:space="preserve">rocess or </w:t>
            </w:r>
            <w:r w:rsidR="00F45688">
              <w:rPr>
                <w:rFonts w:ascii="Arial Narrow" w:eastAsia="Times New Roman" w:hAnsi="Arial Narrow" w:cs="Calibri"/>
                <w:color w:val="000000"/>
                <w:sz w:val="16"/>
                <w:szCs w:val="16"/>
              </w:rPr>
              <w:t>U</w:t>
            </w:r>
            <w:r w:rsidRPr="00644DFC">
              <w:rPr>
                <w:rFonts w:ascii="Arial Narrow" w:eastAsia="Times New Roman" w:hAnsi="Arial Narrow" w:cs="Calibri"/>
                <w:color w:val="000000"/>
                <w:sz w:val="16"/>
                <w:szCs w:val="16"/>
              </w:rPr>
              <w:t>se</w:t>
            </w:r>
            <w:r w:rsidR="00CE1448">
              <w:rPr>
                <w:rFonts w:ascii="Arial Narrow" w:eastAsia="Times New Roman" w:hAnsi="Arial Narrow" w:cs="Calibri"/>
                <w:color w:val="000000"/>
                <w:sz w:val="16"/>
                <w:szCs w:val="16"/>
              </w:rPr>
              <w:t>”</w:t>
            </w:r>
            <w:r w:rsidRPr="00644DFC">
              <w:rPr>
                <w:rFonts w:ascii="Arial Narrow" w:eastAsia="Times New Roman" w:hAnsi="Arial Narrow" w:cs="Calibri"/>
                <w:color w:val="000000"/>
                <w:sz w:val="16"/>
                <w:szCs w:val="16"/>
              </w:rPr>
              <w:t>)</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244A24D4"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0.230</w:t>
            </w:r>
          </w:p>
        </w:tc>
        <w:tc>
          <w:tcPr>
            <w:tcW w:w="397" w:type="pct"/>
            <w:tcBorders>
              <w:top w:val="nil"/>
              <w:left w:val="nil"/>
              <w:bottom w:val="single" w:sz="4" w:space="0" w:color="auto"/>
              <w:right w:val="single" w:sz="4" w:space="0" w:color="auto"/>
            </w:tcBorders>
            <w:shd w:val="clear" w:color="auto" w:fill="auto"/>
            <w:noWrap/>
            <w:vAlign w:val="center"/>
          </w:tcPr>
          <w:p w14:paraId="4B73A644"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0.810</w:t>
            </w:r>
          </w:p>
        </w:tc>
        <w:tc>
          <w:tcPr>
            <w:tcW w:w="320" w:type="pct"/>
            <w:tcBorders>
              <w:top w:val="nil"/>
              <w:left w:val="nil"/>
              <w:bottom w:val="single" w:sz="4" w:space="0" w:color="auto"/>
              <w:right w:val="single" w:sz="4" w:space="0" w:color="auto"/>
            </w:tcBorders>
            <w:shd w:val="clear" w:color="auto" w:fill="auto"/>
            <w:noWrap/>
            <w:vAlign w:val="center"/>
          </w:tcPr>
          <w:p w14:paraId="2EBE62F5"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single" w:sz="4" w:space="0" w:color="auto"/>
              <w:left w:val="nil"/>
              <w:bottom w:val="single" w:sz="4" w:space="0" w:color="auto"/>
              <w:right w:val="single" w:sz="8" w:space="0" w:color="auto"/>
            </w:tcBorders>
            <w:shd w:val="clear" w:color="auto" w:fill="auto"/>
            <w:noWrap/>
            <w:vAlign w:val="center"/>
          </w:tcPr>
          <w:p w14:paraId="58E72C31"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1.040</w:t>
            </w:r>
          </w:p>
        </w:tc>
      </w:tr>
      <w:tr w:rsidR="00644DFC" w:rsidRPr="00644DFC" w14:paraId="353CAACD" w14:textId="77777777" w:rsidTr="00301D74">
        <w:trPr>
          <w:cantSplit/>
          <w:trHeight w:val="300"/>
        </w:trPr>
        <w:tc>
          <w:tcPr>
            <w:tcW w:w="212" w:type="pct"/>
            <w:tcBorders>
              <w:top w:val="nil"/>
              <w:left w:val="single" w:sz="8" w:space="0" w:color="auto"/>
              <w:bottom w:val="single" w:sz="4" w:space="0" w:color="auto"/>
              <w:right w:val="single" w:sz="8" w:space="0" w:color="auto"/>
            </w:tcBorders>
            <w:shd w:val="clear" w:color="auto" w:fill="auto"/>
            <w:noWrap/>
            <w:vAlign w:val="center"/>
          </w:tcPr>
          <w:p w14:paraId="3E121A80" w14:textId="77777777" w:rsidR="00644DFC" w:rsidRPr="00644DFC" w:rsidRDefault="001D747A"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w:t>
            </w:r>
            <w:r>
              <w:rPr>
                <w:rFonts w:ascii="Arial Narrow" w:eastAsia="Times New Roman" w:hAnsi="Arial Narrow" w:cs="Calibri"/>
                <w:color w:val="000000"/>
                <w:sz w:val="16"/>
                <w:szCs w:val="16"/>
              </w:rPr>
              <w:t>8</w:t>
            </w:r>
          </w:p>
        </w:tc>
        <w:tc>
          <w:tcPr>
            <w:tcW w:w="641" w:type="pct"/>
            <w:tcBorders>
              <w:top w:val="nil"/>
              <w:left w:val="nil"/>
              <w:bottom w:val="single" w:sz="4" w:space="0" w:color="auto"/>
              <w:right w:val="single" w:sz="4" w:space="0" w:color="auto"/>
            </w:tcBorders>
            <w:shd w:val="clear" w:color="auto" w:fill="auto"/>
            <w:vAlign w:val="center"/>
          </w:tcPr>
          <w:p w14:paraId="578F7578"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Sector</w:t>
            </w:r>
          </w:p>
        </w:tc>
        <w:tc>
          <w:tcPr>
            <w:tcW w:w="427" w:type="pct"/>
            <w:tcBorders>
              <w:top w:val="nil"/>
              <w:left w:val="nil"/>
              <w:bottom w:val="single" w:sz="4" w:space="0" w:color="auto"/>
              <w:right w:val="single" w:sz="8" w:space="0" w:color="auto"/>
            </w:tcBorders>
            <w:shd w:val="clear" w:color="auto" w:fill="auto"/>
            <w:vAlign w:val="center"/>
          </w:tcPr>
          <w:p w14:paraId="359A55AF"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tcPr>
          <w:p w14:paraId="7CD5F34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0.320</w:t>
            </w:r>
          </w:p>
        </w:tc>
        <w:tc>
          <w:tcPr>
            <w:tcW w:w="356" w:type="pct"/>
            <w:tcBorders>
              <w:top w:val="nil"/>
              <w:left w:val="nil"/>
              <w:bottom w:val="single" w:sz="4" w:space="0" w:color="auto"/>
              <w:right w:val="single" w:sz="4" w:space="0" w:color="auto"/>
            </w:tcBorders>
            <w:shd w:val="clear" w:color="auto" w:fill="auto"/>
            <w:noWrap/>
            <w:vAlign w:val="center"/>
          </w:tcPr>
          <w:p w14:paraId="36E33A1F"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0.750</w:t>
            </w:r>
          </w:p>
        </w:tc>
        <w:tc>
          <w:tcPr>
            <w:tcW w:w="285" w:type="pct"/>
            <w:tcBorders>
              <w:top w:val="nil"/>
              <w:left w:val="nil"/>
              <w:bottom w:val="single" w:sz="4" w:space="0" w:color="auto"/>
              <w:right w:val="single" w:sz="4" w:space="0" w:color="auto"/>
            </w:tcBorders>
            <w:shd w:val="clear" w:color="auto" w:fill="auto"/>
            <w:noWrap/>
            <w:vAlign w:val="center"/>
          </w:tcPr>
          <w:p w14:paraId="463981D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tcPr>
          <w:p w14:paraId="2735FE80"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1.070</w:t>
            </w: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5D714A97" w14:textId="77777777" w:rsidR="00644DFC" w:rsidRPr="00644DFC" w:rsidRDefault="001D747A" w:rsidP="00644DFC">
            <w:pPr>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21</w:t>
            </w:r>
          </w:p>
        </w:tc>
        <w:tc>
          <w:tcPr>
            <w:tcW w:w="643" w:type="pct"/>
            <w:tcBorders>
              <w:top w:val="nil"/>
              <w:left w:val="nil"/>
              <w:bottom w:val="single" w:sz="4" w:space="0" w:color="auto"/>
              <w:right w:val="single" w:sz="4" w:space="0" w:color="auto"/>
            </w:tcBorders>
            <w:shd w:val="clear" w:color="auto" w:fill="auto"/>
            <w:vAlign w:val="center"/>
          </w:tcPr>
          <w:p w14:paraId="5E4777BE"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Sector</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76C99BA5"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0.320</w:t>
            </w:r>
          </w:p>
        </w:tc>
        <w:tc>
          <w:tcPr>
            <w:tcW w:w="397" w:type="pct"/>
            <w:tcBorders>
              <w:top w:val="nil"/>
              <w:left w:val="nil"/>
              <w:bottom w:val="single" w:sz="4" w:space="0" w:color="auto"/>
              <w:right w:val="single" w:sz="4" w:space="0" w:color="auto"/>
            </w:tcBorders>
            <w:shd w:val="clear" w:color="auto" w:fill="auto"/>
            <w:noWrap/>
            <w:vAlign w:val="center"/>
          </w:tcPr>
          <w:p w14:paraId="2F65112A"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0.750</w:t>
            </w:r>
          </w:p>
        </w:tc>
        <w:tc>
          <w:tcPr>
            <w:tcW w:w="320" w:type="pct"/>
            <w:tcBorders>
              <w:top w:val="nil"/>
              <w:left w:val="nil"/>
              <w:bottom w:val="single" w:sz="4" w:space="0" w:color="auto"/>
              <w:right w:val="single" w:sz="4" w:space="0" w:color="auto"/>
            </w:tcBorders>
            <w:shd w:val="clear" w:color="auto" w:fill="auto"/>
            <w:noWrap/>
            <w:vAlign w:val="center"/>
          </w:tcPr>
          <w:p w14:paraId="5350346D"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tcPr>
          <w:p w14:paraId="46F80DF8"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1.070</w:t>
            </w:r>
          </w:p>
        </w:tc>
      </w:tr>
      <w:tr w:rsidR="00644DFC" w:rsidRPr="00644DFC" w14:paraId="3CC30B62" w14:textId="77777777" w:rsidTr="00301D74">
        <w:trPr>
          <w:cantSplit/>
          <w:trHeight w:val="290"/>
        </w:trPr>
        <w:tc>
          <w:tcPr>
            <w:tcW w:w="212" w:type="pct"/>
            <w:tcBorders>
              <w:top w:val="nil"/>
              <w:left w:val="single" w:sz="8" w:space="0" w:color="auto"/>
              <w:bottom w:val="single" w:sz="4" w:space="0" w:color="auto"/>
              <w:right w:val="single" w:sz="8" w:space="0" w:color="auto"/>
            </w:tcBorders>
            <w:shd w:val="clear" w:color="auto" w:fill="auto"/>
            <w:noWrap/>
            <w:vAlign w:val="center"/>
          </w:tcPr>
          <w:p w14:paraId="73714DCA" w14:textId="77777777" w:rsidR="00644DFC" w:rsidRPr="00644DFC" w:rsidRDefault="001D747A" w:rsidP="00644DFC">
            <w:pPr>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19</w:t>
            </w:r>
          </w:p>
        </w:tc>
        <w:tc>
          <w:tcPr>
            <w:tcW w:w="641" w:type="pct"/>
            <w:tcBorders>
              <w:top w:val="nil"/>
              <w:left w:val="nil"/>
              <w:bottom w:val="single" w:sz="4" w:space="0" w:color="auto"/>
              <w:right w:val="single" w:sz="4" w:space="0" w:color="auto"/>
            </w:tcBorders>
            <w:shd w:val="clear" w:color="auto" w:fill="auto"/>
            <w:vAlign w:val="center"/>
          </w:tcPr>
          <w:p w14:paraId="5CC23DFC"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Industrial Function Category</w:t>
            </w:r>
          </w:p>
        </w:tc>
        <w:tc>
          <w:tcPr>
            <w:tcW w:w="427" w:type="pct"/>
            <w:tcBorders>
              <w:top w:val="nil"/>
              <w:left w:val="nil"/>
              <w:bottom w:val="single" w:sz="4" w:space="0" w:color="auto"/>
              <w:right w:val="single" w:sz="8" w:space="0" w:color="auto"/>
            </w:tcBorders>
            <w:shd w:val="clear" w:color="auto" w:fill="auto"/>
            <w:vAlign w:val="center"/>
          </w:tcPr>
          <w:p w14:paraId="22D0D347"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tcPr>
          <w:p w14:paraId="4045FF65"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1.650</w:t>
            </w:r>
          </w:p>
        </w:tc>
        <w:tc>
          <w:tcPr>
            <w:tcW w:w="356" w:type="pct"/>
            <w:tcBorders>
              <w:top w:val="nil"/>
              <w:left w:val="nil"/>
              <w:bottom w:val="single" w:sz="4" w:space="0" w:color="auto"/>
              <w:right w:val="single" w:sz="4" w:space="0" w:color="auto"/>
            </w:tcBorders>
            <w:shd w:val="clear" w:color="auto" w:fill="auto"/>
            <w:noWrap/>
            <w:vAlign w:val="center"/>
          </w:tcPr>
          <w:p w14:paraId="58638CCC"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3.530</w:t>
            </w:r>
          </w:p>
        </w:tc>
        <w:tc>
          <w:tcPr>
            <w:tcW w:w="285" w:type="pct"/>
            <w:tcBorders>
              <w:top w:val="nil"/>
              <w:left w:val="nil"/>
              <w:bottom w:val="single" w:sz="4" w:space="0" w:color="auto"/>
              <w:right w:val="single" w:sz="4" w:space="0" w:color="auto"/>
            </w:tcBorders>
            <w:shd w:val="clear" w:color="auto" w:fill="auto"/>
            <w:noWrap/>
            <w:vAlign w:val="center"/>
          </w:tcPr>
          <w:p w14:paraId="7E1D5668"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tcPr>
          <w:p w14:paraId="4688CDF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5.180</w:t>
            </w: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095346A5"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1D747A">
              <w:rPr>
                <w:rFonts w:ascii="Arial Narrow" w:eastAsia="Times New Roman" w:hAnsi="Arial Narrow" w:cs="Calibri"/>
                <w:color w:val="000000"/>
                <w:sz w:val="16"/>
                <w:szCs w:val="16"/>
              </w:rPr>
              <w:t>2</w:t>
            </w:r>
          </w:p>
        </w:tc>
        <w:tc>
          <w:tcPr>
            <w:tcW w:w="643" w:type="pct"/>
            <w:tcBorders>
              <w:top w:val="nil"/>
              <w:left w:val="nil"/>
              <w:bottom w:val="single" w:sz="4" w:space="0" w:color="auto"/>
              <w:right w:val="single" w:sz="4" w:space="0" w:color="auto"/>
            </w:tcBorders>
            <w:shd w:val="clear" w:color="auto" w:fill="auto"/>
            <w:vAlign w:val="center"/>
          </w:tcPr>
          <w:p w14:paraId="5AC9D259"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Industrial Function Category</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0B979932"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1.650</w:t>
            </w:r>
          </w:p>
        </w:tc>
        <w:tc>
          <w:tcPr>
            <w:tcW w:w="397" w:type="pct"/>
            <w:tcBorders>
              <w:top w:val="nil"/>
              <w:left w:val="nil"/>
              <w:bottom w:val="single" w:sz="4" w:space="0" w:color="auto"/>
              <w:right w:val="single" w:sz="4" w:space="0" w:color="auto"/>
            </w:tcBorders>
            <w:shd w:val="clear" w:color="auto" w:fill="auto"/>
            <w:noWrap/>
            <w:vAlign w:val="center"/>
          </w:tcPr>
          <w:p w14:paraId="51DCC61D"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3.530</w:t>
            </w:r>
          </w:p>
        </w:tc>
        <w:tc>
          <w:tcPr>
            <w:tcW w:w="320" w:type="pct"/>
            <w:tcBorders>
              <w:top w:val="nil"/>
              <w:left w:val="nil"/>
              <w:bottom w:val="single" w:sz="4" w:space="0" w:color="auto"/>
              <w:right w:val="single" w:sz="4" w:space="0" w:color="auto"/>
            </w:tcBorders>
            <w:shd w:val="clear" w:color="auto" w:fill="auto"/>
            <w:noWrap/>
            <w:vAlign w:val="center"/>
          </w:tcPr>
          <w:p w14:paraId="1DA93428"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tcPr>
          <w:p w14:paraId="7F42B267"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5.180</w:t>
            </w:r>
          </w:p>
        </w:tc>
      </w:tr>
      <w:tr w:rsidR="00644DFC" w:rsidRPr="00644DFC" w14:paraId="4E0E256B" w14:textId="77777777" w:rsidTr="00301D74">
        <w:trPr>
          <w:cantSplit/>
          <w:trHeight w:val="290"/>
        </w:trPr>
        <w:tc>
          <w:tcPr>
            <w:tcW w:w="212" w:type="pct"/>
            <w:tcBorders>
              <w:top w:val="nil"/>
              <w:left w:val="single" w:sz="8" w:space="0" w:color="auto"/>
              <w:bottom w:val="single" w:sz="4" w:space="0" w:color="auto"/>
              <w:right w:val="single" w:sz="8" w:space="0" w:color="auto"/>
            </w:tcBorders>
            <w:shd w:val="clear" w:color="auto" w:fill="auto"/>
            <w:noWrap/>
            <w:vAlign w:val="center"/>
          </w:tcPr>
          <w:p w14:paraId="21989315"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1D747A">
              <w:rPr>
                <w:rFonts w:ascii="Arial Narrow" w:eastAsia="Times New Roman" w:hAnsi="Arial Narrow" w:cs="Calibri"/>
                <w:color w:val="000000"/>
                <w:sz w:val="16"/>
                <w:szCs w:val="16"/>
              </w:rPr>
              <w:t>0</w:t>
            </w:r>
          </w:p>
        </w:tc>
        <w:tc>
          <w:tcPr>
            <w:tcW w:w="641" w:type="pct"/>
            <w:tcBorders>
              <w:top w:val="nil"/>
              <w:left w:val="nil"/>
              <w:bottom w:val="single" w:sz="4" w:space="0" w:color="auto"/>
              <w:right w:val="single" w:sz="4" w:space="0" w:color="auto"/>
            </w:tcBorders>
            <w:shd w:val="clear" w:color="auto" w:fill="auto"/>
            <w:vAlign w:val="center"/>
          </w:tcPr>
          <w:p w14:paraId="754F565B"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Percent of Production Volume</w:t>
            </w:r>
          </w:p>
        </w:tc>
        <w:tc>
          <w:tcPr>
            <w:tcW w:w="427" w:type="pct"/>
            <w:tcBorders>
              <w:top w:val="nil"/>
              <w:left w:val="nil"/>
              <w:bottom w:val="single" w:sz="4" w:space="0" w:color="auto"/>
              <w:right w:val="single" w:sz="8" w:space="0" w:color="auto"/>
            </w:tcBorders>
            <w:shd w:val="clear" w:color="auto" w:fill="auto"/>
            <w:vAlign w:val="center"/>
          </w:tcPr>
          <w:p w14:paraId="7FB0D711"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tcPr>
          <w:p w14:paraId="3E37AAA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4.220</w:t>
            </w:r>
          </w:p>
        </w:tc>
        <w:tc>
          <w:tcPr>
            <w:tcW w:w="356" w:type="pct"/>
            <w:tcBorders>
              <w:top w:val="nil"/>
              <w:left w:val="nil"/>
              <w:bottom w:val="single" w:sz="4" w:space="0" w:color="auto"/>
              <w:right w:val="single" w:sz="4" w:space="0" w:color="auto"/>
            </w:tcBorders>
            <w:shd w:val="clear" w:color="auto" w:fill="auto"/>
            <w:noWrap/>
            <w:vAlign w:val="center"/>
          </w:tcPr>
          <w:p w14:paraId="789B804B"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8.000</w:t>
            </w:r>
          </w:p>
        </w:tc>
        <w:tc>
          <w:tcPr>
            <w:tcW w:w="285" w:type="pct"/>
            <w:tcBorders>
              <w:top w:val="nil"/>
              <w:left w:val="nil"/>
              <w:bottom w:val="single" w:sz="4" w:space="0" w:color="auto"/>
              <w:right w:val="single" w:sz="4" w:space="0" w:color="auto"/>
            </w:tcBorders>
            <w:shd w:val="clear" w:color="auto" w:fill="auto"/>
            <w:noWrap/>
            <w:vAlign w:val="center"/>
          </w:tcPr>
          <w:p w14:paraId="0095A81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tcPr>
          <w:p w14:paraId="085E7B76"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12.220</w:t>
            </w: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2BB31012"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1D747A">
              <w:rPr>
                <w:rFonts w:ascii="Arial Narrow" w:eastAsia="Times New Roman" w:hAnsi="Arial Narrow" w:cs="Calibri"/>
                <w:color w:val="000000"/>
                <w:sz w:val="16"/>
                <w:szCs w:val="16"/>
              </w:rPr>
              <w:t>3</w:t>
            </w:r>
          </w:p>
        </w:tc>
        <w:tc>
          <w:tcPr>
            <w:tcW w:w="643" w:type="pct"/>
            <w:tcBorders>
              <w:top w:val="nil"/>
              <w:left w:val="nil"/>
              <w:bottom w:val="single" w:sz="4" w:space="0" w:color="auto"/>
              <w:right w:val="single" w:sz="4" w:space="0" w:color="auto"/>
            </w:tcBorders>
            <w:shd w:val="clear" w:color="auto" w:fill="auto"/>
            <w:vAlign w:val="center"/>
          </w:tcPr>
          <w:p w14:paraId="0F7C5C58"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Percent of Production Volume</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30EF56FA"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4.220</w:t>
            </w:r>
          </w:p>
        </w:tc>
        <w:tc>
          <w:tcPr>
            <w:tcW w:w="397" w:type="pct"/>
            <w:tcBorders>
              <w:top w:val="nil"/>
              <w:left w:val="nil"/>
              <w:bottom w:val="single" w:sz="4" w:space="0" w:color="auto"/>
              <w:right w:val="single" w:sz="4" w:space="0" w:color="auto"/>
            </w:tcBorders>
            <w:shd w:val="clear" w:color="auto" w:fill="auto"/>
            <w:noWrap/>
            <w:vAlign w:val="center"/>
          </w:tcPr>
          <w:p w14:paraId="68E87D16"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8.000</w:t>
            </w:r>
          </w:p>
        </w:tc>
        <w:tc>
          <w:tcPr>
            <w:tcW w:w="320" w:type="pct"/>
            <w:tcBorders>
              <w:top w:val="nil"/>
              <w:left w:val="nil"/>
              <w:bottom w:val="single" w:sz="4" w:space="0" w:color="auto"/>
              <w:right w:val="single" w:sz="4" w:space="0" w:color="auto"/>
            </w:tcBorders>
            <w:shd w:val="clear" w:color="auto" w:fill="auto"/>
            <w:noWrap/>
            <w:vAlign w:val="center"/>
          </w:tcPr>
          <w:p w14:paraId="3A13A965"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tcPr>
          <w:p w14:paraId="1F56552B"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12.220</w:t>
            </w:r>
          </w:p>
        </w:tc>
      </w:tr>
      <w:tr w:rsidR="00644DFC" w:rsidRPr="00644DFC" w14:paraId="3BA7E510" w14:textId="77777777" w:rsidTr="00301D74">
        <w:trPr>
          <w:cantSplit/>
          <w:trHeight w:val="290"/>
        </w:trPr>
        <w:tc>
          <w:tcPr>
            <w:tcW w:w="212" w:type="pct"/>
            <w:tcBorders>
              <w:top w:val="nil"/>
              <w:left w:val="single" w:sz="8" w:space="0" w:color="auto"/>
              <w:bottom w:val="single" w:sz="4" w:space="0" w:color="auto"/>
              <w:right w:val="single" w:sz="8" w:space="0" w:color="auto"/>
            </w:tcBorders>
            <w:shd w:val="clear" w:color="auto" w:fill="auto"/>
            <w:noWrap/>
            <w:vAlign w:val="center"/>
          </w:tcPr>
          <w:p w14:paraId="0FBE48B3" w14:textId="77777777" w:rsidR="00644DFC" w:rsidRPr="00644DFC" w:rsidRDefault="001D747A"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Pr>
                <w:rFonts w:ascii="Arial Narrow" w:eastAsia="Times New Roman" w:hAnsi="Arial Narrow" w:cs="Calibri"/>
                <w:color w:val="000000"/>
                <w:sz w:val="16"/>
                <w:szCs w:val="16"/>
              </w:rPr>
              <w:t>1</w:t>
            </w:r>
          </w:p>
        </w:tc>
        <w:tc>
          <w:tcPr>
            <w:tcW w:w="641" w:type="pct"/>
            <w:tcBorders>
              <w:top w:val="nil"/>
              <w:left w:val="nil"/>
              <w:bottom w:val="single" w:sz="4" w:space="0" w:color="auto"/>
              <w:right w:val="single" w:sz="4" w:space="0" w:color="auto"/>
            </w:tcBorders>
            <w:shd w:val="clear" w:color="auto" w:fill="auto"/>
            <w:vAlign w:val="center"/>
          </w:tcPr>
          <w:p w14:paraId="11F7B1CE"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Total Number of Processing and Use Sites</w:t>
            </w:r>
          </w:p>
        </w:tc>
        <w:tc>
          <w:tcPr>
            <w:tcW w:w="427" w:type="pct"/>
            <w:tcBorders>
              <w:top w:val="nil"/>
              <w:left w:val="nil"/>
              <w:bottom w:val="single" w:sz="4" w:space="0" w:color="auto"/>
              <w:right w:val="single" w:sz="8" w:space="0" w:color="auto"/>
            </w:tcBorders>
            <w:shd w:val="clear" w:color="auto" w:fill="auto"/>
            <w:vAlign w:val="center"/>
          </w:tcPr>
          <w:p w14:paraId="666CD6D8"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tcPr>
          <w:p w14:paraId="787B0058"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2.820</w:t>
            </w:r>
          </w:p>
        </w:tc>
        <w:tc>
          <w:tcPr>
            <w:tcW w:w="356" w:type="pct"/>
            <w:tcBorders>
              <w:top w:val="nil"/>
              <w:left w:val="nil"/>
              <w:bottom w:val="single" w:sz="4" w:space="0" w:color="auto"/>
              <w:right w:val="single" w:sz="4" w:space="0" w:color="auto"/>
            </w:tcBorders>
            <w:shd w:val="clear" w:color="auto" w:fill="auto"/>
            <w:noWrap/>
            <w:vAlign w:val="center"/>
          </w:tcPr>
          <w:p w14:paraId="21C9350B"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7.310</w:t>
            </w:r>
          </w:p>
        </w:tc>
        <w:tc>
          <w:tcPr>
            <w:tcW w:w="285" w:type="pct"/>
            <w:tcBorders>
              <w:top w:val="nil"/>
              <w:left w:val="nil"/>
              <w:bottom w:val="single" w:sz="4" w:space="0" w:color="auto"/>
              <w:right w:val="single" w:sz="4" w:space="0" w:color="auto"/>
            </w:tcBorders>
            <w:shd w:val="clear" w:color="auto" w:fill="auto"/>
            <w:noWrap/>
            <w:vAlign w:val="center"/>
          </w:tcPr>
          <w:p w14:paraId="3F04B140"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tcPr>
          <w:p w14:paraId="3210BE5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10.130</w:t>
            </w: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4761E9A4"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1D747A">
              <w:rPr>
                <w:rFonts w:ascii="Arial Narrow" w:eastAsia="Times New Roman" w:hAnsi="Arial Narrow" w:cs="Calibri"/>
                <w:color w:val="000000"/>
                <w:sz w:val="16"/>
                <w:szCs w:val="16"/>
              </w:rPr>
              <w:t>4</w:t>
            </w:r>
          </w:p>
        </w:tc>
        <w:tc>
          <w:tcPr>
            <w:tcW w:w="643" w:type="pct"/>
            <w:tcBorders>
              <w:top w:val="nil"/>
              <w:left w:val="nil"/>
              <w:bottom w:val="single" w:sz="4" w:space="0" w:color="auto"/>
              <w:right w:val="single" w:sz="4" w:space="0" w:color="auto"/>
            </w:tcBorders>
            <w:shd w:val="clear" w:color="auto" w:fill="auto"/>
            <w:vAlign w:val="center"/>
          </w:tcPr>
          <w:p w14:paraId="124D059C"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Total Number of Processing and Use Sites</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2FDCDAA9"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2.820</w:t>
            </w:r>
          </w:p>
        </w:tc>
        <w:tc>
          <w:tcPr>
            <w:tcW w:w="397" w:type="pct"/>
            <w:tcBorders>
              <w:top w:val="nil"/>
              <w:left w:val="nil"/>
              <w:bottom w:val="single" w:sz="4" w:space="0" w:color="auto"/>
              <w:right w:val="single" w:sz="4" w:space="0" w:color="auto"/>
            </w:tcBorders>
            <w:shd w:val="clear" w:color="auto" w:fill="auto"/>
            <w:noWrap/>
            <w:vAlign w:val="center"/>
          </w:tcPr>
          <w:p w14:paraId="46BD4695"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7.310</w:t>
            </w:r>
          </w:p>
        </w:tc>
        <w:tc>
          <w:tcPr>
            <w:tcW w:w="320" w:type="pct"/>
            <w:tcBorders>
              <w:top w:val="nil"/>
              <w:left w:val="nil"/>
              <w:bottom w:val="single" w:sz="4" w:space="0" w:color="auto"/>
              <w:right w:val="single" w:sz="4" w:space="0" w:color="auto"/>
            </w:tcBorders>
            <w:shd w:val="clear" w:color="auto" w:fill="auto"/>
            <w:noWrap/>
            <w:vAlign w:val="center"/>
          </w:tcPr>
          <w:p w14:paraId="66499D04"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tcPr>
          <w:p w14:paraId="311988F5"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10.130</w:t>
            </w:r>
          </w:p>
        </w:tc>
      </w:tr>
      <w:tr w:rsidR="00644DFC" w:rsidRPr="00644DFC" w14:paraId="45F703B7" w14:textId="77777777" w:rsidTr="00301D74">
        <w:trPr>
          <w:cantSplit/>
          <w:trHeight w:val="290"/>
        </w:trPr>
        <w:tc>
          <w:tcPr>
            <w:tcW w:w="212" w:type="pct"/>
            <w:tcBorders>
              <w:top w:val="nil"/>
              <w:left w:val="single" w:sz="8" w:space="0" w:color="auto"/>
              <w:bottom w:val="single" w:sz="4" w:space="0" w:color="auto"/>
              <w:right w:val="single" w:sz="8" w:space="0" w:color="auto"/>
            </w:tcBorders>
            <w:shd w:val="clear" w:color="auto" w:fill="auto"/>
            <w:noWrap/>
            <w:vAlign w:val="center"/>
          </w:tcPr>
          <w:p w14:paraId="330B6A49" w14:textId="77777777" w:rsidR="00644DFC" w:rsidRPr="00644DFC" w:rsidRDefault="001D747A"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Pr>
                <w:rFonts w:ascii="Arial Narrow" w:eastAsia="Times New Roman" w:hAnsi="Arial Narrow" w:cs="Calibri"/>
                <w:color w:val="000000"/>
                <w:sz w:val="16"/>
                <w:szCs w:val="16"/>
              </w:rPr>
              <w:t>2</w:t>
            </w:r>
          </w:p>
        </w:tc>
        <w:tc>
          <w:tcPr>
            <w:tcW w:w="641" w:type="pct"/>
            <w:tcBorders>
              <w:top w:val="nil"/>
              <w:left w:val="nil"/>
              <w:bottom w:val="single" w:sz="4" w:space="0" w:color="auto"/>
              <w:right w:val="single" w:sz="4" w:space="0" w:color="auto"/>
            </w:tcBorders>
            <w:shd w:val="clear" w:color="auto" w:fill="auto"/>
            <w:vAlign w:val="center"/>
          </w:tcPr>
          <w:p w14:paraId="57F93355"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Total Number of Potentially Exposed Workers</w:t>
            </w:r>
          </w:p>
        </w:tc>
        <w:tc>
          <w:tcPr>
            <w:tcW w:w="427" w:type="pct"/>
            <w:tcBorders>
              <w:top w:val="nil"/>
              <w:left w:val="nil"/>
              <w:bottom w:val="single" w:sz="4" w:space="0" w:color="auto"/>
              <w:right w:val="single" w:sz="8" w:space="0" w:color="auto"/>
            </w:tcBorders>
            <w:shd w:val="clear" w:color="auto" w:fill="auto"/>
            <w:vAlign w:val="center"/>
          </w:tcPr>
          <w:p w14:paraId="0E33224B"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tcPr>
          <w:p w14:paraId="5AB745A0"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3.060</w:t>
            </w:r>
          </w:p>
        </w:tc>
        <w:tc>
          <w:tcPr>
            <w:tcW w:w="356" w:type="pct"/>
            <w:tcBorders>
              <w:top w:val="nil"/>
              <w:left w:val="nil"/>
              <w:bottom w:val="single" w:sz="4" w:space="0" w:color="auto"/>
              <w:right w:val="single" w:sz="4" w:space="0" w:color="auto"/>
            </w:tcBorders>
            <w:shd w:val="clear" w:color="auto" w:fill="auto"/>
            <w:noWrap/>
            <w:vAlign w:val="center"/>
          </w:tcPr>
          <w:p w14:paraId="43F6F5AC"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12.340</w:t>
            </w:r>
          </w:p>
        </w:tc>
        <w:tc>
          <w:tcPr>
            <w:tcW w:w="285" w:type="pct"/>
            <w:tcBorders>
              <w:top w:val="nil"/>
              <w:left w:val="nil"/>
              <w:bottom w:val="single" w:sz="4" w:space="0" w:color="auto"/>
              <w:right w:val="single" w:sz="4" w:space="0" w:color="auto"/>
            </w:tcBorders>
            <w:shd w:val="clear" w:color="auto" w:fill="auto"/>
            <w:noWrap/>
            <w:vAlign w:val="center"/>
          </w:tcPr>
          <w:p w14:paraId="743BAC8F"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tcPr>
          <w:p w14:paraId="3057EB6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15.400</w:t>
            </w:r>
          </w:p>
        </w:tc>
        <w:tc>
          <w:tcPr>
            <w:tcW w:w="213" w:type="pct"/>
            <w:tcBorders>
              <w:top w:val="nil"/>
              <w:left w:val="single" w:sz="8" w:space="0" w:color="auto"/>
              <w:bottom w:val="single" w:sz="4" w:space="0" w:color="auto"/>
              <w:right w:val="single" w:sz="8" w:space="0" w:color="auto"/>
            </w:tcBorders>
            <w:shd w:val="clear" w:color="auto" w:fill="auto"/>
            <w:noWrap/>
            <w:vAlign w:val="center"/>
          </w:tcPr>
          <w:p w14:paraId="37EF89A4"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1D747A">
              <w:rPr>
                <w:rFonts w:ascii="Arial Narrow" w:eastAsia="Times New Roman" w:hAnsi="Arial Narrow" w:cs="Calibri"/>
                <w:color w:val="000000"/>
                <w:sz w:val="16"/>
                <w:szCs w:val="16"/>
              </w:rPr>
              <w:t>5</w:t>
            </w:r>
          </w:p>
        </w:tc>
        <w:tc>
          <w:tcPr>
            <w:tcW w:w="643" w:type="pct"/>
            <w:tcBorders>
              <w:top w:val="nil"/>
              <w:left w:val="nil"/>
              <w:bottom w:val="single" w:sz="4" w:space="0" w:color="auto"/>
              <w:right w:val="single" w:sz="4" w:space="0" w:color="auto"/>
            </w:tcBorders>
            <w:shd w:val="clear" w:color="auto" w:fill="auto"/>
            <w:vAlign w:val="center"/>
          </w:tcPr>
          <w:p w14:paraId="7B8038A2"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Total Number of Potentially Exposed Workers</w:t>
            </w:r>
          </w:p>
        </w:tc>
        <w:tc>
          <w:tcPr>
            <w:tcW w:w="384" w:type="pct"/>
            <w:tcBorders>
              <w:top w:val="nil"/>
              <w:left w:val="single" w:sz="4" w:space="0" w:color="auto"/>
              <w:bottom w:val="single" w:sz="4" w:space="0" w:color="auto"/>
              <w:right w:val="single" w:sz="4" w:space="0" w:color="auto"/>
            </w:tcBorders>
            <w:shd w:val="clear" w:color="auto" w:fill="auto"/>
            <w:noWrap/>
            <w:vAlign w:val="center"/>
          </w:tcPr>
          <w:p w14:paraId="010999D0"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3.060</w:t>
            </w:r>
          </w:p>
        </w:tc>
        <w:tc>
          <w:tcPr>
            <w:tcW w:w="397" w:type="pct"/>
            <w:tcBorders>
              <w:top w:val="nil"/>
              <w:left w:val="nil"/>
              <w:bottom w:val="single" w:sz="4" w:space="0" w:color="auto"/>
              <w:right w:val="single" w:sz="4" w:space="0" w:color="auto"/>
            </w:tcBorders>
            <w:shd w:val="clear" w:color="auto" w:fill="auto"/>
            <w:noWrap/>
            <w:vAlign w:val="center"/>
          </w:tcPr>
          <w:p w14:paraId="685E76E2"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12.340</w:t>
            </w:r>
          </w:p>
        </w:tc>
        <w:tc>
          <w:tcPr>
            <w:tcW w:w="320" w:type="pct"/>
            <w:tcBorders>
              <w:top w:val="nil"/>
              <w:left w:val="nil"/>
              <w:bottom w:val="single" w:sz="4" w:space="0" w:color="auto"/>
              <w:right w:val="single" w:sz="4" w:space="0" w:color="auto"/>
            </w:tcBorders>
            <w:shd w:val="clear" w:color="auto" w:fill="auto"/>
            <w:noWrap/>
            <w:vAlign w:val="center"/>
          </w:tcPr>
          <w:p w14:paraId="0B03B065"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tcPr>
          <w:p w14:paraId="2792CE09" w14:textId="77777777" w:rsidR="00644DFC" w:rsidRPr="00644DFC" w:rsidRDefault="00644DFC" w:rsidP="00644DFC">
            <w:pPr>
              <w:ind w:firstLineChars="100" w:firstLine="160"/>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15.400</w:t>
            </w:r>
          </w:p>
        </w:tc>
      </w:tr>
      <w:tr w:rsidR="00644DFC" w:rsidRPr="00644DFC" w14:paraId="7E0522A9" w14:textId="77777777" w:rsidTr="00644DFC">
        <w:trPr>
          <w:cantSplit/>
          <w:trHeight w:val="290"/>
        </w:trPr>
        <w:tc>
          <w:tcPr>
            <w:tcW w:w="212" w:type="pct"/>
            <w:tcBorders>
              <w:top w:val="nil"/>
              <w:left w:val="single" w:sz="8" w:space="0" w:color="auto"/>
              <w:bottom w:val="single" w:sz="4" w:space="0" w:color="auto"/>
              <w:right w:val="single" w:sz="8" w:space="0" w:color="auto"/>
            </w:tcBorders>
            <w:shd w:val="clear" w:color="auto" w:fill="F2F2F2"/>
            <w:noWrap/>
            <w:vAlign w:val="center"/>
            <w:hideMark/>
          </w:tcPr>
          <w:p w14:paraId="30565228" w14:textId="77777777" w:rsidR="00644DFC" w:rsidRPr="00644DFC" w:rsidRDefault="00644DFC" w:rsidP="00644DFC">
            <w:pPr>
              <w:jc w:val="center"/>
              <w:rPr>
                <w:rFonts w:ascii="Arial Narrow" w:eastAsia="Times New Roman" w:hAnsi="Arial Narrow" w:cs="Calibri"/>
                <w:color w:val="000000"/>
                <w:sz w:val="16"/>
                <w:szCs w:val="16"/>
              </w:rPr>
            </w:pPr>
          </w:p>
        </w:tc>
        <w:tc>
          <w:tcPr>
            <w:tcW w:w="2458" w:type="pct"/>
            <w:gridSpan w:val="6"/>
            <w:tcBorders>
              <w:top w:val="single" w:sz="4" w:space="0" w:color="auto"/>
              <w:left w:val="single" w:sz="8" w:space="0" w:color="auto"/>
              <w:bottom w:val="single" w:sz="4" w:space="0" w:color="auto"/>
              <w:right w:val="single" w:sz="8" w:space="0" w:color="auto"/>
            </w:tcBorders>
            <w:shd w:val="clear" w:color="auto" w:fill="F2F2F2"/>
            <w:noWrap/>
            <w:vAlign w:val="center"/>
            <w:hideMark/>
          </w:tcPr>
          <w:p w14:paraId="7A9A97BA" w14:textId="77777777" w:rsidR="00644DFC" w:rsidRPr="00644DFC" w:rsidRDefault="00644DFC" w:rsidP="00644DFC">
            <w:pPr>
              <w:ind w:right="101"/>
              <w:rPr>
                <w:rFonts w:ascii="Arial Narrow" w:eastAsia="Times New Roman" w:hAnsi="Arial Narrow" w:cs="Calibri"/>
                <w:i/>
                <w:color w:val="000000"/>
                <w:sz w:val="16"/>
                <w:szCs w:val="16"/>
              </w:rPr>
            </w:pPr>
            <w:r w:rsidRPr="00644DFC">
              <w:rPr>
                <w:rFonts w:ascii="Arial Narrow" w:eastAsia="Times New Roman" w:hAnsi="Arial Narrow" w:cs="Calibri"/>
                <w:i/>
                <w:color w:val="000000"/>
                <w:sz w:val="16"/>
                <w:szCs w:val="16"/>
              </w:rPr>
              <w:t>Consumer and Commercial Use Exposure-Related Data</w:t>
            </w:r>
          </w:p>
        </w:tc>
        <w:tc>
          <w:tcPr>
            <w:tcW w:w="213" w:type="pct"/>
            <w:tcBorders>
              <w:top w:val="nil"/>
              <w:left w:val="single" w:sz="8" w:space="0" w:color="auto"/>
              <w:bottom w:val="single" w:sz="4" w:space="0" w:color="auto"/>
              <w:right w:val="single" w:sz="8" w:space="0" w:color="auto"/>
            </w:tcBorders>
            <w:shd w:val="clear" w:color="auto" w:fill="F2F2F2"/>
            <w:noWrap/>
            <w:vAlign w:val="center"/>
            <w:hideMark/>
          </w:tcPr>
          <w:p w14:paraId="17BBBA8D" w14:textId="77777777" w:rsidR="00644DFC" w:rsidRPr="00644DFC" w:rsidRDefault="00644DFC" w:rsidP="00644DFC">
            <w:pPr>
              <w:jc w:val="center"/>
              <w:rPr>
                <w:rFonts w:ascii="Arial Narrow" w:eastAsia="Times New Roman" w:hAnsi="Arial Narrow" w:cs="Calibri"/>
                <w:i/>
                <w:color w:val="000000"/>
                <w:sz w:val="16"/>
                <w:szCs w:val="16"/>
              </w:rPr>
            </w:pPr>
          </w:p>
        </w:tc>
        <w:tc>
          <w:tcPr>
            <w:tcW w:w="2117" w:type="pct"/>
            <w:gridSpan w:val="5"/>
            <w:tcBorders>
              <w:top w:val="nil"/>
              <w:left w:val="nil"/>
              <w:bottom w:val="single" w:sz="4" w:space="0" w:color="auto"/>
              <w:right w:val="single" w:sz="8" w:space="0" w:color="auto"/>
            </w:tcBorders>
            <w:shd w:val="clear" w:color="auto" w:fill="F2F2F2"/>
            <w:noWrap/>
            <w:vAlign w:val="center"/>
            <w:hideMark/>
          </w:tcPr>
          <w:p w14:paraId="17F06FFE" w14:textId="77777777" w:rsidR="00644DFC" w:rsidRPr="00644DFC" w:rsidRDefault="00644DFC" w:rsidP="00644DFC">
            <w:pPr>
              <w:rPr>
                <w:rFonts w:ascii="Arial Narrow" w:eastAsia="Times New Roman" w:hAnsi="Arial Narrow" w:cs="Calibri"/>
                <w:i/>
                <w:color w:val="000000"/>
                <w:sz w:val="16"/>
                <w:szCs w:val="16"/>
              </w:rPr>
            </w:pPr>
            <w:r w:rsidRPr="00644DFC">
              <w:rPr>
                <w:rFonts w:ascii="Arial Narrow" w:eastAsia="Times New Roman" w:hAnsi="Arial Narrow" w:cs="Calibri"/>
                <w:i/>
                <w:color w:val="000000"/>
                <w:sz w:val="16"/>
                <w:szCs w:val="16"/>
              </w:rPr>
              <w:t>Consumer and Commercial Use Exposure-Related Data</w:t>
            </w:r>
          </w:p>
        </w:tc>
      </w:tr>
      <w:tr w:rsidR="00644DFC" w:rsidRPr="00644DFC" w14:paraId="4C89C5C7" w14:textId="77777777" w:rsidTr="00301D74">
        <w:trPr>
          <w:cantSplit/>
          <w:trHeight w:val="530"/>
        </w:trPr>
        <w:tc>
          <w:tcPr>
            <w:tcW w:w="212" w:type="pct"/>
            <w:tcBorders>
              <w:top w:val="nil"/>
              <w:left w:val="single" w:sz="8" w:space="0" w:color="auto"/>
              <w:bottom w:val="single" w:sz="4" w:space="0" w:color="auto"/>
              <w:right w:val="single" w:sz="8" w:space="0" w:color="auto"/>
            </w:tcBorders>
            <w:shd w:val="clear" w:color="auto" w:fill="auto"/>
            <w:noWrap/>
            <w:vAlign w:val="center"/>
            <w:hideMark/>
          </w:tcPr>
          <w:p w14:paraId="260FA0DC"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1D747A">
              <w:rPr>
                <w:rFonts w:ascii="Arial Narrow" w:eastAsia="Times New Roman" w:hAnsi="Arial Narrow" w:cs="Calibri"/>
                <w:color w:val="000000"/>
                <w:sz w:val="16"/>
                <w:szCs w:val="16"/>
              </w:rPr>
              <w:t>3</w:t>
            </w:r>
            <w:r w:rsidR="001836BC">
              <w:rPr>
                <w:rFonts w:ascii="Arial Narrow" w:eastAsia="Times New Roman" w:hAnsi="Arial Narrow" w:cs="Calibri"/>
                <w:color w:val="000000"/>
                <w:sz w:val="16"/>
                <w:szCs w:val="16"/>
                <w:vertAlign w:val="superscript"/>
              </w:rPr>
              <w:t>8</w:t>
            </w:r>
          </w:p>
        </w:tc>
        <w:tc>
          <w:tcPr>
            <w:tcW w:w="641" w:type="pct"/>
            <w:tcBorders>
              <w:top w:val="nil"/>
              <w:left w:val="nil"/>
              <w:bottom w:val="single" w:sz="4" w:space="0" w:color="auto"/>
              <w:right w:val="single" w:sz="4" w:space="0" w:color="auto"/>
            </w:tcBorders>
            <w:shd w:val="clear" w:color="auto" w:fill="auto"/>
            <w:vAlign w:val="center"/>
            <w:hideMark/>
          </w:tcPr>
          <w:p w14:paraId="409AEE51"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Determination of Applicability</w:t>
            </w:r>
          </w:p>
        </w:tc>
        <w:tc>
          <w:tcPr>
            <w:tcW w:w="427" w:type="pct"/>
            <w:tcBorders>
              <w:top w:val="single" w:sz="4" w:space="0" w:color="auto"/>
              <w:left w:val="nil"/>
              <w:bottom w:val="single" w:sz="4" w:space="0" w:color="auto"/>
              <w:right w:val="single" w:sz="8" w:space="0" w:color="auto"/>
            </w:tcBorders>
            <w:shd w:val="clear" w:color="auto" w:fill="auto"/>
            <w:vAlign w:val="center"/>
            <w:hideMark/>
          </w:tcPr>
          <w:p w14:paraId="12B55D77"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52CF4F02"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0.200</w:t>
            </w:r>
          </w:p>
        </w:tc>
        <w:tc>
          <w:tcPr>
            <w:tcW w:w="356" w:type="pct"/>
            <w:tcBorders>
              <w:top w:val="nil"/>
              <w:left w:val="nil"/>
              <w:bottom w:val="single" w:sz="4" w:space="0" w:color="auto"/>
              <w:right w:val="single" w:sz="4" w:space="0" w:color="auto"/>
            </w:tcBorders>
            <w:shd w:val="clear" w:color="auto" w:fill="auto"/>
            <w:noWrap/>
            <w:vAlign w:val="center"/>
            <w:hideMark/>
          </w:tcPr>
          <w:p w14:paraId="7616E314"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0.750</w:t>
            </w:r>
          </w:p>
        </w:tc>
        <w:tc>
          <w:tcPr>
            <w:tcW w:w="285" w:type="pct"/>
            <w:tcBorders>
              <w:top w:val="nil"/>
              <w:left w:val="nil"/>
              <w:bottom w:val="single" w:sz="4" w:space="0" w:color="auto"/>
              <w:right w:val="single" w:sz="4" w:space="0" w:color="auto"/>
            </w:tcBorders>
            <w:shd w:val="clear" w:color="auto" w:fill="auto"/>
            <w:noWrap/>
            <w:vAlign w:val="center"/>
            <w:hideMark/>
          </w:tcPr>
          <w:p w14:paraId="671270EC"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single" w:sz="4" w:space="0" w:color="auto"/>
              <w:left w:val="nil"/>
              <w:bottom w:val="single" w:sz="4" w:space="0" w:color="auto"/>
              <w:right w:val="single" w:sz="8" w:space="0" w:color="auto"/>
            </w:tcBorders>
            <w:shd w:val="clear" w:color="auto" w:fill="auto"/>
            <w:noWrap/>
            <w:vAlign w:val="center"/>
            <w:hideMark/>
          </w:tcPr>
          <w:p w14:paraId="4982F4E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0.950</w:t>
            </w:r>
          </w:p>
        </w:tc>
        <w:tc>
          <w:tcPr>
            <w:tcW w:w="213" w:type="pct"/>
            <w:tcBorders>
              <w:top w:val="nil"/>
              <w:left w:val="single" w:sz="8" w:space="0" w:color="auto"/>
              <w:bottom w:val="single" w:sz="4" w:space="0" w:color="auto"/>
              <w:right w:val="single" w:sz="8" w:space="0" w:color="auto"/>
            </w:tcBorders>
            <w:shd w:val="clear" w:color="auto" w:fill="auto"/>
            <w:noWrap/>
            <w:vAlign w:val="center"/>
            <w:hideMark/>
          </w:tcPr>
          <w:p w14:paraId="3FFA6D0E"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1D747A">
              <w:rPr>
                <w:rFonts w:ascii="Arial Narrow" w:eastAsia="Times New Roman" w:hAnsi="Arial Narrow" w:cs="Calibri"/>
                <w:color w:val="000000"/>
                <w:sz w:val="16"/>
                <w:szCs w:val="16"/>
              </w:rPr>
              <w:t>6</w:t>
            </w:r>
            <w:r w:rsidR="001836BC">
              <w:rPr>
                <w:rFonts w:ascii="Arial Narrow" w:eastAsia="Times New Roman" w:hAnsi="Arial Narrow" w:cs="Calibri"/>
                <w:color w:val="000000"/>
                <w:sz w:val="16"/>
                <w:szCs w:val="16"/>
                <w:vertAlign w:val="superscript"/>
              </w:rPr>
              <w:t>8</w:t>
            </w:r>
          </w:p>
        </w:tc>
        <w:tc>
          <w:tcPr>
            <w:tcW w:w="643" w:type="pct"/>
            <w:tcBorders>
              <w:top w:val="nil"/>
              <w:left w:val="nil"/>
              <w:bottom w:val="single" w:sz="4" w:space="0" w:color="auto"/>
              <w:right w:val="single" w:sz="4" w:space="0" w:color="auto"/>
            </w:tcBorders>
            <w:shd w:val="clear" w:color="auto" w:fill="auto"/>
            <w:vAlign w:val="center"/>
            <w:hideMark/>
          </w:tcPr>
          <w:p w14:paraId="053686D5" w14:textId="77777777" w:rsidR="00644DFC" w:rsidRPr="00644DFC" w:rsidRDefault="00644DFC" w:rsidP="00644DFC">
            <w:pPr>
              <w:rPr>
                <w:rFonts w:ascii="Arial Narrow" w:eastAsia="Times New Roman" w:hAnsi="Arial Narrow" w:cs="Calibri"/>
                <w:sz w:val="16"/>
                <w:szCs w:val="16"/>
              </w:rPr>
            </w:pPr>
            <w:r w:rsidRPr="00644DFC">
              <w:rPr>
                <w:rFonts w:ascii="Arial Narrow" w:eastAsia="Times New Roman" w:hAnsi="Arial Narrow" w:cs="Calibri"/>
                <w:sz w:val="16"/>
                <w:szCs w:val="16"/>
              </w:rPr>
              <w:t xml:space="preserve">Determination of Applicability (includes </w:t>
            </w:r>
            <w:r w:rsidR="0008635A">
              <w:rPr>
                <w:rFonts w:ascii="Arial Narrow" w:eastAsia="Times New Roman" w:hAnsi="Arial Narrow" w:cs="Calibri"/>
                <w:sz w:val="16"/>
                <w:szCs w:val="16"/>
              </w:rPr>
              <w:t>“</w:t>
            </w:r>
            <w:r w:rsidRPr="00644DFC">
              <w:rPr>
                <w:rFonts w:ascii="Arial Narrow" w:eastAsia="Times New Roman" w:hAnsi="Arial Narrow" w:cs="Calibri"/>
                <w:sz w:val="16"/>
                <w:szCs w:val="16"/>
              </w:rPr>
              <w:t>Consumer</w:t>
            </w:r>
            <w:r w:rsidR="00CB0AED">
              <w:rPr>
                <w:rFonts w:ascii="Arial Narrow" w:eastAsia="Times New Roman" w:hAnsi="Arial Narrow" w:cs="Calibri"/>
                <w:sz w:val="16"/>
                <w:szCs w:val="16"/>
              </w:rPr>
              <w:t>,</w:t>
            </w:r>
            <w:r w:rsidRPr="00644DFC">
              <w:rPr>
                <w:rFonts w:ascii="Arial Narrow" w:eastAsia="Times New Roman" w:hAnsi="Arial Narrow" w:cs="Calibri"/>
                <w:sz w:val="16"/>
                <w:szCs w:val="16"/>
              </w:rPr>
              <w:t xml:space="preserve"> Commercial or both</w:t>
            </w:r>
            <w:r w:rsidR="0008635A">
              <w:rPr>
                <w:rFonts w:ascii="Arial Narrow" w:eastAsia="Times New Roman" w:hAnsi="Arial Narrow" w:cs="Calibri"/>
                <w:sz w:val="16"/>
                <w:szCs w:val="16"/>
              </w:rPr>
              <w:t>”</w:t>
            </w:r>
            <w:r w:rsidRPr="00644DFC">
              <w:rPr>
                <w:rFonts w:ascii="Arial Narrow" w:eastAsia="Times New Roman" w:hAnsi="Arial Narrow" w:cs="Calibri"/>
                <w:sz w:val="16"/>
                <w:szCs w:val="16"/>
              </w:rPr>
              <w:t>)</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17DF5D9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0.200</w:t>
            </w:r>
          </w:p>
        </w:tc>
        <w:tc>
          <w:tcPr>
            <w:tcW w:w="397" w:type="pct"/>
            <w:tcBorders>
              <w:top w:val="nil"/>
              <w:left w:val="nil"/>
              <w:bottom w:val="single" w:sz="4" w:space="0" w:color="auto"/>
              <w:right w:val="single" w:sz="4" w:space="0" w:color="auto"/>
            </w:tcBorders>
            <w:shd w:val="clear" w:color="auto" w:fill="auto"/>
            <w:noWrap/>
            <w:vAlign w:val="center"/>
            <w:hideMark/>
          </w:tcPr>
          <w:p w14:paraId="6F154263"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0.750</w:t>
            </w:r>
          </w:p>
        </w:tc>
        <w:tc>
          <w:tcPr>
            <w:tcW w:w="320" w:type="pct"/>
            <w:tcBorders>
              <w:top w:val="nil"/>
              <w:left w:val="nil"/>
              <w:bottom w:val="single" w:sz="4" w:space="0" w:color="auto"/>
              <w:right w:val="single" w:sz="4" w:space="0" w:color="auto"/>
            </w:tcBorders>
            <w:shd w:val="clear" w:color="auto" w:fill="auto"/>
            <w:noWrap/>
            <w:vAlign w:val="center"/>
            <w:hideMark/>
          </w:tcPr>
          <w:p w14:paraId="1DA0D17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single" w:sz="4" w:space="0" w:color="auto"/>
              <w:left w:val="nil"/>
              <w:bottom w:val="single" w:sz="4" w:space="0" w:color="auto"/>
              <w:right w:val="single" w:sz="8" w:space="0" w:color="auto"/>
            </w:tcBorders>
            <w:shd w:val="clear" w:color="auto" w:fill="auto"/>
            <w:noWrap/>
            <w:vAlign w:val="center"/>
            <w:hideMark/>
          </w:tcPr>
          <w:p w14:paraId="3D8FB118"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0.950</w:t>
            </w:r>
          </w:p>
        </w:tc>
      </w:tr>
      <w:tr w:rsidR="00644DFC" w:rsidRPr="00644DFC" w14:paraId="2D493567" w14:textId="77777777" w:rsidTr="00301D74">
        <w:trPr>
          <w:cantSplit/>
          <w:trHeight w:val="530"/>
        </w:trPr>
        <w:tc>
          <w:tcPr>
            <w:tcW w:w="212" w:type="pct"/>
            <w:tcBorders>
              <w:top w:val="nil"/>
              <w:left w:val="single" w:sz="8" w:space="0" w:color="auto"/>
              <w:bottom w:val="single" w:sz="4" w:space="0" w:color="auto"/>
              <w:right w:val="single" w:sz="8" w:space="0" w:color="auto"/>
            </w:tcBorders>
            <w:shd w:val="clear" w:color="auto" w:fill="auto"/>
            <w:noWrap/>
            <w:vAlign w:val="center"/>
            <w:hideMark/>
          </w:tcPr>
          <w:p w14:paraId="5C7537E3"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1D747A">
              <w:rPr>
                <w:rFonts w:ascii="Arial Narrow" w:eastAsia="Times New Roman" w:hAnsi="Arial Narrow" w:cs="Calibri"/>
                <w:color w:val="000000"/>
                <w:sz w:val="16"/>
                <w:szCs w:val="16"/>
              </w:rPr>
              <w:t>4</w:t>
            </w:r>
          </w:p>
        </w:tc>
        <w:tc>
          <w:tcPr>
            <w:tcW w:w="641" w:type="pct"/>
            <w:tcBorders>
              <w:top w:val="nil"/>
              <w:left w:val="nil"/>
              <w:bottom w:val="single" w:sz="4" w:space="0" w:color="auto"/>
              <w:right w:val="single" w:sz="4" w:space="0" w:color="auto"/>
            </w:tcBorders>
            <w:shd w:val="clear" w:color="auto" w:fill="auto"/>
            <w:vAlign w:val="center"/>
            <w:hideMark/>
          </w:tcPr>
          <w:p w14:paraId="17EDDC14"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Identification of Production Category/Use by Children</w:t>
            </w:r>
          </w:p>
        </w:tc>
        <w:tc>
          <w:tcPr>
            <w:tcW w:w="427" w:type="pct"/>
            <w:tcBorders>
              <w:top w:val="nil"/>
              <w:left w:val="nil"/>
              <w:bottom w:val="single" w:sz="4" w:space="0" w:color="auto"/>
              <w:right w:val="single" w:sz="8" w:space="0" w:color="auto"/>
            </w:tcBorders>
            <w:shd w:val="clear" w:color="auto" w:fill="auto"/>
            <w:vAlign w:val="center"/>
            <w:hideMark/>
          </w:tcPr>
          <w:p w14:paraId="1B20B23A"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50620F12"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0.200</w:t>
            </w:r>
          </w:p>
        </w:tc>
        <w:tc>
          <w:tcPr>
            <w:tcW w:w="356" w:type="pct"/>
            <w:tcBorders>
              <w:top w:val="nil"/>
              <w:left w:val="nil"/>
              <w:bottom w:val="single" w:sz="4" w:space="0" w:color="auto"/>
              <w:right w:val="single" w:sz="4" w:space="0" w:color="auto"/>
            </w:tcBorders>
            <w:shd w:val="clear" w:color="auto" w:fill="auto"/>
            <w:noWrap/>
            <w:vAlign w:val="center"/>
            <w:hideMark/>
          </w:tcPr>
          <w:p w14:paraId="5CE901A0"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0.670</w:t>
            </w:r>
          </w:p>
        </w:tc>
        <w:tc>
          <w:tcPr>
            <w:tcW w:w="285" w:type="pct"/>
            <w:tcBorders>
              <w:top w:val="nil"/>
              <w:left w:val="nil"/>
              <w:bottom w:val="single" w:sz="4" w:space="0" w:color="auto"/>
              <w:right w:val="single" w:sz="4" w:space="0" w:color="auto"/>
            </w:tcBorders>
            <w:shd w:val="clear" w:color="auto" w:fill="auto"/>
            <w:noWrap/>
            <w:vAlign w:val="center"/>
            <w:hideMark/>
          </w:tcPr>
          <w:p w14:paraId="71F03A07"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hideMark/>
          </w:tcPr>
          <w:p w14:paraId="27EF15C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0.870</w:t>
            </w:r>
          </w:p>
        </w:tc>
        <w:tc>
          <w:tcPr>
            <w:tcW w:w="213" w:type="pct"/>
            <w:tcBorders>
              <w:top w:val="nil"/>
              <w:left w:val="single" w:sz="8" w:space="0" w:color="auto"/>
              <w:bottom w:val="single" w:sz="4" w:space="0" w:color="auto"/>
              <w:right w:val="single" w:sz="8" w:space="0" w:color="auto"/>
            </w:tcBorders>
            <w:shd w:val="clear" w:color="auto" w:fill="auto"/>
            <w:noWrap/>
            <w:vAlign w:val="center"/>
            <w:hideMark/>
          </w:tcPr>
          <w:p w14:paraId="1A2266A8"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1D747A">
              <w:rPr>
                <w:rFonts w:ascii="Arial Narrow" w:eastAsia="Times New Roman" w:hAnsi="Arial Narrow" w:cs="Calibri"/>
                <w:color w:val="000000"/>
                <w:sz w:val="16"/>
                <w:szCs w:val="16"/>
              </w:rPr>
              <w:t>7</w:t>
            </w:r>
          </w:p>
        </w:tc>
        <w:tc>
          <w:tcPr>
            <w:tcW w:w="643" w:type="pct"/>
            <w:tcBorders>
              <w:top w:val="nil"/>
              <w:left w:val="nil"/>
              <w:bottom w:val="single" w:sz="4" w:space="0" w:color="auto"/>
              <w:right w:val="single" w:sz="4" w:space="0" w:color="auto"/>
            </w:tcBorders>
            <w:shd w:val="clear" w:color="auto" w:fill="auto"/>
            <w:vAlign w:val="center"/>
            <w:hideMark/>
          </w:tcPr>
          <w:p w14:paraId="34C8F0D5" w14:textId="77777777" w:rsidR="00644DFC" w:rsidRPr="00644DFC" w:rsidRDefault="00644DFC" w:rsidP="00644DFC">
            <w:pPr>
              <w:rPr>
                <w:rFonts w:ascii="Arial Narrow" w:eastAsia="Times New Roman" w:hAnsi="Arial Narrow" w:cs="Calibri"/>
                <w:sz w:val="16"/>
                <w:szCs w:val="16"/>
              </w:rPr>
            </w:pPr>
            <w:r w:rsidRPr="00644DFC">
              <w:rPr>
                <w:rFonts w:ascii="Arial Narrow" w:eastAsia="Times New Roman" w:hAnsi="Arial Narrow" w:cs="Calibri"/>
                <w:sz w:val="16"/>
                <w:szCs w:val="16"/>
              </w:rPr>
              <w:t>Identification of Production Category/Use by Children</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1BCBDEE4"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0.200</w:t>
            </w:r>
          </w:p>
        </w:tc>
        <w:tc>
          <w:tcPr>
            <w:tcW w:w="397" w:type="pct"/>
            <w:tcBorders>
              <w:top w:val="nil"/>
              <w:left w:val="nil"/>
              <w:bottom w:val="single" w:sz="4" w:space="0" w:color="auto"/>
              <w:right w:val="single" w:sz="4" w:space="0" w:color="auto"/>
            </w:tcBorders>
            <w:shd w:val="clear" w:color="auto" w:fill="auto"/>
            <w:noWrap/>
            <w:vAlign w:val="center"/>
            <w:hideMark/>
          </w:tcPr>
          <w:p w14:paraId="77329D8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0.670</w:t>
            </w:r>
          </w:p>
        </w:tc>
        <w:tc>
          <w:tcPr>
            <w:tcW w:w="320" w:type="pct"/>
            <w:tcBorders>
              <w:top w:val="nil"/>
              <w:left w:val="nil"/>
              <w:bottom w:val="single" w:sz="4" w:space="0" w:color="auto"/>
              <w:right w:val="single" w:sz="4" w:space="0" w:color="auto"/>
            </w:tcBorders>
            <w:shd w:val="clear" w:color="auto" w:fill="auto"/>
            <w:noWrap/>
            <w:vAlign w:val="center"/>
            <w:hideMark/>
          </w:tcPr>
          <w:p w14:paraId="6BD32A6C"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hideMark/>
          </w:tcPr>
          <w:p w14:paraId="1F0F695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0.870</w:t>
            </w:r>
          </w:p>
        </w:tc>
      </w:tr>
      <w:tr w:rsidR="00644DFC" w:rsidRPr="00644DFC" w14:paraId="0C655296" w14:textId="77777777" w:rsidTr="00301D74">
        <w:trPr>
          <w:cantSplit/>
          <w:trHeight w:val="290"/>
        </w:trPr>
        <w:tc>
          <w:tcPr>
            <w:tcW w:w="212" w:type="pct"/>
            <w:tcBorders>
              <w:top w:val="nil"/>
              <w:left w:val="single" w:sz="8" w:space="0" w:color="auto"/>
              <w:bottom w:val="single" w:sz="4" w:space="0" w:color="auto"/>
              <w:right w:val="single" w:sz="8" w:space="0" w:color="auto"/>
            </w:tcBorders>
            <w:shd w:val="clear" w:color="auto" w:fill="auto"/>
            <w:noWrap/>
            <w:vAlign w:val="center"/>
            <w:hideMark/>
          </w:tcPr>
          <w:p w14:paraId="6C92817D"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1D747A">
              <w:rPr>
                <w:rFonts w:ascii="Arial Narrow" w:eastAsia="Times New Roman" w:hAnsi="Arial Narrow" w:cs="Calibri"/>
                <w:color w:val="000000"/>
                <w:sz w:val="16"/>
                <w:szCs w:val="16"/>
              </w:rPr>
              <w:t>5</w:t>
            </w:r>
          </w:p>
        </w:tc>
        <w:tc>
          <w:tcPr>
            <w:tcW w:w="641" w:type="pct"/>
            <w:tcBorders>
              <w:top w:val="nil"/>
              <w:left w:val="nil"/>
              <w:bottom w:val="single" w:sz="4" w:space="0" w:color="auto"/>
              <w:right w:val="single" w:sz="4" w:space="0" w:color="auto"/>
            </w:tcBorders>
            <w:shd w:val="clear" w:color="auto" w:fill="auto"/>
            <w:vAlign w:val="center"/>
            <w:hideMark/>
          </w:tcPr>
          <w:p w14:paraId="4B7E86C7"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Percent of Production Volume</w:t>
            </w:r>
          </w:p>
        </w:tc>
        <w:tc>
          <w:tcPr>
            <w:tcW w:w="427" w:type="pct"/>
            <w:tcBorders>
              <w:top w:val="nil"/>
              <w:left w:val="nil"/>
              <w:bottom w:val="single" w:sz="4" w:space="0" w:color="auto"/>
              <w:right w:val="single" w:sz="8" w:space="0" w:color="auto"/>
            </w:tcBorders>
            <w:shd w:val="clear" w:color="auto" w:fill="auto"/>
            <w:vAlign w:val="center"/>
            <w:hideMark/>
          </w:tcPr>
          <w:p w14:paraId="50056F90"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B95B708"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0.360</w:t>
            </w:r>
          </w:p>
        </w:tc>
        <w:tc>
          <w:tcPr>
            <w:tcW w:w="356" w:type="pct"/>
            <w:tcBorders>
              <w:top w:val="nil"/>
              <w:left w:val="nil"/>
              <w:bottom w:val="single" w:sz="4" w:space="0" w:color="auto"/>
              <w:right w:val="single" w:sz="4" w:space="0" w:color="auto"/>
            </w:tcBorders>
            <w:shd w:val="clear" w:color="auto" w:fill="auto"/>
            <w:noWrap/>
            <w:vAlign w:val="center"/>
            <w:hideMark/>
          </w:tcPr>
          <w:p w14:paraId="399BB84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1.010</w:t>
            </w:r>
          </w:p>
        </w:tc>
        <w:tc>
          <w:tcPr>
            <w:tcW w:w="285" w:type="pct"/>
            <w:tcBorders>
              <w:top w:val="nil"/>
              <w:left w:val="nil"/>
              <w:bottom w:val="single" w:sz="4" w:space="0" w:color="auto"/>
              <w:right w:val="single" w:sz="4" w:space="0" w:color="auto"/>
            </w:tcBorders>
            <w:shd w:val="clear" w:color="auto" w:fill="auto"/>
            <w:noWrap/>
            <w:vAlign w:val="center"/>
            <w:hideMark/>
          </w:tcPr>
          <w:p w14:paraId="25FA2855"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hideMark/>
          </w:tcPr>
          <w:p w14:paraId="08EA0DD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1.370</w:t>
            </w:r>
          </w:p>
        </w:tc>
        <w:tc>
          <w:tcPr>
            <w:tcW w:w="213" w:type="pct"/>
            <w:tcBorders>
              <w:top w:val="nil"/>
              <w:left w:val="single" w:sz="8" w:space="0" w:color="auto"/>
              <w:bottom w:val="single" w:sz="4" w:space="0" w:color="auto"/>
              <w:right w:val="single" w:sz="8" w:space="0" w:color="auto"/>
            </w:tcBorders>
            <w:shd w:val="clear" w:color="auto" w:fill="auto"/>
            <w:noWrap/>
            <w:vAlign w:val="center"/>
            <w:hideMark/>
          </w:tcPr>
          <w:p w14:paraId="1622879E"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1D747A">
              <w:rPr>
                <w:rFonts w:ascii="Arial Narrow" w:eastAsia="Times New Roman" w:hAnsi="Arial Narrow" w:cs="Calibri"/>
                <w:color w:val="000000"/>
                <w:sz w:val="16"/>
                <w:szCs w:val="16"/>
              </w:rPr>
              <w:t>8</w:t>
            </w:r>
          </w:p>
        </w:tc>
        <w:tc>
          <w:tcPr>
            <w:tcW w:w="643" w:type="pct"/>
            <w:tcBorders>
              <w:top w:val="nil"/>
              <w:left w:val="nil"/>
              <w:bottom w:val="single" w:sz="4" w:space="0" w:color="auto"/>
              <w:right w:val="single" w:sz="4" w:space="0" w:color="auto"/>
            </w:tcBorders>
            <w:shd w:val="clear" w:color="auto" w:fill="auto"/>
            <w:vAlign w:val="center"/>
            <w:hideMark/>
          </w:tcPr>
          <w:p w14:paraId="45B971F1" w14:textId="77777777" w:rsidR="00644DFC" w:rsidRPr="00644DFC" w:rsidRDefault="00644DFC" w:rsidP="00644DFC">
            <w:pPr>
              <w:rPr>
                <w:rFonts w:ascii="Arial Narrow" w:eastAsia="Times New Roman" w:hAnsi="Arial Narrow" w:cs="Calibri"/>
                <w:sz w:val="16"/>
                <w:szCs w:val="16"/>
              </w:rPr>
            </w:pPr>
            <w:r w:rsidRPr="00644DFC">
              <w:rPr>
                <w:rFonts w:ascii="Arial Narrow" w:eastAsia="Times New Roman" w:hAnsi="Arial Narrow" w:cs="Calibri"/>
                <w:sz w:val="16"/>
                <w:szCs w:val="16"/>
              </w:rPr>
              <w:t>Percent of Production Volume</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76551792"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0.360</w:t>
            </w:r>
          </w:p>
        </w:tc>
        <w:tc>
          <w:tcPr>
            <w:tcW w:w="397" w:type="pct"/>
            <w:tcBorders>
              <w:top w:val="nil"/>
              <w:left w:val="nil"/>
              <w:bottom w:val="single" w:sz="4" w:space="0" w:color="auto"/>
              <w:right w:val="single" w:sz="4" w:space="0" w:color="auto"/>
            </w:tcBorders>
            <w:shd w:val="clear" w:color="auto" w:fill="auto"/>
            <w:noWrap/>
            <w:vAlign w:val="center"/>
            <w:hideMark/>
          </w:tcPr>
          <w:p w14:paraId="397620E5"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1.010</w:t>
            </w:r>
          </w:p>
        </w:tc>
        <w:tc>
          <w:tcPr>
            <w:tcW w:w="320" w:type="pct"/>
            <w:tcBorders>
              <w:top w:val="nil"/>
              <w:left w:val="nil"/>
              <w:bottom w:val="single" w:sz="4" w:space="0" w:color="auto"/>
              <w:right w:val="single" w:sz="4" w:space="0" w:color="auto"/>
            </w:tcBorders>
            <w:shd w:val="clear" w:color="auto" w:fill="auto"/>
            <w:noWrap/>
            <w:vAlign w:val="center"/>
            <w:hideMark/>
          </w:tcPr>
          <w:p w14:paraId="03D8B78E"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hideMark/>
          </w:tcPr>
          <w:p w14:paraId="2C066534"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1.370</w:t>
            </w:r>
          </w:p>
        </w:tc>
      </w:tr>
      <w:tr w:rsidR="00644DFC" w:rsidRPr="00644DFC" w14:paraId="7B2C06B9" w14:textId="77777777" w:rsidTr="00301D74">
        <w:trPr>
          <w:cantSplit/>
          <w:trHeight w:val="290"/>
        </w:trPr>
        <w:tc>
          <w:tcPr>
            <w:tcW w:w="212"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61DFE0A"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1D747A">
              <w:rPr>
                <w:rFonts w:ascii="Arial Narrow" w:eastAsia="Times New Roman" w:hAnsi="Arial Narrow" w:cs="Calibri"/>
                <w:color w:val="000000"/>
                <w:sz w:val="16"/>
                <w:szCs w:val="16"/>
              </w:rPr>
              <w:t>6</w:t>
            </w:r>
          </w:p>
        </w:tc>
        <w:tc>
          <w:tcPr>
            <w:tcW w:w="641" w:type="pct"/>
            <w:tcBorders>
              <w:top w:val="nil"/>
              <w:left w:val="nil"/>
              <w:bottom w:val="single" w:sz="4" w:space="0" w:color="auto"/>
              <w:right w:val="single" w:sz="4" w:space="0" w:color="auto"/>
            </w:tcBorders>
            <w:shd w:val="clear" w:color="auto" w:fill="auto"/>
            <w:vAlign w:val="center"/>
            <w:hideMark/>
          </w:tcPr>
          <w:p w14:paraId="67A78C4A"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Maximum Concentration by Category</w:t>
            </w:r>
          </w:p>
        </w:tc>
        <w:tc>
          <w:tcPr>
            <w:tcW w:w="427" w:type="pct"/>
            <w:tcBorders>
              <w:top w:val="nil"/>
              <w:left w:val="nil"/>
              <w:bottom w:val="single" w:sz="4" w:space="0" w:color="auto"/>
              <w:right w:val="single" w:sz="8" w:space="0" w:color="auto"/>
            </w:tcBorders>
            <w:shd w:val="clear" w:color="auto" w:fill="auto"/>
            <w:vAlign w:val="center"/>
            <w:hideMark/>
          </w:tcPr>
          <w:p w14:paraId="21BDD7BD"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0B0A33DF"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0.280</w:t>
            </w:r>
          </w:p>
        </w:tc>
        <w:tc>
          <w:tcPr>
            <w:tcW w:w="356" w:type="pct"/>
            <w:tcBorders>
              <w:top w:val="nil"/>
              <w:left w:val="nil"/>
              <w:bottom w:val="single" w:sz="4" w:space="0" w:color="auto"/>
              <w:right w:val="single" w:sz="4" w:space="0" w:color="auto"/>
            </w:tcBorders>
            <w:shd w:val="clear" w:color="auto" w:fill="auto"/>
            <w:noWrap/>
            <w:vAlign w:val="center"/>
            <w:hideMark/>
          </w:tcPr>
          <w:p w14:paraId="2174AD0F"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1.090</w:t>
            </w:r>
          </w:p>
        </w:tc>
        <w:tc>
          <w:tcPr>
            <w:tcW w:w="285" w:type="pct"/>
            <w:tcBorders>
              <w:top w:val="nil"/>
              <w:left w:val="nil"/>
              <w:bottom w:val="single" w:sz="4" w:space="0" w:color="auto"/>
              <w:right w:val="single" w:sz="4" w:space="0" w:color="auto"/>
            </w:tcBorders>
            <w:shd w:val="clear" w:color="auto" w:fill="auto"/>
            <w:noWrap/>
            <w:vAlign w:val="center"/>
            <w:hideMark/>
          </w:tcPr>
          <w:p w14:paraId="141FD106"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nil"/>
              <w:left w:val="nil"/>
              <w:bottom w:val="single" w:sz="4" w:space="0" w:color="auto"/>
              <w:right w:val="single" w:sz="8" w:space="0" w:color="auto"/>
            </w:tcBorders>
            <w:shd w:val="clear" w:color="auto" w:fill="auto"/>
            <w:noWrap/>
            <w:vAlign w:val="center"/>
            <w:hideMark/>
          </w:tcPr>
          <w:p w14:paraId="23A28BFA"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1.370</w:t>
            </w:r>
          </w:p>
        </w:tc>
        <w:tc>
          <w:tcPr>
            <w:tcW w:w="213" w:type="pct"/>
            <w:tcBorders>
              <w:top w:val="nil"/>
              <w:left w:val="single" w:sz="8" w:space="0" w:color="auto"/>
              <w:bottom w:val="single" w:sz="4" w:space="0" w:color="auto"/>
              <w:right w:val="single" w:sz="8" w:space="0" w:color="auto"/>
            </w:tcBorders>
            <w:shd w:val="clear" w:color="auto" w:fill="auto"/>
            <w:noWrap/>
            <w:vAlign w:val="center"/>
            <w:hideMark/>
          </w:tcPr>
          <w:p w14:paraId="2DE0C386"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1D747A">
              <w:rPr>
                <w:rFonts w:ascii="Arial Narrow" w:eastAsia="Times New Roman" w:hAnsi="Arial Narrow" w:cs="Calibri"/>
                <w:color w:val="000000"/>
                <w:sz w:val="16"/>
                <w:szCs w:val="16"/>
              </w:rPr>
              <w:t>9</w:t>
            </w:r>
          </w:p>
        </w:tc>
        <w:tc>
          <w:tcPr>
            <w:tcW w:w="643" w:type="pct"/>
            <w:tcBorders>
              <w:top w:val="nil"/>
              <w:left w:val="nil"/>
              <w:bottom w:val="single" w:sz="4" w:space="0" w:color="auto"/>
              <w:right w:val="single" w:sz="4" w:space="0" w:color="auto"/>
            </w:tcBorders>
            <w:shd w:val="clear" w:color="auto" w:fill="auto"/>
            <w:vAlign w:val="center"/>
            <w:hideMark/>
          </w:tcPr>
          <w:p w14:paraId="22B9AD05" w14:textId="77777777" w:rsidR="00644DFC" w:rsidRPr="00644DFC" w:rsidRDefault="00644DFC" w:rsidP="00644DFC">
            <w:pPr>
              <w:rPr>
                <w:rFonts w:ascii="Arial Narrow" w:eastAsia="Times New Roman" w:hAnsi="Arial Narrow" w:cs="Calibri"/>
                <w:sz w:val="16"/>
                <w:szCs w:val="16"/>
              </w:rPr>
            </w:pPr>
            <w:r w:rsidRPr="00644DFC">
              <w:rPr>
                <w:rFonts w:ascii="Arial Narrow" w:eastAsia="Times New Roman" w:hAnsi="Arial Narrow" w:cs="Calibri"/>
                <w:sz w:val="16"/>
                <w:szCs w:val="16"/>
              </w:rPr>
              <w:t>Maximum Concentration by Category</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14:paraId="482F5B47"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0.280</w:t>
            </w:r>
          </w:p>
        </w:tc>
        <w:tc>
          <w:tcPr>
            <w:tcW w:w="397" w:type="pct"/>
            <w:tcBorders>
              <w:top w:val="nil"/>
              <w:left w:val="nil"/>
              <w:bottom w:val="single" w:sz="4" w:space="0" w:color="auto"/>
              <w:right w:val="single" w:sz="4" w:space="0" w:color="auto"/>
            </w:tcBorders>
            <w:shd w:val="clear" w:color="auto" w:fill="auto"/>
            <w:noWrap/>
            <w:vAlign w:val="center"/>
            <w:hideMark/>
          </w:tcPr>
          <w:p w14:paraId="5BCD910D"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1.090</w:t>
            </w:r>
          </w:p>
        </w:tc>
        <w:tc>
          <w:tcPr>
            <w:tcW w:w="320" w:type="pct"/>
            <w:tcBorders>
              <w:top w:val="nil"/>
              <w:left w:val="nil"/>
              <w:bottom w:val="single" w:sz="4" w:space="0" w:color="auto"/>
              <w:right w:val="single" w:sz="4" w:space="0" w:color="auto"/>
            </w:tcBorders>
            <w:shd w:val="clear" w:color="auto" w:fill="auto"/>
            <w:noWrap/>
            <w:vAlign w:val="center"/>
            <w:hideMark/>
          </w:tcPr>
          <w:p w14:paraId="78428CE4"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nil"/>
              <w:left w:val="nil"/>
              <w:bottom w:val="single" w:sz="4" w:space="0" w:color="auto"/>
              <w:right w:val="single" w:sz="8" w:space="0" w:color="auto"/>
            </w:tcBorders>
            <w:shd w:val="clear" w:color="auto" w:fill="auto"/>
            <w:noWrap/>
            <w:vAlign w:val="center"/>
            <w:hideMark/>
          </w:tcPr>
          <w:p w14:paraId="2C23F99F"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1.370</w:t>
            </w:r>
          </w:p>
        </w:tc>
      </w:tr>
      <w:tr w:rsidR="00644DFC" w:rsidRPr="00644DFC" w14:paraId="0C2D8C14" w14:textId="77777777" w:rsidTr="00301D74">
        <w:trPr>
          <w:cantSplit/>
          <w:trHeight w:val="540"/>
        </w:trPr>
        <w:tc>
          <w:tcPr>
            <w:tcW w:w="212"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30AEFB9"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2</w:t>
            </w:r>
            <w:r w:rsidR="001D747A">
              <w:rPr>
                <w:rFonts w:ascii="Arial Narrow" w:eastAsia="Times New Roman" w:hAnsi="Arial Narrow" w:cs="Calibri"/>
                <w:color w:val="000000"/>
                <w:sz w:val="16"/>
                <w:szCs w:val="16"/>
              </w:rPr>
              <w:t>7</w:t>
            </w:r>
          </w:p>
        </w:tc>
        <w:tc>
          <w:tcPr>
            <w:tcW w:w="641" w:type="pct"/>
            <w:tcBorders>
              <w:top w:val="single" w:sz="4" w:space="0" w:color="auto"/>
              <w:left w:val="nil"/>
              <w:bottom w:val="single" w:sz="4" w:space="0" w:color="auto"/>
              <w:right w:val="single" w:sz="4" w:space="0" w:color="auto"/>
            </w:tcBorders>
            <w:shd w:val="clear" w:color="auto" w:fill="auto"/>
            <w:vAlign w:val="center"/>
            <w:hideMark/>
          </w:tcPr>
          <w:p w14:paraId="359B8A9D" w14:textId="77777777" w:rsidR="00644DFC" w:rsidRPr="00644DFC" w:rsidRDefault="00644DFC" w:rsidP="00644DFC">
            <w:pP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Number of Commercial Workers Reasonably Likely to be exposed</w:t>
            </w:r>
          </w:p>
        </w:tc>
        <w:tc>
          <w:tcPr>
            <w:tcW w:w="427" w:type="pct"/>
            <w:tcBorders>
              <w:top w:val="single" w:sz="4" w:space="0" w:color="auto"/>
              <w:left w:val="nil"/>
              <w:bottom w:val="single" w:sz="4" w:space="0" w:color="auto"/>
              <w:right w:val="single" w:sz="8" w:space="0" w:color="auto"/>
            </w:tcBorders>
            <w:shd w:val="clear" w:color="auto" w:fill="auto"/>
            <w:vAlign w:val="center"/>
            <w:hideMark/>
          </w:tcPr>
          <w:p w14:paraId="2B216CEC" w14:textId="77777777" w:rsidR="00644DFC" w:rsidRPr="00644DFC" w:rsidRDefault="00644DFC" w:rsidP="00644DFC">
            <w:pPr>
              <w:jc w:val="center"/>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Per chemical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C62F1"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3.060</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3F4C7CC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12.340</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745BFE90"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57" w:type="pct"/>
            <w:tcBorders>
              <w:top w:val="single" w:sz="4" w:space="0" w:color="auto"/>
              <w:left w:val="nil"/>
              <w:bottom w:val="single" w:sz="4" w:space="0" w:color="auto"/>
              <w:right w:val="single" w:sz="8" w:space="0" w:color="auto"/>
            </w:tcBorders>
            <w:shd w:val="clear" w:color="auto" w:fill="auto"/>
            <w:noWrap/>
            <w:vAlign w:val="center"/>
            <w:hideMark/>
          </w:tcPr>
          <w:p w14:paraId="0841C876"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15.400</w:t>
            </w:r>
          </w:p>
        </w:tc>
        <w:tc>
          <w:tcPr>
            <w:tcW w:w="213"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EB40AF1" w14:textId="77777777" w:rsidR="00644DFC" w:rsidRPr="00644DFC" w:rsidRDefault="001D747A" w:rsidP="00644DFC">
            <w:pPr>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30</w:t>
            </w:r>
          </w:p>
        </w:tc>
        <w:tc>
          <w:tcPr>
            <w:tcW w:w="643" w:type="pct"/>
            <w:tcBorders>
              <w:top w:val="single" w:sz="4" w:space="0" w:color="auto"/>
              <w:left w:val="nil"/>
              <w:bottom w:val="single" w:sz="4" w:space="0" w:color="auto"/>
              <w:right w:val="single" w:sz="4" w:space="0" w:color="auto"/>
            </w:tcBorders>
            <w:shd w:val="clear" w:color="auto" w:fill="auto"/>
            <w:vAlign w:val="center"/>
            <w:hideMark/>
          </w:tcPr>
          <w:p w14:paraId="3C14A29B" w14:textId="77777777" w:rsidR="00644DFC" w:rsidRPr="00644DFC" w:rsidRDefault="00644DFC" w:rsidP="00644DFC">
            <w:pPr>
              <w:rPr>
                <w:rFonts w:ascii="Arial Narrow" w:eastAsia="Times New Roman" w:hAnsi="Arial Narrow" w:cs="Calibri"/>
                <w:sz w:val="16"/>
                <w:szCs w:val="16"/>
              </w:rPr>
            </w:pPr>
            <w:r w:rsidRPr="00644DFC">
              <w:rPr>
                <w:rFonts w:ascii="Arial Narrow" w:eastAsia="Times New Roman" w:hAnsi="Arial Narrow" w:cs="Calibri"/>
                <w:sz w:val="16"/>
                <w:szCs w:val="16"/>
              </w:rPr>
              <w:t>Number of Commercial Workers Reasonably Likely to be exposed</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EF317"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3.060</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14:paraId="18B0B0F2"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12.340</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4D80E37E"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0.000</w:t>
            </w:r>
          </w:p>
        </w:tc>
        <w:tc>
          <w:tcPr>
            <w:tcW w:w="373" w:type="pct"/>
            <w:tcBorders>
              <w:top w:val="single" w:sz="4" w:space="0" w:color="auto"/>
              <w:left w:val="nil"/>
              <w:bottom w:val="single" w:sz="4" w:space="0" w:color="auto"/>
              <w:right w:val="single" w:sz="8" w:space="0" w:color="auto"/>
            </w:tcBorders>
            <w:shd w:val="clear" w:color="auto" w:fill="auto"/>
            <w:noWrap/>
            <w:vAlign w:val="center"/>
            <w:hideMark/>
          </w:tcPr>
          <w:p w14:paraId="64A43FB9" w14:textId="77777777" w:rsidR="00644DFC" w:rsidRPr="00644DFC" w:rsidRDefault="00644DFC" w:rsidP="00644DFC">
            <w:pPr>
              <w:ind w:right="101"/>
              <w:jc w:val="right"/>
              <w:rPr>
                <w:rFonts w:ascii="Arial Narrow" w:eastAsia="Times New Roman" w:hAnsi="Arial Narrow" w:cs="Calibri"/>
                <w:color w:val="000000"/>
                <w:sz w:val="16"/>
                <w:szCs w:val="16"/>
              </w:rPr>
            </w:pPr>
            <w:r w:rsidRPr="00644DFC">
              <w:rPr>
                <w:rFonts w:ascii="Arial Narrow" w:eastAsia="Times New Roman" w:hAnsi="Arial Narrow" w:cs="Calibri"/>
                <w:color w:val="000000"/>
                <w:sz w:val="16"/>
                <w:szCs w:val="16"/>
              </w:rPr>
              <w:t>15.400</w:t>
            </w:r>
          </w:p>
        </w:tc>
      </w:tr>
      <w:tr w:rsidR="00644DFC" w:rsidRPr="00644DFC" w14:paraId="3E591540" w14:textId="77777777" w:rsidTr="00B2771B">
        <w:trPr>
          <w:cantSplit/>
          <w:trHeight w:val="540"/>
        </w:trPr>
        <w:tc>
          <w:tcPr>
            <w:tcW w:w="212" w:type="pct"/>
            <w:tcBorders>
              <w:top w:val="single" w:sz="4" w:space="0" w:color="auto"/>
              <w:left w:val="single" w:sz="8" w:space="0" w:color="auto"/>
              <w:bottom w:val="single" w:sz="8" w:space="0" w:color="auto"/>
              <w:right w:val="single" w:sz="8" w:space="0" w:color="auto"/>
            </w:tcBorders>
            <w:shd w:val="clear" w:color="auto" w:fill="auto"/>
            <w:noWrap/>
            <w:vAlign w:val="center"/>
          </w:tcPr>
          <w:p w14:paraId="4A639602" w14:textId="77777777" w:rsidR="00644DFC" w:rsidRPr="00644DFC" w:rsidRDefault="001D747A" w:rsidP="00644DFC">
            <w:pPr>
              <w:jc w:val="center"/>
              <w:rPr>
                <w:rFonts w:ascii="Arial Narrow" w:eastAsia="Times New Roman" w:hAnsi="Arial Narrow" w:cs="Calibri"/>
                <w:sz w:val="16"/>
                <w:szCs w:val="16"/>
              </w:rPr>
            </w:pPr>
            <w:r>
              <w:rPr>
                <w:rFonts w:ascii="Arial Narrow" w:eastAsia="Times New Roman" w:hAnsi="Arial Narrow" w:cs="Calibri"/>
                <w:sz w:val="16"/>
                <w:szCs w:val="16"/>
              </w:rPr>
              <w:t>28</w:t>
            </w:r>
          </w:p>
        </w:tc>
        <w:tc>
          <w:tcPr>
            <w:tcW w:w="641" w:type="pct"/>
            <w:tcBorders>
              <w:top w:val="single" w:sz="4" w:space="0" w:color="auto"/>
              <w:left w:val="nil"/>
              <w:bottom w:val="single" w:sz="8" w:space="0" w:color="auto"/>
              <w:right w:val="single" w:sz="4" w:space="0" w:color="auto"/>
            </w:tcBorders>
            <w:shd w:val="clear" w:color="auto" w:fill="auto"/>
            <w:vAlign w:val="center"/>
          </w:tcPr>
          <w:p w14:paraId="697EB426" w14:textId="77777777" w:rsidR="00644DFC" w:rsidRPr="00644DFC" w:rsidRDefault="00644DFC" w:rsidP="00644DFC">
            <w:pPr>
              <w:rPr>
                <w:rFonts w:ascii="Arial Narrow" w:eastAsia="Times New Roman" w:hAnsi="Arial Narrow" w:cs="Calibri"/>
                <w:sz w:val="16"/>
                <w:szCs w:val="16"/>
              </w:rPr>
            </w:pPr>
            <w:r w:rsidRPr="00644DFC">
              <w:rPr>
                <w:rFonts w:ascii="Arial Narrow" w:eastAsia="Times New Roman" w:hAnsi="Arial Narrow" w:cs="Calibri"/>
                <w:sz w:val="16"/>
                <w:szCs w:val="16"/>
              </w:rPr>
              <w:t>Upfront Substantiation for Processing and Use Information CBI Claims</w:t>
            </w:r>
          </w:p>
        </w:tc>
        <w:tc>
          <w:tcPr>
            <w:tcW w:w="427" w:type="pct"/>
            <w:tcBorders>
              <w:top w:val="single" w:sz="4" w:space="0" w:color="auto"/>
              <w:left w:val="nil"/>
              <w:bottom w:val="single" w:sz="8" w:space="0" w:color="auto"/>
              <w:right w:val="single" w:sz="8" w:space="0" w:color="auto"/>
            </w:tcBorders>
            <w:shd w:val="clear" w:color="auto" w:fill="auto"/>
            <w:vAlign w:val="center"/>
          </w:tcPr>
          <w:p w14:paraId="3CD20573" w14:textId="77777777" w:rsidR="00644DFC" w:rsidRPr="00644DFC" w:rsidRDefault="00644DFC" w:rsidP="00644DFC">
            <w:pPr>
              <w:jc w:val="center"/>
              <w:rPr>
                <w:rFonts w:ascii="Arial Narrow" w:eastAsia="Times New Roman" w:hAnsi="Arial Narrow" w:cs="Calibri"/>
                <w:sz w:val="16"/>
                <w:szCs w:val="16"/>
              </w:rPr>
            </w:pPr>
            <w:r w:rsidRPr="00644DFC">
              <w:rPr>
                <w:rFonts w:ascii="Arial Narrow" w:eastAsia="Times New Roman" w:hAnsi="Arial Narrow" w:cs="Calibri"/>
                <w:sz w:val="16"/>
                <w:szCs w:val="16"/>
              </w:rPr>
              <w:t>Per chemical</w:t>
            </w:r>
          </w:p>
        </w:tc>
        <w:tc>
          <w:tcPr>
            <w:tcW w:w="392" w:type="pct"/>
            <w:tcBorders>
              <w:top w:val="single" w:sz="4" w:space="0" w:color="auto"/>
              <w:left w:val="single" w:sz="4" w:space="0" w:color="auto"/>
              <w:bottom w:val="single" w:sz="8" w:space="0" w:color="auto"/>
              <w:right w:val="single" w:sz="4" w:space="0" w:color="auto"/>
            </w:tcBorders>
            <w:shd w:val="clear" w:color="auto" w:fill="auto"/>
            <w:noWrap/>
            <w:vAlign w:val="center"/>
          </w:tcPr>
          <w:p w14:paraId="6027D8FA"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0.210</w:t>
            </w:r>
          </w:p>
        </w:tc>
        <w:tc>
          <w:tcPr>
            <w:tcW w:w="356" w:type="pct"/>
            <w:tcBorders>
              <w:top w:val="single" w:sz="4" w:space="0" w:color="auto"/>
              <w:left w:val="nil"/>
              <w:bottom w:val="single" w:sz="8" w:space="0" w:color="auto"/>
              <w:right w:val="single" w:sz="4" w:space="0" w:color="auto"/>
            </w:tcBorders>
            <w:shd w:val="clear" w:color="auto" w:fill="auto"/>
            <w:noWrap/>
            <w:vAlign w:val="center"/>
          </w:tcPr>
          <w:p w14:paraId="73BBE49B"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0.430</w:t>
            </w:r>
          </w:p>
        </w:tc>
        <w:tc>
          <w:tcPr>
            <w:tcW w:w="285" w:type="pct"/>
            <w:tcBorders>
              <w:top w:val="single" w:sz="4" w:space="0" w:color="auto"/>
              <w:left w:val="nil"/>
              <w:bottom w:val="single" w:sz="8" w:space="0" w:color="auto"/>
              <w:right w:val="single" w:sz="4" w:space="0" w:color="auto"/>
            </w:tcBorders>
            <w:shd w:val="clear" w:color="auto" w:fill="auto"/>
            <w:noWrap/>
            <w:vAlign w:val="center"/>
          </w:tcPr>
          <w:p w14:paraId="0A3DFCD5"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0.000</w:t>
            </w:r>
          </w:p>
        </w:tc>
        <w:tc>
          <w:tcPr>
            <w:tcW w:w="357" w:type="pct"/>
            <w:tcBorders>
              <w:top w:val="single" w:sz="4" w:space="0" w:color="auto"/>
              <w:left w:val="nil"/>
              <w:bottom w:val="single" w:sz="8" w:space="0" w:color="auto"/>
              <w:right w:val="single" w:sz="8" w:space="0" w:color="auto"/>
            </w:tcBorders>
            <w:shd w:val="clear" w:color="auto" w:fill="auto"/>
            <w:noWrap/>
            <w:vAlign w:val="center"/>
          </w:tcPr>
          <w:p w14:paraId="071927DC"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0.640</w:t>
            </w:r>
          </w:p>
        </w:tc>
        <w:tc>
          <w:tcPr>
            <w:tcW w:w="213" w:type="pct"/>
            <w:tcBorders>
              <w:top w:val="single" w:sz="4" w:space="0" w:color="auto"/>
              <w:left w:val="single" w:sz="8" w:space="0" w:color="auto"/>
              <w:bottom w:val="single" w:sz="8" w:space="0" w:color="auto"/>
              <w:right w:val="single" w:sz="8" w:space="0" w:color="auto"/>
            </w:tcBorders>
            <w:shd w:val="clear" w:color="auto" w:fill="auto"/>
            <w:noWrap/>
            <w:vAlign w:val="center"/>
          </w:tcPr>
          <w:p w14:paraId="6B1AEA67" w14:textId="77777777" w:rsidR="00644DFC" w:rsidRPr="00644DFC" w:rsidRDefault="001D747A" w:rsidP="00644DFC">
            <w:pPr>
              <w:jc w:val="center"/>
              <w:rPr>
                <w:rFonts w:ascii="Arial Narrow" w:eastAsia="Times New Roman" w:hAnsi="Arial Narrow" w:cs="Calibri"/>
                <w:sz w:val="16"/>
                <w:szCs w:val="16"/>
              </w:rPr>
            </w:pPr>
            <w:r>
              <w:rPr>
                <w:rFonts w:ascii="Arial Narrow" w:eastAsia="Times New Roman" w:hAnsi="Arial Narrow" w:cs="Calibri"/>
                <w:sz w:val="16"/>
                <w:szCs w:val="16"/>
              </w:rPr>
              <w:t>31</w:t>
            </w:r>
          </w:p>
        </w:tc>
        <w:tc>
          <w:tcPr>
            <w:tcW w:w="643" w:type="pct"/>
            <w:tcBorders>
              <w:top w:val="single" w:sz="4" w:space="0" w:color="auto"/>
              <w:left w:val="nil"/>
              <w:bottom w:val="single" w:sz="8" w:space="0" w:color="auto"/>
              <w:right w:val="single" w:sz="4" w:space="0" w:color="auto"/>
            </w:tcBorders>
            <w:shd w:val="clear" w:color="auto" w:fill="auto"/>
            <w:vAlign w:val="center"/>
          </w:tcPr>
          <w:p w14:paraId="029F5633" w14:textId="77777777" w:rsidR="00644DFC" w:rsidRPr="00044368" w:rsidRDefault="00644DFC" w:rsidP="00644DFC">
            <w:pPr>
              <w:rPr>
                <w:rFonts w:ascii="Arial Narrow" w:eastAsia="Times New Roman" w:hAnsi="Arial Narrow" w:cs="Calibri"/>
                <w:sz w:val="16"/>
                <w:szCs w:val="16"/>
                <w:lang w:val="fr-FR"/>
              </w:rPr>
            </w:pPr>
            <w:r w:rsidRPr="00044368">
              <w:rPr>
                <w:rFonts w:ascii="Arial Narrow" w:eastAsia="Times New Roman" w:hAnsi="Arial Narrow" w:cs="Calibri"/>
                <w:sz w:val="16"/>
                <w:szCs w:val="16"/>
                <w:lang w:val="fr-FR"/>
              </w:rPr>
              <w:t>Non-Chem ID CBI Substantiation (Part III)</w:t>
            </w:r>
          </w:p>
        </w:tc>
        <w:tc>
          <w:tcPr>
            <w:tcW w:w="384" w:type="pct"/>
            <w:tcBorders>
              <w:top w:val="single" w:sz="4" w:space="0" w:color="auto"/>
              <w:left w:val="single" w:sz="4" w:space="0" w:color="auto"/>
              <w:bottom w:val="single" w:sz="8" w:space="0" w:color="auto"/>
              <w:right w:val="single" w:sz="4" w:space="0" w:color="auto"/>
            </w:tcBorders>
            <w:shd w:val="clear" w:color="auto" w:fill="auto"/>
            <w:noWrap/>
            <w:vAlign w:val="center"/>
          </w:tcPr>
          <w:p w14:paraId="35BAA1D8"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0.210</w:t>
            </w:r>
          </w:p>
        </w:tc>
        <w:tc>
          <w:tcPr>
            <w:tcW w:w="397" w:type="pct"/>
            <w:tcBorders>
              <w:top w:val="single" w:sz="4" w:space="0" w:color="auto"/>
              <w:left w:val="nil"/>
              <w:bottom w:val="single" w:sz="4" w:space="0" w:color="auto"/>
              <w:right w:val="single" w:sz="4" w:space="0" w:color="auto"/>
            </w:tcBorders>
            <w:shd w:val="clear" w:color="auto" w:fill="auto"/>
            <w:noWrap/>
            <w:vAlign w:val="center"/>
          </w:tcPr>
          <w:p w14:paraId="53DFA19A"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0.430</w:t>
            </w:r>
          </w:p>
        </w:tc>
        <w:tc>
          <w:tcPr>
            <w:tcW w:w="320" w:type="pct"/>
            <w:tcBorders>
              <w:top w:val="single" w:sz="4" w:space="0" w:color="auto"/>
              <w:left w:val="nil"/>
              <w:bottom w:val="single" w:sz="4" w:space="0" w:color="auto"/>
              <w:right w:val="single" w:sz="4" w:space="0" w:color="auto"/>
            </w:tcBorders>
            <w:shd w:val="clear" w:color="auto" w:fill="auto"/>
            <w:noWrap/>
            <w:vAlign w:val="center"/>
          </w:tcPr>
          <w:p w14:paraId="45478263"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0.000</w:t>
            </w:r>
          </w:p>
        </w:tc>
        <w:tc>
          <w:tcPr>
            <w:tcW w:w="373" w:type="pct"/>
            <w:tcBorders>
              <w:top w:val="single" w:sz="4" w:space="0" w:color="auto"/>
              <w:left w:val="nil"/>
              <w:bottom w:val="single" w:sz="4" w:space="0" w:color="auto"/>
              <w:right w:val="single" w:sz="8" w:space="0" w:color="auto"/>
            </w:tcBorders>
            <w:shd w:val="clear" w:color="auto" w:fill="auto"/>
            <w:noWrap/>
            <w:vAlign w:val="center"/>
          </w:tcPr>
          <w:p w14:paraId="6361E9F4" w14:textId="77777777" w:rsidR="00644DFC" w:rsidRPr="00644DFC" w:rsidRDefault="00644DFC" w:rsidP="00644DFC">
            <w:pPr>
              <w:ind w:right="101"/>
              <w:jc w:val="right"/>
              <w:rPr>
                <w:rFonts w:ascii="Arial Narrow" w:eastAsia="Times New Roman" w:hAnsi="Arial Narrow" w:cs="Calibri"/>
                <w:sz w:val="16"/>
                <w:szCs w:val="16"/>
              </w:rPr>
            </w:pPr>
            <w:r w:rsidRPr="00644DFC">
              <w:rPr>
                <w:rFonts w:ascii="Arial Narrow" w:eastAsia="Times New Roman" w:hAnsi="Arial Narrow" w:cs="Calibri"/>
                <w:sz w:val="16"/>
                <w:szCs w:val="16"/>
              </w:rPr>
              <w:t>0.640</w:t>
            </w:r>
          </w:p>
        </w:tc>
      </w:tr>
      <w:tr w:rsidR="00644DFC" w:rsidRPr="00644DFC" w14:paraId="3EC8BB5C" w14:textId="77777777" w:rsidTr="00B2771B">
        <w:trPr>
          <w:cantSplit/>
          <w:trHeight w:val="394"/>
        </w:trPr>
        <w:tc>
          <w:tcPr>
            <w:tcW w:w="212"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7A910965" w14:textId="77777777" w:rsidR="00644DFC" w:rsidRPr="00644DFC" w:rsidRDefault="00644DFC" w:rsidP="00644DFC">
            <w:pPr>
              <w:jc w:val="center"/>
              <w:rPr>
                <w:rFonts w:ascii="Calibri" w:eastAsia="Times New Roman" w:hAnsi="Calibri" w:cs="Calibri"/>
                <w:color w:val="000000"/>
                <w:sz w:val="16"/>
                <w:szCs w:val="16"/>
              </w:rPr>
            </w:pPr>
          </w:p>
        </w:tc>
        <w:tc>
          <w:tcPr>
            <w:tcW w:w="641" w:type="pct"/>
            <w:tcBorders>
              <w:top w:val="single" w:sz="8" w:space="0" w:color="auto"/>
              <w:left w:val="nil"/>
              <w:bottom w:val="single" w:sz="4" w:space="0" w:color="auto"/>
              <w:right w:val="nil"/>
            </w:tcBorders>
            <w:shd w:val="clear" w:color="auto" w:fill="D9D9D9"/>
            <w:vAlign w:val="center"/>
            <w:hideMark/>
          </w:tcPr>
          <w:p w14:paraId="29225D08" w14:textId="77777777" w:rsidR="00644DFC" w:rsidRPr="00644DFC" w:rsidRDefault="00644DFC" w:rsidP="00644DFC">
            <w:pP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Subtotal, Part III</w:t>
            </w:r>
          </w:p>
        </w:tc>
        <w:tc>
          <w:tcPr>
            <w:tcW w:w="427" w:type="pct"/>
            <w:tcBorders>
              <w:top w:val="single" w:sz="8" w:space="0" w:color="auto"/>
              <w:left w:val="nil"/>
              <w:bottom w:val="single" w:sz="4" w:space="0" w:color="auto"/>
              <w:right w:val="single" w:sz="8" w:space="0" w:color="auto"/>
            </w:tcBorders>
            <w:shd w:val="clear" w:color="auto" w:fill="D9D9D9"/>
            <w:vAlign w:val="center"/>
            <w:hideMark/>
          </w:tcPr>
          <w:p w14:paraId="2657C0C4" w14:textId="77777777" w:rsidR="00644DFC" w:rsidRPr="00644DFC" w:rsidRDefault="00644DFC" w:rsidP="00644DFC">
            <w:pPr>
              <w:jc w:val="center"/>
              <w:rPr>
                <w:rFonts w:ascii="Arial Narrow" w:eastAsia="Times New Roman" w:hAnsi="Arial Narrow" w:cs="Calibri"/>
                <w:b/>
                <w:bCs/>
                <w:color w:val="000000"/>
                <w:sz w:val="16"/>
                <w:szCs w:val="16"/>
              </w:rPr>
            </w:pPr>
          </w:p>
        </w:tc>
        <w:tc>
          <w:tcPr>
            <w:tcW w:w="392" w:type="pct"/>
            <w:tcBorders>
              <w:top w:val="single" w:sz="8" w:space="0" w:color="auto"/>
              <w:left w:val="nil"/>
              <w:bottom w:val="single" w:sz="4" w:space="0" w:color="auto"/>
              <w:right w:val="nil"/>
            </w:tcBorders>
            <w:shd w:val="clear" w:color="auto" w:fill="D9D9D9"/>
            <w:vAlign w:val="center"/>
            <w:hideMark/>
          </w:tcPr>
          <w:p w14:paraId="0F8AF646"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 </w:t>
            </w:r>
          </w:p>
        </w:tc>
        <w:tc>
          <w:tcPr>
            <w:tcW w:w="356" w:type="pct"/>
            <w:tcBorders>
              <w:top w:val="single" w:sz="8" w:space="0" w:color="auto"/>
              <w:left w:val="nil"/>
              <w:bottom w:val="single" w:sz="4" w:space="0" w:color="auto"/>
              <w:right w:val="nil"/>
            </w:tcBorders>
            <w:shd w:val="clear" w:color="auto" w:fill="D9D9D9"/>
            <w:noWrap/>
            <w:vAlign w:val="center"/>
            <w:hideMark/>
          </w:tcPr>
          <w:p w14:paraId="61169174"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 </w:t>
            </w:r>
          </w:p>
        </w:tc>
        <w:tc>
          <w:tcPr>
            <w:tcW w:w="285" w:type="pct"/>
            <w:tcBorders>
              <w:top w:val="single" w:sz="8" w:space="0" w:color="auto"/>
              <w:left w:val="nil"/>
              <w:bottom w:val="single" w:sz="4" w:space="0" w:color="auto"/>
              <w:right w:val="single" w:sz="4" w:space="0" w:color="auto"/>
            </w:tcBorders>
            <w:shd w:val="clear" w:color="auto" w:fill="D9D9D9"/>
            <w:noWrap/>
            <w:vAlign w:val="center"/>
            <w:hideMark/>
          </w:tcPr>
          <w:p w14:paraId="39D6E78F"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 </w:t>
            </w:r>
          </w:p>
        </w:tc>
        <w:tc>
          <w:tcPr>
            <w:tcW w:w="357" w:type="pct"/>
            <w:tcBorders>
              <w:top w:val="single" w:sz="8" w:space="0" w:color="auto"/>
              <w:left w:val="nil"/>
              <w:bottom w:val="single" w:sz="4" w:space="0" w:color="auto"/>
              <w:right w:val="single" w:sz="8" w:space="0" w:color="auto"/>
            </w:tcBorders>
            <w:shd w:val="clear" w:color="auto" w:fill="D9D9D9"/>
            <w:noWrap/>
            <w:vAlign w:val="center"/>
            <w:hideMark/>
          </w:tcPr>
          <w:p w14:paraId="047E1951"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65.640</w:t>
            </w:r>
          </w:p>
        </w:tc>
        <w:tc>
          <w:tcPr>
            <w:tcW w:w="213" w:type="pct"/>
            <w:tcBorders>
              <w:top w:val="single" w:sz="8" w:space="0" w:color="auto"/>
              <w:left w:val="single" w:sz="8" w:space="0" w:color="auto"/>
              <w:bottom w:val="single" w:sz="4" w:space="0" w:color="auto"/>
              <w:right w:val="single" w:sz="8" w:space="0" w:color="auto"/>
            </w:tcBorders>
            <w:shd w:val="clear" w:color="auto" w:fill="D9D9D9"/>
            <w:noWrap/>
            <w:vAlign w:val="center"/>
            <w:hideMark/>
          </w:tcPr>
          <w:p w14:paraId="749DED06" w14:textId="77777777" w:rsidR="00644DFC" w:rsidRPr="00644DFC" w:rsidRDefault="00644DFC" w:rsidP="00644DFC">
            <w:pPr>
              <w:jc w:val="center"/>
              <w:rPr>
                <w:rFonts w:ascii="Calibri" w:eastAsia="Times New Roman" w:hAnsi="Calibri" w:cs="Calibri"/>
                <w:color w:val="000000"/>
                <w:sz w:val="16"/>
                <w:szCs w:val="16"/>
              </w:rPr>
            </w:pPr>
          </w:p>
        </w:tc>
        <w:tc>
          <w:tcPr>
            <w:tcW w:w="643" w:type="pct"/>
            <w:tcBorders>
              <w:top w:val="single" w:sz="8" w:space="0" w:color="auto"/>
              <w:left w:val="nil"/>
              <w:bottom w:val="single" w:sz="4" w:space="0" w:color="auto"/>
              <w:right w:val="nil"/>
            </w:tcBorders>
            <w:shd w:val="clear" w:color="auto" w:fill="D9D9D9"/>
            <w:vAlign w:val="center"/>
            <w:hideMark/>
          </w:tcPr>
          <w:p w14:paraId="699AECA6" w14:textId="77777777" w:rsidR="00644DFC" w:rsidRPr="00644DFC" w:rsidRDefault="00644DFC" w:rsidP="00644DFC">
            <w:pPr>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Subtotal, Part III</w:t>
            </w:r>
          </w:p>
        </w:tc>
        <w:tc>
          <w:tcPr>
            <w:tcW w:w="384" w:type="pct"/>
            <w:tcBorders>
              <w:top w:val="single" w:sz="8" w:space="0" w:color="auto"/>
              <w:left w:val="nil"/>
              <w:bottom w:val="single" w:sz="4" w:space="0" w:color="auto"/>
              <w:right w:val="single" w:sz="4" w:space="0" w:color="auto"/>
            </w:tcBorders>
            <w:shd w:val="clear" w:color="auto" w:fill="D9D9D9"/>
            <w:noWrap/>
            <w:vAlign w:val="center"/>
            <w:hideMark/>
          </w:tcPr>
          <w:p w14:paraId="777584AD"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 </w:t>
            </w:r>
          </w:p>
        </w:tc>
        <w:tc>
          <w:tcPr>
            <w:tcW w:w="397" w:type="pct"/>
            <w:tcBorders>
              <w:top w:val="single" w:sz="8" w:space="0" w:color="auto"/>
              <w:left w:val="nil"/>
              <w:bottom w:val="single" w:sz="8" w:space="0" w:color="auto"/>
              <w:right w:val="nil"/>
            </w:tcBorders>
            <w:shd w:val="clear" w:color="auto" w:fill="D9D9D9"/>
            <w:noWrap/>
            <w:vAlign w:val="center"/>
            <w:hideMark/>
          </w:tcPr>
          <w:p w14:paraId="726FE205"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 </w:t>
            </w:r>
          </w:p>
        </w:tc>
        <w:tc>
          <w:tcPr>
            <w:tcW w:w="320" w:type="pct"/>
            <w:tcBorders>
              <w:top w:val="single" w:sz="8" w:space="0" w:color="auto"/>
              <w:left w:val="single" w:sz="4" w:space="0" w:color="auto"/>
              <w:bottom w:val="single" w:sz="8" w:space="0" w:color="auto"/>
              <w:right w:val="nil"/>
            </w:tcBorders>
            <w:shd w:val="clear" w:color="auto" w:fill="D9D9D9"/>
            <w:noWrap/>
            <w:vAlign w:val="center"/>
            <w:hideMark/>
          </w:tcPr>
          <w:p w14:paraId="493EDFB7"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 </w:t>
            </w:r>
          </w:p>
        </w:tc>
        <w:tc>
          <w:tcPr>
            <w:tcW w:w="373" w:type="pct"/>
            <w:tcBorders>
              <w:top w:val="single" w:sz="8" w:space="0" w:color="auto"/>
              <w:left w:val="single" w:sz="4" w:space="0" w:color="auto"/>
              <w:bottom w:val="single" w:sz="8" w:space="0" w:color="auto"/>
              <w:right w:val="single" w:sz="8" w:space="0" w:color="auto"/>
            </w:tcBorders>
            <w:shd w:val="clear" w:color="auto" w:fill="D9D9D9"/>
            <w:noWrap/>
            <w:vAlign w:val="center"/>
            <w:hideMark/>
          </w:tcPr>
          <w:p w14:paraId="0C1939BD" w14:textId="77777777" w:rsidR="00644DFC" w:rsidRPr="00644DFC" w:rsidRDefault="00644DFC" w:rsidP="00644DFC">
            <w:pPr>
              <w:ind w:right="101"/>
              <w:jc w:val="right"/>
              <w:rPr>
                <w:rFonts w:ascii="Arial Narrow" w:eastAsia="Times New Roman" w:hAnsi="Arial Narrow" w:cs="Calibri"/>
                <w:b/>
                <w:bCs/>
                <w:color w:val="000000"/>
                <w:sz w:val="16"/>
                <w:szCs w:val="16"/>
              </w:rPr>
            </w:pPr>
            <w:r w:rsidRPr="00644DFC">
              <w:rPr>
                <w:rFonts w:ascii="Arial Narrow" w:eastAsia="Times New Roman" w:hAnsi="Arial Narrow" w:cs="Calibri"/>
                <w:b/>
                <w:bCs/>
                <w:color w:val="000000"/>
                <w:sz w:val="16"/>
                <w:szCs w:val="16"/>
              </w:rPr>
              <w:t>65.</w:t>
            </w:r>
            <w:r w:rsidR="005F3C21">
              <w:rPr>
                <w:rFonts w:ascii="Arial Narrow" w:eastAsia="Times New Roman" w:hAnsi="Arial Narrow" w:cs="Calibri"/>
                <w:b/>
                <w:bCs/>
                <w:color w:val="000000"/>
                <w:sz w:val="16"/>
                <w:szCs w:val="16"/>
              </w:rPr>
              <w:t>640</w:t>
            </w:r>
          </w:p>
        </w:tc>
      </w:tr>
    </w:tbl>
    <w:p w14:paraId="35C89F00" w14:textId="77777777" w:rsidR="00D5197F" w:rsidRDefault="00D5197F">
      <w:r>
        <w:br w:type="page"/>
      </w:r>
    </w:p>
    <w:tbl>
      <w:tblPr>
        <w:tblW w:w="4891" w:type="pct"/>
        <w:tblInd w:w="-10" w:type="dxa"/>
        <w:tblLayout w:type="fixed"/>
        <w:tblCellMar>
          <w:left w:w="115" w:type="dxa"/>
          <w:right w:w="115" w:type="dxa"/>
        </w:tblCellMar>
        <w:tblLook w:val="04A0" w:firstRow="1" w:lastRow="0" w:firstColumn="1" w:lastColumn="0" w:noHBand="0" w:noVBand="1"/>
      </w:tblPr>
      <w:tblGrid>
        <w:gridCol w:w="12902"/>
      </w:tblGrid>
      <w:tr w:rsidR="00662F48" w:rsidRPr="00644DFC" w14:paraId="07E8EA6F" w14:textId="77777777" w:rsidTr="00D5197F">
        <w:trPr>
          <w:cantSplit/>
          <w:trHeight w:val="394"/>
        </w:trPr>
        <w:tc>
          <w:tcPr>
            <w:tcW w:w="5000"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C889006" w14:textId="77777777" w:rsidR="0089182E" w:rsidRDefault="0089182E" w:rsidP="0052163C">
            <w:pPr>
              <w:pStyle w:val="Footnotetables"/>
              <w:rPr>
                <w:szCs w:val="18"/>
              </w:rPr>
            </w:pPr>
            <w:r>
              <w:rPr>
                <w:szCs w:val="18"/>
              </w:rPr>
              <w:t>General Notes:</w:t>
            </w:r>
          </w:p>
          <w:p w14:paraId="4E0A2BE4" w14:textId="77777777" w:rsidR="0089182E" w:rsidRDefault="009A3B0F" w:rsidP="004D4DC1">
            <w:pPr>
              <w:pStyle w:val="Footnotetables"/>
              <w:numPr>
                <w:ilvl w:val="0"/>
                <w:numId w:val="27"/>
              </w:numPr>
              <w:rPr>
                <w:rFonts w:eastAsia="Times New Roman" w:cs="Calibri"/>
                <w:bCs/>
                <w:color w:val="000000"/>
                <w:szCs w:val="18"/>
              </w:rPr>
            </w:pPr>
            <w:r>
              <w:rPr>
                <w:rFonts w:eastAsia="Times New Roman" w:cs="Calibri"/>
                <w:bCs/>
                <w:color w:val="000000"/>
                <w:szCs w:val="18"/>
              </w:rPr>
              <w:t xml:space="preserve">Sources include: </w:t>
            </w:r>
            <w:r w:rsidR="00F82573">
              <w:rPr>
                <w:rFonts w:eastAsia="Times New Roman" w:cs="Calibri"/>
                <w:bCs/>
                <w:color w:val="000000"/>
                <w:szCs w:val="18"/>
              </w:rPr>
              <w:t xml:space="preserve">US </w:t>
            </w:r>
            <w:r w:rsidR="00357047">
              <w:rPr>
                <w:rFonts w:eastAsia="Times New Roman" w:cs="Calibri"/>
                <w:bCs/>
                <w:color w:val="000000"/>
                <w:szCs w:val="18"/>
              </w:rPr>
              <w:t>EPA</w:t>
            </w:r>
            <w:r w:rsidR="00C730A6">
              <w:rPr>
                <w:rFonts w:eastAsia="Times New Roman" w:cs="Calibri"/>
                <w:bCs/>
                <w:color w:val="000000"/>
                <w:szCs w:val="18"/>
              </w:rPr>
              <w:t>,</w:t>
            </w:r>
            <w:r w:rsidR="00357047">
              <w:rPr>
                <w:rFonts w:eastAsia="Times New Roman" w:cs="Calibri"/>
                <w:bCs/>
                <w:color w:val="000000"/>
                <w:szCs w:val="18"/>
              </w:rPr>
              <w:t xml:space="preserve"> 2011a</w:t>
            </w:r>
            <w:r w:rsidR="00C730A6">
              <w:rPr>
                <w:rFonts w:eastAsia="Times New Roman" w:cs="Calibri"/>
                <w:bCs/>
                <w:color w:val="000000"/>
                <w:szCs w:val="18"/>
              </w:rPr>
              <w:t>;</w:t>
            </w:r>
            <w:r w:rsidR="00357047">
              <w:rPr>
                <w:rFonts w:eastAsia="Times New Roman" w:cs="Calibri"/>
                <w:bCs/>
                <w:color w:val="000000"/>
                <w:szCs w:val="18"/>
              </w:rPr>
              <w:t xml:space="preserve"> </w:t>
            </w:r>
            <w:r w:rsidR="00F82573">
              <w:rPr>
                <w:rFonts w:eastAsia="Times New Roman" w:cs="Calibri"/>
                <w:bCs/>
                <w:color w:val="000000"/>
                <w:szCs w:val="18"/>
              </w:rPr>
              <w:t xml:space="preserve">US </w:t>
            </w:r>
            <w:r w:rsidRPr="009A3B0F">
              <w:rPr>
                <w:rFonts w:eastAsia="Times New Roman" w:cs="Calibri"/>
                <w:bCs/>
                <w:color w:val="000000"/>
                <w:szCs w:val="18"/>
              </w:rPr>
              <w:t>EPA</w:t>
            </w:r>
            <w:r w:rsidR="00C730A6">
              <w:rPr>
                <w:rFonts w:eastAsia="Times New Roman" w:cs="Calibri"/>
                <w:bCs/>
                <w:color w:val="000000"/>
                <w:szCs w:val="18"/>
              </w:rPr>
              <w:t>,</w:t>
            </w:r>
            <w:r w:rsidRPr="009A3B0F">
              <w:rPr>
                <w:rFonts w:eastAsia="Times New Roman" w:cs="Calibri"/>
                <w:bCs/>
                <w:color w:val="000000"/>
                <w:szCs w:val="18"/>
              </w:rPr>
              <w:t xml:space="preserve"> 2015a</w:t>
            </w:r>
            <w:r w:rsidR="00C730A6">
              <w:rPr>
                <w:rFonts w:eastAsia="Times New Roman" w:cs="Calibri"/>
                <w:bCs/>
                <w:color w:val="000000"/>
                <w:szCs w:val="18"/>
              </w:rPr>
              <w:t>;</w:t>
            </w:r>
            <w:r>
              <w:rPr>
                <w:rFonts w:eastAsia="Times New Roman" w:cs="Calibri"/>
                <w:bCs/>
                <w:color w:val="000000"/>
                <w:szCs w:val="18"/>
              </w:rPr>
              <w:t xml:space="preserve"> </w:t>
            </w:r>
            <w:r w:rsidR="00F82573">
              <w:rPr>
                <w:rFonts w:eastAsia="Times New Roman" w:cs="Calibri"/>
                <w:bCs/>
                <w:color w:val="000000"/>
                <w:szCs w:val="18"/>
              </w:rPr>
              <w:t xml:space="preserve">US </w:t>
            </w:r>
            <w:r w:rsidR="00357047">
              <w:rPr>
                <w:rFonts w:eastAsia="Times New Roman" w:cs="Calibri"/>
                <w:bCs/>
                <w:color w:val="000000"/>
                <w:szCs w:val="18"/>
              </w:rPr>
              <w:t>EPA</w:t>
            </w:r>
            <w:r w:rsidR="00C730A6">
              <w:rPr>
                <w:rFonts w:eastAsia="Times New Roman" w:cs="Calibri"/>
                <w:bCs/>
                <w:color w:val="000000"/>
                <w:szCs w:val="18"/>
              </w:rPr>
              <w:t>,</w:t>
            </w:r>
            <w:r w:rsidR="00357047">
              <w:rPr>
                <w:rFonts w:eastAsia="Times New Roman" w:cs="Calibri"/>
                <w:bCs/>
                <w:color w:val="000000"/>
                <w:szCs w:val="18"/>
              </w:rPr>
              <w:t xml:space="preserve"> 2017</w:t>
            </w:r>
            <w:r w:rsidR="005C0271">
              <w:rPr>
                <w:rFonts w:eastAsia="Times New Roman" w:cs="Calibri"/>
                <w:bCs/>
                <w:color w:val="000000"/>
                <w:szCs w:val="18"/>
              </w:rPr>
              <w:t>b</w:t>
            </w:r>
            <w:r w:rsidR="00C730A6">
              <w:rPr>
                <w:rFonts w:eastAsia="Times New Roman" w:cs="Calibri"/>
                <w:bCs/>
                <w:color w:val="000000"/>
                <w:szCs w:val="18"/>
              </w:rPr>
              <w:t>;</w:t>
            </w:r>
            <w:r w:rsidR="00357047">
              <w:rPr>
                <w:rFonts w:eastAsia="Times New Roman" w:cs="Calibri"/>
                <w:bCs/>
                <w:color w:val="000000"/>
                <w:szCs w:val="18"/>
              </w:rPr>
              <w:t xml:space="preserve"> Abt Associates 2016</w:t>
            </w:r>
            <w:r w:rsidR="00C730A6">
              <w:rPr>
                <w:rFonts w:eastAsia="Times New Roman" w:cs="Calibri"/>
                <w:bCs/>
                <w:color w:val="000000"/>
                <w:szCs w:val="18"/>
              </w:rPr>
              <w:t>;</w:t>
            </w:r>
            <w:r w:rsidR="0089182E">
              <w:rPr>
                <w:rFonts w:eastAsia="Times New Roman" w:cs="Calibri"/>
                <w:bCs/>
                <w:color w:val="000000"/>
                <w:szCs w:val="18"/>
              </w:rPr>
              <w:t xml:space="preserve"> and best professional judgment (BPJ).</w:t>
            </w:r>
          </w:p>
          <w:p w14:paraId="7742B173" w14:textId="77777777" w:rsidR="0089182E" w:rsidRPr="00CB3800" w:rsidRDefault="0089182E" w:rsidP="004D4DC1">
            <w:pPr>
              <w:pStyle w:val="Footnotetables"/>
              <w:numPr>
                <w:ilvl w:val="0"/>
                <w:numId w:val="27"/>
              </w:numPr>
              <w:rPr>
                <w:szCs w:val="18"/>
              </w:rPr>
            </w:pPr>
            <w:r w:rsidRPr="0052163C">
              <w:rPr>
                <w:szCs w:val="18"/>
              </w:rPr>
              <w:t>For corrections that only involve a revision to the item description, see comparison across the row.</w:t>
            </w:r>
            <w:r w:rsidRPr="0052163C">
              <w:rPr>
                <w:rFonts w:eastAsia="Times New Roman" w:cs="Calibri"/>
                <w:bCs/>
                <w:color w:val="000000"/>
                <w:szCs w:val="18"/>
              </w:rPr>
              <w:br w:type="page"/>
            </w:r>
          </w:p>
          <w:p w14:paraId="549E90FF" w14:textId="77777777" w:rsidR="0043065E" w:rsidRDefault="002A60F4" w:rsidP="004D4DC1">
            <w:pPr>
              <w:pStyle w:val="Footnotetables"/>
              <w:numPr>
                <w:ilvl w:val="0"/>
                <w:numId w:val="27"/>
              </w:numPr>
              <w:rPr>
                <w:szCs w:val="18"/>
              </w:rPr>
            </w:pPr>
            <w:r>
              <w:rPr>
                <w:rFonts w:eastAsia="Times New Roman" w:cs="Calibri"/>
                <w:bCs/>
                <w:color w:val="000000"/>
                <w:szCs w:val="18"/>
              </w:rPr>
              <w:t>Dark grey areas indicate that there is no corresponding unit burden estimate on the other half of the table.</w:t>
            </w:r>
          </w:p>
          <w:p w14:paraId="622D692A" w14:textId="77777777" w:rsidR="0089182E" w:rsidRDefault="0089182E" w:rsidP="0089182E">
            <w:pPr>
              <w:pStyle w:val="Footnotetables"/>
            </w:pPr>
          </w:p>
          <w:p w14:paraId="03286AFF" w14:textId="77777777" w:rsidR="0089182E" w:rsidRPr="00644DFC" w:rsidRDefault="003F6B68" w:rsidP="0089182E">
            <w:pPr>
              <w:pStyle w:val="Footnotetables"/>
              <w:rPr>
                <w:rFonts w:ascii="Calibri" w:hAnsi="Calibri"/>
                <w:sz w:val="22"/>
                <w:szCs w:val="22"/>
              </w:rPr>
            </w:pPr>
            <w:r>
              <w:t xml:space="preserve">Table </w:t>
            </w:r>
            <w:r w:rsidR="0089182E" w:rsidRPr="00644DFC">
              <w:t>Footnotes</w:t>
            </w:r>
          </w:p>
          <w:p w14:paraId="409D59FB" w14:textId="77777777" w:rsidR="003019B7" w:rsidRPr="002C1543" w:rsidRDefault="003019B7" w:rsidP="00762488">
            <w:pPr>
              <w:pStyle w:val="Footnotetables"/>
              <w:ind w:left="0" w:firstLine="0"/>
              <w:rPr>
                <w:szCs w:val="18"/>
              </w:rPr>
            </w:pPr>
            <w:r w:rsidRPr="002C1543">
              <w:rPr>
                <w:szCs w:val="18"/>
                <w:vertAlign w:val="superscript"/>
              </w:rPr>
              <w:t xml:space="preserve">1 </w:t>
            </w:r>
            <w:r w:rsidRPr="002C1543">
              <w:rPr>
                <w:szCs w:val="18"/>
              </w:rPr>
              <w:t xml:space="preserve">In </w:t>
            </w:r>
            <w:r>
              <w:rPr>
                <w:szCs w:val="18"/>
              </w:rPr>
              <w:t xml:space="preserve">the previous ICR, rule familiarization is estimated for both new and experienced reporters. In order to adhere to conventional practices by which rule </w:t>
            </w:r>
            <w:r w:rsidR="00E6337E">
              <w:rPr>
                <w:szCs w:val="18"/>
              </w:rPr>
              <w:t>familiarization</w:t>
            </w:r>
            <w:r>
              <w:rPr>
                <w:szCs w:val="18"/>
              </w:rPr>
              <w:t xml:space="preserve"> is incurred by new reporters only, the estimates associated with experienced reporters’; rule familiarization are moved to compliance determination, increasing that total estimate by four hours. For consistency in the estimates for compliance determination across new and experienced reporters, the same treatment is applied to new reporters, reducing rule familiarization by four hours and increasing compliance determination by four hours.</w:t>
            </w:r>
          </w:p>
          <w:p w14:paraId="6F91C581" w14:textId="77777777" w:rsidR="0089182E" w:rsidRPr="00644DFC" w:rsidRDefault="001836BC" w:rsidP="00762488">
            <w:pPr>
              <w:pStyle w:val="Footnotetables"/>
              <w:ind w:left="0" w:firstLine="0"/>
              <w:rPr>
                <w:bCs/>
              </w:rPr>
            </w:pPr>
            <w:r>
              <w:rPr>
                <w:rFonts w:ascii="Calibri" w:hAnsi="Calibri"/>
                <w:sz w:val="22"/>
                <w:szCs w:val="22"/>
                <w:vertAlign w:val="superscript"/>
              </w:rPr>
              <w:t>2</w:t>
            </w:r>
            <w:r w:rsidR="0089182E" w:rsidRPr="00644DFC">
              <w:rPr>
                <w:rFonts w:ascii="Calibri" w:hAnsi="Calibri"/>
                <w:sz w:val="22"/>
                <w:szCs w:val="22"/>
                <w:vertAlign w:val="superscript"/>
              </w:rPr>
              <w:t xml:space="preserve"> </w:t>
            </w:r>
            <w:r w:rsidR="0089182E" w:rsidRPr="00644DFC">
              <w:rPr>
                <w:bCs/>
              </w:rPr>
              <w:t>Technical contact information may be entered on a chemical-per-chemical basis. The previous ICR’s estimate for “</w:t>
            </w:r>
            <w:r w:rsidR="0089182E" w:rsidRPr="00644DFC">
              <w:t xml:space="preserve">Company Information (Company Name, Technical Contact, Address, D&amp;B Number, Mailing Address” is split to remove Technical Contact information so the activity could be moved to </w:t>
            </w:r>
            <w:r w:rsidR="0089182E" w:rsidRPr="00644DFC">
              <w:rPr>
                <w:b/>
                <w:bCs/>
                <w:i/>
                <w:iCs/>
              </w:rPr>
              <w:t>Part I. Site Identification Information - Chemical Report Level.</w:t>
            </w:r>
            <w:r w:rsidR="0089182E" w:rsidRPr="00644DFC">
              <w:rPr>
                <w:bCs/>
              </w:rPr>
              <w:t xml:space="preserve"> </w:t>
            </w:r>
            <w:r w:rsidR="0089182E">
              <w:rPr>
                <w:bCs/>
              </w:rPr>
              <w:t>The estimate for technical contact information was determined based on information from similar TRI estimates and BPJ (</w:t>
            </w:r>
            <w:r w:rsidR="00AD6833">
              <w:rPr>
                <w:bCs/>
              </w:rPr>
              <w:t xml:space="preserve">US </w:t>
            </w:r>
            <w:r w:rsidR="00291313">
              <w:rPr>
                <w:bCs/>
              </w:rPr>
              <w:t>EPA, 2011a</w:t>
            </w:r>
            <w:r w:rsidR="0089182E">
              <w:rPr>
                <w:bCs/>
              </w:rPr>
              <w:t xml:space="preserve">). </w:t>
            </w:r>
          </w:p>
          <w:p w14:paraId="4652D61B" w14:textId="77777777" w:rsidR="0089182E" w:rsidRPr="00644DFC" w:rsidRDefault="001836BC" w:rsidP="00762488">
            <w:pPr>
              <w:pStyle w:val="Footnotetables"/>
              <w:ind w:left="0" w:firstLine="0"/>
              <w:rPr>
                <w:bCs/>
              </w:rPr>
            </w:pPr>
            <w:r>
              <w:rPr>
                <w:rFonts w:ascii="Calibri" w:hAnsi="Calibri"/>
                <w:sz w:val="22"/>
                <w:szCs w:val="22"/>
                <w:vertAlign w:val="superscript"/>
              </w:rPr>
              <w:t>3</w:t>
            </w:r>
            <w:r w:rsidR="0089182E" w:rsidRPr="00644DFC">
              <w:rPr>
                <w:rFonts w:ascii="Calibri" w:hAnsi="Calibri"/>
                <w:sz w:val="22"/>
                <w:szCs w:val="22"/>
                <w:vertAlign w:val="superscript"/>
              </w:rPr>
              <w:t xml:space="preserve"> </w:t>
            </w:r>
            <w:r w:rsidR="0089182E" w:rsidRPr="003D4487">
              <w:rPr>
                <w:bCs/>
              </w:rPr>
              <w:t>In preparation for revisions to update CBI substantiation estimates, the previous ICR’s estimate for “Chemical Substance Identification, Upfront CBI Substantiation” was split to remove CBI Substantiation to a separate activity. The estimate for Chemical Identification is obtained from Abt Associates (2016) as used in (</w:t>
            </w:r>
            <w:r w:rsidR="00AD6833">
              <w:rPr>
                <w:bCs/>
              </w:rPr>
              <w:t xml:space="preserve">US </w:t>
            </w:r>
            <w:r w:rsidR="0089182E" w:rsidRPr="003D4487">
              <w:rPr>
                <w:bCs/>
              </w:rPr>
              <w:t>EPA, 2017</w:t>
            </w:r>
            <w:r w:rsidR="005C0271">
              <w:rPr>
                <w:bCs/>
              </w:rPr>
              <w:t>b</w:t>
            </w:r>
            <w:r w:rsidR="0089182E">
              <w:rPr>
                <w:bCs/>
              </w:rPr>
              <w:t>)</w:t>
            </w:r>
            <w:r w:rsidR="0089182E" w:rsidRPr="003D4487">
              <w:rPr>
                <w:bCs/>
              </w:rPr>
              <w:t xml:space="preserve">. </w:t>
            </w:r>
          </w:p>
          <w:p w14:paraId="72ECA78B" w14:textId="77777777" w:rsidR="0089182E" w:rsidRPr="00644DFC" w:rsidRDefault="001836BC" w:rsidP="00762488">
            <w:pPr>
              <w:pStyle w:val="Footnotetables"/>
              <w:ind w:left="0" w:firstLine="0"/>
            </w:pPr>
            <w:r>
              <w:rPr>
                <w:rFonts w:ascii="Calibri" w:hAnsi="Calibri"/>
                <w:sz w:val="22"/>
                <w:szCs w:val="22"/>
                <w:vertAlign w:val="superscript"/>
              </w:rPr>
              <w:t>4</w:t>
            </w:r>
            <w:r w:rsidR="0089182E" w:rsidRPr="00644DFC">
              <w:rPr>
                <w:rFonts w:ascii="Calibri" w:hAnsi="Calibri"/>
                <w:sz w:val="22"/>
                <w:szCs w:val="22"/>
                <w:vertAlign w:val="superscript"/>
              </w:rPr>
              <w:t xml:space="preserve"> </w:t>
            </w:r>
            <w:r w:rsidR="0089182E" w:rsidRPr="00644DFC">
              <w:t>Estimates added to account for data elements in Part II Section A (2.A.5 - 2.A.12) including Trade Name, Other Information, Secondary Company Name, Secondary Company Address and Country</w:t>
            </w:r>
            <w:r w:rsidR="00584352">
              <w:t>, and email address</w:t>
            </w:r>
            <w:r w:rsidR="0089182E" w:rsidRPr="00644DFC">
              <w:t xml:space="preserve"> (same for new and experienced reporters)</w:t>
            </w:r>
            <w:r w:rsidR="00584352">
              <w:t xml:space="preserve">, </w:t>
            </w:r>
            <w:r w:rsidR="0089182E" w:rsidRPr="00644DFC">
              <w:t xml:space="preserve">based on </w:t>
            </w:r>
            <w:r w:rsidR="0089182E">
              <w:t>BPJ</w:t>
            </w:r>
            <w:r w:rsidR="0089182E" w:rsidRPr="00644DFC">
              <w:t xml:space="preserve">. </w:t>
            </w:r>
            <w:r w:rsidR="00C730A6">
              <w:t>The s</w:t>
            </w:r>
            <w:r w:rsidR="0089182E" w:rsidRPr="00644DFC">
              <w:t>ame estimates are used for experienced and new reporters.</w:t>
            </w:r>
          </w:p>
          <w:p w14:paraId="7BE46240" w14:textId="77777777" w:rsidR="0089182E" w:rsidRPr="00644DFC" w:rsidRDefault="001836BC" w:rsidP="0089182E">
            <w:pPr>
              <w:pStyle w:val="Footnotetables"/>
            </w:pPr>
            <w:r>
              <w:rPr>
                <w:rFonts w:ascii="Calibri" w:hAnsi="Calibri"/>
                <w:sz w:val="22"/>
                <w:szCs w:val="22"/>
                <w:vertAlign w:val="superscript"/>
              </w:rPr>
              <w:t>5</w:t>
            </w:r>
            <w:r w:rsidR="0089182E" w:rsidRPr="00644DFC">
              <w:rPr>
                <w:rFonts w:ascii="Calibri" w:hAnsi="Calibri"/>
                <w:sz w:val="22"/>
                <w:szCs w:val="22"/>
                <w:vertAlign w:val="superscript"/>
              </w:rPr>
              <w:t xml:space="preserve"> </w:t>
            </w:r>
            <w:r w:rsidR="0089182E" w:rsidRPr="00644DFC">
              <w:t xml:space="preserve">Previous ICR’s descriptor “site limited” is dropped because the site-limited designation (checkbox) was removed and replaced with “% site-limited” as of </w:t>
            </w:r>
            <w:r w:rsidR="007F1757">
              <w:t xml:space="preserve">2012 </w:t>
            </w:r>
            <w:r w:rsidR="0089182E" w:rsidRPr="00644DFC">
              <w:t>CDR.</w:t>
            </w:r>
          </w:p>
          <w:p w14:paraId="039A1AAE" w14:textId="77777777" w:rsidR="0089182E" w:rsidRPr="00644DFC" w:rsidRDefault="001836BC" w:rsidP="00762488">
            <w:pPr>
              <w:pStyle w:val="Footnotetables"/>
              <w:ind w:left="-23" w:firstLine="0"/>
            </w:pPr>
            <w:r>
              <w:rPr>
                <w:rFonts w:ascii="Calibri" w:hAnsi="Calibri"/>
                <w:sz w:val="22"/>
                <w:szCs w:val="22"/>
                <w:vertAlign w:val="superscript"/>
              </w:rPr>
              <w:t>6</w:t>
            </w:r>
            <w:r w:rsidR="0089182E" w:rsidRPr="00644DFC">
              <w:rPr>
                <w:rFonts w:ascii="Calibri" w:hAnsi="Calibri"/>
                <w:sz w:val="22"/>
                <w:szCs w:val="22"/>
                <w:vertAlign w:val="superscript"/>
              </w:rPr>
              <w:t xml:space="preserve"> </w:t>
            </w:r>
            <w:r w:rsidR="0089182E" w:rsidRPr="00644DFC">
              <w:t xml:space="preserve">In the previous ICR, the only Part II data element included in the estimate for CBI substantiation </w:t>
            </w:r>
            <w:r w:rsidR="003019B7">
              <w:t>i</w:t>
            </w:r>
            <w:r w:rsidR="003019B7" w:rsidRPr="00644DFC">
              <w:t xml:space="preserve">s </w:t>
            </w:r>
            <w:r w:rsidR="0089182E" w:rsidRPr="00644DFC">
              <w:t>“plant site.” In preparation for revisions to update CBI substantiation estimates (to include all applicable data elements in Part II), the description is changed to accommodate</w:t>
            </w:r>
            <w:r w:rsidR="0089182E">
              <w:t xml:space="preserve"> the</w:t>
            </w:r>
            <w:r w:rsidR="0089182E" w:rsidRPr="00644DFC">
              <w:t xml:space="preserve"> revision</w:t>
            </w:r>
            <w:r w:rsidR="0089182E">
              <w:t>’</w:t>
            </w:r>
            <w:r w:rsidR="0089182E" w:rsidRPr="00644DFC">
              <w:t>s broader treatment (2.B.1: CBI for Company Identification, 2.B.2: CBI for Site Identification, 2.B.3:</w:t>
            </w:r>
            <w:r w:rsidR="0089182E">
              <w:t xml:space="preserve"> </w:t>
            </w:r>
            <w:r w:rsidR="0089182E" w:rsidRPr="00644DFC">
              <w:t xml:space="preserve">CBI for Technical Contact Information). Note that estimates under “Corrected Activity-Level Burdens” are the same as in the previous ICR, with </w:t>
            </w:r>
            <w:r w:rsidR="0089182E">
              <w:t xml:space="preserve">above-stated </w:t>
            </w:r>
            <w:r w:rsidR="0089182E" w:rsidRPr="00644DFC">
              <w:t xml:space="preserve">revisions applied in Table 3. </w:t>
            </w:r>
          </w:p>
          <w:p w14:paraId="49FE2834" w14:textId="77777777" w:rsidR="0089182E" w:rsidRDefault="001836BC" w:rsidP="0089182E">
            <w:pPr>
              <w:pStyle w:val="Footnotetables"/>
            </w:pPr>
            <w:r>
              <w:rPr>
                <w:rFonts w:ascii="Calibri" w:hAnsi="Calibri"/>
                <w:sz w:val="22"/>
                <w:szCs w:val="22"/>
                <w:vertAlign w:val="superscript"/>
              </w:rPr>
              <w:t>7</w:t>
            </w:r>
            <w:r w:rsidR="0089182E" w:rsidRPr="00644DFC">
              <w:rPr>
                <w:rFonts w:ascii="Calibri" w:hAnsi="Calibri"/>
                <w:sz w:val="22"/>
                <w:szCs w:val="22"/>
                <w:vertAlign w:val="superscript"/>
              </w:rPr>
              <w:t xml:space="preserve"> </w:t>
            </w:r>
            <w:r w:rsidR="0089182E" w:rsidRPr="00644DFC">
              <w:t>For Part III Section A, the “Type of Process or Use” information is not explicitly listed and is therefore assumed to be included in the item, “Determination of Applicability.”</w:t>
            </w:r>
          </w:p>
          <w:p w14:paraId="36592610" w14:textId="77777777" w:rsidR="0089182E" w:rsidRDefault="001836BC" w:rsidP="0089182E">
            <w:pPr>
              <w:pStyle w:val="Footnotetables"/>
            </w:pPr>
            <w:r>
              <w:rPr>
                <w:rFonts w:ascii="Calibri" w:hAnsi="Calibri"/>
                <w:sz w:val="22"/>
                <w:szCs w:val="22"/>
                <w:vertAlign w:val="superscript"/>
              </w:rPr>
              <w:t>8</w:t>
            </w:r>
            <w:r w:rsidR="0089182E" w:rsidRPr="00644DFC">
              <w:rPr>
                <w:rFonts w:ascii="Calibri" w:hAnsi="Calibri"/>
                <w:sz w:val="22"/>
                <w:szCs w:val="22"/>
                <w:vertAlign w:val="superscript"/>
              </w:rPr>
              <w:t xml:space="preserve"> </w:t>
            </w:r>
            <w:r w:rsidR="0089182E" w:rsidRPr="00644DFC">
              <w:t>In Part III Section B, the “Consumer or Commercial or both” information is not explicitly listed and is therefore assumed to be included in the item, “Determination of Applicability.”</w:t>
            </w:r>
          </w:p>
          <w:p w14:paraId="1515FF1E" w14:textId="77777777" w:rsidR="00662F48" w:rsidRPr="0052163C" w:rsidRDefault="00662F48" w:rsidP="0052163C">
            <w:pPr>
              <w:ind w:right="101"/>
              <w:rPr>
                <w:rFonts w:ascii="Arial Narrow" w:eastAsia="Times New Roman" w:hAnsi="Arial Narrow" w:cs="Calibri"/>
                <w:b/>
                <w:bCs/>
                <w:color w:val="000000"/>
                <w:sz w:val="18"/>
                <w:szCs w:val="18"/>
              </w:rPr>
            </w:pPr>
          </w:p>
        </w:tc>
      </w:tr>
    </w:tbl>
    <w:p w14:paraId="0D765136" w14:textId="77777777" w:rsidR="00B934E7" w:rsidRDefault="00B934E7">
      <w:pPr>
        <w:spacing w:after="200" w:line="276" w:lineRule="auto"/>
        <w:rPr>
          <w:rFonts w:ascii="Arial Narrow" w:hAnsi="Arial Narrow"/>
          <w:sz w:val="18"/>
          <w:szCs w:val="20"/>
        </w:rPr>
      </w:pPr>
      <w:r>
        <w:br w:type="page"/>
      </w:r>
    </w:p>
    <w:p w14:paraId="0F163087" w14:textId="77777777" w:rsidR="00B934E7" w:rsidRPr="00B934E7" w:rsidRDefault="00B934E7" w:rsidP="00B934E7">
      <w:pPr>
        <w:spacing w:after="160" w:line="259" w:lineRule="auto"/>
        <w:rPr>
          <w:rFonts w:ascii="Calibri" w:eastAsia="Calibri" w:hAnsi="Calibri" w:cs="Times New Roman"/>
          <w:sz w:val="22"/>
          <w:szCs w:val="22"/>
        </w:rPr>
      </w:pPr>
    </w:p>
    <w:tbl>
      <w:tblPr>
        <w:tblW w:w="4879" w:type="pct"/>
        <w:tblLayout w:type="fixed"/>
        <w:tblLook w:val="04A0" w:firstRow="1" w:lastRow="0" w:firstColumn="1" w:lastColumn="0" w:noHBand="0" w:noVBand="1"/>
      </w:tblPr>
      <w:tblGrid>
        <w:gridCol w:w="551"/>
        <w:gridCol w:w="1647"/>
        <w:gridCol w:w="1098"/>
        <w:gridCol w:w="1005"/>
        <w:gridCol w:w="915"/>
        <w:gridCol w:w="733"/>
        <w:gridCol w:w="915"/>
        <w:gridCol w:w="550"/>
        <w:gridCol w:w="1656"/>
        <w:gridCol w:w="918"/>
        <w:gridCol w:w="1095"/>
        <w:gridCol w:w="825"/>
        <w:gridCol w:w="949"/>
      </w:tblGrid>
      <w:tr w:rsidR="00B934E7" w:rsidRPr="00B934E7" w14:paraId="65D088C2" w14:textId="77777777" w:rsidTr="00B934E7">
        <w:trPr>
          <w:trHeight w:val="310"/>
          <w:tblHeader/>
        </w:trPr>
        <w:tc>
          <w:tcPr>
            <w:tcW w:w="5000" w:type="pct"/>
            <w:gridSpan w:val="13"/>
            <w:tcBorders>
              <w:top w:val="nil"/>
              <w:left w:val="nil"/>
              <w:bottom w:val="single" w:sz="8" w:space="0" w:color="auto"/>
              <w:right w:val="nil"/>
            </w:tcBorders>
            <w:shd w:val="clear" w:color="auto" w:fill="auto"/>
            <w:noWrap/>
            <w:vAlign w:val="bottom"/>
            <w:hideMark/>
          </w:tcPr>
          <w:p w14:paraId="61506F73" w14:textId="77777777" w:rsidR="00B934E7" w:rsidRPr="00B934E7" w:rsidRDefault="00B934E7" w:rsidP="003E40AA">
            <w:pPr>
              <w:pStyle w:val="TableTitle"/>
            </w:pPr>
            <w:r w:rsidRPr="00B934E7">
              <w:t>Table17B: New Reporters Activity-Level Unit Burden Correction, November 2017</w:t>
            </w:r>
          </w:p>
        </w:tc>
      </w:tr>
      <w:tr w:rsidR="00B934E7" w:rsidRPr="00B934E7" w14:paraId="4E171DAC" w14:textId="77777777" w:rsidTr="00B934E7">
        <w:trPr>
          <w:trHeight w:val="320"/>
          <w:tblHeader/>
        </w:trPr>
        <w:tc>
          <w:tcPr>
            <w:tcW w:w="2669" w:type="pct"/>
            <w:gridSpan w:val="7"/>
            <w:tcBorders>
              <w:top w:val="single" w:sz="8" w:space="0" w:color="auto"/>
              <w:left w:val="single" w:sz="8" w:space="0" w:color="auto"/>
              <w:bottom w:val="single" w:sz="8" w:space="0" w:color="auto"/>
              <w:right w:val="single" w:sz="8" w:space="0" w:color="auto"/>
            </w:tcBorders>
            <w:shd w:val="clear" w:color="auto" w:fill="F2F2F2"/>
            <w:noWrap/>
            <w:vAlign w:val="center"/>
            <w:hideMark/>
          </w:tcPr>
          <w:p w14:paraId="0C1B6F98" w14:textId="77777777" w:rsidR="00B934E7" w:rsidRPr="00B934E7" w:rsidRDefault="00B934E7" w:rsidP="00B934E7">
            <w:pPr>
              <w:jc w:val="center"/>
              <w:rPr>
                <w:rFonts w:ascii="Arial Narrow" w:eastAsia="Times New Roman" w:hAnsi="Arial Narrow" w:cs="Calibri"/>
                <w:b/>
                <w:bCs/>
                <w:color w:val="000000"/>
                <w:sz w:val="18"/>
                <w:szCs w:val="18"/>
              </w:rPr>
            </w:pPr>
            <w:r w:rsidRPr="00B934E7">
              <w:rPr>
                <w:rFonts w:ascii="Arial Narrow" w:eastAsia="Times New Roman" w:hAnsi="Arial Narrow" w:cs="Calibri"/>
                <w:b/>
                <w:bCs/>
                <w:color w:val="000000"/>
                <w:sz w:val="18"/>
                <w:szCs w:val="18"/>
              </w:rPr>
              <w:t>Previous ICR Activity-Level Unit Burdens</w:t>
            </w:r>
          </w:p>
        </w:tc>
        <w:tc>
          <w:tcPr>
            <w:tcW w:w="2331" w:type="pct"/>
            <w:gridSpan w:val="6"/>
            <w:tcBorders>
              <w:top w:val="single" w:sz="8" w:space="0" w:color="auto"/>
              <w:left w:val="single" w:sz="8" w:space="0" w:color="auto"/>
              <w:bottom w:val="single" w:sz="8" w:space="0" w:color="auto"/>
              <w:right w:val="single" w:sz="8" w:space="0" w:color="auto"/>
            </w:tcBorders>
            <w:shd w:val="clear" w:color="auto" w:fill="F2F2F2"/>
            <w:noWrap/>
            <w:vAlign w:val="center"/>
            <w:hideMark/>
          </w:tcPr>
          <w:p w14:paraId="1394CA07" w14:textId="77777777" w:rsidR="00B934E7" w:rsidRPr="00B934E7" w:rsidRDefault="00B934E7" w:rsidP="00B934E7">
            <w:pPr>
              <w:jc w:val="center"/>
              <w:rPr>
                <w:rFonts w:ascii="Arial Narrow" w:eastAsia="Times New Roman" w:hAnsi="Arial Narrow" w:cs="Calibri"/>
                <w:b/>
                <w:bCs/>
                <w:color w:val="000000"/>
                <w:sz w:val="18"/>
                <w:szCs w:val="18"/>
              </w:rPr>
            </w:pPr>
            <w:r w:rsidRPr="00B934E7">
              <w:rPr>
                <w:rFonts w:ascii="Arial Narrow" w:eastAsia="Times New Roman" w:hAnsi="Arial Narrow" w:cs="Calibri"/>
                <w:b/>
                <w:bCs/>
                <w:color w:val="000000"/>
                <w:sz w:val="18"/>
                <w:szCs w:val="18"/>
              </w:rPr>
              <w:t>Corrected ICR Activity-Level Unit Burdens</w:t>
            </w:r>
          </w:p>
        </w:tc>
      </w:tr>
      <w:tr w:rsidR="00B934E7" w:rsidRPr="00B934E7" w14:paraId="6194EE6A" w14:textId="77777777" w:rsidTr="00B934E7">
        <w:trPr>
          <w:trHeight w:val="855"/>
          <w:tblHeader/>
        </w:trPr>
        <w:tc>
          <w:tcPr>
            <w:tcW w:w="214" w:type="pct"/>
            <w:tcBorders>
              <w:top w:val="single" w:sz="8" w:space="0" w:color="auto"/>
              <w:left w:val="single" w:sz="8" w:space="0" w:color="auto"/>
              <w:bottom w:val="single" w:sz="8" w:space="0" w:color="auto"/>
              <w:right w:val="single" w:sz="8" w:space="0" w:color="auto"/>
            </w:tcBorders>
            <w:shd w:val="clear" w:color="000000" w:fill="BFBFBF"/>
            <w:vAlign w:val="bottom"/>
            <w:hideMark/>
          </w:tcPr>
          <w:p w14:paraId="67DA32FD" w14:textId="77777777" w:rsidR="00B934E7" w:rsidRPr="00B934E7" w:rsidRDefault="00B934E7" w:rsidP="00B934E7">
            <w:pPr>
              <w:jc w:val="cente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Item #</w:t>
            </w:r>
          </w:p>
        </w:tc>
        <w:tc>
          <w:tcPr>
            <w:tcW w:w="640" w:type="pct"/>
            <w:tcBorders>
              <w:top w:val="single" w:sz="8" w:space="0" w:color="auto"/>
              <w:left w:val="nil"/>
              <w:bottom w:val="single" w:sz="8" w:space="0" w:color="auto"/>
              <w:right w:val="single" w:sz="4" w:space="0" w:color="auto"/>
            </w:tcBorders>
            <w:shd w:val="clear" w:color="000000" w:fill="BFBFBF"/>
            <w:noWrap/>
            <w:vAlign w:val="bottom"/>
            <w:hideMark/>
          </w:tcPr>
          <w:p w14:paraId="38E2F624" w14:textId="77777777" w:rsidR="00B934E7" w:rsidRPr="00B934E7" w:rsidRDefault="00B934E7" w:rsidP="00B934E7">
            <w:pPr>
              <w:jc w:val="cente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Activity</w:t>
            </w:r>
          </w:p>
        </w:tc>
        <w:tc>
          <w:tcPr>
            <w:tcW w:w="427" w:type="pct"/>
            <w:tcBorders>
              <w:top w:val="single" w:sz="8" w:space="0" w:color="auto"/>
              <w:left w:val="nil"/>
              <w:bottom w:val="single" w:sz="8" w:space="0" w:color="auto"/>
              <w:right w:val="single" w:sz="8" w:space="0" w:color="auto"/>
            </w:tcBorders>
            <w:shd w:val="clear" w:color="000000" w:fill="BFBFBF"/>
            <w:vAlign w:val="bottom"/>
            <w:hideMark/>
          </w:tcPr>
          <w:p w14:paraId="7609A1EF" w14:textId="77777777" w:rsidR="00B934E7" w:rsidRPr="00B934E7" w:rsidRDefault="00B934E7" w:rsidP="00B934E7">
            <w:pPr>
              <w:jc w:val="cente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Unit of Analysis</w:t>
            </w:r>
          </w:p>
        </w:tc>
        <w:tc>
          <w:tcPr>
            <w:tcW w:w="391" w:type="pct"/>
            <w:tcBorders>
              <w:top w:val="single" w:sz="8" w:space="0" w:color="auto"/>
              <w:left w:val="single" w:sz="4" w:space="0" w:color="auto"/>
              <w:bottom w:val="single" w:sz="8" w:space="0" w:color="auto"/>
              <w:right w:val="single" w:sz="4" w:space="0" w:color="auto"/>
            </w:tcBorders>
            <w:shd w:val="clear" w:color="000000" w:fill="BFBFBF"/>
            <w:vAlign w:val="bottom"/>
            <w:hideMark/>
          </w:tcPr>
          <w:p w14:paraId="6A964C60" w14:textId="77777777" w:rsidR="00B934E7" w:rsidRPr="00B934E7" w:rsidRDefault="00B934E7" w:rsidP="00B934E7">
            <w:pPr>
              <w:jc w:val="cente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Managerial Burden (hours)</w:t>
            </w:r>
          </w:p>
        </w:tc>
        <w:tc>
          <w:tcPr>
            <w:tcW w:w="356" w:type="pct"/>
            <w:tcBorders>
              <w:top w:val="single" w:sz="8" w:space="0" w:color="auto"/>
              <w:left w:val="nil"/>
              <w:bottom w:val="single" w:sz="8" w:space="0" w:color="auto"/>
              <w:right w:val="single" w:sz="4" w:space="0" w:color="auto"/>
            </w:tcBorders>
            <w:shd w:val="clear" w:color="000000" w:fill="BFBFBF"/>
            <w:vAlign w:val="bottom"/>
            <w:hideMark/>
          </w:tcPr>
          <w:p w14:paraId="22FCF723" w14:textId="77777777" w:rsidR="00B934E7" w:rsidRPr="00B934E7" w:rsidRDefault="00B934E7" w:rsidP="00B934E7">
            <w:pPr>
              <w:jc w:val="cente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Technical Burden (hours)</w:t>
            </w:r>
          </w:p>
        </w:tc>
        <w:tc>
          <w:tcPr>
            <w:tcW w:w="285" w:type="pct"/>
            <w:tcBorders>
              <w:top w:val="single" w:sz="8" w:space="0" w:color="auto"/>
              <w:left w:val="nil"/>
              <w:bottom w:val="single" w:sz="8" w:space="0" w:color="auto"/>
              <w:right w:val="single" w:sz="4" w:space="0" w:color="auto"/>
            </w:tcBorders>
            <w:shd w:val="clear" w:color="000000" w:fill="BFBFBF"/>
            <w:vAlign w:val="bottom"/>
            <w:hideMark/>
          </w:tcPr>
          <w:p w14:paraId="5DA1C1A5" w14:textId="77777777" w:rsidR="00B934E7" w:rsidRPr="00B934E7" w:rsidRDefault="00B934E7" w:rsidP="00B934E7">
            <w:pPr>
              <w:jc w:val="cente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Clerical Burden (hours)</w:t>
            </w:r>
          </w:p>
        </w:tc>
        <w:tc>
          <w:tcPr>
            <w:tcW w:w="356" w:type="pct"/>
            <w:tcBorders>
              <w:top w:val="single" w:sz="8" w:space="0" w:color="auto"/>
              <w:left w:val="nil"/>
              <w:bottom w:val="single" w:sz="8" w:space="0" w:color="auto"/>
              <w:right w:val="single" w:sz="8" w:space="0" w:color="auto"/>
            </w:tcBorders>
            <w:shd w:val="clear" w:color="000000" w:fill="BFBFBF"/>
            <w:vAlign w:val="bottom"/>
            <w:hideMark/>
          </w:tcPr>
          <w:p w14:paraId="218EBF2B" w14:textId="77777777" w:rsidR="00B934E7" w:rsidRPr="00B934E7" w:rsidRDefault="00B934E7" w:rsidP="00B934E7">
            <w:pPr>
              <w:jc w:val="cente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Activity-Level Unit Burden (hours)</w:t>
            </w:r>
          </w:p>
        </w:tc>
        <w:tc>
          <w:tcPr>
            <w:tcW w:w="214"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7C48A17F" w14:textId="77777777" w:rsidR="00B934E7" w:rsidRPr="00B934E7" w:rsidRDefault="00B934E7" w:rsidP="00B934E7">
            <w:pPr>
              <w:jc w:val="cente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Item #</w:t>
            </w:r>
          </w:p>
        </w:tc>
        <w:tc>
          <w:tcPr>
            <w:tcW w:w="644" w:type="pct"/>
            <w:tcBorders>
              <w:top w:val="single" w:sz="8" w:space="0" w:color="auto"/>
              <w:left w:val="nil"/>
              <w:bottom w:val="single" w:sz="8" w:space="0" w:color="auto"/>
              <w:right w:val="single" w:sz="4" w:space="0" w:color="auto"/>
            </w:tcBorders>
            <w:shd w:val="clear" w:color="000000" w:fill="BFBFBF"/>
            <w:noWrap/>
            <w:vAlign w:val="bottom"/>
            <w:hideMark/>
          </w:tcPr>
          <w:p w14:paraId="09686CEB" w14:textId="77777777" w:rsidR="00B934E7" w:rsidRPr="00B934E7" w:rsidRDefault="00B934E7" w:rsidP="00B934E7">
            <w:pPr>
              <w:jc w:val="cente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Activity</w:t>
            </w:r>
          </w:p>
        </w:tc>
        <w:tc>
          <w:tcPr>
            <w:tcW w:w="357" w:type="pct"/>
            <w:tcBorders>
              <w:top w:val="single" w:sz="8" w:space="0" w:color="auto"/>
              <w:left w:val="single" w:sz="4" w:space="0" w:color="auto"/>
              <w:bottom w:val="single" w:sz="8" w:space="0" w:color="auto"/>
              <w:right w:val="single" w:sz="4" w:space="0" w:color="auto"/>
            </w:tcBorders>
            <w:shd w:val="clear" w:color="000000" w:fill="BFBFBF"/>
            <w:vAlign w:val="bottom"/>
            <w:hideMark/>
          </w:tcPr>
          <w:p w14:paraId="06271684" w14:textId="77777777" w:rsidR="00B934E7" w:rsidRPr="00B934E7" w:rsidRDefault="00B934E7" w:rsidP="00B934E7">
            <w:pPr>
              <w:jc w:val="cente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Managerial Burden (hours)</w:t>
            </w:r>
          </w:p>
        </w:tc>
        <w:tc>
          <w:tcPr>
            <w:tcW w:w="426" w:type="pct"/>
            <w:tcBorders>
              <w:top w:val="single" w:sz="8" w:space="0" w:color="auto"/>
              <w:left w:val="nil"/>
              <w:bottom w:val="single" w:sz="8" w:space="0" w:color="auto"/>
              <w:right w:val="single" w:sz="4" w:space="0" w:color="auto"/>
            </w:tcBorders>
            <w:shd w:val="clear" w:color="000000" w:fill="BFBFBF"/>
            <w:vAlign w:val="bottom"/>
            <w:hideMark/>
          </w:tcPr>
          <w:p w14:paraId="249780B3" w14:textId="77777777" w:rsidR="00B934E7" w:rsidRPr="00B934E7" w:rsidRDefault="00B934E7" w:rsidP="00B934E7">
            <w:pPr>
              <w:jc w:val="cente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Technical Burden (hours)</w:t>
            </w:r>
          </w:p>
        </w:tc>
        <w:tc>
          <w:tcPr>
            <w:tcW w:w="321" w:type="pct"/>
            <w:tcBorders>
              <w:top w:val="single" w:sz="8" w:space="0" w:color="auto"/>
              <w:left w:val="nil"/>
              <w:bottom w:val="single" w:sz="8" w:space="0" w:color="auto"/>
              <w:right w:val="single" w:sz="4" w:space="0" w:color="auto"/>
            </w:tcBorders>
            <w:shd w:val="clear" w:color="000000" w:fill="BFBFBF"/>
            <w:vAlign w:val="bottom"/>
            <w:hideMark/>
          </w:tcPr>
          <w:p w14:paraId="63311616" w14:textId="77777777" w:rsidR="00B934E7" w:rsidRPr="00B934E7" w:rsidRDefault="00B934E7" w:rsidP="00B934E7">
            <w:pPr>
              <w:jc w:val="cente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Clerical Burden (hours)</w:t>
            </w:r>
          </w:p>
        </w:tc>
        <w:tc>
          <w:tcPr>
            <w:tcW w:w="369" w:type="pct"/>
            <w:tcBorders>
              <w:top w:val="single" w:sz="8" w:space="0" w:color="auto"/>
              <w:left w:val="nil"/>
              <w:bottom w:val="single" w:sz="8" w:space="0" w:color="auto"/>
              <w:right w:val="single" w:sz="8" w:space="0" w:color="auto"/>
            </w:tcBorders>
            <w:shd w:val="clear" w:color="000000" w:fill="BFBFBF"/>
            <w:vAlign w:val="bottom"/>
            <w:hideMark/>
          </w:tcPr>
          <w:p w14:paraId="6D2939A2" w14:textId="77777777" w:rsidR="00B934E7" w:rsidRPr="00B934E7" w:rsidRDefault="00B934E7" w:rsidP="00B934E7">
            <w:pPr>
              <w:jc w:val="cente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Activity-Level Unit Burden (hours)</w:t>
            </w:r>
          </w:p>
        </w:tc>
      </w:tr>
      <w:tr w:rsidR="00B934E7" w:rsidRPr="00B934E7" w14:paraId="788F94EA" w14:textId="77777777" w:rsidTr="00B934E7">
        <w:trPr>
          <w:trHeight w:val="375"/>
        </w:trPr>
        <w:tc>
          <w:tcPr>
            <w:tcW w:w="214"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98B4E5F"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C57C9A" w:rsidRPr="002C1543">
              <w:rPr>
                <w:rFonts w:ascii="Arial Narrow" w:eastAsia="Times New Roman" w:hAnsi="Arial Narrow" w:cs="Calibri"/>
                <w:color w:val="000000"/>
                <w:sz w:val="16"/>
                <w:szCs w:val="16"/>
                <w:vertAlign w:val="superscript"/>
              </w:rPr>
              <w:t>1</w:t>
            </w:r>
          </w:p>
        </w:tc>
        <w:tc>
          <w:tcPr>
            <w:tcW w:w="640" w:type="pct"/>
            <w:tcBorders>
              <w:top w:val="single" w:sz="8" w:space="0" w:color="auto"/>
              <w:left w:val="nil"/>
              <w:bottom w:val="single" w:sz="4" w:space="0" w:color="auto"/>
              <w:right w:val="single" w:sz="4" w:space="0" w:color="auto"/>
            </w:tcBorders>
            <w:shd w:val="clear" w:color="auto" w:fill="auto"/>
            <w:vAlign w:val="center"/>
            <w:hideMark/>
          </w:tcPr>
          <w:p w14:paraId="604A61A2"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Rule Familiarization</w:t>
            </w:r>
          </w:p>
        </w:tc>
        <w:tc>
          <w:tcPr>
            <w:tcW w:w="427" w:type="pct"/>
            <w:tcBorders>
              <w:top w:val="single" w:sz="8" w:space="0" w:color="auto"/>
              <w:left w:val="nil"/>
              <w:bottom w:val="single" w:sz="4" w:space="0" w:color="auto"/>
              <w:right w:val="single" w:sz="8" w:space="0" w:color="auto"/>
            </w:tcBorders>
            <w:shd w:val="clear" w:color="auto" w:fill="auto"/>
            <w:vAlign w:val="center"/>
            <w:hideMark/>
          </w:tcPr>
          <w:p w14:paraId="20907CDD"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site</w:t>
            </w:r>
          </w:p>
        </w:tc>
        <w:tc>
          <w:tcPr>
            <w:tcW w:w="391"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212EB2C" w14:textId="77777777" w:rsidR="00B934E7" w:rsidRPr="00B934E7" w:rsidRDefault="00B934E7" w:rsidP="00B934E7">
            <w:pPr>
              <w:tabs>
                <w:tab w:val="right" w:pos="698"/>
              </w:tabs>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9.000</w:t>
            </w:r>
          </w:p>
        </w:tc>
        <w:tc>
          <w:tcPr>
            <w:tcW w:w="356" w:type="pct"/>
            <w:tcBorders>
              <w:top w:val="single" w:sz="8" w:space="0" w:color="auto"/>
              <w:left w:val="nil"/>
              <w:bottom w:val="single" w:sz="4" w:space="0" w:color="auto"/>
              <w:right w:val="single" w:sz="4" w:space="0" w:color="auto"/>
            </w:tcBorders>
            <w:shd w:val="clear" w:color="auto" w:fill="auto"/>
            <w:noWrap/>
            <w:vAlign w:val="center"/>
            <w:hideMark/>
          </w:tcPr>
          <w:p w14:paraId="0AD4DC5E" w14:textId="77777777" w:rsidR="00B934E7" w:rsidRPr="00B934E7" w:rsidRDefault="00B934E7" w:rsidP="00B934E7">
            <w:pPr>
              <w:tabs>
                <w:tab w:val="right" w:pos="698"/>
              </w:tabs>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19.000</w:t>
            </w:r>
          </w:p>
        </w:tc>
        <w:tc>
          <w:tcPr>
            <w:tcW w:w="285" w:type="pct"/>
            <w:tcBorders>
              <w:top w:val="single" w:sz="8" w:space="0" w:color="auto"/>
              <w:left w:val="nil"/>
              <w:bottom w:val="single" w:sz="4" w:space="0" w:color="auto"/>
              <w:right w:val="single" w:sz="4" w:space="0" w:color="auto"/>
            </w:tcBorders>
            <w:shd w:val="clear" w:color="auto" w:fill="auto"/>
            <w:noWrap/>
            <w:vAlign w:val="center"/>
            <w:hideMark/>
          </w:tcPr>
          <w:p w14:paraId="2316AC69" w14:textId="77777777" w:rsidR="00B934E7" w:rsidRPr="00B934E7" w:rsidRDefault="00B934E7" w:rsidP="00B934E7">
            <w:pPr>
              <w:tabs>
                <w:tab w:val="right" w:pos="698"/>
              </w:tabs>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single" w:sz="8" w:space="0" w:color="auto"/>
              <w:left w:val="nil"/>
              <w:bottom w:val="single" w:sz="4" w:space="0" w:color="auto"/>
              <w:right w:val="single" w:sz="8" w:space="0" w:color="auto"/>
            </w:tcBorders>
            <w:shd w:val="clear" w:color="auto" w:fill="auto"/>
            <w:noWrap/>
            <w:vAlign w:val="center"/>
            <w:hideMark/>
          </w:tcPr>
          <w:p w14:paraId="37E0FCB4" w14:textId="77777777" w:rsidR="00B934E7" w:rsidRPr="00B934E7" w:rsidRDefault="00B934E7" w:rsidP="00B934E7">
            <w:pPr>
              <w:tabs>
                <w:tab w:val="right" w:pos="698"/>
              </w:tabs>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28.000</w:t>
            </w:r>
          </w:p>
        </w:tc>
        <w:tc>
          <w:tcPr>
            <w:tcW w:w="214"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D4B66F2"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0C25C0" w:rsidRPr="002C1543">
              <w:rPr>
                <w:rFonts w:ascii="Arial Narrow" w:eastAsia="Times New Roman" w:hAnsi="Arial Narrow" w:cs="Calibri"/>
                <w:color w:val="000000"/>
                <w:sz w:val="16"/>
                <w:szCs w:val="16"/>
                <w:vertAlign w:val="superscript"/>
              </w:rPr>
              <w:t>1</w:t>
            </w:r>
          </w:p>
        </w:tc>
        <w:tc>
          <w:tcPr>
            <w:tcW w:w="644" w:type="pct"/>
            <w:tcBorders>
              <w:top w:val="single" w:sz="8" w:space="0" w:color="auto"/>
              <w:left w:val="nil"/>
              <w:bottom w:val="single" w:sz="4" w:space="0" w:color="auto"/>
              <w:right w:val="single" w:sz="4" w:space="0" w:color="auto"/>
            </w:tcBorders>
            <w:shd w:val="clear" w:color="auto" w:fill="auto"/>
            <w:vAlign w:val="center"/>
            <w:hideMark/>
          </w:tcPr>
          <w:p w14:paraId="60B93EC8"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Rule Familiarization</w:t>
            </w:r>
          </w:p>
        </w:tc>
        <w:tc>
          <w:tcPr>
            <w:tcW w:w="357"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DAA7BF0"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7.000</w:t>
            </w:r>
          </w:p>
        </w:tc>
        <w:tc>
          <w:tcPr>
            <w:tcW w:w="426" w:type="pct"/>
            <w:tcBorders>
              <w:top w:val="single" w:sz="8" w:space="0" w:color="auto"/>
              <w:left w:val="nil"/>
              <w:bottom w:val="single" w:sz="4" w:space="0" w:color="auto"/>
              <w:right w:val="single" w:sz="4" w:space="0" w:color="auto"/>
            </w:tcBorders>
            <w:shd w:val="clear" w:color="auto" w:fill="auto"/>
            <w:noWrap/>
            <w:vAlign w:val="center"/>
            <w:hideMark/>
          </w:tcPr>
          <w:p w14:paraId="506174A3"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17.000</w:t>
            </w:r>
          </w:p>
        </w:tc>
        <w:tc>
          <w:tcPr>
            <w:tcW w:w="321" w:type="pct"/>
            <w:tcBorders>
              <w:top w:val="single" w:sz="8" w:space="0" w:color="auto"/>
              <w:left w:val="nil"/>
              <w:bottom w:val="single" w:sz="4" w:space="0" w:color="auto"/>
              <w:right w:val="single" w:sz="4" w:space="0" w:color="auto"/>
            </w:tcBorders>
            <w:shd w:val="clear" w:color="auto" w:fill="auto"/>
            <w:noWrap/>
            <w:vAlign w:val="center"/>
            <w:hideMark/>
          </w:tcPr>
          <w:p w14:paraId="45C471DF"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single" w:sz="8" w:space="0" w:color="auto"/>
              <w:left w:val="nil"/>
              <w:bottom w:val="single" w:sz="4" w:space="0" w:color="auto"/>
              <w:right w:val="single" w:sz="8" w:space="0" w:color="auto"/>
            </w:tcBorders>
            <w:shd w:val="clear" w:color="auto" w:fill="auto"/>
            <w:noWrap/>
            <w:vAlign w:val="center"/>
            <w:hideMark/>
          </w:tcPr>
          <w:p w14:paraId="1C515DFE"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24.000</w:t>
            </w:r>
          </w:p>
        </w:tc>
      </w:tr>
      <w:tr w:rsidR="00B934E7" w:rsidRPr="00B934E7" w14:paraId="72745B81" w14:textId="77777777" w:rsidTr="00B934E7">
        <w:trPr>
          <w:trHeight w:val="290"/>
        </w:trPr>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3750C554"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C57C9A" w:rsidRPr="002C1543">
              <w:rPr>
                <w:rFonts w:ascii="Arial Narrow" w:eastAsia="Times New Roman" w:hAnsi="Arial Narrow" w:cs="Calibri"/>
                <w:color w:val="000000"/>
                <w:sz w:val="16"/>
                <w:szCs w:val="16"/>
                <w:vertAlign w:val="superscript"/>
              </w:rPr>
              <w:t>1</w:t>
            </w:r>
          </w:p>
        </w:tc>
        <w:tc>
          <w:tcPr>
            <w:tcW w:w="640" w:type="pct"/>
            <w:tcBorders>
              <w:top w:val="nil"/>
              <w:left w:val="nil"/>
              <w:bottom w:val="single" w:sz="4" w:space="0" w:color="auto"/>
              <w:right w:val="single" w:sz="4" w:space="0" w:color="auto"/>
            </w:tcBorders>
            <w:shd w:val="clear" w:color="auto" w:fill="auto"/>
            <w:vAlign w:val="center"/>
            <w:hideMark/>
          </w:tcPr>
          <w:p w14:paraId="30AEE5C8"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Compliance Determination</w:t>
            </w:r>
          </w:p>
        </w:tc>
        <w:tc>
          <w:tcPr>
            <w:tcW w:w="427" w:type="pct"/>
            <w:tcBorders>
              <w:top w:val="single" w:sz="4" w:space="0" w:color="auto"/>
              <w:left w:val="nil"/>
              <w:bottom w:val="single" w:sz="4" w:space="0" w:color="auto"/>
              <w:right w:val="single" w:sz="8" w:space="0" w:color="auto"/>
            </w:tcBorders>
            <w:shd w:val="clear" w:color="auto" w:fill="auto"/>
            <w:vAlign w:val="center"/>
            <w:hideMark/>
          </w:tcPr>
          <w:p w14:paraId="40B20153"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site</w:t>
            </w:r>
          </w:p>
        </w:tc>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7E99490" w14:textId="77777777" w:rsidR="00B934E7" w:rsidRPr="00B934E7" w:rsidRDefault="00B934E7" w:rsidP="00B934E7">
            <w:pPr>
              <w:tabs>
                <w:tab w:val="right" w:pos="698"/>
              </w:tabs>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4" w:space="0" w:color="auto"/>
            </w:tcBorders>
            <w:shd w:val="clear" w:color="auto" w:fill="auto"/>
            <w:noWrap/>
            <w:vAlign w:val="center"/>
            <w:hideMark/>
          </w:tcPr>
          <w:p w14:paraId="26F50FC3" w14:textId="77777777" w:rsidR="00B934E7" w:rsidRPr="00B934E7" w:rsidRDefault="00B934E7" w:rsidP="00B934E7">
            <w:pPr>
              <w:tabs>
                <w:tab w:val="right" w:pos="698"/>
              </w:tabs>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2.500</w:t>
            </w:r>
          </w:p>
        </w:tc>
        <w:tc>
          <w:tcPr>
            <w:tcW w:w="285" w:type="pct"/>
            <w:tcBorders>
              <w:top w:val="nil"/>
              <w:left w:val="nil"/>
              <w:bottom w:val="single" w:sz="4" w:space="0" w:color="auto"/>
              <w:right w:val="single" w:sz="4" w:space="0" w:color="auto"/>
            </w:tcBorders>
            <w:shd w:val="clear" w:color="auto" w:fill="auto"/>
            <w:noWrap/>
            <w:vAlign w:val="center"/>
            <w:hideMark/>
          </w:tcPr>
          <w:p w14:paraId="226A6F34" w14:textId="77777777" w:rsidR="00B934E7" w:rsidRPr="00B934E7" w:rsidRDefault="00B934E7" w:rsidP="00B934E7">
            <w:pPr>
              <w:tabs>
                <w:tab w:val="right" w:pos="698"/>
              </w:tabs>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hideMark/>
          </w:tcPr>
          <w:p w14:paraId="6838DCAE" w14:textId="77777777" w:rsidR="00B934E7" w:rsidRPr="00B934E7" w:rsidRDefault="00B934E7" w:rsidP="00B934E7">
            <w:pPr>
              <w:tabs>
                <w:tab w:val="right" w:pos="698"/>
              </w:tabs>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2.500</w:t>
            </w:r>
          </w:p>
        </w:tc>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6876E14A"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C57C9A" w:rsidRPr="002C1543">
              <w:rPr>
                <w:rFonts w:ascii="Arial Narrow" w:eastAsia="Times New Roman" w:hAnsi="Arial Narrow" w:cs="Calibri"/>
                <w:color w:val="000000"/>
                <w:sz w:val="16"/>
                <w:szCs w:val="16"/>
                <w:vertAlign w:val="superscript"/>
              </w:rPr>
              <w:t>1</w:t>
            </w:r>
          </w:p>
        </w:tc>
        <w:tc>
          <w:tcPr>
            <w:tcW w:w="644" w:type="pct"/>
            <w:tcBorders>
              <w:top w:val="nil"/>
              <w:left w:val="nil"/>
              <w:bottom w:val="single" w:sz="4" w:space="0" w:color="auto"/>
              <w:right w:val="single" w:sz="4" w:space="0" w:color="auto"/>
            </w:tcBorders>
            <w:shd w:val="clear" w:color="auto" w:fill="auto"/>
            <w:vAlign w:val="center"/>
            <w:hideMark/>
          </w:tcPr>
          <w:p w14:paraId="33ADCB2B"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Compliance Determination</w:t>
            </w:r>
          </w:p>
        </w:tc>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D58110E"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2.000</w:t>
            </w:r>
          </w:p>
        </w:tc>
        <w:tc>
          <w:tcPr>
            <w:tcW w:w="426" w:type="pct"/>
            <w:tcBorders>
              <w:top w:val="nil"/>
              <w:left w:val="nil"/>
              <w:bottom w:val="single" w:sz="4" w:space="0" w:color="auto"/>
              <w:right w:val="single" w:sz="4" w:space="0" w:color="auto"/>
            </w:tcBorders>
            <w:shd w:val="clear" w:color="auto" w:fill="auto"/>
            <w:noWrap/>
            <w:vAlign w:val="center"/>
            <w:hideMark/>
          </w:tcPr>
          <w:p w14:paraId="26931729"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4.500</w:t>
            </w:r>
          </w:p>
        </w:tc>
        <w:tc>
          <w:tcPr>
            <w:tcW w:w="321" w:type="pct"/>
            <w:tcBorders>
              <w:top w:val="nil"/>
              <w:left w:val="nil"/>
              <w:bottom w:val="single" w:sz="4" w:space="0" w:color="auto"/>
              <w:right w:val="single" w:sz="4" w:space="0" w:color="auto"/>
            </w:tcBorders>
            <w:shd w:val="clear" w:color="auto" w:fill="auto"/>
            <w:noWrap/>
            <w:vAlign w:val="center"/>
            <w:hideMark/>
          </w:tcPr>
          <w:p w14:paraId="73EC47E6"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hideMark/>
          </w:tcPr>
          <w:p w14:paraId="4A8F31BF"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6.500</w:t>
            </w:r>
          </w:p>
        </w:tc>
      </w:tr>
      <w:tr w:rsidR="00B934E7" w:rsidRPr="00B934E7" w14:paraId="15D710AD" w14:textId="77777777" w:rsidTr="00B934E7">
        <w:trPr>
          <w:trHeight w:val="290"/>
        </w:trPr>
        <w:tc>
          <w:tcPr>
            <w:tcW w:w="214" w:type="pct"/>
            <w:tcBorders>
              <w:top w:val="nil"/>
              <w:left w:val="single" w:sz="8" w:space="0" w:color="auto"/>
              <w:bottom w:val="single" w:sz="8" w:space="0" w:color="auto"/>
              <w:right w:val="single" w:sz="8" w:space="0" w:color="auto"/>
            </w:tcBorders>
            <w:shd w:val="clear" w:color="auto" w:fill="auto"/>
            <w:noWrap/>
            <w:vAlign w:val="center"/>
            <w:hideMark/>
          </w:tcPr>
          <w:p w14:paraId="74E74C03"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w:t>
            </w:r>
          </w:p>
        </w:tc>
        <w:tc>
          <w:tcPr>
            <w:tcW w:w="640" w:type="pct"/>
            <w:tcBorders>
              <w:top w:val="single" w:sz="4" w:space="0" w:color="auto"/>
              <w:left w:val="nil"/>
              <w:bottom w:val="single" w:sz="8" w:space="0" w:color="auto"/>
              <w:right w:val="single" w:sz="4" w:space="0" w:color="auto"/>
            </w:tcBorders>
            <w:shd w:val="clear" w:color="auto" w:fill="auto"/>
            <w:vAlign w:val="center"/>
            <w:hideMark/>
          </w:tcPr>
          <w:p w14:paraId="685BFB82"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Recordkeeping</w:t>
            </w:r>
          </w:p>
        </w:tc>
        <w:tc>
          <w:tcPr>
            <w:tcW w:w="427" w:type="pct"/>
            <w:tcBorders>
              <w:top w:val="single" w:sz="4" w:space="0" w:color="auto"/>
              <w:left w:val="nil"/>
              <w:bottom w:val="single" w:sz="8" w:space="0" w:color="auto"/>
              <w:right w:val="single" w:sz="8" w:space="0" w:color="auto"/>
            </w:tcBorders>
            <w:shd w:val="clear" w:color="auto" w:fill="auto"/>
            <w:vAlign w:val="center"/>
            <w:hideMark/>
          </w:tcPr>
          <w:p w14:paraId="2BCCA423"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site</w:t>
            </w:r>
          </w:p>
        </w:tc>
        <w:tc>
          <w:tcPr>
            <w:tcW w:w="391"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4C19A7F" w14:textId="77777777" w:rsidR="00B934E7" w:rsidRPr="00B934E7" w:rsidRDefault="00B934E7" w:rsidP="00B934E7">
            <w:pPr>
              <w:tabs>
                <w:tab w:val="right" w:pos="698"/>
              </w:tabs>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0.750</w:t>
            </w:r>
          </w:p>
        </w:tc>
        <w:tc>
          <w:tcPr>
            <w:tcW w:w="356" w:type="pct"/>
            <w:tcBorders>
              <w:top w:val="single" w:sz="4" w:space="0" w:color="auto"/>
              <w:left w:val="nil"/>
              <w:bottom w:val="single" w:sz="8" w:space="0" w:color="auto"/>
              <w:right w:val="single" w:sz="4" w:space="0" w:color="auto"/>
            </w:tcBorders>
            <w:shd w:val="clear" w:color="auto" w:fill="auto"/>
            <w:noWrap/>
            <w:vAlign w:val="center"/>
            <w:hideMark/>
          </w:tcPr>
          <w:p w14:paraId="7250D46C" w14:textId="77777777" w:rsidR="00B934E7" w:rsidRPr="00B934E7" w:rsidRDefault="00B934E7" w:rsidP="00B934E7">
            <w:pPr>
              <w:tabs>
                <w:tab w:val="right" w:pos="698"/>
              </w:tabs>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1.500</w:t>
            </w:r>
          </w:p>
        </w:tc>
        <w:tc>
          <w:tcPr>
            <w:tcW w:w="285" w:type="pct"/>
            <w:tcBorders>
              <w:top w:val="single" w:sz="4" w:space="0" w:color="auto"/>
              <w:left w:val="nil"/>
              <w:bottom w:val="single" w:sz="8" w:space="0" w:color="auto"/>
              <w:right w:val="single" w:sz="4" w:space="0" w:color="auto"/>
            </w:tcBorders>
            <w:shd w:val="clear" w:color="auto" w:fill="auto"/>
            <w:noWrap/>
            <w:vAlign w:val="center"/>
            <w:hideMark/>
          </w:tcPr>
          <w:p w14:paraId="21F22EB8" w14:textId="77777777" w:rsidR="00B934E7" w:rsidRPr="00B934E7" w:rsidRDefault="00B934E7" w:rsidP="00B934E7">
            <w:pPr>
              <w:tabs>
                <w:tab w:val="right" w:pos="698"/>
              </w:tabs>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0.750</w:t>
            </w:r>
          </w:p>
        </w:tc>
        <w:tc>
          <w:tcPr>
            <w:tcW w:w="356" w:type="pct"/>
            <w:tcBorders>
              <w:top w:val="single" w:sz="4" w:space="0" w:color="auto"/>
              <w:left w:val="nil"/>
              <w:bottom w:val="single" w:sz="8" w:space="0" w:color="auto"/>
              <w:right w:val="single" w:sz="8" w:space="0" w:color="auto"/>
            </w:tcBorders>
            <w:shd w:val="clear" w:color="auto" w:fill="auto"/>
            <w:noWrap/>
            <w:vAlign w:val="center"/>
            <w:hideMark/>
          </w:tcPr>
          <w:p w14:paraId="62F70981" w14:textId="77777777" w:rsidR="00B934E7" w:rsidRPr="00B934E7" w:rsidRDefault="00B934E7" w:rsidP="00B934E7">
            <w:pPr>
              <w:tabs>
                <w:tab w:val="right" w:pos="698"/>
              </w:tabs>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3.000</w:t>
            </w:r>
          </w:p>
        </w:tc>
        <w:tc>
          <w:tcPr>
            <w:tcW w:w="21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A3490B3"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w:t>
            </w:r>
          </w:p>
        </w:tc>
        <w:tc>
          <w:tcPr>
            <w:tcW w:w="644" w:type="pct"/>
            <w:tcBorders>
              <w:top w:val="single" w:sz="4" w:space="0" w:color="auto"/>
              <w:left w:val="nil"/>
              <w:bottom w:val="single" w:sz="8" w:space="0" w:color="auto"/>
              <w:right w:val="single" w:sz="4" w:space="0" w:color="auto"/>
            </w:tcBorders>
            <w:shd w:val="clear" w:color="auto" w:fill="auto"/>
            <w:vAlign w:val="center"/>
            <w:hideMark/>
          </w:tcPr>
          <w:p w14:paraId="0DA00004"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Recordkeeping</w:t>
            </w:r>
          </w:p>
        </w:tc>
        <w:tc>
          <w:tcPr>
            <w:tcW w:w="357"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E2D5CE3"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0.750</w:t>
            </w:r>
          </w:p>
        </w:tc>
        <w:tc>
          <w:tcPr>
            <w:tcW w:w="426" w:type="pct"/>
            <w:tcBorders>
              <w:top w:val="single" w:sz="4" w:space="0" w:color="auto"/>
              <w:left w:val="nil"/>
              <w:bottom w:val="single" w:sz="8" w:space="0" w:color="auto"/>
              <w:right w:val="single" w:sz="4" w:space="0" w:color="auto"/>
            </w:tcBorders>
            <w:shd w:val="clear" w:color="auto" w:fill="auto"/>
            <w:noWrap/>
            <w:vAlign w:val="center"/>
            <w:hideMark/>
          </w:tcPr>
          <w:p w14:paraId="3D515C96"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1.500</w:t>
            </w:r>
          </w:p>
        </w:tc>
        <w:tc>
          <w:tcPr>
            <w:tcW w:w="321" w:type="pct"/>
            <w:tcBorders>
              <w:top w:val="single" w:sz="4" w:space="0" w:color="auto"/>
              <w:left w:val="nil"/>
              <w:bottom w:val="single" w:sz="8" w:space="0" w:color="auto"/>
              <w:right w:val="single" w:sz="4" w:space="0" w:color="auto"/>
            </w:tcBorders>
            <w:shd w:val="clear" w:color="auto" w:fill="auto"/>
            <w:noWrap/>
            <w:vAlign w:val="center"/>
            <w:hideMark/>
          </w:tcPr>
          <w:p w14:paraId="7559C473"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0.750</w:t>
            </w:r>
          </w:p>
        </w:tc>
        <w:tc>
          <w:tcPr>
            <w:tcW w:w="369" w:type="pct"/>
            <w:tcBorders>
              <w:top w:val="single" w:sz="4" w:space="0" w:color="auto"/>
              <w:left w:val="nil"/>
              <w:bottom w:val="single" w:sz="8" w:space="0" w:color="auto"/>
              <w:right w:val="single" w:sz="8" w:space="0" w:color="auto"/>
            </w:tcBorders>
            <w:shd w:val="clear" w:color="auto" w:fill="auto"/>
            <w:noWrap/>
            <w:vAlign w:val="center"/>
            <w:hideMark/>
          </w:tcPr>
          <w:p w14:paraId="0FD2677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3.000</w:t>
            </w:r>
          </w:p>
        </w:tc>
      </w:tr>
      <w:tr w:rsidR="00B934E7" w:rsidRPr="00B934E7" w14:paraId="4B3202F2" w14:textId="77777777" w:rsidTr="00B934E7">
        <w:trPr>
          <w:trHeight w:val="300"/>
        </w:trPr>
        <w:tc>
          <w:tcPr>
            <w:tcW w:w="214"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76A78048" w14:textId="77777777" w:rsidR="00B934E7" w:rsidRPr="00B934E7" w:rsidRDefault="00B934E7" w:rsidP="00B934E7">
            <w:pPr>
              <w:jc w:val="center"/>
              <w:rPr>
                <w:rFonts w:ascii="Arial Narrow" w:eastAsia="Times New Roman" w:hAnsi="Arial Narrow" w:cs="Calibri"/>
                <w:color w:val="000000"/>
                <w:sz w:val="16"/>
                <w:szCs w:val="16"/>
              </w:rPr>
            </w:pPr>
          </w:p>
        </w:tc>
        <w:tc>
          <w:tcPr>
            <w:tcW w:w="2455" w:type="pct"/>
            <w:gridSpan w:val="6"/>
            <w:tcBorders>
              <w:top w:val="single" w:sz="8" w:space="0" w:color="auto"/>
              <w:left w:val="nil"/>
              <w:bottom w:val="single" w:sz="8" w:space="0" w:color="auto"/>
              <w:right w:val="single" w:sz="8" w:space="0" w:color="auto"/>
            </w:tcBorders>
            <w:shd w:val="clear" w:color="auto" w:fill="D9D9D9"/>
            <w:vAlign w:val="center"/>
            <w:hideMark/>
          </w:tcPr>
          <w:p w14:paraId="12F13648" w14:textId="77777777" w:rsidR="00B934E7" w:rsidRPr="00B934E7" w:rsidRDefault="00B934E7" w:rsidP="00B934E7">
            <w:pP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Form Completion</w:t>
            </w:r>
          </w:p>
        </w:tc>
        <w:tc>
          <w:tcPr>
            <w:tcW w:w="214"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4ABC1FD4" w14:textId="77777777" w:rsidR="00B934E7" w:rsidRPr="00B934E7" w:rsidRDefault="00B934E7" w:rsidP="00B934E7">
            <w:pPr>
              <w:jc w:val="center"/>
              <w:rPr>
                <w:rFonts w:ascii="Arial Narrow" w:eastAsia="Times New Roman" w:hAnsi="Arial Narrow" w:cs="Calibri"/>
                <w:color w:val="000000"/>
                <w:sz w:val="16"/>
                <w:szCs w:val="16"/>
              </w:rPr>
            </w:pPr>
          </w:p>
        </w:tc>
        <w:tc>
          <w:tcPr>
            <w:tcW w:w="2117" w:type="pct"/>
            <w:gridSpan w:val="5"/>
            <w:tcBorders>
              <w:top w:val="single" w:sz="8" w:space="0" w:color="auto"/>
              <w:left w:val="nil"/>
              <w:bottom w:val="single" w:sz="8" w:space="0" w:color="auto"/>
              <w:right w:val="single" w:sz="8" w:space="0" w:color="auto"/>
            </w:tcBorders>
            <w:shd w:val="clear" w:color="auto" w:fill="D9D9D9"/>
            <w:vAlign w:val="center"/>
            <w:hideMark/>
          </w:tcPr>
          <w:p w14:paraId="2E1DE048" w14:textId="77777777" w:rsidR="00B934E7" w:rsidRPr="00B934E7" w:rsidRDefault="00B934E7" w:rsidP="00B934E7">
            <w:pPr>
              <w:ind w:right="101"/>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Form Completion</w:t>
            </w:r>
          </w:p>
        </w:tc>
      </w:tr>
      <w:tr w:rsidR="00B934E7" w:rsidRPr="00A56388" w14:paraId="36534377" w14:textId="77777777" w:rsidTr="00B934E7">
        <w:trPr>
          <w:trHeight w:val="290"/>
        </w:trPr>
        <w:tc>
          <w:tcPr>
            <w:tcW w:w="214"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58A7E11E" w14:textId="77777777" w:rsidR="00B934E7" w:rsidRPr="00B934E7" w:rsidRDefault="00B934E7" w:rsidP="00B934E7">
            <w:pPr>
              <w:jc w:val="center"/>
              <w:rPr>
                <w:rFonts w:ascii="Arial Narrow" w:eastAsia="Times New Roman" w:hAnsi="Arial Narrow" w:cs="Calibri"/>
                <w:color w:val="000000"/>
                <w:sz w:val="16"/>
                <w:szCs w:val="16"/>
              </w:rPr>
            </w:pPr>
          </w:p>
        </w:tc>
        <w:tc>
          <w:tcPr>
            <w:tcW w:w="2455" w:type="pct"/>
            <w:gridSpan w:val="6"/>
            <w:tcBorders>
              <w:top w:val="single" w:sz="8" w:space="0" w:color="auto"/>
              <w:left w:val="nil"/>
              <w:bottom w:val="single" w:sz="8" w:space="0" w:color="auto"/>
              <w:right w:val="single" w:sz="8" w:space="0" w:color="auto"/>
            </w:tcBorders>
            <w:shd w:val="clear" w:color="auto" w:fill="D9D9D9"/>
            <w:vAlign w:val="center"/>
            <w:hideMark/>
          </w:tcPr>
          <w:p w14:paraId="3B74289F" w14:textId="77777777" w:rsidR="00B934E7" w:rsidRPr="00044368" w:rsidRDefault="00B934E7" w:rsidP="00B934E7">
            <w:pPr>
              <w:rPr>
                <w:rFonts w:ascii="Arial Narrow" w:eastAsia="Times New Roman" w:hAnsi="Arial Narrow" w:cs="Calibri"/>
                <w:color w:val="000000"/>
                <w:sz w:val="16"/>
                <w:szCs w:val="16"/>
                <w:lang w:val="fr-FR"/>
              </w:rPr>
            </w:pPr>
            <w:r w:rsidRPr="00044368">
              <w:rPr>
                <w:rFonts w:ascii="Arial Narrow" w:eastAsia="Times New Roman" w:hAnsi="Arial Narrow" w:cs="Calibri"/>
                <w:b/>
                <w:bCs/>
                <w:i/>
                <w:iCs/>
                <w:color w:val="000000"/>
                <w:sz w:val="16"/>
                <w:szCs w:val="16"/>
                <w:lang w:val="fr-FR"/>
              </w:rPr>
              <w:t xml:space="preserve">Part I. Site Identification Information </w:t>
            </w:r>
          </w:p>
        </w:tc>
        <w:tc>
          <w:tcPr>
            <w:tcW w:w="214"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724724BD" w14:textId="77777777" w:rsidR="00B934E7" w:rsidRPr="00044368" w:rsidRDefault="00B934E7" w:rsidP="00B934E7">
            <w:pPr>
              <w:jc w:val="center"/>
              <w:rPr>
                <w:rFonts w:ascii="Arial Narrow" w:eastAsia="Times New Roman" w:hAnsi="Arial Narrow" w:cs="Calibri"/>
                <w:color w:val="000000"/>
                <w:sz w:val="16"/>
                <w:szCs w:val="16"/>
                <w:lang w:val="fr-FR"/>
              </w:rPr>
            </w:pPr>
          </w:p>
        </w:tc>
        <w:tc>
          <w:tcPr>
            <w:tcW w:w="2117" w:type="pct"/>
            <w:gridSpan w:val="5"/>
            <w:tcBorders>
              <w:top w:val="single" w:sz="8" w:space="0" w:color="auto"/>
              <w:left w:val="nil"/>
              <w:bottom w:val="single" w:sz="8" w:space="0" w:color="auto"/>
              <w:right w:val="single" w:sz="8" w:space="0" w:color="auto"/>
            </w:tcBorders>
            <w:shd w:val="clear" w:color="auto" w:fill="D9D9D9"/>
            <w:vAlign w:val="center"/>
            <w:hideMark/>
          </w:tcPr>
          <w:p w14:paraId="2E5963B8" w14:textId="77777777" w:rsidR="00B934E7" w:rsidRPr="00044368" w:rsidRDefault="00B934E7" w:rsidP="00B934E7">
            <w:pPr>
              <w:rPr>
                <w:rFonts w:ascii="Arial Narrow" w:eastAsia="Times New Roman" w:hAnsi="Arial Narrow" w:cs="Calibri"/>
                <w:color w:val="000000"/>
                <w:sz w:val="16"/>
                <w:szCs w:val="16"/>
                <w:lang w:val="fr-FR"/>
              </w:rPr>
            </w:pPr>
            <w:r w:rsidRPr="00044368">
              <w:rPr>
                <w:rFonts w:ascii="Arial Narrow" w:eastAsia="Times New Roman" w:hAnsi="Arial Narrow" w:cs="Calibri"/>
                <w:b/>
                <w:bCs/>
                <w:i/>
                <w:iCs/>
                <w:color w:val="000000"/>
                <w:sz w:val="16"/>
                <w:szCs w:val="16"/>
                <w:lang w:val="fr-FR"/>
              </w:rPr>
              <w:t xml:space="preserve">Part I. Site Identification Information </w:t>
            </w:r>
          </w:p>
        </w:tc>
      </w:tr>
      <w:tr w:rsidR="00B934E7" w:rsidRPr="00B934E7" w14:paraId="30886CEB" w14:textId="77777777" w:rsidTr="00B934E7">
        <w:trPr>
          <w:trHeight w:val="290"/>
        </w:trPr>
        <w:tc>
          <w:tcPr>
            <w:tcW w:w="214" w:type="pct"/>
            <w:tcBorders>
              <w:top w:val="single" w:sz="8" w:space="0" w:color="auto"/>
              <w:left w:val="single" w:sz="8" w:space="0" w:color="auto"/>
              <w:bottom w:val="single" w:sz="4" w:space="0" w:color="auto"/>
              <w:right w:val="single" w:sz="8" w:space="0" w:color="auto"/>
            </w:tcBorders>
            <w:shd w:val="clear" w:color="auto" w:fill="auto"/>
            <w:noWrap/>
            <w:vAlign w:val="center"/>
          </w:tcPr>
          <w:p w14:paraId="334FF9DB"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4</w:t>
            </w:r>
          </w:p>
        </w:tc>
        <w:tc>
          <w:tcPr>
            <w:tcW w:w="640" w:type="pct"/>
            <w:tcBorders>
              <w:top w:val="single" w:sz="8" w:space="0" w:color="auto"/>
              <w:left w:val="nil"/>
              <w:bottom w:val="single" w:sz="4" w:space="0" w:color="auto"/>
              <w:right w:val="single" w:sz="4" w:space="0" w:color="auto"/>
            </w:tcBorders>
            <w:shd w:val="clear" w:color="auto" w:fill="auto"/>
            <w:vAlign w:val="center"/>
            <w:hideMark/>
          </w:tcPr>
          <w:p w14:paraId="1E31274B"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Certification</w:t>
            </w:r>
          </w:p>
        </w:tc>
        <w:tc>
          <w:tcPr>
            <w:tcW w:w="427" w:type="pct"/>
            <w:tcBorders>
              <w:top w:val="single" w:sz="8" w:space="0" w:color="auto"/>
              <w:left w:val="nil"/>
              <w:bottom w:val="single" w:sz="4" w:space="0" w:color="auto"/>
              <w:right w:val="single" w:sz="8" w:space="0" w:color="auto"/>
            </w:tcBorders>
            <w:shd w:val="clear" w:color="auto" w:fill="auto"/>
            <w:vAlign w:val="center"/>
            <w:hideMark/>
          </w:tcPr>
          <w:p w14:paraId="5EBD2ED4"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site</w:t>
            </w:r>
          </w:p>
        </w:tc>
        <w:tc>
          <w:tcPr>
            <w:tcW w:w="391"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ABA58E7"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1.010</w:t>
            </w:r>
          </w:p>
        </w:tc>
        <w:tc>
          <w:tcPr>
            <w:tcW w:w="356" w:type="pct"/>
            <w:tcBorders>
              <w:top w:val="single" w:sz="8" w:space="0" w:color="auto"/>
              <w:left w:val="nil"/>
              <w:bottom w:val="single" w:sz="4" w:space="0" w:color="auto"/>
              <w:right w:val="single" w:sz="4" w:space="0" w:color="auto"/>
            </w:tcBorders>
            <w:shd w:val="clear" w:color="auto" w:fill="auto"/>
            <w:noWrap/>
            <w:vAlign w:val="center"/>
            <w:hideMark/>
          </w:tcPr>
          <w:p w14:paraId="79F1603E"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0.850</w:t>
            </w:r>
          </w:p>
        </w:tc>
        <w:tc>
          <w:tcPr>
            <w:tcW w:w="285" w:type="pct"/>
            <w:tcBorders>
              <w:top w:val="single" w:sz="8" w:space="0" w:color="auto"/>
              <w:left w:val="nil"/>
              <w:bottom w:val="single" w:sz="4" w:space="0" w:color="auto"/>
              <w:right w:val="single" w:sz="4" w:space="0" w:color="auto"/>
            </w:tcBorders>
            <w:shd w:val="clear" w:color="auto" w:fill="auto"/>
            <w:noWrap/>
            <w:vAlign w:val="center"/>
            <w:hideMark/>
          </w:tcPr>
          <w:p w14:paraId="3C0631EB"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single" w:sz="8" w:space="0" w:color="auto"/>
              <w:left w:val="nil"/>
              <w:bottom w:val="single" w:sz="4" w:space="0" w:color="auto"/>
              <w:right w:val="single" w:sz="8" w:space="0" w:color="auto"/>
            </w:tcBorders>
            <w:shd w:val="clear" w:color="auto" w:fill="auto"/>
            <w:noWrap/>
            <w:vAlign w:val="center"/>
            <w:hideMark/>
          </w:tcPr>
          <w:p w14:paraId="54B5E6E7"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1.860</w:t>
            </w:r>
          </w:p>
        </w:tc>
        <w:tc>
          <w:tcPr>
            <w:tcW w:w="214"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1680049"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4</w:t>
            </w:r>
          </w:p>
        </w:tc>
        <w:tc>
          <w:tcPr>
            <w:tcW w:w="644" w:type="pct"/>
            <w:tcBorders>
              <w:top w:val="single" w:sz="8" w:space="0" w:color="auto"/>
              <w:left w:val="nil"/>
              <w:bottom w:val="single" w:sz="4" w:space="0" w:color="auto"/>
              <w:right w:val="single" w:sz="4" w:space="0" w:color="auto"/>
            </w:tcBorders>
            <w:shd w:val="clear" w:color="auto" w:fill="auto"/>
            <w:vAlign w:val="center"/>
            <w:hideMark/>
          </w:tcPr>
          <w:p w14:paraId="6DDFDE96"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Certification</w:t>
            </w:r>
          </w:p>
        </w:tc>
        <w:tc>
          <w:tcPr>
            <w:tcW w:w="357"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06B1A2D"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1.010</w:t>
            </w:r>
          </w:p>
        </w:tc>
        <w:tc>
          <w:tcPr>
            <w:tcW w:w="426" w:type="pct"/>
            <w:tcBorders>
              <w:top w:val="single" w:sz="8" w:space="0" w:color="auto"/>
              <w:left w:val="nil"/>
              <w:bottom w:val="single" w:sz="4" w:space="0" w:color="auto"/>
              <w:right w:val="single" w:sz="4" w:space="0" w:color="auto"/>
            </w:tcBorders>
            <w:shd w:val="clear" w:color="auto" w:fill="auto"/>
            <w:noWrap/>
            <w:vAlign w:val="center"/>
            <w:hideMark/>
          </w:tcPr>
          <w:p w14:paraId="67D80996"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0.850</w:t>
            </w:r>
          </w:p>
        </w:tc>
        <w:tc>
          <w:tcPr>
            <w:tcW w:w="321" w:type="pct"/>
            <w:tcBorders>
              <w:top w:val="single" w:sz="8" w:space="0" w:color="auto"/>
              <w:left w:val="nil"/>
              <w:bottom w:val="single" w:sz="4" w:space="0" w:color="auto"/>
              <w:right w:val="single" w:sz="4" w:space="0" w:color="auto"/>
            </w:tcBorders>
            <w:shd w:val="clear" w:color="auto" w:fill="auto"/>
            <w:noWrap/>
            <w:vAlign w:val="center"/>
            <w:hideMark/>
          </w:tcPr>
          <w:p w14:paraId="65F4A624"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single" w:sz="8" w:space="0" w:color="auto"/>
              <w:left w:val="nil"/>
              <w:bottom w:val="single" w:sz="4" w:space="0" w:color="auto"/>
              <w:right w:val="single" w:sz="8" w:space="0" w:color="auto"/>
            </w:tcBorders>
            <w:shd w:val="clear" w:color="auto" w:fill="auto"/>
            <w:noWrap/>
            <w:vAlign w:val="center"/>
            <w:hideMark/>
          </w:tcPr>
          <w:p w14:paraId="7596AD6F"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1.860</w:t>
            </w:r>
          </w:p>
        </w:tc>
      </w:tr>
      <w:tr w:rsidR="00B934E7" w:rsidRPr="00B934E7" w14:paraId="44A1CFA7" w14:textId="77777777" w:rsidTr="00B934E7">
        <w:trPr>
          <w:trHeight w:val="530"/>
        </w:trPr>
        <w:tc>
          <w:tcPr>
            <w:tcW w:w="214" w:type="pct"/>
            <w:tcBorders>
              <w:top w:val="nil"/>
              <w:left w:val="single" w:sz="8" w:space="0" w:color="auto"/>
              <w:bottom w:val="single" w:sz="4" w:space="0" w:color="auto"/>
              <w:right w:val="single" w:sz="8" w:space="0" w:color="auto"/>
            </w:tcBorders>
            <w:shd w:val="clear" w:color="auto" w:fill="auto"/>
            <w:noWrap/>
            <w:vAlign w:val="center"/>
          </w:tcPr>
          <w:p w14:paraId="7CC734EE" w14:textId="77777777" w:rsidR="00B934E7" w:rsidRPr="00B934E7" w:rsidRDefault="00B934E7" w:rsidP="000C25C0">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5</w:t>
            </w:r>
            <w:r w:rsidR="000C25C0">
              <w:rPr>
                <w:rFonts w:ascii="Arial Narrow" w:eastAsia="Times New Roman" w:hAnsi="Arial Narrow" w:cs="Calibri"/>
                <w:color w:val="000000"/>
                <w:sz w:val="16"/>
                <w:szCs w:val="16"/>
                <w:vertAlign w:val="superscript"/>
              </w:rPr>
              <w:t>2</w:t>
            </w:r>
          </w:p>
        </w:tc>
        <w:tc>
          <w:tcPr>
            <w:tcW w:w="640" w:type="pct"/>
            <w:tcBorders>
              <w:top w:val="nil"/>
              <w:left w:val="nil"/>
              <w:bottom w:val="single" w:sz="4" w:space="0" w:color="auto"/>
              <w:right w:val="single" w:sz="4" w:space="0" w:color="auto"/>
            </w:tcBorders>
            <w:shd w:val="clear" w:color="auto" w:fill="auto"/>
            <w:vAlign w:val="center"/>
            <w:hideMark/>
          </w:tcPr>
          <w:p w14:paraId="01468C32"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Company Information (Company Name, Technical Contact, Address, D&amp;B Number, Mailing Address)</w:t>
            </w:r>
          </w:p>
        </w:tc>
        <w:tc>
          <w:tcPr>
            <w:tcW w:w="427" w:type="pct"/>
            <w:tcBorders>
              <w:top w:val="nil"/>
              <w:left w:val="nil"/>
              <w:bottom w:val="single" w:sz="4" w:space="0" w:color="auto"/>
              <w:right w:val="single" w:sz="8" w:space="0" w:color="auto"/>
            </w:tcBorders>
            <w:shd w:val="clear" w:color="auto" w:fill="auto"/>
            <w:vAlign w:val="center"/>
            <w:hideMark/>
          </w:tcPr>
          <w:p w14:paraId="0A7D05DA"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site</w:t>
            </w:r>
          </w:p>
        </w:tc>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79562BB3"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0.020</w:t>
            </w:r>
          </w:p>
        </w:tc>
        <w:tc>
          <w:tcPr>
            <w:tcW w:w="356" w:type="pct"/>
            <w:tcBorders>
              <w:top w:val="nil"/>
              <w:left w:val="nil"/>
              <w:bottom w:val="single" w:sz="4" w:space="0" w:color="auto"/>
              <w:right w:val="single" w:sz="4" w:space="0" w:color="auto"/>
            </w:tcBorders>
            <w:shd w:val="clear" w:color="auto" w:fill="auto"/>
            <w:noWrap/>
            <w:vAlign w:val="center"/>
            <w:hideMark/>
          </w:tcPr>
          <w:p w14:paraId="79D75D8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0.040</w:t>
            </w:r>
          </w:p>
        </w:tc>
        <w:tc>
          <w:tcPr>
            <w:tcW w:w="285" w:type="pct"/>
            <w:tcBorders>
              <w:top w:val="nil"/>
              <w:left w:val="nil"/>
              <w:bottom w:val="single" w:sz="4" w:space="0" w:color="auto"/>
              <w:right w:val="single" w:sz="4" w:space="0" w:color="auto"/>
            </w:tcBorders>
            <w:shd w:val="clear" w:color="auto" w:fill="auto"/>
            <w:noWrap/>
            <w:vAlign w:val="center"/>
            <w:hideMark/>
          </w:tcPr>
          <w:p w14:paraId="562B46FA"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hideMark/>
          </w:tcPr>
          <w:p w14:paraId="554EBD4F"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0.060</w:t>
            </w:r>
          </w:p>
        </w:tc>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48C16D65"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5</w:t>
            </w:r>
            <w:r w:rsidR="00C57C9A" w:rsidRPr="002C1543">
              <w:rPr>
                <w:rFonts w:ascii="Arial Narrow" w:eastAsia="Times New Roman" w:hAnsi="Arial Narrow" w:cs="Calibri"/>
                <w:color w:val="000000"/>
                <w:sz w:val="16"/>
                <w:szCs w:val="16"/>
                <w:vertAlign w:val="superscript"/>
              </w:rPr>
              <w:t>2</w:t>
            </w:r>
          </w:p>
        </w:tc>
        <w:tc>
          <w:tcPr>
            <w:tcW w:w="644" w:type="pct"/>
            <w:tcBorders>
              <w:top w:val="nil"/>
              <w:left w:val="nil"/>
              <w:bottom w:val="single" w:sz="4" w:space="0" w:color="auto"/>
              <w:right w:val="single" w:sz="4" w:space="0" w:color="auto"/>
            </w:tcBorders>
            <w:shd w:val="clear" w:color="auto" w:fill="auto"/>
            <w:vAlign w:val="center"/>
            <w:hideMark/>
          </w:tcPr>
          <w:p w14:paraId="3F8E9289"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Parent Company Information (Company Name, Address, D&amp;B Number, Mailing Address)</w:t>
            </w:r>
          </w:p>
        </w:tc>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B985940"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0.011</w:t>
            </w:r>
          </w:p>
        </w:tc>
        <w:tc>
          <w:tcPr>
            <w:tcW w:w="426" w:type="pct"/>
            <w:tcBorders>
              <w:top w:val="nil"/>
              <w:left w:val="nil"/>
              <w:bottom w:val="single" w:sz="4" w:space="0" w:color="auto"/>
              <w:right w:val="single" w:sz="4" w:space="0" w:color="auto"/>
            </w:tcBorders>
            <w:shd w:val="clear" w:color="auto" w:fill="auto"/>
            <w:noWrap/>
            <w:vAlign w:val="center"/>
            <w:hideMark/>
          </w:tcPr>
          <w:p w14:paraId="7EA4D106"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0.023</w:t>
            </w:r>
          </w:p>
        </w:tc>
        <w:tc>
          <w:tcPr>
            <w:tcW w:w="321" w:type="pct"/>
            <w:tcBorders>
              <w:top w:val="nil"/>
              <w:left w:val="nil"/>
              <w:bottom w:val="single" w:sz="4" w:space="0" w:color="auto"/>
              <w:right w:val="single" w:sz="4" w:space="0" w:color="auto"/>
            </w:tcBorders>
            <w:shd w:val="clear" w:color="auto" w:fill="auto"/>
            <w:noWrap/>
            <w:vAlign w:val="center"/>
            <w:hideMark/>
          </w:tcPr>
          <w:p w14:paraId="13F3DF26"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hideMark/>
          </w:tcPr>
          <w:p w14:paraId="0DC473F9"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0.034</w:t>
            </w:r>
          </w:p>
        </w:tc>
      </w:tr>
      <w:tr w:rsidR="00B934E7" w:rsidRPr="00B934E7" w14:paraId="201D2F54" w14:textId="77777777" w:rsidTr="00B934E7">
        <w:trPr>
          <w:trHeight w:val="530"/>
        </w:trPr>
        <w:tc>
          <w:tcPr>
            <w:tcW w:w="214" w:type="pct"/>
            <w:tcBorders>
              <w:top w:val="nil"/>
              <w:left w:val="single" w:sz="8" w:space="0" w:color="auto"/>
              <w:bottom w:val="single" w:sz="4" w:space="0" w:color="auto"/>
              <w:right w:val="single" w:sz="8" w:space="0" w:color="auto"/>
            </w:tcBorders>
            <w:shd w:val="clear" w:color="auto" w:fill="auto"/>
            <w:noWrap/>
            <w:vAlign w:val="center"/>
          </w:tcPr>
          <w:p w14:paraId="0EA81C5A"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6</w:t>
            </w:r>
          </w:p>
        </w:tc>
        <w:tc>
          <w:tcPr>
            <w:tcW w:w="640" w:type="pct"/>
            <w:tcBorders>
              <w:top w:val="nil"/>
              <w:left w:val="nil"/>
              <w:bottom w:val="single" w:sz="4" w:space="0" w:color="auto"/>
              <w:right w:val="single" w:sz="4" w:space="0" w:color="auto"/>
            </w:tcBorders>
            <w:shd w:val="clear" w:color="auto" w:fill="auto"/>
            <w:vAlign w:val="center"/>
            <w:hideMark/>
          </w:tcPr>
          <w:p w14:paraId="625464A3"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Plant Site Identification (Plant Name, D&amp;B Number, Address, Mailing Address)</w:t>
            </w:r>
          </w:p>
        </w:tc>
        <w:tc>
          <w:tcPr>
            <w:tcW w:w="427" w:type="pct"/>
            <w:tcBorders>
              <w:top w:val="nil"/>
              <w:left w:val="nil"/>
              <w:bottom w:val="single" w:sz="4" w:space="0" w:color="auto"/>
              <w:right w:val="single" w:sz="8" w:space="0" w:color="auto"/>
            </w:tcBorders>
            <w:shd w:val="clear" w:color="auto" w:fill="auto"/>
            <w:vAlign w:val="center"/>
            <w:hideMark/>
          </w:tcPr>
          <w:p w14:paraId="5AA5A70B"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site</w:t>
            </w:r>
          </w:p>
        </w:tc>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006251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0.020</w:t>
            </w:r>
          </w:p>
        </w:tc>
        <w:tc>
          <w:tcPr>
            <w:tcW w:w="356" w:type="pct"/>
            <w:tcBorders>
              <w:top w:val="nil"/>
              <w:left w:val="nil"/>
              <w:bottom w:val="single" w:sz="4" w:space="0" w:color="auto"/>
              <w:right w:val="single" w:sz="4" w:space="0" w:color="auto"/>
            </w:tcBorders>
            <w:shd w:val="clear" w:color="auto" w:fill="auto"/>
            <w:noWrap/>
            <w:vAlign w:val="center"/>
            <w:hideMark/>
          </w:tcPr>
          <w:p w14:paraId="26C8CF60"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0.060</w:t>
            </w:r>
          </w:p>
        </w:tc>
        <w:tc>
          <w:tcPr>
            <w:tcW w:w="285" w:type="pct"/>
            <w:tcBorders>
              <w:top w:val="nil"/>
              <w:left w:val="nil"/>
              <w:bottom w:val="single" w:sz="4" w:space="0" w:color="auto"/>
              <w:right w:val="single" w:sz="4" w:space="0" w:color="auto"/>
            </w:tcBorders>
            <w:shd w:val="clear" w:color="auto" w:fill="auto"/>
            <w:noWrap/>
            <w:vAlign w:val="center"/>
            <w:hideMark/>
          </w:tcPr>
          <w:p w14:paraId="00C8535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hideMark/>
          </w:tcPr>
          <w:p w14:paraId="2031222B"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0.080</w:t>
            </w:r>
          </w:p>
        </w:tc>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17F89A00"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6</w:t>
            </w:r>
          </w:p>
        </w:tc>
        <w:tc>
          <w:tcPr>
            <w:tcW w:w="644" w:type="pct"/>
            <w:tcBorders>
              <w:top w:val="nil"/>
              <w:left w:val="nil"/>
              <w:bottom w:val="single" w:sz="4" w:space="0" w:color="auto"/>
              <w:right w:val="single" w:sz="4" w:space="0" w:color="auto"/>
            </w:tcBorders>
            <w:shd w:val="clear" w:color="auto" w:fill="auto"/>
            <w:vAlign w:val="center"/>
            <w:hideMark/>
          </w:tcPr>
          <w:p w14:paraId="3738B0D4"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Site Identification (Plant Name, D&amp;B Number, Address, Mailing Address)</w:t>
            </w:r>
          </w:p>
        </w:tc>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14E48767"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0.020</w:t>
            </w:r>
          </w:p>
        </w:tc>
        <w:tc>
          <w:tcPr>
            <w:tcW w:w="426" w:type="pct"/>
            <w:tcBorders>
              <w:top w:val="nil"/>
              <w:left w:val="nil"/>
              <w:bottom w:val="single" w:sz="4" w:space="0" w:color="auto"/>
              <w:right w:val="single" w:sz="4" w:space="0" w:color="auto"/>
            </w:tcBorders>
            <w:shd w:val="clear" w:color="auto" w:fill="auto"/>
            <w:noWrap/>
            <w:vAlign w:val="center"/>
            <w:hideMark/>
          </w:tcPr>
          <w:p w14:paraId="1E2B3610"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0.060</w:t>
            </w:r>
          </w:p>
        </w:tc>
        <w:tc>
          <w:tcPr>
            <w:tcW w:w="321" w:type="pct"/>
            <w:tcBorders>
              <w:top w:val="nil"/>
              <w:left w:val="nil"/>
              <w:bottom w:val="single" w:sz="4" w:space="0" w:color="auto"/>
              <w:right w:val="single" w:sz="4" w:space="0" w:color="auto"/>
            </w:tcBorders>
            <w:shd w:val="clear" w:color="auto" w:fill="auto"/>
            <w:noWrap/>
            <w:vAlign w:val="center"/>
            <w:hideMark/>
          </w:tcPr>
          <w:p w14:paraId="7AC5CDC3"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hideMark/>
          </w:tcPr>
          <w:p w14:paraId="1173BCC3"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0.080</w:t>
            </w:r>
          </w:p>
        </w:tc>
      </w:tr>
      <w:tr w:rsidR="00B934E7" w:rsidRPr="00B934E7" w14:paraId="4E078BBE" w14:textId="77777777" w:rsidTr="00B934E7">
        <w:trPr>
          <w:trHeight w:val="300"/>
        </w:trPr>
        <w:tc>
          <w:tcPr>
            <w:tcW w:w="214" w:type="pct"/>
            <w:tcBorders>
              <w:top w:val="single" w:sz="4" w:space="0" w:color="auto"/>
              <w:left w:val="single" w:sz="8" w:space="0" w:color="auto"/>
              <w:bottom w:val="single" w:sz="8" w:space="0" w:color="auto"/>
              <w:right w:val="single" w:sz="8" w:space="0" w:color="auto"/>
            </w:tcBorders>
            <w:shd w:val="clear" w:color="auto" w:fill="auto"/>
            <w:noWrap/>
            <w:vAlign w:val="center"/>
          </w:tcPr>
          <w:p w14:paraId="1AAD5C9F"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7</w:t>
            </w:r>
            <w:r w:rsidR="000C25C0">
              <w:rPr>
                <w:rFonts w:ascii="Arial Narrow" w:eastAsia="Times New Roman" w:hAnsi="Arial Narrow" w:cs="Calibri"/>
                <w:color w:val="000000"/>
                <w:sz w:val="16"/>
                <w:szCs w:val="16"/>
                <w:vertAlign w:val="superscript"/>
              </w:rPr>
              <w:t>3</w:t>
            </w:r>
          </w:p>
        </w:tc>
        <w:tc>
          <w:tcPr>
            <w:tcW w:w="640" w:type="pct"/>
            <w:tcBorders>
              <w:top w:val="single" w:sz="4" w:space="0" w:color="auto"/>
              <w:left w:val="nil"/>
              <w:bottom w:val="single" w:sz="8" w:space="0" w:color="auto"/>
              <w:right w:val="single" w:sz="4" w:space="0" w:color="auto"/>
            </w:tcBorders>
            <w:shd w:val="clear" w:color="auto" w:fill="auto"/>
            <w:vAlign w:val="center"/>
            <w:hideMark/>
          </w:tcPr>
          <w:p w14:paraId="07C6EE98"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Information for Joint Submissions</w:t>
            </w:r>
          </w:p>
        </w:tc>
        <w:tc>
          <w:tcPr>
            <w:tcW w:w="427" w:type="pct"/>
            <w:tcBorders>
              <w:top w:val="single" w:sz="4" w:space="0" w:color="auto"/>
              <w:left w:val="nil"/>
              <w:bottom w:val="single" w:sz="8" w:space="0" w:color="auto"/>
              <w:right w:val="single" w:sz="8" w:space="0" w:color="auto"/>
            </w:tcBorders>
            <w:shd w:val="clear" w:color="auto" w:fill="auto"/>
            <w:vAlign w:val="center"/>
            <w:hideMark/>
          </w:tcPr>
          <w:p w14:paraId="75BC04D9"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site</w:t>
            </w:r>
          </w:p>
        </w:tc>
        <w:tc>
          <w:tcPr>
            <w:tcW w:w="391"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912EB8C"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0.010</w:t>
            </w:r>
          </w:p>
        </w:tc>
        <w:tc>
          <w:tcPr>
            <w:tcW w:w="356" w:type="pct"/>
            <w:tcBorders>
              <w:top w:val="single" w:sz="4" w:space="0" w:color="auto"/>
              <w:left w:val="nil"/>
              <w:bottom w:val="single" w:sz="8" w:space="0" w:color="auto"/>
              <w:right w:val="single" w:sz="4" w:space="0" w:color="auto"/>
            </w:tcBorders>
            <w:shd w:val="clear" w:color="auto" w:fill="auto"/>
            <w:noWrap/>
            <w:vAlign w:val="center"/>
            <w:hideMark/>
          </w:tcPr>
          <w:p w14:paraId="75E3374B"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285" w:type="pct"/>
            <w:tcBorders>
              <w:top w:val="single" w:sz="4" w:space="0" w:color="auto"/>
              <w:left w:val="nil"/>
              <w:bottom w:val="single" w:sz="8" w:space="0" w:color="auto"/>
              <w:right w:val="single" w:sz="4" w:space="0" w:color="auto"/>
            </w:tcBorders>
            <w:shd w:val="clear" w:color="auto" w:fill="auto"/>
            <w:noWrap/>
            <w:vAlign w:val="center"/>
            <w:hideMark/>
          </w:tcPr>
          <w:p w14:paraId="28CD257E"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6124265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0.010</w:t>
            </w:r>
          </w:p>
        </w:tc>
        <w:tc>
          <w:tcPr>
            <w:tcW w:w="214" w:type="pct"/>
            <w:tcBorders>
              <w:top w:val="single" w:sz="4" w:space="0" w:color="auto"/>
              <w:left w:val="single" w:sz="4" w:space="0" w:color="auto"/>
              <w:bottom w:val="single" w:sz="8" w:space="0" w:color="auto"/>
              <w:right w:val="nil"/>
            </w:tcBorders>
            <w:shd w:val="clear" w:color="auto" w:fill="808080"/>
            <w:noWrap/>
            <w:vAlign w:val="center"/>
            <w:hideMark/>
          </w:tcPr>
          <w:p w14:paraId="42DEDF92" w14:textId="77777777" w:rsidR="00B934E7" w:rsidRPr="00B934E7" w:rsidRDefault="00B934E7" w:rsidP="00B934E7">
            <w:pPr>
              <w:jc w:val="center"/>
              <w:rPr>
                <w:rFonts w:ascii="Arial Narrow" w:eastAsia="Times New Roman" w:hAnsi="Arial Narrow" w:cs="Calibri"/>
                <w:color w:val="000000"/>
                <w:sz w:val="16"/>
                <w:szCs w:val="16"/>
              </w:rPr>
            </w:pPr>
          </w:p>
        </w:tc>
        <w:tc>
          <w:tcPr>
            <w:tcW w:w="644" w:type="pct"/>
            <w:tcBorders>
              <w:top w:val="single" w:sz="4" w:space="0" w:color="auto"/>
              <w:left w:val="nil"/>
              <w:bottom w:val="single" w:sz="8" w:space="0" w:color="auto"/>
              <w:right w:val="nil"/>
            </w:tcBorders>
            <w:shd w:val="clear" w:color="auto" w:fill="808080"/>
            <w:noWrap/>
            <w:vAlign w:val="center"/>
            <w:hideMark/>
          </w:tcPr>
          <w:p w14:paraId="7B33BE53"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 </w:t>
            </w:r>
          </w:p>
        </w:tc>
        <w:tc>
          <w:tcPr>
            <w:tcW w:w="357" w:type="pct"/>
            <w:tcBorders>
              <w:top w:val="single" w:sz="4" w:space="0" w:color="auto"/>
              <w:left w:val="nil"/>
              <w:bottom w:val="single" w:sz="8" w:space="0" w:color="auto"/>
              <w:right w:val="nil"/>
            </w:tcBorders>
            <w:shd w:val="clear" w:color="auto" w:fill="808080"/>
            <w:noWrap/>
            <w:vAlign w:val="center"/>
            <w:hideMark/>
          </w:tcPr>
          <w:p w14:paraId="0B1971A3"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 </w:t>
            </w:r>
          </w:p>
        </w:tc>
        <w:tc>
          <w:tcPr>
            <w:tcW w:w="426" w:type="pct"/>
            <w:tcBorders>
              <w:top w:val="single" w:sz="4" w:space="0" w:color="auto"/>
              <w:left w:val="nil"/>
              <w:bottom w:val="single" w:sz="8" w:space="0" w:color="auto"/>
              <w:right w:val="nil"/>
            </w:tcBorders>
            <w:shd w:val="clear" w:color="auto" w:fill="808080"/>
            <w:noWrap/>
            <w:vAlign w:val="center"/>
            <w:hideMark/>
          </w:tcPr>
          <w:p w14:paraId="6A293AE0"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 </w:t>
            </w:r>
          </w:p>
        </w:tc>
        <w:tc>
          <w:tcPr>
            <w:tcW w:w="321" w:type="pct"/>
            <w:tcBorders>
              <w:top w:val="single" w:sz="4" w:space="0" w:color="auto"/>
              <w:left w:val="nil"/>
              <w:bottom w:val="single" w:sz="8" w:space="0" w:color="auto"/>
              <w:right w:val="nil"/>
            </w:tcBorders>
            <w:shd w:val="clear" w:color="auto" w:fill="808080"/>
            <w:noWrap/>
            <w:vAlign w:val="center"/>
            <w:hideMark/>
          </w:tcPr>
          <w:p w14:paraId="4AC49A36"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 </w:t>
            </w:r>
          </w:p>
        </w:tc>
        <w:tc>
          <w:tcPr>
            <w:tcW w:w="369" w:type="pct"/>
            <w:tcBorders>
              <w:top w:val="single" w:sz="4" w:space="0" w:color="auto"/>
              <w:left w:val="nil"/>
              <w:bottom w:val="single" w:sz="8" w:space="0" w:color="auto"/>
              <w:right w:val="single" w:sz="8" w:space="0" w:color="auto"/>
            </w:tcBorders>
            <w:shd w:val="clear" w:color="auto" w:fill="808080"/>
            <w:noWrap/>
            <w:vAlign w:val="center"/>
            <w:hideMark/>
          </w:tcPr>
          <w:p w14:paraId="735CE69A"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 </w:t>
            </w:r>
          </w:p>
        </w:tc>
      </w:tr>
      <w:tr w:rsidR="00B934E7" w:rsidRPr="00B934E7" w14:paraId="6A134D60" w14:textId="77777777" w:rsidTr="00B934E7">
        <w:trPr>
          <w:trHeight w:val="300"/>
        </w:trPr>
        <w:tc>
          <w:tcPr>
            <w:tcW w:w="214"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1288E426" w14:textId="77777777" w:rsidR="00B934E7" w:rsidRPr="00B934E7" w:rsidRDefault="00B934E7" w:rsidP="00B934E7">
            <w:pPr>
              <w:jc w:val="center"/>
              <w:rPr>
                <w:rFonts w:ascii="Arial Narrow" w:eastAsia="Times New Roman" w:hAnsi="Arial Narrow" w:cs="Calibri"/>
                <w:color w:val="000000"/>
                <w:sz w:val="16"/>
                <w:szCs w:val="16"/>
              </w:rPr>
            </w:pPr>
          </w:p>
        </w:tc>
        <w:tc>
          <w:tcPr>
            <w:tcW w:w="640" w:type="pct"/>
            <w:tcBorders>
              <w:top w:val="single" w:sz="8" w:space="0" w:color="auto"/>
              <w:left w:val="nil"/>
              <w:bottom w:val="single" w:sz="8" w:space="0" w:color="auto"/>
              <w:right w:val="single" w:sz="4" w:space="0" w:color="auto"/>
            </w:tcBorders>
            <w:shd w:val="clear" w:color="auto" w:fill="D9D9D9"/>
            <w:vAlign w:val="center"/>
            <w:hideMark/>
          </w:tcPr>
          <w:p w14:paraId="28A53D67" w14:textId="77777777" w:rsidR="00B934E7" w:rsidRPr="00B934E7" w:rsidRDefault="00B934E7" w:rsidP="00B934E7">
            <w:pP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Subtotal, Part I</w:t>
            </w:r>
          </w:p>
        </w:tc>
        <w:tc>
          <w:tcPr>
            <w:tcW w:w="427" w:type="pct"/>
            <w:tcBorders>
              <w:top w:val="single" w:sz="8" w:space="0" w:color="auto"/>
              <w:left w:val="nil"/>
              <w:bottom w:val="single" w:sz="8" w:space="0" w:color="auto"/>
              <w:right w:val="single" w:sz="8" w:space="0" w:color="auto"/>
            </w:tcBorders>
            <w:shd w:val="clear" w:color="auto" w:fill="D9D9D9"/>
            <w:vAlign w:val="center"/>
            <w:hideMark/>
          </w:tcPr>
          <w:p w14:paraId="663169B7" w14:textId="77777777" w:rsidR="00B934E7" w:rsidRPr="00B934E7" w:rsidRDefault="00B934E7" w:rsidP="00B934E7">
            <w:pP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Per site</w:t>
            </w:r>
          </w:p>
        </w:tc>
        <w:tc>
          <w:tcPr>
            <w:tcW w:w="391" w:type="pct"/>
            <w:tcBorders>
              <w:top w:val="single" w:sz="8" w:space="0" w:color="auto"/>
              <w:left w:val="nil"/>
              <w:bottom w:val="single" w:sz="8" w:space="0" w:color="auto"/>
              <w:right w:val="single" w:sz="4" w:space="0" w:color="auto"/>
            </w:tcBorders>
            <w:shd w:val="clear" w:color="auto" w:fill="D9D9D9"/>
            <w:noWrap/>
            <w:vAlign w:val="center"/>
            <w:hideMark/>
          </w:tcPr>
          <w:p w14:paraId="10B16E65"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356" w:type="pct"/>
            <w:tcBorders>
              <w:top w:val="single" w:sz="8" w:space="0" w:color="auto"/>
              <w:left w:val="nil"/>
              <w:bottom w:val="single" w:sz="8" w:space="0" w:color="auto"/>
              <w:right w:val="nil"/>
            </w:tcBorders>
            <w:shd w:val="clear" w:color="auto" w:fill="D9D9D9"/>
            <w:noWrap/>
            <w:vAlign w:val="center"/>
            <w:hideMark/>
          </w:tcPr>
          <w:p w14:paraId="01E4D52A"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285" w:type="pct"/>
            <w:tcBorders>
              <w:top w:val="single" w:sz="8" w:space="0" w:color="auto"/>
              <w:left w:val="single" w:sz="4" w:space="0" w:color="auto"/>
              <w:bottom w:val="single" w:sz="8" w:space="0" w:color="auto"/>
              <w:right w:val="nil"/>
            </w:tcBorders>
            <w:shd w:val="clear" w:color="auto" w:fill="D9D9D9"/>
            <w:noWrap/>
            <w:vAlign w:val="center"/>
            <w:hideMark/>
          </w:tcPr>
          <w:p w14:paraId="42D24FC6"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356" w:type="pct"/>
            <w:tcBorders>
              <w:top w:val="single" w:sz="8" w:space="0" w:color="auto"/>
              <w:left w:val="single" w:sz="4" w:space="0" w:color="auto"/>
              <w:bottom w:val="single" w:sz="8" w:space="0" w:color="auto"/>
              <w:right w:val="single" w:sz="8" w:space="0" w:color="auto"/>
            </w:tcBorders>
            <w:shd w:val="clear" w:color="auto" w:fill="D9D9D9"/>
            <w:noWrap/>
            <w:vAlign w:val="center"/>
            <w:hideMark/>
          </w:tcPr>
          <w:p w14:paraId="194B3C85"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2.010</w:t>
            </w:r>
          </w:p>
        </w:tc>
        <w:tc>
          <w:tcPr>
            <w:tcW w:w="214"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765D7FC6" w14:textId="77777777" w:rsidR="00B934E7" w:rsidRPr="00B934E7" w:rsidRDefault="00B934E7" w:rsidP="00B934E7">
            <w:pPr>
              <w:jc w:val="center"/>
              <w:rPr>
                <w:rFonts w:ascii="Arial Narrow" w:eastAsia="Times New Roman" w:hAnsi="Arial Narrow" w:cs="Calibri"/>
                <w:color w:val="000000"/>
                <w:sz w:val="16"/>
                <w:szCs w:val="16"/>
              </w:rPr>
            </w:pPr>
          </w:p>
        </w:tc>
        <w:tc>
          <w:tcPr>
            <w:tcW w:w="644" w:type="pct"/>
            <w:tcBorders>
              <w:top w:val="single" w:sz="8" w:space="0" w:color="auto"/>
              <w:left w:val="nil"/>
              <w:bottom w:val="single" w:sz="8" w:space="0" w:color="auto"/>
              <w:right w:val="single" w:sz="4" w:space="0" w:color="auto"/>
            </w:tcBorders>
            <w:shd w:val="clear" w:color="auto" w:fill="D9D9D9"/>
            <w:vAlign w:val="center"/>
            <w:hideMark/>
          </w:tcPr>
          <w:p w14:paraId="7BFBB760" w14:textId="77777777" w:rsidR="00B934E7" w:rsidRPr="00B934E7" w:rsidRDefault="00B934E7" w:rsidP="00B934E7">
            <w:pP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Subtotal, Part I</w:t>
            </w:r>
          </w:p>
        </w:tc>
        <w:tc>
          <w:tcPr>
            <w:tcW w:w="357" w:type="pct"/>
            <w:tcBorders>
              <w:top w:val="single" w:sz="8" w:space="0" w:color="auto"/>
              <w:left w:val="nil"/>
              <w:bottom w:val="single" w:sz="8" w:space="0" w:color="auto"/>
              <w:right w:val="single" w:sz="4" w:space="0" w:color="auto"/>
            </w:tcBorders>
            <w:shd w:val="clear" w:color="auto" w:fill="D9D9D9"/>
            <w:noWrap/>
            <w:vAlign w:val="center"/>
            <w:hideMark/>
          </w:tcPr>
          <w:p w14:paraId="02B6E62C"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426" w:type="pct"/>
            <w:tcBorders>
              <w:top w:val="single" w:sz="8" w:space="0" w:color="auto"/>
              <w:left w:val="nil"/>
              <w:bottom w:val="single" w:sz="8" w:space="0" w:color="auto"/>
              <w:right w:val="nil"/>
            </w:tcBorders>
            <w:shd w:val="clear" w:color="auto" w:fill="D9D9D9"/>
            <w:noWrap/>
            <w:vAlign w:val="center"/>
            <w:hideMark/>
          </w:tcPr>
          <w:p w14:paraId="3DA8E90C"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321" w:type="pct"/>
            <w:tcBorders>
              <w:top w:val="single" w:sz="8" w:space="0" w:color="auto"/>
              <w:left w:val="single" w:sz="4" w:space="0" w:color="auto"/>
              <w:bottom w:val="single" w:sz="8" w:space="0" w:color="auto"/>
              <w:right w:val="nil"/>
            </w:tcBorders>
            <w:shd w:val="clear" w:color="auto" w:fill="D9D9D9"/>
            <w:noWrap/>
            <w:vAlign w:val="center"/>
            <w:hideMark/>
          </w:tcPr>
          <w:p w14:paraId="14013AA5"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369" w:type="pct"/>
            <w:tcBorders>
              <w:top w:val="single" w:sz="8" w:space="0" w:color="auto"/>
              <w:left w:val="single" w:sz="4" w:space="0" w:color="auto"/>
              <w:bottom w:val="single" w:sz="8" w:space="0" w:color="auto"/>
              <w:right w:val="single" w:sz="8" w:space="0" w:color="auto"/>
            </w:tcBorders>
            <w:shd w:val="clear" w:color="auto" w:fill="D9D9D9"/>
            <w:noWrap/>
            <w:vAlign w:val="center"/>
            <w:hideMark/>
          </w:tcPr>
          <w:p w14:paraId="0E3388C9"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1.974</w:t>
            </w:r>
          </w:p>
        </w:tc>
      </w:tr>
      <w:tr w:rsidR="00B934E7" w:rsidRPr="00B934E7" w14:paraId="77D4E915" w14:textId="77777777" w:rsidTr="00B934E7">
        <w:trPr>
          <w:trHeight w:val="290"/>
        </w:trPr>
        <w:tc>
          <w:tcPr>
            <w:tcW w:w="214" w:type="pct"/>
            <w:tcBorders>
              <w:top w:val="single" w:sz="8" w:space="0" w:color="auto"/>
              <w:left w:val="single" w:sz="8" w:space="0" w:color="auto"/>
              <w:bottom w:val="single" w:sz="8" w:space="0" w:color="auto"/>
              <w:right w:val="single" w:sz="8" w:space="0" w:color="auto"/>
            </w:tcBorders>
            <w:shd w:val="clear" w:color="auto" w:fill="808080"/>
            <w:noWrap/>
            <w:vAlign w:val="center"/>
            <w:hideMark/>
          </w:tcPr>
          <w:p w14:paraId="018C4B39" w14:textId="77777777" w:rsidR="00B934E7" w:rsidRPr="00B934E7" w:rsidRDefault="00B934E7" w:rsidP="00B934E7">
            <w:pPr>
              <w:jc w:val="center"/>
              <w:rPr>
                <w:rFonts w:ascii="Arial Narrow" w:eastAsia="Times New Roman" w:hAnsi="Arial Narrow" w:cs="Calibri"/>
                <w:color w:val="000000"/>
                <w:sz w:val="16"/>
                <w:szCs w:val="16"/>
              </w:rPr>
            </w:pPr>
          </w:p>
        </w:tc>
        <w:tc>
          <w:tcPr>
            <w:tcW w:w="2455" w:type="pct"/>
            <w:gridSpan w:val="6"/>
            <w:tcBorders>
              <w:top w:val="single" w:sz="8" w:space="0" w:color="auto"/>
              <w:left w:val="nil"/>
              <w:bottom w:val="single" w:sz="8" w:space="0" w:color="auto"/>
              <w:right w:val="single" w:sz="8" w:space="0" w:color="auto"/>
            </w:tcBorders>
            <w:shd w:val="clear" w:color="auto" w:fill="808080"/>
            <w:vAlign w:val="center"/>
            <w:hideMark/>
          </w:tcPr>
          <w:p w14:paraId="7E2E7A08" w14:textId="77777777" w:rsidR="00B934E7" w:rsidRPr="00B934E7" w:rsidRDefault="00B934E7" w:rsidP="00B934E7">
            <w:pPr>
              <w:ind w:right="101"/>
              <w:jc w:val="right"/>
              <w:rPr>
                <w:rFonts w:ascii="Arial Narrow" w:eastAsia="Times New Roman" w:hAnsi="Arial Narrow" w:cs="Calibri"/>
                <w:color w:val="000000"/>
                <w:sz w:val="16"/>
                <w:szCs w:val="16"/>
              </w:rPr>
            </w:pPr>
          </w:p>
        </w:tc>
        <w:tc>
          <w:tcPr>
            <w:tcW w:w="214" w:type="pct"/>
            <w:tcBorders>
              <w:top w:val="single" w:sz="8" w:space="0" w:color="auto"/>
              <w:left w:val="single" w:sz="8" w:space="0" w:color="auto"/>
              <w:bottom w:val="single" w:sz="8" w:space="0" w:color="auto"/>
              <w:right w:val="single" w:sz="8" w:space="0" w:color="auto"/>
            </w:tcBorders>
            <w:shd w:val="clear" w:color="auto" w:fill="808080"/>
            <w:noWrap/>
            <w:vAlign w:val="center"/>
            <w:hideMark/>
          </w:tcPr>
          <w:p w14:paraId="580C8B2E" w14:textId="77777777" w:rsidR="00B934E7" w:rsidRPr="00B934E7" w:rsidRDefault="00B934E7" w:rsidP="00B934E7">
            <w:pPr>
              <w:jc w:val="center"/>
              <w:rPr>
                <w:rFonts w:ascii="Arial Narrow" w:eastAsia="Times New Roman" w:hAnsi="Arial Narrow" w:cs="Calibri"/>
                <w:color w:val="000000"/>
                <w:sz w:val="16"/>
                <w:szCs w:val="16"/>
              </w:rPr>
            </w:pPr>
          </w:p>
        </w:tc>
        <w:tc>
          <w:tcPr>
            <w:tcW w:w="2117" w:type="pct"/>
            <w:gridSpan w:val="5"/>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744435E8" w14:textId="77777777" w:rsidR="00B934E7" w:rsidRPr="00B934E7" w:rsidRDefault="00B934E7" w:rsidP="00B934E7">
            <w:pPr>
              <w:ind w:right="101"/>
              <w:rPr>
                <w:rFonts w:ascii="Arial Narrow" w:eastAsia="Times New Roman" w:hAnsi="Arial Narrow" w:cs="Calibri"/>
                <w:color w:val="000000"/>
                <w:sz w:val="16"/>
                <w:szCs w:val="16"/>
              </w:rPr>
            </w:pPr>
            <w:r w:rsidRPr="00B934E7">
              <w:rPr>
                <w:rFonts w:ascii="Arial Narrow" w:eastAsia="Times New Roman" w:hAnsi="Arial Narrow" w:cs="Calibri"/>
                <w:b/>
                <w:bCs/>
                <w:i/>
                <w:iCs/>
                <w:color w:val="000000"/>
                <w:sz w:val="16"/>
                <w:szCs w:val="16"/>
              </w:rPr>
              <w:t>Part I. Site Identification Information Chemical Report Level</w:t>
            </w:r>
          </w:p>
        </w:tc>
      </w:tr>
      <w:tr w:rsidR="00B934E7" w:rsidRPr="00B934E7" w14:paraId="38A4E29E" w14:textId="77777777" w:rsidTr="00B934E7">
        <w:trPr>
          <w:trHeight w:val="290"/>
        </w:trPr>
        <w:tc>
          <w:tcPr>
            <w:tcW w:w="214" w:type="pct"/>
            <w:tcBorders>
              <w:top w:val="single" w:sz="8" w:space="0" w:color="auto"/>
              <w:left w:val="single" w:sz="8" w:space="0" w:color="auto"/>
              <w:bottom w:val="single" w:sz="8" w:space="0" w:color="auto"/>
              <w:right w:val="nil"/>
            </w:tcBorders>
            <w:shd w:val="clear" w:color="auto" w:fill="808080"/>
            <w:noWrap/>
            <w:vAlign w:val="center"/>
            <w:hideMark/>
          </w:tcPr>
          <w:p w14:paraId="3DFEC8BC" w14:textId="77777777" w:rsidR="00B934E7" w:rsidRPr="00B934E7" w:rsidRDefault="00B934E7" w:rsidP="00B934E7">
            <w:pPr>
              <w:ind w:firstLineChars="100" w:firstLine="160"/>
              <w:jc w:val="center"/>
              <w:rPr>
                <w:rFonts w:ascii="Arial Narrow" w:eastAsia="Times New Roman" w:hAnsi="Arial Narrow" w:cs="Calibri"/>
                <w:color w:val="000000"/>
                <w:sz w:val="16"/>
                <w:szCs w:val="16"/>
              </w:rPr>
            </w:pPr>
          </w:p>
        </w:tc>
        <w:tc>
          <w:tcPr>
            <w:tcW w:w="640" w:type="pct"/>
            <w:tcBorders>
              <w:top w:val="single" w:sz="8" w:space="0" w:color="auto"/>
              <w:left w:val="nil"/>
              <w:bottom w:val="single" w:sz="8" w:space="0" w:color="auto"/>
              <w:right w:val="nil"/>
            </w:tcBorders>
            <w:shd w:val="clear" w:color="auto" w:fill="808080"/>
            <w:noWrap/>
            <w:vAlign w:val="center"/>
            <w:hideMark/>
          </w:tcPr>
          <w:p w14:paraId="7267A2BE" w14:textId="77777777" w:rsidR="00B934E7" w:rsidRPr="00B934E7" w:rsidRDefault="00B934E7" w:rsidP="00B934E7">
            <w:pPr>
              <w:rPr>
                <w:rFonts w:ascii="Arial Narrow" w:eastAsia="Times New Roman" w:hAnsi="Arial Narrow" w:cs="Times New Roman"/>
                <w:sz w:val="16"/>
                <w:szCs w:val="16"/>
              </w:rPr>
            </w:pPr>
          </w:p>
        </w:tc>
        <w:tc>
          <w:tcPr>
            <w:tcW w:w="427" w:type="pct"/>
            <w:tcBorders>
              <w:top w:val="single" w:sz="8" w:space="0" w:color="auto"/>
              <w:left w:val="nil"/>
              <w:bottom w:val="single" w:sz="8" w:space="0" w:color="auto"/>
              <w:right w:val="nil"/>
            </w:tcBorders>
            <w:shd w:val="clear" w:color="auto" w:fill="808080"/>
            <w:noWrap/>
            <w:vAlign w:val="center"/>
            <w:hideMark/>
          </w:tcPr>
          <w:p w14:paraId="0CDB5A0C" w14:textId="77777777" w:rsidR="00B934E7" w:rsidRPr="00B934E7" w:rsidRDefault="00B934E7" w:rsidP="00B934E7">
            <w:pPr>
              <w:rPr>
                <w:rFonts w:ascii="Arial Narrow" w:eastAsia="Times New Roman" w:hAnsi="Arial Narrow" w:cs="Times New Roman"/>
                <w:sz w:val="16"/>
                <w:szCs w:val="16"/>
              </w:rPr>
            </w:pPr>
          </w:p>
        </w:tc>
        <w:tc>
          <w:tcPr>
            <w:tcW w:w="391" w:type="pct"/>
            <w:tcBorders>
              <w:top w:val="single" w:sz="8" w:space="0" w:color="auto"/>
              <w:left w:val="nil"/>
              <w:bottom w:val="single" w:sz="8" w:space="0" w:color="auto"/>
              <w:right w:val="nil"/>
            </w:tcBorders>
            <w:shd w:val="clear" w:color="auto" w:fill="808080"/>
            <w:noWrap/>
            <w:vAlign w:val="center"/>
            <w:hideMark/>
          </w:tcPr>
          <w:p w14:paraId="561A3E1F" w14:textId="77777777" w:rsidR="00B934E7" w:rsidRPr="00B934E7" w:rsidRDefault="00B934E7" w:rsidP="00B934E7">
            <w:pPr>
              <w:ind w:right="101"/>
              <w:jc w:val="right"/>
              <w:rPr>
                <w:rFonts w:ascii="Arial Narrow" w:eastAsia="Times New Roman" w:hAnsi="Arial Narrow" w:cs="Times New Roman"/>
                <w:sz w:val="16"/>
                <w:szCs w:val="16"/>
              </w:rPr>
            </w:pPr>
          </w:p>
        </w:tc>
        <w:tc>
          <w:tcPr>
            <w:tcW w:w="356" w:type="pct"/>
            <w:tcBorders>
              <w:top w:val="single" w:sz="8" w:space="0" w:color="auto"/>
              <w:left w:val="nil"/>
              <w:bottom w:val="single" w:sz="8" w:space="0" w:color="auto"/>
              <w:right w:val="nil"/>
            </w:tcBorders>
            <w:shd w:val="clear" w:color="auto" w:fill="808080"/>
            <w:noWrap/>
            <w:vAlign w:val="center"/>
            <w:hideMark/>
          </w:tcPr>
          <w:p w14:paraId="47CE1B34" w14:textId="77777777" w:rsidR="00B934E7" w:rsidRPr="00B934E7" w:rsidRDefault="00B934E7" w:rsidP="00B934E7">
            <w:pPr>
              <w:ind w:right="101"/>
              <w:jc w:val="right"/>
              <w:rPr>
                <w:rFonts w:ascii="Arial Narrow" w:eastAsia="Times New Roman" w:hAnsi="Arial Narrow" w:cs="Times New Roman"/>
                <w:sz w:val="16"/>
                <w:szCs w:val="16"/>
              </w:rPr>
            </w:pPr>
          </w:p>
        </w:tc>
        <w:tc>
          <w:tcPr>
            <w:tcW w:w="285" w:type="pct"/>
            <w:tcBorders>
              <w:top w:val="single" w:sz="8" w:space="0" w:color="auto"/>
              <w:left w:val="nil"/>
              <w:bottom w:val="single" w:sz="8" w:space="0" w:color="auto"/>
              <w:right w:val="nil"/>
            </w:tcBorders>
            <w:shd w:val="clear" w:color="auto" w:fill="808080"/>
            <w:noWrap/>
            <w:vAlign w:val="center"/>
            <w:hideMark/>
          </w:tcPr>
          <w:p w14:paraId="48F681F7" w14:textId="77777777" w:rsidR="00B934E7" w:rsidRPr="00B934E7" w:rsidRDefault="00B934E7" w:rsidP="00B934E7">
            <w:pPr>
              <w:ind w:right="101"/>
              <w:jc w:val="right"/>
              <w:rPr>
                <w:rFonts w:ascii="Arial Narrow" w:eastAsia="Times New Roman" w:hAnsi="Arial Narrow" w:cs="Times New Roman"/>
                <w:sz w:val="16"/>
                <w:szCs w:val="16"/>
              </w:rPr>
            </w:pPr>
          </w:p>
        </w:tc>
        <w:tc>
          <w:tcPr>
            <w:tcW w:w="356" w:type="pct"/>
            <w:tcBorders>
              <w:top w:val="single" w:sz="8" w:space="0" w:color="auto"/>
              <w:left w:val="single" w:sz="4" w:space="0" w:color="auto"/>
              <w:bottom w:val="single" w:sz="8" w:space="0" w:color="auto"/>
              <w:right w:val="single" w:sz="8" w:space="0" w:color="auto"/>
            </w:tcBorders>
            <w:shd w:val="clear" w:color="auto" w:fill="808080"/>
            <w:noWrap/>
            <w:vAlign w:val="center"/>
            <w:hideMark/>
          </w:tcPr>
          <w:p w14:paraId="33E4C609"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 </w:t>
            </w:r>
          </w:p>
        </w:tc>
        <w:tc>
          <w:tcPr>
            <w:tcW w:w="21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8E10EC"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7</w:t>
            </w:r>
            <w:r w:rsidR="000C25C0">
              <w:rPr>
                <w:rFonts w:ascii="Arial Narrow" w:eastAsia="Times New Roman" w:hAnsi="Arial Narrow" w:cs="Calibri"/>
                <w:color w:val="000000"/>
                <w:sz w:val="16"/>
                <w:szCs w:val="16"/>
                <w:vertAlign w:val="superscript"/>
              </w:rPr>
              <w:t>2</w:t>
            </w:r>
          </w:p>
        </w:tc>
        <w:tc>
          <w:tcPr>
            <w:tcW w:w="644" w:type="pct"/>
            <w:tcBorders>
              <w:top w:val="single" w:sz="8" w:space="0" w:color="auto"/>
              <w:left w:val="nil"/>
              <w:bottom w:val="single" w:sz="8" w:space="0" w:color="auto"/>
              <w:right w:val="single" w:sz="4" w:space="0" w:color="auto"/>
            </w:tcBorders>
            <w:shd w:val="clear" w:color="auto" w:fill="auto"/>
            <w:vAlign w:val="center"/>
            <w:hideMark/>
          </w:tcPr>
          <w:p w14:paraId="672C1CC7"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Technical Contact</w:t>
            </w:r>
            <w:r w:rsidR="00770498">
              <w:rPr>
                <w:rFonts w:ascii="Arial Narrow" w:eastAsia="Times New Roman" w:hAnsi="Arial Narrow" w:cs="Calibri"/>
                <w:color w:val="000000"/>
                <w:sz w:val="16"/>
                <w:szCs w:val="16"/>
              </w:rPr>
              <w:t xml:space="preserve"> </w:t>
            </w:r>
            <w:r w:rsidR="00770498" w:rsidRPr="00561A16">
              <w:rPr>
                <w:rFonts w:ascii="Arial Narrow" w:eastAsia="Times New Roman" w:hAnsi="Arial Narrow" w:cs="Calibri"/>
                <w:color w:val="000000"/>
                <w:sz w:val="16"/>
                <w:szCs w:val="16"/>
              </w:rPr>
              <w:t>Information (Name, Phone, Mailing Address, Email, Country)</w:t>
            </w:r>
          </w:p>
        </w:tc>
        <w:tc>
          <w:tcPr>
            <w:tcW w:w="357" w:type="pct"/>
            <w:tcBorders>
              <w:top w:val="single" w:sz="8" w:space="0" w:color="auto"/>
              <w:left w:val="single" w:sz="4" w:space="0" w:color="auto"/>
              <w:bottom w:val="single" w:sz="8" w:space="0" w:color="auto"/>
              <w:right w:val="nil"/>
            </w:tcBorders>
            <w:shd w:val="clear" w:color="auto" w:fill="auto"/>
            <w:noWrap/>
            <w:vAlign w:val="center"/>
            <w:hideMark/>
          </w:tcPr>
          <w:p w14:paraId="2258DF7A"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0.009</w:t>
            </w:r>
          </w:p>
        </w:tc>
        <w:tc>
          <w:tcPr>
            <w:tcW w:w="426" w:type="pct"/>
            <w:tcBorders>
              <w:top w:val="single" w:sz="8" w:space="0" w:color="auto"/>
              <w:left w:val="single" w:sz="4" w:space="0" w:color="auto"/>
              <w:bottom w:val="single" w:sz="8" w:space="0" w:color="auto"/>
              <w:right w:val="nil"/>
            </w:tcBorders>
            <w:shd w:val="clear" w:color="auto" w:fill="auto"/>
            <w:noWrap/>
            <w:vAlign w:val="center"/>
            <w:hideMark/>
          </w:tcPr>
          <w:p w14:paraId="46821559"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0.017</w:t>
            </w:r>
          </w:p>
        </w:tc>
        <w:tc>
          <w:tcPr>
            <w:tcW w:w="321" w:type="pct"/>
            <w:tcBorders>
              <w:top w:val="single" w:sz="8" w:space="0" w:color="auto"/>
              <w:left w:val="single" w:sz="4" w:space="0" w:color="auto"/>
              <w:bottom w:val="single" w:sz="8" w:space="0" w:color="auto"/>
              <w:right w:val="nil"/>
            </w:tcBorders>
            <w:shd w:val="clear" w:color="auto" w:fill="auto"/>
            <w:noWrap/>
            <w:vAlign w:val="center"/>
            <w:hideMark/>
          </w:tcPr>
          <w:p w14:paraId="0779E2DC"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A00B82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0.026</w:t>
            </w:r>
          </w:p>
        </w:tc>
      </w:tr>
      <w:tr w:rsidR="00B934E7" w:rsidRPr="00B934E7" w14:paraId="62EE53DE" w14:textId="77777777" w:rsidTr="00B934E7">
        <w:trPr>
          <w:trHeight w:val="290"/>
        </w:trPr>
        <w:tc>
          <w:tcPr>
            <w:tcW w:w="214" w:type="pct"/>
            <w:tcBorders>
              <w:top w:val="single" w:sz="8" w:space="0" w:color="auto"/>
              <w:left w:val="single" w:sz="8" w:space="0" w:color="auto"/>
              <w:bottom w:val="single" w:sz="6" w:space="0" w:color="auto"/>
              <w:right w:val="single" w:sz="8" w:space="0" w:color="auto"/>
            </w:tcBorders>
            <w:shd w:val="clear" w:color="auto" w:fill="D9D9D9"/>
            <w:noWrap/>
            <w:vAlign w:val="center"/>
            <w:hideMark/>
          </w:tcPr>
          <w:p w14:paraId="2896A150" w14:textId="77777777" w:rsidR="00B934E7" w:rsidRPr="00B934E7" w:rsidRDefault="00B934E7" w:rsidP="00B934E7">
            <w:pPr>
              <w:jc w:val="center"/>
              <w:rPr>
                <w:rFonts w:ascii="Arial Narrow" w:eastAsia="Times New Roman" w:hAnsi="Arial Narrow" w:cs="Calibri"/>
                <w:color w:val="000000"/>
                <w:sz w:val="16"/>
                <w:szCs w:val="16"/>
              </w:rPr>
            </w:pPr>
          </w:p>
        </w:tc>
        <w:tc>
          <w:tcPr>
            <w:tcW w:w="2455" w:type="pct"/>
            <w:gridSpan w:val="6"/>
            <w:tcBorders>
              <w:top w:val="single" w:sz="8" w:space="0" w:color="auto"/>
              <w:left w:val="nil"/>
              <w:bottom w:val="single" w:sz="6" w:space="0" w:color="auto"/>
              <w:right w:val="single" w:sz="8" w:space="0" w:color="auto"/>
            </w:tcBorders>
            <w:shd w:val="clear" w:color="auto" w:fill="D9D9D9"/>
            <w:vAlign w:val="center"/>
            <w:hideMark/>
          </w:tcPr>
          <w:p w14:paraId="35B752B4"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b/>
                <w:bCs/>
                <w:i/>
                <w:iCs/>
                <w:color w:val="000000"/>
                <w:sz w:val="16"/>
                <w:szCs w:val="16"/>
              </w:rPr>
              <w:t xml:space="preserve">Part II. Manufacturing Information </w:t>
            </w:r>
          </w:p>
        </w:tc>
        <w:tc>
          <w:tcPr>
            <w:tcW w:w="214" w:type="pct"/>
            <w:tcBorders>
              <w:top w:val="single" w:sz="8" w:space="0" w:color="auto"/>
              <w:left w:val="single" w:sz="8" w:space="0" w:color="auto"/>
              <w:bottom w:val="single" w:sz="6" w:space="0" w:color="auto"/>
              <w:right w:val="single" w:sz="8" w:space="0" w:color="auto"/>
            </w:tcBorders>
            <w:shd w:val="clear" w:color="auto" w:fill="D9D9D9"/>
            <w:noWrap/>
            <w:vAlign w:val="center"/>
            <w:hideMark/>
          </w:tcPr>
          <w:p w14:paraId="54EC98A8" w14:textId="77777777" w:rsidR="00B934E7" w:rsidRPr="00B934E7" w:rsidRDefault="00B934E7" w:rsidP="00B934E7">
            <w:pPr>
              <w:jc w:val="center"/>
              <w:rPr>
                <w:rFonts w:ascii="Arial Narrow" w:eastAsia="Times New Roman" w:hAnsi="Arial Narrow" w:cs="Calibri"/>
                <w:color w:val="000000"/>
                <w:sz w:val="16"/>
                <w:szCs w:val="16"/>
              </w:rPr>
            </w:pPr>
          </w:p>
        </w:tc>
        <w:tc>
          <w:tcPr>
            <w:tcW w:w="2117" w:type="pct"/>
            <w:gridSpan w:val="5"/>
            <w:tcBorders>
              <w:top w:val="single" w:sz="8" w:space="0" w:color="auto"/>
              <w:left w:val="nil"/>
              <w:bottom w:val="single" w:sz="6" w:space="0" w:color="auto"/>
              <w:right w:val="single" w:sz="8" w:space="0" w:color="auto"/>
            </w:tcBorders>
            <w:shd w:val="clear" w:color="auto" w:fill="D9D9D9"/>
            <w:vAlign w:val="center"/>
            <w:hideMark/>
          </w:tcPr>
          <w:p w14:paraId="13A959FF"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b/>
                <w:bCs/>
                <w:i/>
                <w:iCs/>
                <w:color w:val="000000"/>
                <w:sz w:val="16"/>
                <w:szCs w:val="16"/>
              </w:rPr>
              <w:t xml:space="preserve">Part II. Manufacturing Information </w:t>
            </w:r>
          </w:p>
        </w:tc>
      </w:tr>
      <w:tr w:rsidR="00B934E7" w:rsidRPr="00B934E7" w14:paraId="75A84AC4" w14:textId="77777777" w:rsidTr="00B934E7">
        <w:tc>
          <w:tcPr>
            <w:tcW w:w="214" w:type="pct"/>
            <w:tcBorders>
              <w:top w:val="single" w:sz="6" w:space="0" w:color="auto"/>
              <w:left w:val="single" w:sz="6" w:space="0" w:color="auto"/>
              <w:bottom w:val="single" w:sz="6" w:space="0" w:color="auto"/>
              <w:right w:val="single" w:sz="8" w:space="0" w:color="auto"/>
            </w:tcBorders>
            <w:shd w:val="clear" w:color="auto" w:fill="auto"/>
            <w:noWrap/>
            <w:vAlign w:val="center"/>
          </w:tcPr>
          <w:p w14:paraId="6C144962" w14:textId="77777777" w:rsidR="00B934E7" w:rsidRPr="00B934E7" w:rsidRDefault="00B934E7" w:rsidP="00C57C9A">
            <w:pPr>
              <w:jc w:val="center"/>
              <w:rPr>
                <w:rFonts w:ascii="Arial Narrow" w:eastAsia="Times New Roman" w:hAnsi="Arial Narrow" w:cs="Calibri"/>
                <w:sz w:val="16"/>
                <w:szCs w:val="16"/>
              </w:rPr>
            </w:pPr>
            <w:r w:rsidRPr="00B934E7">
              <w:rPr>
                <w:rFonts w:ascii="Arial Narrow" w:eastAsia="Times New Roman" w:hAnsi="Arial Narrow" w:cs="Calibri"/>
                <w:sz w:val="16"/>
                <w:szCs w:val="16"/>
              </w:rPr>
              <w:t>8</w:t>
            </w:r>
            <w:r w:rsidR="00C57C9A">
              <w:rPr>
                <w:rFonts w:ascii="Arial Narrow" w:eastAsia="Times New Roman" w:hAnsi="Arial Narrow" w:cs="Calibri"/>
                <w:sz w:val="16"/>
                <w:szCs w:val="16"/>
                <w:vertAlign w:val="superscript"/>
              </w:rPr>
              <w:t>4</w:t>
            </w:r>
          </w:p>
        </w:tc>
        <w:tc>
          <w:tcPr>
            <w:tcW w:w="640" w:type="pct"/>
            <w:tcBorders>
              <w:top w:val="single" w:sz="6" w:space="0" w:color="auto"/>
              <w:left w:val="nil"/>
              <w:bottom w:val="single" w:sz="6" w:space="0" w:color="auto"/>
              <w:right w:val="single" w:sz="4" w:space="0" w:color="auto"/>
            </w:tcBorders>
            <w:shd w:val="clear" w:color="auto" w:fill="auto"/>
            <w:vAlign w:val="center"/>
          </w:tcPr>
          <w:p w14:paraId="6150175B" w14:textId="77777777" w:rsidR="00B934E7" w:rsidRPr="00B934E7" w:rsidRDefault="00B934E7" w:rsidP="00B934E7">
            <w:pPr>
              <w:rPr>
                <w:rFonts w:ascii="Arial Narrow" w:eastAsia="Times New Roman" w:hAnsi="Arial Narrow" w:cs="Calibri"/>
                <w:sz w:val="16"/>
                <w:szCs w:val="16"/>
              </w:rPr>
            </w:pPr>
            <w:r w:rsidRPr="00B934E7">
              <w:rPr>
                <w:rFonts w:ascii="Arial Narrow" w:eastAsia="Times New Roman" w:hAnsi="Arial Narrow" w:cs="Calibri"/>
                <w:sz w:val="16"/>
                <w:szCs w:val="16"/>
              </w:rPr>
              <w:t>Chemical Substance Identification, Upfront CBI Substantiation</w:t>
            </w:r>
          </w:p>
        </w:tc>
        <w:tc>
          <w:tcPr>
            <w:tcW w:w="427" w:type="pct"/>
            <w:tcBorders>
              <w:top w:val="single" w:sz="6" w:space="0" w:color="auto"/>
              <w:left w:val="nil"/>
              <w:bottom w:val="single" w:sz="6" w:space="0" w:color="auto"/>
              <w:right w:val="single" w:sz="8" w:space="0" w:color="auto"/>
            </w:tcBorders>
            <w:shd w:val="clear" w:color="auto" w:fill="auto"/>
            <w:vAlign w:val="center"/>
          </w:tcPr>
          <w:p w14:paraId="589CE77B" w14:textId="77777777" w:rsidR="00B934E7" w:rsidRPr="00B934E7" w:rsidRDefault="00B934E7" w:rsidP="00B934E7">
            <w:pPr>
              <w:jc w:val="center"/>
              <w:rPr>
                <w:rFonts w:ascii="Arial Narrow" w:eastAsia="Times New Roman" w:hAnsi="Arial Narrow" w:cs="Calibri"/>
                <w:sz w:val="16"/>
                <w:szCs w:val="16"/>
              </w:rPr>
            </w:pPr>
            <w:r w:rsidRPr="00B934E7">
              <w:rPr>
                <w:rFonts w:ascii="Arial Narrow" w:eastAsia="Times New Roman" w:hAnsi="Arial Narrow" w:cs="Calibri"/>
                <w:sz w:val="16"/>
                <w:szCs w:val="16"/>
              </w:rPr>
              <w:t>Per chemical</w:t>
            </w:r>
          </w:p>
        </w:tc>
        <w:tc>
          <w:tcPr>
            <w:tcW w:w="391" w:type="pct"/>
            <w:tcBorders>
              <w:top w:val="single" w:sz="6" w:space="0" w:color="auto"/>
              <w:left w:val="single" w:sz="4" w:space="0" w:color="auto"/>
              <w:bottom w:val="single" w:sz="6" w:space="0" w:color="auto"/>
              <w:right w:val="single" w:sz="4" w:space="0" w:color="auto"/>
            </w:tcBorders>
            <w:shd w:val="clear" w:color="auto" w:fill="auto"/>
            <w:noWrap/>
            <w:vAlign w:val="center"/>
          </w:tcPr>
          <w:p w14:paraId="16694954"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0.770</w:t>
            </w:r>
          </w:p>
        </w:tc>
        <w:tc>
          <w:tcPr>
            <w:tcW w:w="356" w:type="pct"/>
            <w:tcBorders>
              <w:top w:val="single" w:sz="6" w:space="0" w:color="auto"/>
              <w:left w:val="nil"/>
              <w:bottom w:val="single" w:sz="6" w:space="0" w:color="auto"/>
              <w:right w:val="single" w:sz="4" w:space="0" w:color="auto"/>
            </w:tcBorders>
            <w:shd w:val="clear" w:color="auto" w:fill="auto"/>
            <w:noWrap/>
            <w:vAlign w:val="center"/>
          </w:tcPr>
          <w:p w14:paraId="602EE7B7"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1.450</w:t>
            </w:r>
          </w:p>
        </w:tc>
        <w:tc>
          <w:tcPr>
            <w:tcW w:w="285" w:type="pct"/>
            <w:tcBorders>
              <w:top w:val="single" w:sz="6" w:space="0" w:color="auto"/>
              <w:left w:val="nil"/>
              <w:bottom w:val="single" w:sz="6" w:space="0" w:color="auto"/>
              <w:right w:val="single" w:sz="4" w:space="0" w:color="auto"/>
            </w:tcBorders>
            <w:shd w:val="clear" w:color="auto" w:fill="auto"/>
            <w:noWrap/>
            <w:vAlign w:val="center"/>
          </w:tcPr>
          <w:p w14:paraId="027C4D46"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0.000</w:t>
            </w:r>
          </w:p>
        </w:tc>
        <w:tc>
          <w:tcPr>
            <w:tcW w:w="356" w:type="pct"/>
            <w:tcBorders>
              <w:top w:val="single" w:sz="6" w:space="0" w:color="auto"/>
              <w:left w:val="nil"/>
              <w:bottom w:val="single" w:sz="6" w:space="0" w:color="auto"/>
              <w:right w:val="single" w:sz="8" w:space="0" w:color="auto"/>
            </w:tcBorders>
            <w:shd w:val="clear" w:color="auto" w:fill="auto"/>
            <w:noWrap/>
            <w:vAlign w:val="center"/>
          </w:tcPr>
          <w:p w14:paraId="75AD1838"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2.220</w:t>
            </w:r>
          </w:p>
        </w:tc>
        <w:tc>
          <w:tcPr>
            <w:tcW w:w="214" w:type="pct"/>
            <w:tcBorders>
              <w:top w:val="single" w:sz="6" w:space="0" w:color="auto"/>
              <w:left w:val="single" w:sz="8" w:space="0" w:color="auto"/>
              <w:bottom w:val="single" w:sz="6" w:space="0" w:color="auto"/>
              <w:right w:val="single" w:sz="8" w:space="0" w:color="auto"/>
            </w:tcBorders>
            <w:shd w:val="clear" w:color="auto" w:fill="auto"/>
            <w:noWrap/>
            <w:vAlign w:val="center"/>
          </w:tcPr>
          <w:p w14:paraId="0C87197B" w14:textId="77777777" w:rsidR="00B934E7" w:rsidRPr="00B934E7" w:rsidRDefault="00B934E7" w:rsidP="00C57C9A">
            <w:pPr>
              <w:jc w:val="center"/>
              <w:rPr>
                <w:rFonts w:ascii="Arial Narrow" w:eastAsia="Times New Roman" w:hAnsi="Arial Narrow" w:cs="Calibri"/>
                <w:sz w:val="16"/>
                <w:szCs w:val="16"/>
              </w:rPr>
            </w:pPr>
            <w:r w:rsidRPr="00B934E7">
              <w:rPr>
                <w:rFonts w:ascii="Arial Narrow" w:eastAsia="Times New Roman" w:hAnsi="Arial Narrow" w:cs="Calibri"/>
                <w:sz w:val="16"/>
                <w:szCs w:val="16"/>
              </w:rPr>
              <w:t>8</w:t>
            </w:r>
            <w:r w:rsidR="00C57C9A">
              <w:rPr>
                <w:rFonts w:ascii="Arial Narrow" w:eastAsia="Times New Roman" w:hAnsi="Arial Narrow" w:cs="Calibri"/>
                <w:sz w:val="16"/>
                <w:szCs w:val="16"/>
                <w:vertAlign w:val="superscript"/>
              </w:rPr>
              <w:t>4</w:t>
            </w:r>
          </w:p>
        </w:tc>
        <w:tc>
          <w:tcPr>
            <w:tcW w:w="644" w:type="pct"/>
            <w:tcBorders>
              <w:top w:val="single" w:sz="6" w:space="0" w:color="auto"/>
              <w:left w:val="nil"/>
              <w:bottom w:val="single" w:sz="6" w:space="0" w:color="auto"/>
              <w:right w:val="single" w:sz="4" w:space="0" w:color="auto"/>
            </w:tcBorders>
            <w:shd w:val="clear" w:color="auto" w:fill="auto"/>
            <w:vAlign w:val="center"/>
          </w:tcPr>
          <w:p w14:paraId="35E934EA" w14:textId="77777777" w:rsidR="00B934E7" w:rsidRPr="00B934E7" w:rsidRDefault="00B934E7" w:rsidP="00B934E7">
            <w:pPr>
              <w:rPr>
                <w:rFonts w:ascii="Arial Narrow" w:eastAsia="Times New Roman" w:hAnsi="Arial Narrow" w:cs="Calibri"/>
                <w:sz w:val="16"/>
                <w:szCs w:val="16"/>
              </w:rPr>
            </w:pPr>
            <w:r w:rsidRPr="00B934E7">
              <w:rPr>
                <w:rFonts w:ascii="Arial Narrow" w:eastAsia="Times New Roman" w:hAnsi="Arial Narrow" w:cs="Calibri"/>
                <w:sz w:val="16"/>
                <w:szCs w:val="16"/>
              </w:rPr>
              <w:t>Chemical Substance Identification</w:t>
            </w:r>
          </w:p>
        </w:tc>
        <w:tc>
          <w:tcPr>
            <w:tcW w:w="357" w:type="pct"/>
            <w:tcBorders>
              <w:top w:val="single" w:sz="6" w:space="0" w:color="auto"/>
              <w:left w:val="single" w:sz="4" w:space="0" w:color="auto"/>
              <w:bottom w:val="single" w:sz="6" w:space="0" w:color="auto"/>
              <w:right w:val="single" w:sz="4" w:space="0" w:color="auto"/>
            </w:tcBorders>
            <w:shd w:val="clear" w:color="000000" w:fill="FFFFFF"/>
            <w:noWrap/>
            <w:vAlign w:val="center"/>
          </w:tcPr>
          <w:p w14:paraId="4E9FB572"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0.000</w:t>
            </w:r>
          </w:p>
        </w:tc>
        <w:tc>
          <w:tcPr>
            <w:tcW w:w="426" w:type="pct"/>
            <w:tcBorders>
              <w:top w:val="single" w:sz="6" w:space="0" w:color="auto"/>
              <w:left w:val="nil"/>
              <w:bottom w:val="single" w:sz="6" w:space="0" w:color="auto"/>
              <w:right w:val="single" w:sz="4" w:space="0" w:color="auto"/>
            </w:tcBorders>
            <w:shd w:val="clear" w:color="000000" w:fill="FFFFFF"/>
            <w:noWrap/>
            <w:vAlign w:val="center"/>
          </w:tcPr>
          <w:p w14:paraId="6000B858"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0.083</w:t>
            </w:r>
          </w:p>
        </w:tc>
        <w:tc>
          <w:tcPr>
            <w:tcW w:w="321" w:type="pct"/>
            <w:tcBorders>
              <w:top w:val="single" w:sz="6" w:space="0" w:color="auto"/>
              <w:left w:val="nil"/>
              <w:bottom w:val="single" w:sz="6" w:space="0" w:color="auto"/>
              <w:right w:val="single" w:sz="4" w:space="0" w:color="auto"/>
            </w:tcBorders>
            <w:shd w:val="clear" w:color="000000" w:fill="FFFFFF"/>
            <w:noWrap/>
            <w:vAlign w:val="center"/>
          </w:tcPr>
          <w:p w14:paraId="16ACF152"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0.000</w:t>
            </w:r>
          </w:p>
        </w:tc>
        <w:tc>
          <w:tcPr>
            <w:tcW w:w="369" w:type="pct"/>
            <w:tcBorders>
              <w:top w:val="single" w:sz="6" w:space="0" w:color="auto"/>
              <w:left w:val="nil"/>
              <w:bottom w:val="single" w:sz="6" w:space="0" w:color="auto"/>
              <w:right w:val="single" w:sz="8" w:space="0" w:color="auto"/>
            </w:tcBorders>
            <w:shd w:val="clear" w:color="auto" w:fill="auto"/>
            <w:noWrap/>
            <w:vAlign w:val="center"/>
          </w:tcPr>
          <w:p w14:paraId="03B2991B"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0.083</w:t>
            </w:r>
          </w:p>
        </w:tc>
      </w:tr>
      <w:tr w:rsidR="00B934E7" w:rsidRPr="00B934E7" w14:paraId="5153B6F2" w14:textId="77777777" w:rsidTr="00B934E7">
        <w:tc>
          <w:tcPr>
            <w:tcW w:w="214" w:type="pct"/>
            <w:tcBorders>
              <w:top w:val="single" w:sz="6" w:space="0" w:color="auto"/>
              <w:left w:val="single" w:sz="6" w:space="0" w:color="auto"/>
              <w:bottom w:val="single" w:sz="6" w:space="0" w:color="auto"/>
              <w:right w:val="single" w:sz="8" w:space="0" w:color="auto"/>
            </w:tcBorders>
            <w:shd w:val="clear" w:color="auto" w:fill="808080"/>
            <w:noWrap/>
            <w:vAlign w:val="center"/>
          </w:tcPr>
          <w:p w14:paraId="5449369D" w14:textId="77777777" w:rsidR="00B934E7" w:rsidRPr="00B934E7" w:rsidRDefault="00B934E7" w:rsidP="00B934E7">
            <w:pPr>
              <w:jc w:val="center"/>
              <w:rPr>
                <w:rFonts w:ascii="Arial Narrow" w:eastAsia="Times New Roman" w:hAnsi="Arial Narrow" w:cs="Calibri"/>
                <w:sz w:val="16"/>
                <w:szCs w:val="16"/>
              </w:rPr>
            </w:pPr>
          </w:p>
        </w:tc>
        <w:tc>
          <w:tcPr>
            <w:tcW w:w="640" w:type="pct"/>
            <w:tcBorders>
              <w:top w:val="single" w:sz="6" w:space="0" w:color="auto"/>
              <w:left w:val="nil"/>
              <w:bottom w:val="single" w:sz="6" w:space="0" w:color="auto"/>
            </w:tcBorders>
            <w:shd w:val="clear" w:color="auto" w:fill="808080"/>
            <w:vAlign w:val="center"/>
          </w:tcPr>
          <w:p w14:paraId="17C11727" w14:textId="77777777" w:rsidR="00B934E7" w:rsidRPr="00B934E7" w:rsidRDefault="00B934E7" w:rsidP="00B934E7">
            <w:pPr>
              <w:rPr>
                <w:rFonts w:ascii="Arial Narrow" w:eastAsia="Times New Roman" w:hAnsi="Arial Narrow" w:cs="Calibri"/>
                <w:sz w:val="16"/>
                <w:szCs w:val="16"/>
              </w:rPr>
            </w:pPr>
          </w:p>
        </w:tc>
        <w:tc>
          <w:tcPr>
            <w:tcW w:w="427" w:type="pct"/>
            <w:tcBorders>
              <w:top w:val="single" w:sz="6" w:space="0" w:color="auto"/>
              <w:bottom w:val="single" w:sz="6" w:space="0" w:color="auto"/>
            </w:tcBorders>
            <w:shd w:val="clear" w:color="auto" w:fill="808080"/>
            <w:vAlign w:val="center"/>
          </w:tcPr>
          <w:p w14:paraId="65A1FF25" w14:textId="77777777" w:rsidR="00B934E7" w:rsidRPr="00B934E7" w:rsidRDefault="00B934E7" w:rsidP="00B934E7">
            <w:pPr>
              <w:jc w:val="center"/>
              <w:rPr>
                <w:rFonts w:ascii="Arial Narrow" w:eastAsia="Times New Roman" w:hAnsi="Arial Narrow" w:cs="Calibri"/>
                <w:sz w:val="16"/>
                <w:szCs w:val="16"/>
              </w:rPr>
            </w:pPr>
          </w:p>
        </w:tc>
        <w:tc>
          <w:tcPr>
            <w:tcW w:w="391" w:type="pct"/>
            <w:tcBorders>
              <w:top w:val="single" w:sz="6" w:space="0" w:color="auto"/>
              <w:bottom w:val="single" w:sz="6" w:space="0" w:color="auto"/>
            </w:tcBorders>
            <w:shd w:val="clear" w:color="auto" w:fill="808080"/>
            <w:noWrap/>
            <w:vAlign w:val="center"/>
          </w:tcPr>
          <w:p w14:paraId="12C60F54" w14:textId="77777777" w:rsidR="00B934E7" w:rsidRPr="00B934E7" w:rsidRDefault="00B934E7" w:rsidP="00B934E7">
            <w:pPr>
              <w:ind w:right="101"/>
              <w:jc w:val="right"/>
              <w:rPr>
                <w:rFonts w:ascii="Arial Narrow" w:eastAsia="Times New Roman" w:hAnsi="Arial Narrow" w:cs="Calibri"/>
                <w:sz w:val="16"/>
                <w:szCs w:val="16"/>
              </w:rPr>
            </w:pPr>
          </w:p>
        </w:tc>
        <w:tc>
          <w:tcPr>
            <w:tcW w:w="356" w:type="pct"/>
            <w:tcBorders>
              <w:top w:val="single" w:sz="6" w:space="0" w:color="auto"/>
              <w:bottom w:val="single" w:sz="6" w:space="0" w:color="auto"/>
            </w:tcBorders>
            <w:shd w:val="clear" w:color="auto" w:fill="808080"/>
            <w:noWrap/>
            <w:vAlign w:val="center"/>
          </w:tcPr>
          <w:p w14:paraId="5346B7AC" w14:textId="77777777" w:rsidR="00B934E7" w:rsidRPr="00B934E7" w:rsidRDefault="00B934E7" w:rsidP="00B934E7">
            <w:pPr>
              <w:ind w:right="101"/>
              <w:jc w:val="right"/>
              <w:rPr>
                <w:rFonts w:ascii="Arial Narrow" w:eastAsia="Times New Roman" w:hAnsi="Arial Narrow" w:cs="Calibri"/>
                <w:sz w:val="16"/>
                <w:szCs w:val="16"/>
              </w:rPr>
            </w:pPr>
          </w:p>
        </w:tc>
        <w:tc>
          <w:tcPr>
            <w:tcW w:w="285" w:type="pct"/>
            <w:tcBorders>
              <w:top w:val="single" w:sz="6" w:space="0" w:color="auto"/>
              <w:bottom w:val="single" w:sz="6" w:space="0" w:color="auto"/>
            </w:tcBorders>
            <w:shd w:val="clear" w:color="auto" w:fill="808080"/>
            <w:noWrap/>
            <w:vAlign w:val="center"/>
          </w:tcPr>
          <w:p w14:paraId="5B011720" w14:textId="77777777" w:rsidR="00B934E7" w:rsidRPr="00B934E7" w:rsidRDefault="00B934E7" w:rsidP="00B934E7">
            <w:pPr>
              <w:ind w:right="101"/>
              <w:jc w:val="right"/>
              <w:rPr>
                <w:rFonts w:ascii="Arial Narrow" w:eastAsia="Times New Roman" w:hAnsi="Arial Narrow" w:cs="Calibri"/>
                <w:sz w:val="16"/>
                <w:szCs w:val="16"/>
              </w:rPr>
            </w:pPr>
          </w:p>
        </w:tc>
        <w:tc>
          <w:tcPr>
            <w:tcW w:w="356" w:type="pct"/>
            <w:tcBorders>
              <w:top w:val="single" w:sz="6" w:space="0" w:color="auto"/>
              <w:bottom w:val="single" w:sz="6" w:space="0" w:color="auto"/>
              <w:right w:val="single" w:sz="8" w:space="0" w:color="auto"/>
            </w:tcBorders>
            <w:shd w:val="clear" w:color="auto" w:fill="808080"/>
            <w:noWrap/>
            <w:vAlign w:val="center"/>
          </w:tcPr>
          <w:p w14:paraId="53E11811" w14:textId="77777777" w:rsidR="00B934E7" w:rsidRPr="00B934E7" w:rsidRDefault="00B934E7" w:rsidP="00B934E7">
            <w:pPr>
              <w:ind w:right="101"/>
              <w:jc w:val="right"/>
              <w:rPr>
                <w:rFonts w:ascii="Arial Narrow" w:eastAsia="Times New Roman" w:hAnsi="Arial Narrow" w:cs="Calibri"/>
                <w:sz w:val="16"/>
                <w:szCs w:val="16"/>
              </w:rPr>
            </w:pPr>
          </w:p>
        </w:tc>
        <w:tc>
          <w:tcPr>
            <w:tcW w:w="214" w:type="pct"/>
            <w:tcBorders>
              <w:top w:val="single" w:sz="6" w:space="0" w:color="auto"/>
              <w:left w:val="single" w:sz="8" w:space="0" w:color="auto"/>
              <w:bottom w:val="single" w:sz="6" w:space="0" w:color="auto"/>
              <w:right w:val="single" w:sz="8" w:space="0" w:color="auto"/>
            </w:tcBorders>
            <w:shd w:val="clear" w:color="auto" w:fill="auto"/>
            <w:noWrap/>
            <w:vAlign w:val="center"/>
          </w:tcPr>
          <w:p w14:paraId="7D651E29" w14:textId="77777777" w:rsidR="00B934E7" w:rsidRPr="00B934E7" w:rsidRDefault="00291F3B" w:rsidP="00B934E7">
            <w:pPr>
              <w:jc w:val="center"/>
              <w:rPr>
                <w:rFonts w:ascii="Arial Narrow" w:eastAsia="Times New Roman" w:hAnsi="Arial Narrow" w:cs="Calibri"/>
                <w:sz w:val="16"/>
                <w:szCs w:val="16"/>
              </w:rPr>
            </w:pPr>
            <w:r>
              <w:rPr>
                <w:rFonts w:ascii="Arial Narrow" w:eastAsia="Times New Roman" w:hAnsi="Arial Narrow" w:cs="Calibri"/>
                <w:sz w:val="16"/>
                <w:szCs w:val="16"/>
              </w:rPr>
              <w:t>9</w:t>
            </w:r>
            <w:r w:rsidR="00C57C9A">
              <w:rPr>
                <w:rFonts w:ascii="Arial Narrow" w:eastAsia="Times New Roman" w:hAnsi="Arial Narrow" w:cs="Calibri"/>
                <w:sz w:val="16"/>
                <w:szCs w:val="16"/>
                <w:vertAlign w:val="superscript"/>
              </w:rPr>
              <w:t>4</w:t>
            </w:r>
          </w:p>
        </w:tc>
        <w:tc>
          <w:tcPr>
            <w:tcW w:w="644" w:type="pct"/>
            <w:tcBorders>
              <w:top w:val="single" w:sz="6" w:space="0" w:color="auto"/>
              <w:left w:val="nil"/>
              <w:bottom w:val="single" w:sz="6" w:space="0" w:color="auto"/>
              <w:right w:val="single" w:sz="4" w:space="0" w:color="auto"/>
            </w:tcBorders>
            <w:shd w:val="clear" w:color="auto" w:fill="auto"/>
            <w:vAlign w:val="center"/>
          </w:tcPr>
          <w:p w14:paraId="2B4310DE" w14:textId="77777777" w:rsidR="00B934E7" w:rsidRPr="00B934E7" w:rsidRDefault="00B934E7" w:rsidP="00B934E7">
            <w:pPr>
              <w:rPr>
                <w:rFonts w:ascii="Arial Narrow" w:eastAsia="Times New Roman" w:hAnsi="Arial Narrow" w:cs="Calibri"/>
                <w:sz w:val="16"/>
                <w:szCs w:val="16"/>
              </w:rPr>
            </w:pPr>
            <w:r w:rsidRPr="00B934E7">
              <w:rPr>
                <w:rFonts w:ascii="Arial Narrow" w:eastAsia="Times New Roman" w:hAnsi="Arial Narrow" w:cs="Calibri"/>
                <w:sz w:val="16"/>
                <w:szCs w:val="16"/>
              </w:rPr>
              <w:t>Chem ID CBI Substantiation</w:t>
            </w:r>
          </w:p>
        </w:tc>
        <w:tc>
          <w:tcPr>
            <w:tcW w:w="357" w:type="pct"/>
            <w:tcBorders>
              <w:top w:val="single" w:sz="6" w:space="0" w:color="auto"/>
              <w:left w:val="single" w:sz="4" w:space="0" w:color="auto"/>
              <w:bottom w:val="single" w:sz="6" w:space="0" w:color="auto"/>
              <w:right w:val="single" w:sz="4" w:space="0" w:color="auto"/>
            </w:tcBorders>
            <w:shd w:val="clear" w:color="000000" w:fill="FFFFFF"/>
            <w:noWrap/>
            <w:vAlign w:val="center"/>
          </w:tcPr>
          <w:p w14:paraId="46EAE5CC" w14:textId="77777777" w:rsidR="00B934E7" w:rsidRPr="00B934E7" w:rsidRDefault="00805545" w:rsidP="00B934E7">
            <w:pPr>
              <w:ind w:right="101"/>
              <w:jc w:val="right"/>
              <w:rPr>
                <w:rFonts w:ascii="Arial Narrow" w:eastAsia="Times New Roman" w:hAnsi="Arial Narrow" w:cs="Calibri"/>
                <w:sz w:val="16"/>
                <w:szCs w:val="16"/>
              </w:rPr>
            </w:pPr>
            <w:r>
              <w:rPr>
                <w:rFonts w:ascii="Arial Narrow" w:eastAsia="Times New Roman" w:hAnsi="Arial Narrow" w:cs="Calibri"/>
                <w:sz w:val="16"/>
                <w:szCs w:val="16"/>
              </w:rPr>
              <w:t>0</w:t>
            </w:r>
            <w:r w:rsidR="00B934E7" w:rsidRPr="00B934E7">
              <w:rPr>
                <w:rFonts w:ascii="Arial Narrow" w:eastAsia="Times New Roman" w:hAnsi="Arial Narrow" w:cs="Calibri"/>
                <w:sz w:val="16"/>
                <w:szCs w:val="16"/>
              </w:rPr>
              <w:t>.610</w:t>
            </w:r>
          </w:p>
        </w:tc>
        <w:tc>
          <w:tcPr>
            <w:tcW w:w="426" w:type="pct"/>
            <w:tcBorders>
              <w:top w:val="single" w:sz="6" w:space="0" w:color="auto"/>
              <w:left w:val="nil"/>
              <w:bottom w:val="single" w:sz="6" w:space="0" w:color="auto"/>
              <w:right w:val="single" w:sz="4" w:space="0" w:color="auto"/>
            </w:tcBorders>
            <w:shd w:val="clear" w:color="000000" w:fill="FFFFFF"/>
            <w:noWrap/>
            <w:vAlign w:val="center"/>
          </w:tcPr>
          <w:p w14:paraId="3C7E9216"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1.079</w:t>
            </w:r>
          </w:p>
        </w:tc>
        <w:tc>
          <w:tcPr>
            <w:tcW w:w="321" w:type="pct"/>
            <w:tcBorders>
              <w:top w:val="single" w:sz="6" w:space="0" w:color="auto"/>
              <w:left w:val="nil"/>
              <w:bottom w:val="single" w:sz="6" w:space="0" w:color="auto"/>
              <w:right w:val="single" w:sz="4" w:space="0" w:color="auto"/>
            </w:tcBorders>
            <w:shd w:val="clear" w:color="000000" w:fill="FFFFFF"/>
            <w:noWrap/>
            <w:vAlign w:val="center"/>
          </w:tcPr>
          <w:p w14:paraId="5EB71AB3"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0.000</w:t>
            </w:r>
          </w:p>
        </w:tc>
        <w:tc>
          <w:tcPr>
            <w:tcW w:w="369" w:type="pct"/>
            <w:tcBorders>
              <w:top w:val="single" w:sz="6" w:space="0" w:color="auto"/>
              <w:left w:val="nil"/>
              <w:bottom w:val="single" w:sz="6" w:space="0" w:color="auto"/>
              <w:right w:val="single" w:sz="8" w:space="0" w:color="auto"/>
            </w:tcBorders>
            <w:shd w:val="clear" w:color="auto" w:fill="auto"/>
            <w:noWrap/>
            <w:vAlign w:val="center"/>
          </w:tcPr>
          <w:p w14:paraId="31883486"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1.687</w:t>
            </w:r>
          </w:p>
        </w:tc>
      </w:tr>
      <w:tr w:rsidR="00B934E7" w:rsidRPr="00B934E7" w14:paraId="44F06076" w14:textId="77777777" w:rsidTr="00B934E7">
        <w:tc>
          <w:tcPr>
            <w:tcW w:w="214" w:type="pct"/>
            <w:tcBorders>
              <w:top w:val="single" w:sz="6" w:space="0" w:color="auto"/>
              <w:left w:val="single" w:sz="6" w:space="0" w:color="auto"/>
              <w:bottom w:val="single" w:sz="6" w:space="0" w:color="auto"/>
              <w:right w:val="single" w:sz="8" w:space="0" w:color="auto"/>
            </w:tcBorders>
            <w:shd w:val="clear" w:color="auto" w:fill="auto"/>
            <w:noWrap/>
            <w:vAlign w:val="center"/>
          </w:tcPr>
          <w:p w14:paraId="139E3995" w14:textId="77777777" w:rsidR="00B934E7" w:rsidRPr="00B934E7" w:rsidRDefault="00B934E7" w:rsidP="00B934E7">
            <w:pPr>
              <w:jc w:val="center"/>
              <w:rPr>
                <w:rFonts w:ascii="Arial Narrow" w:eastAsia="Times New Roman" w:hAnsi="Arial Narrow" w:cs="Calibri"/>
                <w:sz w:val="16"/>
                <w:szCs w:val="16"/>
              </w:rPr>
            </w:pPr>
            <w:r w:rsidRPr="00B934E7">
              <w:rPr>
                <w:rFonts w:ascii="Arial Narrow" w:eastAsia="Times New Roman" w:hAnsi="Arial Narrow" w:cs="Calibri"/>
                <w:sz w:val="16"/>
                <w:szCs w:val="16"/>
              </w:rPr>
              <w:t>9</w:t>
            </w:r>
            <w:r w:rsidR="000C25C0">
              <w:rPr>
                <w:rFonts w:ascii="Arial Narrow" w:eastAsia="Times New Roman" w:hAnsi="Arial Narrow" w:cs="Calibri"/>
                <w:sz w:val="16"/>
                <w:szCs w:val="16"/>
                <w:vertAlign w:val="superscript"/>
              </w:rPr>
              <w:t>5</w:t>
            </w:r>
          </w:p>
        </w:tc>
        <w:tc>
          <w:tcPr>
            <w:tcW w:w="640" w:type="pct"/>
            <w:tcBorders>
              <w:top w:val="single" w:sz="6" w:space="0" w:color="auto"/>
              <w:left w:val="nil"/>
              <w:bottom w:val="single" w:sz="6" w:space="0" w:color="auto"/>
              <w:right w:val="single" w:sz="4" w:space="0" w:color="auto"/>
            </w:tcBorders>
            <w:shd w:val="clear" w:color="auto" w:fill="auto"/>
            <w:vAlign w:val="center"/>
          </w:tcPr>
          <w:p w14:paraId="3813D089" w14:textId="77777777" w:rsidR="00B934E7" w:rsidRPr="00B934E7" w:rsidRDefault="00B934E7" w:rsidP="00B934E7">
            <w:pPr>
              <w:rPr>
                <w:rFonts w:ascii="Arial Narrow" w:eastAsia="Times New Roman" w:hAnsi="Arial Narrow" w:cs="Calibri"/>
                <w:sz w:val="16"/>
                <w:szCs w:val="16"/>
              </w:rPr>
            </w:pPr>
            <w:r w:rsidRPr="00B934E7">
              <w:rPr>
                <w:rFonts w:ascii="Arial Narrow" w:eastAsia="Times New Roman" w:hAnsi="Arial Narrow" w:cs="Calibri"/>
                <w:sz w:val="16"/>
                <w:szCs w:val="16"/>
              </w:rPr>
              <w:t>Accession Number Request</w:t>
            </w:r>
          </w:p>
        </w:tc>
        <w:tc>
          <w:tcPr>
            <w:tcW w:w="427" w:type="pct"/>
            <w:tcBorders>
              <w:top w:val="single" w:sz="6" w:space="0" w:color="auto"/>
              <w:left w:val="nil"/>
              <w:bottom w:val="single" w:sz="6" w:space="0" w:color="auto"/>
              <w:right w:val="single" w:sz="8" w:space="0" w:color="auto"/>
            </w:tcBorders>
            <w:shd w:val="clear" w:color="auto" w:fill="auto"/>
            <w:vAlign w:val="center"/>
          </w:tcPr>
          <w:p w14:paraId="6B33F594" w14:textId="77777777" w:rsidR="00B934E7" w:rsidRPr="00B934E7" w:rsidRDefault="00B934E7" w:rsidP="00B934E7">
            <w:pPr>
              <w:jc w:val="center"/>
              <w:rPr>
                <w:rFonts w:ascii="Arial Narrow" w:eastAsia="Times New Roman" w:hAnsi="Arial Narrow" w:cs="Calibri"/>
                <w:sz w:val="16"/>
                <w:szCs w:val="16"/>
              </w:rPr>
            </w:pPr>
            <w:r w:rsidRPr="00B934E7">
              <w:rPr>
                <w:rFonts w:ascii="Arial Narrow" w:eastAsia="Times New Roman" w:hAnsi="Arial Narrow" w:cs="Calibri"/>
                <w:sz w:val="16"/>
                <w:szCs w:val="16"/>
              </w:rPr>
              <w:t>Per chemical</w:t>
            </w:r>
          </w:p>
        </w:tc>
        <w:tc>
          <w:tcPr>
            <w:tcW w:w="391" w:type="pct"/>
            <w:tcBorders>
              <w:top w:val="single" w:sz="6" w:space="0" w:color="auto"/>
              <w:left w:val="single" w:sz="4" w:space="0" w:color="auto"/>
              <w:bottom w:val="single" w:sz="6" w:space="0" w:color="auto"/>
              <w:right w:val="single" w:sz="4" w:space="0" w:color="auto"/>
            </w:tcBorders>
            <w:shd w:val="clear" w:color="auto" w:fill="auto"/>
            <w:noWrap/>
            <w:vAlign w:val="center"/>
          </w:tcPr>
          <w:p w14:paraId="4361187D"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0.010</w:t>
            </w:r>
          </w:p>
        </w:tc>
        <w:tc>
          <w:tcPr>
            <w:tcW w:w="356" w:type="pct"/>
            <w:tcBorders>
              <w:top w:val="single" w:sz="6" w:space="0" w:color="auto"/>
              <w:left w:val="nil"/>
              <w:bottom w:val="single" w:sz="6" w:space="0" w:color="auto"/>
              <w:right w:val="single" w:sz="4" w:space="0" w:color="auto"/>
            </w:tcBorders>
            <w:shd w:val="clear" w:color="auto" w:fill="auto"/>
            <w:noWrap/>
            <w:vAlign w:val="center"/>
          </w:tcPr>
          <w:p w14:paraId="7EF558A2"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0.010</w:t>
            </w:r>
          </w:p>
        </w:tc>
        <w:tc>
          <w:tcPr>
            <w:tcW w:w="285" w:type="pct"/>
            <w:tcBorders>
              <w:top w:val="single" w:sz="6" w:space="0" w:color="auto"/>
              <w:left w:val="nil"/>
              <w:bottom w:val="single" w:sz="6" w:space="0" w:color="auto"/>
              <w:right w:val="single" w:sz="4" w:space="0" w:color="auto"/>
            </w:tcBorders>
            <w:shd w:val="clear" w:color="auto" w:fill="auto"/>
            <w:noWrap/>
            <w:vAlign w:val="center"/>
          </w:tcPr>
          <w:p w14:paraId="25564E44"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0.000</w:t>
            </w:r>
          </w:p>
        </w:tc>
        <w:tc>
          <w:tcPr>
            <w:tcW w:w="356" w:type="pct"/>
            <w:tcBorders>
              <w:top w:val="single" w:sz="6" w:space="0" w:color="auto"/>
              <w:left w:val="nil"/>
              <w:bottom w:val="single" w:sz="6" w:space="0" w:color="auto"/>
              <w:right w:val="single" w:sz="8" w:space="0" w:color="auto"/>
            </w:tcBorders>
            <w:shd w:val="clear" w:color="auto" w:fill="auto"/>
            <w:noWrap/>
            <w:vAlign w:val="center"/>
          </w:tcPr>
          <w:p w14:paraId="7B0553A7"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0.020</w:t>
            </w:r>
          </w:p>
        </w:tc>
        <w:tc>
          <w:tcPr>
            <w:tcW w:w="214" w:type="pct"/>
            <w:tcBorders>
              <w:top w:val="single" w:sz="6" w:space="0" w:color="auto"/>
              <w:left w:val="single" w:sz="8" w:space="0" w:color="auto"/>
              <w:bottom w:val="single" w:sz="6" w:space="0" w:color="auto"/>
              <w:right w:val="single" w:sz="8" w:space="0" w:color="auto"/>
            </w:tcBorders>
            <w:shd w:val="clear" w:color="auto" w:fill="808080"/>
            <w:noWrap/>
            <w:vAlign w:val="center"/>
          </w:tcPr>
          <w:p w14:paraId="16671C6A" w14:textId="77777777" w:rsidR="00B934E7" w:rsidRPr="00B934E7" w:rsidRDefault="00B934E7" w:rsidP="00B934E7">
            <w:pPr>
              <w:jc w:val="center"/>
              <w:rPr>
                <w:rFonts w:ascii="Arial Narrow" w:eastAsia="Times New Roman" w:hAnsi="Arial Narrow" w:cs="Calibri"/>
                <w:sz w:val="16"/>
                <w:szCs w:val="16"/>
              </w:rPr>
            </w:pPr>
          </w:p>
        </w:tc>
        <w:tc>
          <w:tcPr>
            <w:tcW w:w="644" w:type="pct"/>
            <w:tcBorders>
              <w:top w:val="single" w:sz="6" w:space="0" w:color="auto"/>
              <w:left w:val="nil"/>
              <w:bottom w:val="single" w:sz="6" w:space="0" w:color="auto"/>
            </w:tcBorders>
            <w:shd w:val="clear" w:color="auto" w:fill="808080"/>
            <w:vAlign w:val="center"/>
          </w:tcPr>
          <w:p w14:paraId="0CB9D3F8" w14:textId="77777777" w:rsidR="00B934E7" w:rsidRPr="00B934E7" w:rsidRDefault="00B934E7" w:rsidP="00B934E7">
            <w:pPr>
              <w:rPr>
                <w:rFonts w:ascii="Arial Narrow" w:eastAsia="Times New Roman" w:hAnsi="Arial Narrow" w:cs="Calibri"/>
                <w:sz w:val="16"/>
                <w:szCs w:val="16"/>
              </w:rPr>
            </w:pPr>
          </w:p>
        </w:tc>
        <w:tc>
          <w:tcPr>
            <w:tcW w:w="357" w:type="pct"/>
            <w:tcBorders>
              <w:top w:val="single" w:sz="6" w:space="0" w:color="auto"/>
              <w:bottom w:val="single" w:sz="6" w:space="0" w:color="auto"/>
            </w:tcBorders>
            <w:shd w:val="clear" w:color="auto" w:fill="808080"/>
            <w:noWrap/>
            <w:vAlign w:val="center"/>
          </w:tcPr>
          <w:p w14:paraId="5005932E" w14:textId="77777777" w:rsidR="00B934E7" w:rsidRPr="00B934E7" w:rsidRDefault="00B934E7" w:rsidP="00B934E7">
            <w:pPr>
              <w:ind w:right="101"/>
              <w:jc w:val="right"/>
              <w:rPr>
                <w:rFonts w:ascii="Arial Narrow" w:eastAsia="Times New Roman" w:hAnsi="Arial Narrow" w:cs="Calibri"/>
                <w:sz w:val="16"/>
                <w:szCs w:val="16"/>
              </w:rPr>
            </w:pPr>
          </w:p>
        </w:tc>
        <w:tc>
          <w:tcPr>
            <w:tcW w:w="426" w:type="pct"/>
            <w:tcBorders>
              <w:top w:val="single" w:sz="6" w:space="0" w:color="auto"/>
              <w:bottom w:val="single" w:sz="6" w:space="0" w:color="auto"/>
            </w:tcBorders>
            <w:shd w:val="clear" w:color="auto" w:fill="808080"/>
            <w:noWrap/>
            <w:vAlign w:val="center"/>
          </w:tcPr>
          <w:p w14:paraId="00EC2D7F" w14:textId="77777777" w:rsidR="00B934E7" w:rsidRPr="00B934E7" w:rsidRDefault="00B934E7" w:rsidP="00B934E7">
            <w:pPr>
              <w:ind w:right="101"/>
              <w:jc w:val="right"/>
              <w:rPr>
                <w:rFonts w:ascii="Arial Narrow" w:eastAsia="Times New Roman" w:hAnsi="Arial Narrow" w:cs="Calibri"/>
                <w:sz w:val="16"/>
                <w:szCs w:val="16"/>
              </w:rPr>
            </w:pPr>
          </w:p>
        </w:tc>
        <w:tc>
          <w:tcPr>
            <w:tcW w:w="321" w:type="pct"/>
            <w:tcBorders>
              <w:top w:val="single" w:sz="6" w:space="0" w:color="auto"/>
              <w:bottom w:val="single" w:sz="6" w:space="0" w:color="auto"/>
            </w:tcBorders>
            <w:shd w:val="clear" w:color="auto" w:fill="808080"/>
            <w:noWrap/>
            <w:vAlign w:val="center"/>
          </w:tcPr>
          <w:p w14:paraId="7F9A162F" w14:textId="77777777" w:rsidR="00B934E7" w:rsidRPr="00B934E7" w:rsidRDefault="00B934E7" w:rsidP="00B934E7">
            <w:pPr>
              <w:ind w:right="101"/>
              <w:jc w:val="right"/>
              <w:rPr>
                <w:rFonts w:ascii="Arial Narrow" w:eastAsia="Times New Roman" w:hAnsi="Arial Narrow" w:cs="Calibri"/>
                <w:sz w:val="16"/>
                <w:szCs w:val="16"/>
              </w:rPr>
            </w:pPr>
          </w:p>
        </w:tc>
        <w:tc>
          <w:tcPr>
            <w:tcW w:w="369" w:type="pct"/>
            <w:tcBorders>
              <w:top w:val="single" w:sz="6" w:space="0" w:color="auto"/>
              <w:bottom w:val="single" w:sz="6" w:space="0" w:color="auto"/>
              <w:right w:val="single" w:sz="8" w:space="0" w:color="auto"/>
            </w:tcBorders>
            <w:shd w:val="clear" w:color="auto" w:fill="808080"/>
            <w:noWrap/>
            <w:vAlign w:val="center"/>
          </w:tcPr>
          <w:p w14:paraId="5551F9FE" w14:textId="77777777" w:rsidR="00B934E7" w:rsidRPr="00B934E7" w:rsidRDefault="00B934E7" w:rsidP="00B934E7">
            <w:pPr>
              <w:ind w:right="101"/>
              <w:jc w:val="right"/>
              <w:rPr>
                <w:rFonts w:ascii="Arial Narrow" w:eastAsia="Times New Roman" w:hAnsi="Arial Narrow" w:cs="Calibri"/>
                <w:sz w:val="16"/>
                <w:szCs w:val="16"/>
              </w:rPr>
            </w:pPr>
          </w:p>
        </w:tc>
      </w:tr>
      <w:tr w:rsidR="00B934E7" w:rsidRPr="00B934E7" w14:paraId="183A8663" w14:textId="77777777" w:rsidTr="00B934E7">
        <w:tc>
          <w:tcPr>
            <w:tcW w:w="214" w:type="pct"/>
            <w:tcBorders>
              <w:top w:val="single" w:sz="6" w:space="0" w:color="auto"/>
              <w:left w:val="single" w:sz="8" w:space="0" w:color="auto"/>
              <w:bottom w:val="single" w:sz="6" w:space="0" w:color="auto"/>
              <w:right w:val="single" w:sz="8" w:space="0" w:color="auto"/>
            </w:tcBorders>
            <w:shd w:val="clear" w:color="auto" w:fill="808080"/>
            <w:noWrap/>
            <w:vAlign w:val="center"/>
          </w:tcPr>
          <w:p w14:paraId="54B16AE1" w14:textId="77777777" w:rsidR="00B934E7" w:rsidRPr="00B934E7" w:rsidRDefault="00B934E7" w:rsidP="00B934E7">
            <w:pPr>
              <w:jc w:val="center"/>
              <w:rPr>
                <w:rFonts w:ascii="Arial Narrow" w:eastAsia="Times New Roman" w:hAnsi="Arial Narrow" w:cs="Calibri"/>
                <w:strike/>
                <w:sz w:val="16"/>
                <w:szCs w:val="16"/>
              </w:rPr>
            </w:pPr>
          </w:p>
        </w:tc>
        <w:tc>
          <w:tcPr>
            <w:tcW w:w="640" w:type="pct"/>
            <w:tcBorders>
              <w:top w:val="single" w:sz="6" w:space="0" w:color="auto"/>
              <w:left w:val="nil"/>
              <w:bottom w:val="single" w:sz="6" w:space="0" w:color="auto"/>
            </w:tcBorders>
            <w:shd w:val="clear" w:color="auto" w:fill="808080"/>
            <w:vAlign w:val="center"/>
          </w:tcPr>
          <w:p w14:paraId="355E15AD" w14:textId="77777777" w:rsidR="00B934E7" w:rsidRPr="00B934E7" w:rsidRDefault="00B934E7" w:rsidP="00B934E7">
            <w:pPr>
              <w:rPr>
                <w:rFonts w:ascii="Arial Narrow" w:eastAsia="Times New Roman" w:hAnsi="Arial Narrow" w:cs="Calibri"/>
                <w:strike/>
                <w:sz w:val="16"/>
                <w:szCs w:val="16"/>
              </w:rPr>
            </w:pPr>
          </w:p>
        </w:tc>
        <w:tc>
          <w:tcPr>
            <w:tcW w:w="427" w:type="pct"/>
            <w:tcBorders>
              <w:top w:val="single" w:sz="6" w:space="0" w:color="auto"/>
              <w:bottom w:val="single" w:sz="6" w:space="0" w:color="auto"/>
            </w:tcBorders>
            <w:shd w:val="clear" w:color="auto" w:fill="808080"/>
            <w:vAlign w:val="center"/>
          </w:tcPr>
          <w:p w14:paraId="757262D0" w14:textId="77777777" w:rsidR="00B934E7" w:rsidRPr="00B934E7" w:rsidRDefault="00B934E7" w:rsidP="00B934E7">
            <w:pPr>
              <w:jc w:val="center"/>
              <w:rPr>
                <w:rFonts w:ascii="Arial Narrow" w:eastAsia="Times New Roman" w:hAnsi="Arial Narrow" w:cs="Calibri"/>
                <w:strike/>
                <w:sz w:val="16"/>
                <w:szCs w:val="16"/>
              </w:rPr>
            </w:pPr>
          </w:p>
        </w:tc>
        <w:tc>
          <w:tcPr>
            <w:tcW w:w="391" w:type="pct"/>
            <w:tcBorders>
              <w:top w:val="single" w:sz="6" w:space="0" w:color="auto"/>
              <w:bottom w:val="single" w:sz="6" w:space="0" w:color="auto"/>
            </w:tcBorders>
            <w:shd w:val="clear" w:color="auto" w:fill="808080"/>
            <w:noWrap/>
            <w:vAlign w:val="center"/>
          </w:tcPr>
          <w:p w14:paraId="4045C504" w14:textId="77777777" w:rsidR="00B934E7" w:rsidRPr="00B934E7" w:rsidRDefault="00B934E7" w:rsidP="00B934E7">
            <w:pPr>
              <w:ind w:right="101"/>
              <w:jc w:val="right"/>
              <w:rPr>
                <w:rFonts w:ascii="Arial Narrow" w:eastAsia="Times New Roman" w:hAnsi="Arial Narrow" w:cs="Calibri"/>
                <w:strike/>
                <w:sz w:val="16"/>
                <w:szCs w:val="16"/>
              </w:rPr>
            </w:pPr>
          </w:p>
        </w:tc>
        <w:tc>
          <w:tcPr>
            <w:tcW w:w="356" w:type="pct"/>
            <w:tcBorders>
              <w:top w:val="single" w:sz="6" w:space="0" w:color="auto"/>
              <w:bottom w:val="single" w:sz="6" w:space="0" w:color="auto"/>
            </w:tcBorders>
            <w:shd w:val="clear" w:color="auto" w:fill="808080"/>
            <w:noWrap/>
            <w:vAlign w:val="center"/>
          </w:tcPr>
          <w:p w14:paraId="4FA4033E" w14:textId="77777777" w:rsidR="00B934E7" w:rsidRPr="00B934E7" w:rsidRDefault="00B934E7" w:rsidP="00B934E7">
            <w:pPr>
              <w:ind w:right="101"/>
              <w:jc w:val="right"/>
              <w:rPr>
                <w:rFonts w:ascii="Arial Narrow" w:eastAsia="Times New Roman" w:hAnsi="Arial Narrow" w:cs="Calibri"/>
                <w:strike/>
                <w:sz w:val="16"/>
                <w:szCs w:val="16"/>
              </w:rPr>
            </w:pPr>
          </w:p>
        </w:tc>
        <w:tc>
          <w:tcPr>
            <w:tcW w:w="285" w:type="pct"/>
            <w:tcBorders>
              <w:top w:val="single" w:sz="6" w:space="0" w:color="auto"/>
              <w:bottom w:val="single" w:sz="6" w:space="0" w:color="auto"/>
            </w:tcBorders>
            <w:shd w:val="clear" w:color="auto" w:fill="808080"/>
            <w:noWrap/>
            <w:vAlign w:val="center"/>
          </w:tcPr>
          <w:p w14:paraId="621D44BA" w14:textId="77777777" w:rsidR="00B934E7" w:rsidRPr="00B934E7" w:rsidRDefault="00B934E7" w:rsidP="00B934E7">
            <w:pPr>
              <w:ind w:right="101"/>
              <w:jc w:val="right"/>
              <w:rPr>
                <w:rFonts w:ascii="Arial Narrow" w:eastAsia="Times New Roman" w:hAnsi="Arial Narrow" w:cs="Calibri"/>
                <w:strike/>
                <w:sz w:val="16"/>
                <w:szCs w:val="16"/>
              </w:rPr>
            </w:pPr>
          </w:p>
        </w:tc>
        <w:tc>
          <w:tcPr>
            <w:tcW w:w="356" w:type="pct"/>
            <w:tcBorders>
              <w:top w:val="single" w:sz="6" w:space="0" w:color="auto"/>
              <w:bottom w:val="single" w:sz="6" w:space="0" w:color="auto"/>
              <w:right w:val="single" w:sz="8" w:space="0" w:color="auto"/>
            </w:tcBorders>
            <w:shd w:val="clear" w:color="auto" w:fill="808080"/>
            <w:noWrap/>
            <w:vAlign w:val="center"/>
          </w:tcPr>
          <w:p w14:paraId="17E2804B" w14:textId="77777777" w:rsidR="00B934E7" w:rsidRPr="00B934E7" w:rsidRDefault="00B934E7" w:rsidP="00B934E7">
            <w:pPr>
              <w:ind w:right="101"/>
              <w:jc w:val="right"/>
              <w:rPr>
                <w:rFonts w:ascii="Arial Narrow" w:eastAsia="Times New Roman" w:hAnsi="Arial Narrow" w:cs="Calibri"/>
                <w:strike/>
                <w:sz w:val="16"/>
                <w:szCs w:val="16"/>
              </w:rPr>
            </w:pPr>
          </w:p>
        </w:tc>
        <w:tc>
          <w:tcPr>
            <w:tcW w:w="214" w:type="pct"/>
            <w:tcBorders>
              <w:top w:val="single" w:sz="6" w:space="0" w:color="auto"/>
              <w:left w:val="single" w:sz="8" w:space="0" w:color="auto"/>
              <w:bottom w:val="single" w:sz="6" w:space="0" w:color="auto"/>
              <w:right w:val="single" w:sz="8" w:space="0" w:color="auto"/>
            </w:tcBorders>
            <w:shd w:val="clear" w:color="auto" w:fill="auto"/>
            <w:noWrap/>
            <w:vAlign w:val="center"/>
          </w:tcPr>
          <w:p w14:paraId="67608639" w14:textId="77777777" w:rsidR="00B934E7" w:rsidRPr="00B934E7" w:rsidRDefault="00291F3B" w:rsidP="00C57C9A">
            <w:pPr>
              <w:jc w:val="center"/>
              <w:rPr>
                <w:rFonts w:ascii="Arial Narrow" w:eastAsia="Times New Roman" w:hAnsi="Arial Narrow" w:cs="Calibri"/>
                <w:sz w:val="16"/>
                <w:szCs w:val="16"/>
              </w:rPr>
            </w:pPr>
            <w:r>
              <w:rPr>
                <w:rFonts w:ascii="Arial Narrow" w:eastAsia="Times New Roman" w:hAnsi="Arial Narrow" w:cs="Calibri"/>
                <w:sz w:val="16"/>
                <w:szCs w:val="16"/>
              </w:rPr>
              <w:t>10</w:t>
            </w:r>
            <w:r w:rsidR="000C25C0">
              <w:rPr>
                <w:rFonts w:ascii="Arial Narrow" w:eastAsia="Times New Roman" w:hAnsi="Arial Narrow" w:cs="Calibri"/>
                <w:sz w:val="16"/>
                <w:szCs w:val="16"/>
                <w:vertAlign w:val="superscript"/>
              </w:rPr>
              <w:t>3</w:t>
            </w:r>
          </w:p>
        </w:tc>
        <w:tc>
          <w:tcPr>
            <w:tcW w:w="644" w:type="pct"/>
            <w:tcBorders>
              <w:top w:val="single" w:sz="6" w:space="0" w:color="auto"/>
              <w:left w:val="nil"/>
              <w:bottom w:val="single" w:sz="6" w:space="0" w:color="auto"/>
              <w:right w:val="single" w:sz="4" w:space="0" w:color="auto"/>
            </w:tcBorders>
            <w:shd w:val="clear" w:color="auto" w:fill="auto"/>
            <w:vAlign w:val="center"/>
          </w:tcPr>
          <w:p w14:paraId="7D0A35C2" w14:textId="77777777" w:rsidR="00B934E7" w:rsidRPr="00B934E7" w:rsidRDefault="00B934E7" w:rsidP="00B934E7">
            <w:pPr>
              <w:rPr>
                <w:rFonts w:ascii="Arial Narrow" w:eastAsia="Times New Roman" w:hAnsi="Arial Narrow" w:cs="Calibri"/>
                <w:sz w:val="16"/>
                <w:szCs w:val="16"/>
              </w:rPr>
            </w:pPr>
            <w:r w:rsidRPr="00B934E7">
              <w:rPr>
                <w:rFonts w:ascii="Arial Narrow" w:eastAsia="Times New Roman" w:hAnsi="Arial Narrow" w:cs="Calibri"/>
                <w:sz w:val="16"/>
                <w:szCs w:val="16"/>
              </w:rPr>
              <w:t>Joint Submission</w:t>
            </w:r>
            <w:r w:rsidR="00291F3B">
              <w:rPr>
                <w:rFonts w:ascii="Arial Narrow" w:eastAsia="Times New Roman" w:hAnsi="Arial Narrow" w:cs="Calibri"/>
                <w:sz w:val="16"/>
                <w:szCs w:val="16"/>
              </w:rPr>
              <w:t xml:space="preserve"> Information</w:t>
            </w:r>
          </w:p>
        </w:tc>
        <w:tc>
          <w:tcPr>
            <w:tcW w:w="357" w:type="pct"/>
            <w:tcBorders>
              <w:top w:val="single" w:sz="6" w:space="0" w:color="auto"/>
              <w:left w:val="single" w:sz="4" w:space="0" w:color="auto"/>
              <w:bottom w:val="single" w:sz="6" w:space="0" w:color="auto"/>
              <w:right w:val="single" w:sz="4" w:space="0" w:color="auto"/>
            </w:tcBorders>
            <w:shd w:val="clear" w:color="000000" w:fill="FFFFFF"/>
            <w:noWrap/>
            <w:vAlign w:val="center"/>
          </w:tcPr>
          <w:p w14:paraId="0BBD59C0"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0.012</w:t>
            </w:r>
          </w:p>
        </w:tc>
        <w:tc>
          <w:tcPr>
            <w:tcW w:w="426" w:type="pct"/>
            <w:tcBorders>
              <w:top w:val="single" w:sz="6" w:space="0" w:color="auto"/>
              <w:left w:val="nil"/>
              <w:bottom w:val="single" w:sz="6" w:space="0" w:color="auto"/>
              <w:right w:val="single" w:sz="4" w:space="0" w:color="auto"/>
            </w:tcBorders>
            <w:shd w:val="clear" w:color="000000" w:fill="FFFFFF"/>
            <w:noWrap/>
            <w:vAlign w:val="center"/>
          </w:tcPr>
          <w:p w14:paraId="7A28E167"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0.000</w:t>
            </w:r>
          </w:p>
        </w:tc>
        <w:tc>
          <w:tcPr>
            <w:tcW w:w="321" w:type="pct"/>
            <w:tcBorders>
              <w:top w:val="single" w:sz="6" w:space="0" w:color="auto"/>
              <w:left w:val="nil"/>
              <w:bottom w:val="single" w:sz="6" w:space="0" w:color="auto"/>
              <w:right w:val="single" w:sz="4" w:space="0" w:color="auto"/>
            </w:tcBorders>
            <w:shd w:val="clear" w:color="000000" w:fill="FFFFFF"/>
            <w:noWrap/>
            <w:vAlign w:val="center"/>
          </w:tcPr>
          <w:p w14:paraId="0D5C37A3"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0.000</w:t>
            </w:r>
          </w:p>
        </w:tc>
        <w:tc>
          <w:tcPr>
            <w:tcW w:w="369" w:type="pct"/>
            <w:tcBorders>
              <w:top w:val="single" w:sz="6" w:space="0" w:color="auto"/>
              <w:left w:val="nil"/>
              <w:bottom w:val="single" w:sz="6" w:space="0" w:color="auto"/>
              <w:right w:val="single" w:sz="8" w:space="0" w:color="auto"/>
            </w:tcBorders>
            <w:shd w:val="clear" w:color="auto" w:fill="auto"/>
            <w:noWrap/>
            <w:vAlign w:val="center"/>
          </w:tcPr>
          <w:p w14:paraId="25CF2E93"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0.012</w:t>
            </w:r>
          </w:p>
        </w:tc>
      </w:tr>
      <w:tr w:rsidR="00B934E7" w:rsidRPr="00B934E7" w14:paraId="2D2C7E91" w14:textId="77777777" w:rsidTr="00B934E7">
        <w:tc>
          <w:tcPr>
            <w:tcW w:w="214" w:type="pct"/>
            <w:tcBorders>
              <w:top w:val="single" w:sz="6" w:space="0" w:color="auto"/>
              <w:left w:val="single" w:sz="8" w:space="0" w:color="auto"/>
              <w:bottom w:val="single" w:sz="6" w:space="0" w:color="auto"/>
              <w:right w:val="single" w:sz="8" w:space="0" w:color="auto"/>
            </w:tcBorders>
            <w:shd w:val="clear" w:color="auto" w:fill="auto"/>
            <w:noWrap/>
            <w:vAlign w:val="center"/>
          </w:tcPr>
          <w:p w14:paraId="1842344C" w14:textId="77777777" w:rsidR="00B934E7" w:rsidRPr="00B934E7" w:rsidRDefault="00B934E7" w:rsidP="00C57C9A">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291F3B">
              <w:rPr>
                <w:rFonts w:ascii="Arial Narrow" w:eastAsia="Times New Roman" w:hAnsi="Arial Narrow" w:cs="Calibri"/>
                <w:color w:val="000000"/>
                <w:sz w:val="16"/>
                <w:szCs w:val="16"/>
              </w:rPr>
              <w:t>0</w:t>
            </w:r>
            <w:r w:rsidR="000C25C0">
              <w:rPr>
                <w:rFonts w:ascii="Arial Narrow" w:eastAsia="Times New Roman" w:hAnsi="Arial Narrow" w:cs="Calibri"/>
                <w:color w:val="000000"/>
                <w:sz w:val="16"/>
                <w:szCs w:val="16"/>
                <w:vertAlign w:val="superscript"/>
              </w:rPr>
              <w:t>6</w:t>
            </w:r>
          </w:p>
        </w:tc>
        <w:tc>
          <w:tcPr>
            <w:tcW w:w="640" w:type="pct"/>
            <w:tcBorders>
              <w:top w:val="single" w:sz="6" w:space="0" w:color="auto"/>
              <w:left w:val="nil"/>
              <w:bottom w:val="single" w:sz="6" w:space="0" w:color="auto"/>
              <w:right w:val="single" w:sz="4" w:space="0" w:color="auto"/>
            </w:tcBorders>
            <w:shd w:val="clear" w:color="auto" w:fill="auto"/>
            <w:vAlign w:val="center"/>
          </w:tcPr>
          <w:p w14:paraId="3EDD0128"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Site-Limited, Activity, Production Volume (2015)</w:t>
            </w:r>
          </w:p>
        </w:tc>
        <w:tc>
          <w:tcPr>
            <w:tcW w:w="427" w:type="pct"/>
            <w:tcBorders>
              <w:top w:val="single" w:sz="6" w:space="0" w:color="auto"/>
              <w:left w:val="nil"/>
              <w:bottom w:val="single" w:sz="6" w:space="0" w:color="auto"/>
              <w:right w:val="single" w:sz="8" w:space="0" w:color="auto"/>
            </w:tcBorders>
            <w:shd w:val="clear" w:color="auto" w:fill="auto"/>
            <w:vAlign w:val="center"/>
          </w:tcPr>
          <w:p w14:paraId="3F822230"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single" w:sz="6" w:space="0" w:color="auto"/>
              <w:left w:val="single" w:sz="4" w:space="0" w:color="auto"/>
              <w:bottom w:val="single" w:sz="6" w:space="0" w:color="auto"/>
              <w:right w:val="single" w:sz="4" w:space="0" w:color="auto"/>
            </w:tcBorders>
            <w:shd w:val="clear" w:color="auto" w:fill="auto"/>
            <w:noWrap/>
            <w:vAlign w:val="center"/>
          </w:tcPr>
          <w:p w14:paraId="7E66704A"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0.560</w:t>
            </w:r>
          </w:p>
        </w:tc>
        <w:tc>
          <w:tcPr>
            <w:tcW w:w="356" w:type="pct"/>
            <w:tcBorders>
              <w:top w:val="single" w:sz="6" w:space="0" w:color="auto"/>
              <w:left w:val="nil"/>
              <w:bottom w:val="single" w:sz="6" w:space="0" w:color="auto"/>
              <w:right w:val="single" w:sz="4" w:space="0" w:color="auto"/>
            </w:tcBorders>
            <w:shd w:val="clear" w:color="auto" w:fill="auto"/>
            <w:noWrap/>
            <w:vAlign w:val="center"/>
          </w:tcPr>
          <w:p w14:paraId="3AEEB374"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2.280</w:t>
            </w:r>
          </w:p>
        </w:tc>
        <w:tc>
          <w:tcPr>
            <w:tcW w:w="285" w:type="pct"/>
            <w:tcBorders>
              <w:top w:val="single" w:sz="6" w:space="0" w:color="auto"/>
              <w:left w:val="nil"/>
              <w:bottom w:val="single" w:sz="6" w:space="0" w:color="auto"/>
              <w:right w:val="single" w:sz="4" w:space="0" w:color="auto"/>
            </w:tcBorders>
            <w:shd w:val="clear" w:color="auto" w:fill="auto"/>
            <w:noWrap/>
            <w:vAlign w:val="center"/>
          </w:tcPr>
          <w:p w14:paraId="72674A9F"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single" w:sz="6" w:space="0" w:color="auto"/>
              <w:left w:val="nil"/>
              <w:bottom w:val="single" w:sz="6" w:space="0" w:color="auto"/>
              <w:right w:val="single" w:sz="8" w:space="0" w:color="auto"/>
            </w:tcBorders>
            <w:shd w:val="clear" w:color="auto" w:fill="auto"/>
            <w:noWrap/>
            <w:vAlign w:val="center"/>
          </w:tcPr>
          <w:p w14:paraId="7FA69BA9"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2.840</w:t>
            </w:r>
          </w:p>
        </w:tc>
        <w:tc>
          <w:tcPr>
            <w:tcW w:w="214" w:type="pct"/>
            <w:tcBorders>
              <w:top w:val="single" w:sz="6" w:space="0" w:color="auto"/>
              <w:left w:val="single" w:sz="8" w:space="0" w:color="auto"/>
              <w:bottom w:val="single" w:sz="6" w:space="0" w:color="auto"/>
              <w:right w:val="single" w:sz="8" w:space="0" w:color="auto"/>
            </w:tcBorders>
            <w:shd w:val="clear" w:color="auto" w:fill="auto"/>
            <w:noWrap/>
            <w:vAlign w:val="center"/>
          </w:tcPr>
          <w:p w14:paraId="35AEA3CC" w14:textId="77777777" w:rsidR="00B934E7" w:rsidRPr="00B934E7" w:rsidRDefault="00291F3B" w:rsidP="00C57C9A">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Pr>
                <w:rFonts w:ascii="Arial Narrow" w:eastAsia="Times New Roman" w:hAnsi="Arial Narrow" w:cs="Calibri"/>
                <w:color w:val="000000"/>
                <w:sz w:val="16"/>
                <w:szCs w:val="16"/>
              </w:rPr>
              <w:t>1</w:t>
            </w:r>
            <w:r w:rsidR="000C25C0">
              <w:rPr>
                <w:rFonts w:ascii="Arial Narrow" w:eastAsia="Times New Roman" w:hAnsi="Arial Narrow" w:cs="Calibri"/>
                <w:color w:val="000000"/>
                <w:sz w:val="16"/>
                <w:szCs w:val="16"/>
                <w:vertAlign w:val="superscript"/>
              </w:rPr>
              <w:t>6</w:t>
            </w:r>
          </w:p>
        </w:tc>
        <w:tc>
          <w:tcPr>
            <w:tcW w:w="644" w:type="pct"/>
            <w:tcBorders>
              <w:top w:val="single" w:sz="6" w:space="0" w:color="auto"/>
              <w:left w:val="nil"/>
              <w:bottom w:val="single" w:sz="6" w:space="0" w:color="auto"/>
              <w:right w:val="single" w:sz="4" w:space="0" w:color="auto"/>
            </w:tcBorders>
            <w:shd w:val="clear" w:color="auto" w:fill="auto"/>
            <w:vAlign w:val="center"/>
          </w:tcPr>
          <w:p w14:paraId="07CE9743" w14:textId="77777777" w:rsidR="00B934E7" w:rsidRPr="00B934E7" w:rsidRDefault="00B934E7" w:rsidP="00B934E7">
            <w:pPr>
              <w:rPr>
                <w:rFonts w:ascii="Arial Narrow" w:eastAsia="Times New Roman" w:hAnsi="Arial Narrow" w:cs="Calibri"/>
                <w:sz w:val="16"/>
                <w:szCs w:val="16"/>
              </w:rPr>
            </w:pPr>
            <w:r w:rsidRPr="00B934E7">
              <w:rPr>
                <w:rFonts w:ascii="Arial Narrow" w:eastAsia="Times New Roman" w:hAnsi="Arial Narrow" w:cs="Calibri"/>
                <w:sz w:val="16"/>
                <w:szCs w:val="16"/>
              </w:rPr>
              <w:t>Activity, Production Volume for Principal Reporting Year</w:t>
            </w:r>
          </w:p>
        </w:tc>
        <w:tc>
          <w:tcPr>
            <w:tcW w:w="357" w:type="pct"/>
            <w:tcBorders>
              <w:top w:val="single" w:sz="6" w:space="0" w:color="auto"/>
              <w:left w:val="single" w:sz="4" w:space="0" w:color="auto"/>
              <w:bottom w:val="single" w:sz="6" w:space="0" w:color="auto"/>
              <w:right w:val="single" w:sz="4" w:space="0" w:color="auto"/>
            </w:tcBorders>
            <w:shd w:val="clear" w:color="auto" w:fill="auto"/>
            <w:noWrap/>
            <w:vAlign w:val="center"/>
          </w:tcPr>
          <w:p w14:paraId="1B8DAA20"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0.560</w:t>
            </w:r>
          </w:p>
        </w:tc>
        <w:tc>
          <w:tcPr>
            <w:tcW w:w="426" w:type="pct"/>
            <w:tcBorders>
              <w:top w:val="single" w:sz="6" w:space="0" w:color="auto"/>
              <w:left w:val="nil"/>
              <w:bottom w:val="single" w:sz="6" w:space="0" w:color="auto"/>
              <w:right w:val="single" w:sz="4" w:space="0" w:color="auto"/>
            </w:tcBorders>
            <w:shd w:val="clear" w:color="auto" w:fill="auto"/>
            <w:noWrap/>
            <w:vAlign w:val="center"/>
          </w:tcPr>
          <w:p w14:paraId="24C45DBA"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2.280</w:t>
            </w:r>
          </w:p>
        </w:tc>
        <w:tc>
          <w:tcPr>
            <w:tcW w:w="321" w:type="pct"/>
            <w:tcBorders>
              <w:top w:val="single" w:sz="6" w:space="0" w:color="auto"/>
              <w:left w:val="nil"/>
              <w:bottom w:val="single" w:sz="6" w:space="0" w:color="auto"/>
              <w:right w:val="single" w:sz="4" w:space="0" w:color="auto"/>
            </w:tcBorders>
            <w:shd w:val="clear" w:color="auto" w:fill="auto"/>
            <w:noWrap/>
            <w:vAlign w:val="center"/>
          </w:tcPr>
          <w:p w14:paraId="1C4C62B8"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single" w:sz="6" w:space="0" w:color="auto"/>
              <w:left w:val="single" w:sz="4" w:space="0" w:color="auto"/>
              <w:bottom w:val="single" w:sz="6" w:space="0" w:color="auto"/>
              <w:right w:val="single" w:sz="8" w:space="0" w:color="auto"/>
            </w:tcBorders>
            <w:shd w:val="clear" w:color="auto" w:fill="auto"/>
            <w:noWrap/>
            <w:vAlign w:val="center"/>
          </w:tcPr>
          <w:p w14:paraId="3973DE86"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2.840</w:t>
            </w:r>
          </w:p>
        </w:tc>
      </w:tr>
      <w:tr w:rsidR="00B934E7" w:rsidRPr="00B934E7" w14:paraId="4B18F8B0" w14:textId="77777777" w:rsidTr="00B934E7">
        <w:tc>
          <w:tcPr>
            <w:tcW w:w="214" w:type="pct"/>
            <w:tcBorders>
              <w:top w:val="single" w:sz="6" w:space="0" w:color="auto"/>
              <w:left w:val="single" w:sz="8" w:space="0" w:color="auto"/>
              <w:bottom w:val="single" w:sz="4" w:space="0" w:color="auto"/>
              <w:right w:val="single" w:sz="8" w:space="0" w:color="auto"/>
            </w:tcBorders>
            <w:shd w:val="clear" w:color="auto" w:fill="auto"/>
            <w:noWrap/>
            <w:vAlign w:val="center"/>
          </w:tcPr>
          <w:p w14:paraId="1F0049E2"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291F3B">
              <w:rPr>
                <w:rFonts w:ascii="Arial Narrow" w:eastAsia="Times New Roman" w:hAnsi="Arial Narrow" w:cs="Calibri"/>
                <w:color w:val="000000"/>
                <w:sz w:val="16"/>
                <w:szCs w:val="16"/>
              </w:rPr>
              <w:t>1</w:t>
            </w:r>
          </w:p>
        </w:tc>
        <w:tc>
          <w:tcPr>
            <w:tcW w:w="640" w:type="pct"/>
            <w:tcBorders>
              <w:top w:val="single" w:sz="6" w:space="0" w:color="auto"/>
              <w:left w:val="nil"/>
              <w:bottom w:val="single" w:sz="4" w:space="0" w:color="auto"/>
              <w:right w:val="single" w:sz="4" w:space="0" w:color="auto"/>
            </w:tcBorders>
            <w:shd w:val="clear" w:color="auto" w:fill="auto"/>
            <w:vAlign w:val="center"/>
          </w:tcPr>
          <w:p w14:paraId="691F2855"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Whether imported chemical substance is physically at reporting site</w:t>
            </w:r>
          </w:p>
        </w:tc>
        <w:tc>
          <w:tcPr>
            <w:tcW w:w="427" w:type="pct"/>
            <w:tcBorders>
              <w:top w:val="single" w:sz="6" w:space="0" w:color="auto"/>
              <w:left w:val="nil"/>
              <w:bottom w:val="single" w:sz="4" w:space="0" w:color="auto"/>
              <w:right w:val="single" w:sz="8" w:space="0" w:color="auto"/>
            </w:tcBorders>
            <w:shd w:val="clear" w:color="auto" w:fill="auto"/>
            <w:vAlign w:val="center"/>
          </w:tcPr>
          <w:p w14:paraId="6B5B3EC9"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single" w:sz="6" w:space="0" w:color="auto"/>
              <w:left w:val="single" w:sz="4" w:space="0" w:color="auto"/>
              <w:bottom w:val="single" w:sz="4" w:space="0" w:color="auto"/>
              <w:right w:val="single" w:sz="4" w:space="0" w:color="auto"/>
            </w:tcBorders>
            <w:shd w:val="clear" w:color="auto" w:fill="auto"/>
            <w:noWrap/>
            <w:vAlign w:val="center"/>
          </w:tcPr>
          <w:p w14:paraId="2684932A"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0.030</w:t>
            </w:r>
          </w:p>
        </w:tc>
        <w:tc>
          <w:tcPr>
            <w:tcW w:w="356" w:type="pct"/>
            <w:tcBorders>
              <w:top w:val="single" w:sz="6" w:space="0" w:color="auto"/>
              <w:left w:val="nil"/>
              <w:bottom w:val="single" w:sz="4" w:space="0" w:color="auto"/>
              <w:right w:val="single" w:sz="4" w:space="0" w:color="auto"/>
            </w:tcBorders>
            <w:shd w:val="clear" w:color="auto" w:fill="auto"/>
            <w:noWrap/>
            <w:vAlign w:val="center"/>
          </w:tcPr>
          <w:p w14:paraId="470E8CB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0.110</w:t>
            </w:r>
          </w:p>
        </w:tc>
        <w:tc>
          <w:tcPr>
            <w:tcW w:w="285" w:type="pct"/>
            <w:tcBorders>
              <w:top w:val="single" w:sz="6" w:space="0" w:color="auto"/>
              <w:left w:val="nil"/>
              <w:bottom w:val="single" w:sz="4" w:space="0" w:color="auto"/>
              <w:right w:val="single" w:sz="4" w:space="0" w:color="auto"/>
            </w:tcBorders>
            <w:shd w:val="clear" w:color="auto" w:fill="auto"/>
            <w:noWrap/>
            <w:vAlign w:val="center"/>
          </w:tcPr>
          <w:p w14:paraId="14386BB9"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single" w:sz="6" w:space="0" w:color="auto"/>
              <w:left w:val="nil"/>
              <w:bottom w:val="single" w:sz="4" w:space="0" w:color="auto"/>
              <w:right w:val="single" w:sz="8" w:space="0" w:color="auto"/>
            </w:tcBorders>
            <w:shd w:val="clear" w:color="auto" w:fill="auto"/>
            <w:noWrap/>
            <w:vAlign w:val="center"/>
          </w:tcPr>
          <w:p w14:paraId="538950A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0.140</w:t>
            </w:r>
          </w:p>
        </w:tc>
        <w:tc>
          <w:tcPr>
            <w:tcW w:w="214" w:type="pct"/>
            <w:tcBorders>
              <w:top w:val="single" w:sz="6" w:space="0" w:color="auto"/>
              <w:left w:val="single" w:sz="8" w:space="0" w:color="auto"/>
              <w:bottom w:val="single" w:sz="4" w:space="0" w:color="auto"/>
              <w:right w:val="single" w:sz="8" w:space="0" w:color="auto"/>
            </w:tcBorders>
            <w:shd w:val="clear" w:color="auto" w:fill="auto"/>
            <w:noWrap/>
            <w:vAlign w:val="center"/>
          </w:tcPr>
          <w:p w14:paraId="55E701B6"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291F3B">
              <w:rPr>
                <w:rFonts w:ascii="Arial Narrow" w:eastAsia="Times New Roman" w:hAnsi="Arial Narrow" w:cs="Calibri"/>
                <w:color w:val="000000"/>
                <w:sz w:val="16"/>
                <w:szCs w:val="16"/>
              </w:rPr>
              <w:t>2</w:t>
            </w:r>
          </w:p>
        </w:tc>
        <w:tc>
          <w:tcPr>
            <w:tcW w:w="644" w:type="pct"/>
            <w:tcBorders>
              <w:top w:val="single" w:sz="6" w:space="0" w:color="auto"/>
              <w:left w:val="nil"/>
              <w:bottom w:val="single" w:sz="4" w:space="0" w:color="auto"/>
              <w:right w:val="single" w:sz="4" w:space="0" w:color="auto"/>
            </w:tcBorders>
            <w:shd w:val="clear" w:color="auto" w:fill="auto"/>
            <w:vAlign w:val="center"/>
          </w:tcPr>
          <w:p w14:paraId="1A397910"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Whether imported chemical substance is physically at reporting site</w:t>
            </w:r>
          </w:p>
        </w:tc>
        <w:tc>
          <w:tcPr>
            <w:tcW w:w="357" w:type="pct"/>
            <w:tcBorders>
              <w:top w:val="single" w:sz="6" w:space="0" w:color="auto"/>
              <w:left w:val="single" w:sz="4" w:space="0" w:color="auto"/>
              <w:bottom w:val="single" w:sz="4" w:space="0" w:color="auto"/>
              <w:right w:val="single" w:sz="4" w:space="0" w:color="auto"/>
            </w:tcBorders>
            <w:shd w:val="clear" w:color="auto" w:fill="auto"/>
            <w:noWrap/>
            <w:vAlign w:val="center"/>
          </w:tcPr>
          <w:p w14:paraId="29E61B67"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0.030</w:t>
            </w:r>
          </w:p>
        </w:tc>
        <w:tc>
          <w:tcPr>
            <w:tcW w:w="426" w:type="pct"/>
            <w:tcBorders>
              <w:top w:val="single" w:sz="6" w:space="0" w:color="auto"/>
              <w:left w:val="nil"/>
              <w:bottom w:val="single" w:sz="4" w:space="0" w:color="auto"/>
              <w:right w:val="single" w:sz="4" w:space="0" w:color="auto"/>
            </w:tcBorders>
            <w:shd w:val="clear" w:color="auto" w:fill="auto"/>
            <w:noWrap/>
            <w:vAlign w:val="center"/>
          </w:tcPr>
          <w:p w14:paraId="7BB607EB"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0.110</w:t>
            </w:r>
          </w:p>
        </w:tc>
        <w:tc>
          <w:tcPr>
            <w:tcW w:w="321" w:type="pct"/>
            <w:tcBorders>
              <w:top w:val="single" w:sz="6" w:space="0" w:color="auto"/>
              <w:left w:val="nil"/>
              <w:bottom w:val="single" w:sz="4" w:space="0" w:color="auto"/>
              <w:right w:val="single" w:sz="4" w:space="0" w:color="auto"/>
            </w:tcBorders>
            <w:shd w:val="clear" w:color="auto" w:fill="auto"/>
            <w:noWrap/>
            <w:vAlign w:val="center"/>
          </w:tcPr>
          <w:p w14:paraId="115AC9D8"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single" w:sz="6" w:space="0" w:color="auto"/>
              <w:left w:val="nil"/>
              <w:bottom w:val="single" w:sz="4" w:space="0" w:color="auto"/>
              <w:right w:val="single" w:sz="8" w:space="0" w:color="auto"/>
            </w:tcBorders>
            <w:shd w:val="clear" w:color="auto" w:fill="auto"/>
            <w:noWrap/>
            <w:vAlign w:val="center"/>
          </w:tcPr>
          <w:p w14:paraId="62FE2687"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0.140</w:t>
            </w:r>
          </w:p>
        </w:tc>
      </w:tr>
      <w:tr w:rsidR="00B934E7" w:rsidRPr="00B934E7" w14:paraId="5BBE064A" w14:textId="77777777" w:rsidTr="00B934E7">
        <w:tc>
          <w:tcPr>
            <w:tcW w:w="214" w:type="pct"/>
            <w:tcBorders>
              <w:top w:val="nil"/>
              <w:left w:val="single" w:sz="8" w:space="0" w:color="auto"/>
              <w:bottom w:val="single" w:sz="4" w:space="0" w:color="auto"/>
              <w:right w:val="single" w:sz="8" w:space="0" w:color="auto"/>
            </w:tcBorders>
            <w:shd w:val="clear" w:color="auto" w:fill="auto"/>
            <w:noWrap/>
            <w:vAlign w:val="center"/>
          </w:tcPr>
          <w:p w14:paraId="18094424"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291F3B">
              <w:rPr>
                <w:rFonts w:ascii="Arial Narrow" w:eastAsia="Times New Roman" w:hAnsi="Arial Narrow" w:cs="Calibri"/>
                <w:color w:val="000000"/>
                <w:sz w:val="16"/>
                <w:szCs w:val="16"/>
              </w:rPr>
              <w:t>2</w:t>
            </w:r>
          </w:p>
        </w:tc>
        <w:tc>
          <w:tcPr>
            <w:tcW w:w="640" w:type="pct"/>
            <w:tcBorders>
              <w:top w:val="nil"/>
              <w:left w:val="nil"/>
              <w:bottom w:val="single" w:sz="4" w:space="0" w:color="auto"/>
              <w:right w:val="single" w:sz="4" w:space="0" w:color="auto"/>
            </w:tcBorders>
            <w:shd w:val="clear" w:color="auto" w:fill="auto"/>
            <w:vAlign w:val="center"/>
          </w:tcPr>
          <w:p w14:paraId="3687E881"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Production Volume used on-site</w:t>
            </w:r>
          </w:p>
        </w:tc>
        <w:tc>
          <w:tcPr>
            <w:tcW w:w="427" w:type="pct"/>
            <w:tcBorders>
              <w:top w:val="nil"/>
              <w:left w:val="nil"/>
              <w:bottom w:val="single" w:sz="4" w:space="0" w:color="auto"/>
              <w:right w:val="single" w:sz="8" w:space="0" w:color="auto"/>
            </w:tcBorders>
            <w:shd w:val="clear" w:color="auto" w:fill="auto"/>
            <w:vAlign w:val="center"/>
          </w:tcPr>
          <w:p w14:paraId="16EF6506"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nil"/>
              <w:left w:val="single" w:sz="4" w:space="0" w:color="auto"/>
              <w:bottom w:val="single" w:sz="4" w:space="0" w:color="auto"/>
              <w:right w:val="single" w:sz="4" w:space="0" w:color="auto"/>
            </w:tcBorders>
            <w:shd w:val="clear" w:color="auto" w:fill="auto"/>
            <w:noWrap/>
            <w:vAlign w:val="center"/>
          </w:tcPr>
          <w:p w14:paraId="79034795"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0.050</w:t>
            </w:r>
          </w:p>
        </w:tc>
        <w:tc>
          <w:tcPr>
            <w:tcW w:w="356" w:type="pct"/>
            <w:tcBorders>
              <w:top w:val="nil"/>
              <w:left w:val="nil"/>
              <w:bottom w:val="single" w:sz="4" w:space="0" w:color="auto"/>
              <w:right w:val="single" w:sz="4" w:space="0" w:color="auto"/>
            </w:tcBorders>
            <w:shd w:val="clear" w:color="auto" w:fill="auto"/>
            <w:noWrap/>
            <w:vAlign w:val="center"/>
          </w:tcPr>
          <w:p w14:paraId="0DDE060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0.200</w:t>
            </w:r>
          </w:p>
        </w:tc>
        <w:tc>
          <w:tcPr>
            <w:tcW w:w="285" w:type="pct"/>
            <w:tcBorders>
              <w:top w:val="nil"/>
              <w:left w:val="nil"/>
              <w:bottom w:val="single" w:sz="4" w:space="0" w:color="auto"/>
              <w:right w:val="single" w:sz="4" w:space="0" w:color="auto"/>
            </w:tcBorders>
            <w:shd w:val="clear" w:color="auto" w:fill="auto"/>
            <w:noWrap/>
            <w:vAlign w:val="center"/>
          </w:tcPr>
          <w:p w14:paraId="19993D57"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tcPr>
          <w:p w14:paraId="26D2F87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0.250</w:t>
            </w:r>
          </w:p>
        </w:tc>
        <w:tc>
          <w:tcPr>
            <w:tcW w:w="214" w:type="pct"/>
            <w:tcBorders>
              <w:top w:val="nil"/>
              <w:left w:val="single" w:sz="8" w:space="0" w:color="auto"/>
              <w:bottom w:val="single" w:sz="4" w:space="0" w:color="auto"/>
              <w:right w:val="single" w:sz="8" w:space="0" w:color="auto"/>
            </w:tcBorders>
            <w:shd w:val="clear" w:color="auto" w:fill="auto"/>
            <w:noWrap/>
            <w:vAlign w:val="center"/>
          </w:tcPr>
          <w:p w14:paraId="0691C59F"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291F3B">
              <w:rPr>
                <w:rFonts w:ascii="Arial Narrow" w:eastAsia="Times New Roman" w:hAnsi="Arial Narrow" w:cs="Calibri"/>
                <w:color w:val="000000"/>
                <w:sz w:val="16"/>
                <w:szCs w:val="16"/>
              </w:rPr>
              <w:t>3</w:t>
            </w:r>
          </w:p>
        </w:tc>
        <w:tc>
          <w:tcPr>
            <w:tcW w:w="644" w:type="pct"/>
            <w:tcBorders>
              <w:top w:val="nil"/>
              <w:left w:val="nil"/>
              <w:bottom w:val="single" w:sz="4" w:space="0" w:color="auto"/>
              <w:right w:val="single" w:sz="4" w:space="0" w:color="auto"/>
            </w:tcBorders>
            <w:shd w:val="clear" w:color="auto" w:fill="auto"/>
            <w:vAlign w:val="center"/>
          </w:tcPr>
          <w:p w14:paraId="21570B94"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Production Volume used on-site</w:t>
            </w:r>
          </w:p>
        </w:tc>
        <w:tc>
          <w:tcPr>
            <w:tcW w:w="357" w:type="pct"/>
            <w:tcBorders>
              <w:top w:val="nil"/>
              <w:left w:val="single" w:sz="4" w:space="0" w:color="auto"/>
              <w:bottom w:val="single" w:sz="4" w:space="0" w:color="auto"/>
              <w:right w:val="single" w:sz="4" w:space="0" w:color="auto"/>
            </w:tcBorders>
            <w:shd w:val="clear" w:color="auto" w:fill="auto"/>
            <w:noWrap/>
            <w:vAlign w:val="center"/>
          </w:tcPr>
          <w:p w14:paraId="2363E3B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0.050</w:t>
            </w:r>
          </w:p>
        </w:tc>
        <w:tc>
          <w:tcPr>
            <w:tcW w:w="426" w:type="pct"/>
            <w:tcBorders>
              <w:top w:val="nil"/>
              <w:left w:val="nil"/>
              <w:bottom w:val="single" w:sz="4" w:space="0" w:color="auto"/>
              <w:right w:val="single" w:sz="4" w:space="0" w:color="auto"/>
            </w:tcBorders>
            <w:shd w:val="clear" w:color="auto" w:fill="auto"/>
            <w:noWrap/>
            <w:vAlign w:val="center"/>
          </w:tcPr>
          <w:p w14:paraId="4A22B63F"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0.200</w:t>
            </w:r>
          </w:p>
        </w:tc>
        <w:tc>
          <w:tcPr>
            <w:tcW w:w="321" w:type="pct"/>
            <w:tcBorders>
              <w:top w:val="nil"/>
              <w:left w:val="nil"/>
              <w:bottom w:val="single" w:sz="4" w:space="0" w:color="auto"/>
              <w:right w:val="single" w:sz="4" w:space="0" w:color="auto"/>
            </w:tcBorders>
            <w:shd w:val="clear" w:color="auto" w:fill="auto"/>
            <w:noWrap/>
            <w:vAlign w:val="center"/>
          </w:tcPr>
          <w:p w14:paraId="30B66A86"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tcPr>
          <w:p w14:paraId="61217623"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0.250</w:t>
            </w:r>
          </w:p>
        </w:tc>
      </w:tr>
      <w:tr w:rsidR="00B934E7" w:rsidRPr="00B934E7" w14:paraId="444B9D67" w14:textId="77777777" w:rsidTr="00B934E7">
        <w:tc>
          <w:tcPr>
            <w:tcW w:w="214" w:type="pct"/>
            <w:tcBorders>
              <w:top w:val="nil"/>
              <w:left w:val="single" w:sz="8" w:space="0" w:color="auto"/>
              <w:bottom w:val="single" w:sz="4" w:space="0" w:color="auto"/>
              <w:right w:val="single" w:sz="8" w:space="0" w:color="auto"/>
            </w:tcBorders>
            <w:shd w:val="clear" w:color="auto" w:fill="auto"/>
            <w:noWrap/>
            <w:vAlign w:val="center"/>
          </w:tcPr>
          <w:p w14:paraId="24041C1A"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291F3B">
              <w:rPr>
                <w:rFonts w:ascii="Arial Narrow" w:eastAsia="Times New Roman" w:hAnsi="Arial Narrow" w:cs="Calibri"/>
                <w:color w:val="000000"/>
                <w:sz w:val="16"/>
                <w:szCs w:val="16"/>
              </w:rPr>
              <w:t>3</w:t>
            </w:r>
          </w:p>
        </w:tc>
        <w:tc>
          <w:tcPr>
            <w:tcW w:w="640" w:type="pct"/>
            <w:tcBorders>
              <w:top w:val="nil"/>
              <w:left w:val="nil"/>
              <w:bottom w:val="single" w:sz="4" w:space="0" w:color="auto"/>
              <w:right w:val="single" w:sz="4" w:space="0" w:color="auto"/>
            </w:tcBorders>
            <w:shd w:val="clear" w:color="auto" w:fill="auto"/>
            <w:vAlign w:val="center"/>
          </w:tcPr>
          <w:p w14:paraId="4CB6D568"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Volume exported</w:t>
            </w:r>
          </w:p>
        </w:tc>
        <w:tc>
          <w:tcPr>
            <w:tcW w:w="427" w:type="pct"/>
            <w:tcBorders>
              <w:top w:val="nil"/>
              <w:left w:val="nil"/>
              <w:bottom w:val="single" w:sz="4" w:space="0" w:color="auto"/>
              <w:right w:val="single" w:sz="8" w:space="0" w:color="auto"/>
            </w:tcBorders>
            <w:shd w:val="clear" w:color="auto" w:fill="auto"/>
            <w:vAlign w:val="center"/>
          </w:tcPr>
          <w:p w14:paraId="1D25C6F5"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nil"/>
              <w:left w:val="single" w:sz="4" w:space="0" w:color="auto"/>
              <w:bottom w:val="single" w:sz="4" w:space="0" w:color="auto"/>
              <w:right w:val="single" w:sz="4" w:space="0" w:color="auto"/>
            </w:tcBorders>
            <w:shd w:val="clear" w:color="auto" w:fill="auto"/>
            <w:noWrap/>
            <w:vAlign w:val="center"/>
          </w:tcPr>
          <w:p w14:paraId="4D4E661E"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0.250</w:t>
            </w:r>
          </w:p>
        </w:tc>
        <w:tc>
          <w:tcPr>
            <w:tcW w:w="356" w:type="pct"/>
            <w:tcBorders>
              <w:top w:val="nil"/>
              <w:left w:val="nil"/>
              <w:bottom w:val="single" w:sz="4" w:space="0" w:color="auto"/>
              <w:right w:val="single" w:sz="4" w:space="0" w:color="auto"/>
            </w:tcBorders>
            <w:shd w:val="clear" w:color="auto" w:fill="auto"/>
            <w:noWrap/>
            <w:vAlign w:val="center"/>
          </w:tcPr>
          <w:p w14:paraId="53B060D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1.030</w:t>
            </w:r>
          </w:p>
        </w:tc>
        <w:tc>
          <w:tcPr>
            <w:tcW w:w="285" w:type="pct"/>
            <w:tcBorders>
              <w:top w:val="nil"/>
              <w:left w:val="nil"/>
              <w:bottom w:val="single" w:sz="4" w:space="0" w:color="auto"/>
              <w:right w:val="single" w:sz="4" w:space="0" w:color="auto"/>
            </w:tcBorders>
            <w:shd w:val="clear" w:color="auto" w:fill="auto"/>
            <w:noWrap/>
            <w:vAlign w:val="center"/>
          </w:tcPr>
          <w:p w14:paraId="307F1C8D"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tcPr>
          <w:p w14:paraId="177712E9"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1.280</w:t>
            </w:r>
          </w:p>
        </w:tc>
        <w:tc>
          <w:tcPr>
            <w:tcW w:w="214" w:type="pct"/>
            <w:tcBorders>
              <w:top w:val="nil"/>
              <w:left w:val="single" w:sz="8" w:space="0" w:color="auto"/>
              <w:bottom w:val="single" w:sz="4" w:space="0" w:color="auto"/>
              <w:right w:val="single" w:sz="8" w:space="0" w:color="auto"/>
            </w:tcBorders>
            <w:shd w:val="clear" w:color="auto" w:fill="auto"/>
            <w:noWrap/>
            <w:vAlign w:val="center"/>
          </w:tcPr>
          <w:p w14:paraId="4E1D2546"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291F3B">
              <w:rPr>
                <w:rFonts w:ascii="Arial Narrow" w:eastAsia="Times New Roman" w:hAnsi="Arial Narrow" w:cs="Calibri"/>
                <w:color w:val="000000"/>
                <w:sz w:val="16"/>
                <w:szCs w:val="16"/>
              </w:rPr>
              <w:t>4</w:t>
            </w:r>
          </w:p>
        </w:tc>
        <w:tc>
          <w:tcPr>
            <w:tcW w:w="644" w:type="pct"/>
            <w:tcBorders>
              <w:top w:val="nil"/>
              <w:left w:val="nil"/>
              <w:bottom w:val="single" w:sz="4" w:space="0" w:color="auto"/>
              <w:right w:val="single" w:sz="4" w:space="0" w:color="auto"/>
            </w:tcBorders>
            <w:shd w:val="clear" w:color="auto" w:fill="auto"/>
            <w:vAlign w:val="center"/>
          </w:tcPr>
          <w:p w14:paraId="4F2BC3D9"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Volume exported</w:t>
            </w:r>
          </w:p>
        </w:tc>
        <w:tc>
          <w:tcPr>
            <w:tcW w:w="357" w:type="pct"/>
            <w:tcBorders>
              <w:top w:val="nil"/>
              <w:left w:val="single" w:sz="4" w:space="0" w:color="auto"/>
              <w:bottom w:val="single" w:sz="4" w:space="0" w:color="auto"/>
              <w:right w:val="single" w:sz="4" w:space="0" w:color="auto"/>
            </w:tcBorders>
            <w:shd w:val="clear" w:color="auto" w:fill="auto"/>
            <w:noWrap/>
            <w:vAlign w:val="center"/>
          </w:tcPr>
          <w:p w14:paraId="5D05385E"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0.250</w:t>
            </w:r>
          </w:p>
        </w:tc>
        <w:tc>
          <w:tcPr>
            <w:tcW w:w="426" w:type="pct"/>
            <w:tcBorders>
              <w:top w:val="nil"/>
              <w:left w:val="nil"/>
              <w:bottom w:val="single" w:sz="4" w:space="0" w:color="auto"/>
              <w:right w:val="single" w:sz="4" w:space="0" w:color="auto"/>
            </w:tcBorders>
            <w:shd w:val="clear" w:color="auto" w:fill="auto"/>
            <w:noWrap/>
            <w:vAlign w:val="center"/>
          </w:tcPr>
          <w:p w14:paraId="2C50548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1.030</w:t>
            </w:r>
          </w:p>
        </w:tc>
        <w:tc>
          <w:tcPr>
            <w:tcW w:w="321" w:type="pct"/>
            <w:tcBorders>
              <w:top w:val="nil"/>
              <w:left w:val="nil"/>
              <w:bottom w:val="single" w:sz="4" w:space="0" w:color="auto"/>
              <w:right w:val="single" w:sz="4" w:space="0" w:color="auto"/>
            </w:tcBorders>
            <w:shd w:val="clear" w:color="auto" w:fill="auto"/>
            <w:noWrap/>
            <w:vAlign w:val="center"/>
          </w:tcPr>
          <w:p w14:paraId="20C690FD"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tcPr>
          <w:p w14:paraId="7CB4EF4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1.280</w:t>
            </w:r>
          </w:p>
        </w:tc>
      </w:tr>
      <w:tr w:rsidR="00B934E7" w:rsidRPr="00B934E7" w14:paraId="68995258" w14:textId="77777777" w:rsidTr="00B934E7">
        <w:tc>
          <w:tcPr>
            <w:tcW w:w="214" w:type="pct"/>
            <w:tcBorders>
              <w:top w:val="nil"/>
              <w:left w:val="single" w:sz="8" w:space="0" w:color="auto"/>
              <w:bottom w:val="single" w:sz="4" w:space="0" w:color="auto"/>
              <w:right w:val="single" w:sz="8" w:space="0" w:color="auto"/>
            </w:tcBorders>
            <w:shd w:val="clear" w:color="auto" w:fill="auto"/>
            <w:noWrap/>
            <w:vAlign w:val="center"/>
          </w:tcPr>
          <w:p w14:paraId="23E25DF3"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291F3B">
              <w:rPr>
                <w:rFonts w:ascii="Arial Narrow" w:eastAsia="Times New Roman" w:hAnsi="Arial Narrow" w:cs="Calibri"/>
                <w:color w:val="000000"/>
                <w:sz w:val="16"/>
                <w:szCs w:val="16"/>
              </w:rPr>
              <w:t>4</w:t>
            </w:r>
          </w:p>
        </w:tc>
        <w:tc>
          <w:tcPr>
            <w:tcW w:w="640" w:type="pct"/>
            <w:tcBorders>
              <w:top w:val="nil"/>
              <w:left w:val="nil"/>
              <w:bottom w:val="single" w:sz="4" w:space="0" w:color="auto"/>
              <w:right w:val="single" w:sz="4" w:space="0" w:color="auto"/>
            </w:tcBorders>
            <w:shd w:val="clear" w:color="auto" w:fill="auto"/>
            <w:vAlign w:val="center"/>
          </w:tcPr>
          <w:p w14:paraId="3E3AEB79"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Total Number of Workers</w:t>
            </w:r>
          </w:p>
        </w:tc>
        <w:tc>
          <w:tcPr>
            <w:tcW w:w="427" w:type="pct"/>
            <w:tcBorders>
              <w:top w:val="nil"/>
              <w:left w:val="nil"/>
              <w:bottom w:val="single" w:sz="4" w:space="0" w:color="auto"/>
              <w:right w:val="single" w:sz="8" w:space="0" w:color="auto"/>
            </w:tcBorders>
            <w:shd w:val="clear" w:color="auto" w:fill="auto"/>
            <w:vAlign w:val="center"/>
          </w:tcPr>
          <w:p w14:paraId="756863A2"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nil"/>
              <w:left w:val="single" w:sz="4" w:space="0" w:color="auto"/>
              <w:bottom w:val="single" w:sz="4" w:space="0" w:color="auto"/>
              <w:right w:val="single" w:sz="4" w:space="0" w:color="auto"/>
            </w:tcBorders>
            <w:shd w:val="clear" w:color="auto" w:fill="auto"/>
            <w:noWrap/>
            <w:vAlign w:val="center"/>
          </w:tcPr>
          <w:p w14:paraId="40C34685"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0.590</w:t>
            </w:r>
          </w:p>
        </w:tc>
        <w:tc>
          <w:tcPr>
            <w:tcW w:w="356" w:type="pct"/>
            <w:tcBorders>
              <w:top w:val="nil"/>
              <w:left w:val="nil"/>
              <w:bottom w:val="single" w:sz="4" w:space="0" w:color="auto"/>
              <w:right w:val="single" w:sz="4" w:space="0" w:color="auto"/>
            </w:tcBorders>
            <w:shd w:val="clear" w:color="auto" w:fill="auto"/>
            <w:noWrap/>
            <w:vAlign w:val="center"/>
          </w:tcPr>
          <w:p w14:paraId="1E754225"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1.430</w:t>
            </w:r>
          </w:p>
        </w:tc>
        <w:tc>
          <w:tcPr>
            <w:tcW w:w="285" w:type="pct"/>
            <w:tcBorders>
              <w:top w:val="nil"/>
              <w:left w:val="nil"/>
              <w:bottom w:val="single" w:sz="4" w:space="0" w:color="auto"/>
              <w:right w:val="single" w:sz="4" w:space="0" w:color="auto"/>
            </w:tcBorders>
            <w:shd w:val="clear" w:color="auto" w:fill="auto"/>
            <w:noWrap/>
            <w:vAlign w:val="center"/>
          </w:tcPr>
          <w:p w14:paraId="13775984"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tcPr>
          <w:p w14:paraId="64B1C8C9"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2.020</w:t>
            </w:r>
          </w:p>
        </w:tc>
        <w:tc>
          <w:tcPr>
            <w:tcW w:w="214" w:type="pct"/>
            <w:tcBorders>
              <w:top w:val="nil"/>
              <w:left w:val="single" w:sz="8" w:space="0" w:color="auto"/>
              <w:bottom w:val="single" w:sz="4" w:space="0" w:color="auto"/>
              <w:right w:val="single" w:sz="8" w:space="0" w:color="auto"/>
            </w:tcBorders>
            <w:shd w:val="clear" w:color="auto" w:fill="auto"/>
            <w:noWrap/>
            <w:vAlign w:val="center"/>
          </w:tcPr>
          <w:p w14:paraId="1370AAD4"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291F3B">
              <w:rPr>
                <w:rFonts w:ascii="Arial Narrow" w:eastAsia="Times New Roman" w:hAnsi="Arial Narrow" w:cs="Calibri"/>
                <w:color w:val="000000"/>
                <w:sz w:val="16"/>
                <w:szCs w:val="16"/>
              </w:rPr>
              <w:t>5</w:t>
            </w:r>
          </w:p>
        </w:tc>
        <w:tc>
          <w:tcPr>
            <w:tcW w:w="644" w:type="pct"/>
            <w:tcBorders>
              <w:top w:val="nil"/>
              <w:left w:val="nil"/>
              <w:bottom w:val="single" w:sz="4" w:space="0" w:color="auto"/>
              <w:right w:val="single" w:sz="4" w:space="0" w:color="auto"/>
            </w:tcBorders>
            <w:shd w:val="clear" w:color="auto" w:fill="auto"/>
            <w:vAlign w:val="center"/>
          </w:tcPr>
          <w:p w14:paraId="64563864"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Total Number of Workers</w:t>
            </w:r>
          </w:p>
        </w:tc>
        <w:tc>
          <w:tcPr>
            <w:tcW w:w="357" w:type="pct"/>
            <w:tcBorders>
              <w:top w:val="nil"/>
              <w:left w:val="single" w:sz="4" w:space="0" w:color="auto"/>
              <w:bottom w:val="single" w:sz="4" w:space="0" w:color="auto"/>
              <w:right w:val="single" w:sz="4" w:space="0" w:color="auto"/>
            </w:tcBorders>
            <w:shd w:val="clear" w:color="auto" w:fill="auto"/>
            <w:noWrap/>
            <w:vAlign w:val="center"/>
          </w:tcPr>
          <w:p w14:paraId="5ABE491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0.590</w:t>
            </w:r>
          </w:p>
        </w:tc>
        <w:tc>
          <w:tcPr>
            <w:tcW w:w="426" w:type="pct"/>
            <w:tcBorders>
              <w:top w:val="nil"/>
              <w:left w:val="nil"/>
              <w:bottom w:val="single" w:sz="4" w:space="0" w:color="auto"/>
              <w:right w:val="single" w:sz="4" w:space="0" w:color="auto"/>
            </w:tcBorders>
            <w:shd w:val="clear" w:color="auto" w:fill="auto"/>
            <w:noWrap/>
            <w:vAlign w:val="center"/>
          </w:tcPr>
          <w:p w14:paraId="5105EADD"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1.430</w:t>
            </w:r>
          </w:p>
        </w:tc>
        <w:tc>
          <w:tcPr>
            <w:tcW w:w="321" w:type="pct"/>
            <w:tcBorders>
              <w:top w:val="nil"/>
              <w:left w:val="nil"/>
              <w:bottom w:val="single" w:sz="4" w:space="0" w:color="auto"/>
              <w:right w:val="single" w:sz="4" w:space="0" w:color="auto"/>
            </w:tcBorders>
            <w:shd w:val="clear" w:color="auto" w:fill="auto"/>
            <w:noWrap/>
            <w:vAlign w:val="center"/>
          </w:tcPr>
          <w:p w14:paraId="6B100A6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tcPr>
          <w:p w14:paraId="616B333B"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2.020</w:t>
            </w:r>
          </w:p>
        </w:tc>
      </w:tr>
      <w:tr w:rsidR="00B934E7" w:rsidRPr="00B934E7" w14:paraId="0EE95AD9" w14:textId="77777777" w:rsidTr="00B934E7">
        <w:tc>
          <w:tcPr>
            <w:tcW w:w="214" w:type="pct"/>
            <w:tcBorders>
              <w:top w:val="nil"/>
              <w:left w:val="single" w:sz="8" w:space="0" w:color="auto"/>
              <w:bottom w:val="single" w:sz="4" w:space="0" w:color="auto"/>
              <w:right w:val="single" w:sz="8" w:space="0" w:color="auto"/>
            </w:tcBorders>
            <w:shd w:val="clear" w:color="auto" w:fill="auto"/>
            <w:noWrap/>
            <w:vAlign w:val="center"/>
          </w:tcPr>
          <w:p w14:paraId="5CF8FA18"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291F3B">
              <w:rPr>
                <w:rFonts w:ascii="Arial Narrow" w:eastAsia="Times New Roman" w:hAnsi="Arial Narrow" w:cs="Calibri"/>
                <w:color w:val="000000"/>
                <w:sz w:val="16"/>
                <w:szCs w:val="16"/>
              </w:rPr>
              <w:t>5</w:t>
            </w:r>
          </w:p>
        </w:tc>
        <w:tc>
          <w:tcPr>
            <w:tcW w:w="640" w:type="pct"/>
            <w:tcBorders>
              <w:top w:val="nil"/>
              <w:left w:val="nil"/>
              <w:bottom w:val="single" w:sz="4" w:space="0" w:color="auto"/>
              <w:right w:val="single" w:sz="4" w:space="0" w:color="auto"/>
            </w:tcBorders>
            <w:shd w:val="clear" w:color="auto" w:fill="auto"/>
            <w:vAlign w:val="center"/>
          </w:tcPr>
          <w:p w14:paraId="569F5BC9"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Maximum Concentration, Physical Form, Percent Volume of Production</w:t>
            </w:r>
          </w:p>
        </w:tc>
        <w:tc>
          <w:tcPr>
            <w:tcW w:w="427" w:type="pct"/>
            <w:tcBorders>
              <w:top w:val="nil"/>
              <w:left w:val="nil"/>
              <w:bottom w:val="single" w:sz="4" w:space="0" w:color="auto"/>
              <w:right w:val="single" w:sz="8" w:space="0" w:color="auto"/>
            </w:tcBorders>
            <w:shd w:val="clear" w:color="auto" w:fill="auto"/>
            <w:vAlign w:val="center"/>
          </w:tcPr>
          <w:p w14:paraId="3A910B88"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nil"/>
              <w:left w:val="single" w:sz="4" w:space="0" w:color="auto"/>
              <w:bottom w:val="single" w:sz="4" w:space="0" w:color="auto"/>
              <w:right w:val="single" w:sz="4" w:space="0" w:color="auto"/>
            </w:tcBorders>
            <w:shd w:val="clear" w:color="auto" w:fill="auto"/>
            <w:noWrap/>
            <w:vAlign w:val="center"/>
          </w:tcPr>
          <w:p w14:paraId="69742E4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1.070</w:t>
            </w:r>
          </w:p>
        </w:tc>
        <w:tc>
          <w:tcPr>
            <w:tcW w:w="356" w:type="pct"/>
            <w:tcBorders>
              <w:top w:val="nil"/>
              <w:left w:val="nil"/>
              <w:bottom w:val="single" w:sz="4" w:space="0" w:color="auto"/>
              <w:right w:val="single" w:sz="4" w:space="0" w:color="auto"/>
            </w:tcBorders>
            <w:shd w:val="clear" w:color="auto" w:fill="auto"/>
            <w:noWrap/>
            <w:vAlign w:val="center"/>
          </w:tcPr>
          <w:p w14:paraId="291F694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2.790</w:t>
            </w:r>
          </w:p>
        </w:tc>
        <w:tc>
          <w:tcPr>
            <w:tcW w:w="285" w:type="pct"/>
            <w:tcBorders>
              <w:top w:val="nil"/>
              <w:left w:val="nil"/>
              <w:bottom w:val="single" w:sz="4" w:space="0" w:color="auto"/>
              <w:right w:val="single" w:sz="4" w:space="0" w:color="auto"/>
            </w:tcBorders>
            <w:shd w:val="clear" w:color="auto" w:fill="auto"/>
            <w:noWrap/>
            <w:vAlign w:val="center"/>
          </w:tcPr>
          <w:p w14:paraId="35159CD5"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tcPr>
          <w:p w14:paraId="192E7664"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3.860</w:t>
            </w:r>
          </w:p>
        </w:tc>
        <w:tc>
          <w:tcPr>
            <w:tcW w:w="214" w:type="pct"/>
            <w:tcBorders>
              <w:top w:val="nil"/>
              <w:left w:val="single" w:sz="8" w:space="0" w:color="auto"/>
              <w:bottom w:val="single" w:sz="4" w:space="0" w:color="auto"/>
              <w:right w:val="single" w:sz="8" w:space="0" w:color="auto"/>
            </w:tcBorders>
            <w:shd w:val="clear" w:color="auto" w:fill="auto"/>
            <w:noWrap/>
            <w:vAlign w:val="center"/>
          </w:tcPr>
          <w:p w14:paraId="26809A18"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291F3B">
              <w:rPr>
                <w:rFonts w:ascii="Arial Narrow" w:eastAsia="Times New Roman" w:hAnsi="Arial Narrow" w:cs="Calibri"/>
                <w:color w:val="000000"/>
                <w:sz w:val="16"/>
                <w:szCs w:val="16"/>
              </w:rPr>
              <w:t>6</w:t>
            </w:r>
          </w:p>
        </w:tc>
        <w:tc>
          <w:tcPr>
            <w:tcW w:w="644" w:type="pct"/>
            <w:tcBorders>
              <w:top w:val="nil"/>
              <w:left w:val="nil"/>
              <w:bottom w:val="single" w:sz="4" w:space="0" w:color="auto"/>
              <w:right w:val="single" w:sz="4" w:space="0" w:color="auto"/>
            </w:tcBorders>
            <w:shd w:val="clear" w:color="auto" w:fill="auto"/>
            <w:vAlign w:val="center"/>
          </w:tcPr>
          <w:p w14:paraId="2EA4544D"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Maximum Concentration, Physical Form, Percent Volume of Production</w:t>
            </w:r>
          </w:p>
        </w:tc>
        <w:tc>
          <w:tcPr>
            <w:tcW w:w="357" w:type="pct"/>
            <w:tcBorders>
              <w:top w:val="nil"/>
              <w:left w:val="single" w:sz="4" w:space="0" w:color="auto"/>
              <w:bottom w:val="single" w:sz="4" w:space="0" w:color="auto"/>
              <w:right w:val="single" w:sz="4" w:space="0" w:color="auto"/>
            </w:tcBorders>
            <w:shd w:val="clear" w:color="auto" w:fill="auto"/>
            <w:noWrap/>
            <w:vAlign w:val="center"/>
          </w:tcPr>
          <w:p w14:paraId="7142CFAF"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1.070</w:t>
            </w:r>
          </w:p>
        </w:tc>
        <w:tc>
          <w:tcPr>
            <w:tcW w:w="426" w:type="pct"/>
            <w:tcBorders>
              <w:top w:val="nil"/>
              <w:left w:val="nil"/>
              <w:bottom w:val="single" w:sz="4" w:space="0" w:color="auto"/>
              <w:right w:val="single" w:sz="4" w:space="0" w:color="auto"/>
            </w:tcBorders>
            <w:shd w:val="clear" w:color="auto" w:fill="auto"/>
            <w:noWrap/>
            <w:vAlign w:val="center"/>
          </w:tcPr>
          <w:p w14:paraId="2B2651E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2.790</w:t>
            </w:r>
          </w:p>
        </w:tc>
        <w:tc>
          <w:tcPr>
            <w:tcW w:w="321" w:type="pct"/>
            <w:tcBorders>
              <w:top w:val="nil"/>
              <w:left w:val="nil"/>
              <w:bottom w:val="single" w:sz="4" w:space="0" w:color="auto"/>
              <w:right w:val="single" w:sz="4" w:space="0" w:color="auto"/>
            </w:tcBorders>
            <w:shd w:val="clear" w:color="auto" w:fill="auto"/>
            <w:noWrap/>
            <w:vAlign w:val="center"/>
          </w:tcPr>
          <w:p w14:paraId="781FEE64"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tcPr>
          <w:p w14:paraId="7C09615E"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3.860</w:t>
            </w:r>
          </w:p>
        </w:tc>
      </w:tr>
      <w:tr w:rsidR="00B934E7" w:rsidRPr="00B934E7" w14:paraId="2F1F96D8" w14:textId="77777777" w:rsidTr="00B934E7">
        <w:tc>
          <w:tcPr>
            <w:tcW w:w="214" w:type="pct"/>
            <w:tcBorders>
              <w:top w:val="nil"/>
              <w:left w:val="single" w:sz="8" w:space="0" w:color="auto"/>
              <w:bottom w:val="single" w:sz="4" w:space="0" w:color="auto"/>
              <w:right w:val="single" w:sz="8" w:space="0" w:color="auto"/>
            </w:tcBorders>
            <w:shd w:val="clear" w:color="auto" w:fill="auto"/>
            <w:noWrap/>
            <w:vAlign w:val="center"/>
          </w:tcPr>
          <w:p w14:paraId="294EE883"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291F3B">
              <w:rPr>
                <w:rFonts w:ascii="Arial Narrow" w:eastAsia="Times New Roman" w:hAnsi="Arial Narrow" w:cs="Calibri"/>
                <w:color w:val="000000"/>
                <w:sz w:val="16"/>
                <w:szCs w:val="16"/>
              </w:rPr>
              <w:t>6</w:t>
            </w:r>
          </w:p>
        </w:tc>
        <w:tc>
          <w:tcPr>
            <w:tcW w:w="640" w:type="pct"/>
            <w:tcBorders>
              <w:top w:val="nil"/>
              <w:left w:val="nil"/>
              <w:bottom w:val="single" w:sz="4" w:space="0" w:color="auto"/>
              <w:right w:val="single" w:sz="4" w:space="0" w:color="auto"/>
            </w:tcBorders>
            <w:shd w:val="clear" w:color="auto" w:fill="auto"/>
            <w:vAlign w:val="center"/>
          </w:tcPr>
          <w:p w14:paraId="533AAD79"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Whether a chemical substance is to be recycled, remanufactured, reprocessed, or reused.</w:t>
            </w:r>
          </w:p>
        </w:tc>
        <w:tc>
          <w:tcPr>
            <w:tcW w:w="427" w:type="pct"/>
            <w:tcBorders>
              <w:top w:val="nil"/>
              <w:left w:val="nil"/>
              <w:bottom w:val="single" w:sz="4" w:space="0" w:color="auto"/>
              <w:right w:val="single" w:sz="8" w:space="0" w:color="auto"/>
            </w:tcBorders>
            <w:shd w:val="clear" w:color="auto" w:fill="auto"/>
            <w:vAlign w:val="center"/>
          </w:tcPr>
          <w:p w14:paraId="0D1DEA87"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nil"/>
              <w:left w:val="single" w:sz="4" w:space="0" w:color="auto"/>
              <w:bottom w:val="single" w:sz="4" w:space="0" w:color="auto"/>
              <w:right w:val="single" w:sz="4" w:space="0" w:color="auto"/>
            </w:tcBorders>
            <w:shd w:val="clear" w:color="auto" w:fill="auto"/>
            <w:noWrap/>
            <w:vAlign w:val="center"/>
          </w:tcPr>
          <w:p w14:paraId="4FBB0247"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0.030</w:t>
            </w:r>
          </w:p>
        </w:tc>
        <w:tc>
          <w:tcPr>
            <w:tcW w:w="356" w:type="pct"/>
            <w:tcBorders>
              <w:top w:val="nil"/>
              <w:left w:val="nil"/>
              <w:bottom w:val="single" w:sz="4" w:space="0" w:color="auto"/>
              <w:right w:val="single" w:sz="4" w:space="0" w:color="auto"/>
            </w:tcBorders>
            <w:shd w:val="clear" w:color="auto" w:fill="auto"/>
            <w:noWrap/>
            <w:vAlign w:val="center"/>
          </w:tcPr>
          <w:p w14:paraId="54533156"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0.110</w:t>
            </w:r>
          </w:p>
        </w:tc>
        <w:tc>
          <w:tcPr>
            <w:tcW w:w="285" w:type="pct"/>
            <w:tcBorders>
              <w:top w:val="nil"/>
              <w:left w:val="nil"/>
              <w:bottom w:val="single" w:sz="4" w:space="0" w:color="auto"/>
              <w:right w:val="single" w:sz="4" w:space="0" w:color="auto"/>
            </w:tcBorders>
            <w:shd w:val="clear" w:color="auto" w:fill="auto"/>
            <w:noWrap/>
            <w:vAlign w:val="center"/>
          </w:tcPr>
          <w:p w14:paraId="16989E64"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tcPr>
          <w:p w14:paraId="78011640"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0.140</w:t>
            </w:r>
          </w:p>
        </w:tc>
        <w:tc>
          <w:tcPr>
            <w:tcW w:w="214" w:type="pct"/>
            <w:tcBorders>
              <w:top w:val="nil"/>
              <w:left w:val="single" w:sz="8" w:space="0" w:color="auto"/>
              <w:bottom w:val="single" w:sz="4" w:space="0" w:color="auto"/>
              <w:right w:val="single" w:sz="8" w:space="0" w:color="auto"/>
            </w:tcBorders>
            <w:shd w:val="clear" w:color="auto" w:fill="auto"/>
            <w:noWrap/>
            <w:vAlign w:val="center"/>
          </w:tcPr>
          <w:p w14:paraId="5CBF90BB"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291F3B">
              <w:rPr>
                <w:rFonts w:ascii="Arial Narrow" w:eastAsia="Times New Roman" w:hAnsi="Arial Narrow" w:cs="Calibri"/>
                <w:color w:val="000000"/>
                <w:sz w:val="16"/>
                <w:szCs w:val="16"/>
              </w:rPr>
              <w:t>7</w:t>
            </w:r>
          </w:p>
        </w:tc>
        <w:tc>
          <w:tcPr>
            <w:tcW w:w="644" w:type="pct"/>
            <w:tcBorders>
              <w:top w:val="nil"/>
              <w:left w:val="nil"/>
              <w:bottom w:val="single" w:sz="4" w:space="0" w:color="auto"/>
              <w:right w:val="single" w:sz="4" w:space="0" w:color="auto"/>
            </w:tcBorders>
            <w:shd w:val="clear" w:color="auto" w:fill="auto"/>
            <w:vAlign w:val="center"/>
          </w:tcPr>
          <w:p w14:paraId="3C203CF6"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Whether a chemical substance is to be recycled, remanufactured, reprocessed, or reused.</w:t>
            </w:r>
          </w:p>
        </w:tc>
        <w:tc>
          <w:tcPr>
            <w:tcW w:w="357" w:type="pct"/>
            <w:tcBorders>
              <w:top w:val="nil"/>
              <w:left w:val="single" w:sz="4" w:space="0" w:color="auto"/>
              <w:bottom w:val="single" w:sz="4" w:space="0" w:color="auto"/>
              <w:right w:val="single" w:sz="4" w:space="0" w:color="auto"/>
            </w:tcBorders>
            <w:shd w:val="clear" w:color="auto" w:fill="auto"/>
            <w:noWrap/>
            <w:vAlign w:val="center"/>
          </w:tcPr>
          <w:p w14:paraId="3BCF79D7"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0.030</w:t>
            </w:r>
          </w:p>
        </w:tc>
        <w:tc>
          <w:tcPr>
            <w:tcW w:w="426" w:type="pct"/>
            <w:tcBorders>
              <w:top w:val="nil"/>
              <w:left w:val="nil"/>
              <w:bottom w:val="single" w:sz="4" w:space="0" w:color="auto"/>
              <w:right w:val="single" w:sz="4" w:space="0" w:color="auto"/>
            </w:tcBorders>
            <w:shd w:val="clear" w:color="auto" w:fill="auto"/>
            <w:noWrap/>
            <w:vAlign w:val="center"/>
          </w:tcPr>
          <w:p w14:paraId="21820A18"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0.110</w:t>
            </w:r>
          </w:p>
        </w:tc>
        <w:tc>
          <w:tcPr>
            <w:tcW w:w="321" w:type="pct"/>
            <w:tcBorders>
              <w:top w:val="nil"/>
              <w:left w:val="nil"/>
              <w:bottom w:val="single" w:sz="4" w:space="0" w:color="auto"/>
              <w:right w:val="single" w:sz="4" w:space="0" w:color="auto"/>
            </w:tcBorders>
            <w:shd w:val="clear" w:color="auto" w:fill="auto"/>
            <w:noWrap/>
            <w:vAlign w:val="center"/>
          </w:tcPr>
          <w:p w14:paraId="14C9FE28"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tcPr>
          <w:p w14:paraId="24280A4B"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0.140</w:t>
            </w:r>
          </w:p>
        </w:tc>
      </w:tr>
      <w:tr w:rsidR="00B934E7" w:rsidRPr="00B934E7" w14:paraId="47DE6462" w14:textId="77777777" w:rsidTr="00B934E7">
        <w:tc>
          <w:tcPr>
            <w:tcW w:w="214" w:type="pct"/>
            <w:tcBorders>
              <w:top w:val="nil"/>
              <w:left w:val="single" w:sz="8" w:space="0" w:color="auto"/>
              <w:bottom w:val="single" w:sz="4" w:space="0" w:color="auto"/>
              <w:right w:val="single" w:sz="8" w:space="0" w:color="auto"/>
            </w:tcBorders>
            <w:shd w:val="clear" w:color="auto" w:fill="auto"/>
            <w:noWrap/>
            <w:vAlign w:val="center"/>
          </w:tcPr>
          <w:p w14:paraId="69EAADC4"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291F3B">
              <w:rPr>
                <w:rFonts w:ascii="Arial Narrow" w:eastAsia="Times New Roman" w:hAnsi="Arial Narrow" w:cs="Calibri"/>
                <w:color w:val="000000"/>
                <w:sz w:val="16"/>
                <w:szCs w:val="16"/>
              </w:rPr>
              <w:t>7</w:t>
            </w:r>
          </w:p>
        </w:tc>
        <w:tc>
          <w:tcPr>
            <w:tcW w:w="640" w:type="pct"/>
            <w:tcBorders>
              <w:top w:val="nil"/>
              <w:left w:val="nil"/>
              <w:bottom w:val="single" w:sz="4" w:space="0" w:color="auto"/>
              <w:right w:val="single" w:sz="4" w:space="0" w:color="auto"/>
            </w:tcBorders>
            <w:shd w:val="clear" w:color="auto" w:fill="auto"/>
            <w:vAlign w:val="center"/>
          </w:tcPr>
          <w:p w14:paraId="6B19151D"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Production Volume for each of the Years since Last Principal Reporting Year (2012-2014)</w:t>
            </w:r>
          </w:p>
        </w:tc>
        <w:tc>
          <w:tcPr>
            <w:tcW w:w="427" w:type="pct"/>
            <w:tcBorders>
              <w:top w:val="nil"/>
              <w:left w:val="nil"/>
              <w:bottom w:val="single" w:sz="4" w:space="0" w:color="auto"/>
              <w:right w:val="single" w:sz="8" w:space="0" w:color="auto"/>
            </w:tcBorders>
            <w:shd w:val="clear" w:color="auto" w:fill="auto"/>
            <w:vAlign w:val="center"/>
          </w:tcPr>
          <w:p w14:paraId="3C4BDC5E"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single" w:sz="4" w:space="0" w:color="auto"/>
              <w:left w:val="single" w:sz="4" w:space="0" w:color="auto"/>
              <w:bottom w:val="nil"/>
              <w:right w:val="single" w:sz="4" w:space="0" w:color="auto"/>
            </w:tcBorders>
            <w:shd w:val="clear" w:color="auto" w:fill="auto"/>
            <w:noWrap/>
            <w:vAlign w:val="center"/>
          </w:tcPr>
          <w:p w14:paraId="4551CC1A"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0.760</w:t>
            </w:r>
          </w:p>
        </w:tc>
        <w:tc>
          <w:tcPr>
            <w:tcW w:w="356" w:type="pct"/>
            <w:tcBorders>
              <w:top w:val="single" w:sz="4" w:space="0" w:color="auto"/>
              <w:left w:val="nil"/>
              <w:bottom w:val="nil"/>
              <w:right w:val="single" w:sz="4" w:space="0" w:color="auto"/>
            </w:tcBorders>
            <w:shd w:val="clear" w:color="auto" w:fill="auto"/>
            <w:noWrap/>
            <w:vAlign w:val="center"/>
          </w:tcPr>
          <w:p w14:paraId="6E0FE5FF"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3.080</w:t>
            </w:r>
          </w:p>
        </w:tc>
        <w:tc>
          <w:tcPr>
            <w:tcW w:w="285" w:type="pct"/>
            <w:tcBorders>
              <w:top w:val="single" w:sz="4" w:space="0" w:color="auto"/>
              <w:left w:val="nil"/>
              <w:bottom w:val="nil"/>
              <w:right w:val="single" w:sz="4" w:space="0" w:color="auto"/>
            </w:tcBorders>
            <w:shd w:val="clear" w:color="auto" w:fill="auto"/>
            <w:noWrap/>
            <w:vAlign w:val="center"/>
          </w:tcPr>
          <w:p w14:paraId="72F75EB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single" w:sz="4" w:space="0" w:color="auto"/>
              <w:bottom w:val="single" w:sz="4" w:space="0" w:color="auto"/>
              <w:right w:val="single" w:sz="8" w:space="0" w:color="auto"/>
            </w:tcBorders>
            <w:shd w:val="clear" w:color="auto" w:fill="auto"/>
            <w:noWrap/>
            <w:vAlign w:val="center"/>
          </w:tcPr>
          <w:p w14:paraId="16F8C4A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3.840</w:t>
            </w:r>
          </w:p>
        </w:tc>
        <w:tc>
          <w:tcPr>
            <w:tcW w:w="214" w:type="pct"/>
            <w:tcBorders>
              <w:top w:val="nil"/>
              <w:left w:val="single" w:sz="8" w:space="0" w:color="auto"/>
              <w:bottom w:val="single" w:sz="4" w:space="0" w:color="auto"/>
              <w:right w:val="single" w:sz="8" w:space="0" w:color="auto"/>
            </w:tcBorders>
            <w:shd w:val="clear" w:color="auto" w:fill="auto"/>
            <w:noWrap/>
            <w:vAlign w:val="center"/>
          </w:tcPr>
          <w:p w14:paraId="609C38F7"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w:t>
            </w:r>
            <w:r w:rsidR="00291F3B">
              <w:rPr>
                <w:rFonts w:ascii="Arial Narrow" w:eastAsia="Times New Roman" w:hAnsi="Arial Narrow" w:cs="Calibri"/>
                <w:color w:val="000000"/>
                <w:sz w:val="16"/>
                <w:szCs w:val="16"/>
              </w:rPr>
              <w:t>8</w:t>
            </w:r>
          </w:p>
        </w:tc>
        <w:tc>
          <w:tcPr>
            <w:tcW w:w="644" w:type="pct"/>
            <w:tcBorders>
              <w:top w:val="nil"/>
              <w:left w:val="nil"/>
              <w:bottom w:val="single" w:sz="4" w:space="0" w:color="auto"/>
              <w:right w:val="single" w:sz="4" w:space="0" w:color="auto"/>
            </w:tcBorders>
            <w:shd w:val="clear" w:color="auto" w:fill="auto"/>
            <w:vAlign w:val="center"/>
          </w:tcPr>
          <w:p w14:paraId="64424BD2"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 xml:space="preserve">Production Volume for each of the Years since Last Principal Reporting Year </w:t>
            </w:r>
          </w:p>
        </w:tc>
        <w:tc>
          <w:tcPr>
            <w:tcW w:w="357" w:type="pct"/>
            <w:tcBorders>
              <w:top w:val="nil"/>
              <w:left w:val="single" w:sz="4" w:space="0" w:color="auto"/>
              <w:bottom w:val="single" w:sz="4" w:space="0" w:color="auto"/>
              <w:right w:val="single" w:sz="4" w:space="0" w:color="auto"/>
            </w:tcBorders>
            <w:shd w:val="clear" w:color="auto" w:fill="auto"/>
            <w:noWrap/>
            <w:vAlign w:val="center"/>
          </w:tcPr>
          <w:p w14:paraId="5E63AD4D"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0.760</w:t>
            </w:r>
          </w:p>
        </w:tc>
        <w:tc>
          <w:tcPr>
            <w:tcW w:w="426" w:type="pct"/>
            <w:tcBorders>
              <w:top w:val="nil"/>
              <w:left w:val="nil"/>
              <w:bottom w:val="single" w:sz="4" w:space="0" w:color="auto"/>
              <w:right w:val="single" w:sz="4" w:space="0" w:color="auto"/>
            </w:tcBorders>
            <w:shd w:val="clear" w:color="auto" w:fill="auto"/>
            <w:noWrap/>
            <w:vAlign w:val="center"/>
          </w:tcPr>
          <w:p w14:paraId="30FC4009"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3.080</w:t>
            </w:r>
          </w:p>
        </w:tc>
        <w:tc>
          <w:tcPr>
            <w:tcW w:w="321" w:type="pct"/>
            <w:tcBorders>
              <w:top w:val="nil"/>
              <w:left w:val="nil"/>
              <w:bottom w:val="single" w:sz="4" w:space="0" w:color="auto"/>
              <w:right w:val="single" w:sz="4" w:space="0" w:color="auto"/>
            </w:tcBorders>
            <w:shd w:val="clear" w:color="auto" w:fill="auto"/>
            <w:noWrap/>
            <w:vAlign w:val="center"/>
          </w:tcPr>
          <w:p w14:paraId="583163AC"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tcPr>
          <w:p w14:paraId="79C9A57B"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3.840</w:t>
            </w:r>
          </w:p>
        </w:tc>
      </w:tr>
      <w:tr w:rsidR="00B934E7" w:rsidRPr="00B934E7" w14:paraId="7A95BB21" w14:textId="77777777" w:rsidTr="00B934E7">
        <w:tc>
          <w:tcPr>
            <w:tcW w:w="214" w:type="pct"/>
            <w:tcBorders>
              <w:top w:val="nil"/>
              <w:left w:val="single" w:sz="8" w:space="0" w:color="auto"/>
              <w:bottom w:val="single" w:sz="8" w:space="0" w:color="auto"/>
              <w:right w:val="single" w:sz="8" w:space="0" w:color="auto"/>
            </w:tcBorders>
            <w:shd w:val="clear" w:color="auto" w:fill="auto"/>
            <w:noWrap/>
            <w:vAlign w:val="center"/>
          </w:tcPr>
          <w:p w14:paraId="39BDD174" w14:textId="77777777" w:rsidR="00B934E7" w:rsidRPr="00B934E7" w:rsidRDefault="00291F3B" w:rsidP="00B934E7">
            <w:pPr>
              <w:jc w:val="center"/>
              <w:rPr>
                <w:rFonts w:ascii="Arial Narrow" w:eastAsia="Times New Roman" w:hAnsi="Arial Narrow" w:cs="Calibri"/>
                <w:sz w:val="16"/>
                <w:szCs w:val="16"/>
              </w:rPr>
            </w:pPr>
            <w:r>
              <w:rPr>
                <w:rFonts w:ascii="Arial Narrow" w:eastAsia="Times New Roman" w:hAnsi="Arial Narrow" w:cs="Calibri"/>
                <w:sz w:val="16"/>
                <w:szCs w:val="16"/>
              </w:rPr>
              <w:t>18</w:t>
            </w:r>
            <w:r w:rsidR="000C25C0">
              <w:rPr>
                <w:rFonts w:ascii="Arial Narrow" w:eastAsia="Times New Roman" w:hAnsi="Arial Narrow" w:cs="Calibri"/>
                <w:sz w:val="16"/>
                <w:szCs w:val="16"/>
                <w:vertAlign w:val="superscript"/>
              </w:rPr>
              <w:t>7</w:t>
            </w:r>
          </w:p>
        </w:tc>
        <w:tc>
          <w:tcPr>
            <w:tcW w:w="640" w:type="pct"/>
            <w:tcBorders>
              <w:top w:val="nil"/>
              <w:left w:val="nil"/>
              <w:bottom w:val="single" w:sz="4" w:space="0" w:color="auto"/>
              <w:right w:val="single" w:sz="4" w:space="0" w:color="auto"/>
            </w:tcBorders>
            <w:shd w:val="clear" w:color="auto" w:fill="auto"/>
            <w:vAlign w:val="center"/>
          </w:tcPr>
          <w:p w14:paraId="42191E6A" w14:textId="77777777" w:rsidR="00B934E7" w:rsidRPr="00B934E7" w:rsidRDefault="00B934E7" w:rsidP="00B934E7">
            <w:pPr>
              <w:rPr>
                <w:rFonts w:ascii="Arial Narrow" w:eastAsia="Times New Roman" w:hAnsi="Arial Narrow" w:cs="Calibri"/>
                <w:sz w:val="16"/>
                <w:szCs w:val="16"/>
              </w:rPr>
            </w:pPr>
            <w:r w:rsidRPr="00B934E7">
              <w:rPr>
                <w:rFonts w:ascii="Arial Narrow" w:eastAsia="Times New Roman" w:hAnsi="Arial Narrow" w:cs="Calibri"/>
                <w:sz w:val="16"/>
                <w:szCs w:val="16"/>
              </w:rPr>
              <w:t>Plant Site Upfront Substantiation</w:t>
            </w:r>
          </w:p>
        </w:tc>
        <w:tc>
          <w:tcPr>
            <w:tcW w:w="427" w:type="pct"/>
            <w:tcBorders>
              <w:top w:val="nil"/>
              <w:left w:val="nil"/>
              <w:bottom w:val="single" w:sz="4" w:space="0" w:color="auto"/>
              <w:right w:val="single" w:sz="8" w:space="0" w:color="auto"/>
            </w:tcBorders>
            <w:shd w:val="clear" w:color="auto" w:fill="auto"/>
            <w:vAlign w:val="center"/>
          </w:tcPr>
          <w:p w14:paraId="58B0A917" w14:textId="77777777" w:rsidR="00B934E7" w:rsidRPr="00B934E7" w:rsidRDefault="00B934E7" w:rsidP="00B934E7">
            <w:pPr>
              <w:jc w:val="center"/>
              <w:rPr>
                <w:rFonts w:ascii="Arial Narrow" w:eastAsia="Times New Roman" w:hAnsi="Arial Narrow" w:cs="Calibri"/>
                <w:sz w:val="16"/>
                <w:szCs w:val="16"/>
              </w:rPr>
            </w:pPr>
            <w:r w:rsidRPr="00B934E7">
              <w:rPr>
                <w:rFonts w:ascii="Arial Narrow" w:eastAsia="Times New Roman" w:hAnsi="Arial Narrow" w:cs="Calibri"/>
                <w:sz w:val="16"/>
                <w:szCs w:val="16"/>
              </w:rPr>
              <w:t>Per chemical</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53B65E"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0.510</w:t>
            </w:r>
          </w:p>
        </w:tc>
        <w:tc>
          <w:tcPr>
            <w:tcW w:w="356" w:type="pct"/>
            <w:tcBorders>
              <w:top w:val="single" w:sz="4" w:space="0" w:color="auto"/>
              <w:left w:val="nil"/>
              <w:bottom w:val="single" w:sz="4" w:space="0" w:color="auto"/>
              <w:right w:val="single" w:sz="4" w:space="0" w:color="auto"/>
            </w:tcBorders>
            <w:shd w:val="clear" w:color="auto" w:fill="auto"/>
            <w:noWrap/>
            <w:vAlign w:val="center"/>
          </w:tcPr>
          <w:p w14:paraId="0287F3EB"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0.830</w:t>
            </w:r>
          </w:p>
        </w:tc>
        <w:tc>
          <w:tcPr>
            <w:tcW w:w="285" w:type="pct"/>
            <w:tcBorders>
              <w:top w:val="single" w:sz="4" w:space="0" w:color="auto"/>
              <w:left w:val="nil"/>
              <w:bottom w:val="single" w:sz="4" w:space="0" w:color="auto"/>
              <w:right w:val="single" w:sz="4" w:space="0" w:color="auto"/>
            </w:tcBorders>
            <w:shd w:val="clear" w:color="auto" w:fill="auto"/>
            <w:noWrap/>
            <w:vAlign w:val="center"/>
          </w:tcPr>
          <w:p w14:paraId="34A52197"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0.000</w:t>
            </w:r>
          </w:p>
        </w:tc>
        <w:tc>
          <w:tcPr>
            <w:tcW w:w="356" w:type="pct"/>
            <w:tcBorders>
              <w:top w:val="nil"/>
              <w:left w:val="nil"/>
              <w:bottom w:val="single" w:sz="4" w:space="0" w:color="auto"/>
              <w:right w:val="single" w:sz="8" w:space="0" w:color="auto"/>
            </w:tcBorders>
            <w:shd w:val="clear" w:color="auto" w:fill="auto"/>
            <w:noWrap/>
            <w:vAlign w:val="center"/>
          </w:tcPr>
          <w:p w14:paraId="3E065F92"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1.340</w:t>
            </w:r>
          </w:p>
        </w:tc>
        <w:tc>
          <w:tcPr>
            <w:tcW w:w="214" w:type="pct"/>
            <w:tcBorders>
              <w:top w:val="nil"/>
              <w:left w:val="single" w:sz="8" w:space="0" w:color="auto"/>
              <w:bottom w:val="single" w:sz="8" w:space="0" w:color="auto"/>
              <w:right w:val="single" w:sz="8" w:space="0" w:color="auto"/>
            </w:tcBorders>
            <w:shd w:val="clear" w:color="auto" w:fill="auto"/>
            <w:noWrap/>
            <w:vAlign w:val="center"/>
          </w:tcPr>
          <w:p w14:paraId="158D39FC" w14:textId="77777777" w:rsidR="00B934E7" w:rsidRPr="00B934E7" w:rsidRDefault="00291F3B" w:rsidP="00B934E7">
            <w:pPr>
              <w:jc w:val="center"/>
              <w:rPr>
                <w:rFonts w:ascii="Arial Narrow" w:eastAsia="Times New Roman" w:hAnsi="Arial Narrow" w:cs="Calibri"/>
                <w:sz w:val="16"/>
                <w:szCs w:val="16"/>
              </w:rPr>
            </w:pPr>
            <w:r>
              <w:rPr>
                <w:rFonts w:ascii="Arial Narrow" w:eastAsia="Times New Roman" w:hAnsi="Arial Narrow" w:cs="Calibri"/>
                <w:sz w:val="16"/>
                <w:szCs w:val="16"/>
              </w:rPr>
              <w:t>19</w:t>
            </w:r>
            <w:r w:rsidR="000C25C0">
              <w:rPr>
                <w:rFonts w:ascii="Arial Narrow" w:eastAsia="Times New Roman" w:hAnsi="Arial Narrow" w:cs="Calibri"/>
                <w:sz w:val="16"/>
                <w:szCs w:val="16"/>
                <w:vertAlign w:val="superscript"/>
              </w:rPr>
              <w:t>7</w:t>
            </w:r>
          </w:p>
        </w:tc>
        <w:tc>
          <w:tcPr>
            <w:tcW w:w="644" w:type="pct"/>
            <w:tcBorders>
              <w:top w:val="nil"/>
              <w:left w:val="nil"/>
              <w:bottom w:val="single" w:sz="4" w:space="0" w:color="auto"/>
              <w:right w:val="single" w:sz="4" w:space="0" w:color="auto"/>
            </w:tcBorders>
            <w:shd w:val="clear" w:color="auto" w:fill="auto"/>
            <w:vAlign w:val="center"/>
          </w:tcPr>
          <w:p w14:paraId="65F63922" w14:textId="77777777" w:rsidR="00B934E7" w:rsidRPr="00044368" w:rsidRDefault="00B934E7" w:rsidP="00B934E7">
            <w:pPr>
              <w:rPr>
                <w:rFonts w:ascii="Arial Narrow" w:eastAsia="Times New Roman" w:hAnsi="Arial Narrow" w:cs="Calibri"/>
                <w:sz w:val="16"/>
                <w:szCs w:val="16"/>
                <w:lang w:val="fr-FR"/>
              </w:rPr>
            </w:pPr>
            <w:r w:rsidRPr="00044368">
              <w:rPr>
                <w:rFonts w:ascii="Arial Narrow" w:eastAsia="Times New Roman" w:hAnsi="Arial Narrow" w:cs="Calibri"/>
                <w:sz w:val="16"/>
                <w:szCs w:val="16"/>
                <w:lang w:val="fr-FR"/>
              </w:rPr>
              <w:t>Non-Chem ID CBI Substantiation (Part III)</w:t>
            </w:r>
          </w:p>
        </w:tc>
        <w:tc>
          <w:tcPr>
            <w:tcW w:w="357" w:type="pct"/>
            <w:tcBorders>
              <w:top w:val="nil"/>
              <w:left w:val="single" w:sz="4" w:space="0" w:color="auto"/>
              <w:bottom w:val="single" w:sz="4" w:space="0" w:color="auto"/>
              <w:right w:val="single" w:sz="4" w:space="0" w:color="auto"/>
            </w:tcBorders>
            <w:shd w:val="clear" w:color="auto" w:fill="auto"/>
            <w:noWrap/>
            <w:vAlign w:val="center"/>
          </w:tcPr>
          <w:p w14:paraId="31FABD38"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0.510</w:t>
            </w:r>
          </w:p>
        </w:tc>
        <w:tc>
          <w:tcPr>
            <w:tcW w:w="426" w:type="pct"/>
            <w:tcBorders>
              <w:top w:val="nil"/>
              <w:left w:val="nil"/>
              <w:bottom w:val="single" w:sz="4" w:space="0" w:color="auto"/>
              <w:right w:val="single" w:sz="4" w:space="0" w:color="auto"/>
            </w:tcBorders>
            <w:shd w:val="clear" w:color="auto" w:fill="auto"/>
            <w:noWrap/>
            <w:vAlign w:val="center"/>
          </w:tcPr>
          <w:p w14:paraId="7B39EE73"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0.830</w:t>
            </w:r>
          </w:p>
        </w:tc>
        <w:tc>
          <w:tcPr>
            <w:tcW w:w="321" w:type="pct"/>
            <w:tcBorders>
              <w:top w:val="nil"/>
              <w:left w:val="nil"/>
              <w:bottom w:val="single" w:sz="4" w:space="0" w:color="auto"/>
              <w:right w:val="single" w:sz="4" w:space="0" w:color="auto"/>
            </w:tcBorders>
            <w:shd w:val="clear" w:color="auto" w:fill="auto"/>
            <w:noWrap/>
            <w:vAlign w:val="center"/>
          </w:tcPr>
          <w:p w14:paraId="787D9B33"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0.000</w:t>
            </w:r>
          </w:p>
        </w:tc>
        <w:tc>
          <w:tcPr>
            <w:tcW w:w="369" w:type="pct"/>
            <w:tcBorders>
              <w:top w:val="nil"/>
              <w:left w:val="nil"/>
              <w:bottom w:val="single" w:sz="4" w:space="0" w:color="auto"/>
              <w:right w:val="single" w:sz="8" w:space="0" w:color="auto"/>
            </w:tcBorders>
            <w:shd w:val="clear" w:color="auto" w:fill="auto"/>
            <w:noWrap/>
            <w:vAlign w:val="center"/>
          </w:tcPr>
          <w:p w14:paraId="05B7E340"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1.340</w:t>
            </w:r>
          </w:p>
        </w:tc>
      </w:tr>
      <w:tr w:rsidR="00B934E7" w:rsidRPr="00B934E7" w14:paraId="404309E3" w14:textId="77777777" w:rsidTr="00B934E7">
        <w:trPr>
          <w:trHeight w:val="448"/>
        </w:trPr>
        <w:tc>
          <w:tcPr>
            <w:tcW w:w="214"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5D38D99F" w14:textId="77777777" w:rsidR="00B934E7" w:rsidRPr="00B934E7" w:rsidRDefault="00B934E7" w:rsidP="00B934E7">
            <w:pPr>
              <w:jc w:val="center"/>
              <w:rPr>
                <w:rFonts w:ascii="Arial Narrow" w:eastAsia="Times New Roman" w:hAnsi="Arial Narrow" w:cs="Calibri"/>
                <w:color w:val="000000"/>
                <w:sz w:val="16"/>
                <w:szCs w:val="16"/>
              </w:rPr>
            </w:pPr>
          </w:p>
        </w:tc>
        <w:tc>
          <w:tcPr>
            <w:tcW w:w="640" w:type="pct"/>
            <w:tcBorders>
              <w:top w:val="single" w:sz="8" w:space="0" w:color="auto"/>
              <w:left w:val="single" w:sz="8" w:space="0" w:color="auto"/>
              <w:bottom w:val="single" w:sz="8" w:space="0" w:color="auto"/>
              <w:right w:val="single" w:sz="6" w:space="0" w:color="auto"/>
            </w:tcBorders>
            <w:shd w:val="clear" w:color="auto" w:fill="D9D9D9"/>
            <w:vAlign w:val="center"/>
            <w:hideMark/>
          </w:tcPr>
          <w:p w14:paraId="690193AF" w14:textId="77777777" w:rsidR="00B934E7" w:rsidRPr="00B934E7" w:rsidRDefault="00B934E7" w:rsidP="00B934E7">
            <w:pP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Subtotal, Part II</w:t>
            </w:r>
          </w:p>
        </w:tc>
        <w:tc>
          <w:tcPr>
            <w:tcW w:w="427" w:type="pct"/>
            <w:tcBorders>
              <w:top w:val="single" w:sz="8" w:space="0" w:color="auto"/>
              <w:left w:val="single" w:sz="6" w:space="0" w:color="auto"/>
              <w:bottom w:val="single" w:sz="8" w:space="0" w:color="auto"/>
              <w:right w:val="single" w:sz="6" w:space="0" w:color="auto"/>
            </w:tcBorders>
            <w:shd w:val="clear" w:color="auto" w:fill="D9D9D9"/>
            <w:vAlign w:val="center"/>
            <w:hideMark/>
          </w:tcPr>
          <w:p w14:paraId="7C8B8221" w14:textId="77777777" w:rsidR="00B934E7" w:rsidRPr="00B934E7" w:rsidRDefault="00B934E7" w:rsidP="00B934E7">
            <w:pP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Per chemical</w:t>
            </w:r>
          </w:p>
        </w:tc>
        <w:tc>
          <w:tcPr>
            <w:tcW w:w="391" w:type="pct"/>
            <w:tcBorders>
              <w:top w:val="single" w:sz="8" w:space="0" w:color="auto"/>
              <w:left w:val="single" w:sz="6" w:space="0" w:color="auto"/>
              <w:bottom w:val="single" w:sz="8" w:space="0" w:color="auto"/>
              <w:right w:val="single" w:sz="6" w:space="0" w:color="auto"/>
            </w:tcBorders>
            <w:shd w:val="clear" w:color="auto" w:fill="D9D9D9"/>
            <w:noWrap/>
            <w:vAlign w:val="center"/>
            <w:hideMark/>
          </w:tcPr>
          <w:p w14:paraId="0F0C18DD"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356" w:type="pct"/>
            <w:tcBorders>
              <w:top w:val="single" w:sz="8" w:space="0" w:color="auto"/>
              <w:left w:val="single" w:sz="6" w:space="0" w:color="auto"/>
              <w:bottom w:val="single" w:sz="8" w:space="0" w:color="auto"/>
              <w:right w:val="single" w:sz="6" w:space="0" w:color="auto"/>
            </w:tcBorders>
            <w:shd w:val="clear" w:color="auto" w:fill="D9D9D9"/>
            <w:noWrap/>
            <w:vAlign w:val="center"/>
            <w:hideMark/>
          </w:tcPr>
          <w:p w14:paraId="5E2286E9"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285" w:type="pct"/>
            <w:tcBorders>
              <w:top w:val="single" w:sz="8" w:space="0" w:color="auto"/>
              <w:left w:val="single" w:sz="6" w:space="0" w:color="auto"/>
              <w:bottom w:val="single" w:sz="8" w:space="0" w:color="auto"/>
              <w:right w:val="single" w:sz="6" w:space="0" w:color="auto"/>
            </w:tcBorders>
            <w:shd w:val="clear" w:color="auto" w:fill="D9D9D9"/>
            <w:noWrap/>
            <w:vAlign w:val="center"/>
            <w:hideMark/>
          </w:tcPr>
          <w:p w14:paraId="6D9E946C"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356" w:type="pct"/>
            <w:tcBorders>
              <w:top w:val="single" w:sz="8" w:space="0" w:color="auto"/>
              <w:left w:val="single" w:sz="6" w:space="0" w:color="auto"/>
              <w:bottom w:val="single" w:sz="8" w:space="0" w:color="auto"/>
              <w:right w:val="single" w:sz="8" w:space="0" w:color="auto"/>
            </w:tcBorders>
            <w:shd w:val="clear" w:color="auto" w:fill="D9D9D9"/>
            <w:noWrap/>
            <w:vAlign w:val="center"/>
            <w:hideMark/>
          </w:tcPr>
          <w:p w14:paraId="77B0F622"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17.950</w:t>
            </w:r>
          </w:p>
        </w:tc>
        <w:tc>
          <w:tcPr>
            <w:tcW w:w="214"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5ADF5CC7" w14:textId="77777777" w:rsidR="00B934E7" w:rsidRPr="00B934E7" w:rsidRDefault="00B934E7" w:rsidP="00B934E7">
            <w:pPr>
              <w:jc w:val="center"/>
              <w:rPr>
                <w:rFonts w:ascii="Arial Narrow" w:eastAsia="Times New Roman" w:hAnsi="Arial Narrow" w:cs="Calibri"/>
                <w:color w:val="000000"/>
                <w:sz w:val="16"/>
                <w:szCs w:val="16"/>
              </w:rPr>
            </w:pPr>
          </w:p>
        </w:tc>
        <w:tc>
          <w:tcPr>
            <w:tcW w:w="644" w:type="pct"/>
            <w:tcBorders>
              <w:top w:val="single" w:sz="8" w:space="0" w:color="auto"/>
              <w:left w:val="single" w:sz="8" w:space="0" w:color="auto"/>
              <w:bottom w:val="single" w:sz="8" w:space="0" w:color="auto"/>
              <w:right w:val="single" w:sz="6" w:space="0" w:color="auto"/>
            </w:tcBorders>
            <w:shd w:val="clear" w:color="auto" w:fill="D9D9D9"/>
            <w:vAlign w:val="center"/>
            <w:hideMark/>
          </w:tcPr>
          <w:p w14:paraId="45F723D2" w14:textId="77777777" w:rsidR="00B934E7" w:rsidRPr="00B934E7" w:rsidRDefault="00B934E7" w:rsidP="00B934E7">
            <w:pP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Subtotal, Part II</w:t>
            </w:r>
          </w:p>
        </w:tc>
        <w:tc>
          <w:tcPr>
            <w:tcW w:w="357" w:type="pct"/>
            <w:tcBorders>
              <w:top w:val="single" w:sz="8" w:space="0" w:color="auto"/>
              <w:left w:val="single" w:sz="6" w:space="0" w:color="auto"/>
              <w:bottom w:val="single" w:sz="8" w:space="0" w:color="auto"/>
              <w:right w:val="single" w:sz="6" w:space="0" w:color="auto"/>
            </w:tcBorders>
            <w:shd w:val="clear" w:color="auto" w:fill="D9D9D9"/>
            <w:noWrap/>
            <w:vAlign w:val="center"/>
            <w:hideMark/>
          </w:tcPr>
          <w:p w14:paraId="35260DD9"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426" w:type="pct"/>
            <w:tcBorders>
              <w:top w:val="single" w:sz="8" w:space="0" w:color="auto"/>
              <w:left w:val="single" w:sz="6" w:space="0" w:color="auto"/>
              <w:bottom w:val="single" w:sz="8" w:space="0" w:color="auto"/>
              <w:right w:val="single" w:sz="6" w:space="0" w:color="auto"/>
            </w:tcBorders>
            <w:shd w:val="clear" w:color="auto" w:fill="D9D9D9"/>
            <w:noWrap/>
            <w:vAlign w:val="center"/>
            <w:hideMark/>
          </w:tcPr>
          <w:p w14:paraId="0FEE2084"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321" w:type="pct"/>
            <w:tcBorders>
              <w:top w:val="single" w:sz="8" w:space="0" w:color="auto"/>
              <w:left w:val="single" w:sz="6" w:space="0" w:color="auto"/>
              <w:bottom w:val="single" w:sz="8" w:space="0" w:color="auto"/>
              <w:right w:val="single" w:sz="6" w:space="0" w:color="auto"/>
            </w:tcBorders>
            <w:shd w:val="clear" w:color="auto" w:fill="D9D9D9"/>
            <w:noWrap/>
            <w:vAlign w:val="center"/>
            <w:hideMark/>
          </w:tcPr>
          <w:p w14:paraId="3D6223E5"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369" w:type="pct"/>
            <w:tcBorders>
              <w:top w:val="single" w:sz="8" w:space="0" w:color="auto"/>
              <w:left w:val="single" w:sz="6" w:space="0" w:color="auto"/>
              <w:bottom w:val="single" w:sz="8" w:space="0" w:color="auto"/>
              <w:right w:val="single" w:sz="8" w:space="0" w:color="auto"/>
            </w:tcBorders>
            <w:shd w:val="clear" w:color="auto" w:fill="D9D9D9"/>
            <w:noWrap/>
            <w:vAlign w:val="center"/>
            <w:hideMark/>
          </w:tcPr>
          <w:p w14:paraId="7907EE04"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1</w:t>
            </w:r>
            <w:r w:rsidR="004636C4">
              <w:rPr>
                <w:rFonts w:ascii="Arial Narrow" w:eastAsia="Times New Roman" w:hAnsi="Arial Narrow" w:cs="Calibri"/>
                <w:b/>
                <w:bCs/>
                <w:color w:val="000000"/>
                <w:sz w:val="16"/>
                <w:szCs w:val="16"/>
              </w:rPr>
              <w:t>7</w:t>
            </w:r>
            <w:r w:rsidRPr="00B934E7">
              <w:rPr>
                <w:rFonts w:ascii="Arial Narrow" w:eastAsia="Times New Roman" w:hAnsi="Arial Narrow" w:cs="Calibri"/>
                <w:b/>
                <w:bCs/>
                <w:color w:val="000000"/>
                <w:sz w:val="16"/>
                <w:szCs w:val="16"/>
              </w:rPr>
              <w:t>.4</w:t>
            </w:r>
            <w:r w:rsidR="004636C4">
              <w:rPr>
                <w:rFonts w:ascii="Arial Narrow" w:eastAsia="Times New Roman" w:hAnsi="Arial Narrow" w:cs="Calibri"/>
                <w:b/>
                <w:bCs/>
                <w:color w:val="000000"/>
                <w:sz w:val="16"/>
                <w:szCs w:val="16"/>
              </w:rPr>
              <w:t>92</w:t>
            </w:r>
          </w:p>
        </w:tc>
      </w:tr>
      <w:tr w:rsidR="00B934E7" w:rsidRPr="00B934E7" w14:paraId="2DA0627B" w14:textId="77777777" w:rsidTr="00B934E7">
        <w:trPr>
          <w:trHeight w:val="290"/>
        </w:trPr>
        <w:tc>
          <w:tcPr>
            <w:tcW w:w="214"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66DF1BCF" w14:textId="77777777" w:rsidR="00B934E7" w:rsidRPr="00B934E7" w:rsidRDefault="00B934E7" w:rsidP="00B934E7">
            <w:pPr>
              <w:jc w:val="center"/>
              <w:rPr>
                <w:rFonts w:ascii="Arial Narrow" w:eastAsia="Times New Roman" w:hAnsi="Arial Narrow" w:cs="Calibri"/>
                <w:color w:val="000000"/>
                <w:sz w:val="16"/>
                <w:szCs w:val="16"/>
              </w:rPr>
            </w:pPr>
          </w:p>
        </w:tc>
        <w:tc>
          <w:tcPr>
            <w:tcW w:w="2455" w:type="pct"/>
            <w:gridSpan w:val="6"/>
            <w:tcBorders>
              <w:top w:val="single" w:sz="8" w:space="0" w:color="auto"/>
              <w:left w:val="single" w:sz="8" w:space="0" w:color="auto"/>
              <w:bottom w:val="single" w:sz="8" w:space="0" w:color="auto"/>
              <w:right w:val="single" w:sz="8" w:space="0" w:color="auto"/>
            </w:tcBorders>
            <w:shd w:val="clear" w:color="auto" w:fill="D9D9D9"/>
            <w:vAlign w:val="center"/>
            <w:hideMark/>
          </w:tcPr>
          <w:p w14:paraId="183AC5F1"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b/>
                <w:bCs/>
                <w:i/>
                <w:iCs/>
                <w:color w:val="000000"/>
                <w:sz w:val="16"/>
                <w:szCs w:val="16"/>
              </w:rPr>
              <w:t>Part III Processing and Use Information</w:t>
            </w:r>
          </w:p>
        </w:tc>
        <w:tc>
          <w:tcPr>
            <w:tcW w:w="214"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21C87E0D" w14:textId="77777777" w:rsidR="00B934E7" w:rsidRPr="00B934E7" w:rsidRDefault="00B934E7" w:rsidP="00B934E7">
            <w:pPr>
              <w:jc w:val="center"/>
              <w:rPr>
                <w:rFonts w:ascii="Arial Narrow" w:eastAsia="Times New Roman" w:hAnsi="Arial Narrow" w:cs="Calibri"/>
                <w:color w:val="000000"/>
                <w:sz w:val="16"/>
                <w:szCs w:val="16"/>
              </w:rPr>
            </w:pPr>
          </w:p>
        </w:tc>
        <w:tc>
          <w:tcPr>
            <w:tcW w:w="2117" w:type="pct"/>
            <w:gridSpan w:val="5"/>
            <w:tcBorders>
              <w:top w:val="single" w:sz="8" w:space="0" w:color="auto"/>
              <w:left w:val="single" w:sz="8" w:space="0" w:color="auto"/>
              <w:bottom w:val="single" w:sz="8" w:space="0" w:color="auto"/>
              <w:right w:val="single" w:sz="8" w:space="0" w:color="auto"/>
            </w:tcBorders>
            <w:shd w:val="clear" w:color="auto" w:fill="D9D9D9"/>
            <w:vAlign w:val="center"/>
            <w:hideMark/>
          </w:tcPr>
          <w:p w14:paraId="239887D9"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b/>
                <w:bCs/>
                <w:i/>
                <w:iCs/>
                <w:color w:val="000000"/>
                <w:sz w:val="16"/>
                <w:szCs w:val="16"/>
              </w:rPr>
              <w:t>Part III Processing and Use Information</w:t>
            </w:r>
          </w:p>
        </w:tc>
      </w:tr>
      <w:tr w:rsidR="00B934E7" w:rsidRPr="00B934E7" w14:paraId="2F504C0F" w14:textId="77777777" w:rsidTr="00B934E7">
        <w:trPr>
          <w:trHeight w:val="290"/>
        </w:trPr>
        <w:tc>
          <w:tcPr>
            <w:tcW w:w="214" w:type="pct"/>
            <w:tcBorders>
              <w:top w:val="nil"/>
              <w:left w:val="single" w:sz="8" w:space="0" w:color="auto"/>
              <w:bottom w:val="single" w:sz="4" w:space="0" w:color="auto"/>
              <w:right w:val="single" w:sz="8" w:space="0" w:color="auto"/>
            </w:tcBorders>
            <w:shd w:val="clear" w:color="auto" w:fill="F2F2F2"/>
            <w:noWrap/>
            <w:vAlign w:val="center"/>
            <w:hideMark/>
          </w:tcPr>
          <w:p w14:paraId="7CEEC991" w14:textId="77777777" w:rsidR="00B934E7" w:rsidRPr="00B934E7" w:rsidRDefault="00B934E7" w:rsidP="00B934E7">
            <w:pPr>
              <w:jc w:val="center"/>
              <w:rPr>
                <w:rFonts w:ascii="Arial Narrow" w:eastAsia="Times New Roman" w:hAnsi="Arial Narrow" w:cs="Calibri"/>
                <w:color w:val="000000"/>
                <w:sz w:val="16"/>
                <w:szCs w:val="16"/>
              </w:rPr>
            </w:pPr>
          </w:p>
        </w:tc>
        <w:tc>
          <w:tcPr>
            <w:tcW w:w="2455" w:type="pct"/>
            <w:gridSpan w:val="6"/>
            <w:tcBorders>
              <w:top w:val="single" w:sz="4" w:space="0" w:color="auto"/>
              <w:left w:val="single" w:sz="8" w:space="0" w:color="auto"/>
              <w:bottom w:val="single" w:sz="4" w:space="0" w:color="auto"/>
              <w:right w:val="single" w:sz="8" w:space="0" w:color="auto"/>
            </w:tcBorders>
            <w:shd w:val="clear" w:color="auto" w:fill="F2F2F2"/>
            <w:noWrap/>
            <w:vAlign w:val="center"/>
            <w:hideMark/>
          </w:tcPr>
          <w:p w14:paraId="6FB7CB6A" w14:textId="77777777" w:rsidR="00B934E7" w:rsidRPr="00B934E7" w:rsidRDefault="00B934E7" w:rsidP="00B934E7">
            <w:pPr>
              <w:rPr>
                <w:rFonts w:ascii="Arial Narrow" w:eastAsia="Times New Roman" w:hAnsi="Arial Narrow" w:cs="Calibri"/>
                <w:i/>
                <w:color w:val="000000"/>
                <w:sz w:val="16"/>
                <w:szCs w:val="16"/>
              </w:rPr>
            </w:pPr>
            <w:r w:rsidRPr="00B934E7">
              <w:rPr>
                <w:rFonts w:ascii="Arial Narrow" w:eastAsia="Times New Roman" w:hAnsi="Arial Narrow" w:cs="Calibri"/>
                <w:i/>
                <w:color w:val="000000"/>
                <w:sz w:val="16"/>
                <w:szCs w:val="16"/>
              </w:rPr>
              <w:t>Industrial Processing and Use Exposure-Related Data</w:t>
            </w:r>
          </w:p>
        </w:tc>
        <w:tc>
          <w:tcPr>
            <w:tcW w:w="214" w:type="pct"/>
            <w:tcBorders>
              <w:top w:val="single" w:sz="4" w:space="0" w:color="auto"/>
              <w:left w:val="single" w:sz="8" w:space="0" w:color="auto"/>
              <w:bottom w:val="single" w:sz="4" w:space="0" w:color="auto"/>
              <w:right w:val="single" w:sz="8" w:space="0" w:color="auto"/>
            </w:tcBorders>
            <w:shd w:val="clear" w:color="auto" w:fill="F2F2F2"/>
            <w:noWrap/>
            <w:vAlign w:val="center"/>
            <w:hideMark/>
          </w:tcPr>
          <w:p w14:paraId="79039891" w14:textId="77777777" w:rsidR="00B934E7" w:rsidRPr="00B934E7" w:rsidRDefault="00B934E7" w:rsidP="00B934E7">
            <w:pPr>
              <w:jc w:val="center"/>
              <w:rPr>
                <w:rFonts w:ascii="Arial Narrow" w:eastAsia="Times New Roman" w:hAnsi="Arial Narrow" w:cs="Calibri"/>
                <w:i/>
                <w:color w:val="000000"/>
                <w:sz w:val="16"/>
                <w:szCs w:val="16"/>
              </w:rPr>
            </w:pPr>
          </w:p>
        </w:tc>
        <w:tc>
          <w:tcPr>
            <w:tcW w:w="2117" w:type="pct"/>
            <w:gridSpan w:val="5"/>
            <w:tcBorders>
              <w:top w:val="nil"/>
              <w:left w:val="nil"/>
              <w:bottom w:val="single" w:sz="4" w:space="0" w:color="auto"/>
              <w:right w:val="single" w:sz="8" w:space="0" w:color="auto"/>
            </w:tcBorders>
            <w:shd w:val="clear" w:color="auto" w:fill="F2F2F2"/>
            <w:vAlign w:val="center"/>
            <w:hideMark/>
          </w:tcPr>
          <w:p w14:paraId="1A00E4A5" w14:textId="77777777" w:rsidR="00B934E7" w:rsidRPr="00B934E7" w:rsidRDefault="00B934E7" w:rsidP="00B934E7">
            <w:pPr>
              <w:rPr>
                <w:rFonts w:ascii="Arial Narrow" w:eastAsia="Times New Roman" w:hAnsi="Arial Narrow" w:cs="Calibri"/>
                <w:i/>
                <w:color w:val="000000"/>
                <w:sz w:val="16"/>
                <w:szCs w:val="16"/>
              </w:rPr>
            </w:pPr>
            <w:r w:rsidRPr="00B934E7">
              <w:rPr>
                <w:rFonts w:ascii="Arial Narrow" w:eastAsia="Times New Roman" w:hAnsi="Arial Narrow" w:cs="Calibri"/>
                <w:i/>
                <w:color w:val="000000"/>
                <w:sz w:val="16"/>
                <w:szCs w:val="16"/>
              </w:rPr>
              <w:t>Industrial Processing and Use Exposure-Related Data</w:t>
            </w:r>
          </w:p>
        </w:tc>
      </w:tr>
      <w:tr w:rsidR="00B934E7" w:rsidRPr="00B934E7" w14:paraId="133BB5A9" w14:textId="77777777" w:rsidTr="00B934E7">
        <w:trPr>
          <w:trHeight w:val="600"/>
        </w:trPr>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3682A52E" w14:textId="77777777" w:rsidR="00B934E7" w:rsidRPr="00B934E7" w:rsidRDefault="00291F3B" w:rsidP="00B934E7">
            <w:pPr>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19</w:t>
            </w:r>
            <w:r w:rsidR="000C25C0" w:rsidRPr="002C1543">
              <w:rPr>
                <w:rFonts w:ascii="Arial Narrow" w:eastAsia="Times New Roman" w:hAnsi="Arial Narrow" w:cs="Calibri"/>
                <w:color w:val="000000"/>
                <w:sz w:val="16"/>
                <w:szCs w:val="16"/>
                <w:vertAlign w:val="superscript"/>
              </w:rPr>
              <w:t>8</w:t>
            </w:r>
          </w:p>
        </w:tc>
        <w:tc>
          <w:tcPr>
            <w:tcW w:w="640" w:type="pct"/>
            <w:tcBorders>
              <w:top w:val="nil"/>
              <w:left w:val="nil"/>
              <w:bottom w:val="single" w:sz="4" w:space="0" w:color="auto"/>
              <w:right w:val="single" w:sz="4" w:space="0" w:color="auto"/>
            </w:tcBorders>
            <w:shd w:val="clear" w:color="auto" w:fill="auto"/>
            <w:vAlign w:val="center"/>
            <w:hideMark/>
          </w:tcPr>
          <w:p w14:paraId="4D07A55C"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Determination of Applicability</w:t>
            </w:r>
          </w:p>
        </w:tc>
        <w:tc>
          <w:tcPr>
            <w:tcW w:w="427" w:type="pct"/>
            <w:tcBorders>
              <w:top w:val="single" w:sz="4" w:space="0" w:color="auto"/>
              <w:left w:val="nil"/>
              <w:bottom w:val="single" w:sz="4" w:space="0" w:color="auto"/>
              <w:right w:val="single" w:sz="8" w:space="0" w:color="auto"/>
            </w:tcBorders>
            <w:shd w:val="clear" w:color="auto" w:fill="auto"/>
            <w:vAlign w:val="center"/>
            <w:hideMark/>
          </w:tcPr>
          <w:p w14:paraId="395F977C"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3433A74"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0.280</w:t>
            </w:r>
          </w:p>
        </w:tc>
        <w:tc>
          <w:tcPr>
            <w:tcW w:w="356" w:type="pct"/>
            <w:tcBorders>
              <w:top w:val="nil"/>
              <w:left w:val="nil"/>
              <w:bottom w:val="single" w:sz="4" w:space="0" w:color="auto"/>
              <w:right w:val="single" w:sz="4" w:space="0" w:color="auto"/>
            </w:tcBorders>
            <w:shd w:val="clear" w:color="auto" w:fill="auto"/>
            <w:noWrap/>
            <w:vAlign w:val="center"/>
            <w:hideMark/>
          </w:tcPr>
          <w:p w14:paraId="652635C7"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1.010</w:t>
            </w:r>
          </w:p>
        </w:tc>
        <w:tc>
          <w:tcPr>
            <w:tcW w:w="285" w:type="pct"/>
            <w:tcBorders>
              <w:top w:val="nil"/>
              <w:left w:val="nil"/>
              <w:bottom w:val="single" w:sz="4" w:space="0" w:color="auto"/>
              <w:right w:val="single" w:sz="4" w:space="0" w:color="auto"/>
            </w:tcBorders>
            <w:shd w:val="clear" w:color="auto" w:fill="auto"/>
            <w:noWrap/>
            <w:vAlign w:val="center"/>
            <w:hideMark/>
          </w:tcPr>
          <w:p w14:paraId="05E9F1A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single" w:sz="4" w:space="0" w:color="auto"/>
              <w:left w:val="nil"/>
              <w:bottom w:val="single" w:sz="4" w:space="0" w:color="auto"/>
              <w:right w:val="single" w:sz="8" w:space="0" w:color="auto"/>
            </w:tcBorders>
            <w:shd w:val="clear" w:color="auto" w:fill="auto"/>
            <w:noWrap/>
            <w:vAlign w:val="center"/>
            <w:hideMark/>
          </w:tcPr>
          <w:p w14:paraId="7AE77B43"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1.290</w:t>
            </w:r>
          </w:p>
        </w:tc>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1D70A803" w14:textId="77777777" w:rsidR="00B934E7" w:rsidRPr="00B934E7" w:rsidRDefault="00291F3B" w:rsidP="00B934E7">
            <w:pPr>
              <w:jc w:val="right"/>
              <w:rPr>
                <w:rFonts w:ascii="Arial Narrow" w:eastAsia="Times New Roman" w:hAnsi="Arial Narrow" w:cs="Calibri"/>
                <w:color w:val="000000"/>
                <w:sz w:val="16"/>
                <w:szCs w:val="16"/>
              </w:rPr>
            </w:pPr>
            <w:r>
              <w:rPr>
                <w:rFonts w:ascii="Arial Narrow" w:eastAsia="Times New Roman" w:hAnsi="Arial Narrow" w:cs="Calibri"/>
                <w:color w:val="000000"/>
                <w:sz w:val="16"/>
                <w:szCs w:val="16"/>
              </w:rPr>
              <w:t>20</w:t>
            </w:r>
            <w:r w:rsidR="000C25C0">
              <w:rPr>
                <w:rFonts w:ascii="Arial Narrow" w:eastAsia="Times New Roman" w:hAnsi="Arial Narrow" w:cs="Calibri"/>
                <w:color w:val="000000"/>
                <w:sz w:val="16"/>
                <w:szCs w:val="16"/>
                <w:vertAlign w:val="superscript"/>
              </w:rPr>
              <w:t>8</w:t>
            </w:r>
          </w:p>
        </w:tc>
        <w:tc>
          <w:tcPr>
            <w:tcW w:w="644" w:type="pct"/>
            <w:tcBorders>
              <w:top w:val="nil"/>
              <w:left w:val="nil"/>
              <w:bottom w:val="single" w:sz="4" w:space="0" w:color="auto"/>
              <w:right w:val="single" w:sz="4" w:space="0" w:color="auto"/>
            </w:tcBorders>
            <w:shd w:val="clear" w:color="auto" w:fill="auto"/>
            <w:vAlign w:val="bottom"/>
            <w:hideMark/>
          </w:tcPr>
          <w:p w14:paraId="05EA3982" w14:textId="77777777" w:rsidR="00B934E7" w:rsidRPr="00B934E7" w:rsidRDefault="00B934E7" w:rsidP="00B934E7">
            <w:pPr>
              <w:rPr>
                <w:rFonts w:ascii="Arial Narrow" w:eastAsia="Times New Roman" w:hAnsi="Arial Narrow" w:cs="Calibri"/>
                <w:sz w:val="16"/>
                <w:szCs w:val="16"/>
              </w:rPr>
            </w:pPr>
            <w:r w:rsidRPr="00B934E7">
              <w:rPr>
                <w:rFonts w:ascii="Arial Narrow" w:eastAsia="Times New Roman" w:hAnsi="Arial Narrow" w:cs="Calibri"/>
                <w:sz w:val="16"/>
                <w:szCs w:val="16"/>
              </w:rPr>
              <w:t xml:space="preserve">Determination of Applicability (includes </w:t>
            </w:r>
            <w:r w:rsidR="000A6EC3">
              <w:rPr>
                <w:rFonts w:ascii="Arial Narrow" w:eastAsia="Times New Roman" w:hAnsi="Arial Narrow" w:cs="Calibri"/>
                <w:sz w:val="16"/>
                <w:szCs w:val="16"/>
              </w:rPr>
              <w:t>“</w:t>
            </w:r>
            <w:r w:rsidRPr="00B934E7">
              <w:rPr>
                <w:rFonts w:ascii="Arial Narrow" w:eastAsia="Times New Roman" w:hAnsi="Arial Narrow" w:cs="Calibri"/>
                <w:sz w:val="16"/>
                <w:szCs w:val="16"/>
              </w:rPr>
              <w:t>Type of Process or Use</w:t>
            </w:r>
            <w:r w:rsidR="000A6EC3">
              <w:rPr>
                <w:rFonts w:ascii="Arial Narrow" w:eastAsia="Times New Roman" w:hAnsi="Arial Narrow" w:cs="Calibri"/>
                <w:sz w:val="16"/>
                <w:szCs w:val="16"/>
              </w:rPr>
              <w:t>”</w:t>
            </w:r>
            <w:r w:rsidRPr="00B934E7">
              <w:rPr>
                <w:rFonts w:ascii="Arial Narrow" w:eastAsia="Times New Roman" w:hAnsi="Arial Narrow" w:cs="Calibri"/>
                <w:sz w:val="16"/>
                <w:szCs w:val="16"/>
              </w:rPr>
              <w:t>)</w:t>
            </w:r>
          </w:p>
        </w:tc>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5ACEF78"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0.280</w:t>
            </w:r>
          </w:p>
        </w:tc>
        <w:tc>
          <w:tcPr>
            <w:tcW w:w="426" w:type="pct"/>
            <w:tcBorders>
              <w:top w:val="nil"/>
              <w:left w:val="nil"/>
              <w:bottom w:val="single" w:sz="4" w:space="0" w:color="auto"/>
              <w:right w:val="single" w:sz="4" w:space="0" w:color="auto"/>
            </w:tcBorders>
            <w:shd w:val="clear" w:color="auto" w:fill="auto"/>
            <w:noWrap/>
            <w:vAlign w:val="center"/>
            <w:hideMark/>
          </w:tcPr>
          <w:p w14:paraId="566B8DC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1.010</w:t>
            </w:r>
          </w:p>
        </w:tc>
        <w:tc>
          <w:tcPr>
            <w:tcW w:w="321" w:type="pct"/>
            <w:tcBorders>
              <w:top w:val="nil"/>
              <w:left w:val="nil"/>
              <w:bottom w:val="single" w:sz="4" w:space="0" w:color="auto"/>
              <w:right w:val="single" w:sz="4" w:space="0" w:color="auto"/>
            </w:tcBorders>
            <w:shd w:val="clear" w:color="auto" w:fill="auto"/>
            <w:noWrap/>
            <w:vAlign w:val="center"/>
            <w:hideMark/>
          </w:tcPr>
          <w:p w14:paraId="772A2A08"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single" w:sz="4" w:space="0" w:color="auto"/>
              <w:left w:val="nil"/>
              <w:bottom w:val="single" w:sz="4" w:space="0" w:color="auto"/>
              <w:right w:val="single" w:sz="8" w:space="0" w:color="auto"/>
            </w:tcBorders>
            <w:shd w:val="clear" w:color="auto" w:fill="auto"/>
            <w:noWrap/>
            <w:vAlign w:val="center"/>
            <w:hideMark/>
          </w:tcPr>
          <w:p w14:paraId="279B7DF4"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1.290</w:t>
            </w:r>
          </w:p>
        </w:tc>
      </w:tr>
      <w:tr w:rsidR="00B934E7" w:rsidRPr="00B934E7" w14:paraId="6E6476FE" w14:textId="77777777" w:rsidTr="00B934E7">
        <w:trPr>
          <w:trHeight w:val="300"/>
        </w:trPr>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74B4DAD3" w14:textId="77777777" w:rsidR="00B934E7" w:rsidRPr="00B934E7" w:rsidRDefault="00291F3B"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Pr>
                <w:rFonts w:ascii="Arial Narrow" w:eastAsia="Times New Roman" w:hAnsi="Arial Narrow" w:cs="Calibri"/>
                <w:color w:val="000000"/>
                <w:sz w:val="16"/>
                <w:szCs w:val="16"/>
              </w:rPr>
              <w:t>0</w:t>
            </w:r>
          </w:p>
        </w:tc>
        <w:tc>
          <w:tcPr>
            <w:tcW w:w="640" w:type="pct"/>
            <w:tcBorders>
              <w:top w:val="nil"/>
              <w:left w:val="nil"/>
              <w:bottom w:val="single" w:sz="4" w:space="0" w:color="auto"/>
              <w:right w:val="single" w:sz="4" w:space="0" w:color="auto"/>
            </w:tcBorders>
            <w:shd w:val="clear" w:color="auto" w:fill="auto"/>
            <w:vAlign w:val="center"/>
            <w:hideMark/>
          </w:tcPr>
          <w:p w14:paraId="593BC6F7"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Sector</w:t>
            </w:r>
          </w:p>
        </w:tc>
        <w:tc>
          <w:tcPr>
            <w:tcW w:w="427" w:type="pct"/>
            <w:tcBorders>
              <w:top w:val="nil"/>
              <w:left w:val="nil"/>
              <w:bottom w:val="single" w:sz="4" w:space="0" w:color="auto"/>
              <w:right w:val="single" w:sz="8" w:space="0" w:color="auto"/>
            </w:tcBorders>
            <w:shd w:val="clear" w:color="auto" w:fill="auto"/>
            <w:vAlign w:val="center"/>
            <w:hideMark/>
          </w:tcPr>
          <w:p w14:paraId="654CC460"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D167E20"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0.400</w:t>
            </w:r>
          </w:p>
        </w:tc>
        <w:tc>
          <w:tcPr>
            <w:tcW w:w="356" w:type="pct"/>
            <w:tcBorders>
              <w:top w:val="nil"/>
              <w:left w:val="nil"/>
              <w:bottom w:val="single" w:sz="4" w:space="0" w:color="auto"/>
              <w:right w:val="single" w:sz="4" w:space="0" w:color="auto"/>
            </w:tcBorders>
            <w:shd w:val="clear" w:color="auto" w:fill="auto"/>
            <w:noWrap/>
            <w:vAlign w:val="center"/>
            <w:hideMark/>
          </w:tcPr>
          <w:p w14:paraId="72F17700"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0.940</w:t>
            </w:r>
          </w:p>
        </w:tc>
        <w:tc>
          <w:tcPr>
            <w:tcW w:w="285" w:type="pct"/>
            <w:tcBorders>
              <w:top w:val="nil"/>
              <w:left w:val="nil"/>
              <w:bottom w:val="single" w:sz="4" w:space="0" w:color="auto"/>
              <w:right w:val="single" w:sz="4" w:space="0" w:color="auto"/>
            </w:tcBorders>
            <w:shd w:val="clear" w:color="auto" w:fill="auto"/>
            <w:noWrap/>
            <w:vAlign w:val="center"/>
            <w:hideMark/>
          </w:tcPr>
          <w:p w14:paraId="346F31FD"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hideMark/>
          </w:tcPr>
          <w:p w14:paraId="28DD7B79"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1.340</w:t>
            </w:r>
          </w:p>
        </w:tc>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53D68C26" w14:textId="77777777" w:rsidR="00B934E7" w:rsidRPr="00B934E7" w:rsidRDefault="00291F3B" w:rsidP="00B934E7">
            <w:pPr>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21</w:t>
            </w:r>
          </w:p>
        </w:tc>
        <w:tc>
          <w:tcPr>
            <w:tcW w:w="644" w:type="pct"/>
            <w:tcBorders>
              <w:top w:val="nil"/>
              <w:left w:val="nil"/>
              <w:bottom w:val="single" w:sz="4" w:space="0" w:color="auto"/>
              <w:right w:val="single" w:sz="4" w:space="0" w:color="auto"/>
            </w:tcBorders>
            <w:shd w:val="clear" w:color="auto" w:fill="auto"/>
            <w:vAlign w:val="center"/>
            <w:hideMark/>
          </w:tcPr>
          <w:p w14:paraId="68CB7AAC" w14:textId="77777777" w:rsidR="00B934E7" w:rsidRPr="00B934E7" w:rsidRDefault="00B934E7" w:rsidP="00B934E7">
            <w:pPr>
              <w:rPr>
                <w:rFonts w:ascii="Arial Narrow" w:eastAsia="Times New Roman" w:hAnsi="Arial Narrow" w:cs="Calibri"/>
                <w:sz w:val="16"/>
                <w:szCs w:val="16"/>
              </w:rPr>
            </w:pPr>
            <w:r w:rsidRPr="00B934E7">
              <w:rPr>
                <w:rFonts w:ascii="Arial Narrow" w:eastAsia="Times New Roman" w:hAnsi="Arial Narrow" w:cs="Calibri"/>
                <w:sz w:val="16"/>
                <w:szCs w:val="16"/>
              </w:rPr>
              <w:t>Sector</w:t>
            </w:r>
          </w:p>
        </w:tc>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12E15C3"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0.400</w:t>
            </w:r>
          </w:p>
        </w:tc>
        <w:tc>
          <w:tcPr>
            <w:tcW w:w="426" w:type="pct"/>
            <w:tcBorders>
              <w:top w:val="nil"/>
              <w:left w:val="nil"/>
              <w:bottom w:val="single" w:sz="4" w:space="0" w:color="auto"/>
              <w:right w:val="single" w:sz="4" w:space="0" w:color="auto"/>
            </w:tcBorders>
            <w:shd w:val="clear" w:color="auto" w:fill="auto"/>
            <w:noWrap/>
            <w:vAlign w:val="center"/>
            <w:hideMark/>
          </w:tcPr>
          <w:p w14:paraId="4005CEA7"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0.940</w:t>
            </w:r>
          </w:p>
        </w:tc>
        <w:tc>
          <w:tcPr>
            <w:tcW w:w="321" w:type="pct"/>
            <w:tcBorders>
              <w:top w:val="nil"/>
              <w:left w:val="nil"/>
              <w:bottom w:val="single" w:sz="4" w:space="0" w:color="auto"/>
              <w:right w:val="single" w:sz="4" w:space="0" w:color="auto"/>
            </w:tcBorders>
            <w:shd w:val="clear" w:color="auto" w:fill="auto"/>
            <w:noWrap/>
            <w:vAlign w:val="center"/>
            <w:hideMark/>
          </w:tcPr>
          <w:p w14:paraId="39D5BD53"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hideMark/>
          </w:tcPr>
          <w:p w14:paraId="57CCFF2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1.340</w:t>
            </w:r>
          </w:p>
        </w:tc>
      </w:tr>
      <w:tr w:rsidR="00B934E7" w:rsidRPr="00B934E7" w14:paraId="1FA40A2D" w14:textId="77777777" w:rsidTr="00B934E7">
        <w:trPr>
          <w:trHeight w:val="290"/>
        </w:trPr>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1F35DE98"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291F3B">
              <w:rPr>
                <w:rFonts w:ascii="Arial Narrow" w:eastAsia="Times New Roman" w:hAnsi="Arial Narrow" w:cs="Calibri"/>
                <w:color w:val="000000"/>
                <w:sz w:val="16"/>
                <w:szCs w:val="16"/>
              </w:rPr>
              <w:t>1</w:t>
            </w:r>
          </w:p>
        </w:tc>
        <w:tc>
          <w:tcPr>
            <w:tcW w:w="640" w:type="pct"/>
            <w:tcBorders>
              <w:top w:val="nil"/>
              <w:left w:val="nil"/>
              <w:bottom w:val="single" w:sz="4" w:space="0" w:color="auto"/>
              <w:right w:val="single" w:sz="4" w:space="0" w:color="auto"/>
            </w:tcBorders>
            <w:shd w:val="clear" w:color="auto" w:fill="auto"/>
            <w:vAlign w:val="center"/>
            <w:hideMark/>
          </w:tcPr>
          <w:p w14:paraId="70A92B7B"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Industrial Function Category</w:t>
            </w:r>
          </w:p>
        </w:tc>
        <w:tc>
          <w:tcPr>
            <w:tcW w:w="427" w:type="pct"/>
            <w:tcBorders>
              <w:top w:val="nil"/>
              <w:left w:val="nil"/>
              <w:bottom w:val="single" w:sz="4" w:space="0" w:color="auto"/>
              <w:right w:val="single" w:sz="8" w:space="0" w:color="auto"/>
            </w:tcBorders>
            <w:shd w:val="clear" w:color="auto" w:fill="auto"/>
            <w:vAlign w:val="center"/>
            <w:hideMark/>
          </w:tcPr>
          <w:p w14:paraId="24F60BB7"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E2C330A"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2.070</w:t>
            </w:r>
          </w:p>
        </w:tc>
        <w:tc>
          <w:tcPr>
            <w:tcW w:w="356" w:type="pct"/>
            <w:tcBorders>
              <w:top w:val="nil"/>
              <w:left w:val="nil"/>
              <w:bottom w:val="single" w:sz="4" w:space="0" w:color="auto"/>
              <w:right w:val="single" w:sz="4" w:space="0" w:color="auto"/>
            </w:tcBorders>
            <w:shd w:val="clear" w:color="auto" w:fill="auto"/>
            <w:noWrap/>
            <w:vAlign w:val="center"/>
            <w:hideMark/>
          </w:tcPr>
          <w:p w14:paraId="50AECC04"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4.670</w:t>
            </w:r>
          </w:p>
        </w:tc>
        <w:tc>
          <w:tcPr>
            <w:tcW w:w="285" w:type="pct"/>
            <w:tcBorders>
              <w:top w:val="nil"/>
              <w:left w:val="nil"/>
              <w:bottom w:val="single" w:sz="4" w:space="0" w:color="auto"/>
              <w:right w:val="single" w:sz="4" w:space="0" w:color="auto"/>
            </w:tcBorders>
            <w:shd w:val="clear" w:color="auto" w:fill="auto"/>
            <w:noWrap/>
            <w:vAlign w:val="center"/>
            <w:hideMark/>
          </w:tcPr>
          <w:p w14:paraId="5CD596EF"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hideMark/>
          </w:tcPr>
          <w:p w14:paraId="090C34BB"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6.740</w:t>
            </w:r>
          </w:p>
        </w:tc>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344F9E9C" w14:textId="77777777" w:rsidR="00B934E7" w:rsidRPr="00B934E7" w:rsidRDefault="00291F3B" w:rsidP="00B934E7">
            <w:pPr>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22</w:t>
            </w:r>
          </w:p>
        </w:tc>
        <w:tc>
          <w:tcPr>
            <w:tcW w:w="644" w:type="pct"/>
            <w:tcBorders>
              <w:top w:val="nil"/>
              <w:left w:val="nil"/>
              <w:bottom w:val="single" w:sz="4" w:space="0" w:color="auto"/>
              <w:right w:val="single" w:sz="4" w:space="0" w:color="auto"/>
            </w:tcBorders>
            <w:shd w:val="clear" w:color="auto" w:fill="auto"/>
            <w:vAlign w:val="center"/>
            <w:hideMark/>
          </w:tcPr>
          <w:p w14:paraId="6D8494BF"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Industrial Function Category</w:t>
            </w:r>
          </w:p>
        </w:tc>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124B479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2.070</w:t>
            </w:r>
          </w:p>
        </w:tc>
        <w:tc>
          <w:tcPr>
            <w:tcW w:w="426" w:type="pct"/>
            <w:tcBorders>
              <w:top w:val="nil"/>
              <w:left w:val="nil"/>
              <w:bottom w:val="single" w:sz="4" w:space="0" w:color="auto"/>
              <w:right w:val="single" w:sz="4" w:space="0" w:color="auto"/>
            </w:tcBorders>
            <w:shd w:val="clear" w:color="auto" w:fill="auto"/>
            <w:noWrap/>
            <w:vAlign w:val="center"/>
            <w:hideMark/>
          </w:tcPr>
          <w:p w14:paraId="6D0559F8"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4.670</w:t>
            </w:r>
          </w:p>
        </w:tc>
        <w:tc>
          <w:tcPr>
            <w:tcW w:w="321" w:type="pct"/>
            <w:tcBorders>
              <w:top w:val="nil"/>
              <w:left w:val="nil"/>
              <w:bottom w:val="single" w:sz="4" w:space="0" w:color="auto"/>
              <w:right w:val="single" w:sz="4" w:space="0" w:color="auto"/>
            </w:tcBorders>
            <w:shd w:val="clear" w:color="auto" w:fill="auto"/>
            <w:noWrap/>
            <w:vAlign w:val="center"/>
            <w:hideMark/>
          </w:tcPr>
          <w:p w14:paraId="01596633"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hideMark/>
          </w:tcPr>
          <w:p w14:paraId="5DB2639B"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6.740</w:t>
            </w:r>
          </w:p>
        </w:tc>
      </w:tr>
      <w:tr w:rsidR="00B934E7" w:rsidRPr="00B934E7" w14:paraId="1B5061A9" w14:textId="77777777" w:rsidTr="00B934E7">
        <w:trPr>
          <w:trHeight w:val="290"/>
        </w:trPr>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73272F9E"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310FA5">
              <w:rPr>
                <w:rFonts w:ascii="Arial Narrow" w:eastAsia="Times New Roman" w:hAnsi="Arial Narrow" w:cs="Calibri"/>
                <w:color w:val="000000"/>
                <w:sz w:val="16"/>
                <w:szCs w:val="16"/>
              </w:rPr>
              <w:t>2</w:t>
            </w:r>
          </w:p>
        </w:tc>
        <w:tc>
          <w:tcPr>
            <w:tcW w:w="640" w:type="pct"/>
            <w:tcBorders>
              <w:top w:val="nil"/>
              <w:left w:val="nil"/>
              <w:bottom w:val="single" w:sz="4" w:space="0" w:color="auto"/>
              <w:right w:val="single" w:sz="4" w:space="0" w:color="auto"/>
            </w:tcBorders>
            <w:shd w:val="clear" w:color="auto" w:fill="auto"/>
            <w:vAlign w:val="center"/>
            <w:hideMark/>
          </w:tcPr>
          <w:p w14:paraId="415AC758"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Percent of Production Volume</w:t>
            </w:r>
          </w:p>
        </w:tc>
        <w:tc>
          <w:tcPr>
            <w:tcW w:w="427" w:type="pct"/>
            <w:tcBorders>
              <w:top w:val="nil"/>
              <w:left w:val="nil"/>
              <w:bottom w:val="single" w:sz="4" w:space="0" w:color="auto"/>
              <w:right w:val="single" w:sz="8" w:space="0" w:color="auto"/>
            </w:tcBorders>
            <w:shd w:val="clear" w:color="auto" w:fill="auto"/>
            <w:vAlign w:val="center"/>
            <w:hideMark/>
          </w:tcPr>
          <w:p w14:paraId="529E5A0D"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FF191D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5.270</w:t>
            </w:r>
          </w:p>
        </w:tc>
        <w:tc>
          <w:tcPr>
            <w:tcW w:w="356" w:type="pct"/>
            <w:tcBorders>
              <w:top w:val="nil"/>
              <w:left w:val="nil"/>
              <w:bottom w:val="single" w:sz="4" w:space="0" w:color="auto"/>
              <w:right w:val="single" w:sz="4" w:space="0" w:color="auto"/>
            </w:tcBorders>
            <w:shd w:val="clear" w:color="auto" w:fill="auto"/>
            <w:noWrap/>
            <w:vAlign w:val="center"/>
            <w:hideMark/>
          </w:tcPr>
          <w:p w14:paraId="1173EAC0"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10.000</w:t>
            </w:r>
          </w:p>
        </w:tc>
        <w:tc>
          <w:tcPr>
            <w:tcW w:w="285" w:type="pct"/>
            <w:tcBorders>
              <w:top w:val="nil"/>
              <w:left w:val="nil"/>
              <w:bottom w:val="single" w:sz="4" w:space="0" w:color="auto"/>
              <w:right w:val="single" w:sz="4" w:space="0" w:color="auto"/>
            </w:tcBorders>
            <w:shd w:val="clear" w:color="auto" w:fill="auto"/>
            <w:noWrap/>
            <w:vAlign w:val="center"/>
            <w:hideMark/>
          </w:tcPr>
          <w:p w14:paraId="270189D7"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hideMark/>
          </w:tcPr>
          <w:p w14:paraId="0111B887"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15.270</w:t>
            </w:r>
          </w:p>
        </w:tc>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1FE0C818"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310FA5">
              <w:rPr>
                <w:rFonts w:ascii="Arial Narrow" w:eastAsia="Times New Roman" w:hAnsi="Arial Narrow" w:cs="Calibri"/>
                <w:color w:val="000000"/>
                <w:sz w:val="16"/>
                <w:szCs w:val="16"/>
              </w:rPr>
              <w:t>3</w:t>
            </w:r>
          </w:p>
        </w:tc>
        <w:tc>
          <w:tcPr>
            <w:tcW w:w="644" w:type="pct"/>
            <w:tcBorders>
              <w:top w:val="nil"/>
              <w:left w:val="nil"/>
              <w:bottom w:val="single" w:sz="4" w:space="0" w:color="auto"/>
              <w:right w:val="single" w:sz="4" w:space="0" w:color="auto"/>
            </w:tcBorders>
            <w:shd w:val="clear" w:color="auto" w:fill="auto"/>
            <w:vAlign w:val="center"/>
            <w:hideMark/>
          </w:tcPr>
          <w:p w14:paraId="0D690B47"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Percent of Production Volume</w:t>
            </w:r>
          </w:p>
        </w:tc>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11E2578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5.270</w:t>
            </w:r>
          </w:p>
        </w:tc>
        <w:tc>
          <w:tcPr>
            <w:tcW w:w="426" w:type="pct"/>
            <w:tcBorders>
              <w:top w:val="nil"/>
              <w:left w:val="nil"/>
              <w:bottom w:val="single" w:sz="4" w:space="0" w:color="auto"/>
              <w:right w:val="single" w:sz="4" w:space="0" w:color="auto"/>
            </w:tcBorders>
            <w:shd w:val="clear" w:color="auto" w:fill="auto"/>
            <w:noWrap/>
            <w:vAlign w:val="center"/>
            <w:hideMark/>
          </w:tcPr>
          <w:p w14:paraId="3343D49B"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10.000</w:t>
            </w:r>
          </w:p>
        </w:tc>
        <w:tc>
          <w:tcPr>
            <w:tcW w:w="321" w:type="pct"/>
            <w:tcBorders>
              <w:top w:val="nil"/>
              <w:left w:val="nil"/>
              <w:bottom w:val="single" w:sz="4" w:space="0" w:color="auto"/>
              <w:right w:val="single" w:sz="4" w:space="0" w:color="auto"/>
            </w:tcBorders>
            <w:shd w:val="clear" w:color="auto" w:fill="auto"/>
            <w:noWrap/>
            <w:vAlign w:val="center"/>
            <w:hideMark/>
          </w:tcPr>
          <w:p w14:paraId="4C400D3F"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hideMark/>
          </w:tcPr>
          <w:p w14:paraId="5048FE4B"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15.270</w:t>
            </w:r>
          </w:p>
        </w:tc>
      </w:tr>
      <w:tr w:rsidR="00B934E7" w:rsidRPr="00B934E7" w14:paraId="5F8DE280" w14:textId="77777777" w:rsidTr="00B934E7">
        <w:trPr>
          <w:trHeight w:val="290"/>
        </w:trPr>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75BF3EC6"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310FA5">
              <w:rPr>
                <w:rFonts w:ascii="Arial Narrow" w:eastAsia="Times New Roman" w:hAnsi="Arial Narrow" w:cs="Calibri"/>
                <w:color w:val="000000"/>
                <w:sz w:val="16"/>
                <w:szCs w:val="16"/>
              </w:rPr>
              <w:t>3</w:t>
            </w:r>
          </w:p>
        </w:tc>
        <w:tc>
          <w:tcPr>
            <w:tcW w:w="640" w:type="pct"/>
            <w:tcBorders>
              <w:top w:val="nil"/>
              <w:left w:val="nil"/>
              <w:bottom w:val="single" w:sz="4" w:space="0" w:color="auto"/>
              <w:right w:val="single" w:sz="4" w:space="0" w:color="auto"/>
            </w:tcBorders>
            <w:shd w:val="clear" w:color="auto" w:fill="auto"/>
            <w:vAlign w:val="center"/>
            <w:hideMark/>
          </w:tcPr>
          <w:p w14:paraId="44D81C7A"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Total Number of Processing and Use Sites</w:t>
            </w:r>
          </w:p>
        </w:tc>
        <w:tc>
          <w:tcPr>
            <w:tcW w:w="427" w:type="pct"/>
            <w:tcBorders>
              <w:top w:val="nil"/>
              <w:left w:val="nil"/>
              <w:bottom w:val="single" w:sz="4" w:space="0" w:color="auto"/>
              <w:right w:val="single" w:sz="8" w:space="0" w:color="auto"/>
            </w:tcBorders>
            <w:shd w:val="clear" w:color="auto" w:fill="auto"/>
            <w:vAlign w:val="center"/>
            <w:hideMark/>
          </w:tcPr>
          <w:p w14:paraId="31C9598D"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47D38E9"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3.520</w:t>
            </w:r>
          </w:p>
        </w:tc>
        <w:tc>
          <w:tcPr>
            <w:tcW w:w="356" w:type="pct"/>
            <w:tcBorders>
              <w:top w:val="nil"/>
              <w:left w:val="nil"/>
              <w:bottom w:val="single" w:sz="4" w:space="0" w:color="auto"/>
              <w:right w:val="single" w:sz="4" w:space="0" w:color="auto"/>
            </w:tcBorders>
            <w:shd w:val="clear" w:color="auto" w:fill="auto"/>
            <w:noWrap/>
            <w:vAlign w:val="center"/>
            <w:hideMark/>
          </w:tcPr>
          <w:p w14:paraId="22FD0F73"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9.140</w:t>
            </w:r>
          </w:p>
        </w:tc>
        <w:tc>
          <w:tcPr>
            <w:tcW w:w="285" w:type="pct"/>
            <w:tcBorders>
              <w:top w:val="nil"/>
              <w:left w:val="nil"/>
              <w:bottom w:val="single" w:sz="4" w:space="0" w:color="auto"/>
              <w:right w:val="single" w:sz="4" w:space="0" w:color="auto"/>
            </w:tcBorders>
            <w:shd w:val="clear" w:color="auto" w:fill="auto"/>
            <w:noWrap/>
            <w:vAlign w:val="center"/>
            <w:hideMark/>
          </w:tcPr>
          <w:p w14:paraId="61466938"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hideMark/>
          </w:tcPr>
          <w:p w14:paraId="653F7D4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12.660</w:t>
            </w:r>
          </w:p>
        </w:tc>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4FB526BD"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310FA5">
              <w:rPr>
                <w:rFonts w:ascii="Arial Narrow" w:eastAsia="Times New Roman" w:hAnsi="Arial Narrow" w:cs="Calibri"/>
                <w:color w:val="000000"/>
                <w:sz w:val="16"/>
                <w:szCs w:val="16"/>
              </w:rPr>
              <w:t>4</w:t>
            </w:r>
          </w:p>
        </w:tc>
        <w:tc>
          <w:tcPr>
            <w:tcW w:w="644" w:type="pct"/>
            <w:tcBorders>
              <w:top w:val="nil"/>
              <w:left w:val="nil"/>
              <w:bottom w:val="single" w:sz="4" w:space="0" w:color="auto"/>
              <w:right w:val="single" w:sz="4" w:space="0" w:color="auto"/>
            </w:tcBorders>
            <w:shd w:val="clear" w:color="auto" w:fill="auto"/>
            <w:vAlign w:val="center"/>
            <w:hideMark/>
          </w:tcPr>
          <w:p w14:paraId="739C11B9"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Total Number of Processing and Use Sites</w:t>
            </w:r>
          </w:p>
        </w:tc>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560EA15"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3.520</w:t>
            </w:r>
          </w:p>
        </w:tc>
        <w:tc>
          <w:tcPr>
            <w:tcW w:w="426" w:type="pct"/>
            <w:tcBorders>
              <w:top w:val="nil"/>
              <w:left w:val="nil"/>
              <w:bottom w:val="single" w:sz="4" w:space="0" w:color="auto"/>
              <w:right w:val="single" w:sz="4" w:space="0" w:color="auto"/>
            </w:tcBorders>
            <w:shd w:val="clear" w:color="auto" w:fill="auto"/>
            <w:noWrap/>
            <w:vAlign w:val="center"/>
            <w:hideMark/>
          </w:tcPr>
          <w:p w14:paraId="3200F57B"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9.140</w:t>
            </w:r>
          </w:p>
        </w:tc>
        <w:tc>
          <w:tcPr>
            <w:tcW w:w="321" w:type="pct"/>
            <w:tcBorders>
              <w:top w:val="nil"/>
              <w:left w:val="nil"/>
              <w:bottom w:val="single" w:sz="4" w:space="0" w:color="auto"/>
              <w:right w:val="single" w:sz="4" w:space="0" w:color="auto"/>
            </w:tcBorders>
            <w:shd w:val="clear" w:color="auto" w:fill="auto"/>
            <w:noWrap/>
            <w:vAlign w:val="center"/>
            <w:hideMark/>
          </w:tcPr>
          <w:p w14:paraId="69D63EF5"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hideMark/>
          </w:tcPr>
          <w:p w14:paraId="5B3A1D96"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12.660</w:t>
            </w:r>
          </w:p>
        </w:tc>
      </w:tr>
      <w:tr w:rsidR="00B934E7" w:rsidRPr="00B934E7" w14:paraId="74B18219" w14:textId="77777777" w:rsidTr="00B934E7">
        <w:trPr>
          <w:trHeight w:val="290"/>
        </w:trPr>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61372EA0"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310FA5">
              <w:rPr>
                <w:rFonts w:ascii="Arial Narrow" w:eastAsia="Times New Roman" w:hAnsi="Arial Narrow" w:cs="Calibri"/>
                <w:color w:val="000000"/>
                <w:sz w:val="16"/>
                <w:szCs w:val="16"/>
              </w:rPr>
              <w:t>4</w:t>
            </w:r>
          </w:p>
        </w:tc>
        <w:tc>
          <w:tcPr>
            <w:tcW w:w="640" w:type="pct"/>
            <w:tcBorders>
              <w:top w:val="nil"/>
              <w:left w:val="nil"/>
              <w:bottom w:val="single" w:sz="4" w:space="0" w:color="auto"/>
              <w:right w:val="single" w:sz="4" w:space="0" w:color="auto"/>
            </w:tcBorders>
            <w:shd w:val="clear" w:color="auto" w:fill="auto"/>
            <w:vAlign w:val="center"/>
            <w:hideMark/>
          </w:tcPr>
          <w:p w14:paraId="1D04A012"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Total Number of Potentially Exposed Workers</w:t>
            </w:r>
          </w:p>
        </w:tc>
        <w:tc>
          <w:tcPr>
            <w:tcW w:w="427" w:type="pct"/>
            <w:tcBorders>
              <w:top w:val="nil"/>
              <w:left w:val="nil"/>
              <w:bottom w:val="single" w:sz="4" w:space="0" w:color="auto"/>
              <w:right w:val="single" w:sz="8" w:space="0" w:color="auto"/>
            </w:tcBorders>
            <w:shd w:val="clear" w:color="auto" w:fill="auto"/>
            <w:vAlign w:val="center"/>
            <w:hideMark/>
          </w:tcPr>
          <w:p w14:paraId="557D9440"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DAD408D"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3.830</w:t>
            </w:r>
          </w:p>
        </w:tc>
        <w:tc>
          <w:tcPr>
            <w:tcW w:w="356" w:type="pct"/>
            <w:tcBorders>
              <w:top w:val="nil"/>
              <w:left w:val="nil"/>
              <w:bottom w:val="single" w:sz="4" w:space="0" w:color="auto"/>
              <w:right w:val="single" w:sz="4" w:space="0" w:color="auto"/>
            </w:tcBorders>
            <w:shd w:val="clear" w:color="auto" w:fill="auto"/>
            <w:noWrap/>
            <w:vAlign w:val="center"/>
            <w:hideMark/>
          </w:tcPr>
          <w:p w14:paraId="0A92513E"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15.430</w:t>
            </w:r>
          </w:p>
        </w:tc>
        <w:tc>
          <w:tcPr>
            <w:tcW w:w="285" w:type="pct"/>
            <w:tcBorders>
              <w:top w:val="nil"/>
              <w:left w:val="nil"/>
              <w:bottom w:val="single" w:sz="4" w:space="0" w:color="auto"/>
              <w:right w:val="single" w:sz="4" w:space="0" w:color="auto"/>
            </w:tcBorders>
            <w:shd w:val="clear" w:color="auto" w:fill="auto"/>
            <w:noWrap/>
            <w:vAlign w:val="center"/>
            <w:hideMark/>
          </w:tcPr>
          <w:p w14:paraId="2A438035"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hideMark/>
          </w:tcPr>
          <w:p w14:paraId="7A9A2C1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19.260</w:t>
            </w:r>
          </w:p>
        </w:tc>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07999EEF"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310FA5">
              <w:rPr>
                <w:rFonts w:ascii="Arial Narrow" w:eastAsia="Times New Roman" w:hAnsi="Arial Narrow" w:cs="Calibri"/>
                <w:color w:val="000000"/>
                <w:sz w:val="16"/>
                <w:szCs w:val="16"/>
              </w:rPr>
              <w:t>5</w:t>
            </w:r>
          </w:p>
        </w:tc>
        <w:tc>
          <w:tcPr>
            <w:tcW w:w="644" w:type="pct"/>
            <w:tcBorders>
              <w:top w:val="nil"/>
              <w:left w:val="nil"/>
              <w:bottom w:val="single" w:sz="4" w:space="0" w:color="auto"/>
              <w:right w:val="single" w:sz="4" w:space="0" w:color="auto"/>
            </w:tcBorders>
            <w:shd w:val="clear" w:color="auto" w:fill="auto"/>
            <w:vAlign w:val="center"/>
            <w:hideMark/>
          </w:tcPr>
          <w:p w14:paraId="2B72FBFC"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Total Number of Potentially Exposed Workers</w:t>
            </w:r>
          </w:p>
        </w:tc>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7539BF1F"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3.830</w:t>
            </w:r>
          </w:p>
        </w:tc>
        <w:tc>
          <w:tcPr>
            <w:tcW w:w="426" w:type="pct"/>
            <w:tcBorders>
              <w:top w:val="nil"/>
              <w:left w:val="nil"/>
              <w:bottom w:val="single" w:sz="4" w:space="0" w:color="auto"/>
              <w:right w:val="single" w:sz="4" w:space="0" w:color="auto"/>
            </w:tcBorders>
            <w:shd w:val="clear" w:color="auto" w:fill="auto"/>
            <w:noWrap/>
            <w:vAlign w:val="center"/>
            <w:hideMark/>
          </w:tcPr>
          <w:p w14:paraId="4365FA87"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15.430</w:t>
            </w:r>
          </w:p>
        </w:tc>
        <w:tc>
          <w:tcPr>
            <w:tcW w:w="321" w:type="pct"/>
            <w:tcBorders>
              <w:top w:val="nil"/>
              <w:left w:val="nil"/>
              <w:bottom w:val="single" w:sz="4" w:space="0" w:color="auto"/>
              <w:right w:val="single" w:sz="4" w:space="0" w:color="auto"/>
            </w:tcBorders>
            <w:shd w:val="clear" w:color="auto" w:fill="auto"/>
            <w:noWrap/>
            <w:vAlign w:val="center"/>
            <w:hideMark/>
          </w:tcPr>
          <w:p w14:paraId="3A48E708"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hideMark/>
          </w:tcPr>
          <w:p w14:paraId="19D3FD84"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19.260</w:t>
            </w:r>
          </w:p>
        </w:tc>
      </w:tr>
      <w:tr w:rsidR="00B934E7" w:rsidRPr="00B934E7" w14:paraId="60E2D632" w14:textId="77777777" w:rsidTr="00B934E7">
        <w:trPr>
          <w:trHeight w:val="290"/>
        </w:trPr>
        <w:tc>
          <w:tcPr>
            <w:tcW w:w="214" w:type="pct"/>
            <w:tcBorders>
              <w:top w:val="nil"/>
              <w:left w:val="single" w:sz="8" w:space="0" w:color="auto"/>
              <w:bottom w:val="single" w:sz="4" w:space="0" w:color="auto"/>
              <w:right w:val="single" w:sz="8" w:space="0" w:color="auto"/>
            </w:tcBorders>
            <w:shd w:val="clear" w:color="auto" w:fill="F2F2F2"/>
            <w:noWrap/>
            <w:vAlign w:val="center"/>
            <w:hideMark/>
          </w:tcPr>
          <w:p w14:paraId="58D8EE6B" w14:textId="77777777" w:rsidR="00B934E7" w:rsidRPr="00B934E7" w:rsidRDefault="00B934E7" w:rsidP="00B934E7">
            <w:pPr>
              <w:jc w:val="center"/>
              <w:rPr>
                <w:rFonts w:ascii="Arial Narrow" w:eastAsia="Times New Roman" w:hAnsi="Arial Narrow" w:cs="Calibri"/>
                <w:color w:val="000000"/>
                <w:sz w:val="16"/>
                <w:szCs w:val="16"/>
              </w:rPr>
            </w:pPr>
          </w:p>
        </w:tc>
        <w:tc>
          <w:tcPr>
            <w:tcW w:w="2455" w:type="pct"/>
            <w:gridSpan w:val="6"/>
            <w:tcBorders>
              <w:top w:val="single" w:sz="4" w:space="0" w:color="auto"/>
              <w:left w:val="single" w:sz="8" w:space="0" w:color="auto"/>
              <w:bottom w:val="single" w:sz="4" w:space="0" w:color="auto"/>
              <w:right w:val="single" w:sz="8" w:space="0" w:color="auto"/>
            </w:tcBorders>
            <w:shd w:val="clear" w:color="auto" w:fill="F2F2F2"/>
            <w:noWrap/>
            <w:vAlign w:val="center"/>
            <w:hideMark/>
          </w:tcPr>
          <w:p w14:paraId="153F6A19" w14:textId="77777777" w:rsidR="00B934E7" w:rsidRPr="00B934E7" w:rsidRDefault="00B934E7" w:rsidP="00B934E7">
            <w:pPr>
              <w:rPr>
                <w:rFonts w:ascii="Arial Narrow" w:eastAsia="Times New Roman" w:hAnsi="Arial Narrow" w:cs="Calibri"/>
                <w:i/>
                <w:color w:val="000000"/>
                <w:sz w:val="16"/>
                <w:szCs w:val="16"/>
              </w:rPr>
            </w:pPr>
            <w:r w:rsidRPr="00B934E7">
              <w:rPr>
                <w:rFonts w:ascii="Arial Narrow" w:eastAsia="Times New Roman" w:hAnsi="Arial Narrow" w:cs="Calibri"/>
                <w:i/>
                <w:color w:val="000000"/>
                <w:sz w:val="16"/>
                <w:szCs w:val="16"/>
              </w:rPr>
              <w:t>Consumer and Commercial Use Exposure-Related Data</w:t>
            </w:r>
          </w:p>
        </w:tc>
        <w:tc>
          <w:tcPr>
            <w:tcW w:w="214" w:type="pct"/>
            <w:tcBorders>
              <w:top w:val="nil"/>
              <w:left w:val="single" w:sz="8" w:space="0" w:color="auto"/>
              <w:bottom w:val="single" w:sz="4" w:space="0" w:color="auto"/>
              <w:right w:val="single" w:sz="8" w:space="0" w:color="auto"/>
            </w:tcBorders>
            <w:shd w:val="clear" w:color="auto" w:fill="F2F2F2"/>
            <w:noWrap/>
            <w:vAlign w:val="center"/>
            <w:hideMark/>
          </w:tcPr>
          <w:p w14:paraId="3CD5F1C9" w14:textId="77777777" w:rsidR="00B934E7" w:rsidRPr="00B934E7" w:rsidRDefault="00B934E7" w:rsidP="00B934E7">
            <w:pPr>
              <w:jc w:val="center"/>
              <w:rPr>
                <w:rFonts w:ascii="Arial Narrow" w:eastAsia="Times New Roman" w:hAnsi="Arial Narrow" w:cs="Calibri"/>
                <w:i/>
                <w:color w:val="000000"/>
                <w:sz w:val="16"/>
                <w:szCs w:val="16"/>
              </w:rPr>
            </w:pPr>
          </w:p>
        </w:tc>
        <w:tc>
          <w:tcPr>
            <w:tcW w:w="2117" w:type="pct"/>
            <w:gridSpan w:val="5"/>
            <w:tcBorders>
              <w:top w:val="nil"/>
              <w:left w:val="nil"/>
              <w:bottom w:val="single" w:sz="4" w:space="0" w:color="auto"/>
              <w:right w:val="single" w:sz="8" w:space="0" w:color="auto"/>
            </w:tcBorders>
            <w:shd w:val="clear" w:color="auto" w:fill="F2F2F2"/>
            <w:noWrap/>
            <w:vAlign w:val="center"/>
            <w:hideMark/>
          </w:tcPr>
          <w:p w14:paraId="76A98867" w14:textId="77777777" w:rsidR="00B934E7" w:rsidRPr="00B934E7" w:rsidRDefault="00B934E7" w:rsidP="00B934E7">
            <w:pPr>
              <w:rPr>
                <w:rFonts w:ascii="Arial Narrow" w:eastAsia="Times New Roman" w:hAnsi="Arial Narrow" w:cs="Calibri"/>
                <w:i/>
                <w:color w:val="000000"/>
                <w:sz w:val="16"/>
                <w:szCs w:val="16"/>
              </w:rPr>
            </w:pPr>
            <w:r w:rsidRPr="00B934E7">
              <w:rPr>
                <w:rFonts w:ascii="Arial Narrow" w:eastAsia="Times New Roman" w:hAnsi="Arial Narrow" w:cs="Calibri"/>
                <w:i/>
                <w:color w:val="000000"/>
                <w:sz w:val="16"/>
                <w:szCs w:val="16"/>
              </w:rPr>
              <w:t>Consumer and Commercial Use Exposure-Related Data</w:t>
            </w:r>
          </w:p>
        </w:tc>
      </w:tr>
      <w:tr w:rsidR="00B934E7" w:rsidRPr="00B934E7" w14:paraId="0E12CC5A" w14:textId="77777777" w:rsidTr="00B934E7">
        <w:trPr>
          <w:trHeight w:val="530"/>
        </w:trPr>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794022E3"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310FA5">
              <w:rPr>
                <w:rFonts w:ascii="Arial Narrow" w:eastAsia="Times New Roman" w:hAnsi="Arial Narrow" w:cs="Calibri"/>
                <w:color w:val="000000"/>
                <w:sz w:val="16"/>
                <w:szCs w:val="16"/>
              </w:rPr>
              <w:t>5</w:t>
            </w:r>
            <w:r w:rsidR="000C25C0" w:rsidRPr="002C1543">
              <w:rPr>
                <w:rFonts w:ascii="Arial Narrow" w:eastAsia="Times New Roman" w:hAnsi="Arial Narrow" w:cs="Calibri"/>
                <w:color w:val="000000"/>
                <w:sz w:val="16"/>
                <w:szCs w:val="16"/>
                <w:vertAlign w:val="superscript"/>
              </w:rPr>
              <w:t>9</w:t>
            </w:r>
          </w:p>
        </w:tc>
        <w:tc>
          <w:tcPr>
            <w:tcW w:w="640" w:type="pct"/>
            <w:tcBorders>
              <w:top w:val="nil"/>
              <w:left w:val="nil"/>
              <w:bottom w:val="single" w:sz="4" w:space="0" w:color="auto"/>
              <w:right w:val="single" w:sz="4" w:space="0" w:color="auto"/>
            </w:tcBorders>
            <w:shd w:val="clear" w:color="auto" w:fill="auto"/>
            <w:vAlign w:val="center"/>
            <w:hideMark/>
          </w:tcPr>
          <w:p w14:paraId="2C875FCB"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Determination of Applicability</w:t>
            </w:r>
          </w:p>
        </w:tc>
        <w:tc>
          <w:tcPr>
            <w:tcW w:w="427" w:type="pct"/>
            <w:tcBorders>
              <w:top w:val="single" w:sz="4" w:space="0" w:color="auto"/>
              <w:left w:val="nil"/>
              <w:bottom w:val="single" w:sz="4" w:space="0" w:color="auto"/>
              <w:right w:val="single" w:sz="8" w:space="0" w:color="auto"/>
            </w:tcBorders>
            <w:shd w:val="clear" w:color="auto" w:fill="auto"/>
            <w:vAlign w:val="center"/>
            <w:hideMark/>
          </w:tcPr>
          <w:p w14:paraId="6072B600"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BBD143D"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0.250</w:t>
            </w:r>
          </w:p>
        </w:tc>
        <w:tc>
          <w:tcPr>
            <w:tcW w:w="356" w:type="pct"/>
            <w:tcBorders>
              <w:top w:val="nil"/>
              <w:left w:val="nil"/>
              <w:bottom w:val="single" w:sz="4" w:space="0" w:color="auto"/>
              <w:right w:val="single" w:sz="4" w:space="0" w:color="auto"/>
            </w:tcBorders>
            <w:shd w:val="clear" w:color="auto" w:fill="auto"/>
            <w:noWrap/>
            <w:vAlign w:val="center"/>
            <w:hideMark/>
          </w:tcPr>
          <w:p w14:paraId="0FBE33C4"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0.940</w:t>
            </w:r>
          </w:p>
        </w:tc>
        <w:tc>
          <w:tcPr>
            <w:tcW w:w="285" w:type="pct"/>
            <w:tcBorders>
              <w:top w:val="nil"/>
              <w:left w:val="nil"/>
              <w:bottom w:val="single" w:sz="4" w:space="0" w:color="auto"/>
              <w:right w:val="single" w:sz="4" w:space="0" w:color="auto"/>
            </w:tcBorders>
            <w:shd w:val="clear" w:color="auto" w:fill="auto"/>
            <w:noWrap/>
            <w:vAlign w:val="center"/>
            <w:hideMark/>
          </w:tcPr>
          <w:p w14:paraId="0ED4A43F"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single" w:sz="4" w:space="0" w:color="auto"/>
              <w:left w:val="nil"/>
              <w:bottom w:val="single" w:sz="4" w:space="0" w:color="auto"/>
              <w:right w:val="single" w:sz="8" w:space="0" w:color="auto"/>
            </w:tcBorders>
            <w:shd w:val="clear" w:color="auto" w:fill="auto"/>
            <w:noWrap/>
            <w:vAlign w:val="center"/>
            <w:hideMark/>
          </w:tcPr>
          <w:p w14:paraId="0EADC7A7"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1.190</w:t>
            </w:r>
          </w:p>
        </w:tc>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3BD0FF13"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310FA5">
              <w:rPr>
                <w:rFonts w:ascii="Arial Narrow" w:eastAsia="Times New Roman" w:hAnsi="Arial Narrow" w:cs="Calibri"/>
                <w:color w:val="000000"/>
                <w:sz w:val="16"/>
                <w:szCs w:val="16"/>
              </w:rPr>
              <w:t>6</w:t>
            </w:r>
            <w:r w:rsidR="000C25C0">
              <w:rPr>
                <w:rFonts w:ascii="Arial Narrow" w:eastAsia="Times New Roman" w:hAnsi="Arial Narrow" w:cs="Calibri"/>
                <w:color w:val="000000"/>
                <w:sz w:val="16"/>
                <w:szCs w:val="16"/>
                <w:vertAlign w:val="superscript"/>
              </w:rPr>
              <w:t>9</w:t>
            </w:r>
          </w:p>
        </w:tc>
        <w:tc>
          <w:tcPr>
            <w:tcW w:w="644" w:type="pct"/>
            <w:tcBorders>
              <w:top w:val="nil"/>
              <w:left w:val="nil"/>
              <w:bottom w:val="single" w:sz="4" w:space="0" w:color="auto"/>
              <w:right w:val="single" w:sz="4" w:space="0" w:color="auto"/>
            </w:tcBorders>
            <w:shd w:val="clear" w:color="auto" w:fill="auto"/>
            <w:vAlign w:val="center"/>
            <w:hideMark/>
          </w:tcPr>
          <w:p w14:paraId="5BD65896"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D</w:t>
            </w:r>
            <w:r w:rsidRPr="00B934E7">
              <w:rPr>
                <w:rFonts w:ascii="Arial Narrow" w:eastAsia="Times New Roman" w:hAnsi="Arial Narrow" w:cs="Calibri"/>
                <w:sz w:val="16"/>
                <w:szCs w:val="16"/>
              </w:rPr>
              <w:t xml:space="preserve">etermination of Applicability (includes </w:t>
            </w:r>
            <w:r w:rsidR="000A6EC3">
              <w:rPr>
                <w:rFonts w:ascii="Arial Narrow" w:eastAsia="Times New Roman" w:hAnsi="Arial Narrow" w:cs="Calibri"/>
                <w:sz w:val="16"/>
                <w:szCs w:val="16"/>
              </w:rPr>
              <w:t>“</w:t>
            </w:r>
            <w:r w:rsidRPr="00B934E7">
              <w:rPr>
                <w:rFonts w:ascii="Arial Narrow" w:eastAsia="Times New Roman" w:hAnsi="Arial Narrow" w:cs="Calibri"/>
                <w:sz w:val="16"/>
                <w:szCs w:val="16"/>
              </w:rPr>
              <w:t>Consumer</w:t>
            </w:r>
            <w:r w:rsidR="00310FA5">
              <w:rPr>
                <w:rFonts w:ascii="Arial Narrow" w:eastAsia="Times New Roman" w:hAnsi="Arial Narrow" w:cs="Calibri"/>
                <w:sz w:val="16"/>
                <w:szCs w:val="16"/>
              </w:rPr>
              <w:t>,</w:t>
            </w:r>
            <w:r w:rsidRPr="00B934E7">
              <w:rPr>
                <w:rFonts w:ascii="Arial Narrow" w:eastAsia="Times New Roman" w:hAnsi="Arial Narrow" w:cs="Calibri"/>
                <w:sz w:val="16"/>
                <w:szCs w:val="16"/>
              </w:rPr>
              <w:t xml:space="preserve"> Commercial or both</w:t>
            </w:r>
            <w:r w:rsidR="000A6EC3">
              <w:rPr>
                <w:rFonts w:ascii="Arial Narrow" w:eastAsia="Times New Roman" w:hAnsi="Arial Narrow" w:cs="Calibri"/>
                <w:sz w:val="16"/>
                <w:szCs w:val="16"/>
              </w:rPr>
              <w:t>”</w:t>
            </w:r>
            <w:r w:rsidRPr="00B934E7">
              <w:rPr>
                <w:rFonts w:ascii="Arial Narrow" w:eastAsia="Times New Roman" w:hAnsi="Arial Narrow" w:cs="Calibri"/>
                <w:sz w:val="16"/>
                <w:szCs w:val="16"/>
              </w:rPr>
              <w:t>)</w:t>
            </w:r>
          </w:p>
        </w:tc>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91166C8"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0.250</w:t>
            </w:r>
          </w:p>
        </w:tc>
        <w:tc>
          <w:tcPr>
            <w:tcW w:w="426" w:type="pct"/>
            <w:tcBorders>
              <w:top w:val="nil"/>
              <w:left w:val="nil"/>
              <w:bottom w:val="single" w:sz="4" w:space="0" w:color="auto"/>
              <w:right w:val="single" w:sz="4" w:space="0" w:color="auto"/>
            </w:tcBorders>
            <w:shd w:val="clear" w:color="auto" w:fill="auto"/>
            <w:noWrap/>
            <w:vAlign w:val="center"/>
            <w:hideMark/>
          </w:tcPr>
          <w:p w14:paraId="3BA0DCE6"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0.940</w:t>
            </w:r>
          </w:p>
        </w:tc>
        <w:tc>
          <w:tcPr>
            <w:tcW w:w="321" w:type="pct"/>
            <w:tcBorders>
              <w:top w:val="nil"/>
              <w:left w:val="nil"/>
              <w:bottom w:val="single" w:sz="4" w:space="0" w:color="auto"/>
              <w:right w:val="single" w:sz="4" w:space="0" w:color="auto"/>
            </w:tcBorders>
            <w:shd w:val="clear" w:color="auto" w:fill="auto"/>
            <w:noWrap/>
            <w:vAlign w:val="center"/>
            <w:hideMark/>
          </w:tcPr>
          <w:p w14:paraId="25474005"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single" w:sz="4" w:space="0" w:color="auto"/>
              <w:left w:val="nil"/>
              <w:bottom w:val="single" w:sz="4" w:space="0" w:color="auto"/>
              <w:right w:val="single" w:sz="8" w:space="0" w:color="auto"/>
            </w:tcBorders>
            <w:shd w:val="clear" w:color="auto" w:fill="auto"/>
            <w:noWrap/>
            <w:vAlign w:val="center"/>
            <w:hideMark/>
          </w:tcPr>
          <w:p w14:paraId="396FB8D6"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1.190</w:t>
            </w:r>
          </w:p>
        </w:tc>
      </w:tr>
      <w:tr w:rsidR="00B934E7" w:rsidRPr="00B934E7" w14:paraId="6FD610B6" w14:textId="77777777" w:rsidTr="00B934E7">
        <w:trPr>
          <w:trHeight w:val="530"/>
        </w:trPr>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02364DAC"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310FA5">
              <w:rPr>
                <w:rFonts w:ascii="Arial Narrow" w:eastAsia="Times New Roman" w:hAnsi="Arial Narrow" w:cs="Calibri"/>
                <w:color w:val="000000"/>
                <w:sz w:val="16"/>
                <w:szCs w:val="16"/>
              </w:rPr>
              <w:t>6</w:t>
            </w:r>
          </w:p>
        </w:tc>
        <w:tc>
          <w:tcPr>
            <w:tcW w:w="640" w:type="pct"/>
            <w:tcBorders>
              <w:top w:val="nil"/>
              <w:left w:val="nil"/>
              <w:bottom w:val="single" w:sz="4" w:space="0" w:color="auto"/>
              <w:right w:val="single" w:sz="4" w:space="0" w:color="auto"/>
            </w:tcBorders>
            <w:shd w:val="clear" w:color="auto" w:fill="auto"/>
            <w:vAlign w:val="center"/>
            <w:hideMark/>
          </w:tcPr>
          <w:p w14:paraId="784E8311"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Identification of Production Category/Use by Children</w:t>
            </w:r>
          </w:p>
        </w:tc>
        <w:tc>
          <w:tcPr>
            <w:tcW w:w="427" w:type="pct"/>
            <w:tcBorders>
              <w:top w:val="nil"/>
              <w:left w:val="nil"/>
              <w:bottom w:val="single" w:sz="4" w:space="0" w:color="auto"/>
              <w:right w:val="single" w:sz="8" w:space="0" w:color="auto"/>
            </w:tcBorders>
            <w:shd w:val="clear" w:color="auto" w:fill="auto"/>
            <w:vAlign w:val="center"/>
            <w:hideMark/>
          </w:tcPr>
          <w:p w14:paraId="77071D3C"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6F97384"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0.250</w:t>
            </w:r>
          </w:p>
        </w:tc>
        <w:tc>
          <w:tcPr>
            <w:tcW w:w="356" w:type="pct"/>
            <w:tcBorders>
              <w:top w:val="nil"/>
              <w:left w:val="nil"/>
              <w:bottom w:val="single" w:sz="4" w:space="0" w:color="auto"/>
              <w:right w:val="single" w:sz="4" w:space="0" w:color="auto"/>
            </w:tcBorders>
            <w:shd w:val="clear" w:color="auto" w:fill="auto"/>
            <w:noWrap/>
            <w:vAlign w:val="center"/>
            <w:hideMark/>
          </w:tcPr>
          <w:p w14:paraId="0AD17E60"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1.680</w:t>
            </w:r>
          </w:p>
        </w:tc>
        <w:tc>
          <w:tcPr>
            <w:tcW w:w="285" w:type="pct"/>
            <w:tcBorders>
              <w:top w:val="nil"/>
              <w:left w:val="nil"/>
              <w:bottom w:val="single" w:sz="4" w:space="0" w:color="auto"/>
              <w:right w:val="single" w:sz="4" w:space="0" w:color="auto"/>
            </w:tcBorders>
            <w:shd w:val="clear" w:color="auto" w:fill="auto"/>
            <w:noWrap/>
            <w:vAlign w:val="center"/>
            <w:hideMark/>
          </w:tcPr>
          <w:p w14:paraId="21E9E02D"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hideMark/>
          </w:tcPr>
          <w:p w14:paraId="2449D3C6"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1.930</w:t>
            </w:r>
          </w:p>
        </w:tc>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3F4E19F6"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310FA5">
              <w:rPr>
                <w:rFonts w:ascii="Arial Narrow" w:eastAsia="Times New Roman" w:hAnsi="Arial Narrow" w:cs="Calibri"/>
                <w:color w:val="000000"/>
                <w:sz w:val="16"/>
                <w:szCs w:val="16"/>
              </w:rPr>
              <w:t>7</w:t>
            </w:r>
          </w:p>
        </w:tc>
        <w:tc>
          <w:tcPr>
            <w:tcW w:w="644" w:type="pct"/>
            <w:tcBorders>
              <w:top w:val="nil"/>
              <w:left w:val="nil"/>
              <w:bottom w:val="single" w:sz="4" w:space="0" w:color="auto"/>
              <w:right w:val="single" w:sz="4" w:space="0" w:color="auto"/>
            </w:tcBorders>
            <w:shd w:val="clear" w:color="auto" w:fill="auto"/>
            <w:vAlign w:val="center"/>
            <w:hideMark/>
          </w:tcPr>
          <w:p w14:paraId="3246D3B3"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Identification of Production Category/Use by Children</w:t>
            </w:r>
          </w:p>
        </w:tc>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23451FE"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0.250</w:t>
            </w:r>
          </w:p>
        </w:tc>
        <w:tc>
          <w:tcPr>
            <w:tcW w:w="426" w:type="pct"/>
            <w:tcBorders>
              <w:top w:val="nil"/>
              <w:left w:val="nil"/>
              <w:bottom w:val="single" w:sz="4" w:space="0" w:color="auto"/>
              <w:right w:val="single" w:sz="4" w:space="0" w:color="auto"/>
            </w:tcBorders>
            <w:shd w:val="clear" w:color="auto" w:fill="auto"/>
            <w:noWrap/>
            <w:vAlign w:val="center"/>
            <w:hideMark/>
          </w:tcPr>
          <w:p w14:paraId="0C3A608F"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1.680</w:t>
            </w:r>
          </w:p>
        </w:tc>
        <w:tc>
          <w:tcPr>
            <w:tcW w:w="321" w:type="pct"/>
            <w:tcBorders>
              <w:top w:val="nil"/>
              <w:left w:val="nil"/>
              <w:bottom w:val="single" w:sz="4" w:space="0" w:color="auto"/>
              <w:right w:val="single" w:sz="4" w:space="0" w:color="auto"/>
            </w:tcBorders>
            <w:shd w:val="clear" w:color="auto" w:fill="auto"/>
            <w:noWrap/>
            <w:vAlign w:val="center"/>
            <w:hideMark/>
          </w:tcPr>
          <w:p w14:paraId="3696F4EA"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hideMark/>
          </w:tcPr>
          <w:p w14:paraId="583E79DE"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1.930</w:t>
            </w:r>
          </w:p>
        </w:tc>
      </w:tr>
      <w:tr w:rsidR="00B934E7" w:rsidRPr="00B934E7" w14:paraId="7ED41EA1" w14:textId="77777777" w:rsidTr="00B934E7">
        <w:trPr>
          <w:trHeight w:val="290"/>
        </w:trPr>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024C18DF"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310FA5">
              <w:rPr>
                <w:rFonts w:ascii="Arial Narrow" w:eastAsia="Times New Roman" w:hAnsi="Arial Narrow" w:cs="Calibri"/>
                <w:color w:val="000000"/>
                <w:sz w:val="16"/>
                <w:szCs w:val="16"/>
              </w:rPr>
              <w:t>7</w:t>
            </w:r>
          </w:p>
        </w:tc>
        <w:tc>
          <w:tcPr>
            <w:tcW w:w="640" w:type="pct"/>
            <w:tcBorders>
              <w:top w:val="nil"/>
              <w:left w:val="nil"/>
              <w:bottom w:val="single" w:sz="4" w:space="0" w:color="auto"/>
              <w:right w:val="single" w:sz="4" w:space="0" w:color="auto"/>
            </w:tcBorders>
            <w:shd w:val="clear" w:color="auto" w:fill="auto"/>
            <w:vAlign w:val="center"/>
            <w:hideMark/>
          </w:tcPr>
          <w:p w14:paraId="3C62D524"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Percent of Production Volume</w:t>
            </w:r>
          </w:p>
        </w:tc>
        <w:tc>
          <w:tcPr>
            <w:tcW w:w="427" w:type="pct"/>
            <w:tcBorders>
              <w:top w:val="nil"/>
              <w:left w:val="nil"/>
              <w:bottom w:val="single" w:sz="4" w:space="0" w:color="auto"/>
              <w:right w:val="single" w:sz="8" w:space="0" w:color="auto"/>
            </w:tcBorders>
            <w:shd w:val="clear" w:color="auto" w:fill="auto"/>
            <w:vAlign w:val="center"/>
            <w:hideMark/>
          </w:tcPr>
          <w:p w14:paraId="36978D6A"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F18E2FD"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0.450</w:t>
            </w:r>
          </w:p>
        </w:tc>
        <w:tc>
          <w:tcPr>
            <w:tcW w:w="356" w:type="pct"/>
            <w:tcBorders>
              <w:top w:val="nil"/>
              <w:left w:val="nil"/>
              <w:bottom w:val="single" w:sz="4" w:space="0" w:color="auto"/>
              <w:right w:val="single" w:sz="4" w:space="0" w:color="auto"/>
            </w:tcBorders>
            <w:shd w:val="clear" w:color="auto" w:fill="auto"/>
            <w:noWrap/>
            <w:vAlign w:val="center"/>
            <w:hideMark/>
          </w:tcPr>
          <w:p w14:paraId="28C8E8B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1.260</w:t>
            </w:r>
          </w:p>
        </w:tc>
        <w:tc>
          <w:tcPr>
            <w:tcW w:w="285" w:type="pct"/>
            <w:tcBorders>
              <w:top w:val="nil"/>
              <w:left w:val="nil"/>
              <w:bottom w:val="single" w:sz="4" w:space="0" w:color="auto"/>
              <w:right w:val="single" w:sz="4" w:space="0" w:color="auto"/>
            </w:tcBorders>
            <w:shd w:val="clear" w:color="auto" w:fill="auto"/>
            <w:noWrap/>
            <w:vAlign w:val="center"/>
            <w:hideMark/>
          </w:tcPr>
          <w:p w14:paraId="3E938D9E"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hideMark/>
          </w:tcPr>
          <w:p w14:paraId="3DACAC88"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1.710</w:t>
            </w:r>
          </w:p>
        </w:tc>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2463B7D9"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310FA5">
              <w:rPr>
                <w:rFonts w:ascii="Arial Narrow" w:eastAsia="Times New Roman" w:hAnsi="Arial Narrow" w:cs="Calibri"/>
                <w:color w:val="000000"/>
                <w:sz w:val="16"/>
                <w:szCs w:val="16"/>
              </w:rPr>
              <w:t>8</w:t>
            </w:r>
          </w:p>
        </w:tc>
        <w:tc>
          <w:tcPr>
            <w:tcW w:w="644" w:type="pct"/>
            <w:tcBorders>
              <w:top w:val="nil"/>
              <w:left w:val="nil"/>
              <w:bottom w:val="single" w:sz="4" w:space="0" w:color="auto"/>
              <w:right w:val="single" w:sz="4" w:space="0" w:color="auto"/>
            </w:tcBorders>
            <w:shd w:val="clear" w:color="auto" w:fill="auto"/>
            <w:vAlign w:val="center"/>
            <w:hideMark/>
          </w:tcPr>
          <w:p w14:paraId="2090BC87"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Percent of Production Volume</w:t>
            </w:r>
          </w:p>
        </w:tc>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B9D3F76"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0.450</w:t>
            </w:r>
          </w:p>
        </w:tc>
        <w:tc>
          <w:tcPr>
            <w:tcW w:w="426" w:type="pct"/>
            <w:tcBorders>
              <w:top w:val="nil"/>
              <w:left w:val="nil"/>
              <w:bottom w:val="single" w:sz="4" w:space="0" w:color="auto"/>
              <w:right w:val="single" w:sz="4" w:space="0" w:color="auto"/>
            </w:tcBorders>
            <w:shd w:val="clear" w:color="auto" w:fill="auto"/>
            <w:noWrap/>
            <w:vAlign w:val="center"/>
            <w:hideMark/>
          </w:tcPr>
          <w:p w14:paraId="0A988975"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1.260</w:t>
            </w:r>
          </w:p>
        </w:tc>
        <w:tc>
          <w:tcPr>
            <w:tcW w:w="321" w:type="pct"/>
            <w:tcBorders>
              <w:top w:val="nil"/>
              <w:left w:val="nil"/>
              <w:bottom w:val="single" w:sz="4" w:space="0" w:color="auto"/>
              <w:right w:val="single" w:sz="4" w:space="0" w:color="auto"/>
            </w:tcBorders>
            <w:shd w:val="clear" w:color="auto" w:fill="auto"/>
            <w:noWrap/>
            <w:vAlign w:val="center"/>
            <w:hideMark/>
          </w:tcPr>
          <w:p w14:paraId="18DDFD16"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hideMark/>
          </w:tcPr>
          <w:p w14:paraId="1742F595"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1.710</w:t>
            </w:r>
          </w:p>
        </w:tc>
      </w:tr>
      <w:tr w:rsidR="00B934E7" w:rsidRPr="00B934E7" w14:paraId="0C40D01A" w14:textId="77777777" w:rsidTr="00B934E7">
        <w:trPr>
          <w:trHeight w:val="290"/>
        </w:trPr>
        <w:tc>
          <w:tcPr>
            <w:tcW w:w="214"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AA80DF6"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310FA5">
              <w:rPr>
                <w:rFonts w:ascii="Arial Narrow" w:eastAsia="Times New Roman" w:hAnsi="Arial Narrow" w:cs="Calibri"/>
                <w:color w:val="000000"/>
                <w:sz w:val="16"/>
                <w:szCs w:val="16"/>
              </w:rPr>
              <w:t>8</w:t>
            </w:r>
          </w:p>
        </w:tc>
        <w:tc>
          <w:tcPr>
            <w:tcW w:w="640" w:type="pct"/>
            <w:tcBorders>
              <w:top w:val="nil"/>
              <w:left w:val="nil"/>
              <w:bottom w:val="single" w:sz="4" w:space="0" w:color="auto"/>
              <w:right w:val="single" w:sz="4" w:space="0" w:color="auto"/>
            </w:tcBorders>
            <w:shd w:val="clear" w:color="auto" w:fill="auto"/>
            <w:vAlign w:val="center"/>
            <w:hideMark/>
          </w:tcPr>
          <w:p w14:paraId="0C2C596E"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Maximum Concentration by Category</w:t>
            </w:r>
          </w:p>
        </w:tc>
        <w:tc>
          <w:tcPr>
            <w:tcW w:w="427" w:type="pct"/>
            <w:tcBorders>
              <w:top w:val="nil"/>
              <w:left w:val="nil"/>
              <w:bottom w:val="single" w:sz="4" w:space="0" w:color="auto"/>
              <w:right w:val="single" w:sz="8" w:space="0" w:color="auto"/>
            </w:tcBorders>
            <w:shd w:val="clear" w:color="auto" w:fill="auto"/>
            <w:vAlign w:val="center"/>
            <w:hideMark/>
          </w:tcPr>
          <w:p w14:paraId="1C6F9A3E"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07D08BB"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0.340</w:t>
            </w:r>
          </w:p>
        </w:tc>
        <w:tc>
          <w:tcPr>
            <w:tcW w:w="356" w:type="pct"/>
            <w:tcBorders>
              <w:top w:val="nil"/>
              <w:left w:val="nil"/>
              <w:bottom w:val="single" w:sz="4" w:space="0" w:color="auto"/>
              <w:right w:val="single" w:sz="4" w:space="0" w:color="auto"/>
            </w:tcBorders>
            <w:shd w:val="clear" w:color="auto" w:fill="auto"/>
            <w:noWrap/>
            <w:vAlign w:val="center"/>
            <w:hideMark/>
          </w:tcPr>
          <w:p w14:paraId="57C496FE"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1.360</w:t>
            </w:r>
          </w:p>
        </w:tc>
        <w:tc>
          <w:tcPr>
            <w:tcW w:w="285" w:type="pct"/>
            <w:tcBorders>
              <w:top w:val="nil"/>
              <w:left w:val="nil"/>
              <w:bottom w:val="single" w:sz="4" w:space="0" w:color="auto"/>
              <w:right w:val="single" w:sz="4" w:space="0" w:color="auto"/>
            </w:tcBorders>
            <w:shd w:val="clear" w:color="auto" w:fill="auto"/>
            <w:noWrap/>
            <w:vAlign w:val="center"/>
            <w:hideMark/>
          </w:tcPr>
          <w:p w14:paraId="2BE17CCC"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nil"/>
              <w:left w:val="nil"/>
              <w:bottom w:val="single" w:sz="4" w:space="0" w:color="auto"/>
              <w:right w:val="single" w:sz="8" w:space="0" w:color="auto"/>
            </w:tcBorders>
            <w:shd w:val="clear" w:color="auto" w:fill="auto"/>
            <w:noWrap/>
            <w:vAlign w:val="center"/>
            <w:hideMark/>
          </w:tcPr>
          <w:p w14:paraId="047D59FB"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1.700</w:t>
            </w:r>
          </w:p>
        </w:tc>
        <w:tc>
          <w:tcPr>
            <w:tcW w:w="214" w:type="pct"/>
            <w:tcBorders>
              <w:top w:val="nil"/>
              <w:left w:val="single" w:sz="8" w:space="0" w:color="auto"/>
              <w:bottom w:val="single" w:sz="4" w:space="0" w:color="auto"/>
              <w:right w:val="single" w:sz="8" w:space="0" w:color="auto"/>
            </w:tcBorders>
            <w:shd w:val="clear" w:color="auto" w:fill="auto"/>
            <w:noWrap/>
            <w:vAlign w:val="center"/>
            <w:hideMark/>
          </w:tcPr>
          <w:p w14:paraId="57F1AAAE" w14:textId="77777777" w:rsidR="00B934E7" w:rsidRPr="00B934E7" w:rsidRDefault="00B934E7" w:rsidP="00B934E7">
            <w:pPr>
              <w:jc w:val="cente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2</w:t>
            </w:r>
            <w:r w:rsidR="00310FA5">
              <w:rPr>
                <w:rFonts w:ascii="Arial Narrow" w:eastAsia="Times New Roman" w:hAnsi="Arial Narrow" w:cs="Calibri"/>
                <w:color w:val="000000"/>
                <w:sz w:val="16"/>
                <w:szCs w:val="16"/>
              </w:rPr>
              <w:t>9</w:t>
            </w:r>
          </w:p>
        </w:tc>
        <w:tc>
          <w:tcPr>
            <w:tcW w:w="644" w:type="pct"/>
            <w:tcBorders>
              <w:top w:val="nil"/>
              <w:left w:val="nil"/>
              <w:bottom w:val="single" w:sz="4" w:space="0" w:color="auto"/>
              <w:right w:val="single" w:sz="4" w:space="0" w:color="auto"/>
            </w:tcBorders>
            <w:shd w:val="clear" w:color="auto" w:fill="auto"/>
            <w:vAlign w:val="center"/>
            <w:hideMark/>
          </w:tcPr>
          <w:p w14:paraId="6D2DAD66"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Maximum Concentration by Category</w:t>
            </w:r>
          </w:p>
        </w:tc>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C621A3E"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0.340</w:t>
            </w:r>
          </w:p>
        </w:tc>
        <w:tc>
          <w:tcPr>
            <w:tcW w:w="426" w:type="pct"/>
            <w:tcBorders>
              <w:top w:val="nil"/>
              <w:left w:val="nil"/>
              <w:bottom w:val="single" w:sz="4" w:space="0" w:color="auto"/>
              <w:right w:val="single" w:sz="4" w:space="0" w:color="auto"/>
            </w:tcBorders>
            <w:shd w:val="clear" w:color="auto" w:fill="auto"/>
            <w:noWrap/>
            <w:vAlign w:val="center"/>
            <w:hideMark/>
          </w:tcPr>
          <w:p w14:paraId="2A957D7D"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1.360</w:t>
            </w:r>
          </w:p>
        </w:tc>
        <w:tc>
          <w:tcPr>
            <w:tcW w:w="321" w:type="pct"/>
            <w:tcBorders>
              <w:top w:val="nil"/>
              <w:left w:val="nil"/>
              <w:bottom w:val="single" w:sz="4" w:space="0" w:color="auto"/>
              <w:right w:val="single" w:sz="4" w:space="0" w:color="auto"/>
            </w:tcBorders>
            <w:shd w:val="clear" w:color="auto" w:fill="auto"/>
            <w:noWrap/>
            <w:vAlign w:val="center"/>
            <w:hideMark/>
          </w:tcPr>
          <w:p w14:paraId="43FBEA65"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nil"/>
              <w:left w:val="nil"/>
              <w:bottom w:val="single" w:sz="4" w:space="0" w:color="auto"/>
              <w:right w:val="single" w:sz="8" w:space="0" w:color="auto"/>
            </w:tcBorders>
            <w:shd w:val="clear" w:color="auto" w:fill="auto"/>
            <w:noWrap/>
            <w:vAlign w:val="center"/>
            <w:hideMark/>
          </w:tcPr>
          <w:p w14:paraId="325BF132"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1.700</w:t>
            </w:r>
          </w:p>
        </w:tc>
      </w:tr>
      <w:tr w:rsidR="00B934E7" w:rsidRPr="00B934E7" w14:paraId="2A2D22B1" w14:textId="77777777" w:rsidTr="00B934E7">
        <w:trPr>
          <w:trHeight w:val="540"/>
        </w:trPr>
        <w:tc>
          <w:tcPr>
            <w:tcW w:w="214"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D7C2D1E" w14:textId="77777777" w:rsidR="00B934E7" w:rsidRPr="00B934E7" w:rsidRDefault="00310FA5" w:rsidP="00B934E7">
            <w:pPr>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29</w:t>
            </w:r>
          </w:p>
        </w:tc>
        <w:tc>
          <w:tcPr>
            <w:tcW w:w="640" w:type="pct"/>
            <w:tcBorders>
              <w:top w:val="single" w:sz="4" w:space="0" w:color="auto"/>
              <w:left w:val="nil"/>
              <w:bottom w:val="single" w:sz="4" w:space="0" w:color="auto"/>
              <w:right w:val="single" w:sz="4" w:space="0" w:color="auto"/>
            </w:tcBorders>
            <w:shd w:val="clear" w:color="auto" w:fill="auto"/>
            <w:vAlign w:val="center"/>
            <w:hideMark/>
          </w:tcPr>
          <w:p w14:paraId="0FDBB02B"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Number of Commercial Workers Reasonably Likely to be exposed</w:t>
            </w:r>
          </w:p>
        </w:tc>
        <w:tc>
          <w:tcPr>
            <w:tcW w:w="427" w:type="pct"/>
            <w:tcBorders>
              <w:top w:val="single" w:sz="4" w:space="0" w:color="auto"/>
              <w:left w:val="nil"/>
              <w:bottom w:val="single" w:sz="4" w:space="0" w:color="auto"/>
              <w:right w:val="single" w:sz="8" w:space="0" w:color="auto"/>
            </w:tcBorders>
            <w:shd w:val="clear" w:color="auto" w:fill="auto"/>
            <w:vAlign w:val="center"/>
            <w:hideMark/>
          </w:tcPr>
          <w:p w14:paraId="7A02140B"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Per chemical</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7F39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3.830</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5DD7C808"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15.430</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3A21CA40"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56" w:type="pct"/>
            <w:tcBorders>
              <w:top w:val="single" w:sz="4" w:space="0" w:color="auto"/>
              <w:left w:val="nil"/>
              <w:bottom w:val="single" w:sz="4" w:space="0" w:color="auto"/>
              <w:right w:val="single" w:sz="8" w:space="0" w:color="auto"/>
            </w:tcBorders>
            <w:shd w:val="clear" w:color="auto" w:fill="auto"/>
            <w:noWrap/>
            <w:vAlign w:val="center"/>
            <w:hideMark/>
          </w:tcPr>
          <w:p w14:paraId="3D58CFF1"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19.260</w:t>
            </w:r>
          </w:p>
        </w:tc>
        <w:tc>
          <w:tcPr>
            <w:tcW w:w="214"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32E3076" w14:textId="77777777" w:rsidR="00B934E7" w:rsidRPr="00B934E7" w:rsidRDefault="00310FA5" w:rsidP="00B934E7">
            <w:pPr>
              <w:jc w:val="center"/>
              <w:rPr>
                <w:rFonts w:ascii="Arial Narrow" w:eastAsia="Times New Roman" w:hAnsi="Arial Narrow" w:cs="Calibri"/>
                <w:color w:val="000000"/>
                <w:sz w:val="16"/>
                <w:szCs w:val="16"/>
              </w:rPr>
            </w:pPr>
            <w:r>
              <w:rPr>
                <w:rFonts w:ascii="Arial Narrow" w:eastAsia="Times New Roman" w:hAnsi="Arial Narrow" w:cs="Calibri"/>
                <w:color w:val="000000"/>
                <w:sz w:val="16"/>
                <w:szCs w:val="16"/>
              </w:rPr>
              <w:t>30</w:t>
            </w:r>
          </w:p>
        </w:tc>
        <w:tc>
          <w:tcPr>
            <w:tcW w:w="644" w:type="pct"/>
            <w:tcBorders>
              <w:top w:val="single" w:sz="4" w:space="0" w:color="auto"/>
              <w:left w:val="nil"/>
              <w:bottom w:val="single" w:sz="4" w:space="0" w:color="auto"/>
              <w:right w:val="single" w:sz="4" w:space="0" w:color="auto"/>
            </w:tcBorders>
            <w:shd w:val="clear" w:color="auto" w:fill="auto"/>
            <w:vAlign w:val="center"/>
            <w:hideMark/>
          </w:tcPr>
          <w:p w14:paraId="6E05E586" w14:textId="77777777" w:rsidR="00B934E7" w:rsidRPr="00B934E7" w:rsidRDefault="00B934E7" w:rsidP="00B934E7">
            <w:pPr>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Number of Commercial Workers Reasonably Likely to be exposed</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32A88"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3.830</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14:paraId="72C39020"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15.430</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537D0B0B"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0.000</w:t>
            </w:r>
          </w:p>
        </w:tc>
        <w:tc>
          <w:tcPr>
            <w:tcW w:w="369" w:type="pct"/>
            <w:tcBorders>
              <w:top w:val="single" w:sz="4" w:space="0" w:color="auto"/>
              <w:left w:val="nil"/>
              <w:bottom w:val="single" w:sz="4" w:space="0" w:color="auto"/>
              <w:right w:val="single" w:sz="8" w:space="0" w:color="auto"/>
            </w:tcBorders>
            <w:shd w:val="clear" w:color="auto" w:fill="auto"/>
            <w:noWrap/>
            <w:vAlign w:val="center"/>
            <w:hideMark/>
          </w:tcPr>
          <w:p w14:paraId="7F1D82BA" w14:textId="77777777" w:rsidR="00B934E7" w:rsidRPr="00B934E7" w:rsidRDefault="00B934E7" w:rsidP="00B934E7">
            <w:pPr>
              <w:ind w:right="101"/>
              <w:jc w:val="right"/>
              <w:rPr>
                <w:rFonts w:ascii="Arial Narrow" w:eastAsia="Times New Roman" w:hAnsi="Arial Narrow" w:cs="Calibri"/>
                <w:color w:val="000000"/>
                <w:sz w:val="16"/>
                <w:szCs w:val="16"/>
              </w:rPr>
            </w:pPr>
            <w:r w:rsidRPr="00B934E7">
              <w:rPr>
                <w:rFonts w:ascii="Arial Narrow" w:eastAsia="Times New Roman" w:hAnsi="Arial Narrow" w:cs="Calibri"/>
                <w:color w:val="000000"/>
                <w:sz w:val="16"/>
                <w:szCs w:val="16"/>
              </w:rPr>
              <w:t>19.260</w:t>
            </w:r>
          </w:p>
        </w:tc>
      </w:tr>
      <w:tr w:rsidR="00B934E7" w:rsidRPr="00B934E7" w14:paraId="586B7443" w14:textId="77777777" w:rsidTr="00B934E7">
        <w:trPr>
          <w:trHeight w:val="540"/>
        </w:trPr>
        <w:tc>
          <w:tcPr>
            <w:tcW w:w="214" w:type="pct"/>
            <w:tcBorders>
              <w:top w:val="single" w:sz="4" w:space="0" w:color="auto"/>
              <w:left w:val="single" w:sz="8" w:space="0" w:color="auto"/>
              <w:bottom w:val="single" w:sz="8" w:space="0" w:color="auto"/>
              <w:right w:val="single" w:sz="8" w:space="0" w:color="auto"/>
            </w:tcBorders>
            <w:shd w:val="clear" w:color="auto" w:fill="auto"/>
            <w:noWrap/>
            <w:vAlign w:val="center"/>
          </w:tcPr>
          <w:p w14:paraId="2098A35D" w14:textId="77777777" w:rsidR="00B934E7" w:rsidRPr="00B934E7" w:rsidRDefault="00310FA5" w:rsidP="00C57C9A">
            <w:pPr>
              <w:jc w:val="center"/>
              <w:rPr>
                <w:rFonts w:ascii="Arial Narrow" w:eastAsia="Times New Roman" w:hAnsi="Arial Narrow" w:cs="Calibri"/>
                <w:sz w:val="16"/>
                <w:szCs w:val="16"/>
              </w:rPr>
            </w:pPr>
            <w:r>
              <w:rPr>
                <w:rFonts w:ascii="Arial Narrow" w:eastAsia="Times New Roman" w:hAnsi="Arial Narrow" w:cs="Calibri"/>
                <w:sz w:val="16"/>
                <w:szCs w:val="16"/>
              </w:rPr>
              <w:t>30</w:t>
            </w:r>
          </w:p>
        </w:tc>
        <w:tc>
          <w:tcPr>
            <w:tcW w:w="640" w:type="pct"/>
            <w:tcBorders>
              <w:top w:val="single" w:sz="4" w:space="0" w:color="auto"/>
              <w:left w:val="nil"/>
              <w:bottom w:val="single" w:sz="8" w:space="0" w:color="auto"/>
              <w:right w:val="single" w:sz="4" w:space="0" w:color="auto"/>
            </w:tcBorders>
            <w:shd w:val="clear" w:color="auto" w:fill="auto"/>
            <w:vAlign w:val="center"/>
          </w:tcPr>
          <w:p w14:paraId="1ABFF011" w14:textId="77777777" w:rsidR="00B934E7" w:rsidRPr="00B934E7" w:rsidRDefault="00B934E7" w:rsidP="00B934E7">
            <w:pPr>
              <w:rPr>
                <w:rFonts w:ascii="Arial Narrow" w:eastAsia="Times New Roman" w:hAnsi="Arial Narrow" w:cs="Calibri"/>
                <w:sz w:val="16"/>
                <w:szCs w:val="16"/>
              </w:rPr>
            </w:pPr>
            <w:r w:rsidRPr="00B934E7">
              <w:rPr>
                <w:rFonts w:ascii="Arial Narrow" w:eastAsia="Times New Roman" w:hAnsi="Arial Narrow" w:cs="Calibri"/>
                <w:sz w:val="16"/>
                <w:szCs w:val="16"/>
              </w:rPr>
              <w:t>Upfront Substantiation for Processing and Use Information CBI Claims</w:t>
            </w:r>
          </w:p>
        </w:tc>
        <w:tc>
          <w:tcPr>
            <w:tcW w:w="427" w:type="pct"/>
            <w:tcBorders>
              <w:top w:val="single" w:sz="4" w:space="0" w:color="auto"/>
              <w:left w:val="nil"/>
              <w:bottom w:val="single" w:sz="8" w:space="0" w:color="auto"/>
              <w:right w:val="single" w:sz="8" w:space="0" w:color="auto"/>
            </w:tcBorders>
            <w:shd w:val="clear" w:color="auto" w:fill="auto"/>
            <w:vAlign w:val="center"/>
          </w:tcPr>
          <w:p w14:paraId="50698861" w14:textId="77777777" w:rsidR="00B934E7" w:rsidRPr="00B934E7" w:rsidRDefault="00B934E7" w:rsidP="00B934E7">
            <w:pPr>
              <w:jc w:val="center"/>
              <w:rPr>
                <w:rFonts w:ascii="Arial Narrow" w:eastAsia="Times New Roman" w:hAnsi="Arial Narrow" w:cs="Calibri"/>
                <w:sz w:val="16"/>
                <w:szCs w:val="16"/>
              </w:rPr>
            </w:pPr>
            <w:r w:rsidRPr="00B934E7">
              <w:rPr>
                <w:rFonts w:ascii="Arial Narrow" w:eastAsia="Times New Roman" w:hAnsi="Arial Narrow" w:cs="Calibri"/>
                <w:sz w:val="16"/>
                <w:szCs w:val="16"/>
              </w:rPr>
              <w:t>Per chemical</w:t>
            </w:r>
          </w:p>
        </w:tc>
        <w:tc>
          <w:tcPr>
            <w:tcW w:w="391" w:type="pct"/>
            <w:tcBorders>
              <w:top w:val="single" w:sz="4" w:space="0" w:color="auto"/>
              <w:left w:val="single" w:sz="4" w:space="0" w:color="auto"/>
              <w:bottom w:val="single" w:sz="8" w:space="0" w:color="auto"/>
              <w:right w:val="single" w:sz="4" w:space="0" w:color="auto"/>
            </w:tcBorders>
            <w:shd w:val="clear" w:color="auto" w:fill="auto"/>
            <w:noWrap/>
            <w:vAlign w:val="center"/>
          </w:tcPr>
          <w:p w14:paraId="7BA1C0A9"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0.260</w:t>
            </w:r>
          </w:p>
        </w:tc>
        <w:tc>
          <w:tcPr>
            <w:tcW w:w="356" w:type="pct"/>
            <w:tcBorders>
              <w:top w:val="single" w:sz="4" w:space="0" w:color="auto"/>
              <w:left w:val="nil"/>
              <w:bottom w:val="single" w:sz="8" w:space="0" w:color="auto"/>
              <w:right w:val="single" w:sz="4" w:space="0" w:color="auto"/>
            </w:tcBorders>
            <w:shd w:val="clear" w:color="auto" w:fill="auto"/>
            <w:noWrap/>
            <w:vAlign w:val="center"/>
          </w:tcPr>
          <w:p w14:paraId="076901EB"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0.430</w:t>
            </w:r>
          </w:p>
        </w:tc>
        <w:tc>
          <w:tcPr>
            <w:tcW w:w="285" w:type="pct"/>
            <w:tcBorders>
              <w:top w:val="single" w:sz="4" w:space="0" w:color="auto"/>
              <w:left w:val="nil"/>
              <w:bottom w:val="single" w:sz="8" w:space="0" w:color="auto"/>
              <w:right w:val="single" w:sz="4" w:space="0" w:color="auto"/>
            </w:tcBorders>
            <w:shd w:val="clear" w:color="auto" w:fill="auto"/>
            <w:noWrap/>
            <w:vAlign w:val="center"/>
          </w:tcPr>
          <w:p w14:paraId="627B44D9"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0.000</w:t>
            </w:r>
          </w:p>
        </w:tc>
        <w:tc>
          <w:tcPr>
            <w:tcW w:w="356" w:type="pct"/>
            <w:tcBorders>
              <w:top w:val="single" w:sz="4" w:space="0" w:color="auto"/>
              <w:left w:val="nil"/>
              <w:bottom w:val="single" w:sz="8" w:space="0" w:color="auto"/>
              <w:right w:val="single" w:sz="8" w:space="0" w:color="auto"/>
            </w:tcBorders>
            <w:shd w:val="clear" w:color="auto" w:fill="auto"/>
            <w:noWrap/>
            <w:vAlign w:val="center"/>
          </w:tcPr>
          <w:p w14:paraId="2E0D26AE"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0.690</w:t>
            </w:r>
          </w:p>
        </w:tc>
        <w:tc>
          <w:tcPr>
            <w:tcW w:w="214" w:type="pct"/>
            <w:tcBorders>
              <w:top w:val="single" w:sz="4" w:space="0" w:color="auto"/>
              <w:left w:val="single" w:sz="8" w:space="0" w:color="auto"/>
              <w:bottom w:val="single" w:sz="8" w:space="0" w:color="auto"/>
              <w:right w:val="single" w:sz="8" w:space="0" w:color="auto"/>
            </w:tcBorders>
            <w:shd w:val="clear" w:color="auto" w:fill="auto"/>
            <w:noWrap/>
            <w:vAlign w:val="center"/>
          </w:tcPr>
          <w:p w14:paraId="49919FA0" w14:textId="77777777" w:rsidR="00B934E7" w:rsidRPr="00B934E7" w:rsidRDefault="00310FA5" w:rsidP="00B934E7">
            <w:pPr>
              <w:jc w:val="center"/>
              <w:rPr>
                <w:rFonts w:ascii="Arial Narrow" w:eastAsia="Times New Roman" w:hAnsi="Arial Narrow" w:cs="Calibri"/>
                <w:sz w:val="16"/>
                <w:szCs w:val="16"/>
              </w:rPr>
            </w:pPr>
            <w:r>
              <w:rPr>
                <w:rFonts w:ascii="Arial Narrow" w:eastAsia="Times New Roman" w:hAnsi="Arial Narrow" w:cs="Calibri"/>
                <w:sz w:val="16"/>
                <w:szCs w:val="16"/>
              </w:rPr>
              <w:t>31</w:t>
            </w:r>
          </w:p>
        </w:tc>
        <w:tc>
          <w:tcPr>
            <w:tcW w:w="644" w:type="pct"/>
            <w:tcBorders>
              <w:top w:val="single" w:sz="4" w:space="0" w:color="auto"/>
              <w:left w:val="nil"/>
              <w:bottom w:val="single" w:sz="8" w:space="0" w:color="auto"/>
              <w:right w:val="single" w:sz="4" w:space="0" w:color="auto"/>
            </w:tcBorders>
            <w:shd w:val="clear" w:color="auto" w:fill="auto"/>
            <w:vAlign w:val="center"/>
          </w:tcPr>
          <w:p w14:paraId="72A5A2BA" w14:textId="77777777" w:rsidR="00B934E7" w:rsidRPr="00044368" w:rsidRDefault="00B934E7" w:rsidP="00B934E7">
            <w:pPr>
              <w:rPr>
                <w:rFonts w:ascii="Arial Narrow" w:eastAsia="Times New Roman" w:hAnsi="Arial Narrow" w:cs="Calibri"/>
                <w:sz w:val="16"/>
                <w:szCs w:val="16"/>
                <w:lang w:val="fr-FR"/>
              </w:rPr>
            </w:pPr>
            <w:r w:rsidRPr="00044368">
              <w:rPr>
                <w:rFonts w:ascii="Arial Narrow" w:eastAsia="Times New Roman" w:hAnsi="Arial Narrow" w:cs="Calibri"/>
                <w:sz w:val="16"/>
                <w:szCs w:val="16"/>
                <w:lang w:val="fr-FR"/>
              </w:rPr>
              <w:t>Non-Chem ID CBI Substantiation (Part III)</w:t>
            </w:r>
          </w:p>
        </w:tc>
        <w:tc>
          <w:tcPr>
            <w:tcW w:w="357" w:type="pct"/>
            <w:tcBorders>
              <w:top w:val="single" w:sz="4" w:space="0" w:color="auto"/>
              <w:left w:val="single" w:sz="4" w:space="0" w:color="auto"/>
              <w:bottom w:val="single" w:sz="8" w:space="0" w:color="auto"/>
              <w:right w:val="single" w:sz="4" w:space="0" w:color="auto"/>
            </w:tcBorders>
            <w:shd w:val="clear" w:color="auto" w:fill="auto"/>
            <w:noWrap/>
            <w:vAlign w:val="center"/>
          </w:tcPr>
          <w:p w14:paraId="57609F19"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0.260</w:t>
            </w:r>
          </w:p>
        </w:tc>
        <w:tc>
          <w:tcPr>
            <w:tcW w:w="426" w:type="pct"/>
            <w:tcBorders>
              <w:top w:val="single" w:sz="4" w:space="0" w:color="auto"/>
              <w:left w:val="nil"/>
              <w:bottom w:val="single" w:sz="8" w:space="0" w:color="auto"/>
              <w:right w:val="single" w:sz="4" w:space="0" w:color="auto"/>
            </w:tcBorders>
            <w:shd w:val="clear" w:color="auto" w:fill="auto"/>
            <w:noWrap/>
            <w:vAlign w:val="center"/>
          </w:tcPr>
          <w:p w14:paraId="30C460B8"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0.430</w:t>
            </w:r>
          </w:p>
        </w:tc>
        <w:tc>
          <w:tcPr>
            <w:tcW w:w="321" w:type="pct"/>
            <w:tcBorders>
              <w:top w:val="single" w:sz="4" w:space="0" w:color="auto"/>
              <w:left w:val="nil"/>
              <w:bottom w:val="single" w:sz="8" w:space="0" w:color="auto"/>
              <w:right w:val="single" w:sz="4" w:space="0" w:color="auto"/>
            </w:tcBorders>
            <w:shd w:val="clear" w:color="auto" w:fill="auto"/>
            <w:noWrap/>
            <w:vAlign w:val="center"/>
          </w:tcPr>
          <w:p w14:paraId="78BF3620"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0.000</w:t>
            </w:r>
          </w:p>
        </w:tc>
        <w:tc>
          <w:tcPr>
            <w:tcW w:w="369" w:type="pct"/>
            <w:tcBorders>
              <w:top w:val="single" w:sz="4" w:space="0" w:color="auto"/>
              <w:left w:val="nil"/>
              <w:bottom w:val="single" w:sz="8" w:space="0" w:color="auto"/>
              <w:right w:val="single" w:sz="8" w:space="0" w:color="auto"/>
            </w:tcBorders>
            <w:shd w:val="clear" w:color="auto" w:fill="auto"/>
            <w:noWrap/>
            <w:vAlign w:val="center"/>
          </w:tcPr>
          <w:p w14:paraId="5A8C6E2C" w14:textId="77777777" w:rsidR="00B934E7" w:rsidRPr="00B934E7" w:rsidRDefault="00B934E7" w:rsidP="00B934E7">
            <w:pPr>
              <w:ind w:right="101"/>
              <w:jc w:val="right"/>
              <w:rPr>
                <w:rFonts w:ascii="Arial Narrow" w:eastAsia="Times New Roman" w:hAnsi="Arial Narrow" w:cs="Calibri"/>
                <w:sz w:val="16"/>
                <w:szCs w:val="16"/>
              </w:rPr>
            </w:pPr>
            <w:r w:rsidRPr="00B934E7">
              <w:rPr>
                <w:rFonts w:ascii="Arial Narrow" w:eastAsia="Times New Roman" w:hAnsi="Arial Narrow" w:cs="Calibri"/>
                <w:sz w:val="16"/>
                <w:szCs w:val="16"/>
              </w:rPr>
              <w:t>0.690</w:t>
            </w:r>
          </w:p>
        </w:tc>
      </w:tr>
      <w:tr w:rsidR="00B934E7" w:rsidRPr="00B934E7" w14:paraId="2AB8B197" w14:textId="77777777" w:rsidTr="00B934E7">
        <w:trPr>
          <w:trHeight w:val="304"/>
        </w:trPr>
        <w:tc>
          <w:tcPr>
            <w:tcW w:w="214"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2D5805DC" w14:textId="77777777" w:rsidR="00B934E7" w:rsidRPr="00B934E7" w:rsidRDefault="00B934E7" w:rsidP="00B934E7">
            <w:pPr>
              <w:jc w:val="center"/>
              <w:rPr>
                <w:rFonts w:ascii="Arial Narrow" w:eastAsia="Times New Roman" w:hAnsi="Arial Narrow" w:cs="Calibri"/>
                <w:color w:val="000000"/>
                <w:sz w:val="16"/>
                <w:szCs w:val="16"/>
              </w:rPr>
            </w:pPr>
          </w:p>
        </w:tc>
        <w:tc>
          <w:tcPr>
            <w:tcW w:w="640" w:type="pct"/>
            <w:tcBorders>
              <w:top w:val="single" w:sz="8" w:space="0" w:color="auto"/>
              <w:left w:val="nil"/>
              <w:bottom w:val="single" w:sz="8" w:space="0" w:color="auto"/>
              <w:right w:val="nil"/>
            </w:tcBorders>
            <w:shd w:val="clear" w:color="auto" w:fill="D9D9D9"/>
            <w:vAlign w:val="center"/>
            <w:hideMark/>
          </w:tcPr>
          <w:p w14:paraId="24E58265" w14:textId="77777777" w:rsidR="00B934E7" w:rsidRPr="00B934E7" w:rsidRDefault="00B934E7" w:rsidP="00B934E7">
            <w:pP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Subtotal, Part III</w:t>
            </w:r>
          </w:p>
        </w:tc>
        <w:tc>
          <w:tcPr>
            <w:tcW w:w="427" w:type="pct"/>
            <w:tcBorders>
              <w:top w:val="single" w:sz="8" w:space="0" w:color="auto"/>
              <w:left w:val="nil"/>
              <w:bottom w:val="single" w:sz="8" w:space="0" w:color="auto"/>
              <w:right w:val="single" w:sz="8" w:space="0" w:color="auto"/>
            </w:tcBorders>
            <w:shd w:val="clear" w:color="auto" w:fill="D9D9D9"/>
            <w:vAlign w:val="center"/>
            <w:hideMark/>
          </w:tcPr>
          <w:p w14:paraId="13C81C62" w14:textId="77777777" w:rsidR="00B934E7" w:rsidRPr="00B934E7" w:rsidRDefault="00B934E7" w:rsidP="00B934E7">
            <w:pP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Per chemical</w:t>
            </w:r>
          </w:p>
        </w:tc>
        <w:tc>
          <w:tcPr>
            <w:tcW w:w="391" w:type="pct"/>
            <w:tcBorders>
              <w:top w:val="single" w:sz="8" w:space="0" w:color="auto"/>
              <w:left w:val="nil"/>
              <w:bottom w:val="single" w:sz="8" w:space="0" w:color="auto"/>
              <w:right w:val="nil"/>
            </w:tcBorders>
            <w:shd w:val="clear" w:color="auto" w:fill="D9D9D9"/>
            <w:vAlign w:val="center"/>
            <w:hideMark/>
          </w:tcPr>
          <w:p w14:paraId="7EF59E36"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356" w:type="pct"/>
            <w:tcBorders>
              <w:top w:val="single" w:sz="8" w:space="0" w:color="auto"/>
              <w:left w:val="nil"/>
              <w:bottom w:val="single" w:sz="8" w:space="0" w:color="auto"/>
              <w:right w:val="nil"/>
            </w:tcBorders>
            <w:shd w:val="clear" w:color="auto" w:fill="D9D9D9"/>
            <w:noWrap/>
            <w:vAlign w:val="center"/>
            <w:hideMark/>
          </w:tcPr>
          <w:p w14:paraId="2FC369D1"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285" w:type="pct"/>
            <w:tcBorders>
              <w:top w:val="single" w:sz="8" w:space="0" w:color="auto"/>
              <w:left w:val="nil"/>
              <w:bottom w:val="single" w:sz="8" w:space="0" w:color="auto"/>
              <w:right w:val="single" w:sz="4" w:space="0" w:color="auto"/>
            </w:tcBorders>
            <w:shd w:val="clear" w:color="auto" w:fill="D9D9D9"/>
            <w:noWrap/>
            <w:vAlign w:val="center"/>
            <w:hideMark/>
          </w:tcPr>
          <w:p w14:paraId="76BF357D"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356" w:type="pct"/>
            <w:tcBorders>
              <w:top w:val="single" w:sz="8" w:space="0" w:color="auto"/>
              <w:left w:val="nil"/>
              <w:bottom w:val="single" w:sz="8" w:space="0" w:color="auto"/>
              <w:right w:val="single" w:sz="8" w:space="0" w:color="auto"/>
            </w:tcBorders>
            <w:shd w:val="clear" w:color="auto" w:fill="D9D9D9"/>
            <w:noWrap/>
            <w:vAlign w:val="center"/>
            <w:hideMark/>
          </w:tcPr>
          <w:p w14:paraId="2073EFF4"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83.040</w:t>
            </w:r>
          </w:p>
        </w:tc>
        <w:tc>
          <w:tcPr>
            <w:tcW w:w="214" w:type="pct"/>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1AC91AB7" w14:textId="77777777" w:rsidR="00B934E7" w:rsidRPr="00B934E7" w:rsidRDefault="00B934E7" w:rsidP="00B934E7">
            <w:pPr>
              <w:jc w:val="center"/>
              <w:rPr>
                <w:rFonts w:ascii="Arial Narrow" w:eastAsia="Times New Roman" w:hAnsi="Arial Narrow" w:cs="Calibri"/>
                <w:color w:val="000000"/>
                <w:sz w:val="16"/>
                <w:szCs w:val="16"/>
              </w:rPr>
            </w:pPr>
          </w:p>
        </w:tc>
        <w:tc>
          <w:tcPr>
            <w:tcW w:w="644" w:type="pct"/>
            <w:tcBorders>
              <w:top w:val="single" w:sz="8" w:space="0" w:color="auto"/>
              <w:left w:val="nil"/>
              <w:bottom w:val="single" w:sz="8" w:space="0" w:color="auto"/>
              <w:right w:val="nil"/>
            </w:tcBorders>
            <w:shd w:val="clear" w:color="auto" w:fill="D9D9D9"/>
            <w:vAlign w:val="center"/>
            <w:hideMark/>
          </w:tcPr>
          <w:p w14:paraId="3012A55D" w14:textId="77777777" w:rsidR="00B934E7" w:rsidRPr="00B934E7" w:rsidRDefault="00B934E7" w:rsidP="00B934E7">
            <w:pPr>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Subtotal, Part III</w:t>
            </w:r>
          </w:p>
        </w:tc>
        <w:tc>
          <w:tcPr>
            <w:tcW w:w="357" w:type="pct"/>
            <w:tcBorders>
              <w:top w:val="single" w:sz="8" w:space="0" w:color="auto"/>
              <w:left w:val="nil"/>
              <w:bottom w:val="single" w:sz="8" w:space="0" w:color="auto"/>
              <w:right w:val="single" w:sz="4" w:space="0" w:color="auto"/>
            </w:tcBorders>
            <w:shd w:val="clear" w:color="auto" w:fill="D9D9D9"/>
            <w:noWrap/>
            <w:vAlign w:val="center"/>
            <w:hideMark/>
          </w:tcPr>
          <w:p w14:paraId="565EB42E"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426" w:type="pct"/>
            <w:tcBorders>
              <w:top w:val="single" w:sz="8" w:space="0" w:color="auto"/>
              <w:left w:val="nil"/>
              <w:bottom w:val="single" w:sz="8" w:space="0" w:color="auto"/>
              <w:right w:val="nil"/>
            </w:tcBorders>
            <w:shd w:val="clear" w:color="auto" w:fill="D9D9D9"/>
            <w:noWrap/>
            <w:vAlign w:val="center"/>
            <w:hideMark/>
          </w:tcPr>
          <w:p w14:paraId="0A3328EC"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321" w:type="pct"/>
            <w:tcBorders>
              <w:top w:val="single" w:sz="8" w:space="0" w:color="auto"/>
              <w:left w:val="single" w:sz="4" w:space="0" w:color="auto"/>
              <w:bottom w:val="single" w:sz="8" w:space="0" w:color="auto"/>
              <w:right w:val="nil"/>
            </w:tcBorders>
            <w:shd w:val="clear" w:color="auto" w:fill="D9D9D9"/>
            <w:noWrap/>
            <w:vAlign w:val="center"/>
            <w:hideMark/>
          </w:tcPr>
          <w:p w14:paraId="67B5A1E6"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 </w:t>
            </w:r>
          </w:p>
        </w:tc>
        <w:tc>
          <w:tcPr>
            <w:tcW w:w="369" w:type="pct"/>
            <w:tcBorders>
              <w:top w:val="single" w:sz="8" w:space="0" w:color="auto"/>
              <w:left w:val="single" w:sz="4" w:space="0" w:color="auto"/>
              <w:bottom w:val="single" w:sz="8" w:space="0" w:color="auto"/>
              <w:right w:val="single" w:sz="8" w:space="0" w:color="auto"/>
            </w:tcBorders>
            <w:shd w:val="clear" w:color="auto" w:fill="D9D9D9"/>
            <w:noWrap/>
            <w:vAlign w:val="center"/>
            <w:hideMark/>
          </w:tcPr>
          <w:p w14:paraId="3E10EF4A" w14:textId="77777777" w:rsidR="00B934E7" w:rsidRPr="00B934E7" w:rsidRDefault="00B934E7" w:rsidP="00B934E7">
            <w:pPr>
              <w:ind w:right="101"/>
              <w:jc w:val="right"/>
              <w:rPr>
                <w:rFonts w:ascii="Arial Narrow" w:eastAsia="Times New Roman" w:hAnsi="Arial Narrow" w:cs="Calibri"/>
                <w:b/>
                <w:bCs/>
                <w:color w:val="000000"/>
                <w:sz w:val="16"/>
                <w:szCs w:val="16"/>
              </w:rPr>
            </w:pPr>
            <w:r w:rsidRPr="00B934E7">
              <w:rPr>
                <w:rFonts w:ascii="Arial Narrow" w:eastAsia="Times New Roman" w:hAnsi="Arial Narrow" w:cs="Calibri"/>
                <w:b/>
                <w:bCs/>
                <w:color w:val="000000"/>
                <w:sz w:val="16"/>
                <w:szCs w:val="16"/>
              </w:rPr>
              <w:t>8</w:t>
            </w:r>
            <w:r w:rsidR="004636C4">
              <w:rPr>
                <w:rFonts w:ascii="Arial Narrow" w:eastAsia="Times New Roman" w:hAnsi="Arial Narrow" w:cs="Calibri"/>
                <w:b/>
                <w:bCs/>
                <w:color w:val="000000"/>
                <w:sz w:val="16"/>
                <w:szCs w:val="16"/>
              </w:rPr>
              <w:t>3</w:t>
            </w:r>
            <w:r w:rsidRPr="00B934E7">
              <w:rPr>
                <w:rFonts w:ascii="Arial Narrow" w:eastAsia="Times New Roman" w:hAnsi="Arial Narrow" w:cs="Calibri"/>
                <w:b/>
                <w:bCs/>
                <w:color w:val="000000"/>
                <w:sz w:val="16"/>
                <w:szCs w:val="16"/>
              </w:rPr>
              <w:t>.</w:t>
            </w:r>
            <w:r w:rsidR="004636C4">
              <w:rPr>
                <w:rFonts w:ascii="Arial Narrow" w:eastAsia="Times New Roman" w:hAnsi="Arial Narrow" w:cs="Calibri"/>
                <w:b/>
                <w:bCs/>
                <w:color w:val="000000"/>
                <w:sz w:val="16"/>
                <w:szCs w:val="16"/>
              </w:rPr>
              <w:t>040</w:t>
            </w:r>
          </w:p>
        </w:tc>
      </w:tr>
    </w:tbl>
    <w:p w14:paraId="0A81C12E" w14:textId="77777777" w:rsidR="00D5197F" w:rsidRDefault="00D5197F"/>
    <w:p w14:paraId="2EDCB497" w14:textId="77777777" w:rsidR="00D5197F" w:rsidRDefault="00D5197F">
      <w:pPr>
        <w:spacing w:after="200" w:line="276" w:lineRule="auto"/>
      </w:pPr>
      <w:r>
        <w:br w:type="page"/>
      </w:r>
    </w:p>
    <w:p w14:paraId="6408C524" w14:textId="77777777" w:rsidR="00D5197F" w:rsidRDefault="00D5197F"/>
    <w:tbl>
      <w:tblPr>
        <w:tblW w:w="4886" w:type="pct"/>
        <w:tblInd w:w="-10" w:type="dxa"/>
        <w:tblLayout w:type="fixed"/>
        <w:tblLook w:val="04A0" w:firstRow="1" w:lastRow="0" w:firstColumn="1" w:lastColumn="0" w:noHBand="0" w:noVBand="1"/>
      </w:tblPr>
      <w:tblGrid>
        <w:gridCol w:w="12876"/>
      </w:tblGrid>
      <w:tr w:rsidR="00571C32" w:rsidRPr="00B934E7" w14:paraId="10D6EADA" w14:textId="77777777" w:rsidTr="004777D7">
        <w:trPr>
          <w:trHeight w:val="304"/>
        </w:trPr>
        <w:tc>
          <w:tcPr>
            <w:tcW w:w="5000"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F7FF070" w14:textId="77777777" w:rsidR="004243AE" w:rsidRDefault="004243AE" w:rsidP="004243AE">
            <w:pPr>
              <w:pStyle w:val="Footnotetables"/>
            </w:pPr>
            <w:r w:rsidRPr="00B934E7">
              <w:t>General Notes</w:t>
            </w:r>
          </w:p>
          <w:p w14:paraId="2A37C3EB" w14:textId="77777777" w:rsidR="004243AE" w:rsidRDefault="004243AE" w:rsidP="004D4DC1">
            <w:pPr>
              <w:pStyle w:val="Footnotetables"/>
              <w:numPr>
                <w:ilvl w:val="0"/>
                <w:numId w:val="28"/>
              </w:numPr>
            </w:pPr>
            <w:r w:rsidRPr="003F62EE">
              <w:t xml:space="preserve">Sources include: </w:t>
            </w:r>
            <w:r w:rsidR="00AD6833">
              <w:t xml:space="preserve">US </w:t>
            </w:r>
            <w:r w:rsidR="00C730A6">
              <w:rPr>
                <w:rFonts w:eastAsia="Times New Roman" w:cs="Calibri"/>
                <w:bCs/>
                <w:color w:val="000000"/>
                <w:szCs w:val="18"/>
              </w:rPr>
              <w:t xml:space="preserve">EPA, 2011a; </w:t>
            </w:r>
            <w:r w:rsidR="00AD6833">
              <w:rPr>
                <w:rFonts w:eastAsia="Times New Roman" w:cs="Calibri"/>
                <w:bCs/>
                <w:color w:val="000000"/>
                <w:szCs w:val="18"/>
              </w:rPr>
              <w:t xml:space="preserve">US </w:t>
            </w:r>
            <w:r w:rsidR="00C730A6" w:rsidRPr="009A3B0F">
              <w:rPr>
                <w:rFonts w:eastAsia="Times New Roman" w:cs="Calibri"/>
                <w:bCs/>
                <w:color w:val="000000"/>
                <w:szCs w:val="18"/>
              </w:rPr>
              <w:t>EPA</w:t>
            </w:r>
            <w:r w:rsidR="00C730A6">
              <w:rPr>
                <w:rFonts w:eastAsia="Times New Roman" w:cs="Calibri"/>
                <w:bCs/>
                <w:color w:val="000000"/>
                <w:szCs w:val="18"/>
              </w:rPr>
              <w:t>,</w:t>
            </w:r>
            <w:r w:rsidR="00C730A6" w:rsidRPr="009A3B0F">
              <w:rPr>
                <w:rFonts w:eastAsia="Times New Roman" w:cs="Calibri"/>
                <w:bCs/>
                <w:color w:val="000000"/>
                <w:szCs w:val="18"/>
              </w:rPr>
              <w:t xml:space="preserve"> 2015a</w:t>
            </w:r>
            <w:r w:rsidR="00C730A6">
              <w:rPr>
                <w:rFonts w:eastAsia="Times New Roman" w:cs="Calibri"/>
                <w:bCs/>
                <w:color w:val="000000"/>
                <w:szCs w:val="18"/>
              </w:rPr>
              <w:t>;</w:t>
            </w:r>
            <w:r w:rsidR="00AD6833">
              <w:rPr>
                <w:rFonts w:eastAsia="Times New Roman" w:cs="Calibri"/>
                <w:bCs/>
                <w:color w:val="000000"/>
                <w:szCs w:val="18"/>
              </w:rPr>
              <w:t xml:space="preserve"> US</w:t>
            </w:r>
            <w:r w:rsidR="00C730A6">
              <w:rPr>
                <w:rFonts w:eastAsia="Times New Roman" w:cs="Calibri"/>
                <w:bCs/>
                <w:color w:val="000000"/>
                <w:szCs w:val="18"/>
              </w:rPr>
              <w:t xml:space="preserve"> EPA, 2017</w:t>
            </w:r>
            <w:r w:rsidR="005C0271">
              <w:rPr>
                <w:rFonts w:eastAsia="Times New Roman" w:cs="Calibri"/>
                <w:bCs/>
                <w:color w:val="000000"/>
                <w:szCs w:val="18"/>
              </w:rPr>
              <w:t>b</w:t>
            </w:r>
            <w:r w:rsidR="00C730A6">
              <w:rPr>
                <w:rFonts w:eastAsia="Times New Roman" w:cs="Calibri"/>
                <w:bCs/>
                <w:color w:val="000000"/>
                <w:szCs w:val="18"/>
              </w:rPr>
              <w:t>; Abt Associates 2016;</w:t>
            </w:r>
            <w:r w:rsidRPr="003F62EE">
              <w:t xml:space="preserve"> and best professional judgment (BPJ)</w:t>
            </w:r>
            <w:r w:rsidR="00300511">
              <w:t>.</w:t>
            </w:r>
          </w:p>
          <w:p w14:paraId="3863CFEF" w14:textId="77777777" w:rsidR="004243AE" w:rsidRDefault="004243AE" w:rsidP="004D4DC1">
            <w:pPr>
              <w:pStyle w:val="Footnotetables"/>
              <w:numPr>
                <w:ilvl w:val="0"/>
                <w:numId w:val="28"/>
              </w:numPr>
            </w:pPr>
            <w:r w:rsidRPr="00B934E7">
              <w:t>For corrections that only involve a revision to the item description, see comparison across the row.</w:t>
            </w:r>
          </w:p>
          <w:p w14:paraId="682CDB30" w14:textId="77777777" w:rsidR="002A60F4" w:rsidRPr="002A60F4" w:rsidRDefault="002A60F4" w:rsidP="004D4DC1">
            <w:pPr>
              <w:pStyle w:val="Footnotetables"/>
              <w:numPr>
                <w:ilvl w:val="0"/>
                <w:numId w:val="28"/>
              </w:numPr>
              <w:rPr>
                <w:szCs w:val="18"/>
              </w:rPr>
            </w:pPr>
            <w:r>
              <w:rPr>
                <w:rFonts w:eastAsia="Times New Roman" w:cs="Calibri"/>
                <w:bCs/>
                <w:color w:val="000000"/>
                <w:szCs w:val="18"/>
              </w:rPr>
              <w:t>Dark grey areas indicate that there is no corresponding unit burden estimate on the other half of the table.</w:t>
            </w:r>
          </w:p>
          <w:p w14:paraId="1BE1B8B3" w14:textId="77777777" w:rsidR="004243AE" w:rsidRDefault="004243AE" w:rsidP="004D4DC1">
            <w:pPr>
              <w:pStyle w:val="Footnotetables"/>
              <w:numPr>
                <w:ilvl w:val="0"/>
                <w:numId w:val="28"/>
              </w:numPr>
            </w:pPr>
            <w:r>
              <w:t xml:space="preserve">In the </w:t>
            </w:r>
            <w:r w:rsidRPr="00B934E7">
              <w:t>previous ICR’s CDX registration activities</w:t>
            </w:r>
            <w:r>
              <w:t xml:space="preserve"> are included</w:t>
            </w:r>
            <w:r w:rsidRPr="00B934E7">
              <w:t xml:space="preserve"> as part of new reporter burden</w:t>
            </w:r>
            <w:r>
              <w:t xml:space="preserve">, However, in this ICR, CDX burden is estimated in </w:t>
            </w:r>
            <w:r w:rsidRPr="00B934E7">
              <w:t>separate analysis because registrations affect both new and experienced reporters</w:t>
            </w:r>
            <w:r>
              <w:t xml:space="preserve"> per OPPT convention for Section 5 and e-TSCA reporting initiatives</w:t>
            </w:r>
            <w:r w:rsidRPr="00B934E7">
              <w:t xml:space="preserve">. The </w:t>
            </w:r>
            <w:r>
              <w:t xml:space="preserve">activity-level </w:t>
            </w:r>
            <w:r w:rsidRPr="00B934E7">
              <w:t xml:space="preserve">estimates in hours </w:t>
            </w:r>
            <w:r>
              <w:t xml:space="preserve">are </w:t>
            </w:r>
            <w:r w:rsidRPr="00B934E7">
              <w:t>revised as follows:</w:t>
            </w:r>
          </w:p>
          <w:p w14:paraId="3D7772F6" w14:textId="77777777" w:rsidR="004243AE" w:rsidRPr="00B934E7" w:rsidRDefault="004243AE" w:rsidP="004243AE">
            <w:pPr>
              <w:pStyle w:val="Footnotetables"/>
            </w:pPr>
          </w:p>
          <w:tbl>
            <w:tblPr>
              <w:tblStyle w:val="TableGrid1"/>
              <w:tblW w:w="2789" w:type="pct"/>
              <w:tblInd w:w="612" w:type="dxa"/>
              <w:tblLayout w:type="fixed"/>
              <w:tblLook w:val="04A0" w:firstRow="1" w:lastRow="0" w:firstColumn="1" w:lastColumn="0" w:noHBand="0" w:noVBand="1"/>
            </w:tblPr>
            <w:tblGrid>
              <w:gridCol w:w="1559"/>
              <w:gridCol w:w="829"/>
              <w:gridCol w:w="733"/>
              <w:gridCol w:w="641"/>
              <w:gridCol w:w="551"/>
              <w:gridCol w:w="824"/>
              <w:gridCol w:w="733"/>
              <w:gridCol w:w="640"/>
              <w:gridCol w:w="549"/>
            </w:tblGrid>
            <w:tr w:rsidR="004243AE" w:rsidRPr="001454D1" w14:paraId="0FF408C1" w14:textId="77777777" w:rsidTr="00D5197F">
              <w:trPr>
                <w:trHeight w:val="181"/>
              </w:trPr>
              <w:tc>
                <w:tcPr>
                  <w:tcW w:w="1105" w:type="pct"/>
                  <w:tcBorders>
                    <w:top w:val="nil"/>
                    <w:left w:val="nil"/>
                  </w:tcBorders>
                </w:tcPr>
                <w:p w14:paraId="2A82093B" w14:textId="77777777" w:rsidR="004243AE" w:rsidRPr="00D5197F" w:rsidRDefault="004243AE" w:rsidP="004243AE">
                  <w:pPr>
                    <w:ind w:left="720"/>
                    <w:contextualSpacing/>
                    <w:rPr>
                      <w:rFonts w:ascii="Arial Narrow" w:eastAsia="Times New Roman" w:hAnsi="Arial Narrow" w:cs="Calibri"/>
                      <w:color w:val="000000"/>
                      <w:sz w:val="12"/>
                      <w:szCs w:val="12"/>
                    </w:rPr>
                  </w:pPr>
                </w:p>
              </w:tc>
              <w:tc>
                <w:tcPr>
                  <w:tcW w:w="1949" w:type="pct"/>
                  <w:gridSpan w:val="4"/>
                </w:tcPr>
                <w:p w14:paraId="59A8E94F" w14:textId="77777777" w:rsidR="004243AE" w:rsidRPr="001454D1" w:rsidRDefault="004243AE" w:rsidP="004243AE">
                  <w:pPr>
                    <w:contextualSpacing/>
                    <w:jc w:val="center"/>
                    <w:rPr>
                      <w:rFonts w:ascii="Arial Narrow" w:eastAsia="Times New Roman" w:hAnsi="Arial Narrow" w:cs="Calibri"/>
                      <w:b/>
                      <w:color w:val="000000"/>
                      <w:sz w:val="12"/>
                      <w:szCs w:val="12"/>
                    </w:rPr>
                  </w:pPr>
                  <w:r w:rsidRPr="001454D1">
                    <w:rPr>
                      <w:rFonts w:ascii="Arial Narrow" w:eastAsia="Times New Roman" w:hAnsi="Arial Narrow" w:cs="Calibri"/>
                      <w:b/>
                      <w:color w:val="000000"/>
                      <w:sz w:val="12"/>
                      <w:szCs w:val="12"/>
                    </w:rPr>
                    <w:t>Previous ICR per New Reporter</w:t>
                  </w:r>
                </w:p>
              </w:tc>
              <w:tc>
                <w:tcPr>
                  <w:tcW w:w="1945" w:type="pct"/>
                  <w:gridSpan w:val="4"/>
                </w:tcPr>
                <w:p w14:paraId="400B637A" w14:textId="77777777" w:rsidR="004243AE" w:rsidRPr="002E1304" w:rsidRDefault="004243AE" w:rsidP="004243AE">
                  <w:pPr>
                    <w:contextualSpacing/>
                    <w:jc w:val="center"/>
                    <w:rPr>
                      <w:rFonts w:ascii="Arial Narrow" w:eastAsia="Times New Roman" w:hAnsi="Arial Narrow" w:cs="Calibri"/>
                      <w:b/>
                      <w:color w:val="000000"/>
                      <w:sz w:val="12"/>
                      <w:szCs w:val="12"/>
                    </w:rPr>
                  </w:pPr>
                  <w:r w:rsidRPr="002E1304">
                    <w:rPr>
                      <w:rFonts w:ascii="Arial Narrow" w:eastAsia="Times New Roman" w:hAnsi="Arial Narrow" w:cs="Calibri"/>
                      <w:b/>
                      <w:color w:val="000000"/>
                      <w:sz w:val="12"/>
                      <w:szCs w:val="12"/>
                    </w:rPr>
                    <w:t>ICR Renewal per CDX Registration</w:t>
                  </w:r>
                </w:p>
              </w:tc>
            </w:tr>
            <w:tr w:rsidR="00D5197F" w:rsidRPr="001454D1" w14:paraId="5C1C5BE1" w14:textId="77777777" w:rsidTr="00D5197F">
              <w:trPr>
                <w:trHeight w:val="298"/>
              </w:trPr>
              <w:tc>
                <w:tcPr>
                  <w:tcW w:w="1105" w:type="pct"/>
                  <w:shd w:val="clear" w:color="auto" w:fill="BFBFBF"/>
                  <w:vAlign w:val="center"/>
                </w:tcPr>
                <w:p w14:paraId="200087E4" w14:textId="77777777" w:rsidR="004243AE" w:rsidRPr="001454D1" w:rsidRDefault="004243AE" w:rsidP="004243AE">
                  <w:pPr>
                    <w:contextualSpacing/>
                    <w:jc w:val="center"/>
                    <w:rPr>
                      <w:rFonts w:ascii="Arial Narrow" w:eastAsia="Times New Roman" w:hAnsi="Arial Narrow" w:cs="Calibri"/>
                      <w:b/>
                      <w:color w:val="000000"/>
                      <w:sz w:val="12"/>
                      <w:szCs w:val="12"/>
                    </w:rPr>
                  </w:pPr>
                  <w:r w:rsidRPr="001454D1">
                    <w:rPr>
                      <w:rFonts w:ascii="Arial Narrow" w:eastAsia="Times New Roman" w:hAnsi="Arial Narrow" w:cs="Calibri"/>
                      <w:b/>
                      <w:color w:val="000000"/>
                      <w:sz w:val="12"/>
                      <w:szCs w:val="12"/>
                    </w:rPr>
                    <w:t>Activity</w:t>
                  </w:r>
                </w:p>
              </w:tc>
              <w:tc>
                <w:tcPr>
                  <w:tcW w:w="587" w:type="pct"/>
                  <w:tcBorders>
                    <w:bottom w:val="single" w:sz="4" w:space="0" w:color="auto"/>
                  </w:tcBorders>
                  <w:shd w:val="clear" w:color="auto" w:fill="BFBFBF"/>
                  <w:vAlign w:val="bottom"/>
                </w:tcPr>
                <w:p w14:paraId="4F69FD02" w14:textId="77777777" w:rsidR="004243AE" w:rsidRPr="001454D1" w:rsidRDefault="004243AE" w:rsidP="004243AE">
                  <w:pPr>
                    <w:contextualSpacing/>
                    <w:jc w:val="center"/>
                    <w:rPr>
                      <w:rFonts w:ascii="Arial Narrow" w:eastAsia="Times New Roman" w:hAnsi="Arial Narrow" w:cs="Calibri"/>
                      <w:b/>
                      <w:color w:val="000000"/>
                      <w:sz w:val="12"/>
                      <w:szCs w:val="12"/>
                    </w:rPr>
                  </w:pPr>
                  <w:r w:rsidRPr="001454D1">
                    <w:rPr>
                      <w:rFonts w:ascii="Arial Narrow" w:eastAsia="Times New Roman" w:hAnsi="Arial Narrow" w:cs="Calibri"/>
                      <w:b/>
                      <w:color w:val="000000"/>
                      <w:sz w:val="12"/>
                      <w:szCs w:val="12"/>
                    </w:rPr>
                    <w:t>Managerial Burden</w:t>
                  </w:r>
                </w:p>
              </w:tc>
              <w:tc>
                <w:tcPr>
                  <w:tcW w:w="519" w:type="pct"/>
                  <w:tcBorders>
                    <w:bottom w:val="single" w:sz="4" w:space="0" w:color="auto"/>
                  </w:tcBorders>
                  <w:shd w:val="clear" w:color="auto" w:fill="BFBFBF"/>
                  <w:vAlign w:val="bottom"/>
                </w:tcPr>
                <w:p w14:paraId="301C24FF" w14:textId="77777777" w:rsidR="004243AE" w:rsidRPr="001454D1" w:rsidRDefault="004243AE" w:rsidP="004243AE">
                  <w:pPr>
                    <w:contextualSpacing/>
                    <w:jc w:val="center"/>
                    <w:rPr>
                      <w:rFonts w:ascii="Arial Narrow" w:eastAsia="Times New Roman" w:hAnsi="Arial Narrow" w:cs="Calibri"/>
                      <w:b/>
                      <w:color w:val="000000"/>
                      <w:sz w:val="12"/>
                      <w:szCs w:val="12"/>
                    </w:rPr>
                  </w:pPr>
                  <w:r w:rsidRPr="001454D1">
                    <w:rPr>
                      <w:rFonts w:ascii="Arial Narrow" w:eastAsia="Times New Roman" w:hAnsi="Arial Narrow" w:cs="Calibri"/>
                      <w:b/>
                      <w:color w:val="000000"/>
                      <w:sz w:val="12"/>
                      <w:szCs w:val="12"/>
                    </w:rPr>
                    <w:t>Technical Burden</w:t>
                  </w:r>
                </w:p>
              </w:tc>
              <w:tc>
                <w:tcPr>
                  <w:tcW w:w="454" w:type="pct"/>
                  <w:tcBorders>
                    <w:bottom w:val="single" w:sz="4" w:space="0" w:color="auto"/>
                  </w:tcBorders>
                  <w:shd w:val="clear" w:color="auto" w:fill="BFBFBF"/>
                  <w:vAlign w:val="bottom"/>
                </w:tcPr>
                <w:p w14:paraId="42C41A5C" w14:textId="77777777" w:rsidR="004243AE" w:rsidRPr="001454D1" w:rsidRDefault="004243AE" w:rsidP="004243AE">
                  <w:pPr>
                    <w:contextualSpacing/>
                    <w:jc w:val="center"/>
                    <w:rPr>
                      <w:rFonts w:ascii="Arial Narrow" w:eastAsia="Times New Roman" w:hAnsi="Arial Narrow" w:cs="Calibri"/>
                      <w:b/>
                      <w:color w:val="000000"/>
                      <w:sz w:val="12"/>
                      <w:szCs w:val="12"/>
                    </w:rPr>
                  </w:pPr>
                  <w:r w:rsidRPr="001454D1">
                    <w:rPr>
                      <w:rFonts w:ascii="Arial Narrow" w:eastAsia="Times New Roman" w:hAnsi="Arial Narrow" w:cs="Calibri"/>
                      <w:b/>
                      <w:color w:val="000000"/>
                      <w:sz w:val="12"/>
                      <w:szCs w:val="12"/>
                    </w:rPr>
                    <w:t>Clerical Burden</w:t>
                  </w:r>
                </w:p>
              </w:tc>
              <w:tc>
                <w:tcPr>
                  <w:tcW w:w="390" w:type="pct"/>
                  <w:tcBorders>
                    <w:bottom w:val="single" w:sz="4" w:space="0" w:color="auto"/>
                  </w:tcBorders>
                  <w:shd w:val="clear" w:color="auto" w:fill="BFBFBF"/>
                </w:tcPr>
                <w:p w14:paraId="78341F73" w14:textId="77777777" w:rsidR="004243AE" w:rsidRPr="001454D1" w:rsidRDefault="004243AE" w:rsidP="004243AE">
                  <w:pPr>
                    <w:contextualSpacing/>
                    <w:jc w:val="center"/>
                    <w:rPr>
                      <w:rFonts w:ascii="Arial Narrow" w:eastAsia="Times New Roman" w:hAnsi="Arial Narrow" w:cs="Calibri"/>
                      <w:b/>
                      <w:color w:val="000000"/>
                      <w:sz w:val="12"/>
                      <w:szCs w:val="12"/>
                    </w:rPr>
                  </w:pPr>
                  <w:r w:rsidRPr="001454D1">
                    <w:rPr>
                      <w:rFonts w:ascii="Arial Narrow" w:eastAsia="Times New Roman" w:hAnsi="Arial Narrow" w:cs="Calibri"/>
                      <w:b/>
                      <w:color w:val="000000"/>
                      <w:sz w:val="12"/>
                      <w:szCs w:val="12"/>
                    </w:rPr>
                    <w:t>Total</w:t>
                  </w:r>
                </w:p>
              </w:tc>
              <w:tc>
                <w:tcPr>
                  <w:tcW w:w="584" w:type="pct"/>
                  <w:tcBorders>
                    <w:bottom w:val="single" w:sz="4" w:space="0" w:color="auto"/>
                  </w:tcBorders>
                  <w:shd w:val="clear" w:color="auto" w:fill="BFBFBF"/>
                  <w:vAlign w:val="bottom"/>
                </w:tcPr>
                <w:p w14:paraId="02A76B6D" w14:textId="77777777" w:rsidR="004243AE" w:rsidRPr="001454D1" w:rsidRDefault="004243AE" w:rsidP="004243AE">
                  <w:pPr>
                    <w:contextualSpacing/>
                    <w:jc w:val="center"/>
                    <w:rPr>
                      <w:rFonts w:ascii="Arial Narrow" w:eastAsia="Times New Roman" w:hAnsi="Arial Narrow" w:cs="Calibri"/>
                      <w:b/>
                      <w:color w:val="000000"/>
                      <w:sz w:val="12"/>
                      <w:szCs w:val="12"/>
                    </w:rPr>
                  </w:pPr>
                  <w:r w:rsidRPr="001454D1">
                    <w:rPr>
                      <w:rFonts w:ascii="Arial Narrow" w:eastAsia="Times New Roman" w:hAnsi="Arial Narrow" w:cs="Calibri"/>
                      <w:b/>
                      <w:color w:val="000000"/>
                      <w:sz w:val="12"/>
                      <w:szCs w:val="12"/>
                    </w:rPr>
                    <w:t>Managerial Burden</w:t>
                  </w:r>
                </w:p>
              </w:tc>
              <w:tc>
                <w:tcPr>
                  <w:tcW w:w="519" w:type="pct"/>
                  <w:tcBorders>
                    <w:bottom w:val="single" w:sz="4" w:space="0" w:color="auto"/>
                  </w:tcBorders>
                  <w:shd w:val="clear" w:color="auto" w:fill="BFBFBF"/>
                  <w:vAlign w:val="bottom"/>
                </w:tcPr>
                <w:p w14:paraId="6BD0F6C2" w14:textId="77777777" w:rsidR="004243AE" w:rsidRPr="001454D1" w:rsidRDefault="004243AE" w:rsidP="004243AE">
                  <w:pPr>
                    <w:contextualSpacing/>
                    <w:jc w:val="center"/>
                    <w:rPr>
                      <w:rFonts w:ascii="Arial Narrow" w:eastAsia="Times New Roman" w:hAnsi="Arial Narrow" w:cs="Calibri"/>
                      <w:b/>
                      <w:color w:val="000000"/>
                      <w:sz w:val="12"/>
                      <w:szCs w:val="12"/>
                    </w:rPr>
                  </w:pPr>
                  <w:r w:rsidRPr="001454D1">
                    <w:rPr>
                      <w:rFonts w:ascii="Arial Narrow" w:eastAsia="Times New Roman" w:hAnsi="Arial Narrow" w:cs="Calibri"/>
                      <w:b/>
                      <w:color w:val="000000"/>
                      <w:sz w:val="12"/>
                      <w:szCs w:val="12"/>
                    </w:rPr>
                    <w:t>Technical Burden</w:t>
                  </w:r>
                </w:p>
              </w:tc>
              <w:tc>
                <w:tcPr>
                  <w:tcW w:w="453" w:type="pct"/>
                  <w:tcBorders>
                    <w:bottom w:val="single" w:sz="4" w:space="0" w:color="auto"/>
                  </w:tcBorders>
                  <w:shd w:val="clear" w:color="auto" w:fill="BFBFBF"/>
                  <w:vAlign w:val="bottom"/>
                </w:tcPr>
                <w:p w14:paraId="4A97593A" w14:textId="77777777" w:rsidR="004243AE" w:rsidRPr="001454D1" w:rsidRDefault="004243AE" w:rsidP="004243AE">
                  <w:pPr>
                    <w:contextualSpacing/>
                    <w:jc w:val="center"/>
                    <w:rPr>
                      <w:rFonts w:ascii="Arial Narrow" w:eastAsia="Times New Roman" w:hAnsi="Arial Narrow" w:cs="Calibri"/>
                      <w:b/>
                      <w:color w:val="000000"/>
                      <w:sz w:val="12"/>
                      <w:szCs w:val="12"/>
                    </w:rPr>
                  </w:pPr>
                  <w:r w:rsidRPr="001454D1">
                    <w:rPr>
                      <w:rFonts w:ascii="Arial Narrow" w:eastAsia="Times New Roman" w:hAnsi="Arial Narrow" w:cs="Calibri"/>
                      <w:b/>
                      <w:color w:val="000000"/>
                      <w:sz w:val="12"/>
                      <w:szCs w:val="12"/>
                    </w:rPr>
                    <w:t>Clerical Burden</w:t>
                  </w:r>
                </w:p>
              </w:tc>
              <w:tc>
                <w:tcPr>
                  <w:tcW w:w="390" w:type="pct"/>
                  <w:tcBorders>
                    <w:bottom w:val="single" w:sz="4" w:space="0" w:color="auto"/>
                  </w:tcBorders>
                  <w:shd w:val="clear" w:color="auto" w:fill="BFBFBF"/>
                </w:tcPr>
                <w:p w14:paraId="2B46F471" w14:textId="77777777" w:rsidR="004243AE" w:rsidRPr="001454D1" w:rsidRDefault="004243AE" w:rsidP="004243AE">
                  <w:pPr>
                    <w:contextualSpacing/>
                    <w:jc w:val="center"/>
                    <w:rPr>
                      <w:rFonts w:ascii="Arial Narrow" w:eastAsia="Times New Roman" w:hAnsi="Arial Narrow" w:cs="Calibri"/>
                      <w:b/>
                      <w:color w:val="000000"/>
                      <w:sz w:val="12"/>
                      <w:szCs w:val="12"/>
                    </w:rPr>
                  </w:pPr>
                  <w:r w:rsidRPr="001454D1">
                    <w:rPr>
                      <w:rFonts w:ascii="Arial Narrow" w:eastAsia="Times New Roman" w:hAnsi="Arial Narrow" w:cs="Calibri"/>
                      <w:b/>
                      <w:color w:val="000000"/>
                      <w:sz w:val="12"/>
                      <w:szCs w:val="12"/>
                    </w:rPr>
                    <w:t>Total</w:t>
                  </w:r>
                </w:p>
              </w:tc>
            </w:tr>
            <w:tr w:rsidR="00D5197F" w:rsidRPr="001454D1" w14:paraId="008073F6" w14:textId="77777777" w:rsidTr="00D5197F">
              <w:trPr>
                <w:trHeight w:val="181"/>
              </w:trPr>
              <w:tc>
                <w:tcPr>
                  <w:tcW w:w="1105" w:type="pct"/>
                  <w:vAlign w:val="center"/>
                </w:tcPr>
                <w:p w14:paraId="46FDB5DB" w14:textId="77777777" w:rsidR="004243AE" w:rsidRPr="001454D1" w:rsidRDefault="004243AE" w:rsidP="004243AE">
                  <w:pPr>
                    <w:contextualSpacing/>
                    <w:rPr>
                      <w:rFonts w:ascii="Arial Narrow" w:eastAsia="Times New Roman" w:hAnsi="Arial Narrow" w:cs="Calibri"/>
                      <w:color w:val="000000"/>
                      <w:sz w:val="12"/>
                      <w:szCs w:val="12"/>
                    </w:rPr>
                  </w:pPr>
                  <w:r w:rsidRPr="001454D1">
                    <w:rPr>
                      <w:rFonts w:ascii="Arial Narrow" w:eastAsia="Times New Roman" w:hAnsi="Arial Narrow" w:cs="Calibri"/>
                      <w:color w:val="000000"/>
                      <w:sz w:val="12"/>
                      <w:szCs w:val="12"/>
                    </w:rPr>
                    <w:t>CDX Registration</w:t>
                  </w:r>
                </w:p>
              </w:tc>
              <w:tc>
                <w:tcPr>
                  <w:tcW w:w="587" w:type="pct"/>
                  <w:shd w:val="clear" w:color="auto" w:fill="auto"/>
                  <w:vAlign w:val="bottom"/>
                </w:tcPr>
                <w:p w14:paraId="0E367AB6" w14:textId="77777777" w:rsidR="004243AE" w:rsidRPr="001454D1" w:rsidRDefault="004243AE" w:rsidP="004243AE">
                  <w:pPr>
                    <w:contextualSpacing/>
                    <w:jc w:val="center"/>
                    <w:rPr>
                      <w:rFonts w:ascii="Arial Narrow" w:eastAsia="Times New Roman" w:hAnsi="Arial Narrow" w:cs="Calibri"/>
                      <w:color w:val="000000"/>
                      <w:sz w:val="12"/>
                      <w:szCs w:val="12"/>
                    </w:rPr>
                  </w:pPr>
                  <w:r w:rsidRPr="001454D1">
                    <w:rPr>
                      <w:rFonts w:ascii="Arial Narrow" w:hAnsi="Arial Narrow"/>
                      <w:color w:val="000000"/>
                      <w:sz w:val="12"/>
                      <w:szCs w:val="12"/>
                    </w:rPr>
                    <w:t>0.18</w:t>
                  </w:r>
                </w:p>
              </w:tc>
              <w:tc>
                <w:tcPr>
                  <w:tcW w:w="519" w:type="pct"/>
                  <w:shd w:val="clear" w:color="auto" w:fill="auto"/>
                  <w:vAlign w:val="bottom"/>
                </w:tcPr>
                <w:p w14:paraId="5B0E5E06" w14:textId="77777777" w:rsidR="004243AE" w:rsidRPr="001454D1" w:rsidRDefault="004243AE" w:rsidP="004243AE">
                  <w:pPr>
                    <w:contextualSpacing/>
                    <w:jc w:val="center"/>
                    <w:rPr>
                      <w:rFonts w:ascii="Arial Narrow" w:eastAsia="Times New Roman" w:hAnsi="Arial Narrow" w:cs="Calibri"/>
                      <w:color w:val="000000"/>
                      <w:sz w:val="12"/>
                      <w:szCs w:val="12"/>
                    </w:rPr>
                  </w:pPr>
                  <w:r w:rsidRPr="001454D1">
                    <w:rPr>
                      <w:rFonts w:ascii="Arial Narrow" w:hAnsi="Arial Narrow"/>
                      <w:color w:val="000000"/>
                      <w:sz w:val="12"/>
                      <w:szCs w:val="12"/>
                    </w:rPr>
                    <w:t>0.73</w:t>
                  </w:r>
                </w:p>
              </w:tc>
              <w:tc>
                <w:tcPr>
                  <w:tcW w:w="454" w:type="pct"/>
                  <w:shd w:val="clear" w:color="auto" w:fill="auto"/>
                  <w:vAlign w:val="bottom"/>
                </w:tcPr>
                <w:p w14:paraId="5139F813" w14:textId="77777777" w:rsidR="004243AE" w:rsidRPr="001454D1" w:rsidRDefault="004243AE" w:rsidP="004243AE">
                  <w:pPr>
                    <w:contextualSpacing/>
                    <w:jc w:val="center"/>
                    <w:rPr>
                      <w:rFonts w:ascii="Arial Narrow" w:eastAsia="Times New Roman" w:hAnsi="Arial Narrow" w:cs="Calibri"/>
                      <w:color w:val="000000"/>
                      <w:sz w:val="12"/>
                      <w:szCs w:val="12"/>
                    </w:rPr>
                  </w:pPr>
                  <w:r w:rsidRPr="001454D1">
                    <w:rPr>
                      <w:rFonts w:ascii="Arial Narrow" w:hAnsi="Arial Narrow"/>
                      <w:color w:val="000000"/>
                      <w:sz w:val="12"/>
                      <w:szCs w:val="12"/>
                    </w:rPr>
                    <w:t>0</w:t>
                  </w:r>
                </w:p>
              </w:tc>
              <w:tc>
                <w:tcPr>
                  <w:tcW w:w="390" w:type="pct"/>
                </w:tcPr>
                <w:p w14:paraId="37EEE052" w14:textId="77777777" w:rsidR="004243AE" w:rsidRPr="001454D1" w:rsidRDefault="004243AE" w:rsidP="000C25C0">
                  <w:pPr>
                    <w:contextualSpacing/>
                    <w:jc w:val="center"/>
                    <w:rPr>
                      <w:rFonts w:ascii="Arial Narrow" w:hAnsi="Arial Narrow"/>
                      <w:color w:val="000000"/>
                      <w:sz w:val="12"/>
                      <w:szCs w:val="12"/>
                    </w:rPr>
                  </w:pPr>
                  <w:r w:rsidRPr="001454D1">
                    <w:rPr>
                      <w:rFonts w:ascii="Arial Narrow" w:hAnsi="Arial Narrow"/>
                      <w:color w:val="000000"/>
                      <w:sz w:val="12"/>
                      <w:szCs w:val="12"/>
                    </w:rPr>
                    <w:t>0.92</w:t>
                  </w:r>
                </w:p>
              </w:tc>
              <w:tc>
                <w:tcPr>
                  <w:tcW w:w="584" w:type="pct"/>
                  <w:shd w:val="clear" w:color="auto" w:fill="auto"/>
                  <w:vAlign w:val="bottom"/>
                </w:tcPr>
                <w:p w14:paraId="62208773" w14:textId="77777777" w:rsidR="004243AE" w:rsidRPr="001454D1" w:rsidRDefault="004243AE" w:rsidP="004243AE">
                  <w:pPr>
                    <w:contextualSpacing/>
                    <w:jc w:val="center"/>
                    <w:rPr>
                      <w:rFonts w:ascii="Arial Narrow" w:eastAsia="Times New Roman" w:hAnsi="Arial Narrow" w:cs="Calibri"/>
                      <w:color w:val="000000"/>
                      <w:sz w:val="12"/>
                      <w:szCs w:val="12"/>
                    </w:rPr>
                  </w:pPr>
                  <w:r w:rsidRPr="001454D1">
                    <w:rPr>
                      <w:rFonts w:ascii="Arial Narrow" w:hAnsi="Arial Narrow"/>
                      <w:color w:val="000000"/>
                      <w:sz w:val="12"/>
                      <w:szCs w:val="12"/>
                    </w:rPr>
                    <w:t>0</w:t>
                  </w:r>
                </w:p>
              </w:tc>
              <w:tc>
                <w:tcPr>
                  <w:tcW w:w="519" w:type="pct"/>
                  <w:shd w:val="clear" w:color="auto" w:fill="auto"/>
                  <w:vAlign w:val="bottom"/>
                </w:tcPr>
                <w:p w14:paraId="14F92291" w14:textId="77777777" w:rsidR="004243AE" w:rsidRPr="001454D1" w:rsidRDefault="004243AE" w:rsidP="004243AE">
                  <w:pPr>
                    <w:contextualSpacing/>
                    <w:jc w:val="center"/>
                    <w:rPr>
                      <w:rFonts w:ascii="Arial Narrow" w:eastAsia="Times New Roman" w:hAnsi="Arial Narrow" w:cs="Calibri"/>
                      <w:color w:val="000000"/>
                      <w:sz w:val="12"/>
                      <w:szCs w:val="12"/>
                    </w:rPr>
                  </w:pPr>
                  <w:r w:rsidRPr="001454D1">
                    <w:rPr>
                      <w:rFonts w:ascii="Arial Narrow" w:hAnsi="Arial Narrow"/>
                      <w:color w:val="000000"/>
                      <w:sz w:val="12"/>
                      <w:szCs w:val="12"/>
                    </w:rPr>
                    <w:t>0.18</w:t>
                  </w:r>
                </w:p>
              </w:tc>
              <w:tc>
                <w:tcPr>
                  <w:tcW w:w="453" w:type="pct"/>
                  <w:shd w:val="clear" w:color="auto" w:fill="auto"/>
                  <w:vAlign w:val="bottom"/>
                </w:tcPr>
                <w:p w14:paraId="34AFDBB5" w14:textId="77777777" w:rsidR="004243AE" w:rsidRPr="001454D1" w:rsidRDefault="004243AE" w:rsidP="004243AE">
                  <w:pPr>
                    <w:contextualSpacing/>
                    <w:jc w:val="center"/>
                    <w:rPr>
                      <w:rFonts w:ascii="Arial Narrow" w:eastAsia="Times New Roman" w:hAnsi="Arial Narrow" w:cs="Calibri"/>
                      <w:color w:val="000000"/>
                      <w:sz w:val="12"/>
                      <w:szCs w:val="12"/>
                    </w:rPr>
                  </w:pPr>
                  <w:r w:rsidRPr="001454D1">
                    <w:rPr>
                      <w:rFonts w:ascii="Arial Narrow" w:hAnsi="Arial Narrow"/>
                      <w:color w:val="000000"/>
                      <w:sz w:val="12"/>
                      <w:szCs w:val="12"/>
                    </w:rPr>
                    <w:t>0</w:t>
                  </w:r>
                </w:p>
              </w:tc>
              <w:tc>
                <w:tcPr>
                  <w:tcW w:w="390" w:type="pct"/>
                </w:tcPr>
                <w:p w14:paraId="598C9016" w14:textId="77777777" w:rsidR="004243AE" w:rsidRPr="001454D1" w:rsidRDefault="004243AE" w:rsidP="004243AE">
                  <w:pPr>
                    <w:contextualSpacing/>
                    <w:jc w:val="center"/>
                    <w:rPr>
                      <w:rFonts w:ascii="Arial Narrow" w:hAnsi="Arial Narrow"/>
                      <w:color w:val="000000"/>
                      <w:sz w:val="12"/>
                      <w:szCs w:val="12"/>
                    </w:rPr>
                  </w:pPr>
                  <w:r w:rsidRPr="001454D1">
                    <w:rPr>
                      <w:rFonts w:ascii="Arial Narrow" w:hAnsi="Arial Narrow"/>
                      <w:color w:val="000000"/>
                      <w:sz w:val="12"/>
                      <w:szCs w:val="12"/>
                    </w:rPr>
                    <w:t>.18</w:t>
                  </w:r>
                </w:p>
              </w:tc>
            </w:tr>
            <w:tr w:rsidR="00D5197F" w:rsidRPr="001454D1" w14:paraId="051B4CBB" w14:textId="77777777" w:rsidTr="00D5197F">
              <w:trPr>
                <w:trHeight w:val="377"/>
              </w:trPr>
              <w:tc>
                <w:tcPr>
                  <w:tcW w:w="1105" w:type="pct"/>
                </w:tcPr>
                <w:p w14:paraId="5AED6148" w14:textId="77777777" w:rsidR="004243AE" w:rsidRPr="001454D1" w:rsidRDefault="004243AE" w:rsidP="004243AE">
                  <w:pPr>
                    <w:contextualSpacing/>
                    <w:rPr>
                      <w:rFonts w:ascii="Arial Narrow" w:eastAsia="Times New Roman" w:hAnsi="Arial Narrow" w:cs="Calibri"/>
                      <w:color w:val="000000"/>
                      <w:sz w:val="12"/>
                      <w:szCs w:val="12"/>
                    </w:rPr>
                  </w:pPr>
                  <w:r w:rsidRPr="001454D1">
                    <w:rPr>
                      <w:rFonts w:ascii="Arial Narrow" w:eastAsia="Times New Roman" w:hAnsi="Arial Narrow" w:cs="Calibri"/>
                      <w:color w:val="000000"/>
                      <w:sz w:val="12"/>
                      <w:szCs w:val="12"/>
                    </w:rPr>
                    <w:t>CDX E-Signature Agreement</w:t>
                  </w:r>
                </w:p>
              </w:tc>
              <w:tc>
                <w:tcPr>
                  <w:tcW w:w="587" w:type="pct"/>
                  <w:tcBorders>
                    <w:bottom w:val="single" w:sz="4" w:space="0" w:color="auto"/>
                  </w:tcBorders>
                  <w:shd w:val="clear" w:color="auto" w:fill="auto"/>
                  <w:vAlign w:val="bottom"/>
                </w:tcPr>
                <w:p w14:paraId="5FB9FAD8" w14:textId="77777777" w:rsidR="004243AE" w:rsidRPr="001454D1" w:rsidRDefault="004243AE" w:rsidP="004243AE">
                  <w:pPr>
                    <w:contextualSpacing/>
                    <w:jc w:val="center"/>
                    <w:rPr>
                      <w:rFonts w:ascii="Arial Narrow" w:eastAsia="Times New Roman" w:hAnsi="Arial Narrow" w:cs="Calibri"/>
                      <w:color w:val="000000"/>
                      <w:sz w:val="12"/>
                      <w:szCs w:val="12"/>
                    </w:rPr>
                  </w:pPr>
                  <w:r w:rsidRPr="001454D1">
                    <w:rPr>
                      <w:rFonts w:ascii="Arial Narrow" w:hAnsi="Arial Narrow"/>
                      <w:color w:val="000000"/>
                      <w:sz w:val="12"/>
                      <w:szCs w:val="12"/>
                    </w:rPr>
                    <w:t>0.75</w:t>
                  </w:r>
                </w:p>
              </w:tc>
              <w:tc>
                <w:tcPr>
                  <w:tcW w:w="519" w:type="pct"/>
                  <w:tcBorders>
                    <w:bottom w:val="single" w:sz="4" w:space="0" w:color="auto"/>
                  </w:tcBorders>
                  <w:shd w:val="clear" w:color="auto" w:fill="auto"/>
                  <w:vAlign w:val="bottom"/>
                </w:tcPr>
                <w:p w14:paraId="7CD92727" w14:textId="77777777" w:rsidR="004243AE" w:rsidRPr="001454D1" w:rsidRDefault="004243AE" w:rsidP="004243AE">
                  <w:pPr>
                    <w:contextualSpacing/>
                    <w:jc w:val="center"/>
                    <w:rPr>
                      <w:rFonts w:ascii="Arial Narrow" w:eastAsia="Times New Roman" w:hAnsi="Arial Narrow" w:cs="Calibri"/>
                      <w:color w:val="000000"/>
                      <w:sz w:val="12"/>
                      <w:szCs w:val="12"/>
                    </w:rPr>
                  </w:pPr>
                  <w:r w:rsidRPr="001454D1">
                    <w:rPr>
                      <w:rFonts w:ascii="Arial Narrow" w:hAnsi="Arial Narrow"/>
                      <w:color w:val="000000"/>
                      <w:sz w:val="12"/>
                      <w:szCs w:val="12"/>
                    </w:rPr>
                    <w:t>1</w:t>
                  </w:r>
                </w:p>
              </w:tc>
              <w:tc>
                <w:tcPr>
                  <w:tcW w:w="454" w:type="pct"/>
                  <w:tcBorders>
                    <w:bottom w:val="single" w:sz="4" w:space="0" w:color="auto"/>
                  </w:tcBorders>
                  <w:shd w:val="clear" w:color="auto" w:fill="auto"/>
                  <w:vAlign w:val="bottom"/>
                </w:tcPr>
                <w:p w14:paraId="31BFF895" w14:textId="77777777" w:rsidR="004243AE" w:rsidRPr="001454D1" w:rsidRDefault="004243AE" w:rsidP="004243AE">
                  <w:pPr>
                    <w:contextualSpacing/>
                    <w:jc w:val="center"/>
                    <w:rPr>
                      <w:rFonts w:ascii="Arial Narrow" w:eastAsia="Times New Roman" w:hAnsi="Arial Narrow" w:cs="Calibri"/>
                      <w:color w:val="000000"/>
                      <w:sz w:val="12"/>
                      <w:szCs w:val="12"/>
                    </w:rPr>
                  </w:pPr>
                  <w:r w:rsidRPr="001454D1">
                    <w:rPr>
                      <w:rFonts w:ascii="Arial Narrow" w:hAnsi="Arial Narrow"/>
                      <w:color w:val="000000"/>
                      <w:sz w:val="12"/>
                      <w:szCs w:val="12"/>
                    </w:rPr>
                    <w:t>0</w:t>
                  </w:r>
                </w:p>
              </w:tc>
              <w:tc>
                <w:tcPr>
                  <w:tcW w:w="390" w:type="pct"/>
                </w:tcPr>
                <w:p w14:paraId="2CB037E2" w14:textId="77777777" w:rsidR="004243AE" w:rsidRPr="001454D1" w:rsidRDefault="004243AE" w:rsidP="004243AE">
                  <w:pPr>
                    <w:contextualSpacing/>
                    <w:jc w:val="center"/>
                    <w:rPr>
                      <w:rFonts w:ascii="Arial Narrow" w:hAnsi="Arial Narrow"/>
                      <w:color w:val="000000"/>
                      <w:sz w:val="12"/>
                      <w:szCs w:val="12"/>
                    </w:rPr>
                  </w:pPr>
                </w:p>
                <w:p w14:paraId="7F5CA513" w14:textId="77777777" w:rsidR="004243AE" w:rsidRPr="001454D1" w:rsidRDefault="004243AE" w:rsidP="000C25C0">
                  <w:pPr>
                    <w:contextualSpacing/>
                    <w:jc w:val="center"/>
                    <w:rPr>
                      <w:rFonts w:ascii="Arial Narrow" w:hAnsi="Arial Narrow"/>
                      <w:color w:val="000000"/>
                      <w:sz w:val="12"/>
                      <w:szCs w:val="12"/>
                    </w:rPr>
                  </w:pPr>
                  <w:r w:rsidRPr="001454D1">
                    <w:rPr>
                      <w:rFonts w:ascii="Arial Narrow" w:hAnsi="Arial Narrow"/>
                      <w:color w:val="000000"/>
                      <w:sz w:val="12"/>
                      <w:szCs w:val="12"/>
                    </w:rPr>
                    <w:t>1.75</w:t>
                  </w:r>
                </w:p>
              </w:tc>
              <w:tc>
                <w:tcPr>
                  <w:tcW w:w="584" w:type="pct"/>
                  <w:shd w:val="clear" w:color="auto" w:fill="auto"/>
                  <w:vAlign w:val="bottom"/>
                </w:tcPr>
                <w:p w14:paraId="2035D126" w14:textId="77777777" w:rsidR="004243AE" w:rsidRPr="001454D1" w:rsidRDefault="004243AE" w:rsidP="004243AE">
                  <w:pPr>
                    <w:contextualSpacing/>
                    <w:jc w:val="center"/>
                    <w:rPr>
                      <w:rFonts w:ascii="Arial Narrow" w:eastAsia="Times New Roman" w:hAnsi="Arial Narrow" w:cs="Calibri"/>
                      <w:color w:val="000000"/>
                      <w:sz w:val="12"/>
                      <w:szCs w:val="12"/>
                    </w:rPr>
                  </w:pPr>
                  <w:r w:rsidRPr="001454D1">
                    <w:rPr>
                      <w:rFonts w:ascii="Arial Narrow" w:hAnsi="Arial Narrow"/>
                      <w:color w:val="000000"/>
                      <w:sz w:val="12"/>
                      <w:szCs w:val="12"/>
                    </w:rPr>
                    <w:t>0</w:t>
                  </w:r>
                </w:p>
              </w:tc>
              <w:tc>
                <w:tcPr>
                  <w:tcW w:w="519" w:type="pct"/>
                  <w:shd w:val="clear" w:color="auto" w:fill="auto"/>
                  <w:vAlign w:val="bottom"/>
                </w:tcPr>
                <w:p w14:paraId="4BA57366" w14:textId="77777777" w:rsidR="004243AE" w:rsidRPr="001454D1" w:rsidRDefault="004243AE" w:rsidP="004243AE">
                  <w:pPr>
                    <w:contextualSpacing/>
                    <w:jc w:val="center"/>
                    <w:rPr>
                      <w:rFonts w:ascii="Arial Narrow" w:eastAsia="Times New Roman" w:hAnsi="Arial Narrow" w:cs="Calibri"/>
                      <w:color w:val="000000"/>
                      <w:sz w:val="12"/>
                      <w:szCs w:val="12"/>
                    </w:rPr>
                  </w:pPr>
                  <w:r w:rsidRPr="001454D1">
                    <w:rPr>
                      <w:rFonts w:ascii="Arial Narrow" w:hAnsi="Arial Narrow"/>
                      <w:color w:val="000000"/>
                      <w:sz w:val="12"/>
                      <w:szCs w:val="12"/>
                    </w:rPr>
                    <w:t>0.35</w:t>
                  </w:r>
                </w:p>
              </w:tc>
              <w:tc>
                <w:tcPr>
                  <w:tcW w:w="453" w:type="pct"/>
                  <w:shd w:val="clear" w:color="auto" w:fill="auto"/>
                  <w:vAlign w:val="bottom"/>
                </w:tcPr>
                <w:p w14:paraId="2548ECAB" w14:textId="77777777" w:rsidR="004243AE" w:rsidRPr="001454D1" w:rsidRDefault="004243AE" w:rsidP="004243AE">
                  <w:pPr>
                    <w:contextualSpacing/>
                    <w:jc w:val="center"/>
                    <w:rPr>
                      <w:rFonts w:ascii="Arial Narrow" w:eastAsia="Times New Roman" w:hAnsi="Arial Narrow" w:cs="Calibri"/>
                      <w:color w:val="000000"/>
                      <w:sz w:val="12"/>
                      <w:szCs w:val="12"/>
                    </w:rPr>
                  </w:pPr>
                  <w:r w:rsidRPr="001454D1">
                    <w:rPr>
                      <w:rFonts w:ascii="Arial Narrow" w:hAnsi="Arial Narrow"/>
                      <w:color w:val="000000"/>
                      <w:sz w:val="12"/>
                      <w:szCs w:val="12"/>
                    </w:rPr>
                    <w:t>0</w:t>
                  </w:r>
                </w:p>
              </w:tc>
              <w:tc>
                <w:tcPr>
                  <w:tcW w:w="390" w:type="pct"/>
                </w:tcPr>
                <w:p w14:paraId="79AC2313" w14:textId="77777777" w:rsidR="004243AE" w:rsidRPr="001454D1" w:rsidRDefault="004243AE" w:rsidP="004243AE">
                  <w:pPr>
                    <w:contextualSpacing/>
                    <w:jc w:val="center"/>
                    <w:rPr>
                      <w:rFonts w:ascii="Arial Narrow" w:hAnsi="Arial Narrow"/>
                      <w:color w:val="000000"/>
                      <w:sz w:val="12"/>
                      <w:szCs w:val="12"/>
                    </w:rPr>
                  </w:pPr>
                </w:p>
                <w:p w14:paraId="5BCA90A1" w14:textId="77777777" w:rsidR="004243AE" w:rsidRPr="001454D1" w:rsidRDefault="004243AE" w:rsidP="004243AE">
                  <w:pPr>
                    <w:contextualSpacing/>
                    <w:jc w:val="center"/>
                    <w:rPr>
                      <w:rFonts w:ascii="Arial Narrow" w:hAnsi="Arial Narrow"/>
                      <w:color w:val="000000"/>
                      <w:sz w:val="12"/>
                      <w:szCs w:val="12"/>
                    </w:rPr>
                  </w:pPr>
                  <w:r w:rsidRPr="001454D1">
                    <w:rPr>
                      <w:rFonts w:ascii="Arial Narrow" w:hAnsi="Arial Narrow"/>
                      <w:color w:val="000000"/>
                      <w:sz w:val="12"/>
                      <w:szCs w:val="12"/>
                    </w:rPr>
                    <w:t>.35</w:t>
                  </w:r>
                </w:p>
              </w:tc>
            </w:tr>
            <w:tr w:rsidR="00D5197F" w:rsidRPr="001454D1" w14:paraId="1648F091" w14:textId="77777777" w:rsidTr="00D5197F">
              <w:trPr>
                <w:trHeight w:val="195"/>
              </w:trPr>
              <w:tc>
                <w:tcPr>
                  <w:tcW w:w="1105" w:type="pct"/>
                </w:tcPr>
                <w:p w14:paraId="035B460E" w14:textId="77777777" w:rsidR="004243AE" w:rsidRPr="001454D1" w:rsidRDefault="004243AE" w:rsidP="004243AE">
                  <w:pPr>
                    <w:contextualSpacing/>
                    <w:rPr>
                      <w:rFonts w:ascii="Arial Narrow" w:eastAsia="Times New Roman" w:hAnsi="Arial Narrow" w:cs="Calibri"/>
                      <w:color w:val="000000"/>
                      <w:sz w:val="12"/>
                      <w:szCs w:val="12"/>
                    </w:rPr>
                  </w:pPr>
                  <w:r w:rsidRPr="001454D1">
                    <w:rPr>
                      <w:rFonts w:ascii="Arial Narrow" w:eastAsia="Times New Roman" w:hAnsi="Arial Narrow" w:cs="Calibri"/>
                      <w:color w:val="000000"/>
                      <w:sz w:val="12"/>
                      <w:szCs w:val="12"/>
                    </w:rPr>
                    <w:t>Total</w:t>
                  </w:r>
                </w:p>
              </w:tc>
              <w:tc>
                <w:tcPr>
                  <w:tcW w:w="587" w:type="pct"/>
                  <w:tcBorders>
                    <w:right w:val="nil"/>
                  </w:tcBorders>
                  <w:shd w:val="clear" w:color="auto" w:fill="auto"/>
                  <w:vAlign w:val="bottom"/>
                </w:tcPr>
                <w:p w14:paraId="5F9B2954" w14:textId="77777777" w:rsidR="004243AE" w:rsidRPr="001454D1" w:rsidRDefault="004243AE" w:rsidP="004243AE">
                  <w:pPr>
                    <w:contextualSpacing/>
                    <w:jc w:val="center"/>
                    <w:rPr>
                      <w:rFonts w:ascii="Arial Narrow" w:hAnsi="Arial Narrow"/>
                      <w:color w:val="000000"/>
                      <w:sz w:val="12"/>
                      <w:szCs w:val="12"/>
                    </w:rPr>
                  </w:pPr>
                </w:p>
              </w:tc>
              <w:tc>
                <w:tcPr>
                  <w:tcW w:w="519" w:type="pct"/>
                  <w:tcBorders>
                    <w:left w:val="nil"/>
                    <w:right w:val="nil"/>
                  </w:tcBorders>
                  <w:shd w:val="clear" w:color="auto" w:fill="auto"/>
                  <w:vAlign w:val="bottom"/>
                </w:tcPr>
                <w:p w14:paraId="5E8D55BA" w14:textId="77777777" w:rsidR="004243AE" w:rsidRPr="001454D1" w:rsidRDefault="004243AE" w:rsidP="004243AE">
                  <w:pPr>
                    <w:contextualSpacing/>
                    <w:jc w:val="center"/>
                    <w:rPr>
                      <w:rFonts w:ascii="Arial Narrow" w:hAnsi="Arial Narrow"/>
                      <w:color w:val="000000"/>
                      <w:sz w:val="12"/>
                      <w:szCs w:val="12"/>
                    </w:rPr>
                  </w:pPr>
                </w:p>
              </w:tc>
              <w:tc>
                <w:tcPr>
                  <w:tcW w:w="454" w:type="pct"/>
                  <w:tcBorders>
                    <w:left w:val="nil"/>
                  </w:tcBorders>
                  <w:shd w:val="clear" w:color="auto" w:fill="auto"/>
                  <w:vAlign w:val="bottom"/>
                </w:tcPr>
                <w:p w14:paraId="6F1EB515" w14:textId="77777777" w:rsidR="004243AE" w:rsidRPr="001454D1" w:rsidRDefault="004243AE" w:rsidP="004243AE">
                  <w:pPr>
                    <w:contextualSpacing/>
                    <w:jc w:val="center"/>
                    <w:rPr>
                      <w:rFonts w:ascii="Arial Narrow" w:hAnsi="Arial Narrow"/>
                      <w:color w:val="000000"/>
                      <w:sz w:val="12"/>
                      <w:szCs w:val="12"/>
                    </w:rPr>
                  </w:pPr>
                </w:p>
              </w:tc>
              <w:tc>
                <w:tcPr>
                  <w:tcW w:w="390" w:type="pct"/>
                </w:tcPr>
                <w:p w14:paraId="0815D1C8" w14:textId="77777777" w:rsidR="004243AE" w:rsidRPr="001454D1" w:rsidRDefault="004243AE" w:rsidP="000C25C0">
                  <w:pPr>
                    <w:contextualSpacing/>
                    <w:jc w:val="center"/>
                    <w:rPr>
                      <w:rFonts w:ascii="Arial Narrow" w:hAnsi="Arial Narrow"/>
                      <w:color w:val="000000"/>
                      <w:sz w:val="12"/>
                      <w:szCs w:val="12"/>
                    </w:rPr>
                  </w:pPr>
                  <w:r w:rsidRPr="001454D1">
                    <w:rPr>
                      <w:rFonts w:ascii="Arial Narrow" w:hAnsi="Arial Narrow"/>
                      <w:color w:val="000000"/>
                      <w:sz w:val="12"/>
                      <w:szCs w:val="12"/>
                    </w:rPr>
                    <w:t>2.67</w:t>
                  </w:r>
                </w:p>
              </w:tc>
              <w:tc>
                <w:tcPr>
                  <w:tcW w:w="1556" w:type="pct"/>
                  <w:gridSpan w:val="3"/>
                  <w:shd w:val="clear" w:color="auto" w:fill="auto"/>
                  <w:vAlign w:val="bottom"/>
                </w:tcPr>
                <w:p w14:paraId="481D8F8A" w14:textId="77777777" w:rsidR="004243AE" w:rsidRPr="001454D1" w:rsidRDefault="004243AE" w:rsidP="004243AE">
                  <w:pPr>
                    <w:contextualSpacing/>
                    <w:jc w:val="center"/>
                    <w:rPr>
                      <w:rFonts w:ascii="Arial Narrow" w:hAnsi="Arial Narrow"/>
                      <w:color w:val="000000"/>
                      <w:sz w:val="12"/>
                      <w:szCs w:val="12"/>
                    </w:rPr>
                  </w:pPr>
                </w:p>
              </w:tc>
              <w:tc>
                <w:tcPr>
                  <w:tcW w:w="390" w:type="pct"/>
                </w:tcPr>
                <w:p w14:paraId="31188F94" w14:textId="77777777" w:rsidR="004243AE" w:rsidRPr="001454D1" w:rsidRDefault="004243AE" w:rsidP="004243AE">
                  <w:pPr>
                    <w:contextualSpacing/>
                    <w:jc w:val="center"/>
                    <w:rPr>
                      <w:rFonts w:ascii="Arial Narrow" w:hAnsi="Arial Narrow"/>
                      <w:color w:val="000000"/>
                      <w:sz w:val="12"/>
                      <w:szCs w:val="12"/>
                    </w:rPr>
                  </w:pPr>
                  <w:r w:rsidRPr="001454D1">
                    <w:rPr>
                      <w:rFonts w:ascii="Arial Narrow" w:hAnsi="Arial Narrow"/>
                      <w:color w:val="000000"/>
                      <w:sz w:val="12"/>
                      <w:szCs w:val="12"/>
                    </w:rPr>
                    <w:t>.53</w:t>
                  </w:r>
                </w:p>
              </w:tc>
            </w:tr>
            <w:tr w:rsidR="00D5197F" w:rsidRPr="001454D1" w14:paraId="36E78DBC" w14:textId="77777777" w:rsidTr="00D5197F">
              <w:trPr>
                <w:trHeight w:val="181"/>
              </w:trPr>
              <w:tc>
                <w:tcPr>
                  <w:tcW w:w="1105" w:type="pct"/>
                </w:tcPr>
                <w:p w14:paraId="0741AF50" w14:textId="77777777" w:rsidR="004243AE" w:rsidRPr="001454D1" w:rsidRDefault="004243AE" w:rsidP="004243AE">
                  <w:pPr>
                    <w:contextualSpacing/>
                    <w:rPr>
                      <w:rFonts w:ascii="Arial Narrow" w:eastAsia="Times New Roman" w:hAnsi="Arial Narrow" w:cs="Calibri"/>
                      <w:color w:val="000000"/>
                      <w:sz w:val="12"/>
                      <w:szCs w:val="12"/>
                    </w:rPr>
                  </w:pPr>
                  <w:r w:rsidRPr="001454D1">
                    <w:rPr>
                      <w:rFonts w:ascii="Arial Narrow" w:eastAsia="Times New Roman" w:hAnsi="Arial Narrow" w:cs="Calibri"/>
                      <w:color w:val="000000"/>
                      <w:sz w:val="12"/>
                      <w:szCs w:val="12"/>
                    </w:rPr>
                    <w:t>Source</w:t>
                  </w:r>
                </w:p>
              </w:tc>
              <w:tc>
                <w:tcPr>
                  <w:tcW w:w="587" w:type="pct"/>
                  <w:tcBorders>
                    <w:right w:val="nil"/>
                  </w:tcBorders>
                  <w:shd w:val="clear" w:color="auto" w:fill="auto"/>
                  <w:vAlign w:val="bottom"/>
                </w:tcPr>
                <w:p w14:paraId="7DEF5239" w14:textId="77777777" w:rsidR="004243AE" w:rsidRPr="001454D1" w:rsidRDefault="004243AE" w:rsidP="004243AE">
                  <w:pPr>
                    <w:contextualSpacing/>
                    <w:jc w:val="center"/>
                    <w:rPr>
                      <w:rFonts w:ascii="Arial Narrow" w:hAnsi="Arial Narrow"/>
                      <w:color w:val="000000"/>
                      <w:sz w:val="12"/>
                      <w:szCs w:val="12"/>
                    </w:rPr>
                  </w:pPr>
                  <w:r w:rsidRPr="001454D1">
                    <w:rPr>
                      <w:rFonts w:ascii="Arial Narrow" w:hAnsi="Arial Narrow"/>
                      <w:color w:val="000000"/>
                      <w:sz w:val="12"/>
                      <w:szCs w:val="12"/>
                    </w:rPr>
                    <w:t>EPA</w:t>
                  </w:r>
                  <w:r w:rsidR="00C730A6" w:rsidRPr="001454D1">
                    <w:rPr>
                      <w:rFonts w:ascii="Arial Narrow" w:hAnsi="Arial Narrow"/>
                      <w:color w:val="000000"/>
                      <w:sz w:val="12"/>
                      <w:szCs w:val="12"/>
                    </w:rPr>
                    <w:t>, 2015</w:t>
                  </w:r>
                  <w:r w:rsidR="00E67A38" w:rsidRPr="001454D1">
                    <w:rPr>
                      <w:rFonts w:ascii="Arial Narrow" w:hAnsi="Arial Narrow"/>
                      <w:color w:val="000000"/>
                      <w:sz w:val="12"/>
                      <w:szCs w:val="12"/>
                    </w:rPr>
                    <w:t>b</w:t>
                  </w:r>
                </w:p>
              </w:tc>
              <w:tc>
                <w:tcPr>
                  <w:tcW w:w="519" w:type="pct"/>
                  <w:tcBorders>
                    <w:left w:val="nil"/>
                    <w:right w:val="nil"/>
                  </w:tcBorders>
                  <w:shd w:val="clear" w:color="auto" w:fill="auto"/>
                  <w:vAlign w:val="bottom"/>
                </w:tcPr>
                <w:p w14:paraId="61323D75" w14:textId="77777777" w:rsidR="004243AE" w:rsidRPr="001454D1" w:rsidRDefault="004243AE" w:rsidP="004243AE">
                  <w:pPr>
                    <w:contextualSpacing/>
                    <w:jc w:val="center"/>
                    <w:rPr>
                      <w:rFonts w:ascii="Arial Narrow" w:hAnsi="Arial Narrow"/>
                      <w:color w:val="000000"/>
                      <w:sz w:val="12"/>
                      <w:szCs w:val="12"/>
                    </w:rPr>
                  </w:pPr>
                </w:p>
              </w:tc>
              <w:tc>
                <w:tcPr>
                  <w:tcW w:w="454" w:type="pct"/>
                  <w:tcBorders>
                    <w:left w:val="nil"/>
                  </w:tcBorders>
                  <w:shd w:val="clear" w:color="auto" w:fill="auto"/>
                  <w:vAlign w:val="bottom"/>
                </w:tcPr>
                <w:p w14:paraId="5F6C88F2" w14:textId="77777777" w:rsidR="004243AE" w:rsidRPr="001454D1" w:rsidRDefault="004243AE" w:rsidP="004243AE">
                  <w:pPr>
                    <w:contextualSpacing/>
                    <w:jc w:val="center"/>
                    <w:rPr>
                      <w:rFonts w:ascii="Arial Narrow" w:hAnsi="Arial Narrow"/>
                      <w:color w:val="000000"/>
                      <w:sz w:val="12"/>
                      <w:szCs w:val="12"/>
                    </w:rPr>
                  </w:pPr>
                </w:p>
              </w:tc>
              <w:tc>
                <w:tcPr>
                  <w:tcW w:w="390" w:type="pct"/>
                </w:tcPr>
                <w:p w14:paraId="61CE84C7" w14:textId="77777777" w:rsidR="004243AE" w:rsidRPr="001454D1" w:rsidRDefault="004243AE" w:rsidP="004243AE">
                  <w:pPr>
                    <w:contextualSpacing/>
                    <w:jc w:val="center"/>
                    <w:rPr>
                      <w:rFonts w:ascii="Arial Narrow" w:hAnsi="Arial Narrow"/>
                      <w:color w:val="000000"/>
                      <w:sz w:val="12"/>
                      <w:szCs w:val="12"/>
                    </w:rPr>
                  </w:pPr>
                </w:p>
              </w:tc>
              <w:tc>
                <w:tcPr>
                  <w:tcW w:w="1556" w:type="pct"/>
                  <w:gridSpan w:val="3"/>
                  <w:shd w:val="clear" w:color="auto" w:fill="auto"/>
                  <w:vAlign w:val="bottom"/>
                </w:tcPr>
                <w:p w14:paraId="4AC8B077" w14:textId="77777777" w:rsidR="004243AE" w:rsidRPr="001454D1" w:rsidRDefault="004243AE" w:rsidP="004243AE">
                  <w:pPr>
                    <w:contextualSpacing/>
                    <w:jc w:val="center"/>
                    <w:rPr>
                      <w:rFonts w:ascii="Arial Narrow" w:hAnsi="Arial Narrow"/>
                      <w:color w:val="000000"/>
                      <w:sz w:val="12"/>
                      <w:szCs w:val="12"/>
                    </w:rPr>
                  </w:pPr>
                  <w:r w:rsidRPr="001454D1">
                    <w:rPr>
                      <w:rFonts w:ascii="Arial Narrow" w:hAnsi="Arial Narrow"/>
                      <w:color w:val="000000"/>
                      <w:sz w:val="12"/>
                      <w:szCs w:val="12"/>
                    </w:rPr>
                    <w:t xml:space="preserve">EPA </w:t>
                  </w:r>
                  <w:r w:rsidR="00C730A6" w:rsidRPr="001454D1">
                    <w:rPr>
                      <w:rFonts w:ascii="Arial Narrow" w:hAnsi="Arial Narrow"/>
                      <w:color w:val="000000"/>
                      <w:sz w:val="12"/>
                      <w:szCs w:val="12"/>
                    </w:rPr>
                    <w:t>2017</w:t>
                  </w:r>
                  <w:r w:rsidR="001454D1">
                    <w:rPr>
                      <w:rFonts w:ascii="Arial Narrow" w:hAnsi="Arial Narrow"/>
                      <w:color w:val="000000"/>
                      <w:sz w:val="12"/>
                      <w:szCs w:val="12"/>
                    </w:rPr>
                    <w:t>b</w:t>
                  </w:r>
                </w:p>
              </w:tc>
              <w:tc>
                <w:tcPr>
                  <w:tcW w:w="390" w:type="pct"/>
                </w:tcPr>
                <w:p w14:paraId="1026ADD5" w14:textId="77777777" w:rsidR="004243AE" w:rsidRPr="002E1304" w:rsidRDefault="004243AE" w:rsidP="004243AE">
                  <w:pPr>
                    <w:contextualSpacing/>
                    <w:jc w:val="center"/>
                    <w:rPr>
                      <w:rFonts w:ascii="Arial Narrow" w:hAnsi="Arial Narrow"/>
                      <w:color w:val="000000"/>
                      <w:sz w:val="12"/>
                      <w:szCs w:val="12"/>
                    </w:rPr>
                  </w:pPr>
                </w:p>
              </w:tc>
            </w:tr>
          </w:tbl>
          <w:p w14:paraId="6C353877" w14:textId="77777777" w:rsidR="004243AE" w:rsidRPr="001454D1" w:rsidRDefault="004243AE" w:rsidP="004243AE">
            <w:pPr>
              <w:ind w:firstLineChars="100" w:firstLine="200"/>
              <w:rPr>
                <w:rFonts w:ascii="Arial Narrow" w:eastAsia="Times New Roman" w:hAnsi="Arial Narrow" w:cs="Calibri"/>
                <w:bCs/>
                <w:color w:val="000000"/>
                <w:sz w:val="20"/>
                <w:szCs w:val="20"/>
              </w:rPr>
            </w:pPr>
          </w:p>
          <w:p w14:paraId="50C41EE5" w14:textId="77777777" w:rsidR="004243AE" w:rsidRPr="001454D1" w:rsidRDefault="003F6B68" w:rsidP="00667A4E">
            <w:pPr>
              <w:ind w:leftChars="-9" w:hangingChars="12" w:hanging="22"/>
              <w:rPr>
                <w:rFonts w:ascii="Arial Narrow" w:eastAsia="Times New Roman" w:hAnsi="Arial Narrow" w:cs="Calibri"/>
                <w:bCs/>
                <w:color w:val="000000"/>
                <w:sz w:val="18"/>
                <w:szCs w:val="18"/>
              </w:rPr>
            </w:pPr>
            <w:r w:rsidRPr="001454D1">
              <w:rPr>
                <w:rFonts w:ascii="Arial Narrow" w:eastAsia="Times New Roman" w:hAnsi="Arial Narrow" w:cs="Calibri"/>
                <w:bCs/>
                <w:color w:val="000000"/>
                <w:sz w:val="18"/>
                <w:szCs w:val="18"/>
              </w:rPr>
              <w:t xml:space="preserve">Table </w:t>
            </w:r>
            <w:r w:rsidR="004243AE" w:rsidRPr="001454D1">
              <w:rPr>
                <w:rFonts w:ascii="Arial Narrow" w:eastAsia="Times New Roman" w:hAnsi="Arial Narrow" w:cs="Calibri"/>
                <w:bCs/>
                <w:color w:val="000000"/>
                <w:sz w:val="18"/>
                <w:szCs w:val="18"/>
              </w:rPr>
              <w:t>Footnotes</w:t>
            </w:r>
          </w:p>
          <w:p w14:paraId="0EE2262A" w14:textId="77777777" w:rsidR="003019B7" w:rsidRPr="002C1543" w:rsidRDefault="003019B7" w:rsidP="00C64922">
            <w:pPr>
              <w:tabs>
                <w:tab w:val="left" w:pos="0"/>
              </w:tabs>
              <w:rPr>
                <w:rFonts w:ascii="Arial Narrow" w:eastAsia="Times New Roman" w:hAnsi="Arial Narrow" w:cs="Calibri"/>
                <w:color w:val="000000"/>
                <w:sz w:val="18"/>
                <w:szCs w:val="18"/>
              </w:rPr>
            </w:pPr>
            <w:r w:rsidRPr="001454D1">
              <w:rPr>
                <w:rFonts w:ascii="Arial Narrow" w:eastAsia="Times New Roman" w:hAnsi="Arial Narrow" w:cs="Calibri"/>
                <w:color w:val="000000"/>
                <w:sz w:val="18"/>
                <w:szCs w:val="18"/>
                <w:vertAlign w:val="superscript"/>
              </w:rPr>
              <w:t>1</w:t>
            </w:r>
            <w:r w:rsidRPr="001454D1">
              <w:rPr>
                <w:rFonts w:ascii="Arial Narrow" w:eastAsia="Times New Roman" w:hAnsi="Arial Narrow" w:cs="Calibri"/>
                <w:color w:val="000000"/>
                <w:sz w:val="18"/>
                <w:szCs w:val="18"/>
              </w:rPr>
              <w:t xml:space="preserve"> </w:t>
            </w:r>
            <w:r w:rsidR="001836BC" w:rsidRPr="001454D1">
              <w:rPr>
                <w:rFonts w:ascii="Arial Narrow" w:eastAsia="Times New Roman" w:hAnsi="Arial Narrow" w:cs="Calibri"/>
                <w:color w:val="000000"/>
                <w:sz w:val="18"/>
                <w:szCs w:val="18"/>
              </w:rPr>
              <w:t xml:space="preserve">In the previous ICR, rule familiarization is estimated for both new and experienced reporters. In order to adhere to conventional practices by which rule </w:t>
            </w:r>
            <w:r w:rsidR="00E6337E" w:rsidRPr="001454D1">
              <w:rPr>
                <w:rFonts w:ascii="Arial Narrow" w:eastAsia="Times New Roman" w:hAnsi="Arial Narrow" w:cs="Calibri"/>
                <w:color w:val="000000"/>
                <w:sz w:val="18"/>
                <w:szCs w:val="18"/>
              </w:rPr>
              <w:t>familiarization</w:t>
            </w:r>
            <w:r w:rsidR="001836BC" w:rsidRPr="001454D1">
              <w:rPr>
                <w:rFonts w:ascii="Arial Narrow" w:eastAsia="Times New Roman" w:hAnsi="Arial Narrow" w:cs="Calibri"/>
                <w:color w:val="000000"/>
                <w:sz w:val="18"/>
                <w:szCs w:val="18"/>
              </w:rPr>
              <w:t xml:space="preserve"> is incurred by new reporters only, the estimates associated with experienced reporters’</w:t>
            </w:r>
            <w:r w:rsidR="001836BC" w:rsidRPr="001836BC">
              <w:rPr>
                <w:rFonts w:ascii="Arial Narrow" w:eastAsia="Times New Roman" w:hAnsi="Arial Narrow" w:cs="Calibri"/>
                <w:color w:val="000000"/>
                <w:sz w:val="18"/>
                <w:szCs w:val="18"/>
              </w:rPr>
              <w:t>; rule familiarization are moved to compliance determination, increasing that total estimate by four hours. For consistency in the estimates for compliance determination across new and experienced reporters, the same treatment is applied to new reporters, reducing rule familiarization by four hours and increasing compliance determination by four hours.</w:t>
            </w:r>
          </w:p>
          <w:p w14:paraId="14DECD1C" w14:textId="77777777" w:rsidR="004243AE" w:rsidRPr="002300FF" w:rsidRDefault="000C25C0" w:rsidP="00C64922">
            <w:pPr>
              <w:tabs>
                <w:tab w:val="left" w:pos="0"/>
              </w:tabs>
              <w:rPr>
                <w:rFonts w:ascii="Arial Narrow" w:eastAsia="Times New Roman" w:hAnsi="Arial Narrow" w:cs="Calibri"/>
                <w:bCs/>
                <w:color w:val="000000"/>
                <w:sz w:val="18"/>
                <w:szCs w:val="18"/>
              </w:rPr>
            </w:pPr>
            <w:r>
              <w:rPr>
                <w:rFonts w:ascii="Arial Narrow" w:eastAsia="Times New Roman" w:hAnsi="Arial Narrow" w:cs="Calibri"/>
                <w:color w:val="000000"/>
                <w:sz w:val="18"/>
                <w:szCs w:val="18"/>
                <w:vertAlign w:val="superscript"/>
              </w:rPr>
              <w:t>2</w:t>
            </w:r>
            <w:r w:rsidR="00C64922">
              <w:rPr>
                <w:rFonts w:ascii="Arial Narrow" w:eastAsia="Times New Roman" w:hAnsi="Arial Narrow" w:cs="Calibri"/>
                <w:color w:val="000000"/>
                <w:sz w:val="18"/>
                <w:szCs w:val="18"/>
                <w:vertAlign w:val="superscript"/>
              </w:rPr>
              <w:t xml:space="preserve"> </w:t>
            </w:r>
            <w:r w:rsidR="004243AE" w:rsidRPr="002300FF">
              <w:rPr>
                <w:rFonts w:ascii="Arial Narrow" w:eastAsia="Times New Roman" w:hAnsi="Arial Narrow" w:cs="Calibri"/>
                <w:bCs/>
                <w:color w:val="000000"/>
                <w:sz w:val="18"/>
                <w:szCs w:val="18"/>
              </w:rPr>
              <w:t>Technical contact information may be entered on a chemical-per-chemical basis. The previous ICR’s estimate for “</w:t>
            </w:r>
            <w:r w:rsidR="004243AE" w:rsidRPr="002300FF">
              <w:rPr>
                <w:rFonts w:ascii="Arial Narrow" w:eastAsia="Times New Roman" w:hAnsi="Arial Narrow" w:cs="Calibri"/>
                <w:color w:val="000000"/>
                <w:sz w:val="18"/>
                <w:szCs w:val="18"/>
              </w:rPr>
              <w:t xml:space="preserve">Company Information (Company Name, Technical Contact, Address, D&amp;B Number, Mailing Address” is split to remove Technical Contact information so the activity could be moved to </w:t>
            </w:r>
            <w:r w:rsidR="004243AE" w:rsidRPr="002300FF">
              <w:rPr>
                <w:rFonts w:ascii="Arial Narrow" w:eastAsia="Times New Roman" w:hAnsi="Arial Narrow" w:cs="Calibri"/>
                <w:b/>
                <w:bCs/>
                <w:i/>
                <w:iCs/>
                <w:color w:val="000000"/>
                <w:sz w:val="18"/>
                <w:szCs w:val="18"/>
              </w:rPr>
              <w:t>Part I. Site Identification Information - Chemical Report Level.</w:t>
            </w:r>
            <w:r w:rsidR="004243AE" w:rsidRPr="002300FF">
              <w:rPr>
                <w:rFonts w:ascii="Arial Narrow" w:eastAsia="Times New Roman" w:hAnsi="Arial Narrow" w:cs="Calibri"/>
                <w:bCs/>
                <w:color w:val="000000"/>
                <w:sz w:val="18"/>
                <w:szCs w:val="18"/>
              </w:rPr>
              <w:t xml:space="preserve"> The estimate for technical contact information was determined based on information from similar TRI estimates and BPJ (</w:t>
            </w:r>
            <w:r w:rsidR="00AD6833">
              <w:rPr>
                <w:rFonts w:ascii="Arial Narrow" w:eastAsia="Times New Roman" w:hAnsi="Arial Narrow" w:cs="Calibri"/>
                <w:bCs/>
                <w:color w:val="000000"/>
                <w:sz w:val="18"/>
                <w:szCs w:val="18"/>
              </w:rPr>
              <w:t xml:space="preserve">US </w:t>
            </w:r>
            <w:r w:rsidR="0056396E">
              <w:rPr>
                <w:rFonts w:ascii="Arial Narrow" w:eastAsia="Times New Roman" w:hAnsi="Arial Narrow" w:cs="Calibri"/>
                <w:bCs/>
                <w:color w:val="000000"/>
                <w:sz w:val="18"/>
                <w:szCs w:val="18"/>
              </w:rPr>
              <w:t>EPA, 2011a)</w:t>
            </w:r>
            <w:r w:rsidR="004243AE" w:rsidRPr="002300FF">
              <w:rPr>
                <w:rFonts w:ascii="Arial Narrow" w:eastAsia="Times New Roman" w:hAnsi="Arial Narrow" w:cs="Calibri"/>
                <w:bCs/>
                <w:color w:val="000000"/>
                <w:sz w:val="18"/>
                <w:szCs w:val="18"/>
              </w:rPr>
              <w:t>.</w:t>
            </w:r>
          </w:p>
          <w:p w14:paraId="426F7952" w14:textId="77777777" w:rsidR="004243AE" w:rsidRPr="002300FF" w:rsidRDefault="000C25C0" w:rsidP="00C64922">
            <w:pPr>
              <w:rPr>
                <w:rFonts w:ascii="Arial Narrow" w:eastAsia="Times New Roman" w:hAnsi="Arial Narrow" w:cs="Calibri"/>
                <w:bCs/>
                <w:color w:val="000000"/>
                <w:sz w:val="18"/>
                <w:szCs w:val="18"/>
              </w:rPr>
            </w:pPr>
            <w:r>
              <w:rPr>
                <w:rFonts w:ascii="Arial Narrow" w:eastAsia="Times New Roman" w:hAnsi="Arial Narrow" w:cs="Calibri"/>
                <w:color w:val="000000"/>
                <w:sz w:val="18"/>
                <w:szCs w:val="18"/>
                <w:vertAlign w:val="superscript"/>
              </w:rPr>
              <w:t>3</w:t>
            </w:r>
            <w:r w:rsidR="00C64922">
              <w:rPr>
                <w:rFonts w:ascii="Arial Narrow" w:eastAsia="Times New Roman" w:hAnsi="Arial Narrow" w:cs="Calibri"/>
                <w:color w:val="000000"/>
                <w:sz w:val="18"/>
                <w:szCs w:val="18"/>
                <w:vertAlign w:val="superscript"/>
              </w:rPr>
              <w:t xml:space="preserve"> </w:t>
            </w:r>
            <w:r w:rsidR="004243AE" w:rsidRPr="002300FF">
              <w:rPr>
                <w:rFonts w:ascii="Arial Narrow" w:eastAsia="Times New Roman" w:hAnsi="Arial Narrow" w:cs="Calibri"/>
                <w:bCs/>
                <w:color w:val="000000"/>
                <w:sz w:val="18"/>
                <w:szCs w:val="18"/>
              </w:rPr>
              <w:t>Estimates modified to account for data elements in Part II Section A (2.A.5 - 2.A.12) including Trade Name, Other Information, Secondary Company Name, Secondary Company Address and Country</w:t>
            </w:r>
            <w:r w:rsidR="00584352">
              <w:rPr>
                <w:rFonts w:ascii="Arial Narrow" w:eastAsia="Times New Roman" w:hAnsi="Arial Narrow" w:cs="Calibri"/>
                <w:bCs/>
                <w:color w:val="000000"/>
                <w:sz w:val="18"/>
                <w:szCs w:val="18"/>
              </w:rPr>
              <w:t>, and email</w:t>
            </w:r>
            <w:r w:rsidR="007D1D00">
              <w:rPr>
                <w:rFonts w:ascii="Arial Narrow" w:eastAsia="Times New Roman" w:hAnsi="Arial Narrow" w:cs="Calibri"/>
                <w:bCs/>
                <w:color w:val="000000"/>
                <w:sz w:val="18"/>
                <w:szCs w:val="18"/>
              </w:rPr>
              <w:t xml:space="preserve"> </w:t>
            </w:r>
            <w:r w:rsidR="004243AE" w:rsidRPr="002300FF">
              <w:rPr>
                <w:rFonts w:ascii="Arial Narrow" w:eastAsia="Times New Roman" w:hAnsi="Arial Narrow" w:cs="Calibri"/>
                <w:bCs/>
                <w:color w:val="000000"/>
                <w:sz w:val="18"/>
                <w:szCs w:val="18"/>
              </w:rPr>
              <w:t>(same for new and experienced reporters)</w:t>
            </w:r>
            <w:r w:rsidR="00584352">
              <w:rPr>
                <w:rFonts w:ascii="Arial Narrow" w:eastAsia="Times New Roman" w:hAnsi="Arial Narrow" w:cs="Calibri"/>
                <w:bCs/>
                <w:color w:val="000000"/>
                <w:sz w:val="18"/>
                <w:szCs w:val="18"/>
              </w:rPr>
              <w:t>,</w:t>
            </w:r>
            <w:r w:rsidR="004243AE" w:rsidRPr="002300FF">
              <w:rPr>
                <w:rFonts w:ascii="Arial Narrow" w:eastAsia="Times New Roman" w:hAnsi="Arial Narrow" w:cs="Calibri"/>
                <w:bCs/>
                <w:color w:val="000000"/>
                <w:sz w:val="18"/>
                <w:szCs w:val="18"/>
              </w:rPr>
              <w:t xml:space="preserve"> based on best professional judgment. Same estimates are used for experienced and new reporters.</w:t>
            </w:r>
          </w:p>
          <w:p w14:paraId="498E29F0" w14:textId="77777777" w:rsidR="004243AE" w:rsidRPr="002300FF" w:rsidRDefault="000C25C0" w:rsidP="00C64922">
            <w:pPr>
              <w:tabs>
                <w:tab w:val="left" w:pos="0"/>
              </w:tabs>
              <w:rPr>
                <w:rFonts w:ascii="Arial Narrow" w:eastAsia="Times New Roman" w:hAnsi="Arial Narrow" w:cs="Calibri"/>
                <w:bCs/>
                <w:color w:val="000000"/>
                <w:sz w:val="18"/>
                <w:szCs w:val="18"/>
              </w:rPr>
            </w:pPr>
            <w:r>
              <w:rPr>
                <w:rFonts w:ascii="Arial Narrow" w:eastAsia="Times New Roman" w:hAnsi="Arial Narrow" w:cs="Calibri"/>
                <w:color w:val="000000"/>
                <w:sz w:val="18"/>
                <w:szCs w:val="18"/>
                <w:vertAlign w:val="superscript"/>
              </w:rPr>
              <w:t>4</w:t>
            </w:r>
            <w:r w:rsidR="00C64922">
              <w:rPr>
                <w:rFonts w:ascii="Arial Narrow" w:eastAsia="Times New Roman" w:hAnsi="Arial Narrow" w:cs="Calibri"/>
                <w:color w:val="000000"/>
                <w:sz w:val="18"/>
                <w:szCs w:val="18"/>
                <w:vertAlign w:val="superscript"/>
              </w:rPr>
              <w:t xml:space="preserve"> </w:t>
            </w:r>
            <w:r w:rsidR="004243AE" w:rsidRPr="002300FF">
              <w:rPr>
                <w:rFonts w:ascii="Arial Narrow" w:eastAsia="Times New Roman" w:hAnsi="Arial Narrow" w:cs="Calibri"/>
                <w:bCs/>
                <w:color w:val="000000"/>
                <w:sz w:val="18"/>
                <w:szCs w:val="18"/>
              </w:rPr>
              <w:t>In preparation for revisions to update CBI substantiation estimates, the previous ICR’s estimate for “Chemical Substance Identification, Upfront CBI Substantiation” was split to remove CBI Substantiation to a separate activity. The estimate for Chemical Identification is obtained from Abt Associates (2016).as used in (</w:t>
            </w:r>
            <w:r w:rsidR="00AD6833">
              <w:rPr>
                <w:rFonts w:ascii="Arial Narrow" w:eastAsia="Times New Roman" w:hAnsi="Arial Narrow" w:cs="Calibri"/>
                <w:bCs/>
                <w:color w:val="000000"/>
                <w:sz w:val="18"/>
                <w:szCs w:val="18"/>
              </w:rPr>
              <w:t xml:space="preserve">US </w:t>
            </w:r>
            <w:r w:rsidR="004243AE" w:rsidRPr="002300FF">
              <w:rPr>
                <w:rFonts w:ascii="Arial Narrow" w:eastAsia="Times New Roman" w:hAnsi="Arial Narrow" w:cs="Calibri"/>
                <w:bCs/>
                <w:color w:val="000000"/>
                <w:sz w:val="18"/>
                <w:szCs w:val="18"/>
              </w:rPr>
              <w:t xml:space="preserve">EPA, 2017). </w:t>
            </w:r>
          </w:p>
          <w:p w14:paraId="6DEBAC49" w14:textId="77777777" w:rsidR="004243AE" w:rsidRPr="002300FF" w:rsidRDefault="000C25C0" w:rsidP="00C64922">
            <w:pPr>
              <w:rPr>
                <w:rFonts w:ascii="Arial Narrow" w:eastAsia="Times New Roman" w:hAnsi="Arial Narrow" w:cs="Calibri"/>
                <w:bCs/>
                <w:color w:val="000000"/>
                <w:sz w:val="18"/>
                <w:szCs w:val="18"/>
              </w:rPr>
            </w:pPr>
            <w:r>
              <w:rPr>
                <w:rFonts w:ascii="Arial Narrow" w:eastAsia="Times New Roman" w:hAnsi="Arial Narrow" w:cs="Calibri"/>
                <w:color w:val="000000"/>
                <w:sz w:val="18"/>
                <w:szCs w:val="18"/>
                <w:vertAlign w:val="superscript"/>
              </w:rPr>
              <w:t>5</w:t>
            </w:r>
            <w:r w:rsidR="00C64922">
              <w:rPr>
                <w:rFonts w:ascii="Arial Narrow" w:eastAsia="Times New Roman" w:hAnsi="Arial Narrow" w:cs="Calibri"/>
                <w:color w:val="000000"/>
                <w:sz w:val="18"/>
                <w:szCs w:val="18"/>
                <w:vertAlign w:val="superscript"/>
              </w:rPr>
              <w:t xml:space="preserve"> </w:t>
            </w:r>
            <w:r w:rsidR="004243AE" w:rsidRPr="002300FF">
              <w:rPr>
                <w:rFonts w:ascii="Arial Narrow" w:eastAsia="Times New Roman" w:hAnsi="Arial Narrow" w:cs="Calibri"/>
                <w:bCs/>
                <w:color w:val="000000"/>
                <w:sz w:val="18"/>
                <w:szCs w:val="18"/>
              </w:rPr>
              <w:t>Previous ICR’s estimate for “Accession Number Request” is dropped due evidence at EPA that requests are rarely submitted. This activity has largely been replaced by electronic SRS searches. (inc</w:t>
            </w:r>
            <w:r w:rsidR="0056396E">
              <w:rPr>
                <w:rFonts w:ascii="Arial Narrow" w:eastAsia="Times New Roman" w:hAnsi="Arial Narrow" w:cs="Calibri"/>
                <w:bCs/>
                <w:color w:val="000000"/>
                <w:sz w:val="18"/>
                <w:szCs w:val="18"/>
              </w:rPr>
              <w:t>l</w:t>
            </w:r>
            <w:r w:rsidR="004243AE" w:rsidRPr="002300FF">
              <w:rPr>
                <w:rFonts w:ascii="Arial Narrow" w:eastAsia="Times New Roman" w:hAnsi="Arial Narrow" w:cs="Calibri"/>
                <w:bCs/>
                <w:color w:val="000000"/>
                <w:sz w:val="18"/>
                <w:szCs w:val="18"/>
              </w:rPr>
              <w:t xml:space="preserve">uded in the activity for “Chemical Substance Identification.”) </w:t>
            </w:r>
          </w:p>
          <w:p w14:paraId="053D4D08" w14:textId="77777777" w:rsidR="004243AE" w:rsidRPr="002300FF" w:rsidRDefault="000C25C0" w:rsidP="004243AE">
            <w:pPr>
              <w:tabs>
                <w:tab w:val="left" w:pos="240"/>
              </w:tabs>
              <w:ind w:left="240" w:hanging="240"/>
              <w:rPr>
                <w:rFonts w:ascii="Arial Narrow" w:eastAsia="Times New Roman" w:hAnsi="Arial Narrow" w:cs="Calibri"/>
                <w:bCs/>
                <w:color w:val="000000"/>
                <w:sz w:val="18"/>
                <w:szCs w:val="18"/>
              </w:rPr>
            </w:pPr>
            <w:r>
              <w:rPr>
                <w:rFonts w:ascii="Arial Narrow" w:eastAsia="Times New Roman" w:hAnsi="Arial Narrow" w:cs="Calibri"/>
                <w:color w:val="000000"/>
                <w:sz w:val="18"/>
                <w:szCs w:val="18"/>
                <w:vertAlign w:val="superscript"/>
              </w:rPr>
              <w:t>6</w:t>
            </w:r>
            <w:r w:rsidR="00C64922">
              <w:rPr>
                <w:rFonts w:ascii="Arial Narrow" w:eastAsia="Times New Roman" w:hAnsi="Arial Narrow" w:cs="Calibri"/>
                <w:color w:val="000000"/>
                <w:sz w:val="18"/>
                <w:szCs w:val="18"/>
                <w:vertAlign w:val="superscript"/>
              </w:rPr>
              <w:t xml:space="preserve"> </w:t>
            </w:r>
            <w:r w:rsidR="004243AE" w:rsidRPr="002300FF">
              <w:rPr>
                <w:rFonts w:ascii="Arial Narrow" w:eastAsia="Times New Roman" w:hAnsi="Arial Narrow" w:cs="Calibri"/>
                <w:bCs/>
                <w:color w:val="000000"/>
                <w:sz w:val="18"/>
                <w:szCs w:val="18"/>
              </w:rPr>
              <w:t xml:space="preserve">Previous ICR’s descriptor “site limited” is dropped because the site-limited designation (checkbox) was removed and replaced with “% site-limited” as of </w:t>
            </w:r>
            <w:r w:rsidR="007F1757">
              <w:rPr>
                <w:rFonts w:ascii="Arial Narrow" w:eastAsia="Times New Roman" w:hAnsi="Arial Narrow" w:cs="Calibri"/>
                <w:bCs/>
                <w:color w:val="000000"/>
                <w:sz w:val="18"/>
                <w:szCs w:val="18"/>
              </w:rPr>
              <w:t>2012 C</w:t>
            </w:r>
            <w:r w:rsidR="004243AE" w:rsidRPr="002300FF">
              <w:rPr>
                <w:rFonts w:ascii="Arial Narrow" w:eastAsia="Times New Roman" w:hAnsi="Arial Narrow" w:cs="Calibri"/>
                <w:bCs/>
                <w:color w:val="000000"/>
                <w:sz w:val="18"/>
                <w:szCs w:val="18"/>
              </w:rPr>
              <w:t>DR.</w:t>
            </w:r>
          </w:p>
          <w:p w14:paraId="1BC0DD96" w14:textId="77777777" w:rsidR="004243AE" w:rsidRPr="002300FF" w:rsidRDefault="000C25C0" w:rsidP="00C64922">
            <w:pPr>
              <w:tabs>
                <w:tab w:val="left" w:pos="0"/>
              </w:tabs>
              <w:rPr>
                <w:rFonts w:ascii="Arial Narrow" w:eastAsia="Times New Roman" w:hAnsi="Arial Narrow" w:cs="Calibri"/>
                <w:bCs/>
                <w:color w:val="000000"/>
                <w:sz w:val="18"/>
                <w:szCs w:val="18"/>
              </w:rPr>
            </w:pPr>
            <w:r>
              <w:rPr>
                <w:rFonts w:ascii="Arial Narrow" w:eastAsia="Times New Roman" w:hAnsi="Arial Narrow" w:cs="Calibri"/>
                <w:color w:val="000000"/>
                <w:sz w:val="18"/>
                <w:szCs w:val="18"/>
                <w:vertAlign w:val="superscript"/>
              </w:rPr>
              <w:t>7</w:t>
            </w:r>
            <w:r w:rsidR="00C64922">
              <w:rPr>
                <w:rFonts w:ascii="Arial Narrow" w:eastAsia="Times New Roman" w:hAnsi="Arial Narrow" w:cs="Calibri"/>
                <w:color w:val="000000"/>
                <w:sz w:val="18"/>
                <w:szCs w:val="18"/>
                <w:vertAlign w:val="superscript"/>
              </w:rPr>
              <w:t xml:space="preserve"> </w:t>
            </w:r>
            <w:r w:rsidR="004243AE" w:rsidRPr="002300FF">
              <w:rPr>
                <w:rFonts w:ascii="Arial Narrow" w:eastAsia="Times New Roman" w:hAnsi="Arial Narrow" w:cs="Calibri"/>
                <w:bCs/>
                <w:color w:val="000000"/>
                <w:sz w:val="18"/>
                <w:szCs w:val="18"/>
              </w:rPr>
              <w:t xml:space="preserve">In the previous ICR, the only Part II data element included in the estimate for CBI substantiation was “plant site.” In preparation for revisions to update CBI substantiation estimates (to include all applicable data elements in Part II), the description is changed to accommodate revisions’ broader treatment (2.B.1: CBI for Company Identification, 2.B.2: CBI for Site Identification, 2.B.3: CBI for Technical Contact Information). Note that estimates under “Corrected Activity-Level Burdens” are the same as in the previous ICR, with above-stated revisions applied in Table 3. </w:t>
            </w:r>
          </w:p>
          <w:p w14:paraId="51018760" w14:textId="77777777" w:rsidR="004243AE" w:rsidRPr="002300FF" w:rsidRDefault="000C25C0" w:rsidP="004243AE">
            <w:pPr>
              <w:tabs>
                <w:tab w:val="left" w:pos="240"/>
              </w:tabs>
              <w:ind w:left="240" w:hanging="240"/>
              <w:rPr>
                <w:rFonts w:ascii="Arial Narrow" w:eastAsia="Times New Roman" w:hAnsi="Arial Narrow" w:cs="Calibri"/>
                <w:bCs/>
                <w:color w:val="000000"/>
                <w:sz w:val="18"/>
                <w:szCs w:val="18"/>
              </w:rPr>
            </w:pPr>
            <w:r>
              <w:rPr>
                <w:rFonts w:ascii="Arial Narrow" w:eastAsia="Times New Roman" w:hAnsi="Arial Narrow" w:cs="Calibri"/>
                <w:color w:val="000000"/>
                <w:sz w:val="18"/>
                <w:szCs w:val="18"/>
                <w:vertAlign w:val="superscript"/>
              </w:rPr>
              <w:t>8</w:t>
            </w:r>
            <w:r w:rsidR="00C64922">
              <w:rPr>
                <w:rFonts w:ascii="Arial Narrow" w:eastAsia="Times New Roman" w:hAnsi="Arial Narrow" w:cs="Calibri"/>
                <w:color w:val="000000"/>
                <w:sz w:val="18"/>
                <w:szCs w:val="18"/>
                <w:vertAlign w:val="superscript"/>
              </w:rPr>
              <w:t xml:space="preserve"> </w:t>
            </w:r>
            <w:r w:rsidR="004243AE" w:rsidRPr="002300FF">
              <w:rPr>
                <w:rFonts w:ascii="Arial Narrow" w:eastAsia="Times New Roman" w:hAnsi="Arial Narrow" w:cs="Calibri"/>
                <w:bCs/>
                <w:color w:val="000000"/>
                <w:sz w:val="18"/>
                <w:szCs w:val="18"/>
              </w:rPr>
              <w:t>For Part III Section A, the “Type of Process or Use” information is not explicitly listed and is therefore assumed to be included in the item, “Determination of Applicability.”</w:t>
            </w:r>
          </w:p>
          <w:p w14:paraId="42B35D72" w14:textId="77777777" w:rsidR="004243AE" w:rsidRPr="002300FF" w:rsidRDefault="000C25C0" w:rsidP="004243AE">
            <w:pPr>
              <w:tabs>
                <w:tab w:val="left" w:pos="240"/>
              </w:tabs>
              <w:ind w:left="240" w:hanging="240"/>
              <w:rPr>
                <w:rFonts w:ascii="Arial Narrow" w:eastAsia="Times New Roman" w:hAnsi="Arial Narrow" w:cs="Calibri"/>
                <w:bCs/>
                <w:color w:val="000000"/>
                <w:sz w:val="18"/>
                <w:szCs w:val="18"/>
              </w:rPr>
            </w:pPr>
            <w:r>
              <w:rPr>
                <w:rFonts w:ascii="Arial Narrow" w:eastAsia="Times New Roman" w:hAnsi="Arial Narrow" w:cs="Calibri"/>
                <w:color w:val="000000"/>
                <w:sz w:val="18"/>
                <w:szCs w:val="18"/>
                <w:vertAlign w:val="superscript"/>
              </w:rPr>
              <w:t>9</w:t>
            </w:r>
            <w:r w:rsidR="00C64922">
              <w:rPr>
                <w:rFonts w:ascii="Arial Narrow" w:eastAsia="Times New Roman" w:hAnsi="Arial Narrow" w:cs="Calibri"/>
                <w:color w:val="000000"/>
                <w:sz w:val="18"/>
                <w:szCs w:val="18"/>
                <w:vertAlign w:val="superscript"/>
              </w:rPr>
              <w:t xml:space="preserve"> </w:t>
            </w:r>
            <w:r w:rsidR="004243AE" w:rsidRPr="002300FF">
              <w:rPr>
                <w:rFonts w:ascii="Arial Narrow" w:eastAsia="Times New Roman" w:hAnsi="Arial Narrow" w:cs="Calibri"/>
                <w:bCs/>
                <w:color w:val="000000"/>
                <w:sz w:val="18"/>
                <w:szCs w:val="18"/>
              </w:rPr>
              <w:t xml:space="preserve">In Part III Section B, the </w:t>
            </w:r>
            <w:r w:rsidR="004243AE" w:rsidRPr="002300FF">
              <w:rPr>
                <w:rFonts w:ascii="Arial Narrow" w:eastAsia="Times New Roman" w:hAnsi="Arial Narrow" w:cs="Calibri"/>
                <w:color w:val="000000"/>
                <w:sz w:val="18"/>
                <w:szCs w:val="18"/>
              </w:rPr>
              <w:t>“Consumer or Commercial or both”</w:t>
            </w:r>
            <w:r w:rsidR="004243AE" w:rsidRPr="002300FF">
              <w:rPr>
                <w:rFonts w:ascii="Arial Narrow" w:eastAsia="Times New Roman" w:hAnsi="Arial Narrow" w:cs="Calibri"/>
                <w:bCs/>
                <w:color w:val="000000"/>
                <w:sz w:val="18"/>
                <w:szCs w:val="18"/>
              </w:rPr>
              <w:t xml:space="preserve"> information is not explicitly listed and is therefore assumed to be included in the item, “Determination of Applicability.”</w:t>
            </w:r>
          </w:p>
          <w:p w14:paraId="7614A3A5" w14:textId="77777777" w:rsidR="00571C32" w:rsidRPr="00B934E7" w:rsidRDefault="00571C32" w:rsidP="002300FF">
            <w:pPr>
              <w:tabs>
                <w:tab w:val="left" w:pos="240"/>
              </w:tabs>
              <w:rPr>
                <w:rFonts w:ascii="Arial Narrow" w:eastAsia="Times New Roman" w:hAnsi="Arial Narrow" w:cs="Calibri"/>
                <w:b/>
                <w:bCs/>
                <w:color w:val="000000"/>
                <w:sz w:val="16"/>
                <w:szCs w:val="16"/>
              </w:rPr>
            </w:pPr>
          </w:p>
        </w:tc>
      </w:tr>
    </w:tbl>
    <w:p w14:paraId="1FFC750E" w14:textId="77777777" w:rsidR="00B934E7" w:rsidRPr="00B934E7" w:rsidRDefault="00B934E7" w:rsidP="00B934E7">
      <w:pPr>
        <w:spacing w:after="160" w:line="259" w:lineRule="auto"/>
        <w:rPr>
          <w:rFonts w:ascii="Calibri" w:eastAsia="Calibri" w:hAnsi="Calibri" w:cs="Times New Roman"/>
          <w:sz w:val="22"/>
          <w:szCs w:val="22"/>
        </w:rPr>
      </w:pPr>
    </w:p>
    <w:p w14:paraId="2261EB01" w14:textId="17397FDE" w:rsidR="009F4C2D" w:rsidRDefault="009F4C2D" w:rsidP="000F6439">
      <w:pPr>
        <w:spacing w:after="200" w:line="276" w:lineRule="auto"/>
        <w:rPr>
          <w:b/>
          <w:highlight w:val="yellow"/>
          <w:u w:val="single"/>
        </w:rPr>
        <w:sectPr w:rsidR="009F4C2D" w:rsidSect="00A15430">
          <w:pgSz w:w="15840" w:h="12240" w:orient="landscape"/>
          <w:pgMar w:top="1440" w:right="1440" w:bottom="1440" w:left="1440" w:header="720" w:footer="720" w:gutter="0"/>
          <w:cols w:space="720"/>
          <w:docGrid w:linePitch="360"/>
        </w:sectPr>
      </w:pPr>
    </w:p>
    <w:p w14:paraId="6E21110C" w14:textId="77777777" w:rsidR="009F4C2D" w:rsidRPr="00165B02" w:rsidRDefault="009F4C2D" w:rsidP="009F4C2D">
      <w:pPr>
        <w:rPr>
          <w:color w:val="000000" w:themeColor="text1"/>
        </w:rPr>
      </w:pPr>
      <w:r w:rsidRPr="00650FBF">
        <w:rPr>
          <w:b/>
        </w:rPr>
        <w:t>7.</w:t>
      </w:r>
      <w:r w:rsidRPr="00650FBF">
        <w:rPr>
          <w:b/>
        </w:rPr>
        <w:tab/>
        <w:t>ATTACH</w:t>
      </w:r>
      <w:r w:rsidRPr="00165B02">
        <w:rPr>
          <w:b/>
          <w:color w:val="000000" w:themeColor="text1"/>
        </w:rPr>
        <w:t>MENTS TO THE SUPPORTING STATEMENT</w:t>
      </w:r>
    </w:p>
    <w:p w14:paraId="0597E7CF" w14:textId="77777777" w:rsidR="009F4C2D" w:rsidRPr="00165B02" w:rsidRDefault="009F4C2D" w:rsidP="009F4C2D">
      <w:pPr>
        <w:rPr>
          <w:color w:val="000000" w:themeColor="text1"/>
        </w:rPr>
      </w:pPr>
    </w:p>
    <w:p w14:paraId="2FA499C9" w14:textId="7647EE44" w:rsidR="009F4C2D" w:rsidRPr="00165B02" w:rsidRDefault="009F4C2D" w:rsidP="009F4C2D">
      <w:pPr>
        <w:ind w:firstLine="720"/>
        <w:rPr>
          <w:color w:val="000000" w:themeColor="text1"/>
        </w:rPr>
      </w:pPr>
      <w:r w:rsidRPr="00165B02">
        <w:rPr>
          <w:color w:val="000000" w:themeColor="text1"/>
        </w:rPr>
        <w:t xml:space="preserve">Attachments to the supporting statement are available in the public docket established for this rule related Information Collection Request (ICR) under the docket identification </w:t>
      </w:r>
      <w:r w:rsidRPr="00F544A6">
        <w:rPr>
          <w:color w:val="000000" w:themeColor="text1"/>
        </w:rPr>
        <w:t xml:space="preserve">number </w:t>
      </w:r>
      <w:hyperlink r:id="rId39" w:history="1">
        <w:r w:rsidRPr="009F4C2D">
          <w:rPr>
            <w:rStyle w:val="Hyperlink"/>
          </w:rPr>
          <w:t>EPA-HQ-OPPT-2017-0648</w:t>
        </w:r>
      </w:hyperlink>
      <w:r w:rsidRPr="00165B02">
        <w:rPr>
          <w:color w:val="000000" w:themeColor="text1"/>
        </w:rPr>
        <w:t xml:space="preserve">.  These attachments are available for online viewing at </w:t>
      </w:r>
      <w:hyperlink r:id="rId40" w:history="1">
        <w:r w:rsidRPr="000A421A">
          <w:rPr>
            <w:rStyle w:val="Hyperlink"/>
          </w:rPr>
          <w:t>http://www.regulations.gov</w:t>
        </w:r>
      </w:hyperlink>
      <w:r>
        <w:rPr>
          <w:color w:val="000000" w:themeColor="text1"/>
        </w:rPr>
        <w:t xml:space="preserve"> </w:t>
      </w:r>
      <w:r w:rsidRPr="00165B02">
        <w:rPr>
          <w:color w:val="000000" w:themeColor="text1"/>
        </w:rPr>
        <w:t xml:space="preserve">or otherwise accessed as described in the sections below.  </w:t>
      </w:r>
    </w:p>
    <w:p w14:paraId="58AC8697" w14:textId="77777777" w:rsidR="009F4C2D" w:rsidRPr="00165B02" w:rsidRDefault="009F4C2D" w:rsidP="009F4C2D">
      <w:pPr>
        <w:rPr>
          <w:color w:val="000000" w:themeColor="text1"/>
        </w:rPr>
      </w:pPr>
    </w:p>
    <w:tbl>
      <w:tblPr>
        <w:tblW w:w="9468" w:type="dxa"/>
        <w:tblLayout w:type="fixed"/>
        <w:tblLook w:val="01E0" w:firstRow="1" w:lastRow="1" w:firstColumn="1" w:lastColumn="1" w:noHBand="0" w:noVBand="0"/>
      </w:tblPr>
      <w:tblGrid>
        <w:gridCol w:w="1818"/>
        <w:gridCol w:w="7650"/>
      </w:tblGrid>
      <w:tr w:rsidR="009F4C2D" w:rsidRPr="00165B02" w14:paraId="5CC97D3A" w14:textId="77777777" w:rsidTr="006011E4">
        <w:tc>
          <w:tcPr>
            <w:tcW w:w="1818" w:type="dxa"/>
            <w:shd w:val="clear" w:color="auto" w:fill="auto"/>
          </w:tcPr>
          <w:p w14:paraId="6DB42F23" w14:textId="7A56BD91" w:rsidR="009F4C2D" w:rsidRPr="00165B02" w:rsidRDefault="009F4C2D" w:rsidP="006011E4">
            <w:pPr>
              <w:rPr>
                <w:b/>
                <w:bCs/>
                <w:color w:val="000000" w:themeColor="text1"/>
              </w:rPr>
            </w:pPr>
            <w:r w:rsidRPr="00165B02">
              <w:rPr>
                <w:b/>
                <w:bCs/>
                <w:color w:val="000000" w:themeColor="text1"/>
              </w:rPr>
              <w:t xml:space="preserve">Attachment </w:t>
            </w:r>
            <w:r w:rsidR="0014338C">
              <w:rPr>
                <w:b/>
                <w:bCs/>
                <w:color w:val="000000" w:themeColor="text1"/>
              </w:rPr>
              <w:t>1</w:t>
            </w:r>
            <w:r w:rsidRPr="00165B02">
              <w:rPr>
                <w:b/>
                <w:bCs/>
                <w:color w:val="000000" w:themeColor="text1"/>
              </w:rPr>
              <w:t>:</w:t>
            </w:r>
          </w:p>
        </w:tc>
        <w:tc>
          <w:tcPr>
            <w:tcW w:w="7650" w:type="dxa"/>
            <w:shd w:val="clear" w:color="auto" w:fill="auto"/>
          </w:tcPr>
          <w:p w14:paraId="74E87A10" w14:textId="77777777" w:rsidR="0014338C" w:rsidRDefault="0014338C" w:rsidP="006011E4">
            <w:pPr>
              <w:spacing w:after="80"/>
              <w:rPr>
                <w:color w:val="000000" w:themeColor="text1"/>
              </w:rPr>
            </w:pPr>
            <w:r w:rsidRPr="0014338C">
              <w:rPr>
                <w:b/>
              </w:rPr>
              <w:t>Toxic Substances Control Act, Section 8 - 15 USC 2607</w:t>
            </w:r>
            <w:r w:rsidR="009F4C2D" w:rsidRPr="00165B02">
              <w:rPr>
                <w:color w:val="000000" w:themeColor="text1"/>
              </w:rPr>
              <w:t xml:space="preserve">. </w:t>
            </w:r>
          </w:p>
          <w:p w14:paraId="34813B37" w14:textId="33188D70" w:rsidR="009F4C2D" w:rsidRPr="009936BF" w:rsidRDefault="009F4C2D" w:rsidP="006011E4">
            <w:pPr>
              <w:spacing w:after="80"/>
              <w:rPr>
                <w:b/>
                <w:bCs/>
                <w:color w:val="0070C0"/>
                <w:sz w:val="8"/>
                <w:szCs w:val="8"/>
              </w:rPr>
            </w:pPr>
            <w:r>
              <w:rPr>
                <w:color w:val="000000" w:themeColor="text1"/>
              </w:rPr>
              <w:t>A</w:t>
            </w:r>
            <w:r w:rsidRPr="00165B02">
              <w:rPr>
                <w:color w:val="000000" w:themeColor="text1"/>
              </w:rPr>
              <w:t xml:space="preserve">vailable online at </w:t>
            </w:r>
            <w:hyperlink r:id="rId41" w:history="1">
              <w:r w:rsidR="0014338C" w:rsidRPr="000A421A">
                <w:rPr>
                  <w:rStyle w:val="Hyperlink"/>
                </w:rPr>
                <w:t>https://www.epa.gov/laws-regulations/summary-toxic-substances-control-act</w:t>
              </w:r>
            </w:hyperlink>
            <w:r w:rsidR="0014338C">
              <w:rPr>
                <w:color w:val="000000" w:themeColor="text1"/>
              </w:rPr>
              <w:t>.</w:t>
            </w:r>
          </w:p>
        </w:tc>
      </w:tr>
      <w:tr w:rsidR="009F4C2D" w:rsidRPr="00165B02" w14:paraId="18EE2EEA" w14:textId="77777777" w:rsidTr="006011E4">
        <w:tc>
          <w:tcPr>
            <w:tcW w:w="1818" w:type="dxa"/>
            <w:shd w:val="clear" w:color="auto" w:fill="auto"/>
          </w:tcPr>
          <w:p w14:paraId="38D60884" w14:textId="2A87F271" w:rsidR="009F4C2D" w:rsidRPr="00165B02" w:rsidRDefault="009F4C2D" w:rsidP="006011E4">
            <w:pPr>
              <w:spacing w:before="80"/>
              <w:rPr>
                <w:b/>
                <w:bCs/>
                <w:color w:val="000000" w:themeColor="text1"/>
              </w:rPr>
            </w:pPr>
            <w:r>
              <w:rPr>
                <w:b/>
                <w:bCs/>
                <w:color w:val="000000" w:themeColor="text1"/>
              </w:rPr>
              <w:t xml:space="preserve">Attachment </w:t>
            </w:r>
            <w:r w:rsidR="0014338C">
              <w:rPr>
                <w:b/>
                <w:bCs/>
                <w:color w:val="000000" w:themeColor="text1"/>
              </w:rPr>
              <w:t>2</w:t>
            </w:r>
            <w:r>
              <w:rPr>
                <w:b/>
                <w:bCs/>
                <w:color w:val="000000" w:themeColor="text1"/>
              </w:rPr>
              <w:t>:</w:t>
            </w:r>
          </w:p>
        </w:tc>
        <w:tc>
          <w:tcPr>
            <w:tcW w:w="7650" w:type="dxa"/>
            <w:shd w:val="clear" w:color="auto" w:fill="auto"/>
          </w:tcPr>
          <w:p w14:paraId="346A0E2A" w14:textId="77777777" w:rsidR="0014338C" w:rsidRDefault="0014338C" w:rsidP="006011E4">
            <w:pPr>
              <w:spacing w:before="80" w:after="80"/>
              <w:rPr>
                <w:color w:val="000000" w:themeColor="text1"/>
              </w:rPr>
            </w:pPr>
            <w:r w:rsidRPr="0014338C">
              <w:rPr>
                <w:b/>
              </w:rPr>
              <w:t>TSCA Chemical Data Reporting Requirements - 40 CFR 711</w:t>
            </w:r>
            <w:r w:rsidR="009F4C2D" w:rsidRPr="00165B02">
              <w:rPr>
                <w:color w:val="000000" w:themeColor="text1"/>
              </w:rPr>
              <w:t xml:space="preserve">. </w:t>
            </w:r>
          </w:p>
          <w:p w14:paraId="685ED3BF" w14:textId="1BA25FA4" w:rsidR="009F4C2D" w:rsidRPr="00165B02" w:rsidRDefault="009F4C2D" w:rsidP="0014338C">
            <w:pPr>
              <w:spacing w:before="80" w:after="80"/>
              <w:rPr>
                <w:b/>
                <w:color w:val="000000" w:themeColor="text1"/>
              </w:rPr>
            </w:pPr>
            <w:r>
              <w:rPr>
                <w:color w:val="000000" w:themeColor="text1"/>
              </w:rPr>
              <w:t>A</w:t>
            </w:r>
            <w:r w:rsidRPr="00165B02">
              <w:rPr>
                <w:color w:val="000000" w:themeColor="text1"/>
              </w:rPr>
              <w:t xml:space="preserve">vailable online at </w:t>
            </w:r>
            <w:hyperlink r:id="rId42" w:history="1">
              <w:r w:rsidR="0014338C" w:rsidRPr="000A421A">
                <w:rPr>
                  <w:rStyle w:val="Hyperlink"/>
                </w:rPr>
                <w:t>https://www.ecfr.gov/cgi-bin/text-idx?SID=72e46806befb5032729dc4d209702813&amp;mc=true&amp;node=pt40.33.711&amp;rgn=div5</w:t>
              </w:r>
            </w:hyperlink>
            <w:r w:rsidR="0014338C">
              <w:rPr>
                <w:color w:val="000000" w:themeColor="text1"/>
              </w:rPr>
              <w:t xml:space="preserve">. </w:t>
            </w:r>
          </w:p>
        </w:tc>
      </w:tr>
      <w:tr w:rsidR="009F4C2D" w:rsidRPr="00165B02" w14:paraId="2A3C947A" w14:textId="77777777" w:rsidTr="00AA62CE">
        <w:trPr>
          <w:trHeight w:val="1044"/>
        </w:trPr>
        <w:tc>
          <w:tcPr>
            <w:tcW w:w="1818" w:type="dxa"/>
            <w:shd w:val="clear" w:color="auto" w:fill="auto"/>
          </w:tcPr>
          <w:p w14:paraId="048A8966" w14:textId="56099495" w:rsidR="009F4C2D" w:rsidRPr="00BE7F50" w:rsidRDefault="009F4C2D" w:rsidP="006011E4">
            <w:pPr>
              <w:spacing w:before="80"/>
              <w:rPr>
                <w:b/>
                <w:bCs/>
                <w:color w:val="000000" w:themeColor="text1"/>
              </w:rPr>
            </w:pPr>
            <w:r w:rsidRPr="00165B02">
              <w:rPr>
                <w:b/>
                <w:bCs/>
                <w:color w:val="000000" w:themeColor="text1"/>
              </w:rPr>
              <w:t xml:space="preserve">Attachment </w:t>
            </w:r>
            <w:r w:rsidR="0014338C">
              <w:rPr>
                <w:b/>
                <w:bCs/>
                <w:color w:val="000000" w:themeColor="text1"/>
              </w:rPr>
              <w:t>3</w:t>
            </w:r>
            <w:r w:rsidRPr="00165B02">
              <w:rPr>
                <w:b/>
                <w:bCs/>
                <w:color w:val="000000" w:themeColor="text1"/>
              </w:rPr>
              <w:t>:</w:t>
            </w:r>
          </w:p>
        </w:tc>
        <w:tc>
          <w:tcPr>
            <w:tcW w:w="7650" w:type="dxa"/>
            <w:shd w:val="clear" w:color="auto" w:fill="auto"/>
          </w:tcPr>
          <w:p w14:paraId="6FF1ADAE" w14:textId="3B716312" w:rsidR="009F4C2D" w:rsidRPr="00AA62CE" w:rsidRDefault="00621CBC" w:rsidP="006011E4">
            <w:pPr>
              <w:spacing w:before="80" w:after="80"/>
              <w:ind w:right="-108"/>
              <w:rPr>
                <w:b/>
                <w:color w:val="000000" w:themeColor="text1"/>
              </w:rPr>
            </w:pPr>
            <w:r>
              <w:rPr>
                <w:b/>
              </w:rPr>
              <w:t>CDR</w:t>
            </w:r>
            <w:r w:rsidRPr="00AA62CE">
              <w:rPr>
                <w:b/>
              </w:rPr>
              <w:t xml:space="preserve"> </w:t>
            </w:r>
            <w:r w:rsidR="00AA62CE" w:rsidRPr="00AA62CE">
              <w:rPr>
                <w:b/>
              </w:rPr>
              <w:t xml:space="preserve">Form U (EPA Form 7740-8) – </w:t>
            </w:r>
            <w:r w:rsidRPr="00621CBC">
              <w:rPr>
                <w:b/>
              </w:rPr>
              <w:t>R</w:t>
            </w:r>
            <w:r w:rsidRPr="00085647">
              <w:rPr>
                <w:rFonts w:eastAsia="Times New Roman"/>
                <w:b/>
              </w:rPr>
              <w:t>epresentative Form U</w:t>
            </w:r>
            <w:r>
              <w:rPr>
                <w:rFonts w:eastAsia="Times New Roman"/>
                <w:b/>
              </w:rPr>
              <w:t xml:space="preserve">, </w:t>
            </w:r>
            <w:r w:rsidRPr="00085647">
              <w:rPr>
                <w:rFonts w:eastAsia="Times New Roman"/>
                <w:b/>
              </w:rPr>
              <w:t>excluding substantiation questions</w:t>
            </w:r>
            <w:r w:rsidR="009F4C2D" w:rsidRPr="00AA62CE">
              <w:rPr>
                <w:b/>
                <w:color w:val="000000" w:themeColor="text1"/>
              </w:rPr>
              <w:t xml:space="preserve"> </w:t>
            </w:r>
          </w:p>
          <w:p w14:paraId="51C5BEFB" w14:textId="7182C9F6" w:rsidR="00AA62CE" w:rsidRPr="00932812" w:rsidRDefault="00AA62CE" w:rsidP="006011E4">
            <w:pPr>
              <w:spacing w:before="80" w:after="80"/>
              <w:ind w:right="-108"/>
            </w:pPr>
            <w:r>
              <w:rPr>
                <w:color w:val="000000" w:themeColor="text1"/>
              </w:rPr>
              <w:t>In the docket.</w:t>
            </w:r>
          </w:p>
        </w:tc>
      </w:tr>
      <w:tr w:rsidR="00621CBC" w:rsidRPr="00165B02" w14:paraId="79BA624E" w14:textId="77777777" w:rsidTr="006011E4">
        <w:tc>
          <w:tcPr>
            <w:tcW w:w="1818" w:type="dxa"/>
            <w:shd w:val="clear" w:color="auto" w:fill="auto"/>
          </w:tcPr>
          <w:p w14:paraId="48715E13" w14:textId="18420E29" w:rsidR="00621CBC" w:rsidRDefault="00621CBC" w:rsidP="006011E4">
            <w:pPr>
              <w:spacing w:before="80"/>
              <w:rPr>
                <w:b/>
                <w:color w:val="000000" w:themeColor="text1"/>
              </w:rPr>
            </w:pPr>
            <w:r>
              <w:rPr>
                <w:b/>
                <w:color w:val="000000" w:themeColor="text1"/>
              </w:rPr>
              <w:t>Attachment 4:</w:t>
            </w:r>
          </w:p>
        </w:tc>
        <w:tc>
          <w:tcPr>
            <w:tcW w:w="7650" w:type="dxa"/>
            <w:shd w:val="clear" w:color="auto" w:fill="auto"/>
          </w:tcPr>
          <w:p w14:paraId="4BABCEBA" w14:textId="77777777" w:rsidR="00621CBC" w:rsidRDefault="00621CBC" w:rsidP="006011E4">
            <w:pPr>
              <w:spacing w:before="80" w:after="80"/>
              <w:rPr>
                <w:b/>
              </w:rPr>
            </w:pPr>
            <w:r>
              <w:rPr>
                <w:b/>
              </w:rPr>
              <w:t>CDR Form U Substantiation Questions – Screen Shots</w:t>
            </w:r>
          </w:p>
          <w:p w14:paraId="4032D8F7" w14:textId="7728F3A4" w:rsidR="00621CBC" w:rsidRPr="00085647" w:rsidRDefault="00621CBC" w:rsidP="006011E4">
            <w:pPr>
              <w:spacing w:before="80" w:after="80"/>
            </w:pPr>
            <w:r>
              <w:t>In the docket.</w:t>
            </w:r>
          </w:p>
        </w:tc>
      </w:tr>
      <w:tr w:rsidR="00621CBC" w:rsidRPr="00165B02" w14:paraId="47545F57" w14:textId="77777777" w:rsidTr="006011E4">
        <w:tc>
          <w:tcPr>
            <w:tcW w:w="1818" w:type="dxa"/>
            <w:shd w:val="clear" w:color="auto" w:fill="auto"/>
          </w:tcPr>
          <w:p w14:paraId="57A22C72" w14:textId="7F68216B" w:rsidR="00621CBC" w:rsidRDefault="00621CBC" w:rsidP="006011E4">
            <w:pPr>
              <w:spacing w:before="80"/>
              <w:rPr>
                <w:b/>
                <w:color w:val="000000" w:themeColor="text1"/>
              </w:rPr>
            </w:pPr>
            <w:r>
              <w:rPr>
                <w:b/>
                <w:color w:val="000000" w:themeColor="text1"/>
              </w:rPr>
              <w:t>Attachment 5:</w:t>
            </w:r>
          </w:p>
        </w:tc>
        <w:tc>
          <w:tcPr>
            <w:tcW w:w="7650" w:type="dxa"/>
            <w:shd w:val="clear" w:color="auto" w:fill="auto"/>
          </w:tcPr>
          <w:p w14:paraId="315466D1" w14:textId="77777777" w:rsidR="00621CBC" w:rsidRDefault="00621CBC" w:rsidP="006011E4">
            <w:pPr>
              <w:spacing w:before="80" w:after="80"/>
              <w:rPr>
                <w:b/>
              </w:rPr>
            </w:pPr>
            <w:r>
              <w:rPr>
                <w:b/>
              </w:rPr>
              <w:t>e-CDRweb User Guide – Primary Authorized Official</w:t>
            </w:r>
          </w:p>
          <w:p w14:paraId="03900675" w14:textId="7924268D" w:rsidR="00621CBC" w:rsidRPr="00085647" w:rsidRDefault="00621CBC" w:rsidP="006011E4">
            <w:pPr>
              <w:spacing w:before="80" w:after="80"/>
            </w:pPr>
            <w:r w:rsidRPr="00085647">
              <w:t>In the docket.</w:t>
            </w:r>
          </w:p>
        </w:tc>
      </w:tr>
      <w:tr w:rsidR="00621CBC" w:rsidRPr="00165B02" w14:paraId="772BE8B5" w14:textId="77777777" w:rsidTr="006011E4">
        <w:tc>
          <w:tcPr>
            <w:tcW w:w="1818" w:type="dxa"/>
            <w:shd w:val="clear" w:color="auto" w:fill="auto"/>
          </w:tcPr>
          <w:p w14:paraId="0ADA6639" w14:textId="09464FF6" w:rsidR="00621CBC" w:rsidRDefault="00621CBC" w:rsidP="00621CBC">
            <w:pPr>
              <w:spacing w:before="80"/>
              <w:rPr>
                <w:b/>
                <w:color w:val="000000" w:themeColor="text1"/>
              </w:rPr>
            </w:pPr>
            <w:r>
              <w:rPr>
                <w:b/>
                <w:color w:val="000000" w:themeColor="text1"/>
              </w:rPr>
              <w:t>Attachment 6:</w:t>
            </w:r>
          </w:p>
        </w:tc>
        <w:tc>
          <w:tcPr>
            <w:tcW w:w="7650" w:type="dxa"/>
            <w:shd w:val="clear" w:color="auto" w:fill="auto"/>
          </w:tcPr>
          <w:p w14:paraId="4C1CCB52" w14:textId="75259572" w:rsidR="00621CBC" w:rsidRDefault="00621CBC" w:rsidP="00621CBC">
            <w:pPr>
              <w:spacing w:before="80" w:after="80"/>
              <w:rPr>
                <w:b/>
              </w:rPr>
            </w:pPr>
            <w:r>
              <w:rPr>
                <w:b/>
              </w:rPr>
              <w:t>e-CDRweb User Guide – Primary Support</w:t>
            </w:r>
          </w:p>
          <w:p w14:paraId="77905579" w14:textId="07B0D585" w:rsidR="00621CBC" w:rsidRPr="00AA62CE" w:rsidRDefault="00621CBC" w:rsidP="00621CBC">
            <w:pPr>
              <w:spacing w:before="80" w:after="80"/>
              <w:rPr>
                <w:b/>
              </w:rPr>
            </w:pPr>
            <w:r w:rsidRPr="00910663">
              <w:t>In the docket.</w:t>
            </w:r>
          </w:p>
        </w:tc>
      </w:tr>
      <w:tr w:rsidR="00621CBC" w:rsidRPr="00165B02" w14:paraId="63A16F79" w14:textId="77777777" w:rsidTr="006011E4">
        <w:tc>
          <w:tcPr>
            <w:tcW w:w="1818" w:type="dxa"/>
            <w:shd w:val="clear" w:color="auto" w:fill="auto"/>
          </w:tcPr>
          <w:p w14:paraId="6A8B5B5E" w14:textId="6A1BF2E3" w:rsidR="00621CBC" w:rsidRDefault="00621CBC" w:rsidP="00621CBC">
            <w:pPr>
              <w:spacing w:before="80"/>
              <w:rPr>
                <w:b/>
                <w:color w:val="000000" w:themeColor="text1"/>
              </w:rPr>
            </w:pPr>
            <w:r>
              <w:rPr>
                <w:b/>
                <w:color w:val="000000" w:themeColor="text1"/>
              </w:rPr>
              <w:t>Attachment 7:</w:t>
            </w:r>
          </w:p>
        </w:tc>
        <w:tc>
          <w:tcPr>
            <w:tcW w:w="7650" w:type="dxa"/>
            <w:shd w:val="clear" w:color="auto" w:fill="auto"/>
          </w:tcPr>
          <w:p w14:paraId="29DB4374" w14:textId="739F6BE1" w:rsidR="00621CBC" w:rsidRDefault="00621CBC" w:rsidP="00621CBC">
            <w:pPr>
              <w:spacing w:before="80" w:after="80"/>
              <w:rPr>
                <w:b/>
              </w:rPr>
            </w:pPr>
            <w:r>
              <w:rPr>
                <w:b/>
              </w:rPr>
              <w:t>e-CDRweb User Guide – Secondary Authorized Official</w:t>
            </w:r>
          </w:p>
          <w:p w14:paraId="7F3D0979" w14:textId="5BB77FA6" w:rsidR="00621CBC" w:rsidRPr="00AA62CE" w:rsidRDefault="00621CBC" w:rsidP="00621CBC">
            <w:pPr>
              <w:spacing w:before="80" w:after="80"/>
              <w:rPr>
                <w:b/>
              </w:rPr>
            </w:pPr>
            <w:r w:rsidRPr="00910663">
              <w:t>In the docket.</w:t>
            </w:r>
          </w:p>
        </w:tc>
      </w:tr>
      <w:tr w:rsidR="00621CBC" w:rsidRPr="00165B02" w14:paraId="1E5AE1B1" w14:textId="77777777" w:rsidTr="006011E4">
        <w:tc>
          <w:tcPr>
            <w:tcW w:w="1818" w:type="dxa"/>
            <w:shd w:val="clear" w:color="auto" w:fill="auto"/>
          </w:tcPr>
          <w:p w14:paraId="433E735C" w14:textId="438D67A4" w:rsidR="00621CBC" w:rsidRDefault="00621CBC" w:rsidP="00621CBC">
            <w:pPr>
              <w:spacing w:before="80"/>
              <w:rPr>
                <w:b/>
                <w:color w:val="000000" w:themeColor="text1"/>
              </w:rPr>
            </w:pPr>
            <w:r>
              <w:rPr>
                <w:b/>
                <w:color w:val="000000" w:themeColor="text1"/>
              </w:rPr>
              <w:t>Attachment 8:</w:t>
            </w:r>
          </w:p>
        </w:tc>
        <w:tc>
          <w:tcPr>
            <w:tcW w:w="7650" w:type="dxa"/>
            <w:shd w:val="clear" w:color="auto" w:fill="auto"/>
          </w:tcPr>
          <w:p w14:paraId="3AB2E0FB" w14:textId="10D6BBB1" w:rsidR="00621CBC" w:rsidRDefault="00621CBC" w:rsidP="00621CBC">
            <w:pPr>
              <w:spacing w:before="80" w:after="80"/>
              <w:rPr>
                <w:b/>
              </w:rPr>
            </w:pPr>
            <w:r>
              <w:rPr>
                <w:b/>
              </w:rPr>
              <w:t xml:space="preserve">e-CDRweb User Guide – Secondary Support </w:t>
            </w:r>
          </w:p>
          <w:p w14:paraId="4DDC7AAB" w14:textId="7B6DDCA4" w:rsidR="00621CBC" w:rsidRPr="00AA62CE" w:rsidRDefault="00621CBC" w:rsidP="00621CBC">
            <w:pPr>
              <w:spacing w:before="80" w:after="80"/>
              <w:rPr>
                <w:b/>
              </w:rPr>
            </w:pPr>
            <w:r w:rsidRPr="00910663">
              <w:t>In the docket.</w:t>
            </w:r>
          </w:p>
        </w:tc>
      </w:tr>
      <w:tr w:rsidR="00621CBC" w:rsidRPr="00165B02" w14:paraId="051A0E7F" w14:textId="77777777" w:rsidTr="006011E4">
        <w:tc>
          <w:tcPr>
            <w:tcW w:w="1818" w:type="dxa"/>
            <w:shd w:val="clear" w:color="auto" w:fill="auto"/>
          </w:tcPr>
          <w:p w14:paraId="01718423" w14:textId="39FB50B1" w:rsidR="00621CBC" w:rsidRDefault="00621CBC" w:rsidP="00621CBC">
            <w:pPr>
              <w:spacing w:before="80"/>
              <w:rPr>
                <w:b/>
                <w:color w:val="000000" w:themeColor="text1"/>
              </w:rPr>
            </w:pPr>
            <w:r>
              <w:rPr>
                <w:b/>
                <w:color w:val="000000" w:themeColor="text1"/>
              </w:rPr>
              <w:t>Attachment 9:</w:t>
            </w:r>
          </w:p>
        </w:tc>
        <w:tc>
          <w:tcPr>
            <w:tcW w:w="7650" w:type="dxa"/>
            <w:shd w:val="clear" w:color="auto" w:fill="auto"/>
          </w:tcPr>
          <w:p w14:paraId="6CDD00D3" w14:textId="3C780401" w:rsidR="00621CBC" w:rsidRDefault="00621CBC" w:rsidP="00621CBC">
            <w:pPr>
              <w:spacing w:before="80" w:after="80"/>
              <w:rPr>
                <w:b/>
              </w:rPr>
            </w:pPr>
            <w:r>
              <w:rPr>
                <w:b/>
              </w:rPr>
              <w:t>Instructions for Reporting: 2016 TSCA Chemical Data Reporting</w:t>
            </w:r>
          </w:p>
          <w:p w14:paraId="7AE6D8DA" w14:textId="75759676" w:rsidR="00621CBC" w:rsidRPr="00AA62CE" w:rsidRDefault="00621CBC" w:rsidP="00621CBC">
            <w:pPr>
              <w:spacing w:before="80" w:after="80"/>
              <w:rPr>
                <w:b/>
              </w:rPr>
            </w:pPr>
            <w:r w:rsidRPr="00910663">
              <w:t>In the docket.</w:t>
            </w:r>
          </w:p>
        </w:tc>
      </w:tr>
      <w:tr w:rsidR="00621CBC" w:rsidRPr="00165B02" w14:paraId="02647DE3" w14:textId="77777777" w:rsidTr="006011E4">
        <w:tc>
          <w:tcPr>
            <w:tcW w:w="1818" w:type="dxa"/>
            <w:shd w:val="clear" w:color="auto" w:fill="auto"/>
          </w:tcPr>
          <w:p w14:paraId="0095AEC4" w14:textId="07F26F87" w:rsidR="00621CBC" w:rsidRDefault="00621CBC" w:rsidP="00621CBC">
            <w:pPr>
              <w:spacing w:before="80"/>
              <w:rPr>
                <w:b/>
                <w:color w:val="000000" w:themeColor="text1"/>
              </w:rPr>
            </w:pPr>
            <w:r>
              <w:rPr>
                <w:b/>
                <w:color w:val="000000" w:themeColor="text1"/>
              </w:rPr>
              <w:t>Attachment 10</w:t>
            </w:r>
            <w:r w:rsidRPr="00165B02">
              <w:rPr>
                <w:b/>
                <w:color w:val="000000" w:themeColor="text1"/>
              </w:rPr>
              <w:t>:</w:t>
            </w:r>
          </w:p>
        </w:tc>
        <w:tc>
          <w:tcPr>
            <w:tcW w:w="7650" w:type="dxa"/>
            <w:shd w:val="clear" w:color="auto" w:fill="auto"/>
          </w:tcPr>
          <w:p w14:paraId="58805202" w14:textId="77777777" w:rsidR="00621CBC" w:rsidRPr="00AA62CE" w:rsidRDefault="00621CBC" w:rsidP="00621CBC">
            <w:pPr>
              <w:spacing w:before="80" w:after="80"/>
              <w:rPr>
                <w:b/>
              </w:rPr>
            </w:pPr>
            <w:r w:rsidRPr="00AA62CE">
              <w:rPr>
                <w:b/>
              </w:rPr>
              <w:t>Public Comments Received and EPA Response to Comments.</w:t>
            </w:r>
          </w:p>
          <w:p w14:paraId="095E5160" w14:textId="03786FD0" w:rsidR="00621CBC" w:rsidRPr="00165B02" w:rsidRDefault="00621CBC" w:rsidP="00621CBC">
            <w:pPr>
              <w:spacing w:before="80" w:after="80"/>
              <w:rPr>
                <w:b/>
                <w:color w:val="000000" w:themeColor="text1"/>
              </w:rPr>
            </w:pPr>
            <w:r>
              <w:rPr>
                <w:color w:val="000000" w:themeColor="text1"/>
              </w:rPr>
              <w:t>In the docket.</w:t>
            </w:r>
          </w:p>
        </w:tc>
      </w:tr>
      <w:tr w:rsidR="00621CBC" w:rsidRPr="00165B02" w14:paraId="1CAF082C" w14:textId="77777777" w:rsidTr="006011E4">
        <w:tc>
          <w:tcPr>
            <w:tcW w:w="1818" w:type="dxa"/>
            <w:shd w:val="clear" w:color="auto" w:fill="auto"/>
          </w:tcPr>
          <w:p w14:paraId="68ED3441" w14:textId="7AAD342E" w:rsidR="00621CBC" w:rsidRDefault="00621CBC" w:rsidP="00621CBC">
            <w:pPr>
              <w:spacing w:before="80"/>
              <w:rPr>
                <w:b/>
                <w:color w:val="000000" w:themeColor="text1"/>
              </w:rPr>
            </w:pPr>
            <w:r>
              <w:rPr>
                <w:b/>
                <w:color w:val="000000" w:themeColor="text1"/>
              </w:rPr>
              <w:t>Attachment 11</w:t>
            </w:r>
            <w:r w:rsidRPr="00165B02">
              <w:rPr>
                <w:b/>
                <w:color w:val="000000" w:themeColor="text1"/>
              </w:rPr>
              <w:t>:</w:t>
            </w:r>
          </w:p>
        </w:tc>
        <w:tc>
          <w:tcPr>
            <w:tcW w:w="7650" w:type="dxa"/>
            <w:shd w:val="clear" w:color="auto" w:fill="auto"/>
          </w:tcPr>
          <w:p w14:paraId="692023FC" w14:textId="77777777" w:rsidR="00621CBC" w:rsidRDefault="00621CBC" w:rsidP="00621CBC">
            <w:pPr>
              <w:spacing w:before="80" w:after="80"/>
              <w:rPr>
                <w:b/>
              </w:rPr>
            </w:pPr>
            <w:r w:rsidRPr="00AA62CE">
              <w:rPr>
                <w:b/>
                <w:color w:val="000000" w:themeColor="text1"/>
              </w:rPr>
              <w:t xml:space="preserve">Consultations </w:t>
            </w:r>
            <w:r w:rsidRPr="00AA62CE">
              <w:rPr>
                <w:b/>
              </w:rPr>
              <w:t>Message Sent by EPA to Potential Respondents</w:t>
            </w:r>
            <w:r>
              <w:rPr>
                <w:b/>
              </w:rPr>
              <w:t>.</w:t>
            </w:r>
          </w:p>
          <w:p w14:paraId="6EFA8AE3" w14:textId="11116852" w:rsidR="00621CBC" w:rsidRPr="00AA62CE" w:rsidRDefault="00621CBC" w:rsidP="00621CBC">
            <w:pPr>
              <w:spacing w:before="80" w:after="80"/>
              <w:rPr>
                <w:b/>
              </w:rPr>
            </w:pPr>
            <w:r>
              <w:rPr>
                <w:color w:val="000000" w:themeColor="text1"/>
              </w:rPr>
              <w:t>In the docket.</w:t>
            </w:r>
          </w:p>
        </w:tc>
      </w:tr>
    </w:tbl>
    <w:p w14:paraId="47E76491" w14:textId="37B5AEAA" w:rsidR="009F4C2D" w:rsidRDefault="009F4C2D" w:rsidP="009F4C2D">
      <w:pPr>
        <w:rPr>
          <w:color w:val="000000" w:themeColor="text1"/>
        </w:rPr>
      </w:pPr>
    </w:p>
    <w:p w14:paraId="4FFA816E" w14:textId="77777777" w:rsidR="00AA62CE" w:rsidRDefault="00AA62CE" w:rsidP="009F4C2D">
      <w:pPr>
        <w:rPr>
          <w:color w:val="000000" w:themeColor="text1"/>
        </w:rPr>
      </w:pPr>
    </w:p>
    <w:p w14:paraId="116953F1" w14:textId="77777777" w:rsidR="00A56388" w:rsidRDefault="00A56388">
      <w:pPr>
        <w:spacing w:after="200" w:line="276" w:lineRule="auto"/>
        <w:rPr>
          <w:b/>
        </w:rPr>
      </w:pPr>
      <w:r>
        <w:rPr>
          <w:b/>
        </w:rPr>
        <w:br w:type="page"/>
      </w:r>
    </w:p>
    <w:p w14:paraId="0B885B21" w14:textId="1FEAE53F" w:rsidR="00AA62CE" w:rsidRPr="00165B02" w:rsidRDefault="00AA62CE" w:rsidP="00AA62CE">
      <w:pPr>
        <w:rPr>
          <w:color w:val="000000" w:themeColor="text1"/>
        </w:rPr>
      </w:pPr>
      <w:r>
        <w:rPr>
          <w:b/>
        </w:rPr>
        <w:t>8</w:t>
      </w:r>
      <w:r w:rsidRPr="00650FBF">
        <w:rPr>
          <w:b/>
        </w:rPr>
        <w:t>.</w:t>
      </w:r>
      <w:r w:rsidRPr="00650FBF">
        <w:rPr>
          <w:b/>
        </w:rPr>
        <w:tab/>
      </w:r>
      <w:r>
        <w:rPr>
          <w:b/>
        </w:rPr>
        <w:t>REFERENCES</w:t>
      </w:r>
    </w:p>
    <w:p w14:paraId="607AB61C" w14:textId="77777777" w:rsidR="00F06BA6" w:rsidRDefault="00F06BA6" w:rsidP="002C1543">
      <w:pPr>
        <w:rPr>
          <w:b/>
          <w:highlight w:val="yellow"/>
        </w:rPr>
      </w:pPr>
    </w:p>
    <w:p w14:paraId="5EA9437C" w14:textId="77777777" w:rsidR="003E5AB2" w:rsidRPr="00272FB4" w:rsidRDefault="003E5AB2" w:rsidP="002C1543">
      <w:pPr>
        <w:pStyle w:val="Bibliography"/>
        <w:ind w:left="360" w:hanging="360"/>
      </w:pPr>
      <w:r w:rsidRPr="00272FB4">
        <w:t>Abt Associates. 2016. Estimated Burden Associated with Searching for Chemicals on the TSCA Inventory List.</w:t>
      </w:r>
    </w:p>
    <w:p w14:paraId="1E8EDACB" w14:textId="77777777" w:rsidR="003E5AB2" w:rsidRPr="008A7FB7" w:rsidRDefault="003E5AB2" w:rsidP="000F6439">
      <w:pPr>
        <w:ind w:left="360"/>
        <w:rPr>
          <w:b/>
          <w:highlight w:val="yellow"/>
        </w:rPr>
      </w:pPr>
    </w:p>
    <w:p w14:paraId="696C630D" w14:textId="77777777" w:rsidR="00F06BA6" w:rsidRPr="002C1543" w:rsidRDefault="00F06BA6" w:rsidP="003E5AB2">
      <w:pPr>
        <w:spacing w:after="240"/>
        <w:ind w:left="360" w:hanging="360"/>
        <w:rPr>
          <w:i/>
          <w:iCs/>
        </w:rPr>
      </w:pPr>
      <w:r w:rsidRPr="002C1543">
        <w:t>BLS 201</w:t>
      </w:r>
      <w:r w:rsidR="00846563">
        <w:t>7</w:t>
      </w:r>
      <w:r w:rsidR="008E777F">
        <w:t>a</w:t>
      </w:r>
      <w:r w:rsidRPr="002C1543">
        <w:t xml:space="preserve">. U.S. Bureau of Labor Statistics. </w:t>
      </w:r>
      <w:r w:rsidRPr="002C1543">
        <w:rPr>
          <w:i/>
          <w:iCs/>
        </w:rPr>
        <w:t xml:space="preserve">Employer Costs for Employee Compensation Supplementary Tables: Historical Data December 2006 – </w:t>
      </w:r>
      <w:r w:rsidR="00846563">
        <w:rPr>
          <w:i/>
          <w:iCs/>
        </w:rPr>
        <w:t>December</w:t>
      </w:r>
      <w:r w:rsidRPr="002C1543">
        <w:rPr>
          <w:i/>
          <w:iCs/>
        </w:rPr>
        <w:t xml:space="preserve"> 201</w:t>
      </w:r>
      <w:r w:rsidR="00846563">
        <w:rPr>
          <w:i/>
          <w:iCs/>
        </w:rPr>
        <w:t>6</w:t>
      </w:r>
      <w:r w:rsidRPr="002C1543">
        <w:rPr>
          <w:i/>
          <w:iCs/>
        </w:rPr>
        <w:t xml:space="preserve">. </w:t>
      </w:r>
      <w:r w:rsidRPr="002C1543">
        <w:rPr>
          <w:iCs/>
        </w:rPr>
        <w:t xml:space="preserve"> </w:t>
      </w:r>
      <w:r w:rsidR="00846563" w:rsidRPr="00846563">
        <w:rPr>
          <w:iCs/>
        </w:rPr>
        <w:t>https://www.bls.gov/ncs/ect/</w:t>
      </w:r>
      <w:r w:rsidR="00846563">
        <w:rPr>
          <w:iCs/>
        </w:rPr>
        <w:t>.</w:t>
      </w:r>
      <w:bookmarkStart w:id="58" w:name="OLE_LINK6"/>
      <w:bookmarkStart w:id="59" w:name="OLE_LINK7"/>
    </w:p>
    <w:p w14:paraId="7E20EA99" w14:textId="77777777" w:rsidR="00F06BA6" w:rsidRDefault="00F06BA6" w:rsidP="003E5AB2">
      <w:pPr>
        <w:spacing w:after="240"/>
        <w:ind w:left="450" w:hanging="450"/>
      </w:pPr>
      <w:r w:rsidRPr="002C1543">
        <w:rPr>
          <w:iCs/>
        </w:rPr>
        <w:t>BLS, 201</w:t>
      </w:r>
      <w:r w:rsidR="008E777F">
        <w:rPr>
          <w:iCs/>
        </w:rPr>
        <w:t>7</w:t>
      </w:r>
      <w:r w:rsidRPr="002C1543">
        <w:rPr>
          <w:iCs/>
        </w:rPr>
        <w:t>b. U.S. Bureau of Labor Statistics.</w:t>
      </w:r>
      <w:r w:rsidRPr="002C1543">
        <w:rPr>
          <w:i/>
          <w:iCs/>
        </w:rPr>
        <w:t xml:space="preserve"> </w:t>
      </w:r>
      <w:r w:rsidR="008E777F" w:rsidRPr="008E777F">
        <w:rPr>
          <w:i/>
          <w:iCs/>
        </w:rPr>
        <w:t xml:space="preserve">Employment Cost Index Historical Listing – Volume III National Compensation Survey. July 2017.  </w:t>
      </w:r>
      <w:hyperlink r:id="rId43" w:history="1">
        <w:r w:rsidR="00F55464" w:rsidRPr="00830749">
          <w:rPr>
            <w:rStyle w:val="Hyperlink"/>
          </w:rPr>
          <w:t>www.bls.gov/ect</w:t>
        </w:r>
      </w:hyperlink>
      <w:r w:rsidRPr="002C1543">
        <w:t>.</w:t>
      </w:r>
    </w:p>
    <w:p w14:paraId="4FD4D99B" w14:textId="77777777" w:rsidR="00F55464" w:rsidRPr="007807FD" w:rsidRDefault="00F55464" w:rsidP="00F55464">
      <w:pPr>
        <w:pStyle w:val="Reference"/>
        <w:spacing w:after="240"/>
        <w:rPr>
          <w:sz w:val="24"/>
        </w:rPr>
      </w:pPr>
      <w:r w:rsidRPr="002C1543">
        <w:rPr>
          <w:sz w:val="24"/>
        </w:rPr>
        <w:t>OPM, 201</w:t>
      </w:r>
      <w:r>
        <w:rPr>
          <w:sz w:val="24"/>
        </w:rPr>
        <w:t>7</w:t>
      </w:r>
      <w:r w:rsidRPr="002C1543">
        <w:rPr>
          <w:sz w:val="24"/>
        </w:rPr>
        <w:t xml:space="preserve">. Office of Personnel Management, </w:t>
      </w:r>
      <w:r w:rsidRPr="002C1543">
        <w:rPr>
          <w:i/>
          <w:sz w:val="24"/>
        </w:rPr>
        <w:t>Salary Table 201</w:t>
      </w:r>
      <w:r>
        <w:rPr>
          <w:i/>
          <w:sz w:val="24"/>
        </w:rPr>
        <w:t>6</w:t>
      </w:r>
      <w:r w:rsidRPr="002C1543">
        <w:rPr>
          <w:i/>
          <w:sz w:val="24"/>
        </w:rPr>
        <w:t xml:space="preserve">-DCB, Washington Baltimore-Northern Virginia, DC-MD-PA-VA-WV. </w:t>
      </w:r>
      <w:r w:rsidRPr="002C1543">
        <w:rPr>
          <w:sz w:val="24"/>
        </w:rPr>
        <w:t xml:space="preserve">Retrieved </w:t>
      </w:r>
      <w:r>
        <w:rPr>
          <w:sz w:val="24"/>
        </w:rPr>
        <w:t>November 14</w:t>
      </w:r>
      <w:r w:rsidRPr="002C1543">
        <w:rPr>
          <w:sz w:val="24"/>
        </w:rPr>
        <w:t xml:space="preserve">, 2017 from Pay &amp; Leave: Salaries &amp; Wages: </w:t>
      </w:r>
      <w:r w:rsidRPr="003B435E">
        <w:rPr>
          <w:sz w:val="24"/>
        </w:rPr>
        <w:t>https://www.opm.gov/policy-data-oversight/pay-leave/salaries-wages/salary-tables/pdf/2016/DCB_h.pdf</w:t>
      </w:r>
      <w:r w:rsidRPr="002C1543">
        <w:rPr>
          <w:sz w:val="24"/>
        </w:rPr>
        <w:t>.</w:t>
      </w:r>
    </w:p>
    <w:bookmarkEnd w:id="58"/>
    <w:bookmarkEnd w:id="59"/>
    <w:p w14:paraId="33ACEA0C" w14:textId="77777777" w:rsidR="00F06BA6" w:rsidRPr="002C1543" w:rsidRDefault="00F55464" w:rsidP="00B364DE">
      <w:pPr>
        <w:pStyle w:val="Reference"/>
        <w:spacing w:after="240"/>
        <w:rPr>
          <w:i/>
          <w:sz w:val="24"/>
        </w:rPr>
      </w:pPr>
      <w:r>
        <w:rPr>
          <w:sz w:val="24"/>
        </w:rPr>
        <w:t xml:space="preserve">US </w:t>
      </w:r>
      <w:r w:rsidR="00F06BA6" w:rsidRPr="002C1543">
        <w:rPr>
          <w:sz w:val="24"/>
        </w:rPr>
        <w:t xml:space="preserve">EPA, 2002a. U.S. EPA, Office of Pollution Prevention and Toxics, Economic and Policy Analysis Branch. </w:t>
      </w:r>
      <w:r w:rsidR="00F06BA6" w:rsidRPr="002C1543">
        <w:rPr>
          <w:i/>
          <w:sz w:val="24"/>
        </w:rPr>
        <w:t>Economic Analysis for the Amended Inventory Update Rule: Final Report (EPA-HQ-OPPT-2002-0054-0260).</w:t>
      </w:r>
      <w:r w:rsidR="00F06BA6" w:rsidRPr="002C1543">
        <w:rPr>
          <w:sz w:val="24"/>
        </w:rPr>
        <w:t xml:space="preserve"> August 2002</w:t>
      </w:r>
      <w:r w:rsidR="00F06BA6" w:rsidRPr="002C1543">
        <w:rPr>
          <w:i/>
          <w:sz w:val="24"/>
        </w:rPr>
        <w:t>.</w:t>
      </w:r>
    </w:p>
    <w:p w14:paraId="0B9BA6EE" w14:textId="77777777" w:rsidR="00F06BA6" w:rsidRPr="002C1543" w:rsidRDefault="00F55464" w:rsidP="00F30F53">
      <w:pPr>
        <w:pStyle w:val="Reference"/>
        <w:spacing w:after="240"/>
        <w:rPr>
          <w:sz w:val="24"/>
        </w:rPr>
      </w:pPr>
      <w:r>
        <w:rPr>
          <w:sz w:val="24"/>
        </w:rPr>
        <w:t xml:space="preserve">US </w:t>
      </w:r>
      <w:r w:rsidR="00F06BA6" w:rsidRPr="002C1543">
        <w:rPr>
          <w:sz w:val="24"/>
        </w:rPr>
        <w:t xml:space="preserve">EPA, 2002b. U.S. EPA, Office of Pollution Prevention and Toxics, Economic and Policy Analysis Branch. </w:t>
      </w:r>
      <w:r w:rsidR="00F06BA6" w:rsidRPr="002C1543">
        <w:rPr>
          <w:i/>
          <w:spacing w:val="-2"/>
          <w:sz w:val="24"/>
        </w:rPr>
        <w:t>Wage Rates for Economic Analysis of the Toxics Release Inventory Program.</w:t>
      </w:r>
      <w:r w:rsidR="00F06BA6" w:rsidRPr="002C1543">
        <w:rPr>
          <w:i/>
          <w:sz w:val="24"/>
        </w:rPr>
        <w:t xml:space="preserve"> </w:t>
      </w:r>
      <w:r w:rsidR="00F06BA6" w:rsidRPr="002C1543">
        <w:rPr>
          <w:sz w:val="24"/>
        </w:rPr>
        <w:t>June 10, 2002.</w:t>
      </w:r>
    </w:p>
    <w:p w14:paraId="6D5FA065" w14:textId="77777777" w:rsidR="00F06BA6" w:rsidRPr="002C1543" w:rsidRDefault="00F55464" w:rsidP="00F30F53">
      <w:pPr>
        <w:pStyle w:val="Reference"/>
        <w:spacing w:after="240"/>
        <w:rPr>
          <w:i/>
          <w:sz w:val="24"/>
        </w:rPr>
      </w:pPr>
      <w:r>
        <w:rPr>
          <w:sz w:val="24"/>
        </w:rPr>
        <w:t xml:space="preserve">US </w:t>
      </w:r>
      <w:r w:rsidR="00F06BA6" w:rsidRPr="002C1543">
        <w:rPr>
          <w:sz w:val="24"/>
        </w:rPr>
        <w:t xml:space="preserve">EPA, 2005. U.S. EPA, Office of Pollution Prevention and Toxics, Economic and Policy Analysis Branch. </w:t>
      </w:r>
      <w:r w:rsidR="00F06BA6" w:rsidRPr="002C1543">
        <w:rPr>
          <w:i/>
          <w:sz w:val="24"/>
        </w:rPr>
        <w:t>Economic Analysis of IUR Modifications Final Rule (EPA-HQ OPPT 2004-0106-0055</w:t>
      </w:r>
      <w:r w:rsidR="00F06BA6" w:rsidRPr="002C1543">
        <w:rPr>
          <w:sz w:val="24"/>
        </w:rPr>
        <w:t>).</w:t>
      </w:r>
      <w:r w:rsidR="00F06BA6" w:rsidRPr="002C1543">
        <w:rPr>
          <w:i/>
          <w:sz w:val="24"/>
        </w:rPr>
        <w:t xml:space="preserve"> </w:t>
      </w:r>
      <w:r w:rsidR="00F06BA6" w:rsidRPr="002C1543">
        <w:rPr>
          <w:sz w:val="24"/>
        </w:rPr>
        <w:t>July 2005</w:t>
      </w:r>
      <w:r w:rsidR="00F06BA6" w:rsidRPr="002C1543">
        <w:rPr>
          <w:i/>
          <w:sz w:val="24"/>
        </w:rPr>
        <w:t xml:space="preserve">. </w:t>
      </w:r>
    </w:p>
    <w:p w14:paraId="08993BC7" w14:textId="77777777" w:rsidR="00787A3B" w:rsidRPr="00787A3B" w:rsidRDefault="005A266A" w:rsidP="00F30F53">
      <w:pPr>
        <w:widowControl w:val="0"/>
        <w:ind w:left="360" w:hanging="360"/>
        <w:rPr>
          <w:rFonts w:cs="Times New Roman"/>
          <w:szCs w:val="22"/>
        </w:rPr>
      </w:pPr>
      <w:r>
        <w:rPr>
          <w:rFonts w:cs="Times New Roman"/>
          <w:szCs w:val="22"/>
        </w:rPr>
        <w:t xml:space="preserve">US </w:t>
      </w:r>
      <w:r w:rsidR="00787A3B" w:rsidRPr="00787A3B">
        <w:rPr>
          <w:rFonts w:cs="Times New Roman"/>
          <w:szCs w:val="22"/>
        </w:rPr>
        <w:t xml:space="preserve">EPA. (2009). </w:t>
      </w:r>
      <w:r w:rsidR="00787A3B" w:rsidRPr="00787A3B">
        <w:rPr>
          <w:rFonts w:cs="Times New Roman"/>
          <w:i/>
          <w:iCs/>
          <w:szCs w:val="22"/>
        </w:rPr>
        <w:t>ICR Handbook: EPA’s Guide to Writing Information Collection Requests under the Paperwork Reduction Act of 1995</w:t>
      </w:r>
      <w:r w:rsidR="00787A3B" w:rsidRPr="00787A3B">
        <w:rPr>
          <w:rFonts w:cs="Times New Roman"/>
          <w:szCs w:val="22"/>
        </w:rPr>
        <w:t>. Retrieved from https://www.pdffiller.com/10247637--ICR-Handbook---Environmental-Protection-Agency-</w:t>
      </w:r>
      <w:r w:rsidR="002F3D90">
        <w:rPr>
          <w:rFonts w:cs="Times New Roman"/>
          <w:szCs w:val="22"/>
        </w:rPr>
        <w:t>.</w:t>
      </w:r>
    </w:p>
    <w:p w14:paraId="79970925" w14:textId="77777777" w:rsidR="00F30F53" w:rsidRPr="00537AB2" w:rsidRDefault="00F55464" w:rsidP="00F30F53">
      <w:pPr>
        <w:spacing w:before="288"/>
        <w:ind w:left="360" w:right="360" w:hanging="360"/>
      </w:pPr>
      <w:r>
        <w:rPr>
          <w:bCs/>
        </w:rPr>
        <w:t xml:space="preserve">US </w:t>
      </w:r>
      <w:r w:rsidR="00357047" w:rsidRPr="00946B49">
        <w:rPr>
          <w:bCs/>
        </w:rPr>
        <w:t>EPA, 2011</w:t>
      </w:r>
      <w:r w:rsidR="00357047">
        <w:rPr>
          <w:bCs/>
        </w:rPr>
        <w:t>a</w:t>
      </w:r>
      <w:r w:rsidR="00357047" w:rsidRPr="00946B49">
        <w:rPr>
          <w:bCs/>
        </w:rPr>
        <w:t xml:space="preserve">. </w:t>
      </w:r>
      <w:r w:rsidR="00AF682A">
        <w:rPr>
          <w:bCs/>
        </w:rPr>
        <w:t xml:space="preserve">U.S.EPA, </w:t>
      </w:r>
      <w:r w:rsidR="00357047" w:rsidRPr="00946B49">
        <w:t>Office of Environmental Information</w:t>
      </w:r>
      <w:r w:rsidR="00357047">
        <w:t>,</w:t>
      </w:r>
      <w:r w:rsidR="00357047" w:rsidRPr="00946B49">
        <w:t xml:space="preserve"> Office of Information Analysis and Access,</w:t>
      </w:r>
      <w:r w:rsidR="00357047">
        <w:t xml:space="preserve"> </w:t>
      </w:r>
      <w:r w:rsidR="00357047" w:rsidRPr="00946B49">
        <w:t>TRI Regulatory Development Branch, TRI Program Division</w:t>
      </w:r>
      <w:r w:rsidR="00357047">
        <w:t>.</w:t>
      </w:r>
      <w:r w:rsidR="00357047" w:rsidRPr="00946B49">
        <w:t xml:space="preserve"> </w:t>
      </w:r>
      <w:r w:rsidR="00357047" w:rsidRPr="002C1543">
        <w:rPr>
          <w:i/>
        </w:rPr>
        <w:t>Revising TRI Burden to Ratio-Based Methodology</w:t>
      </w:r>
      <w:r w:rsidR="00357047" w:rsidRPr="00946B49">
        <w:t>, February 1, 2011.</w:t>
      </w:r>
    </w:p>
    <w:p w14:paraId="3246D810" w14:textId="77777777" w:rsidR="00AE05D0" w:rsidRDefault="00F55464" w:rsidP="00C0632D">
      <w:pPr>
        <w:spacing w:before="288"/>
        <w:ind w:left="360" w:right="360" w:hanging="360"/>
      </w:pPr>
      <w:r>
        <w:t xml:space="preserve">US </w:t>
      </w:r>
      <w:r w:rsidR="00F06BA6" w:rsidRPr="002C1543">
        <w:t>EPA, 2011</w:t>
      </w:r>
      <w:r w:rsidR="00357047">
        <w:t>b</w:t>
      </w:r>
      <w:r w:rsidR="00F06BA6" w:rsidRPr="002C1543">
        <w:t>. U.S. EPA, Office of Pollution Prevention and Toxics, Economic and Policy Analysis Branch</w:t>
      </w:r>
      <w:r w:rsidR="00F06BA6" w:rsidRPr="002C1543">
        <w:rPr>
          <w:i/>
        </w:rPr>
        <w:t xml:space="preserve">. </w:t>
      </w:r>
      <w:r w:rsidR="00F06BA6" w:rsidRPr="002C1543">
        <w:rPr>
          <w:bCs/>
          <w:i/>
        </w:rPr>
        <w:t>Economic Analysis for the Final Inventory Update Reporting (IUR) Modifications Rule</w:t>
      </w:r>
      <w:r w:rsidR="00F06BA6" w:rsidRPr="002C1543">
        <w:t>. June, 2011.</w:t>
      </w:r>
      <w:r w:rsidR="00AE05D0">
        <w:br/>
      </w:r>
    </w:p>
    <w:p w14:paraId="62DBAEF5" w14:textId="77777777" w:rsidR="00F06BA6" w:rsidRDefault="00F55464" w:rsidP="00F30F53">
      <w:pPr>
        <w:pStyle w:val="Reference"/>
        <w:spacing w:after="240"/>
        <w:rPr>
          <w:color w:val="auto"/>
          <w:sz w:val="24"/>
        </w:rPr>
      </w:pPr>
      <w:r>
        <w:rPr>
          <w:color w:val="auto"/>
          <w:sz w:val="24"/>
        </w:rPr>
        <w:t xml:space="preserve">US </w:t>
      </w:r>
      <w:r w:rsidR="00F06BA6" w:rsidRPr="002C1543">
        <w:rPr>
          <w:color w:val="auto"/>
          <w:sz w:val="24"/>
        </w:rPr>
        <w:t>EPA, 201</w:t>
      </w:r>
      <w:r w:rsidR="007E3537">
        <w:rPr>
          <w:color w:val="auto"/>
          <w:sz w:val="24"/>
        </w:rPr>
        <w:t>5</w:t>
      </w:r>
      <w:r w:rsidR="00FC6321">
        <w:rPr>
          <w:color w:val="auto"/>
          <w:sz w:val="24"/>
        </w:rPr>
        <w:t>a</w:t>
      </w:r>
      <w:r w:rsidR="00F06BA6" w:rsidRPr="002C1543">
        <w:rPr>
          <w:color w:val="auto"/>
          <w:sz w:val="24"/>
        </w:rPr>
        <w:t xml:space="preserve">. </w:t>
      </w:r>
      <w:r w:rsidR="00F06BA6" w:rsidRPr="002C1543">
        <w:rPr>
          <w:i/>
          <w:color w:val="auto"/>
          <w:sz w:val="24"/>
        </w:rPr>
        <w:t xml:space="preserve">ICR No. </w:t>
      </w:r>
      <w:r w:rsidR="00F06BA6" w:rsidRPr="002C1543">
        <w:rPr>
          <w:bCs/>
          <w:i/>
          <w:color w:val="auto"/>
          <w:sz w:val="24"/>
        </w:rPr>
        <w:t>1884.0</w:t>
      </w:r>
      <w:r w:rsidR="007E3537">
        <w:rPr>
          <w:bCs/>
          <w:i/>
          <w:color w:val="auto"/>
          <w:sz w:val="24"/>
        </w:rPr>
        <w:t>8</w:t>
      </w:r>
      <w:r w:rsidR="00F06BA6" w:rsidRPr="002C1543">
        <w:rPr>
          <w:i/>
          <w:color w:val="auto"/>
          <w:sz w:val="24"/>
        </w:rPr>
        <w:t>.</w:t>
      </w:r>
      <w:r w:rsidR="00F06BA6" w:rsidRPr="002C1543">
        <w:rPr>
          <w:color w:val="auto"/>
          <w:sz w:val="24"/>
        </w:rPr>
        <w:t xml:space="preserve"> </w:t>
      </w:r>
      <w:r w:rsidR="00F06BA6" w:rsidRPr="002C1543">
        <w:rPr>
          <w:i/>
          <w:iCs/>
          <w:color w:val="auto"/>
          <w:sz w:val="24"/>
        </w:rPr>
        <w:t>[Information Collection Request for]</w:t>
      </w:r>
      <w:r w:rsidR="00F06BA6" w:rsidRPr="002C1543">
        <w:rPr>
          <w:bCs/>
          <w:color w:val="auto"/>
          <w:sz w:val="24"/>
        </w:rPr>
        <w:t xml:space="preserve"> Partial Update of the TSCA Section 8(b) Inventory Data Base, Production and Site Report </w:t>
      </w:r>
      <w:r w:rsidR="00F06BA6" w:rsidRPr="002C1543">
        <w:rPr>
          <w:i/>
          <w:iCs/>
          <w:color w:val="auto"/>
          <w:sz w:val="24"/>
        </w:rPr>
        <w:t>Supporting Statement for a Request for</w:t>
      </w:r>
      <w:r w:rsidR="00F06BA6" w:rsidRPr="002C1543">
        <w:rPr>
          <w:bCs/>
          <w:color w:val="auto"/>
          <w:sz w:val="24"/>
        </w:rPr>
        <w:t xml:space="preserve"> </w:t>
      </w:r>
      <w:r w:rsidR="00F06BA6" w:rsidRPr="002C1543">
        <w:rPr>
          <w:i/>
          <w:iCs/>
          <w:color w:val="auto"/>
          <w:sz w:val="24"/>
        </w:rPr>
        <w:t>OMB Review under the Paperwork Reduction Act</w:t>
      </w:r>
      <w:r w:rsidR="00F06BA6" w:rsidRPr="002C1543">
        <w:rPr>
          <w:color w:val="auto"/>
          <w:sz w:val="24"/>
        </w:rPr>
        <w:t xml:space="preserve">. </w:t>
      </w:r>
      <w:r w:rsidR="007E3537">
        <w:rPr>
          <w:color w:val="auto"/>
          <w:sz w:val="24"/>
        </w:rPr>
        <w:t>October</w:t>
      </w:r>
      <w:r w:rsidR="007E3537" w:rsidRPr="002C1543">
        <w:rPr>
          <w:color w:val="auto"/>
          <w:sz w:val="24"/>
        </w:rPr>
        <w:t xml:space="preserve"> </w:t>
      </w:r>
      <w:r w:rsidR="007E3537">
        <w:rPr>
          <w:color w:val="auto"/>
          <w:sz w:val="24"/>
        </w:rPr>
        <w:t>14</w:t>
      </w:r>
      <w:r w:rsidR="00F06BA6" w:rsidRPr="002C1543">
        <w:rPr>
          <w:color w:val="auto"/>
          <w:sz w:val="24"/>
        </w:rPr>
        <w:t>, 201</w:t>
      </w:r>
      <w:r w:rsidR="007E3537">
        <w:rPr>
          <w:color w:val="auto"/>
          <w:sz w:val="24"/>
        </w:rPr>
        <w:t>5</w:t>
      </w:r>
      <w:r w:rsidR="00F06BA6" w:rsidRPr="00686490">
        <w:rPr>
          <w:sz w:val="24"/>
        </w:rPr>
        <w:t>.</w:t>
      </w:r>
      <w:r w:rsidR="0064382D" w:rsidRPr="00686490">
        <w:rPr>
          <w:sz w:val="24"/>
        </w:rPr>
        <w:t xml:space="preserve"> EPA-HQ-OPPT-2013-0721-0008</w:t>
      </w:r>
      <w:r w:rsidR="0064382D">
        <w:rPr>
          <w:sz w:val="24"/>
        </w:rPr>
        <w:t>.</w:t>
      </w:r>
    </w:p>
    <w:p w14:paraId="20D3E258" w14:textId="77777777" w:rsidR="00AE05D0" w:rsidRDefault="00F55464" w:rsidP="0090129C">
      <w:pPr>
        <w:pStyle w:val="Bibliography"/>
        <w:ind w:left="360" w:hanging="360"/>
      </w:pPr>
      <w:r>
        <w:t xml:space="preserve">US </w:t>
      </w:r>
      <w:r w:rsidR="00FC6321">
        <w:t xml:space="preserve">EPA. </w:t>
      </w:r>
      <w:r w:rsidR="00FC6321" w:rsidRPr="00272FB4">
        <w:t xml:space="preserve">2015b. </w:t>
      </w:r>
      <w:r w:rsidR="00FC6321" w:rsidRPr="00272FB4">
        <w:rPr>
          <w:i/>
          <w:iCs/>
        </w:rPr>
        <w:t>Supporting Statement for a Request for OMB Review under the Paperwork Reduction Act: Premanufacture Review Reporting and Exemption Requirements for New Chemical Substances and Significant New Use Reporting Requirements for Chemical Substances</w:t>
      </w:r>
      <w:r w:rsidR="00FC6321" w:rsidRPr="00272FB4">
        <w:t xml:space="preserve">. Retrieved from </w:t>
      </w:r>
      <w:hyperlink r:id="rId44" w:history="1">
        <w:r w:rsidR="005C0271" w:rsidRPr="00B90D02">
          <w:rPr>
            <w:rStyle w:val="Hyperlink"/>
          </w:rPr>
          <w:t>http://www.regulations.gov/document?D=EPA-HQ-OPPT-2014-0735-0016</w:t>
        </w:r>
      </w:hyperlink>
      <w:r w:rsidR="002F3D90">
        <w:t>.</w:t>
      </w:r>
    </w:p>
    <w:p w14:paraId="7B9F0EAD" w14:textId="77777777" w:rsidR="007D1787" w:rsidRPr="007D1787" w:rsidRDefault="007D1787" w:rsidP="007D1787"/>
    <w:p w14:paraId="7768DAB9" w14:textId="77777777" w:rsidR="00A56388" w:rsidRDefault="00AE05D0" w:rsidP="005C0271">
      <w:pPr>
        <w:pStyle w:val="CommentText"/>
        <w:ind w:left="360" w:hanging="360"/>
        <w:rPr>
          <w:sz w:val="24"/>
          <w:szCs w:val="24"/>
        </w:rPr>
      </w:pPr>
      <w:r w:rsidRPr="007D1787">
        <w:rPr>
          <w:sz w:val="24"/>
          <w:szCs w:val="24"/>
        </w:rPr>
        <w:t>US EPA, 2016.</w:t>
      </w:r>
      <w:r w:rsidRPr="007D1787">
        <w:rPr>
          <w:i/>
          <w:sz w:val="24"/>
          <w:szCs w:val="24"/>
        </w:rPr>
        <w:t xml:space="preserve"> </w:t>
      </w:r>
      <w:r w:rsidRPr="007D1787">
        <w:rPr>
          <w:sz w:val="24"/>
          <w:szCs w:val="24"/>
        </w:rPr>
        <w:t>U.S. EPA, Office of Pollution Prevention and Toxics,</w:t>
      </w:r>
      <w:r w:rsidRPr="007D1787">
        <w:rPr>
          <w:i/>
          <w:sz w:val="24"/>
          <w:szCs w:val="24"/>
        </w:rPr>
        <w:t xml:space="preserve"> Instructions for the 2016 TSCA Chemical Data Reporting</w:t>
      </w:r>
      <w:r w:rsidRPr="007D1787">
        <w:rPr>
          <w:sz w:val="24"/>
          <w:szCs w:val="24"/>
        </w:rPr>
        <w:t xml:space="preserve">. Available at </w:t>
      </w:r>
      <w:hyperlink r:id="rId45" w:history="1">
        <w:r w:rsidR="0090129C" w:rsidRPr="007D1787">
          <w:rPr>
            <w:rStyle w:val="Hyperlink"/>
            <w:sz w:val="24"/>
            <w:szCs w:val="24"/>
          </w:rPr>
          <w:t>https://www.epa.gov/chemical-data-reporting/instructions-reporting-2016-tsca-chemical-data-reporting</w:t>
        </w:r>
      </w:hyperlink>
      <w:r w:rsidR="0090129C" w:rsidRPr="007D1787">
        <w:rPr>
          <w:sz w:val="24"/>
          <w:szCs w:val="24"/>
        </w:rPr>
        <w:t>.</w:t>
      </w:r>
    </w:p>
    <w:p w14:paraId="4972059E" w14:textId="77777777" w:rsidR="00A56388" w:rsidRDefault="00A56388" w:rsidP="005C0271">
      <w:pPr>
        <w:pStyle w:val="CommentText"/>
        <w:ind w:left="360" w:hanging="360"/>
        <w:rPr>
          <w:sz w:val="24"/>
          <w:szCs w:val="24"/>
        </w:rPr>
      </w:pPr>
    </w:p>
    <w:p w14:paraId="2002F258" w14:textId="1EDE1901" w:rsidR="005C0271" w:rsidRPr="007D1787" w:rsidRDefault="005C0271" w:rsidP="005C0271">
      <w:pPr>
        <w:pStyle w:val="CommentText"/>
        <w:ind w:left="360" w:hanging="360"/>
        <w:rPr>
          <w:i/>
          <w:sz w:val="24"/>
          <w:szCs w:val="24"/>
        </w:rPr>
      </w:pPr>
      <w:r w:rsidRPr="007D1787">
        <w:rPr>
          <w:bCs/>
          <w:color w:val="000000"/>
          <w:sz w:val="24"/>
          <w:szCs w:val="24"/>
        </w:rPr>
        <w:t xml:space="preserve">US EPA, 2017a. U.S. EPA, Office of Pollution Prevention and Toxics, </w:t>
      </w:r>
      <w:r w:rsidRPr="007D1787">
        <w:rPr>
          <w:bCs/>
          <w:i/>
          <w:color w:val="000000"/>
          <w:sz w:val="24"/>
          <w:szCs w:val="24"/>
        </w:rPr>
        <w:t>Confidential Business Information under TSCA: What to Include in CBI Substantiations</w:t>
      </w:r>
      <w:r w:rsidRPr="007D1787">
        <w:rPr>
          <w:bCs/>
          <w:color w:val="000000"/>
          <w:sz w:val="24"/>
          <w:szCs w:val="24"/>
        </w:rPr>
        <w:t xml:space="preserve">. Retrieved </w:t>
      </w:r>
      <w:r w:rsidR="001E3355" w:rsidRPr="007D1787">
        <w:rPr>
          <w:bCs/>
          <w:color w:val="000000"/>
          <w:sz w:val="24"/>
          <w:szCs w:val="24"/>
        </w:rPr>
        <w:t xml:space="preserve">on October 10, 2017 </w:t>
      </w:r>
      <w:r w:rsidRPr="007D1787">
        <w:rPr>
          <w:bCs/>
          <w:color w:val="000000"/>
          <w:sz w:val="24"/>
          <w:szCs w:val="24"/>
        </w:rPr>
        <w:t xml:space="preserve">from </w:t>
      </w:r>
      <w:hyperlink r:id="rId46" w:history="1">
        <w:r w:rsidRPr="007D1787">
          <w:rPr>
            <w:rStyle w:val="Hyperlink"/>
            <w:sz w:val="24"/>
            <w:szCs w:val="24"/>
          </w:rPr>
          <w:t>https://www.epa.gov/tsca-cbi/what-include-cbi-substantiations</w:t>
        </w:r>
      </w:hyperlink>
      <w:r w:rsidRPr="007D1787">
        <w:rPr>
          <w:bCs/>
          <w:color w:val="000000"/>
          <w:sz w:val="24"/>
          <w:szCs w:val="24"/>
        </w:rPr>
        <w:t xml:space="preserve">. Click on the following hyperlink for CBI substantiation questions: </w:t>
      </w:r>
      <w:hyperlink r:id="rId47" w:history="1">
        <w:r w:rsidRPr="007D1787">
          <w:rPr>
            <w:i/>
            <w:color w:val="0071BC"/>
            <w:sz w:val="24"/>
            <w:szCs w:val="24"/>
            <w:u w:val="single"/>
            <w:lang w:val="en"/>
          </w:rPr>
          <w:t>Chemical Data Reporting (CDR) substantiation template</w:t>
        </w:r>
      </w:hyperlink>
      <w:r w:rsidRPr="007D1787">
        <w:rPr>
          <w:i/>
          <w:color w:val="0071BC"/>
          <w:sz w:val="24"/>
          <w:szCs w:val="24"/>
          <w:u w:val="single"/>
          <w:lang w:val="en"/>
        </w:rPr>
        <w:t xml:space="preserve"> </w:t>
      </w:r>
      <w:r w:rsidR="007D1787">
        <w:rPr>
          <w:i/>
          <w:color w:val="5B616B"/>
          <w:sz w:val="24"/>
          <w:szCs w:val="24"/>
          <w:lang w:val="en"/>
        </w:rPr>
        <w:t>(5 pp, 104 K)</w:t>
      </w:r>
    </w:p>
    <w:p w14:paraId="2C17D83C" w14:textId="77777777" w:rsidR="00DC22BA" w:rsidRDefault="00F55464" w:rsidP="00C0632D">
      <w:pPr>
        <w:pStyle w:val="Reference"/>
        <w:spacing w:before="240" w:after="240"/>
        <w:rPr>
          <w:sz w:val="24"/>
        </w:rPr>
      </w:pPr>
      <w:r>
        <w:t xml:space="preserve">US </w:t>
      </w:r>
      <w:r w:rsidR="00DC22BA" w:rsidRPr="00DC22BA">
        <w:rPr>
          <w:sz w:val="24"/>
        </w:rPr>
        <w:t>EPA, 2017</w:t>
      </w:r>
      <w:r w:rsidR="005C0271">
        <w:rPr>
          <w:sz w:val="24"/>
        </w:rPr>
        <w:t>b</w:t>
      </w:r>
      <w:r w:rsidR="00DC22BA" w:rsidRPr="00DC22BA">
        <w:rPr>
          <w:sz w:val="24"/>
        </w:rPr>
        <w:t xml:space="preserve">. </w:t>
      </w:r>
      <w:r w:rsidR="00DC22BA" w:rsidRPr="002B47E0">
        <w:rPr>
          <w:sz w:val="24"/>
        </w:rPr>
        <w:t xml:space="preserve">U.S. EPA, Office of Pollution Prevention and Toxics, Economic and Policy Analysis Branch. </w:t>
      </w:r>
      <w:r w:rsidR="00DC22BA" w:rsidRPr="002C1543">
        <w:rPr>
          <w:i/>
          <w:sz w:val="24"/>
        </w:rPr>
        <w:t>Burden and Cost Report for the Final Rule: TSCA Inventory Notification Requirements</w:t>
      </w:r>
      <w:r w:rsidR="00DC22BA">
        <w:rPr>
          <w:i/>
          <w:sz w:val="24"/>
        </w:rPr>
        <w:t xml:space="preserve">. </w:t>
      </w:r>
      <w:r w:rsidR="00DC22BA" w:rsidRPr="002C1543">
        <w:rPr>
          <w:sz w:val="24"/>
        </w:rPr>
        <w:t>June 2017</w:t>
      </w:r>
      <w:r w:rsidR="00DC22BA" w:rsidRPr="00DC22BA">
        <w:rPr>
          <w:sz w:val="24"/>
        </w:rPr>
        <w:t>.</w:t>
      </w:r>
    </w:p>
    <w:p w14:paraId="29CF4D77" w14:textId="77777777" w:rsidR="005817BE" w:rsidRDefault="00F55464" w:rsidP="003D4D2F">
      <w:pPr>
        <w:pStyle w:val="FootnoteText"/>
        <w:ind w:left="360" w:hanging="360"/>
        <w:rPr>
          <w:sz w:val="24"/>
          <w:szCs w:val="24"/>
        </w:rPr>
      </w:pPr>
      <w:r>
        <w:rPr>
          <w:sz w:val="24"/>
        </w:rPr>
        <w:t xml:space="preserve">US </w:t>
      </w:r>
      <w:r w:rsidR="003D4D2F" w:rsidRPr="00DC22BA">
        <w:rPr>
          <w:sz w:val="24"/>
        </w:rPr>
        <w:t>EPA, 2017</w:t>
      </w:r>
      <w:r w:rsidR="005C0271">
        <w:rPr>
          <w:sz w:val="24"/>
        </w:rPr>
        <w:t>c</w:t>
      </w:r>
      <w:r w:rsidR="003D4D2F" w:rsidRPr="00DC22BA">
        <w:rPr>
          <w:sz w:val="24"/>
        </w:rPr>
        <w:t xml:space="preserve">. </w:t>
      </w:r>
      <w:r w:rsidR="003D4D2F" w:rsidRPr="002B47E0">
        <w:rPr>
          <w:sz w:val="24"/>
        </w:rPr>
        <w:t xml:space="preserve">U.S. EPA, Office of Pollution Prevention and Toxics, Economic and Policy Analysis Branch. </w:t>
      </w:r>
      <w:r w:rsidR="003D4D2F" w:rsidRPr="002C1543">
        <w:rPr>
          <w:sz w:val="24"/>
          <w:szCs w:val="24"/>
        </w:rPr>
        <w:t>2016 C</w:t>
      </w:r>
      <w:r w:rsidR="003D4D2F">
        <w:rPr>
          <w:sz w:val="24"/>
          <w:szCs w:val="24"/>
        </w:rPr>
        <w:t xml:space="preserve">hemical </w:t>
      </w:r>
      <w:r w:rsidR="003D4D2F" w:rsidRPr="002C1543">
        <w:rPr>
          <w:sz w:val="24"/>
          <w:szCs w:val="24"/>
        </w:rPr>
        <w:t>D</w:t>
      </w:r>
      <w:r w:rsidR="003D4D2F">
        <w:rPr>
          <w:sz w:val="24"/>
          <w:szCs w:val="24"/>
        </w:rPr>
        <w:t xml:space="preserve">ata </w:t>
      </w:r>
      <w:r w:rsidR="003D4D2F" w:rsidRPr="002C1543">
        <w:rPr>
          <w:sz w:val="24"/>
          <w:szCs w:val="24"/>
        </w:rPr>
        <w:t>R</w:t>
      </w:r>
      <w:r w:rsidR="003D4D2F">
        <w:rPr>
          <w:sz w:val="24"/>
          <w:szCs w:val="24"/>
        </w:rPr>
        <w:t>eporting. Dataset</w:t>
      </w:r>
      <w:r w:rsidR="003D4D2F" w:rsidRPr="002C1543">
        <w:rPr>
          <w:sz w:val="24"/>
          <w:szCs w:val="24"/>
        </w:rPr>
        <w:t xml:space="preserve"> pulled on October 2,</w:t>
      </w:r>
      <w:r w:rsidR="003D4D2F">
        <w:rPr>
          <w:sz w:val="24"/>
          <w:szCs w:val="24"/>
        </w:rPr>
        <w:t xml:space="preserve"> </w:t>
      </w:r>
      <w:r w:rsidR="003D4D2F" w:rsidRPr="002C1543">
        <w:rPr>
          <w:sz w:val="24"/>
          <w:szCs w:val="24"/>
        </w:rPr>
        <w:t>2017.</w:t>
      </w:r>
    </w:p>
    <w:bookmarkEnd w:id="54"/>
    <w:p w14:paraId="3A8EF21A" w14:textId="77777777" w:rsidR="00B277D3" w:rsidRDefault="00B277D3" w:rsidP="002C1543">
      <w:pPr>
        <w:pStyle w:val="Footnotetables"/>
      </w:pPr>
    </w:p>
    <w:sectPr w:rsidR="00B277D3" w:rsidSect="008D0116">
      <w:headerReference w:type="even" r:id="rId48"/>
      <w:headerReference w:type="default" r:id="rId49"/>
      <w:footerReference w:type="default" r:id="rId50"/>
      <w:headerReference w:type="first" r:id="rId51"/>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EA225" w14:textId="77777777" w:rsidR="00D1039E" w:rsidRDefault="00D1039E" w:rsidP="004D4A44">
      <w:r>
        <w:separator/>
      </w:r>
    </w:p>
  </w:endnote>
  <w:endnote w:type="continuationSeparator" w:id="0">
    <w:p w14:paraId="1715AE89" w14:textId="77777777" w:rsidR="00D1039E" w:rsidRDefault="00D1039E" w:rsidP="004D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6EB77" w14:textId="77777777" w:rsidR="00126016" w:rsidRDefault="00126016" w:rsidP="00F14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43E96F" w14:textId="77777777" w:rsidR="00126016" w:rsidRDefault="00126016" w:rsidP="00F141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5488"/>
      <w:docPartObj>
        <w:docPartGallery w:val="Page Numbers (Bottom of Page)"/>
        <w:docPartUnique/>
      </w:docPartObj>
    </w:sdtPr>
    <w:sdtEndPr>
      <w:rPr>
        <w:noProof/>
      </w:rPr>
    </w:sdtEndPr>
    <w:sdtContent>
      <w:p w14:paraId="56949E79" w14:textId="1D5A52B1" w:rsidR="00126016" w:rsidRDefault="00126016">
        <w:pPr>
          <w:pStyle w:val="Footer"/>
          <w:jc w:val="center"/>
        </w:pPr>
        <w:r>
          <w:fldChar w:fldCharType="begin"/>
        </w:r>
        <w:r>
          <w:instrText xml:space="preserve"> PAGE   \* MERGEFORMAT </w:instrText>
        </w:r>
        <w:r>
          <w:fldChar w:fldCharType="separate"/>
        </w:r>
        <w:r w:rsidR="00C03CA7">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541252"/>
      <w:docPartObj>
        <w:docPartGallery w:val="Page Numbers (Bottom of Page)"/>
        <w:docPartUnique/>
      </w:docPartObj>
    </w:sdtPr>
    <w:sdtEndPr>
      <w:rPr>
        <w:noProof/>
      </w:rPr>
    </w:sdtEndPr>
    <w:sdtContent>
      <w:p w14:paraId="176D677C" w14:textId="5A7009FE" w:rsidR="00126016" w:rsidRDefault="00126016">
        <w:pPr>
          <w:pStyle w:val="Footer"/>
          <w:jc w:val="center"/>
        </w:pPr>
        <w:r>
          <w:fldChar w:fldCharType="begin"/>
        </w:r>
        <w:r>
          <w:instrText xml:space="preserve"> PAGE   \* MERGEFORMAT </w:instrText>
        </w:r>
        <w:r>
          <w:fldChar w:fldCharType="separate"/>
        </w:r>
        <w:r w:rsidR="007363E0">
          <w:rPr>
            <w:noProof/>
          </w:rPr>
          <w:t>40</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49146"/>
      <w:docPartObj>
        <w:docPartGallery w:val="Page Numbers (Bottom of Page)"/>
        <w:docPartUnique/>
      </w:docPartObj>
    </w:sdtPr>
    <w:sdtEndPr>
      <w:rPr>
        <w:noProof/>
      </w:rPr>
    </w:sdtEndPr>
    <w:sdtContent>
      <w:p w14:paraId="2AA8A7EB" w14:textId="44F2F03E" w:rsidR="00126016" w:rsidRDefault="00126016" w:rsidP="00101277">
        <w:pPr>
          <w:pStyle w:val="Footer"/>
          <w:jc w:val="center"/>
        </w:pPr>
        <w:r>
          <w:fldChar w:fldCharType="begin"/>
        </w:r>
        <w:r>
          <w:instrText xml:space="preserve"> PAGE   \* MERGEFORMAT </w:instrText>
        </w:r>
        <w:r>
          <w:fldChar w:fldCharType="separate"/>
        </w:r>
        <w:r w:rsidR="007363E0">
          <w:rPr>
            <w:noProof/>
          </w:rPr>
          <w:t>53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48EA3" w14:textId="77777777" w:rsidR="00D1039E" w:rsidRDefault="00D1039E" w:rsidP="004D4A44">
      <w:r>
        <w:separator/>
      </w:r>
    </w:p>
  </w:footnote>
  <w:footnote w:type="continuationSeparator" w:id="0">
    <w:p w14:paraId="1C27F066" w14:textId="77777777" w:rsidR="00D1039E" w:rsidRDefault="00D1039E" w:rsidP="004D4A44">
      <w:r>
        <w:continuationSeparator/>
      </w:r>
    </w:p>
  </w:footnote>
  <w:footnote w:id="1">
    <w:p w14:paraId="751C78AB" w14:textId="32F8E8BB" w:rsidR="00126016" w:rsidRDefault="00126016">
      <w:pPr>
        <w:pStyle w:val="FootnoteText"/>
      </w:pPr>
      <w:r>
        <w:rPr>
          <w:rStyle w:val="FootnoteReference"/>
        </w:rPr>
        <w:footnoteRef/>
      </w:r>
      <w:r>
        <w:t xml:space="preserve"> The title of this ICR was previously: “</w:t>
      </w:r>
      <w:r w:rsidRPr="00584F5A">
        <w:t>Partial Update of the TSCA Section 8(b) Inventory Data Base, Production and Site Reports (Chemical Data Reporting)</w:t>
      </w:r>
      <w:r>
        <w:t xml:space="preserve">.” It was recently changed to reflect the 2011 name change, as this reporting is now routinely referred to as CDR. </w:t>
      </w:r>
    </w:p>
  </w:footnote>
  <w:footnote w:id="2">
    <w:p w14:paraId="561DC6CE" w14:textId="6DA80135" w:rsidR="00126016" w:rsidRDefault="00126016">
      <w:pPr>
        <w:pStyle w:val="FootnoteText"/>
      </w:pPr>
      <w:r>
        <w:rPr>
          <w:rStyle w:val="FootnoteReference"/>
        </w:rPr>
        <w:footnoteRef/>
      </w:r>
      <w:r>
        <w:t xml:space="preserve"> </w:t>
      </w:r>
      <w:r w:rsidRPr="006011E4">
        <w:t>The original IUR rule was codified at 40 CFR part 710. In its August 2011 amendments, EPA moved the CDR rule to 40 CFR part 711.</w:t>
      </w:r>
    </w:p>
  </w:footnote>
  <w:footnote w:id="3">
    <w:p w14:paraId="291B10C6" w14:textId="77777777" w:rsidR="00126016" w:rsidRPr="00687F35" w:rsidRDefault="00126016" w:rsidP="004D4A44">
      <w:pPr>
        <w:pStyle w:val="FootnoteText"/>
      </w:pPr>
      <w:r w:rsidRPr="002259FF">
        <w:rPr>
          <w:rStyle w:val="FootnoteReference"/>
        </w:rPr>
        <w:footnoteRef/>
      </w:r>
      <w:r w:rsidRPr="002259FF">
        <w:t xml:space="preserve"> The economic analysis for the 2005 Amendments assumed a 15 percent reduction in burden for the completion of Part III because submitters were no longer required to report use and downstream processing </w:t>
      </w:r>
      <w:r w:rsidRPr="00687F35">
        <w:t>information for exports.</w:t>
      </w:r>
    </w:p>
  </w:footnote>
  <w:footnote w:id="4">
    <w:p w14:paraId="0E5F3BC6" w14:textId="77777777" w:rsidR="00126016" w:rsidRDefault="00126016">
      <w:pPr>
        <w:pStyle w:val="FootnoteText"/>
      </w:pPr>
      <w:r>
        <w:rPr>
          <w:rStyle w:val="FootnoteReference"/>
        </w:rPr>
        <w:footnoteRef/>
      </w:r>
      <w:r>
        <w:t xml:space="preserve"> In preparation for providing estimates of this ICR renewal, corrections to baseline activity-level unit burdens are made and explained in Section 6(g) of this document.</w:t>
      </w:r>
    </w:p>
  </w:footnote>
  <w:footnote w:id="5">
    <w:p w14:paraId="7684C51C" w14:textId="77777777" w:rsidR="00126016" w:rsidRDefault="00126016" w:rsidP="00240A8F">
      <w:pPr>
        <w:pStyle w:val="FootnoteText"/>
      </w:pPr>
      <w:r>
        <w:rPr>
          <w:rStyle w:val="FootnoteReference"/>
        </w:rPr>
        <w:footnoteRef/>
      </w:r>
      <w:r>
        <w:t xml:space="preserve"> Part IV of the Form U is completed by a secondary submitter in the context of a joint submission involving a primary submitter and a secondary submitter (see Section 2(b) for additional details). </w:t>
      </w:r>
      <w:r w:rsidRPr="00B600A4">
        <w:t xml:space="preserve">For purposes of this analysis, burden and costs associated joint submissions by two </w:t>
      </w:r>
      <w:r>
        <w:t xml:space="preserve">or more </w:t>
      </w:r>
      <w:r w:rsidRPr="00B600A4">
        <w:t>respondents completing one Form U is considered roughly equivalent and of the same burden and cost as completion of a singular submission that does not involve joint reporting.</w:t>
      </w:r>
    </w:p>
  </w:footnote>
  <w:footnote w:id="6">
    <w:p w14:paraId="5E8ACD7D" w14:textId="77777777" w:rsidR="00126016" w:rsidRDefault="00126016">
      <w:pPr>
        <w:pStyle w:val="FootnoteText"/>
      </w:pPr>
      <w:r>
        <w:rPr>
          <w:rStyle w:val="FootnoteReference"/>
        </w:rPr>
        <w:footnoteRef/>
      </w:r>
      <w:r>
        <w:t xml:space="preserve"> Information used in Table 4 to estimate universe characteristics for the average submission are obtained from 2016 CDR data (US EPA, 2017c). </w:t>
      </w:r>
    </w:p>
  </w:footnote>
  <w:footnote w:id="7">
    <w:p w14:paraId="0DFA1A3E" w14:textId="77777777" w:rsidR="00126016" w:rsidRPr="00C0632D" w:rsidRDefault="00126016" w:rsidP="002420A7">
      <w:pPr>
        <w:rPr>
          <w:sz w:val="18"/>
          <w:szCs w:val="18"/>
        </w:rPr>
      </w:pPr>
      <w:r>
        <w:rPr>
          <w:rStyle w:val="FootnoteReference"/>
        </w:rPr>
        <w:footnoteRef/>
      </w:r>
      <w:r>
        <w:t xml:space="preserve"> </w:t>
      </w:r>
      <w:r w:rsidRPr="00C0632D">
        <w:rPr>
          <w:sz w:val="18"/>
          <w:szCs w:val="18"/>
        </w:rPr>
        <w:t xml:space="preserve">As presented in Section 6(g), for form completion the ratio is 1.26 to one for new reporter burden compared to experienced reporter burden, based on unadjusted activity-level unit burdens and the average multi-chemical submission of 7.5 chemicals per site. </w:t>
      </w:r>
    </w:p>
    <w:p w14:paraId="4ECD6A3B" w14:textId="77777777" w:rsidR="00126016" w:rsidRDefault="00126016" w:rsidP="00A77302">
      <w:pPr>
        <w:pStyle w:val="FootnoteText"/>
      </w:pPr>
      <w:r>
        <w:t xml:space="preserve">. </w:t>
      </w:r>
    </w:p>
  </w:footnote>
  <w:footnote w:id="8">
    <w:p w14:paraId="39712BA1" w14:textId="77777777" w:rsidR="00126016" w:rsidRDefault="00126016">
      <w:pPr>
        <w:pStyle w:val="FootnoteText"/>
      </w:pPr>
      <w:r>
        <w:rPr>
          <w:rStyle w:val="FootnoteReference"/>
        </w:rPr>
        <w:footnoteRef/>
      </w:r>
      <w:r>
        <w:t xml:space="preserve"> Per the simplified method for new reporters’ burden estimates presented in 6(g), the same weighted average wage rates as used to estimate experienced reporters’ cost are applied.</w:t>
      </w:r>
    </w:p>
  </w:footnote>
  <w:footnote w:id="9">
    <w:p w14:paraId="45A3A34B" w14:textId="77777777" w:rsidR="00126016" w:rsidRDefault="00126016">
      <w:pPr>
        <w:pStyle w:val="FootnoteText"/>
      </w:pPr>
      <w:r>
        <w:rPr>
          <w:rStyle w:val="FootnoteReference"/>
        </w:rPr>
        <w:footnoteRef/>
      </w:r>
      <w:r>
        <w:t xml:space="preserve"> These chemicals are termed “subject to TSCA Action,” and include chemical substances: </w:t>
      </w:r>
      <w:r w:rsidRPr="00A332E6">
        <w:t xml:space="preserve">subject to TSCA sections 5(a)(2), 5(b)(4), or 6; a consent agreement developed under the procedures of 40 CFR part 790; an order issued under section 5(e) or 5(f) of TSCA; or relief that has been granted under a civil action under TSCA sections 5 or 7, as listed in Appendix B of </w:t>
      </w:r>
      <w:r w:rsidRPr="00BD6C09">
        <w:t xml:space="preserve">the </w:t>
      </w:r>
      <w:r w:rsidRPr="00BD6C09">
        <w:rPr>
          <w:i/>
        </w:rPr>
        <w:t>Instructions for the 201</w:t>
      </w:r>
      <w:r>
        <w:rPr>
          <w:i/>
        </w:rPr>
        <w:t>6</w:t>
      </w:r>
      <w:r w:rsidRPr="00BD6C09">
        <w:rPr>
          <w:i/>
        </w:rPr>
        <w:t xml:space="preserve"> </w:t>
      </w:r>
      <w:r w:rsidRPr="00A332E6">
        <w:rPr>
          <w:i/>
        </w:rPr>
        <w:t>TSCA Chemical Data Reporting</w:t>
      </w:r>
      <w:r w:rsidRPr="00A332E6">
        <w:t xml:space="preserve"> (</w:t>
      </w:r>
      <w:r>
        <w:t xml:space="preserve">US </w:t>
      </w:r>
      <w:r w:rsidRPr="00A332E6">
        <w:t>EPA, 201</w:t>
      </w:r>
      <w:r>
        <w:t>6</w:t>
      </w:r>
      <w:r w:rsidRPr="00A332E6">
        <w:t>).</w:t>
      </w:r>
    </w:p>
  </w:footnote>
  <w:footnote w:id="10">
    <w:p w14:paraId="31BC4BFD" w14:textId="77777777" w:rsidR="00126016" w:rsidRDefault="00126016" w:rsidP="00FA368C">
      <w:pPr>
        <w:pStyle w:val="FootnoteText"/>
      </w:pPr>
      <w:r>
        <w:rPr>
          <w:rStyle w:val="FootnoteReference"/>
        </w:rPr>
        <w:footnoteRef/>
      </w:r>
      <w:r>
        <w:t xml:space="preserve"> To estimate the proportion of new reporters in a given reporting cycle, </w:t>
      </w:r>
      <w:r w:rsidRPr="008A7FB7">
        <w:t xml:space="preserve">EPA </w:t>
      </w:r>
      <w:r>
        <w:t>evaluates the dynamics of reporters’ production volume levels and whether threshold levels are exceeded, on a year-by-year basis. For sites transitioning from a status in which none of the chemicals exceed threshold to a status in which one or more chemicals exceed threshold, an annual rate of 209 unique sites per year is observed, yielding the overall four-year count of 836 new sites reporting. In sum, 15% of total sites are estimated as new reporting sites for the CDR reporting cycle.</w:t>
      </w:r>
    </w:p>
    <w:p w14:paraId="1FBBF74A" w14:textId="77777777" w:rsidR="00126016" w:rsidRDefault="00126016">
      <w:pPr>
        <w:pStyle w:val="FootnoteText"/>
      </w:pP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5591C" w14:textId="22AD3ADF" w:rsidR="00126016" w:rsidRDefault="00126016" w:rsidP="00A77302">
    <w:pPr>
      <w:pStyle w:val="Header"/>
      <w:jc w:val="right"/>
    </w:pPr>
    <w:r>
      <w:t>October 17,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1B458" w14:textId="77777777" w:rsidR="00126016" w:rsidRDefault="00126016" w:rsidP="00A77302">
    <w:pPr>
      <w:pStyle w:val="Header"/>
      <w:jc w:val="right"/>
    </w:pPr>
    <w:r>
      <w:t>March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76175" w14:textId="77777777" w:rsidR="00126016" w:rsidRDefault="00126016" w:rsidP="00B364DE">
    <w:pPr>
      <w:pStyle w:val="Header"/>
      <w:jc w:val="right"/>
    </w:pPr>
    <w:r>
      <w:t>March 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33FE0" w14:textId="77777777" w:rsidR="00126016" w:rsidRDefault="00126016" w:rsidP="00B364DE">
    <w:pPr>
      <w:pStyle w:val="Header"/>
      <w:jc w:val="right"/>
    </w:pPr>
    <w:r>
      <w:t>March 2018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730F8" w14:textId="77777777" w:rsidR="00126016" w:rsidRDefault="0012601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46B90" w14:textId="77777777" w:rsidR="00126016" w:rsidRDefault="00126016" w:rsidP="00B364DE">
    <w:pPr>
      <w:pStyle w:val="Header"/>
      <w:jc w:val="right"/>
    </w:pPr>
    <w:r>
      <w:t>March 2018</w:t>
    </w:r>
  </w:p>
  <w:p w14:paraId="40BF6847" w14:textId="77777777" w:rsidR="00126016" w:rsidRDefault="0012601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D881D" w14:textId="77777777" w:rsidR="00126016" w:rsidRDefault="001260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A344730"/>
    <w:lvl w:ilvl="0">
      <w:start w:val="1"/>
      <w:numFmt w:val="bullet"/>
      <w:pStyle w:val="ListBullet2"/>
      <w:lvlText w:val="o"/>
      <w:lvlJc w:val="left"/>
      <w:pPr>
        <w:ind w:left="720" w:hanging="360"/>
      </w:pPr>
      <w:rPr>
        <w:rFonts w:ascii="Courier New" w:hAnsi="Courier New" w:cs="Courier New" w:hint="default"/>
      </w:rPr>
    </w:lvl>
  </w:abstractNum>
  <w:abstractNum w:abstractNumId="1">
    <w:nsid w:val="05BD5018"/>
    <w:multiLevelType w:val="hybridMultilevel"/>
    <w:tmpl w:val="0720D2D0"/>
    <w:lvl w:ilvl="0" w:tplc="B524C7EE">
      <w:start w:val="7"/>
      <w:numFmt w:val="upperLetter"/>
      <w:lvlText w:val="%1."/>
      <w:lvlJc w:val="left"/>
      <w:pPr>
        <w:ind w:left="720" w:hanging="360"/>
      </w:pPr>
      <w:rPr>
        <w:rFonts w:hint="default"/>
      </w:rPr>
    </w:lvl>
    <w:lvl w:ilvl="1" w:tplc="04090019">
      <w:start w:val="1"/>
      <w:numFmt w:val="lowerLetter"/>
      <w:lvlText w:val="%2."/>
      <w:lvlJc w:val="left"/>
      <w:pPr>
        <w:ind w:left="1530" w:hanging="360"/>
      </w:pPr>
    </w:lvl>
    <w:lvl w:ilvl="2" w:tplc="04090015">
      <w:start w:val="1"/>
      <w:numFmt w:val="upperLetter"/>
      <w:lvlText w:val="%3."/>
      <w:lvlJc w:val="left"/>
      <w:pPr>
        <w:ind w:left="900" w:hanging="180"/>
      </w:pPr>
      <w:rPr>
        <w:color w:val="000000" w:themeColor="text1"/>
      </w:rPr>
    </w:lvl>
    <w:lvl w:ilvl="3" w:tplc="0409000F">
      <w:start w:val="1"/>
      <w:numFmt w:val="decimal"/>
      <w:lvlText w:val="%4."/>
      <w:lvlJc w:val="left"/>
      <w:pPr>
        <w:ind w:left="144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A162DF9"/>
    <w:multiLevelType w:val="hybridMultilevel"/>
    <w:tmpl w:val="B526F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B65469"/>
    <w:multiLevelType w:val="hybridMultilevel"/>
    <w:tmpl w:val="32BCB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94916"/>
    <w:multiLevelType w:val="hybridMultilevel"/>
    <w:tmpl w:val="5DF046F4"/>
    <w:lvl w:ilvl="0" w:tplc="733C4246">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7485AAA"/>
    <w:multiLevelType w:val="hybridMultilevel"/>
    <w:tmpl w:val="B3E8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D329F"/>
    <w:multiLevelType w:val="hybridMultilevel"/>
    <w:tmpl w:val="25A4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637B4"/>
    <w:multiLevelType w:val="hybridMultilevel"/>
    <w:tmpl w:val="30A2FCA8"/>
    <w:lvl w:ilvl="0" w:tplc="6DC6C7C4">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22887923"/>
    <w:multiLevelType w:val="hybridMultilevel"/>
    <w:tmpl w:val="E9D2E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2271A5"/>
    <w:multiLevelType w:val="hybridMultilevel"/>
    <w:tmpl w:val="1E10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B6113"/>
    <w:multiLevelType w:val="hybridMultilevel"/>
    <w:tmpl w:val="27CACE08"/>
    <w:lvl w:ilvl="0" w:tplc="C19AC216">
      <w:start w:val="1"/>
      <w:numFmt w:val="bullet"/>
      <w:pStyle w:val="List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E2166E"/>
    <w:multiLevelType w:val="hybridMultilevel"/>
    <w:tmpl w:val="0412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265DB6"/>
    <w:multiLevelType w:val="hybridMultilevel"/>
    <w:tmpl w:val="0566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C826BC"/>
    <w:multiLevelType w:val="multilevel"/>
    <w:tmpl w:val="0409001D"/>
    <w:numStyleLink w:val="ListNumber1"/>
  </w:abstractNum>
  <w:abstractNum w:abstractNumId="14">
    <w:nsid w:val="33434F82"/>
    <w:multiLevelType w:val="multilevel"/>
    <w:tmpl w:val="73AE73DA"/>
    <w:lvl w:ilvl="0">
      <w:start w:val="1"/>
      <w:numFmt w:val="decimal"/>
      <w:pStyle w:val="Heading1"/>
      <w:lvlText w:val="%1."/>
      <w:lvlJc w:val="left"/>
      <w:pPr>
        <w:tabs>
          <w:tab w:val="num" w:pos="720"/>
        </w:tabs>
        <w:ind w:left="720" w:hanging="720"/>
      </w:pPr>
      <w:rPr>
        <w:rFonts w:hint="default"/>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1(%2)"/>
      <w:lvlJc w:val="left"/>
      <w:pPr>
        <w:tabs>
          <w:tab w:val="num" w:pos="1080"/>
        </w:tabs>
        <w:ind w:left="108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720"/>
        </w:tabs>
        <w:ind w:left="720" w:firstLine="0"/>
      </w:pPr>
      <w:rPr>
        <w:rFonts w:ascii="Times New Roman" w:hAnsi="Times New Roman" w:cs="Times New Roman" w:hint="default"/>
        <w:b/>
        <w:i w:val="0"/>
        <w:sz w:val="24"/>
        <w:szCs w:val="24"/>
      </w:rPr>
    </w:lvl>
    <w:lvl w:ilvl="3">
      <w:start w:val="1"/>
      <w:numFmt w:val="decimal"/>
      <w:pStyle w:val="Heading4"/>
      <w:suff w:val="space"/>
      <w:lvlText w:val="%1%2.%3.%4"/>
      <w:lvlJc w:val="left"/>
      <w:pPr>
        <w:ind w:left="720" w:hanging="720"/>
      </w:pPr>
      <w:rPr>
        <w:rFonts w:hint="default"/>
        <w:b/>
        <w:i/>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3E8023E"/>
    <w:multiLevelType w:val="hybridMultilevel"/>
    <w:tmpl w:val="8AE0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183E4D"/>
    <w:multiLevelType w:val="hybridMultilevel"/>
    <w:tmpl w:val="060A1A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CA6369"/>
    <w:multiLevelType w:val="hybridMultilevel"/>
    <w:tmpl w:val="429A8E94"/>
    <w:lvl w:ilvl="0" w:tplc="EBBE991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735418"/>
    <w:multiLevelType w:val="hybridMultilevel"/>
    <w:tmpl w:val="EF74C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6127E0"/>
    <w:multiLevelType w:val="hybridMultilevel"/>
    <w:tmpl w:val="FE3E498A"/>
    <w:lvl w:ilvl="0" w:tplc="1FA084C8">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BE9079B"/>
    <w:multiLevelType w:val="hybridMultilevel"/>
    <w:tmpl w:val="E9E0BB70"/>
    <w:lvl w:ilvl="0" w:tplc="824621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EA27C1"/>
    <w:multiLevelType w:val="hybridMultilevel"/>
    <w:tmpl w:val="1D1AD4D8"/>
    <w:lvl w:ilvl="0" w:tplc="ED18599E">
      <w:start w:val="1"/>
      <w:numFmt w:val="decimal"/>
      <w:pStyle w:val="ListContinue"/>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384034"/>
    <w:multiLevelType w:val="hybridMultilevel"/>
    <w:tmpl w:val="92F8A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B61A7A"/>
    <w:multiLevelType w:val="hybridMultilevel"/>
    <w:tmpl w:val="F9BE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CF52FB"/>
    <w:multiLevelType w:val="hybridMultilevel"/>
    <w:tmpl w:val="5916FB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3C0A59"/>
    <w:multiLevelType w:val="hybridMultilevel"/>
    <w:tmpl w:val="42E4A7D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B8A1689"/>
    <w:multiLevelType w:val="hybridMultilevel"/>
    <w:tmpl w:val="8B4694F0"/>
    <w:lvl w:ilvl="0" w:tplc="65502D9E">
      <w:start w:val="1"/>
      <w:numFmt w:val="upperLetter"/>
      <w:lvlText w:val="%1."/>
      <w:lvlJc w:val="left"/>
      <w:pPr>
        <w:ind w:left="360" w:hanging="432"/>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4C34F5"/>
    <w:multiLevelType w:val="multilevel"/>
    <w:tmpl w:val="0409001D"/>
    <w:styleLink w:val="ListNumber1"/>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nsid w:val="61594CCD"/>
    <w:multiLevelType w:val="hybridMultilevel"/>
    <w:tmpl w:val="8F74E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2063CAD"/>
    <w:multiLevelType w:val="hybridMultilevel"/>
    <w:tmpl w:val="65A6F4F4"/>
    <w:lvl w:ilvl="0" w:tplc="EDE4DE1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366440"/>
    <w:multiLevelType w:val="hybridMultilevel"/>
    <w:tmpl w:val="54546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C8562F"/>
    <w:multiLevelType w:val="hybridMultilevel"/>
    <w:tmpl w:val="FF9CA1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2242891"/>
    <w:multiLevelType w:val="hybridMultilevel"/>
    <w:tmpl w:val="3808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1C6236"/>
    <w:multiLevelType w:val="hybridMultilevel"/>
    <w:tmpl w:val="EC1A2732"/>
    <w:lvl w:ilvl="0" w:tplc="72AEEC40">
      <w:start w:val="1"/>
      <w:numFmt w:val="bullet"/>
      <w:lvlText w:val="•"/>
      <w:lvlJc w:val="left"/>
      <w:pPr>
        <w:tabs>
          <w:tab w:val="num" w:pos="720"/>
        </w:tabs>
        <w:ind w:left="720" w:hanging="360"/>
      </w:pPr>
      <w:rPr>
        <w:rFonts w:ascii="Arial" w:hAnsi="Arial" w:hint="default"/>
      </w:rPr>
    </w:lvl>
    <w:lvl w:ilvl="1" w:tplc="04DE2108" w:tentative="1">
      <w:start w:val="1"/>
      <w:numFmt w:val="bullet"/>
      <w:lvlText w:val="•"/>
      <w:lvlJc w:val="left"/>
      <w:pPr>
        <w:tabs>
          <w:tab w:val="num" w:pos="1440"/>
        </w:tabs>
        <w:ind w:left="1440" w:hanging="360"/>
      </w:pPr>
      <w:rPr>
        <w:rFonts w:ascii="Arial" w:hAnsi="Arial" w:hint="default"/>
      </w:rPr>
    </w:lvl>
    <w:lvl w:ilvl="2" w:tplc="8C10B184" w:tentative="1">
      <w:start w:val="1"/>
      <w:numFmt w:val="bullet"/>
      <w:lvlText w:val="•"/>
      <w:lvlJc w:val="left"/>
      <w:pPr>
        <w:tabs>
          <w:tab w:val="num" w:pos="2160"/>
        </w:tabs>
        <w:ind w:left="2160" w:hanging="360"/>
      </w:pPr>
      <w:rPr>
        <w:rFonts w:ascii="Arial" w:hAnsi="Arial" w:hint="default"/>
      </w:rPr>
    </w:lvl>
    <w:lvl w:ilvl="3" w:tplc="A7C60ABC" w:tentative="1">
      <w:start w:val="1"/>
      <w:numFmt w:val="bullet"/>
      <w:lvlText w:val="•"/>
      <w:lvlJc w:val="left"/>
      <w:pPr>
        <w:tabs>
          <w:tab w:val="num" w:pos="2880"/>
        </w:tabs>
        <w:ind w:left="2880" w:hanging="360"/>
      </w:pPr>
      <w:rPr>
        <w:rFonts w:ascii="Arial" w:hAnsi="Arial" w:hint="default"/>
      </w:rPr>
    </w:lvl>
    <w:lvl w:ilvl="4" w:tplc="3800CC6A" w:tentative="1">
      <w:start w:val="1"/>
      <w:numFmt w:val="bullet"/>
      <w:lvlText w:val="•"/>
      <w:lvlJc w:val="left"/>
      <w:pPr>
        <w:tabs>
          <w:tab w:val="num" w:pos="3600"/>
        </w:tabs>
        <w:ind w:left="3600" w:hanging="360"/>
      </w:pPr>
      <w:rPr>
        <w:rFonts w:ascii="Arial" w:hAnsi="Arial" w:hint="default"/>
      </w:rPr>
    </w:lvl>
    <w:lvl w:ilvl="5" w:tplc="BBC63D16" w:tentative="1">
      <w:start w:val="1"/>
      <w:numFmt w:val="bullet"/>
      <w:lvlText w:val="•"/>
      <w:lvlJc w:val="left"/>
      <w:pPr>
        <w:tabs>
          <w:tab w:val="num" w:pos="4320"/>
        </w:tabs>
        <w:ind w:left="4320" w:hanging="360"/>
      </w:pPr>
      <w:rPr>
        <w:rFonts w:ascii="Arial" w:hAnsi="Arial" w:hint="default"/>
      </w:rPr>
    </w:lvl>
    <w:lvl w:ilvl="6" w:tplc="0A00F3D6" w:tentative="1">
      <w:start w:val="1"/>
      <w:numFmt w:val="bullet"/>
      <w:lvlText w:val="•"/>
      <w:lvlJc w:val="left"/>
      <w:pPr>
        <w:tabs>
          <w:tab w:val="num" w:pos="5040"/>
        </w:tabs>
        <w:ind w:left="5040" w:hanging="360"/>
      </w:pPr>
      <w:rPr>
        <w:rFonts w:ascii="Arial" w:hAnsi="Arial" w:hint="default"/>
      </w:rPr>
    </w:lvl>
    <w:lvl w:ilvl="7" w:tplc="1C98773C" w:tentative="1">
      <w:start w:val="1"/>
      <w:numFmt w:val="bullet"/>
      <w:lvlText w:val="•"/>
      <w:lvlJc w:val="left"/>
      <w:pPr>
        <w:tabs>
          <w:tab w:val="num" w:pos="5760"/>
        </w:tabs>
        <w:ind w:left="5760" w:hanging="360"/>
      </w:pPr>
      <w:rPr>
        <w:rFonts w:ascii="Arial" w:hAnsi="Arial" w:hint="default"/>
      </w:rPr>
    </w:lvl>
    <w:lvl w:ilvl="8" w:tplc="DA661834"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30"/>
  </w:num>
  <w:num w:numId="3">
    <w:abstractNumId w:val="2"/>
  </w:num>
  <w:num w:numId="4">
    <w:abstractNumId w:val="31"/>
  </w:num>
  <w:num w:numId="5">
    <w:abstractNumId w:val="10"/>
  </w:num>
  <w:num w:numId="6">
    <w:abstractNumId w:val="4"/>
  </w:num>
  <w:num w:numId="7">
    <w:abstractNumId w:val="14"/>
  </w:num>
  <w:num w:numId="8">
    <w:abstractNumId w:val="28"/>
  </w:num>
  <w:num w:numId="9">
    <w:abstractNumId w:val="20"/>
  </w:num>
  <w:num w:numId="10">
    <w:abstractNumId w:val="33"/>
  </w:num>
  <w:num w:numId="11">
    <w:abstractNumId w:val="3"/>
  </w:num>
  <w:num w:numId="12">
    <w:abstractNumId w:val="22"/>
  </w:num>
  <w:num w:numId="13">
    <w:abstractNumId w:val="16"/>
  </w:num>
  <w:num w:numId="14">
    <w:abstractNumId w:val="9"/>
  </w:num>
  <w:num w:numId="15">
    <w:abstractNumId w:val="24"/>
  </w:num>
  <w:num w:numId="16">
    <w:abstractNumId w:val="13"/>
  </w:num>
  <w:num w:numId="17">
    <w:abstractNumId w:val="23"/>
  </w:num>
  <w:num w:numId="18">
    <w:abstractNumId w:val="0"/>
  </w:num>
  <w:num w:numId="19">
    <w:abstractNumId w:val="27"/>
  </w:num>
  <w:num w:numId="20">
    <w:abstractNumId w:val="21"/>
  </w:num>
  <w:num w:numId="21">
    <w:abstractNumId w:val="19"/>
  </w:num>
  <w:num w:numId="22">
    <w:abstractNumId w:val="8"/>
  </w:num>
  <w:num w:numId="23">
    <w:abstractNumId w:val="6"/>
  </w:num>
  <w:num w:numId="24">
    <w:abstractNumId w:val="32"/>
  </w:num>
  <w:num w:numId="25">
    <w:abstractNumId w:val="5"/>
  </w:num>
  <w:num w:numId="26">
    <w:abstractNumId w:val="11"/>
  </w:num>
  <w:num w:numId="27">
    <w:abstractNumId w:val="12"/>
  </w:num>
  <w:num w:numId="28">
    <w:abstractNumId w:val="15"/>
  </w:num>
  <w:num w:numId="29">
    <w:abstractNumId w:val="1"/>
  </w:num>
  <w:num w:numId="30">
    <w:abstractNumId w:val="26"/>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9"/>
  </w:num>
  <w:num w:numId="34">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44"/>
    <w:rsid w:val="00001023"/>
    <w:rsid w:val="0000151B"/>
    <w:rsid w:val="0000193A"/>
    <w:rsid w:val="000034FC"/>
    <w:rsid w:val="000037EF"/>
    <w:rsid w:val="00003E7C"/>
    <w:rsid w:val="000048B1"/>
    <w:rsid w:val="00005782"/>
    <w:rsid w:val="00006E78"/>
    <w:rsid w:val="0000719D"/>
    <w:rsid w:val="00010B2D"/>
    <w:rsid w:val="000123E4"/>
    <w:rsid w:val="000130AD"/>
    <w:rsid w:val="000132A1"/>
    <w:rsid w:val="000140E5"/>
    <w:rsid w:val="00020307"/>
    <w:rsid w:val="00022174"/>
    <w:rsid w:val="000231F0"/>
    <w:rsid w:val="00023B5A"/>
    <w:rsid w:val="00024924"/>
    <w:rsid w:val="00026827"/>
    <w:rsid w:val="000277B2"/>
    <w:rsid w:val="00030478"/>
    <w:rsid w:val="000342CD"/>
    <w:rsid w:val="00036D45"/>
    <w:rsid w:val="0004000D"/>
    <w:rsid w:val="000404E0"/>
    <w:rsid w:val="00040C06"/>
    <w:rsid w:val="00042DB5"/>
    <w:rsid w:val="00044368"/>
    <w:rsid w:val="00045C8D"/>
    <w:rsid w:val="00047DBB"/>
    <w:rsid w:val="00050BAA"/>
    <w:rsid w:val="00050F6F"/>
    <w:rsid w:val="0005160D"/>
    <w:rsid w:val="00052D8F"/>
    <w:rsid w:val="0005506A"/>
    <w:rsid w:val="0005600B"/>
    <w:rsid w:val="000568E8"/>
    <w:rsid w:val="00063270"/>
    <w:rsid w:val="0006418F"/>
    <w:rsid w:val="00065B71"/>
    <w:rsid w:val="00071382"/>
    <w:rsid w:val="000713D4"/>
    <w:rsid w:val="0007649A"/>
    <w:rsid w:val="00076595"/>
    <w:rsid w:val="00076B12"/>
    <w:rsid w:val="00081907"/>
    <w:rsid w:val="0008389A"/>
    <w:rsid w:val="00084DD5"/>
    <w:rsid w:val="00085647"/>
    <w:rsid w:val="000859A8"/>
    <w:rsid w:val="0008635A"/>
    <w:rsid w:val="00086579"/>
    <w:rsid w:val="000868C2"/>
    <w:rsid w:val="00087B66"/>
    <w:rsid w:val="00091CA9"/>
    <w:rsid w:val="0009270C"/>
    <w:rsid w:val="00093970"/>
    <w:rsid w:val="00093B28"/>
    <w:rsid w:val="00094DD3"/>
    <w:rsid w:val="00095D5F"/>
    <w:rsid w:val="00096EC5"/>
    <w:rsid w:val="000A3BC6"/>
    <w:rsid w:val="000A3E60"/>
    <w:rsid w:val="000A4973"/>
    <w:rsid w:val="000A5024"/>
    <w:rsid w:val="000A58FE"/>
    <w:rsid w:val="000A6EC3"/>
    <w:rsid w:val="000B0108"/>
    <w:rsid w:val="000B1ACA"/>
    <w:rsid w:val="000B2908"/>
    <w:rsid w:val="000C026B"/>
    <w:rsid w:val="000C0879"/>
    <w:rsid w:val="000C191A"/>
    <w:rsid w:val="000C231D"/>
    <w:rsid w:val="000C25A5"/>
    <w:rsid w:val="000C25C0"/>
    <w:rsid w:val="000C25CE"/>
    <w:rsid w:val="000C2C17"/>
    <w:rsid w:val="000C2F38"/>
    <w:rsid w:val="000C3602"/>
    <w:rsid w:val="000C40CE"/>
    <w:rsid w:val="000C491A"/>
    <w:rsid w:val="000C5092"/>
    <w:rsid w:val="000D10FF"/>
    <w:rsid w:val="000D200D"/>
    <w:rsid w:val="000D2D6D"/>
    <w:rsid w:val="000D503F"/>
    <w:rsid w:val="000D52FB"/>
    <w:rsid w:val="000D531B"/>
    <w:rsid w:val="000D66EC"/>
    <w:rsid w:val="000E00E7"/>
    <w:rsid w:val="000E0B06"/>
    <w:rsid w:val="000E1479"/>
    <w:rsid w:val="000E24D5"/>
    <w:rsid w:val="000E2C54"/>
    <w:rsid w:val="000E3045"/>
    <w:rsid w:val="000E3BE8"/>
    <w:rsid w:val="000E3F9C"/>
    <w:rsid w:val="000E600B"/>
    <w:rsid w:val="000E7620"/>
    <w:rsid w:val="000F1C92"/>
    <w:rsid w:val="000F290B"/>
    <w:rsid w:val="000F3608"/>
    <w:rsid w:val="000F4DE5"/>
    <w:rsid w:val="000F5A63"/>
    <w:rsid w:val="000F5F27"/>
    <w:rsid w:val="000F60D0"/>
    <w:rsid w:val="000F6439"/>
    <w:rsid w:val="000F6615"/>
    <w:rsid w:val="00100514"/>
    <w:rsid w:val="001006FB"/>
    <w:rsid w:val="001007E6"/>
    <w:rsid w:val="00100A40"/>
    <w:rsid w:val="00101277"/>
    <w:rsid w:val="0010127A"/>
    <w:rsid w:val="00102313"/>
    <w:rsid w:val="001033D4"/>
    <w:rsid w:val="00104EF7"/>
    <w:rsid w:val="001056CD"/>
    <w:rsid w:val="001056D5"/>
    <w:rsid w:val="00106FB0"/>
    <w:rsid w:val="00114110"/>
    <w:rsid w:val="0011600C"/>
    <w:rsid w:val="00117319"/>
    <w:rsid w:val="001177C2"/>
    <w:rsid w:val="00117A17"/>
    <w:rsid w:val="00122904"/>
    <w:rsid w:val="00124475"/>
    <w:rsid w:val="00124A5A"/>
    <w:rsid w:val="00126016"/>
    <w:rsid w:val="0012676E"/>
    <w:rsid w:val="001273FE"/>
    <w:rsid w:val="00131C7B"/>
    <w:rsid w:val="00132848"/>
    <w:rsid w:val="0013288F"/>
    <w:rsid w:val="00134695"/>
    <w:rsid w:val="00134778"/>
    <w:rsid w:val="00136E87"/>
    <w:rsid w:val="00142C83"/>
    <w:rsid w:val="00143215"/>
    <w:rsid w:val="0014338C"/>
    <w:rsid w:val="00144927"/>
    <w:rsid w:val="001450FF"/>
    <w:rsid w:val="001454D1"/>
    <w:rsid w:val="0014602A"/>
    <w:rsid w:val="001462C0"/>
    <w:rsid w:val="00150181"/>
    <w:rsid w:val="001503BB"/>
    <w:rsid w:val="0015092F"/>
    <w:rsid w:val="001510E1"/>
    <w:rsid w:val="00153D46"/>
    <w:rsid w:val="00153E81"/>
    <w:rsid w:val="001543E3"/>
    <w:rsid w:val="00157550"/>
    <w:rsid w:val="00157676"/>
    <w:rsid w:val="00160301"/>
    <w:rsid w:val="00161393"/>
    <w:rsid w:val="00163046"/>
    <w:rsid w:val="001646F6"/>
    <w:rsid w:val="00165CD2"/>
    <w:rsid w:val="001671FE"/>
    <w:rsid w:val="001707E7"/>
    <w:rsid w:val="00170E58"/>
    <w:rsid w:val="00174B72"/>
    <w:rsid w:val="001757D5"/>
    <w:rsid w:val="00175902"/>
    <w:rsid w:val="0017649F"/>
    <w:rsid w:val="0018316F"/>
    <w:rsid w:val="001836BC"/>
    <w:rsid w:val="00185742"/>
    <w:rsid w:val="00185D89"/>
    <w:rsid w:val="00187A77"/>
    <w:rsid w:val="00190F1C"/>
    <w:rsid w:val="00191A0C"/>
    <w:rsid w:val="00193490"/>
    <w:rsid w:val="001935F8"/>
    <w:rsid w:val="001938DE"/>
    <w:rsid w:val="00193C3C"/>
    <w:rsid w:val="00193F80"/>
    <w:rsid w:val="001953DE"/>
    <w:rsid w:val="00195ECD"/>
    <w:rsid w:val="001A0B53"/>
    <w:rsid w:val="001A0B85"/>
    <w:rsid w:val="001A10F7"/>
    <w:rsid w:val="001A41E6"/>
    <w:rsid w:val="001A4C49"/>
    <w:rsid w:val="001A51E3"/>
    <w:rsid w:val="001A5F13"/>
    <w:rsid w:val="001A686C"/>
    <w:rsid w:val="001B1C0B"/>
    <w:rsid w:val="001B2926"/>
    <w:rsid w:val="001B4E1A"/>
    <w:rsid w:val="001B6BEE"/>
    <w:rsid w:val="001B7809"/>
    <w:rsid w:val="001B7C18"/>
    <w:rsid w:val="001C0C7E"/>
    <w:rsid w:val="001C2375"/>
    <w:rsid w:val="001C4388"/>
    <w:rsid w:val="001C4D6B"/>
    <w:rsid w:val="001D07B2"/>
    <w:rsid w:val="001D213D"/>
    <w:rsid w:val="001D238D"/>
    <w:rsid w:val="001D25A8"/>
    <w:rsid w:val="001D3214"/>
    <w:rsid w:val="001D368C"/>
    <w:rsid w:val="001D5B63"/>
    <w:rsid w:val="001D6DB0"/>
    <w:rsid w:val="001D747A"/>
    <w:rsid w:val="001D7B05"/>
    <w:rsid w:val="001E1685"/>
    <w:rsid w:val="001E3355"/>
    <w:rsid w:val="001E6070"/>
    <w:rsid w:val="001E6B68"/>
    <w:rsid w:val="001F24DF"/>
    <w:rsid w:val="001F3A86"/>
    <w:rsid w:val="001F5A67"/>
    <w:rsid w:val="00201F9A"/>
    <w:rsid w:val="00205802"/>
    <w:rsid w:val="00205E8D"/>
    <w:rsid w:val="00210DCA"/>
    <w:rsid w:val="002115ED"/>
    <w:rsid w:val="00212A19"/>
    <w:rsid w:val="00213570"/>
    <w:rsid w:val="0021370F"/>
    <w:rsid w:val="00220B99"/>
    <w:rsid w:val="00221B51"/>
    <w:rsid w:val="002221D6"/>
    <w:rsid w:val="002229FD"/>
    <w:rsid w:val="00223DBF"/>
    <w:rsid w:val="002246C4"/>
    <w:rsid w:val="00224869"/>
    <w:rsid w:val="002264BE"/>
    <w:rsid w:val="00226821"/>
    <w:rsid w:val="00227E05"/>
    <w:rsid w:val="002300FF"/>
    <w:rsid w:val="00230ADB"/>
    <w:rsid w:val="00230BC8"/>
    <w:rsid w:val="002338C7"/>
    <w:rsid w:val="00234F59"/>
    <w:rsid w:val="00235395"/>
    <w:rsid w:val="002356D0"/>
    <w:rsid w:val="0023571C"/>
    <w:rsid w:val="00240A8F"/>
    <w:rsid w:val="00240D08"/>
    <w:rsid w:val="002411A1"/>
    <w:rsid w:val="002417DE"/>
    <w:rsid w:val="002420A7"/>
    <w:rsid w:val="00242AE8"/>
    <w:rsid w:val="00247B60"/>
    <w:rsid w:val="00254169"/>
    <w:rsid w:val="00254565"/>
    <w:rsid w:val="002576FE"/>
    <w:rsid w:val="00260B5E"/>
    <w:rsid w:val="00262BEC"/>
    <w:rsid w:val="002635CB"/>
    <w:rsid w:val="00263B77"/>
    <w:rsid w:val="002667E2"/>
    <w:rsid w:val="00266AD2"/>
    <w:rsid w:val="00272F4D"/>
    <w:rsid w:val="00275024"/>
    <w:rsid w:val="00280548"/>
    <w:rsid w:val="00280B76"/>
    <w:rsid w:val="00281719"/>
    <w:rsid w:val="0028217F"/>
    <w:rsid w:val="00282359"/>
    <w:rsid w:val="00284894"/>
    <w:rsid w:val="00285C2E"/>
    <w:rsid w:val="002879AF"/>
    <w:rsid w:val="00290375"/>
    <w:rsid w:val="00290E29"/>
    <w:rsid w:val="00291313"/>
    <w:rsid w:val="002918AA"/>
    <w:rsid w:val="00291A46"/>
    <w:rsid w:val="00291AFE"/>
    <w:rsid w:val="00291F3B"/>
    <w:rsid w:val="00294C0F"/>
    <w:rsid w:val="002A10EE"/>
    <w:rsid w:val="002A3D63"/>
    <w:rsid w:val="002A405A"/>
    <w:rsid w:val="002A4582"/>
    <w:rsid w:val="002A4B0A"/>
    <w:rsid w:val="002A5029"/>
    <w:rsid w:val="002A60F4"/>
    <w:rsid w:val="002A6C64"/>
    <w:rsid w:val="002A7ADA"/>
    <w:rsid w:val="002B055C"/>
    <w:rsid w:val="002B2BD9"/>
    <w:rsid w:val="002B2F07"/>
    <w:rsid w:val="002B3AB8"/>
    <w:rsid w:val="002B60C7"/>
    <w:rsid w:val="002B7BDC"/>
    <w:rsid w:val="002B7BE3"/>
    <w:rsid w:val="002C01AD"/>
    <w:rsid w:val="002C0E6F"/>
    <w:rsid w:val="002C0E92"/>
    <w:rsid w:val="002C1543"/>
    <w:rsid w:val="002C285B"/>
    <w:rsid w:val="002C4223"/>
    <w:rsid w:val="002C67B6"/>
    <w:rsid w:val="002C76D1"/>
    <w:rsid w:val="002C7A9A"/>
    <w:rsid w:val="002C7E5A"/>
    <w:rsid w:val="002D20C9"/>
    <w:rsid w:val="002D21BF"/>
    <w:rsid w:val="002D2E74"/>
    <w:rsid w:val="002D32DE"/>
    <w:rsid w:val="002D3D60"/>
    <w:rsid w:val="002D63B7"/>
    <w:rsid w:val="002E0424"/>
    <w:rsid w:val="002E0CCA"/>
    <w:rsid w:val="002E1304"/>
    <w:rsid w:val="002E2230"/>
    <w:rsid w:val="002E25E7"/>
    <w:rsid w:val="002E4675"/>
    <w:rsid w:val="002F0AD4"/>
    <w:rsid w:val="002F29F3"/>
    <w:rsid w:val="002F3D90"/>
    <w:rsid w:val="002F48B9"/>
    <w:rsid w:val="002F71DB"/>
    <w:rsid w:val="00300511"/>
    <w:rsid w:val="003019B7"/>
    <w:rsid w:val="00301D74"/>
    <w:rsid w:val="003046B6"/>
    <w:rsid w:val="0030492D"/>
    <w:rsid w:val="0030529E"/>
    <w:rsid w:val="003062F7"/>
    <w:rsid w:val="00307E21"/>
    <w:rsid w:val="00310FA5"/>
    <w:rsid w:val="003119C8"/>
    <w:rsid w:val="00313702"/>
    <w:rsid w:val="00313FF7"/>
    <w:rsid w:val="00315865"/>
    <w:rsid w:val="003169B3"/>
    <w:rsid w:val="0031745F"/>
    <w:rsid w:val="00321074"/>
    <w:rsid w:val="00322341"/>
    <w:rsid w:val="003227C0"/>
    <w:rsid w:val="00323AB8"/>
    <w:rsid w:val="00323E1C"/>
    <w:rsid w:val="00324E71"/>
    <w:rsid w:val="00325811"/>
    <w:rsid w:val="00326EED"/>
    <w:rsid w:val="00330732"/>
    <w:rsid w:val="00330FB9"/>
    <w:rsid w:val="00331AE5"/>
    <w:rsid w:val="003336C6"/>
    <w:rsid w:val="0033469A"/>
    <w:rsid w:val="00335B33"/>
    <w:rsid w:val="003366FC"/>
    <w:rsid w:val="00340417"/>
    <w:rsid w:val="00342153"/>
    <w:rsid w:val="0034667E"/>
    <w:rsid w:val="00352A94"/>
    <w:rsid w:val="00354FB4"/>
    <w:rsid w:val="0035670B"/>
    <w:rsid w:val="00357047"/>
    <w:rsid w:val="00357362"/>
    <w:rsid w:val="003577EE"/>
    <w:rsid w:val="00357FBC"/>
    <w:rsid w:val="003615E6"/>
    <w:rsid w:val="00365145"/>
    <w:rsid w:val="00365CC1"/>
    <w:rsid w:val="003665CF"/>
    <w:rsid w:val="003719C0"/>
    <w:rsid w:val="00374C9F"/>
    <w:rsid w:val="00377AAB"/>
    <w:rsid w:val="00377AF4"/>
    <w:rsid w:val="00380B9C"/>
    <w:rsid w:val="00380EE0"/>
    <w:rsid w:val="003812B0"/>
    <w:rsid w:val="003815E5"/>
    <w:rsid w:val="0038429F"/>
    <w:rsid w:val="003853E4"/>
    <w:rsid w:val="003867F5"/>
    <w:rsid w:val="00387EBE"/>
    <w:rsid w:val="00390359"/>
    <w:rsid w:val="00392801"/>
    <w:rsid w:val="00392A91"/>
    <w:rsid w:val="00392D59"/>
    <w:rsid w:val="00395A33"/>
    <w:rsid w:val="00396D04"/>
    <w:rsid w:val="003A112A"/>
    <w:rsid w:val="003A224F"/>
    <w:rsid w:val="003A4CA4"/>
    <w:rsid w:val="003A695D"/>
    <w:rsid w:val="003B0CF3"/>
    <w:rsid w:val="003B17AA"/>
    <w:rsid w:val="003B254F"/>
    <w:rsid w:val="003B2835"/>
    <w:rsid w:val="003B2AFC"/>
    <w:rsid w:val="003B3A5B"/>
    <w:rsid w:val="003B435E"/>
    <w:rsid w:val="003B50C1"/>
    <w:rsid w:val="003B51DD"/>
    <w:rsid w:val="003B58C0"/>
    <w:rsid w:val="003B59E5"/>
    <w:rsid w:val="003B7E25"/>
    <w:rsid w:val="003C2691"/>
    <w:rsid w:val="003C612A"/>
    <w:rsid w:val="003C7B87"/>
    <w:rsid w:val="003D0229"/>
    <w:rsid w:val="003D15FF"/>
    <w:rsid w:val="003D2702"/>
    <w:rsid w:val="003D39A9"/>
    <w:rsid w:val="003D3EBB"/>
    <w:rsid w:val="003D4487"/>
    <w:rsid w:val="003D4D2F"/>
    <w:rsid w:val="003D58A1"/>
    <w:rsid w:val="003D5A51"/>
    <w:rsid w:val="003D6AAD"/>
    <w:rsid w:val="003E2A57"/>
    <w:rsid w:val="003E2EFD"/>
    <w:rsid w:val="003E37B6"/>
    <w:rsid w:val="003E40AA"/>
    <w:rsid w:val="003E4D8A"/>
    <w:rsid w:val="003E5AB2"/>
    <w:rsid w:val="003E6367"/>
    <w:rsid w:val="003E7337"/>
    <w:rsid w:val="003F4ACB"/>
    <w:rsid w:val="003F61A5"/>
    <w:rsid w:val="003F6B68"/>
    <w:rsid w:val="00400EC1"/>
    <w:rsid w:val="00401D1E"/>
    <w:rsid w:val="00402E0D"/>
    <w:rsid w:val="004040D5"/>
    <w:rsid w:val="004045A4"/>
    <w:rsid w:val="00404BD0"/>
    <w:rsid w:val="004063DF"/>
    <w:rsid w:val="004064BD"/>
    <w:rsid w:val="004066F5"/>
    <w:rsid w:val="00406857"/>
    <w:rsid w:val="00406E2E"/>
    <w:rsid w:val="00407675"/>
    <w:rsid w:val="00411E30"/>
    <w:rsid w:val="00412323"/>
    <w:rsid w:val="00414BDF"/>
    <w:rsid w:val="004153FD"/>
    <w:rsid w:val="004167B8"/>
    <w:rsid w:val="0041738E"/>
    <w:rsid w:val="00421504"/>
    <w:rsid w:val="004225FD"/>
    <w:rsid w:val="004243AE"/>
    <w:rsid w:val="0042526D"/>
    <w:rsid w:val="004277F9"/>
    <w:rsid w:val="0043065E"/>
    <w:rsid w:val="00431394"/>
    <w:rsid w:val="00432AF5"/>
    <w:rsid w:val="004340F3"/>
    <w:rsid w:val="0043463F"/>
    <w:rsid w:val="00434FC5"/>
    <w:rsid w:val="00435F37"/>
    <w:rsid w:val="004363E2"/>
    <w:rsid w:val="00441D73"/>
    <w:rsid w:val="00442E59"/>
    <w:rsid w:val="00443515"/>
    <w:rsid w:val="00443E78"/>
    <w:rsid w:val="00444002"/>
    <w:rsid w:val="004503F7"/>
    <w:rsid w:val="004523B1"/>
    <w:rsid w:val="00452D76"/>
    <w:rsid w:val="00452F79"/>
    <w:rsid w:val="00453470"/>
    <w:rsid w:val="004556C2"/>
    <w:rsid w:val="004579CA"/>
    <w:rsid w:val="004605AC"/>
    <w:rsid w:val="004636C4"/>
    <w:rsid w:val="00464DC6"/>
    <w:rsid w:val="0046756F"/>
    <w:rsid w:val="00473FCE"/>
    <w:rsid w:val="004777D7"/>
    <w:rsid w:val="00481BDB"/>
    <w:rsid w:val="004912B8"/>
    <w:rsid w:val="0049253D"/>
    <w:rsid w:val="00492956"/>
    <w:rsid w:val="00494D27"/>
    <w:rsid w:val="0049528D"/>
    <w:rsid w:val="00495A25"/>
    <w:rsid w:val="004A1547"/>
    <w:rsid w:val="004A1FF4"/>
    <w:rsid w:val="004A2583"/>
    <w:rsid w:val="004A583E"/>
    <w:rsid w:val="004A6953"/>
    <w:rsid w:val="004B0910"/>
    <w:rsid w:val="004B0CA0"/>
    <w:rsid w:val="004B10E4"/>
    <w:rsid w:val="004B1887"/>
    <w:rsid w:val="004B1CD9"/>
    <w:rsid w:val="004B2E6E"/>
    <w:rsid w:val="004B36E5"/>
    <w:rsid w:val="004B4B28"/>
    <w:rsid w:val="004B52CA"/>
    <w:rsid w:val="004B67E4"/>
    <w:rsid w:val="004B69EB"/>
    <w:rsid w:val="004B7C7A"/>
    <w:rsid w:val="004C02EF"/>
    <w:rsid w:val="004C1960"/>
    <w:rsid w:val="004C1CD1"/>
    <w:rsid w:val="004C40A5"/>
    <w:rsid w:val="004C6DE3"/>
    <w:rsid w:val="004C770B"/>
    <w:rsid w:val="004D049A"/>
    <w:rsid w:val="004D06B8"/>
    <w:rsid w:val="004D08D3"/>
    <w:rsid w:val="004D31E3"/>
    <w:rsid w:val="004D337A"/>
    <w:rsid w:val="004D4A44"/>
    <w:rsid w:val="004D4DC1"/>
    <w:rsid w:val="004E195C"/>
    <w:rsid w:val="004E2468"/>
    <w:rsid w:val="004E3EC1"/>
    <w:rsid w:val="004E6DE2"/>
    <w:rsid w:val="004F08FD"/>
    <w:rsid w:val="004F1DD8"/>
    <w:rsid w:val="004F2183"/>
    <w:rsid w:val="004F259C"/>
    <w:rsid w:val="004F3ED6"/>
    <w:rsid w:val="004F4DA7"/>
    <w:rsid w:val="004F5039"/>
    <w:rsid w:val="004F6766"/>
    <w:rsid w:val="004F6802"/>
    <w:rsid w:val="004F6E79"/>
    <w:rsid w:val="00500C7F"/>
    <w:rsid w:val="005028B4"/>
    <w:rsid w:val="00502BC7"/>
    <w:rsid w:val="005059CD"/>
    <w:rsid w:val="005059CE"/>
    <w:rsid w:val="0050672B"/>
    <w:rsid w:val="00507A12"/>
    <w:rsid w:val="00507E0A"/>
    <w:rsid w:val="005116AB"/>
    <w:rsid w:val="00512292"/>
    <w:rsid w:val="00512FF6"/>
    <w:rsid w:val="00513434"/>
    <w:rsid w:val="005141A2"/>
    <w:rsid w:val="00515FDE"/>
    <w:rsid w:val="0052026A"/>
    <w:rsid w:val="0052163C"/>
    <w:rsid w:val="0052362B"/>
    <w:rsid w:val="00524BD3"/>
    <w:rsid w:val="005252B2"/>
    <w:rsid w:val="00525B80"/>
    <w:rsid w:val="00527E74"/>
    <w:rsid w:val="0053044F"/>
    <w:rsid w:val="00531B9A"/>
    <w:rsid w:val="00531C86"/>
    <w:rsid w:val="00531F2F"/>
    <w:rsid w:val="00533DC3"/>
    <w:rsid w:val="0053704B"/>
    <w:rsid w:val="00537988"/>
    <w:rsid w:val="00537A6F"/>
    <w:rsid w:val="00537CCA"/>
    <w:rsid w:val="00541ACA"/>
    <w:rsid w:val="005434FB"/>
    <w:rsid w:val="00543A95"/>
    <w:rsid w:val="00544ACE"/>
    <w:rsid w:val="005508C4"/>
    <w:rsid w:val="00551A14"/>
    <w:rsid w:val="0055276B"/>
    <w:rsid w:val="00557ADC"/>
    <w:rsid w:val="0056276A"/>
    <w:rsid w:val="0056396E"/>
    <w:rsid w:val="00564890"/>
    <w:rsid w:val="0056533F"/>
    <w:rsid w:val="00570390"/>
    <w:rsid w:val="00571292"/>
    <w:rsid w:val="00571BF5"/>
    <w:rsid w:val="00571C32"/>
    <w:rsid w:val="00572568"/>
    <w:rsid w:val="00577417"/>
    <w:rsid w:val="00577964"/>
    <w:rsid w:val="00577D5E"/>
    <w:rsid w:val="0058003B"/>
    <w:rsid w:val="00580682"/>
    <w:rsid w:val="005817BE"/>
    <w:rsid w:val="00581E3A"/>
    <w:rsid w:val="00584352"/>
    <w:rsid w:val="00584F5A"/>
    <w:rsid w:val="00587104"/>
    <w:rsid w:val="005938A0"/>
    <w:rsid w:val="00593BF8"/>
    <w:rsid w:val="00594266"/>
    <w:rsid w:val="005A266A"/>
    <w:rsid w:val="005A2AD5"/>
    <w:rsid w:val="005A4220"/>
    <w:rsid w:val="005A5D3B"/>
    <w:rsid w:val="005A70A5"/>
    <w:rsid w:val="005B0A17"/>
    <w:rsid w:val="005B0DA1"/>
    <w:rsid w:val="005B33BA"/>
    <w:rsid w:val="005B364A"/>
    <w:rsid w:val="005C0271"/>
    <w:rsid w:val="005C1CAC"/>
    <w:rsid w:val="005C2F7D"/>
    <w:rsid w:val="005C345A"/>
    <w:rsid w:val="005C64E3"/>
    <w:rsid w:val="005C661A"/>
    <w:rsid w:val="005C682A"/>
    <w:rsid w:val="005D4CF2"/>
    <w:rsid w:val="005D54CC"/>
    <w:rsid w:val="005D657C"/>
    <w:rsid w:val="005D6A86"/>
    <w:rsid w:val="005D7E7C"/>
    <w:rsid w:val="005E2D30"/>
    <w:rsid w:val="005E3032"/>
    <w:rsid w:val="005E33CC"/>
    <w:rsid w:val="005E45D4"/>
    <w:rsid w:val="005E4D08"/>
    <w:rsid w:val="005E75A2"/>
    <w:rsid w:val="005F2A04"/>
    <w:rsid w:val="005F3C21"/>
    <w:rsid w:val="005F51FB"/>
    <w:rsid w:val="005F56D6"/>
    <w:rsid w:val="005F7D5C"/>
    <w:rsid w:val="006011E4"/>
    <w:rsid w:val="00603898"/>
    <w:rsid w:val="00603C5B"/>
    <w:rsid w:val="006052E0"/>
    <w:rsid w:val="00606149"/>
    <w:rsid w:val="00607A10"/>
    <w:rsid w:val="006108D4"/>
    <w:rsid w:val="006114F6"/>
    <w:rsid w:val="00613CDC"/>
    <w:rsid w:val="006168F4"/>
    <w:rsid w:val="00617F03"/>
    <w:rsid w:val="00620AFD"/>
    <w:rsid w:val="00621CBC"/>
    <w:rsid w:val="0062223C"/>
    <w:rsid w:val="00622CA3"/>
    <w:rsid w:val="006246FB"/>
    <w:rsid w:val="00626157"/>
    <w:rsid w:val="00627015"/>
    <w:rsid w:val="006304A9"/>
    <w:rsid w:val="0063176C"/>
    <w:rsid w:val="0063242D"/>
    <w:rsid w:val="00634C7E"/>
    <w:rsid w:val="00636488"/>
    <w:rsid w:val="00640BDB"/>
    <w:rsid w:val="006416F7"/>
    <w:rsid w:val="00643287"/>
    <w:rsid w:val="0064382D"/>
    <w:rsid w:val="0064463B"/>
    <w:rsid w:val="00644DFC"/>
    <w:rsid w:val="00646372"/>
    <w:rsid w:val="00646A87"/>
    <w:rsid w:val="0064701D"/>
    <w:rsid w:val="00647186"/>
    <w:rsid w:val="00647DB8"/>
    <w:rsid w:val="00647F3D"/>
    <w:rsid w:val="00650738"/>
    <w:rsid w:val="00652FB2"/>
    <w:rsid w:val="00654885"/>
    <w:rsid w:val="00655376"/>
    <w:rsid w:val="00656750"/>
    <w:rsid w:val="006567EE"/>
    <w:rsid w:val="00660C07"/>
    <w:rsid w:val="00661442"/>
    <w:rsid w:val="00661730"/>
    <w:rsid w:val="00662527"/>
    <w:rsid w:val="00662F48"/>
    <w:rsid w:val="00663C07"/>
    <w:rsid w:val="00665479"/>
    <w:rsid w:val="00666638"/>
    <w:rsid w:val="006674C3"/>
    <w:rsid w:val="00667A4E"/>
    <w:rsid w:val="006701EC"/>
    <w:rsid w:val="00670462"/>
    <w:rsid w:val="00672DD1"/>
    <w:rsid w:val="00673097"/>
    <w:rsid w:val="006732B1"/>
    <w:rsid w:val="00674A64"/>
    <w:rsid w:val="006833BF"/>
    <w:rsid w:val="00684860"/>
    <w:rsid w:val="00685929"/>
    <w:rsid w:val="00686490"/>
    <w:rsid w:val="00687DD3"/>
    <w:rsid w:val="006910B3"/>
    <w:rsid w:val="006918E2"/>
    <w:rsid w:val="006918FF"/>
    <w:rsid w:val="00691CDA"/>
    <w:rsid w:val="00693A3F"/>
    <w:rsid w:val="0069549C"/>
    <w:rsid w:val="006956AF"/>
    <w:rsid w:val="006A0537"/>
    <w:rsid w:val="006A3552"/>
    <w:rsid w:val="006A6E96"/>
    <w:rsid w:val="006A7E9B"/>
    <w:rsid w:val="006B0030"/>
    <w:rsid w:val="006B0313"/>
    <w:rsid w:val="006B4F67"/>
    <w:rsid w:val="006B5ACD"/>
    <w:rsid w:val="006B66FB"/>
    <w:rsid w:val="006C2C19"/>
    <w:rsid w:val="006C3073"/>
    <w:rsid w:val="006C618D"/>
    <w:rsid w:val="006C66C5"/>
    <w:rsid w:val="006D1F9D"/>
    <w:rsid w:val="006D4C03"/>
    <w:rsid w:val="006D5F05"/>
    <w:rsid w:val="006D706B"/>
    <w:rsid w:val="006E1EF1"/>
    <w:rsid w:val="006E65C5"/>
    <w:rsid w:val="006E7465"/>
    <w:rsid w:val="006F0242"/>
    <w:rsid w:val="006F0813"/>
    <w:rsid w:val="006F0C3C"/>
    <w:rsid w:val="006F1146"/>
    <w:rsid w:val="006F1223"/>
    <w:rsid w:val="006F15DF"/>
    <w:rsid w:val="006F1E98"/>
    <w:rsid w:val="006F3079"/>
    <w:rsid w:val="006F4662"/>
    <w:rsid w:val="006F4751"/>
    <w:rsid w:val="00702608"/>
    <w:rsid w:val="007028A2"/>
    <w:rsid w:val="00703458"/>
    <w:rsid w:val="00703B94"/>
    <w:rsid w:val="0070504C"/>
    <w:rsid w:val="0070709A"/>
    <w:rsid w:val="00707DAA"/>
    <w:rsid w:val="0071076A"/>
    <w:rsid w:val="00711BB3"/>
    <w:rsid w:val="00716510"/>
    <w:rsid w:val="00720492"/>
    <w:rsid w:val="0072137A"/>
    <w:rsid w:val="007213AF"/>
    <w:rsid w:val="0072239A"/>
    <w:rsid w:val="00723200"/>
    <w:rsid w:val="0072325C"/>
    <w:rsid w:val="00724285"/>
    <w:rsid w:val="007268F0"/>
    <w:rsid w:val="00726F3B"/>
    <w:rsid w:val="00730F4B"/>
    <w:rsid w:val="007317FE"/>
    <w:rsid w:val="007327AC"/>
    <w:rsid w:val="00732D68"/>
    <w:rsid w:val="0073332B"/>
    <w:rsid w:val="0073618A"/>
    <w:rsid w:val="007363E0"/>
    <w:rsid w:val="00737772"/>
    <w:rsid w:val="0074011A"/>
    <w:rsid w:val="00740EF4"/>
    <w:rsid w:val="00741ADA"/>
    <w:rsid w:val="00742A87"/>
    <w:rsid w:val="007443D8"/>
    <w:rsid w:val="00744A0D"/>
    <w:rsid w:val="00745D9A"/>
    <w:rsid w:val="00746675"/>
    <w:rsid w:val="007518C5"/>
    <w:rsid w:val="00753C16"/>
    <w:rsid w:val="0075788E"/>
    <w:rsid w:val="00760526"/>
    <w:rsid w:val="00762488"/>
    <w:rsid w:val="007624BE"/>
    <w:rsid w:val="00764871"/>
    <w:rsid w:val="007651AC"/>
    <w:rsid w:val="00765370"/>
    <w:rsid w:val="00765D23"/>
    <w:rsid w:val="00766E5F"/>
    <w:rsid w:val="00770491"/>
    <w:rsid w:val="00770498"/>
    <w:rsid w:val="00770A1F"/>
    <w:rsid w:val="00772947"/>
    <w:rsid w:val="00772CAF"/>
    <w:rsid w:val="00773CB0"/>
    <w:rsid w:val="007761BA"/>
    <w:rsid w:val="00780003"/>
    <w:rsid w:val="007807FD"/>
    <w:rsid w:val="007827E2"/>
    <w:rsid w:val="00783D7F"/>
    <w:rsid w:val="00784EC0"/>
    <w:rsid w:val="0078547B"/>
    <w:rsid w:val="0078602A"/>
    <w:rsid w:val="007869C1"/>
    <w:rsid w:val="00787A3B"/>
    <w:rsid w:val="007907EF"/>
    <w:rsid w:val="00791405"/>
    <w:rsid w:val="00791965"/>
    <w:rsid w:val="00793A66"/>
    <w:rsid w:val="00794402"/>
    <w:rsid w:val="007963F9"/>
    <w:rsid w:val="00796F67"/>
    <w:rsid w:val="007A0C61"/>
    <w:rsid w:val="007B051C"/>
    <w:rsid w:val="007B1AD4"/>
    <w:rsid w:val="007C1271"/>
    <w:rsid w:val="007C1422"/>
    <w:rsid w:val="007C25AA"/>
    <w:rsid w:val="007D0334"/>
    <w:rsid w:val="007D124F"/>
    <w:rsid w:val="007D1787"/>
    <w:rsid w:val="007D1D00"/>
    <w:rsid w:val="007D2AE7"/>
    <w:rsid w:val="007D3694"/>
    <w:rsid w:val="007D6064"/>
    <w:rsid w:val="007E0467"/>
    <w:rsid w:val="007E3537"/>
    <w:rsid w:val="007E3617"/>
    <w:rsid w:val="007E53CA"/>
    <w:rsid w:val="007E5670"/>
    <w:rsid w:val="007E5A92"/>
    <w:rsid w:val="007E70D4"/>
    <w:rsid w:val="007F0F1B"/>
    <w:rsid w:val="007F1757"/>
    <w:rsid w:val="007F233A"/>
    <w:rsid w:val="007F34F8"/>
    <w:rsid w:val="007F385C"/>
    <w:rsid w:val="007F60C7"/>
    <w:rsid w:val="007F6E85"/>
    <w:rsid w:val="007F73B0"/>
    <w:rsid w:val="007F7A40"/>
    <w:rsid w:val="008000EF"/>
    <w:rsid w:val="00800106"/>
    <w:rsid w:val="0080173E"/>
    <w:rsid w:val="008022B9"/>
    <w:rsid w:val="008035C8"/>
    <w:rsid w:val="00805545"/>
    <w:rsid w:val="00807758"/>
    <w:rsid w:val="008111C2"/>
    <w:rsid w:val="008111E9"/>
    <w:rsid w:val="008117C5"/>
    <w:rsid w:val="008118DA"/>
    <w:rsid w:val="00811D11"/>
    <w:rsid w:val="00812D32"/>
    <w:rsid w:val="008134CF"/>
    <w:rsid w:val="00814847"/>
    <w:rsid w:val="00815490"/>
    <w:rsid w:val="008155B3"/>
    <w:rsid w:val="00816296"/>
    <w:rsid w:val="00816442"/>
    <w:rsid w:val="00816B7E"/>
    <w:rsid w:val="008217FF"/>
    <w:rsid w:val="008234AF"/>
    <w:rsid w:val="0082464D"/>
    <w:rsid w:val="00824839"/>
    <w:rsid w:val="00824DCD"/>
    <w:rsid w:val="00826A80"/>
    <w:rsid w:val="00827850"/>
    <w:rsid w:val="008333B9"/>
    <w:rsid w:val="0083696D"/>
    <w:rsid w:val="00836D83"/>
    <w:rsid w:val="00837805"/>
    <w:rsid w:val="008410BA"/>
    <w:rsid w:val="00844302"/>
    <w:rsid w:val="00845740"/>
    <w:rsid w:val="00846563"/>
    <w:rsid w:val="0084669E"/>
    <w:rsid w:val="0084694A"/>
    <w:rsid w:val="00847C6A"/>
    <w:rsid w:val="008505EC"/>
    <w:rsid w:val="00851312"/>
    <w:rsid w:val="008523CE"/>
    <w:rsid w:val="00852CF3"/>
    <w:rsid w:val="00852F55"/>
    <w:rsid w:val="00852F7D"/>
    <w:rsid w:val="008534E9"/>
    <w:rsid w:val="00854C5F"/>
    <w:rsid w:val="00855575"/>
    <w:rsid w:val="00855966"/>
    <w:rsid w:val="008565BC"/>
    <w:rsid w:val="00856D55"/>
    <w:rsid w:val="008601B2"/>
    <w:rsid w:val="00863FA9"/>
    <w:rsid w:val="0086492A"/>
    <w:rsid w:val="00871081"/>
    <w:rsid w:val="0087292F"/>
    <w:rsid w:val="008742E5"/>
    <w:rsid w:val="00875D3D"/>
    <w:rsid w:val="008770F0"/>
    <w:rsid w:val="00877E03"/>
    <w:rsid w:val="00880491"/>
    <w:rsid w:val="008816EC"/>
    <w:rsid w:val="00884F23"/>
    <w:rsid w:val="00886316"/>
    <w:rsid w:val="0088698A"/>
    <w:rsid w:val="0088744C"/>
    <w:rsid w:val="00890C4F"/>
    <w:rsid w:val="00891447"/>
    <w:rsid w:val="00891680"/>
    <w:rsid w:val="008917CE"/>
    <w:rsid w:val="0089182E"/>
    <w:rsid w:val="00891F4E"/>
    <w:rsid w:val="00896434"/>
    <w:rsid w:val="0089787D"/>
    <w:rsid w:val="008979B6"/>
    <w:rsid w:val="008A037A"/>
    <w:rsid w:val="008A25D9"/>
    <w:rsid w:val="008A2AD3"/>
    <w:rsid w:val="008B1959"/>
    <w:rsid w:val="008B238A"/>
    <w:rsid w:val="008B4ACD"/>
    <w:rsid w:val="008B59A4"/>
    <w:rsid w:val="008B7BFD"/>
    <w:rsid w:val="008C0984"/>
    <w:rsid w:val="008C106B"/>
    <w:rsid w:val="008C3AF8"/>
    <w:rsid w:val="008D0116"/>
    <w:rsid w:val="008D12F8"/>
    <w:rsid w:val="008D2F7D"/>
    <w:rsid w:val="008D33AB"/>
    <w:rsid w:val="008D3B5F"/>
    <w:rsid w:val="008D3BE4"/>
    <w:rsid w:val="008D6521"/>
    <w:rsid w:val="008E0519"/>
    <w:rsid w:val="008E1828"/>
    <w:rsid w:val="008E777F"/>
    <w:rsid w:val="008E7FFC"/>
    <w:rsid w:val="008F0C1E"/>
    <w:rsid w:val="008F2144"/>
    <w:rsid w:val="008F2821"/>
    <w:rsid w:val="008F3071"/>
    <w:rsid w:val="008F54C8"/>
    <w:rsid w:val="008F6B66"/>
    <w:rsid w:val="008F73E1"/>
    <w:rsid w:val="008F76F5"/>
    <w:rsid w:val="00900251"/>
    <w:rsid w:val="009002E5"/>
    <w:rsid w:val="00900E06"/>
    <w:rsid w:val="0090129C"/>
    <w:rsid w:val="0090404C"/>
    <w:rsid w:val="009045F6"/>
    <w:rsid w:val="00904629"/>
    <w:rsid w:val="00905129"/>
    <w:rsid w:val="00910A99"/>
    <w:rsid w:val="009132B4"/>
    <w:rsid w:val="00914567"/>
    <w:rsid w:val="00914848"/>
    <w:rsid w:val="00914B6F"/>
    <w:rsid w:val="00915581"/>
    <w:rsid w:val="00915C22"/>
    <w:rsid w:val="009160CE"/>
    <w:rsid w:val="0092080E"/>
    <w:rsid w:val="009219D1"/>
    <w:rsid w:val="00921FD1"/>
    <w:rsid w:val="00923E83"/>
    <w:rsid w:val="0092430F"/>
    <w:rsid w:val="009349E3"/>
    <w:rsid w:val="00936CDB"/>
    <w:rsid w:val="009375E3"/>
    <w:rsid w:val="00937F9C"/>
    <w:rsid w:val="009408C8"/>
    <w:rsid w:val="00943E26"/>
    <w:rsid w:val="0094430B"/>
    <w:rsid w:val="009504C3"/>
    <w:rsid w:val="009519DC"/>
    <w:rsid w:val="00951E21"/>
    <w:rsid w:val="009533EA"/>
    <w:rsid w:val="00955A2A"/>
    <w:rsid w:val="009603A2"/>
    <w:rsid w:val="00961A8B"/>
    <w:rsid w:val="009622CA"/>
    <w:rsid w:val="009630D6"/>
    <w:rsid w:val="0096340D"/>
    <w:rsid w:val="00963DD2"/>
    <w:rsid w:val="009668F5"/>
    <w:rsid w:val="00967663"/>
    <w:rsid w:val="009736F0"/>
    <w:rsid w:val="009738A2"/>
    <w:rsid w:val="00973E01"/>
    <w:rsid w:val="00975054"/>
    <w:rsid w:val="00975BEC"/>
    <w:rsid w:val="00975EA1"/>
    <w:rsid w:val="00977536"/>
    <w:rsid w:val="00977FC1"/>
    <w:rsid w:val="00980895"/>
    <w:rsid w:val="009818A7"/>
    <w:rsid w:val="00985322"/>
    <w:rsid w:val="00985351"/>
    <w:rsid w:val="009855E9"/>
    <w:rsid w:val="00986A8F"/>
    <w:rsid w:val="00990B71"/>
    <w:rsid w:val="0099116B"/>
    <w:rsid w:val="0099392F"/>
    <w:rsid w:val="00994527"/>
    <w:rsid w:val="009956C8"/>
    <w:rsid w:val="0099636D"/>
    <w:rsid w:val="00997A38"/>
    <w:rsid w:val="009A1BF1"/>
    <w:rsid w:val="009A3B0F"/>
    <w:rsid w:val="009A407A"/>
    <w:rsid w:val="009A5095"/>
    <w:rsid w:val="009A5988"/>
    <w:rsid w:val="009A6F97"/>
    <w:rsid w:val="009A7188"/>
    <w:rsid w:val="009A75CE"/>
    <w:rsid w:val="009A7EE8"/>
    <w:rsid w:val="009B1308"/>
    <w:rsid w:val="009B7929"/>
    <w:rsid w:val="009C0F3F"/>
    <w:rsid w:val="009C2C7B"/>
    <w:rsid w:val="009C2DAD"/>
    <w:rsid w:val="009C5091"/>
    <w:rsid w:val="009C5A5F"/>
    <w:rsid w:val="009C5CAE"/>
    <w:rsid w:val="009C63D0"/>
    <w:rsid w:val="009C63D6"/>
    <w:rsid w:val="009C7C15"/>
    <w:rsid w:val="009D1526"/>
    <w:rsid w:val="009D2B2E"/>
    <w:rsid w:val="009E038D"/>
    <w:rsid w:val="009E058D"/>
    <w:rsid w:val="009E4079"/>
    <w:rsid w:val="009E4A04"/>
    <w:rsid w:val="009E5947"/>
    <w:rsid w:val="009E7989"/>
    <w:rsid w:val="009F0FB4"/>
    <w:rsid w:val="009F1972"/>
    <w:rsid w:val="009F1DB6"/>
    <w:rsid w:val="009F2A39"/>
    <w:rsid w:val="009F2FD1"/>
    <w:rsid w:val="009F3789"/>
    <w:rsid w:val="009F3825"/>
    <w:rsid w:val="009F384B"/>
    <w:rsid w:val="009F41B8"/>
    <w:rsid w:val="009F4844"/>
    <w:rsid w:val="009F4C2D"/>
    <w:rsid w:val="009F5426"/>
    <w:rsid w:val="00A017D1"/>
    <w:rsid w:val="00A01F30"/>
    <w:rsid w:val="00A02834"/>
    <w:rsid w:val="00A03726"/>
    <w:rsid w:val="00A05DC1"/>
    <w:rsid w:val="00A06057"/>
    <w:rsid w:val="00A109D9"/>
    <w:rsid w:val="00A14BD8"/>
    <w:rsid w:val="00A15430"/>
    <w:rsid w:val="00A16087"/>
    <w:rsid w:val="00A172FB"/>
    <w:rsid w:val="00A17B6F"/>
    <w:rsid w:val="00A23540"/>
    <w:rsid w:val="00A236F0"/>
    <w:rsid w:val="00A2463F"/>
    <w:rsid w:val="00A25164"/>
    <w:rsid w:val="00A27AB4"/>
    <w:rsid w:val="00A30919"/>
    <w:rsid w:val="00A36664"/>
    <w:rsid w:val="00A37ABC"/>
    <w:rsid w:val="00A41CA3"/>
    <w:rsid w:val="00A421D1"/>
    <w:rsid w:val="00A46C28"/>
    <w:rsid w:val="00A5029C"/>
    <w:rsid w:val="00A52B61"/>
    <w:rsid w:val="00A5585E"/>
    <w:rsid w:val="00A55A8E"/>
    <w:rsid w:val="00A55B39"/>
    <w:rsid w:val="00A56388"/>
    <w:rsid w:val="00A602F5"/>
    <w:rsid w:val="00A60A3B"/>
    <w:rsid w:val="00A67380"/>
    <w:rsid w:val="00A67972"/>
    <w:rsid w:val="00A71D62"/>
    <w:rsid w:val="00A742F1"/>
    <w:rsid w:val="00A745D6"/>
    <w:rsid w:val="00A75C68"/>
    <w:rsid w:val="00A77302"/>
    <w:rsid w:val="00A778E3"/>
    <w:rsid w:val="00A80041"/>
    <w:rsid w:val="00A83092"/>
    <w:rsid w:val="00A83436"/>
    <w:rsid w:val="00A8354E"/>
    <w:rsid w:val="00A84450"/>
    <w:rsid w:val="00A87769"/>
    <w:rsid w:val="00A90573"/>
    <w:rsid w:val="00A9120F"/>
    <w:rsid w:val="00A92E10"/>
    <w:rsid w:val="00A93360"/>
    <w:rsid w:val="00A933F5"/>
    <w:rsid w:val="00A94810"/>
    <w:rsid w:val="00A953CE"/>
    <w:rsid w:val="00A95AA1"/>
    <w:rsid w:val="00AA0C9A"/>
    <w:rsid w:val="00AA2D3C"/>
    <w:rsid w:val="00AA36F4"/>
    <w:rsid w:val="00AA4F06"/>
    <w:rsid w:val="00AA535C"/>
    <w:rsid w:val="00AA62CE"/>
    <w:rsid w:val="00AA67D2"/>
    <w:rsid w:val="00AB2CA2"/>
    <w:rsid w:val="00AC0A9B"/>
    <w:rsid w:val="00AC186D"/>
    <w:rsid w:val="00AC29BB"/>
    <w:rsid w:val="00AC36EB"/>
    <w:rsid w:val="00AC3D8D"/>
    <w:rsid w:val="00AC6213"/>
    <w:rsid w:val="00AD2E4D"/>
    <w:rsid w:val="00AD3549"/>
    <w:rsid w:val="00AD6833"/>
    <w:rsid w:val="00AE05D0"/>
    <w:rsid w:val="00AE1568"/>
    <w:rsid w:val="00AE1D52"/>
    <w:rsid w:val="00AE24D1"/>
    <w:rsid w:val="00AE447A"/>
    <w:rsid w:val="00AE4489"/>
    <w:rsid w:val="00AE5B15"/>
    <w:rsid w:val="00AE5D8F"/>
    <w:rsid w:val="00AE739C"/>
    <w:rsid w:val="00AE75C6"/>
    <w:rsid w:val="00AF0699"/>
    <w:rsid w:val="00AF0AA0"/>
    <w:rsid w:val="00AF218F"/>
    <w:rsid w:val="00AF2364"/>
    <w:rsid w:val="00AF248A"/>
    <w:rsid w:val="00AF49AA"/>
    <w:rsid w:val="00AF5E48"/>
    <w:rsid w:val="00AF682A"/>
    <w:rsid w:val="00AF72EF"/>
    <w:rsid w:val="00AF7828"/>
    <w:rsid w:val="00B00AFF"/>
    <w:rsid w:val="00B010CA"/>
    <w:rsid w:val="00B01275"/>
    <w:rsid w:val="00B015A8"/>
    <w:rsid w:val="00B01857"/>
    <w:rsid w:val="00B01CA3"/>
    <w:rsid w:val="00B02766"/>
    <w:rsid w:val="00B028EE"/>
    <w:rsid w:val="00B02930"/>
    <w:rsid w:val="00B0340F"/>
    <w:rsid w:val="00B05BA9"/>
    <w:rsid w:val="00B06591"/>
    <w:rsid w:val="00B07A1E"/>
    <w:rsid w:val="00B10BF9"/>
    <w:rsid w:val="00B11660"/>
    <w:rsid w:val="00B119DE"/>
    <w:rsid w:val="00B13E70"/>
    <w:rsid w:val="00B1573F"/>
    <w:rsid w:val="00B1598F"/>
    <w:rsid w:val="00B15DC7"/>
    <w:rsid w:val="00B16B1D"/>
    <w:rsid w:val="00B17495"/>
    <w:rsid w:val="00B1759C"/>
    <w:rsid w:val="00B20F7D"/>
    <w:rsid w:val="00B2292A"/>
    <w:rsid w:val="00B25D51"/>
    <w:rsid w:val="00B26C52"/>
    <w:rsid w:val="00B2771B"/>
    <w:rsid w:val="00B277D3"/>
    <w:rsid w:val="00B31059"/>
    <w:rsid w:val="00B31265"/>
    <w:rsid w:val="00B3159F"/>
    <w:rsid w:val="00B32150"/>
    <w:rsid w:val="00B32EA0"/>
    <w:rsid w:val="00B33371"/>
    <w:rsid w:val="00B3451F"/>
    <w:rsid w:val="00B3552E"/>
    <w:rsid w:val="00B356A0"/>
    <w:rsid w:val="00B3631B"/>
    <w:rsid w:val="00B364DE"/>
    <w:rsid w:val="00B3651E"/>
    <w:rsid w:val="00B366ED"/>
    <w:rsid w:val="00B37260"/>
    <w:rsid w:val="00B407B9"/>
    <w:rsid w:val="00B41648"/>
    <w:rsid w:val="00B421D9"/>
    <w:rsid w:val="00B43006"/>
    <w:rsid w:val="00B4374C"/>
    <w:rsid w:val="00B4387A"/>
    <w:rsid w:val="00B43CFA"/>
    <w:rsid w:val="00B44884"/>
    <w:rsid w:val="00B45EB4"/>
    <w:rsid w:val="00B4689B"/>
    <w:rsid w:val="00B55E70"/>
    <w:rsid w:val="00B6004D"/>
    <w:rsid w:val="00B600A4"/>
    <w:rsid w:val="00B60990"/>
    <w:rsid w:val="00B63D32"/>
    <w:rsid w:val="00B640B3"/>
    <w:rsid w:val="00B73499"/>
    <w:rsid w:val="00B73705"/>
    <w:rsid w:val="00B75BBD"/>
    <w:rsid w:val="00B76280"/>
    <w:rsid w:val="00B766E6"/>
    <w:rsid w:val="00B801E1"/>
    <w:rsid w:val="00B8156E"/>
    <w:rsid w:val="00B82A15"/>
    <w:rsid w:val="00B832C6"/>
    <w:rsid w:val="00B86289"/>
    <w:rsid w:val="00B8649F"/>
    <w:rsid w:val="00B86510"/>
    <w:rsid w:val="00B87336"/>
    <w:rsid w:val="00B921CF"/>
    <w:rsid w:val="00B934E7"/>
    <w:rsid w:val="00B9366F"/>
    <w:rsid w:val="00B969E2"/>
    <w:rsid w:val="00BA035A"/>
    <w:rsid w:val="00BA3A81"/>
    <w:rsid w:val="00BA3CB1"/>
    <w:rsid w:val="00BA7888"/>
    <w:rsid w:val="00BB2D91"/>
    <w:rsid w:val="00BB3E5E"/>
    <w:rsid w:val="00BB41D0"/>
    <w:rsid w:val="00BB530F"/>
    <w:rsid w:val="00BC00C3"/>
    <w:rsid w:val="00BC111A"/>
    <w:rsid w:val="00BC1BB5"/>
    <w:rsid w:val="00BC1D6D"/>
    <w:rsid w:val="00BC3E2D"/>
    <w:rsid w:val="00BC768B"/>
    <w:rsid w:val="00BD0ED8"/>
    <w:rsid w:val="00BD14D3"/>
    <w:rsid w:val="00BD1AA0"/>
    <w:rsid w:val="00BD329A"/>
    <w:rsid w:val="00BD6BC5"/>
    <w:rsid w:val="00BD715D"/>
    <w:rsid w:val="00BE0079"/>
    <w:rsid w:val="00BE035B"/>
    <w:rsid w:val="00BE058B"/>
    <w:rsid w:val="00BE195C"/>
    <w:rsid w:val="00BE37D2"/>
    <w:rsid w:val="00BE472E"/>
    <w:rsid w:val="00BE6956"/>
    <w:rsid w:val="00BE6A3E"/>
    <w:rsid w:val="00BE72C4"/>
    <w:rsid w:val="00BF0B9C"/>
    <w:rsid w:val="00BF182C"/>
    <w:rsid w:val="00BF252B"/>
    <w:rsid w:val="00BF25D7"/>
    <w:rsid w:val="00BF30E8"/>
    <w:rsid w:val="00BF3592"/>
    <w:rsid w:val="00BF437D"/>
    <w:rsid w:val="00BF7570"/>
    <w:rsid w:val="00C004E3"/>
    <w:rsid w:val="00C01377"/>
    <w:rsid w:val="00C03CA7"/>
    <w:rsid w:val="00C0432E"/>
    <w:rsid w:val="00C04422"/>
    <w:rsid w:val="00C05D43"/>
    <w:rsid w:val="00C0632D"/>
    <w:rsid w:val="00C06755"/>
    <w:rsid w:val="00C06F9F"/>
    <w:rsid w:val="00C0745B"/>
    <w:rsid w:val="00C10F2E"/>
    <w:rsid w:val="00C11D6E"/>
    <w:rsid w:val="00C14754"/>
    <w:rsid w:val="00C147A4"/>
    <w:rsid w:val="00C14FC2"/>
    <w:rsid w:val="00C16AB5"/>
    <w:rsid w:val="00C16E9E"/>
    <w:rsid w:val="00C171B8"/>
    <w:rsid w:val="00C20C8B"/>
    <w:rsid w:val="00C227AE"/>
    <w:rsid w:val="00C236EF"/>
    <w:rsid w:val="00C3505F"/>
    <w:rsid w:val="00C35FE2"/>
    <w:rsid w:val="00C3758A"/>
    <w:rsid w:val="00C37827"/>
    <w:rsid w:val="00C40270"/>
    <w:rsid w:val="00C4242B"/>
    <w:rsid w:val="00C43E31"/>
    <w:rsid w:val="00C44630"/>
    <w:rsid w:val="00C453B6"/>
    <w:rsid w:val="00C46E31"/>
    <w:rsid w:val="00C50B56"/>
    <w:rsid w:val="00C51CF2"/>
    <w:rsid w:val="00C5321B"/>
    <w:rsid w:val="00C57469"/>
    <w:rsid w:val="00C57C9A"/>
    <w:rsid w:val="00C607AF"/>
    <w:rsid w:val="00C63A0D"/>
    <w:rsid w:val="00C64745"/>
    <w:rsid w:val="00C64922"/>
    <w:rsid w:val="00C7048D"/>
    <w:rsid w:val="00C7155E"/>
    <w:rsid w:val="00C71865"/>
    <w:rsid w:val="00C730A6"/>
    <w:rsid w:val="00C75685"/>
    <w:rsid w:val="00C7641F"/>
    <w:rsid w:val="00C80858"/>
    <w:rsid w:val="00C82EFE"/>
    <w:rsid w:val="00C830E6"/>
    <w:rsid w:val="00C87E34"/>
    <w:rsid w:val="00C902F6"/>
    <w:rsid w:val="00C917DE"/>
    <w:rsid w:val="00C92CE5"/>
    <w:rsid w:val="00C932B8"/>
    <w:rsid w:val="00C94933"/>
    <w:rsid w:val="00C95934"/>
    <w:rsid w:val="00C96872"/>
    <w:rsid w:val="00CA069D"/>
    <w:rsid w:val="00CA1785"/>
    <w:rsid w:val="00CA1FD0"/>
    <w:rsid w:val="00CA288A"/>
    <w:rsid w:val="00CA5BB0"/>
    <w:rsid w:val="00CA629B"/>
    <w:rsid w:val="00CA6E36"/>
    <w:rsid w:val="00CB02C0"/>
    <w:rsid w:val="00CB0514"/>
    <w:rsid w:val="00CB0AED"/>
    <w:rsid w:val="00CB3800"/>
    <w:rsid w:val="00CB5ED4"/>
    <w:rsid w:val="00CB6CFC"/>
    <w:rsid w:val="00CB77B1"/>
    <w:rsid w:val="00CC1D1D"/>
    <w:rsid w:val="00CC224E"/>
    <w:rsid w:val="00CC2EDB"/>
    <w:rsid w:val="00CC32CC"/>
    <w:rsid w:val="00CC3F54"/>
    <w:rsid w:val="00CC4930"/>
    <w:rsid w:val="00CC51E3"/>
    <w:rsid w:val="00CC60B9"/>
    <w:rsid w:val="00CC66F5"/>
    <w:rsid w:val="00CC68FC"/>
    <w:rsid w:val="00CC78FB"/>
    <w:rsid w:val="00CD25F6"/>
    <w:rsid w:val="00CD33F4"/>
    <w:rsid w:val="00CD5307"/>
    <w:rsid w:val="00CE0151"/>
    <w:rsid w:val="00CE0180"/>
    <w:rsid w:val="00CE028B"/>
    <w:rsid w:val="00CE100A"/>
    <w:rsid w:val="00CE1448"/>
    <w:rsid w:val="00CE295C"/>
    <w:rsid w:val="00CE3788"/>
    <w:rsid w:val="00CE4934"/>
    <w:rsid w:val="00CE5AFD"/>
    <w:rsid w:val="00CE754B"/>
    <w:rsid w:val="00CF19AB"/>
    <w:rsid w:val="00CF274E"/>
    <w:rsid w:val="00CF3BBF"/>
    <w:rsid w:val="00CF418D"/>
    <w:rsid w:val="00CF5830"/>
    <w:rsid w:val="00CF5F40"/>
    <w:rsid w:val="00CF7288"/>
    <w:rsid w:val="00D01A22"/>
    <w:rsid w:val="00D02E7F"/>
    <w:rsid w:val="00D02F63"/>
    <w:rsid w:val="00D033BC"/>
    <w:rsid w:val="00D054D4"/>
    <w:rsid w:val="00D05696"/>
    <w:rsid w:val="00D05FDA"/>
    <w:rsid w:val="00D0652B"/>
    <w:rsid w:val="00D1039E"/>
    <w:rsid w:val="00D11078"/>
    <w:rsid w:val="00D11243"/>
    <w:rsid w:val="00D11D02"/>
    <w:rsid w:val="00D11D17"/>
    <w:rsid w:val="00D12BC2"/>
    <w:rsid w:val="00D1348B"/>
    <w:rsid w:val="00D13688"/>
    <w:rsid w:val="00D1420F"/>
    <w:rsid w:val="00D15137"/>
    <w:rsid w:val="00D170CC"/>
    <w:rsid w:val="00D177EA"/>
    <w:rsid w:val="00D2402D"/>
    <w:rsid w:val="00D246A5"/>
    <w:rsid w:val="00D2507D"/>
    <w:rsid w:val="00D25972"/>
    <w:rsid w:val="00D26E4F"/>
    <w:rsid w:val="00D27D05"/>
    <w:rsid w:val="00D30110"/>
    <w:rsid w:val="00D30372"/>
    <w:rsid w:val="00D30B03"/>
    <w:rsid w:val="00D32131"/>
    <w:rsid w:val="00D32704"/>
    <w:rsid w:val="00D33B4E"/>
    <w:rsid w:val="00D35441"/>
    <w:rsid w:val="00D36CCF"/>
    <w:rsid w:val="00D37F13"/>
    <w:rsid w:val="00D457DE"/>
    <w:rsid w:val="00D463A4"/>
    <w:rsid w:val="00D4770D"/>
    <w:rsid w:val="00D47A74"/>
    <w:rsid w:val="00D5197F"/>
    <w:rsid w:val="00D51F13"/>
    <w:rsid w:val="00D52C52"/>
    <w:rsid w:val="00D53402"/>
    <w:rsid w:val="00D53DC0"/>
    <w:rsid w:val="00D57AF8"/>
    <w:rsid w:val="00D636F7"/>
    <w:rsid w:val="00D653C2"/>
    <w:rsid w:val="00D655AA"/>
    <w:rsid w:val="00D65685"/>
    <w:rsid w:val="00D66190"/>
    <w:rsid w:val="00D66BC4"/>
    <w:rsid w:val="00D66CB0"/>
    <w:rsid w:val="00D66DBA"/>
    <w:rsid w:val="00D67A1C"/>
    <w:rsid w:val="00D72172"/>
    <w:rsid w:val="00D726FD"/>
    <w:rsid w:val="00D73539"/>
    <w:rsid w:val="00D74787"/>
    <w:rsid w:val="00D75488"/>
    <w:rsid w:val="00D758BB"/>
    <w:rsid w:val="00D762F8"/>
    <w:rsid w:val="00D76F4A"/>
    <w:rsid w:val="00D77234"/>
    <w:rsid w:val="00D8016E"/>
    <w:rsid w:val="00D80243"/>
    <w:rsid w:val="00D80D79"/>
    <w:rsid w:val="00D840C8"/>
    <w:rsid w:val="00D84F9A"/>
    <w:rsid w:val="00D86C28"/>
    <w:rsid w:val="00D87081"/>
    <w:rsid w:val="00D8730C"/>
    <w:rsid w:val="00D913E4"/>
    <w:rsid w:val="00D93DD7"/>
    <w:rsid w:val="00D94B65"/>
    <w:rsid w:val="00D96E3B"/>
    <w:rsid w:val="00DA03BE"/>
    <w:rsid w:val="00DA3B09"/>
    <w:rsid w:val="00DA7E73"/>
    <w:rsid w:val="00DB33E3"/>
    <w:rsid w:val="00DB384E"/>
    <w:rsid w:val="00DB4764"/>
    <w:rsid w:val="00DB6C15"/>
    <w:rsid w:val="00DC22BA"/>
    <w:rsid w:val="00DC4D2E"/>
    <w:rsid w:val="00DC65BA"/>
    <w:rsid w:val="00DC7F85"/>
    <w:rsid w:val="00DD0215"/>
    <w:rsid w:val="00DD026E"/>
    <w:rsid w:val="00DD3AAD"/>
    <w:rsid w:val="00DD616D"/>
    <w:rsid w:val="00DD6359"/>
    <w:rsid w:val="00DD7284"/>
    <w:rsid w:val="00DD7788"/>
    <w:rsid w:val="00DE0119"/>
    <w:rsid w:val="00DE0792"/>
    <w:rsid w:val="00DE2888"/>
    <w:rsid w:val="00DE5A72"/>
    <w:rsid w:val="00DE6BDE"/>
    <w:rsid w:val="00DF0BBE"/>
    <w:rsid w:val="00DF41B1"/>
    <w:rsid w:val="00DF4A70"/>
    <w:rsid w:val="00DF4B8A"/>
    <w:rsid w:val="00DF4FEA"/>
    <w:rsid w:val="00DF6097"/>
    <w:rsid w:val="00DF616E"/>
    <w:rsid w:val="00DF6BBC"/>
    <w:rsid w:val="00E013E6"/>
    <w:rsid w:val="00E0361E"/>
    <w:rsid w:val="00E044FF"/>
    <w:rsid w:val="00E051A7"/>
    <w:rsid w:val="00E070B2"/>
    <w:rsid w:val="00E11DFA"/>
    <w:rsid w:val="00E13A2F"/>
    <w:rsid w:val="00E14E8B"/>
    <w:rsid w:val="00E163A3"/>
    <w:rsid w:val="00E17B53"/>
    <w:rsid w:val="00E23CDC"/>
    <w:rsid w:val="00E251D2"/>
    <w:rsid w:val="00E257C9"/>
    <w:rsid w:val="00E268A5"/>
    <w:rsid w:val="00E30166"/>
    <w:rsid w:val="00E30EA1"/>
    <w:rsid w:val="00E315AA"/>
    <w:rsid w:val="00E32FA8"/>
    <w:rsid w:val="00E33619"/>
    <w:rsid w:val="00E33BB4"/>
    <w:rsid w:val="00E33E80"/>
    <w:rsid w:val="00E35602"/>
    <w:rsid w:val="00E3725C"/>
    <w:rsid w:val="00E3767A"/>
    <w:rsid w:val="00E45927"/>
    <w:rsid w:val="00E47B65"/>
    <w:rsid w:val="00E512E2"/>
    <w:rsid w:val="00E51B16"/>
    <w:rsid w:val="00E5336B"/>
    <w:rsid w:val="00E55067"/>
    <w:rsid w:val="00E558B2"/>
    <w:rsid w:val="00E6141D"/>
    <w:rsid w:val="00E6337E"/>
    <w:rsid w:val="00E633F2"/>
    <w:rsid w:val="00E63764"/>
    <w:rsid w:val="00E637B6"/>
    <w:rsid w:val="00E653C7"/>
    <w:rsid w:val="00E65BD2"/>
    <w:rsid w:val="00E65EB4"/>
    <w:rsid w:val="00E66348"/>
    <w:rsid w:val="00E67A38"/>
    <w:rsid w:val="00E7168D"/>
    <w:rsid w:val="00E71DA5"/>
    <w:rsid w:val="00E753DB"/>
    <w:rsid w:val="00E75766"/>
    <w:rsid w:val="00E77FF9"/>
    <w:rsid w:val="00E80BC2"/>
    <w:rsid w:val="00E83D86"/>
    <w:rsid w:val="00E8513F"/>
    <w:rsid w:val="00E873A4"/>
    <w:rsid w:val="00E900AB"/>
    <w:rsid w:val="00E90731"/>
    <w:rsid w:val="00E90D3B"/>
    <w:rsid w:val="00E91B20"/>
    <w:rsid w:val="00E9565D"/>
    <w:rsid w:val="00E96808"/>
    <w:rsid w:val="00EA418B"/>
    <w:rsid w:val="00EA5CFA"/>
    <w:rsid w:val="00EB16A6"/>
    <w:rsid w:val="00EB1FDE"/>
    <w:rsid w:val="00EB2099"/>
    <w:rsid w:val="00EB3823"/>
    <w:rsid w:val="00EB4ADC"/>
    <w:rsid w:val="00EB6448"/>
    <w:rsid w:val="00EB729E"/>
    <w:rsid w:val="00EB7397"/>
    <w:rsid w:val="00EB759F"/>
    <w:rsid w:val="00EB7DCF"/>
    <w:rsid w:val="00EC0EBF"/>
    <w:rsid w:val="00EC2C33"/>
    <w:rsid w:val="00EC3C01"/>
    <w:rsid w:val="00EC4C2D"/>
    <w:rsid w:val="00EC52C9"/>
    <w:rsid w:val="00EC6E9F"/>
    <w:rsid w:val="00ED0B5A"/>
    <w:rsid w:val="00ED1044"/>
    <w:rsid w:val="00ED203D"/>
    <w:rsid w:val="00ED219C"/>
    <w:rsid w:val="00ED3802"/>
    <w:rsid w:val="00ED493F"/>
    <w:rsid w:val="00ED53BA"/>
    <w:rsid w:val="00ED5BFA"/>
    <w:rsid w:val="00ED7014"/>
    <w:rsid w:val="00EE00E3"/>
    <w:rsid w:val="00EE020F"/>
    <w:rsid w:val="00EE0B80"/>
    <w:rsid w:val="00EE0F64"/>
    <w:rsid w:val="00EE1004"/>
    <w:rsid w:val="00EE1F3E"/>
    <w:rsid w:val="00EE2849"/>
    <w:rsid w:val="00EF14E9"/>
    <w:rsid w:val="00EF64EE"/>
    <w:rsid w:val="00EF7268"/>
    <w:rsid w:val="00F0452C"/>
    <w:rsid w:val="00F04B25"/>
    <w:rsid w:val="00F05346"/>
    <w:rsid w:val="00F054A8"/>
    <w:rsid w:val="00F06BA6"/>
    <w:rsid w:val="00F07D9F"/>
    <w:rsid w:val="00F14131"/>
    <w:rsid w:val="00F145DF"/>
    <w:rsid w:val="00F14F36"/>
    <w:rsid w:val="00F1541D"/>
    <w:rsid w:val="00F17CE4"/>
    <w:rsid w:val="00F17EFB"/>
    <w:rsid w:val="00F208C5"/>
    <w:rsid w:val="00F20BA8"/>
    <w:rsid w:val="00F20E03"/>
    <w:rsid w:val="00F2197D"/>
    <w:rsid w:val="00F25762"/>
    <w:rsid w:val="00F2798C"/>
    <w:rsid w:val="00F3010F"/>
    <w:rsid w:val="00F30F53"/>
    <w:rsid w:val="00F311CE"/>
    <w:rsid w:val="00F319D7"/>
    <w:rsid w:val="00F319EE"/>
    <w:rsid w:val="00F31DF7"/>
    <w:rsid w:val="00F33371"/>
    <w:rsid w:val="00F333E0"/>
    <w:rsid w:val="00F3359D"/>
    <w:rsid w:val="00F3507B"/>
    <w:rsid w:val="00F4075C"/>
    <w:rsid w:val="00F41DEA"/>
    <w:rsid w:val="00F434EC"/>
    <w:rsid w:val="00F4353D"/>
    <w:rsid w:val="00F44340"/>
    <w:rsid w:val="00F44B0D"/>
    <w:rsid w:val="00F451A2"/>
    <w:rsid w:val="00F45688"/>
    <w:rsid w:val="00F54909"/>
    <w:rsid w:val="00F55406"/>
    <w:rsid w:val="00F55464"/>
    <w:rsid w:val="00F573F3"/>
    <w:rsid w:val="00F626F1"/>
    <w:rsid w:val="00F63FBA"/>
    <w:rsid w:val="00F6693F"/>
    <w:rsid w:val="00F71F86"/>
    <w:rsid w:val="00F73230"/>
    <w:rsid w:val="00F74A85"/>
    <w:rsid w:val="00F81601"/>
    <w:rsid w:val="00F82573"/>
    <w:rsid w:val="00F83B52"/>
    <w:rsid w:val="00F85FF2"/>
    <w:rsid w:val="00F9078A"/>
    <w:rsid w:val="00F9147B"/>
    <w:rsid w:val="00F91759"/>
    <w:rsid w:val="00F91BA2"/>
    <w:rsid w:val="00F92D99"/>
    <w:rsid w:val="00F94ED4"/>
    <w:rsid w:val="00F95306"/>
    <w:rsid w:val="00F95C76"/>
    <w:rsid w:val="00F95E75"/>
    <w:rsid w:val="00F96358"/>
    <w:rsid w:val="00F967A2"/>
    <w:rsid w:val="00F968B6"/>
    <w:rsid w:val="00F96A18"/>
    <w:rsid w:val="00F96A8F"/>
    <w:rsid w:val="00F96BCB"/>
    <w:rsid w:val="00F97A09"/>
    <w:rsid w:val="00FA0A14"/>
    <w:rsid w:val="00FA0CF8"/>
    <w:rsid w:val="00FA368C"/>
    <w:rsid w:val="00FB33CC"/>
    <w:rsid w:val="00FB5FE4"/>
    <w:rsid w:val="00FB67C4"/>
    <w:rsid w:val="00FC16D2"/>
    <w:rsid w:val="00FC2B1C"/>
    <w:rsid w:val="00FC6321"/>
    <w:rsid w:val="00FD2495"/>
    <w:rsid w:val="00FD3B2B"/>
    <w:rsid w:val="00FD48B1"/>
    <w:rsid w:val="00FD6CA3"/>
    <w:rsid w:val="00FD7093"/>
    <w:rsid w:val="00FD70CB"/>
    <w:rsid w:val="00FE28E9"/>
    <w:rsid w:val="00FE45E5"/>
    <w:rsid w:val="00FE5EB7"/>
    <w:rsid w:val="00FF0B3F"/>
    <w:rsid w:val="00FF2DAD"/>
    <w:rsid w:val="00FF455D"/>
    <w:rsid w:val="00FF4CDF"/>
    <w:rsid w:val="00FF51AC"/>
    <w:rsid w:val="00FF6D32"/>
    <w:rsid w:val="00FF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D6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A17"/>
    <w:pPr>
      <w:spacing w:after="0" w:line="240" w:lineRule="auto"/>
    </w:pPr>
  </w:style>
  <w:style w:type="paragraph" w:styleId="Heading1">
    <w:name w:val="heading 1"/>
    <w:link w:val="Heading1Char"/>
    <w:qFormat/>
    <w:rsid w:val="00FA0CF8"/>
    <w:pPr>
      <w:keepNext/>
      <w:numPr>
        <w:numId w:val="7"/>
      </w:numPr>
      <w:spacing w:before="240" w:after="240" w:line="240" w:lineRule="auto"/>
      <w:outlineLvl w:val="0"/>
    </w:pPr>
    <w:rPr>
      <w:rFonts w:cs="Arial"/>
      <w:b/>
      <w:bCs/>
      <w:kern w:val="32"/>
      <w:szCs w:val="32"/>
    </w:rPr>
  </w:style>
  <w:style w:type="paragraph" w:styleId="Heading2">
    <w:name w:val="heading 2"/>
    <w:link w:val="Heading2Char"/>
    <w:qFormat/>
    <w:rsid w:val="000D2D6D"/>
    <w:pPr>
      <w:keepNext/>
      <w:numPr>
        <w:ilvl w:val="1"/>
        <w:numId w:val="7"/>
      </w:numPr>
      <w:spacing w:before="240" w:after="220" w:line="240" w:lineRule="auto"/>
      <w:ind w:hanging="360"/>
      <w:outlineLvl w:val="1"/>
    </w:pPr>
    <w:rPr>
      <w:rFonts w:cs="Arial"/>
      <w:b/>
      <w:bCs/>
      <w:iCs/>
      <w:szCs w:val="28"/>
    </w:rPr>
  </w:style>
  <w:style w:type="paragraph" w:styleId="Heading3">
    <w:name w:val="heading 3"/>
    <w:link w:val="Heading3Char"/>
    <w:qFormat/>
    <w:rsid w:val="00FA0CF8"/>
    <w:pPr>
      <w:keepNext/>
      <w:numPr>
        <w:ilvl w:val="2"/>
        <w:numId w:val="7"/>
      </w:numPr>
      <w:spacing w:before="240" w:after="120" w:line="240" w:lineRule="auto"/>
      <w:outlineLvl w:val="2"/>
    </w:pPr>
    <w:rPr>
      <w:rFonts w:cs="Arial"/>
      <w:b/>
      <w:bCs/>
      <w:szCs w:val="26"/>
    </w:rPr>
  </w:style>
  <w:style w:type="paragraph" w:styleId="Heading4">
    <w:name w:val="heading 4"/>
    <w:basedOn w:val="Normal"/>
    <w:next w:val="Normal"/>
    <w:link w:val="Heading4Char"/>
    <w:qFormat/>
    <w:rsid w:val="004D4A44"/>
    <w:pPr>
      <w:keepNext/>
      <w:numPr>
        <w:ilvl w:val="3"/>
        <w:numId w:val="7"/>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0CF8"/>
    <w:rPr>
      <w:rFonts w:cs="Arial"/>
      <w:b/>
      <w:bCs/>
      <w:kern w:val="32"/>
      <w:szCs w:val="32"/>
    </w:rPr>
  </w:style>
  <w:style w:type="character" w:customStyle="1" w:styleId="Heading2Char">
    <w:name w:val="Heading 2 Char"/>
    <w:basedOn w:val="DefaultParagraphFont"/>
    <w:link w:val="Heading2"/>
    <w:rsid w:val="000D2D6D"/>
    <w:rPr>
      <w:rFonts w:cs="Arial"/>
      <w:b/>
      <w:bCs/>
      <w:iCs/>
      <w:szCs w:val="28"/>
    </w:rPr>
  </w:style>
  <w:style w:type="character" w:customStyle="1" w:styleId="Heading3Char">
    <w:name w:val="Heading 3 Char"/>
    <w:basedOn w:val="DefaultParagraphFont"/>
    <w:link w:val="Heading3"/>
    <w:rsid w:val="00FA0CF8"/>
    <w:rPr>
      <w:rFonts w:cs="Arial"/>
      <w:b/>
      <w:bCs/>
      <w:szCs w:val="26"/>
    </w:rPr>
  </w:style>
  <w:style w:type="character" w:customStyle="1" w:styleId="Heading4Char">
    <w:name w:val="Heading 4 Char"/>
    <w:basedOn w:val="DefaultParagraphFont"/>
    <w:link w:val="Heading4"/>
    <w:rsid w:val="004D4A44"/>
    <w:rPr>
      <w:b/>
      <w:bCs/>
      <w:sz w:val="28"/>
      <w:szCs w:val="28"/>
    </w:rPr>
  </w:style>
  <w:style w:type="paragraph" w:styleId="Footer">
    <w:name w:val="footer"/>
    <w:basedOn w:val="Normal"/>
    <w:link w:val="FooterChar"/>
    <w:uiPriority w:val="99"/>
    <w:rsid w:val="004D4A44"/>
    <w:pPr>
      <w:tabs>
        <w:tab w:val="center" w:pos="4320"/>
        <w:tab w:val="right" w:pos="8640"/>
      </w:tabs>
    </w:pPr>
  </w:style>
  <w:style w:type="character" w:customStyle="1" w:styleId="FooterChar">
    <w:name w:val="Footer Char"/>
    <w:basedOn w:val="DefaultParagraphFont"/>
    <w:link w:val="Footer"/>
    <w:uiPriority w:val="99"/>
    <w:rsid w:val="004D4A44"/>
    <w:rPr>
      <w:rFonts w:eastAsia="Times New Roman" w:cs="Times New Roman"/>
      <w:szCs w:val="24"/>
    </w:rPr>
  </w:style>
  <w:style w:type="character" w:styleId="PageNumber">
    <w:name w:val="page number"/>
    <w:basedOn w:val="DefaultParagraphFont"/>
    <w:rsid w:val="004D4A44"/>
  </w:style>
  <w:style w:type="paragraph" w:styleId="Header">
    <w:name w:val="header"/>
    <w:basedOn w:val="Normal"/>
    <w:link w:val="HeaderChar"/>
    <w:rsid w:val="004D4A44"/>
    <w:pPr>
      <w:tabs>
        <w:tab w:val="center" w:pos="4320"/>
        <w:tab w:val="right" w:pos="8640"/>
      </w:tabs>
    </w:pPr>
  </w:style>
  <w:style w:type="character" w:customStyle="1" w:styleId="HeaderChar">
    <w:name w:val="Header Char"/>
    <w:basedOn w:val="DefaultParagraphFont"/>
    <w:link w:val="Header"/>
    <w:rsid w:val="004D4A44"/>
    <w:rPr>
      <w:rFonts w:eastAsia="Times New Roman" w:cs="Times New Roman"/>
      <w:szCs w:val="24"/>
    </w:rPr>
  </w:style>
  <w:style w:type="paragraph" w:customStyle="1" w:styleId="ListBulletlast">
    <w:name w:val="List Bullet_last"/>
    <w:basedOn w:val="ListBullet"/>
    <w:qFormat/>
    <w:rsid w:val="00FA0CF8"/>
    <w:pPr>
      <w:spacing w:after="240"/>
    </w:pPr>
  </w:style>
  <w:style w:type="character" w:styleId="CommentReference">
    <w:name w:val="annotation reference"/>
    <w:semiHidden/>
    <w:rsid w:val="004D4A44"/>
    <w:rPr>
      <w:sz w:val="16"/>
      <w:szCs w:val="16"/>
    </w:rPr>
  </w:style>
  <w:style w:type="paragraph" w:styleId="CommentText">
    <w:name w:val="annotation text"/>
    <w:basedOn w:val="Normal"/>
    <w:link w:val="CommentTextChar"/>
    <w:semiHidden/>
    <w:rsid w:val="004D4A44"/>
    <w:rPr>
      <w:sz w:val="20"/>
      <w:szCs w:val="20"/>
    </w:rPr>
  </w:style>
  <w:style w:type="character" w:customStyle="1" w:styleId="CommentTextChar">
    <w:name w:val="Comment Text Char"/>
    <w:basedOn w:val="DefaultParagraphFont"/>
    <w:link w:val="CommentText"/>
    <w:semiHidden/>
    <w:rsid w:val="004D4A44"/>
    <w:rPr>
      <w:rFonts w:eastAsia="Times New Roman" w:cs="Times New Roman"/>
      <w:sz w:val="20"/>
      <w:szCs w:val="20"/>
    </w:rPr>
  </w:style>
  <w:style w:type="character" w:customStyle="1" w:styleId="CommentSubjectChar">
    <w:name w:val="Comment Subject Char"/>
    <w:basedOn w:val="CommentTextChar"/>
    <w:link w:val="CommentSubject"/>
    <w:semiHidden/>
    <w:rsid w:val="004D4A44"/>
    <w:rPr>
      <w:rFonts w:eastAsia="Times New Roman" w:cs="Times New Roman"/>
      <w:b/>
      <w:bCs/>
      <w:sz w:val="20"/>
      <w:szCs w:val="20"/>
    </w:rPr>
  </w:style>
  <w:style w:type="paragraph" w:styleId="CommentSubject">
    <w:name w:val="annotation subject"/>
    <w:basedOn w:val="CommentText"/>
    <w:next w:val="CommentText"/>
    <w:link w:val="CommentSubjectChar"/>
    <w:semiHidden/>
    <w:rsid w:val="004D4A44"/>
    <w:rPr>
      <w:b/>
      <w:bCs/>
    </w:rPr>
  </w:style>
  <w:style w:type="paragraph" w:customStyle="1" w:styleId="ListBulletsingle">
    <w:name w:val="List Bullet_single"/>
    <w:basedOn w:val="ListBullet"/>
    <w:qFormat/>
    <w:rsid w:val="00FA0CF8"/>
    <w:pPr>
      <w:spacing w:after="60"/>
    </w:pPr>
  </w:style>
  <w:style w:type="paragraph" w:styleId="BalloonText">
    <w:name w:val="Balloon Text"/>
    <w:basedOn w:val="Normal"/>
    <w:link w:val="BalloonTextChar"/>
    <w:semiHidden/>
    <w:rsid w:val="004D4A44"/>
    <w:rPr>
      <w:rFonts w:ascii="Tahoma" w:hAnsi="Tahoma" w:cs="Tahoma"/>
      <w:sz w:val="16"/>
      <w:szCs w:val="16"/>
    </w:rPr>
  </w:style>
  <w:style w:type="character" w:customStyle="1" w:styleId="BalloonTextChar">
    <w:name w:val="Balloon Text Char"/>
    <w:basedOn w:val="DefaultParagraphFont"/>
    <w:link w:val="BalloonText"/>
    <w:semiHidden/>
    <w:rsid w:val="004D4A44"/>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395A33"/>
    <w:rPr>
      <w:color w:val="808080"/>
      <w:shd w:val="clear" w:color="auto" w:fill="E6E6E6"/>
    </w:rPr>
  </w:style>
  <w:style w:type="paragraph" w:styleId="FootnoteText">
    <w:name w:val="footnote text"/>
    <w:basedOn w:val="Normal"/>
    <w:link w:val="FootnoteTextChar"/>
    <w:rsid w:val="00FA0CF8"/>
    <w:pPr>
      <w:tabs>
        <w:tab w:val="left" w:pos="360"/>
      </w:tabs>
      <w:spacing w:before="60"/>
    </w:pPr>
    <w:rPr>
      <w:sz w:val="18"/>
      <w:szCs w:val="20"/>
    </w:rPr>
  </w:style>
  <w:style w:type="character" w:customStyle="1" w:styleId="FootnoteTextChar">
    <w:name w:val="Footnote Text Char"/>
    <w:basedOn w:val="DefaultParagraphFont"/>
    <w:link w:val="FootnoteText"/>
    <w:rsid w:val="00FA0CF8"/>
    <w:rPr>
      <w:sz w:val="18"/>
      <w:szCs w:val="20"/>
    </w:rPr>
  </w:style>
  <w:style w:type="character" w:styleId="FootnoteReference">
    <w:name w:val="footnote reference"/>
    <w:rsid w:val="006567EE"/>
    <w:rPr>
      <w:rFonts w:ascii="Times New Roman" w:hAnsi="Times New Roman"/>
      <w:sz w:val="20"/>
      <w:vertAlign w:val="superscript"/>
    </w:rPr>
  </w:style>
  <w:style w:type="paragraph" w:styleId="ListParagraph">
    <w:name w:val="List Paragraph"/>
    <w:basedOn w:val="Normal"/>
    <w:uiPriority w:val="34"/>
    <w:qFormat/>
    <w:rsid w:val="004D4A44"/>
    <w:pPr>
      <w:ind w:left="720"/>
    </w:pPr>
  </w:style>
  <w:style w:type="paragraph" w:styleId="ListBullet">
    <w:name w:val="List Bullet"/>
    <w:rsid w:val="00FA0CF8"/>
    <w:pPr>
      <w:numPr>
        <w:numId w:val="5"/>
      </w:numPr>
      <w:spacing w:after="120" w:line="240" w:lineRule="auto"/>
      <w:ind w:left="1080" w:hanging="360"/>
    </w:pPr>
    <w:rPr>
      <w:szCs w:val="20"/>
    </w:rPr>
  </w:style>
  <w:style w:type="character" w:styleId="Hyperlink">
    <w:name w:val="Hyperlink"/>
    <w:rsid w:val="004D4A44"/>
    <w:rPr>
      <w:color w:val="0000FF"/>
      <w:u w:val="single"/>
    </w:rPr>
  </w:style>
  <w:style w:type="paragraph" w:styleId="ListBullet2">
    <w:name w:val="List Bullet 2"/>
    <w:basedOn w:val="Normal"/>
    <w:uiPriority w:val="99"/>
    <w:unhideWhenUsed/>
    <w:rsid w:val="00FA0CF8"/>
    <w:pPr>
      <w:numPr>
        <w:numId w:val="18"/>
      </w:numPr>
      <w:spacing w:after="60"/>
      <w:ind w:left="1440"/>
    </w:pPr>
  </w:style>
  <w:style w:type="paragraph" w:customStyle="1" w:styleId="ListBullet2last">
    <w:name w:val="List Bullet 2_last"/>
    <w:basedOn w:val="ListBullet2"/>
    <w:qFormat/>
    <w:rsid w:val="007F0F1B"/>
    <w:pPr>
      <w:spacing w:after="240"/>
    </w:pPr>
  </w:style>
  <w:style w:type="paragraph" w:styleId="BodyText">
    <w:name w:val="Body Text"/>
    <w:link w:val="BodyTextChar"/>
    <w:rsid w:val="00FA0CF8"/>
    <w:pPr>
      <w:spacing w:after="240" w:line="240" w:lineRule="auto"/>
      <w:ind w:firstLine="720"/>
    </w:pPr>
    <w:rPr>
      <w:rFonts w:eastAsia="Times New Roman" w:cs="Times New Roman"/>
    </w:rPr>
  </w:style>
  <w:style w:type="character" w:customStyle="1" w:styleId="BodyTextChar">
    <w:name w:val="Body Text Char"/>
    <w:basedOn w:val="DefaultParagraphFont"/>
    <w:link w:val="BodyText"/>
    <w:rsid w:val="00FA0CF8"/>
    <w:rPr>
      <w:rFonts w:eastAsia="Times New Roman" w:cs="Times New Roman"/>
    </w:rPr>
  </w:style>
  <w:style w:type="paragraph" w:styleId="Caption">
    <w:name w:val="caption"/>
    <w:basedOn w:val="Normal"/>
    <w:next w:val="Normal"/>
    <w:qFormat/>
    <w:rsid w:val="000D2D6D"/>
    <w:rPr>
      <w:b/>
      <w:bCs/>
      <w:sz w:val="22"/>
      <w:szCs w:val="20"/>
    </w:rPr>
  </w:style>
  <w:style w:type="paragraph" w:customStyle="1" w:styleId="TableTitle">
    <w:name w:val="Table Title"/>
    <w:link w:val="TableTitleChar"/>
    <w:rsid w:val="00101277"/>
    <w:pPr>
      <w:keepNext/>
      <w:spacing w:before="80" w:after="80" w:line="240" w:lineRule="auto"/>
      <w:jc w:val="center"/>
    </w:pPr>
    <w:rPr>
      <w:rFonts w:cs="Arial"/>
      <w:b/>
      <w:szCs w:val="22"/>
    </w:rPr>
  </w:style>
  <w:style w:type="character" w:customStyle="1" w:styleId="TableTitleChar">
    <w:name w:val="Table Title Char"/>
    <w:link w:val="TableTitle"/>
    <w:rsid w:val="00101277"/>
    <w:rPr>
      <w:rFonts w:cs="Arial"/>
      <w:b/>
      <w:szCs w:val="22"/>
    </w:rPr>
  </w:style>
  <w:style w:type="character" w:customStyle="1" w:styleId="ptext-2">
    <w:name w:val="ptext-2"/>
    <w:basedOn w:val="DefaultParagraphFont"/>
    <w:rsid w:val="004D4A44"/>
  </w:style>
  <w:style w:type="paragraph" w:styleId="NormalWeb">
    <w:name w:val="Normal (Web)"/>
    <w:basedOn w:val="Normal"/>
    <w:rsid w:val="004D4A44"/>
    <w:pPr>
      <w:spacing w:before="100" w:beforeAutospacing="1" w:after="100" w:afterAutospacing="1"/>
    </w:pPr>
  </w:style>
  <w:style w:type="paragraph" w:styleId="HTMLPreformatted">
    <w:name w:val="HTML Preformatted"/>
    <w:basedOn w:val="Normal"/>
    <w:link w:val="HTMLPreformattedChar"/>
    <w:rsid w:val="004D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D4A44"/>
    <w:rPr>
      <w:rFonts w:ascii="Courier New" w:eastAsia="Times New Roman" w:hAnsi="Courier New" w:cs="Courier New"/>
      <w:sz w:val="20"/>
      <w:szCs w:val="20"/>
    </w:rPr>
  </w:style>
  <w:style w:type="paragraph" w:customStyle="1" w:styleId="Default">
    <w:name w:val="Default"/>
    <w:rsid w:val="004D4A44"/>
    <w:pPr>
      <w:autoSpaceDE w:val="0"/>
      <w:autoSpaceDN w:val="0"/>
      <w:adjustRightInd w:val="0"/>
      <w:spacing w:after="0" w:line="240" w:lineRule="auto"/>
    </w:pPr>
    <w:rPr>
      <w:rFonts w:eastAsia="Times New Roman" w:cs="Times New Roman"/>
      <w:color w:val="000000"/>
    </w:rPr>
  </w:style>
  <w:style w:type="character" w:styleId="FollowedHyperlink">
    <w:name w:val="FollowedHyperlink"/>
    <w:rsid w:val="004D4A44"/>
    <w:rPr>
      <w:color w:val="800080"/>
      <w:u w:val="single"/>
    </w:rPr>
  </w:style>
  <w:style w:type="paragraph" w:customStyle="1" w:styleId="Reference">
    <w:name w:val="Reference"/>
    <w:basedOn w:val="Normal"/>
    <w:rsid w:val="004D4A44"/>
    <w:pPr>
      <w:autoSpaceDE w:val="0"/>
      <w:autoSpaceDN w:val="0"/>
      <w:adjustRightInd w:val="0"/>
      <w:spacing w:after="120"/>
      <w:ind w:left="360" w:hanging="360"/>
    </w:pPr>
    <w:rPr>
      <w:color w:val="000000"/>
      <w:sz w:val="22"/>
    </w:rPr>
  </w:style>
  <w:style w:type="character" w:customStyle="1" w:styleId="DocumentMapChar">
    <w:name w:val="Document Map Char"/>
    <w:basedOn w:val="DefaultParagraphFont"/>
    <w:link w:val="DocumentMap"/>
    <w:semiHidden/>
    <w:rsid w:val="004D4A4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D4A44"/>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rsid w:val="004D4A44"/>
    <w:rPr>
      <w:sz w:val="20"/>
      <w:szCs w:val="20"/>
    </w:rPr>
  </w:style>
  <w:style w:type="character" w:customStyle="1" w:styleId="EndnoteTextChar">
    <w:name w:val="Endnote Text Char"/>
    <w:basedOn w:val="DefaultParagraphFont"/>
    <w:link w:val="EndnoteText"/>
    <w:uiPriority w:val="99"/>
    <w:semiHidden/>
    <w:rsid w:val="004D4A44"/>
    <w:rPr>
      <w:rFonts w:eastAsia="Times New Roman" w:cs="Times New Roman"/>
      <w:sz w:val="20"/>
      <w:szCs w:val="20"/>
    </w:rPr>
  </w:style>
  <w:style w:type="character" w:styleId="EndnoteReference">
    <w:name w:val="endnote reference"/>
    <w:basedOn w:val="DefaultParagraphFont"/>
    <w:uiPriority w:val="99"/>
    <w:unhideWhenUsed/>
    <w:rsid w:val="004D4A44"/>
    <w:rPr>
      <w:vertAlign w:val="superscript"/>
    </w:rPr>
  </w:style>
  <w:style w:type="paragraph" w:styleId="NoSpacing">
    <w:name w:val="No Spacing"/>
    <w:uiPriority w:val="1"/>
    <w:qFormat/>
    <w:rsid w:val="002C76D1"/>
    <w:pPr>
      <w:spacing w:after="0" w:line="240" w:lineRule="auto"/>
    </w:pPr>
    <w:rPr>
      <w:rFonts w:eastAsia="Times New Roman" w:cs="Times New Roman"/>
    </w:rPr>
  </w:style>
  <w:style w:type="paragraph" w:styleId="Revision">
    <w:name w:val="Revision"/>
    <w:hidden/>
    <w:uiPriority w:val="99"/>
    <w:semiHidden/>
    <w:rsid w:val="00D653C2"/>
    <w:pPr>
      <w:spacing w:after="0" w:line="240" w:lineRule="auto"/>
    </w:pPr>
    <w:rPr>
      <w:rFonts w:eastAsia="Times New Roman" w:cs="Times New Roman"/>
    </w:rPr>
  </w:style>
  <w:style w:type="table" w:styleId="TableGrid">
    <w:name w:val="Table Grid"/>
    <w:basedOn w:val="TableNormal"/>
    <w:uiPriority w:val="59"/>
    <w:rsid w:val="00F06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1">
    <w:name w:val="List Number_1"/>
    <w:uiPriority w:val="99"/>
    <w:rsid w:val="00C57469"/>
    <w:pPr>
      <w:numPr>
        <w:numId w:val="19"/>
      </w:numPr>
    </w:pPr>
  </w:style>
  <w:style w:type="paragraph" w:styleId="ListContinue">
    <w:name w:val="List Continue"/>
    <w:basedOn w:val="Normal"/>
    <w:uiPriority w:val="99"/>
    <w:unhideWhenUsed/>
    <w:rsid w:val="00FA0CF8"/>
    <w:pPr>
      <w:numPr>
        <w:numId w:val="20"/>
      </w:numPr>
      <w:spacing w:after="120"/>
    </w:pPr>
  </w:style>
  <w:style w:type="paragraph" w:styleId="ListContinue2">
    <w:name w:val="List Continue 2"/>
    <w:basedOn w:val="Normal"/>
    <w:uiPriority w:val="99"/>
    <w:unhideWhenUsed/>
    <w:rsid w:val="00FA0CF8"/>
    <w:pPr>
      <w:numPr>
        <w:numId w:val="21"/>
      </w:numPr>
      <w:spacing w:after="120"/>
    </w:pPr>
  </w:style>
  <w:style w:type="paragraph" w:customStyle="1" w:styleId="Heading3nonumber">
    <w:name w:val="Heading 3_no number"/>
    <w:qFormat/>
    <w:rsid w:val="00FA0CF8"/>
    <w:pPr>
      <w:keepNext/>
      <w:spacing w:before="240" w:after="120" w:line="240" w:lineRule="auto"/>
      <w:ind w:firstLine="720"/>
    </w:pPr>
    <w:rPr>
      <w:i/>
    </w:rPr>
  </w:style>
  <w:style w:type="paragraph" w:styleId="BodyTextFirstIndent">
    <w:name w:val="Body Text First Indent"/>
    <w:basedOn w:val="BodyText"/>
    <w:link w:val="BodyTextFirstIndentChar"/>
    <w:uiPriority w:val="99"/>
    <w:unhideWhenUsed/>
    <w:rsid w:val="00A16087"/>
    <w:pPr>
      <w:spacing w:before="240"/>
      <w:ind w:left="720" w:right="720" w:firstLine="0"/>
    </w:pPr>
    <w:rPr>
      <w:rFonts w:eastAsiaTheme="minorHAnsi" w:cstheme="minorBidi"/>
    </w:rPr>
  </w:style>
  <w:style w:type="character" w:customStyle="1" w:styleId="BodyTextFirstIndentChar">
    <w:name w:val="Body Text First Indent Char"/>
    <w:basedOn w:val="BodyTextChar"/>
    <w:link w:val="BodyTextFirstIndent"/>
    <w:uiPriority w:val="99"/>
    <w:rsid w:val="00A16087"/>
    <w:rPr>
      <w:rFonts w:eastAsia="Times New Roman" w:cs="Times New Roman"/>
      <w:szCs w:val="24"/>
      <w:shd w:val="clear" w:color="auto" w:fill="DBE5F1" w:themeFill="accent1" w:themeFillTint="33"/>
    </w:rPr>
  </w:style>
  <w:style w:type="paragraph" w:customStyle="1" w:styleId="Footnotetables">
    <w:name w:val="Footnote_tables"/>
    <w:qFormat/>
    <w:rsid w:val="00FA0CF8"/>
    <w:pPr>
      <w:spacing w:before="60" w:after="0" w:line="240" w:lineRule="auto"/>
      <w:ind w:left="360" w:hanging="360"/>
    </w:pPr>
    <w:rPr>
      <w:rFonts w:ascii="Arial Narrow" w:hAnsi="Arial Narrow"/>
      <w:sz w:val="18"/>
      <w:szCs w:val="20"/>
    </w:rPr>
  </w:style>
  <w:style w:type="table" w:customStyle="1" w:styleId="TableGrid1">
    <w:name w:val="Table Grid1"/>
    <w:basedOn w:val="TableNormal"/>
    <w:next w:val="TableGrid"/>
    <w:uiPriority w:val="39"/>
    <w:rsid w:val="00B934E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C6321"/>
  </w:style>
  <w:style w:type="character" w:customStyle="1" w:styleId="UnresolvedMention2">
    <w:name w:val="Unresolved Mention2"/>
    <w:basedOn w:val="DefaultParagraphFont"/>
    <w:uiPriority w:val="99"/>
    <w:semiHidden/>
    <w:unhideWhenUsed/>
    <w:rsid w:val="00F55464"/>
    <w:rPr>
      <w:color w:val="808080"/>
      <w:shd w:val="clear" w:color="auto" w:fill="E6E6E6"/>
    </w:rPr>
  </w:style>
  <w:style w:type="numbering" w:customStyle="1" w:styleId="NoList1">
    <w:name w:val="No List1"/>
    <w:next w:val="NoList"/>
    <w:uiPriority w:val="99"/>
    <w:semiHidden/>
    <w:unhideWhenUsed/>
    <w:rsid w:val="009533EA"/>
  </w:style>
  <w:style w:type="paragraph" w:customStyle="1" w:styleId="Level1">
    <w:name w:val="Level 1"/>
    <w:basedOn w:val="Normal"/>
    <w:rsid w:val="009533EA"/>
    <w:pPr>
      <w:widowControl w:val="0"/>
    </w:pPr>
    <w:rPr>
      <w:rFonts w:eastAsia="Times New Roman" w:cs="Times New Roman"/>
      <w:szCs w:val="20"/>
    </w:rPr>
  </w:style>
  <w:style w:type="character" w:customStyle="1" w:styleId="CommentSubjectChar1">
    <w:name w:val="Comment Subject Char1"/>
    <w:basedOn w:val="CommentTextChar"/>
    <w:uiPriority w:val="99"/>
    <w:semiHidden/>
    <w:rsid w:val="009533EA"/>
    <w:rPr>
      <w:rFonts w:eastAsia="Times New Roman" w:cs="Times New Roman"/>
      <w:b/>
      <w:bCs/>
      <w:sz w:val="20"/>
      <w:szCs w:val="20"/>
    </w:rPr>
  </w:style>
  <w:style w:type="paragraph" w:customStyle="1" w:styleId="a">
    <w:name w:val="آ"/>
    <w:basedOn w:val="Normal"/>
    <w:rsid w:val="009533EA"/>
    <w:pPr>
      <w:widowControl w:val="0"/>
    </w:pPr>
    <w:rPr>
      <w:rFonts w:eastAsia="Times New Roman" w:cs="Times New Roman"/>
      <w:szCs w:val="20"/>
    </w:rPr>
  </w:style>
  <w:style w:type="paragraph" w:customStyle="1" w:styleId="Bullet">
    <w:name w:val="Bullet"/>
    <w:basedOn w:val="Normal"/>
    <w:link w:val="BulletChar"/>
    <w:rsid w:val="009533EA"/>
    <w:pPr>
      <w:tabs>
        <w:tab w:val="num" w:pos="360"/>
      </w:tabs>
      <w:ind w:left="360" w:hanging="360"/>
    </w:pPr>
    <w:rPr>
      <w:rFonts w:eastAsia="Times New Roman" w:cs="Times New Roman"/>
      <w:sz w:val="22"/>
    </w:rPr>
  </w:style>
  <w:style w:type="character" w:customStyle="1" w:styleId="BulletChar">
    <w:name w:val="Bullet Char"/>
    <w:link w:val="Bullet"/>
    <w:rsid w:val="009533EA"/>
    <w:rPr>
      <w:rFonts w:eastAsia="Times New Roman" w:cs="Times New Roman"/>
      <w:sz w:val="22"/>
    </w:rPr>
  </w:style>
  <w:style w:type="character" w:customStyle="1" w:styleId="enumbell">
    <w:name w:val="enumbell"/>
    <w:basedOn w:val="DefaultParagraphFont"/>
    <w:rsid w:val="009533EA"/>
  </w:style>
  <w:style w:type="character" w:customStyle="1" w:styleId="defaultlabelstyle6">
    <w:name w:val="defaultlabelstyle6"/>
    <w:rsid w:val="009533EA"/>
    <w:rPr>
      <w:rFonts w:ascii="Verdana" w:hAnsi="Verdana" w:hint="default"/>
      <w:color w:val="333333"/>
      <w:sz w:val="18"/>
      <w:szCs w:val="18"/>
    </w:rPr>
  </w:style>
  <w:style w:type="paragraph" w:customStyle="1" w:styleId="CM40">
    <w:name w:val="CM40"/>
    <w:basedOn w:val="Default"/>
    <w:next w:val="Default"/>
    <w:rsid w:val="009533EA"/>
    <w:pPr>
      <w:widowControl w:val="0"/>
    </w:pPr>
    <w:rPr>
      <w:color w:val="auto"/>
    </w:rPr>
  </w:style>
  <w:style w:type="character" w:customStyle="1" w:styleId="CharChar1">
    <w:name w:val="Char Char1"/>
    <w:rsid w:val="009533EA"/>
    <w:rPr>
      <w:sz w:val="22"/>
      <w:szCs w:val="24"/>
      <w:lang w:val="en-US" w:eastAsia="en-US" w:bidi="ar-SA"/>
    </w:rPr>
  </w:style>
  <w:style w:type="character" w:customStyle="1" w:styleId="DocumentMapChar1">
    <w:name w:val="Document Map Char1"/>
    <w:basedOn w:val="DefaultParagraphFont"/>
    <w:uiPriority w:val="99"/>
    <w:semiHidden/>
    <w:rsid w:val="009533EA"/>
    <w:rPr>
      <w:rFonts w:ascii="Segoe UI" w:eastAsia="Times New Roman" w:hAnsi="Segoe UI" w:cs="Segoe UI"/>
      <w:sz w:val="16"/>
      <w:szCs w:val="16"/>
    </w:rPr>
  </w:style>
  <w:style w:type="paragraph" w:customStyle="1" w:styleId="StyleHeading411pt">
    <w:name w:val="Style Heading 4 + 11 pt"/>
    <w:basedOn w:val="Heading4"/>
    <w:link w:val="StyleHeading411ptChar"/>
    <w:rsid w:val="009533EA"/>
    <w:pPr>
      <w:ind w:left="1440"/>
    </w:pPr>
    <w:rPr>
      <w:rFonts w:eastAsia="Times New Roman" w:cs="Times New Roman"/>
      <w:sz w:val="24"/>
    </w:rPr>
  </w:style>
  <w:style w:type="character" w:customStyle="1" w:styleId="StyleHeading411ptChar">
    <w:name w:val="Style Heading 4 + 11 pt Char"/>
    <w:link w:val="StyleHeading411pt"/>
    <w:rsid w:val="009533EA"/>
    <w:rPr>
      <w:rFonts w:eastAsia="Times New Roman" w:cs="Times New Roman"/>
      <w:b/>
      <w:bCs/>
      <w:szCs w:val="28"/>
    </w:rPr>
  </w:style>
  <w:style w:type="character" w:customStyle="1" w:styleId="highlight">
    <w:name w:val="highlight"/>
    <w:basedOn w:val="DefaultParagraphFont"/>
    <w:rsid w:val="009533EA"/>
  </w:style>
  <w:style w:type="character" w:customStyle="1" w:styleId="UnresolvedMention3">
    <w:name w:val="Unresolved Mention3"/>
    <w:basedOn w:val="DefaultParagraphFont"/>
    <w:uiPriority w:val="99"/>
    <w:semiHidden/>
    <w:unhideWhenUsed/>
    <w:rsid w:val="002F3D90"/>
    <w:rPr>
      <w:color w:val="808080"/>
      <w:shd w:val="clear" w:color="auto" w:fill="E6E6E6"/>
    </w:rPr>
  </w:style>
  <w:style w:type="table" w:customStyle="1" w:styleId="TableGrid2">
    <w:name w:val="Table Grid2"/>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ory-body-2em">
    <w:name w:val="statutory-body-2em"/>
    <w:basedOn w:val="Normal"/>
    <w:rsid w:val="00B277D3"/>
    <w:pPr>
      <w:ind w:left="480" w:firstLine="240"/>
    </w:pPr>
    <w:rPr>
      <w:rFonts w:eastAsia="Times New Roman" w:cs="Times New Roman"/>
    </w:rPr>
  </w:style>
  <w:style w:type="paragraph" w:customStyle="1" w:styleId="statutory-body-3em">
    <w:name w:val="statutory-body-3em"/>
    <w:basedOn w:val="Normal"/>
    <w:rsid w:val="00B277D3"/>
    <w:pPr>
      <w:ind w:left="720" w:firstLine="240"/>
    </w:pPr>
    <w:rPr>
      <w:rFonts w:eastAsia="Times New Roman" w:cs="Times New Roman"/>
    </w:rPr>
  </w:style>
  <w:style w:type="paragraph" w:customStyle="1" w:styleId="statutory-body-4em">
    <w:name w:val="statutory-body-4em"/>
    <w:basedOn w:val="Normal"/>
    <w:rsid w:val="00B277D3"/>
    <w:pPr>
      <w:ind w:left="960" w:firstLine="240"/>
    </w:pPr>
    <w:rPr>
      <w:rFonts w:eastAsia="Times New Roman" w:cs="Times New Roman"/>
    </w:rPr>
  </w:style>
  <w:style w:type="table" w:customStyle="1" w:styleId="TableGrid11">
    <w:name w:val="Table Grid11"/>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3552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A17"/>
    <w:pPr>
      <w:spacing w:after="0" w:line="240" w:lineRule="auto"/>
    </w:pPr>
  </w:style>
  <w:style w:type="paragraph" w:styleId="Heading1">
    <w:name w:val="heading 1"/>
    <w:link w:val="Heading1Char"/>
    <w:qFormat/>
    <w:rsid w:val="00FA0CF8"/>
    <w:pPr>
      <w:keepNext/>
      <w:numPr>
        <w:numId w:val="7"/>
      </w:numPr>
      <w:spacing w:before="240" w:after="240" w:line="240" w:lineRule="auto"/>
      <w:outlineLvl w:val="0"/>
    </w:pPr>
    <w:rPr>
      <w:rFonts w:cs="Arial"/>
      <w:b/>
      <w:bCs/>
      <w:kern w:val="32"/>
      <w:szCs w:val="32"/>
    </w:rPr>
  </w:style>
  <w:style w:type="paragraph" w:styleId="Heading2">
    <w:name w:val="heading 2"/>
    <w:link w:val="Heading2Char"/>
    <w:qFormat/>
    <w:rsid w:val="000D2D6D"/>
    <w:pPr>
      <w:keepNext/>
      <w:numPr>
        <w:ilvl w:val="1"/>
        <w:numId w:val="7"/>
      </w:numPr>
      <w:spacing w:before="240" w:after="220" w:line="240" w:lineRule="auto"/>
      <w:ind w:hanging="360"/>
      <w:outlineLvl w:val="1"/>
    </w:pPr>
    <w:rPr>
      <w:rFonts w:cs="Arial"/>
      <w:b/>
      <w:bCs/>
      <w:iCs/>
      <w:szCs w:val="28"/>
    </w:rPr>
  </w:style>
  <w:style w:type="paragraph" w:styleId="Heading3">
    <w:name w:val="heading 3"/>
    <w:link w:val="Heading3Char"/>
    <w:qFormat/>
    <w:rsid w:val="00FA0CF8"/>
    <w:pPr>
      <w:keepNext/>
      <w:numPr>
        <w:ilvl w:val="2"/>
        <w:numId w:val="7"/>
      </w:numPr>
      <w:spacing w:before="240" w:after="120" w:line="240" w:lineRule="auto"/>
      <w:outlineLvl w:val="2"/>
    </w:pPr>
    <w:rPr>
      <w:rFonts w:cs="Arial"/>
      <w:b/>
      <w:bCs/>
      <w:szCs w:val="26"/>
    </w:rPr>
  </w:style>
  <w:style w:type="paragraph" w:styleId="Heading4">
    <w:name w:val="heading 4"/>
    <w:basedOn w:val="Normal"/>
    <w:next w:val="Normal"/>
    <w:link w:val="Heading4Char"/>
    <w:qFormat/>
    <w:rsid w:val="004D4A44"/>
    <w:pPr>
      <w:keepNext/>
      <w:numPr>
        <w:ilvl w:val="3"/>
        <w:numId w:val="7"/>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0CF8"/>
    <w:rPr>
      <w:rFonts w:cs="Arial"/>
      <w:b/>
      <w:bCs/>
      <w:kern w:val="32"/>
      <w:szCs w:val="32"/>
    </w:rPr>
  </w:style>
  <w:style w:type="character" w:customStyle="1" w:styleId="Heading2Char">
    <w:name w:val="Heading 2 Char"/>
    <w:basedOn w:val="DefaultParagraphFont"/>
    <w:link w:val="Heading2"/>
    <w:rsid w:val="000D2D6D"/>
    <w:rPr>
      <w:rFonts w:cs="Arial"/>
      <w:b/>
      <w:bCs/>
      <w:iCs/>
      <w:szCs w:val="28"/>
    </w:rPr>
  </w:style>
  <w:style w:type="character" w:customStyle="1" w:styleId="Heading3Char">
    <w:name w:val="Heading 3 Char"/>
    <w:basedOn w:val="DefaultParagraphFont"/>
    <w:link w:val="Heading3"/>
    <w:rsid w:val="00FA0CF8"/>
    <w:rPr>
      <w:rFonts w:cs="Arial"/>
      <w:b/>
      <w:bCs/>
      <w:szCs w:val="26"/>
    </w:rPr>
  </w:style>
  <w:style w:type="character" w:customStyle="1" w:styleId="Heading4Char">
    <w:name w:val="Heading 4 Char"/>
    <w:basedOn w:val="DefaultParagraphFont"/>
    <w:link w:val="Heading4"/>
    <w:rsid w:val="004D4A44"/>
    <w:rPr>
      <w:b/>
      <w:bCs/>
      <w:sz w:val="28"/>
      <w:szCs w:val="28"/>
    </w:rPr>
  </w:style>
  <w:style w:type="paragraph" w:styleId="Footer">
    <w:name w:val="footer"/>
    <w:basedOn w:val="Normal"/>
    <w:link w:val="FooterChar"/>
    <w:uiPriority w:val="99"/>
    <w:rsid w:val="004D4A44"/>
    <w:pPr>
      <w:tabs>
        <w:tab w:val="center" w:pos="4320"/>
        <w:tab w:val="right" w:pos="8640"/>
      </w:tabs>
    </w:pPr>
  </w:style>
  <w:style w:type="character" w:customStyle="1" w:styleId="FooterChar">
    <w:name w:val="Footer Char"/>
    <w:basedOn w:val="DefaultParagraphFont"/>
    <w:link w:val="Footer"/>
    <w:uiPriority w:val="99"/>
    <w:rsid w:val="004D4A44"/>
    <w:rPr>
      <w:rFonts w:eastAsia="Times New Roman" w:cs="Times New Roman"/>
      <w:szCs w:val="24"/>
    </w:rPr>
  </w:style>
  <w:style w:type="character" w:styleId="PageNumber">
    <w:name w:val="page number"/>
    <w:basedOn w:val="DefaultParagraphFont"/>
    <w:rsid w:val="004D4A44"/>
  </w:style>
  <w:style w:type="paragraph" w:styleId="Header">
    <w:name w:val="header"/>
    <w:basedOn w:val="Normal"/>
    <w:link w:val="HeaderChar"/>
    <w:rsid w:val="004D4A44"/>
    <w:pPr>
      <w:tabs>
        <w:tab w:val="center" w:pos="4320"/>
        <w:tab w:val="right" w:pos="8640"/>
      </w:tabs>
    </w:pPr>
  </w:style>
  <w:style w:type="character" w:customStyle="1" w:styleId="HeaderChar">
    <w:name w:val="Header Char"/>
    <w:basedOn w:val="DefaultParagraphFont"/>
    <w:link w:val="Header"/>
    <w:rsid w:val="004D4A44"/>
    <w:rPr>
      <w:rFonts w:eastAsia="Times New Roman" w:cs="Times New Roman"/>
      <w:szCs w:val="24"/>
    </w:rPr>
  </w:style>
  <w:style w:type="paragraph" w:customStyle="1" w:styleId="ListBulletlast">
    <w:name w:val="List Bullet_last"/>
    <w:basedOn w:val="ListBullet"/>
    <w:qFormat/>
    <w:rsid w:val="00FA0CF8"/>
    <w:pPr>
      <w:spacing w:after="240"/>
    </w:pPr>
  </w:style>
  <w:style w:type="character" w:styleId="CommentReference">
    <w:name w:val="annotation reference"/>
    <w:semiHidden/>
    <w:rsid w:val="004D4A44"/>
    <w:rPr>
      <w:sz w:val="16"/>
      <w:szCs w:val="16"/>
    </w:rPr>
  </w:style>
  <w:style w:type="paragraph" w:styleId="CommentText">
    <w:name w:val="annotation text"/>
    <w:basedOn w:val="Normal"/>
    <w:link w:val="CommentTextChar"/>
    <w:semiHidden/>
    <w:rsid w:val="004D4A44"/>
    <w:rPr>
      <w:sz w:val="20"/>
      <w:szCs w:val="20"/>
    </w:rPr>
  </w:style>
  <w:style w:type="character" w:customStyle="1" w:styleId="CommentTextChar">
    <w:name w:val="Comment Text Char"/>
    <w:basedOn w:val="DefaultParagraphFont"/>
    <w:link w:val="CommentText"/>
    <w:semiHidden/>
    <w:rsid w:val="004D4A44"/>
    <w:rPr>
      <w:rFonts w:eastAsia="Times New Roman" w:cs="Times New Roman"/>
      <w:sz w:val="20"/>
      <w:szCs w:val="20"/>
    </w:rPr>
  </w:style>
  <w:style w:type="character" w:customStyle="1" w:styleId="CommentSubjectChar">
    <w:name w:val="Comment Subject Char"/>
    <w:basedOn w:val="CommentTextChar"/>
    <w:link w:val="CommentSubject"/>
    <w:semiHidden/>
    <w:rsid w:val="004D4A44"/>
    <w:rPr>
      <w:rFonts w:eastAsia="Times New Roman" w:cs="Times New Roman"/>
      <w:b/>
      <w:bCs/>
      <w:sz w:val="20"/>
      <w:szCs w:val="20"/>
    </w:rPr>
  </w:style>
  <w:style w:type="paragraph" w:styleId="CommentSubject">
    <w:name w:val="annotation subject"/>
    <w:basedOn w:val="CommentText"/>
    <w:next w:val="CommentText"/>
    <w:link w:val="CommentSubjectChar"/>
    <w:semiHidden/>
    <w:rsid w:val="004D4A44"/>
    <w:rPr>
      <w:b/>
      <w:bCs/>
    </w:rPr>
  </w:style>
  <w:style w:type="paragraph" w:customStyle="1" w:styleId="ListBulletsingle">
    <w:name w:val="List Bullet_single"/>
    <w:basedOn w:val="ListBullet"/>
    <w:qFormat/>
    <w:rsid w:val="00FA0CF8"/>
    <w:pPr>
      <w:spacing w:after="60"/>
    </w:pPr>
  </w:style>
  <w:style w:type="paragraph" w:styleId="BalloonText">
    <w:name w:val="Balloon Text"/>
    <w:basedOn w:val="Normal"/>
    <w:link w:val="BalloonTextChar"/>
    <w:semiHidden/>
    <w:rsid w:val="004D4A44"/>
    <w:rPr>
      <w:rFonts w:ascii="Tahoma" w:hAnsi="Tahoma" w:cs="Tahoma"/>
      <w:sz w:val="16"/>
      <w:szCs w:val="16"/>
    </w:rPr>
  </w:style>
  <w:style w:type="character" w:customStyle="1" w:styleId="BalloonTextChar">
    <w:name w:val="Balloon Text Char"/>
    <w:basedOn w:val="DefaultParagraphFont"/>
    <w:link w:val="BalloonText"/>
    <w:semiHidden/>
    <w:rsid w:val="004D4A44"/>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395A33"/>
    <w:rPr>
      <w:color w:val="808080"/>
      <w:shd w:val="clear" w:color="auto" w:fill="E6E6E6"/>
    </w:rPr>
  </w:style>
  <w:style w:type="paragraph" w:styleId="FootnoteText">
    <w:name w:val="footnote text"/>
    <w:basedOn w:val="Normal"/>
    <w:link w:val="FootnoteTextChar"/>
    <w:rsid w:val="00FA0CF8"/>
    <w:pPr>
      <w:tabs>
        <w:tab w:val="left" w:pos="360"/>
      </w:tabs>
      <w:spacing w:before="60"/>
    </w:pPr>
    <w:rPr>
      <w:sz w:val="18"/>
      <w:szCs w:val="20"/>
    </w:rPr>
  </w:style>
  <w:style w:type="character" w:customStyle="1" w:styleId="FootnoteTextChar">
    <w:name w:val="Footnote Text Char"/>
    <w:basedOn w:val="DefaultParagraphFont"/>
    <w:link w:val="FootnoteText"/>
    <w:rsid w:val="00FA0CF8"/>
    <w:rPr>
      <w:sz w:val="18"/>
      <w:szCs w:val="20"/>
    </w:rPr>
  </w:style>
  <w:style w:type="character" w:styleId="FootnoteReference">
    <w:name w:val="footnote reference"/>
    <w:rsid w:val="006567EE"/>
    <w:rPr>
      <w:rFonts w:ascii="Times New Roman" w:hAnsi="Times New Roman"/>
      <w:sz w:val="20"/>
      <w:vertAlign w:val="superscript"/>
    </w:rPr>
  </w:style>
  <w:style w:type="paragraph" w:styleId="ListParagraph">
    <w:name w:val="List Paragraph"/>
    <w:basedOn w:val="Normal"/>
    <w:uiPriority w:val="34"/>
    <w:qFormat/>
    <w:rsid w:val="004D4A44"/>
    <w:pPr>
      <w:ind w:left="720"/>
    </w:pPr>
  </w:style>
  <w:style w:type="paragraph" w:styleId="ListBullet">
    <w:name w:val="List Bullet"/>
    <w:rsid w:val="00FA0CF8"/>
    <w:pPr>
      <w:numPr>
        <w:numId w:val="5"/>
      </w:numPr>
      <w:spacing w:after="120" w:line="240" w:lineRule="auto"/>
      <w:ind w:left="1080" w:hanging="360"/>
    </w:pPr>
    <w:rPr>
      <w:szCs w:val="20"/>
    </w:rPr>
  </w:style>
  <w:style w:type="character" w:styleId="Hyperlink">
    <w:name w:val="Hyperlink"/>
    <w:rsid w:val="004D4A44"/>
    <w:rPr>
      <w:color w:val="0000FF"/>
      <w:u w:val="single"/>
    </w:rPr>
  </w:style>
  <w:style w:type="paragraph" w:styleId="ListBullet2">
    <w:name w:val="List Bullet 2"/>
    <w:basedOn w:val="Normal"/>
    <w:uiPriority w:val="99"/>
    <w:unhideWhenUsed/>
    <w:rsid w:val="00FA0CF8"/>
    <w:pPr>
      <w:numPr>
        <w:numId w:val="18"/>
      </w:numPr>
      <w:spacing w:after="60"/>
      <w:ind w:left="1440"/>
    </w:pPr>
  </w:style>
  <w:style w:type="paragraph" w:customStyle="1" w:styleId="ListBullet2last">
    <w:name w:val="List Bullet 2_last"/>
    <w:basedOn w:val="ListBullet2"/>
    <w:qFormat/>
    <w:rsid w:val="007F0F1B"/>
    <w:pPr>
      <w:spacing w:after="240"/>
    </w:pPr>
  </w:style>
  <w:style w:type="paragraph" w:styleId="BodyText">
    <w:name w:val="Body Text"/>
    <w:link w:val="BodyTextChar"/>
    <w:rsid w:val="00FA0CF8"/>
    <w:pPr>
      <w:spacing w:after="240" w:line="240" w:lineRule="auto"/>
      <w:ind w:firstLine="720"/>
    </w:pPr>
    <w:rPr>
      <w:rFonts w:eastAsia="Times New Roman" w:cs="Times New Roman"/>
    </w:rPr>
  </w:style>
  <w:style w:type="character" w:customStyle="1" w:styleId="BodyTextChar">
    <w:name w:val="Body Text Char"/>
    <w:basedOn w:val="DefaultParagraphFont"/>
    <w:link w:val="BodyText"/>
    <w:rsid w:val="00FA0CF8"/>
    <w:rPr>
      <w:rFonts w:eastAsia="Times New Roman" w:cs="Times New Roman"/>
    </w:rPr>
  </w:style>
  <w:style w:type="paragraph" w:styleId="Caption">
    <w:name w:val="caption"/>
    <w:basedOn w:val="Normal"/>
    <w:next w:val="Normal"/>
    <w:qFormat/>
    <w:rsid w:val="000D2D6D"/>
    <w:rPr>
      <w:b/>
      <w:bCs/>
      <w:sz w:val="22"/>
      <w:szCs w:val="20"/>
    </w:rPr>
  </w:style>
  <w:style w:type="paragraph" w:customStyle="1" w:styleId="TableTitle">
    <w:name w:val="Table Title"/>
    <w:link w:val="TableTitleChar"/>
    <w:rsid w:val="00101277"/>
    <w:pPr>
      <w:keepNext/>
      <w:spacing w:before="80" w:after="80" w:line="240" w:lineRule="auto"/>
      <w:jc w:val="center"/>
    </w:pPr>
    <w:rPr>
      <w:rFonts w:cs="Arial"/>
      <w:b/>
      <w:szCs w:val="22"/>
    </w:rPr>
  </w:style>
  <w:style w:type="character" w:customStyle="1" w:styleId="TableTitleChar">
    <w:name w:val="Table Title Char"/>
    <w:link w:val="TableTitle"/>
    <w:rsid w:val="00101277"/>
    <w:rPr>
      <w:rFonts w:cs="Arial"/>
      <w:b/>
      <w:szCs w:val="22"/>
    </w:rPr>
  </w:style>
  <w:style w:type="character" w:customStyle="1" w:styleId="ptext-2">
    <w:name w:val="ptext-2"/>
    <w:basedOn w:val="DefaultParagraphFont"/>
    <w:rsid w:val="004D4A44"/>
  </w:style>
  <w:style w:type="paragraph" w:styleId="NormalWeb">
    <w:name w:val="Normal (Web)"/>
    <w:basedOn w:val="Normal"/>
    <w:rsid w:val="004D4A44"/>
    <w:pPr>
      <w:spacing w:before="100" w:beforeAutospacing="1" w:after="100" w:afterAutospacing="1"/>
    </w:pPr>
  </w:style>
  <w:style w:type="paragraph" w:styleId="HTMLPreformatted">
    <w:name w:val="HTML Preformatted"/>
    <w:basedOn w:val="Normal"/>
    <w:link w:val="HTMLPreformattedChar"/>
    <w:rsid w:val="004D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D4A44"/>
    <w:rPr>
      <w:rFonts w:ascii="Courier New" w:eastAsia="Times New Roman" w:hAnsi="Courier New" w:cs="Courier New"/>
      <w:sz w:val="20"/>
      <w:szCs w:val="20"/>
    </w:rPr>
  </w:style>
  <w:style w:type="paragraph" w:customStyle="1" w:styleId="Default">
    <w:name w:val="Default"/>
    <w:rsid w:val="004D4A44"/>
    <w:pPr>
      <w:autoSpaceDE w:val="0"/>
      <w:autoSpaceDN w:val="0"/>
      <w:adjustRightInd w:val="0"/>
      <w:spacing w:after="0" w:line="240" w:lineRule="auto"/>
    </w:pPr>
    <w:rPr>
      <w:rFonts w:eastAsia="Times New Roman" w:cs="Times New Roman"/>
      <w:color w:val="000000"/>
    </w:rPr>
  </w:style>
  <w:style w:type="character" w:styleId="FollowedHyperlink">
    <w:name w:val="FollowedHyperlink"/>
    <w:rsid w:val="004D4A44"/>
    <w:rPr>
      <w:color w:val="800080"/>
      <w:u w:val="single"/>
    </w:rPr>
  </w:style>
  <w:style w:type="paragraph" w:customStyle="1" w:styleId="Reference">
    <w:name w:val="Reference"/>
    <w:basedOn w:val="Normal"/>
    <w:rsid w:val="004D4A44"/>
    <w:pPr>
      <w:autoSpaceDE w:val="0"/>
      <w:autoSpaceDN w:val="0"/>
      <w:adjustRightInd w:val="0"/>
      <w:spacing w:after="120"/>
      <w:ind w:left="360" w:hanging="360"/>
    </w:pPr>
    <w:rPr>
      <w:color w:val="000000"/>
      <w:sz w:val="22"/>
    </w:rPr>
  </w:style>
  <w:style w:type="character" w:customStyle="1" w:styleId="DocumentMapChar">
    <w:name w:val="Document Map Char"/>
    <w:basedOn w:val="DefaultParagraphFont"/>
    <w:link w:val="DocumentMap"/>
    <w:semiHidden/>
    <w:rsid w:val="004D4A4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D4A44"/>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rsid w:val="004D4A44"/>
    <w:rPr>
      <w:sz w:val="20"/>
      <w:szCs w:val="20"/>
    </w:rPr>
  </w:style>
  <w:style w:type="character" w:customStyle="1" w:styleId="EndnoteTextChar">
    <w:name w:val="Endnote Text Char"/>
    <w:basedOn w:val="DefaultParagraphFont"/>
    <w:link w:val="EndnoteText"/>
    <w:uiPriority w:val="99"/>
    <w:semiHidden/>
    <w:rsid w:val="004D4A44"/>
    <w:rPr>
      <w:rFonts w:eastAsia="Times New Roman" w:cs="Times New Roman"/>
      <w:sz w:val="20"/>
      <w:szCs w:val="20"/>
    </w:rPr>
  </w:style>
  <w:style w:type="character" w:styleId="EndnoteReference">
    <w:name w:val="endnote reference"/>
    <w:basedOn w:val="DefaultParagraphFont"/>
    <w:uiPriority w:val="99"/>
    <w:unhideWhenUsed/>
    <w:rsid w:val="004D4A44"/>
    <w:rPr>
      <w:vertAlign w:val="superscript"/>
    </w:rPr>
  </w:style>
  <w:style w:type="paragraph" w:styleId="NoSpacing">
    <w:name w:val="No Spacing"/>
    <w:uiPriority w:val="1"/>
    <w:qFormat/>
    <w:rsid w:val="002C76D1"/>
    <w:pPr>
      <w:spacing w:after="0" w:line="240" w:lineRule="auto"/>
    </w:pPr>
    <w:rPr>
      <w:rFonts w:eastAsia="Times New Roman" w:cs="Times New Roman"/>
    </w:rPr>
  </w:style>
  <w:style w:type="paragraph" w:styleId="Revision">
    <w:name w:val="Revision"/>
    <w:hidden/>
    <w:uiPriority w:val="99"/>
    <w:semiHidden/>
    <w:rsid w:val="00D653C2"/>
    <w:pPr>
      <w:spacing w:after="0" w:line="240" w:lineRule="auto"/>
    </w:pPr>
    <w:rPr>
      <w:rFonts w:eastAsia="Times New Roman" w:cs="Times New Roman"/>
    </w:rPr>
  </w:style>
  <w:style w:type="table" w:styleId="TableGrid">
    <w:name w:val="Table Grid"/>
    <w:basedOn w:val="TableNormal"/>
    <w:uiPriority w:val="59"/>
    <w:rsid w:val="00F06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1">
    <w:name w:val="List Number_1"/>
    <w:uiPriority w:val="99"/>
    <w:rsid w:val="00C57469"/>
    <w:pPr>
      <w:numPr>
        <w:numId w:val="19"/>
      </w:numPr>
    </w:pPr>
  </w:style>
  <w:style w:type="paragraph" w:styleId="ListContinue">
    <w:name w:val="List Continue"/>
    <w:basedOn w:val="Normal"/>
    <w:uiPriority w:val="99"/>
    <w:unhideWhenUsed/>
    <w:rsid w:val="00FA0CF8"/>
    <w:pPr>
      <w:numPr>
        <w:numId w:val="20"/>
      </w:numPr>
      <w:spacing w:after="120"/>
    </w:pPr>
  </w:style>
  <w:style w:type="paragraph" w:styleId="ListContinue2">
    <w:name w:val="List Continue 2"/>
    <w:basedOn w:val="Normal"/>
    <w:uiPriority w:val="99"/>
    <w:unhideWhenUsed/>
    <w:rsid w:val="00FA0CF8"/>
    <w:pPr>
      <w:numPr>
        <w:numId w:val="21"/>
      </w:numPr>
      <w:spacing w:after="120"/>
    </w:pPr>
  </w:style>
  <w:style w:type="paragraph" w:customStyle="1" w:styleId="Heading3nonumber">
    <w:name w:val="Heading 3_no number"/>
    <w:qFormat/>
    <w:rsid w:val="00FA0CF8"/>
    <w:pPr>
      <w:keepNext/>
      <w:spacing w:before="240" w:after="120" w:line="240" w:lineRule="auto"/>
      <w:ind w:firstLine="720"/>
    </w:pPr>
    <w:rPr>
      <w:i/>
    </w:rPr>
  </w:style>
  <w:style w:type="paragraph" w:styleId="BodyTextFirstIndent">
    <w:name w:val="Body Text First Indent"/>
    <w:basedOn w:val="BodyText"/>
    <w:link w:val="BodyTextFirstIndentChar"/>
    <w:uiPriority w:val="99"/>
    <w:unhideWhenUsed/>
    <w:rsid w:val="00A16087"/>
    <w:pPr>
      <w:spacing w:before="240"/>
      <w:ind w:left="720" w:right="720" w:firstLine="0"/>
    </w:pPr>
    <w:rPr>
      <w:rFonts w:eastAsiaTheme="minorHAnsi" w:cstheme="minorBidi"/>
    </w:rPr>
  </w:style>
  <w:style w:type="character" w:customStyle="1" w:styleId="BodyTextFirstIndentChar">
    <w:name w:val="Body Text First Indent Char"/>
    <w:basedOn w:val="BodyTextChar"/>
    <w:link w:val="BodyTextFirstIndent"/>
    <w:uiPriority w:val="99"/>
    <w:rsid w:val="00A16087"/>
    <w:rPr>
      <w:rFonts w:eastAsia="Times New Roman" w:cs="Times New Roman"/>
      <w:szCs w:val="24"/>
      <w:shd w:val="clear" w:color="auto" w:fill="DBE5F1" w:themeFill="accent1" w:themeFillTint="33"/>
    </w:rPr>
  </w:style>
  <w:style w:type="paragraph" w:customStyle="1" w:styleId="Footnotetables">
    <w:name w:val="Footnote_tables"/>
    <w:qFormat/>
    <w:rsid w:val="00FA0CF8"/>
    <w:pPr>
      <w:spacing w:before="60" w:after="0" w:line="240" w:lineRule="auto"/>
      <w:ind w:left="360" w:hanging="360"/>
    </w:pPr>
    <w:rPr>
      <w:rFonts w:ascii="Arial Narrow" w:hAnsi="Arial Narrow"/>
      <w:sz w:val="18"/>
      <w:szCs w:val="20"/>
    </w:rPr>
  </w:style>
  <w:style w:type="table" w:customStyle="1" w:styleId="TableGrid1">
    <w:name w:val="Table Grid1"/>
    <w:basedOn w:val="TableNormal"/>
    <w:next w:val="TableGrid"/>
    <w:uiPriority w:val="39"/>
    <w:rsid w:val="00B934E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C6321"/>
  </w:style>
  <w:style w:type="character" w:customStyle="1" w:styleId="UnresolvedMention2">
    <w:name w:val="Unresolved Mention2"/>
    <w:basedOn w:val="DefaultParagraphFont"/>
    <w:uiPriority w:val="99"/>
    <w:semiHidden/>
    <w:unhideWhenUsed/>
    <w:rsid w:val="00F55464"/>
    <w:rPr>
      <w:color w:val="808080"/>
      <w:shd w:val="clear" w:color="auto" w:fill="E6E6E6"/>
    </w:rPr>
  </w:style>
  <w:style w:type="numbering" w:customStyle="1" w:styleId="NoList1">
    <w:name w:val="No List1"/>
    <w:next w:val="NoList"/>
    <w:uiPriority w:val="99"/>
    <w:semiHidden/>
    <w:unhideWhenUsed/>
    <w:rsid w:val="009533EA"/>
  </w:style>
  <w:style w:type="paragraph" w:customStyle="1" w:styleId="Level1">
    <w:name w:val="Level 1"/>
    <w:basedOn w:val="Normal"/>
    <w:rsid w:val="009533EA"/>
    <w:pPr>
      <w:widowControl w:val="0"/>
    </w:pPr>
    <w:rPr>
      <w:rFonts w:eastAsia="Times New Roman" w:cs="Times New Roman"/>
      <w:szCs w:val="20"/>
    </w:rPr>
  </w:style>
  <w:style w:type="character" w:customStyle="1" w:styleId="CommentSubjectChar1">
    <w:name w:val="Comment Subject Char1"/>
    <w:basedOn w:val="CommentTextChar"/>
    <w:uiPriority w:val="99"/>
    <w:semiHidden/>
    <w:rsid w:val="009533EA"/>
    <w:rPr>
      <w:rFonts w:eastAsia="Times New Roman" w:cs="Times New Roman"/>
      <w:b/>
      <w:bCs/>
      <w:sz w:val="20"/>
      <w:szCs w:val="20"/>
    </w:rPr>
  </w:style>
  <w:style w:type="paragraph" w:customStyle="1" w:styleId="a">
    <w:name w:val="آ"/>
    <w:basedOn w:val="Normal"/>
    <w:rsid w:val="009533EA"/>
    <w:pPr>
      <w:widowControl w:val="0"/>
    </w:pPr>
    <w:rPr>
      <w:rFonts w:eastAsia="Times New Roman" w:cs="Times New Roman"/>
      <w:szCs w:val="20"/>
    </w:rPr>
  </w:style>
  <w:style w:type="paragraph" w:customStyle="1" w:styleId="Bullet">
    <w:name w:val="Bullet"/>
    <w:basedOn w:val="Normal"/>
    <w:link w:val="BulletChar"/>
    <w:rsid w:val="009533EA"/>
    <w:pPr>
      <w:tabs>
        <w:tab w:val="num" w:pos="360"/>
      </w:tabs>
      <w:ind w:left="360" w:hanging="360"/>
    </w:pPr>
    <w:rPr>
      <w:rFonts w:eastAsia="Times New Roman" w:cs="Times New Roman"/>
      <w:sz w:val="22"/>
    </w:rPr>
  </w:style>
  <w:style w:type="character" w:customStyle="1" w:styleId="BulletChar">
    <w:name w:val="Bullet Char"/>
    <w:link w:val="Bullet"/>
    <w:rsid w:val="009533EA"/>
    <w:rPr>
      <w:rFonts w:eastAsia="Times New Roman" w:cs="Times New Roman"/>
      <w:sz w:val="22"/>
    </w:rPr>
  </w:style>
  <w:style w:type="character" w:customStyle="1" w:styleId="enumbell">
    <w:name w:val="enumbell"/>
    <w:basedOn w:val="DefaultParagraphFont"/>
    <w:rsid w:val="009533EA"/>
  </w:style>
  <w:style w:type="character" w:customStyle="1" w:styleId="defaultlabelstyle6">
    <w:name w:val="defaultlabelstyle6"/>
    <w:rsid w:val="009533EA"/>
    <w:rPr>
      <w:rFonts w:ascii="Verdana" w:hAnsi="Verdana" w:hint="default"/>
      <w:color w:val="333333"/>
      <w:sz w:val="18"/>
      <w:szCs w:val="18"/>
    </w:rPr>
  </w:style>
  <w:style w:type="paragraph" w:customStyle="1" w:styleId="CM40">
    <w:name w:val="CM40"/>
    <w:basedOn w:val="Default"/>
    <w:next w:val="Default"/>
    <w:rsid w:val="009533EA"/>
    <w:pPr>
      <w:widowControl w:val="0"/>
    </w:pPr>
    <w:rPr>
      <w:color w:val="auto"/>
    </w:rPr>
  </w:style>
  <w:style w:type="character" w:customStyle="1" w:styleId="CharChar1">
    <w:name w:val="Char Char1"/>
    <w:rsid w:val="009533EA"/>
    <w:rPr>
      <w:sz w:val="22"/>
      <w:szCs w:val="24"/>
      <w:lang w:val="en-US" w:eastAsia="en-US" w:bidi="ar-SA"/>
    </w:rPr>
  </w:style>
  <w:style w:type="character" w:customStyle="1" w:styleId="DocumentMapChar1">
    <w:name w:val="Document Map Char1"/>
    <w:basedOn w:val="DefaultParagraphFont"/>
    <w:uiPriority w:val="99"/>
    <w:semiHidden/>
    <w:rsid w:val="009533EA"/>
    <w:rPr>
      <w:rFonts w:ascii="Segoe UI" w:eastAsia="Times New Roman" w:hAnsi="Segoe UI" w:cs="Segoe UI"/>
      <w:sz w:val="16"/>
      <w:szCs w:val="16"/>
    </w:rPr>
  </w:style>
  <w:style w:type="paragraph" w:customStyle="1" w:styleId="StyleHeading411pt">
    <w:name w:val="Style Heading 4 + 11 pt"/>
    <w:basedOn w:val="Heading4"/>
    <w:link w:val="StyleHeading411ptChar"/>
    <w:rsid w:val="009533EA"/>
    <w:pPr>
      <w:ind w:left="1440"/>
    </w:pPr>
    <w:rPr>
      <w:rFonts w:eastAsia="Times New Roman" w:cs="Times New Roman"/>
      <w:sz w:val="24"/>
    </w:rPr>
  </w:style>
  <w:style w:type="character" w:customStyle="1" w:styleId="StyleHeading411ptChar">
    <w:name w:val="Style Heading 4 + 11 pt Char"/>
    <w:link w:val="StyleHeading411pt"/>
    <w:rsid w:val="009533EA"/>
    <w:rPr>
      <w:rFonts w:eastAsia="Times New Roman" w:cs="Times New Roman"/>
      <w:b/>
      <w:bCs/>
      <w:szCs w:val="28"/>
    </w:rPr>
  </w:style>
  <w:style w:type="character" w:customStyle="1" w:styleId="highlight">
    <w:name w:val="highlight"/>
    <w:basedOn w:val="DefaultParagraphFont"/>
    <w:rsid w:val="009533EA"/>
  </w:style>
  <w:style w:type="character" w:customStyle="1" w:styleId="UnresolvedMention3">
    <w:name w:val="Unresolved Mention3"/>
    <w:basedOn w:val="DefaultParagraphFont"/>
    <w:uiPriority w:val="99"/>
    <w:semiHidden/>
    <w:unhideWhenUsed/>
    <w:rsid w:val="002F3D90"/>
    <w:rPr>
      <w:color w:val="808080"/>
      <w:shd w:val="clear" w:color="auto" w:fill="E6E6E6"/>
    </w:rPr>
  </w:style>
  <w:style w:type="table" w:customStyle="1" w:styleId="TableGrid2">
    <w:name w:val="Table Grid2"/>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ory-body-2em">
    <w:name w:val="statutory-body-2em"/>
    <w:basedOn w:val="Normal"/>
    <w:rsid w:val="00B277D3"/>
    <w:pPr>
      <w:ind w:left="480" w:firstLine="240"/>
    </w:pPr>
    <w:rPr>
      <w:rFonts w:eastAsia="Times New Roman" w:cs="Times New Roman"/>
    </w:rPr>
  </w:style>
  <w:style w:type="paragraph" w:customStyle="1" w:styleId="statutory-body-3em">
    <w:name w:val="statutory-body-3em"/>
    <w:basedOn w:val="Normal"/>
    <w:rsid w:val="00B277D3"/>
    <w:pPr>
      <w:ind w:left="720" w:firstLine="240"/>
    </w:pPr>
    <w:rPr>
      <w:rFonts w:eastAsia="Times New Roman" w:cs="Times New Roman"/>
    </w:rPr>
  </w:style>
  <w:style w:type="paragraph" w:customStyle="1" w:styleId="statutory-body-4em">
    <w:name w:val="statutory-body-4em"/>
    <w:basedOn w:val="Normal"/>
    <w:rsid w:val="00B277D3"/>
    <w:pPr>
      <w:ind w:left="960" w:firstLine="240"/>
    </w:pPr>
    <w:rPr>
      <w:rFonts w:eastAsia="Times New Roman" w:cs="Times New Roman"/>
    </w:rPr>
  </w:style>
  <w:style w:type="table" w:customStyle="1" w:styleId="TableGrid11">
    <w:name w:val="Table Grid11"/>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355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10372">
      <w:bodyDiv w:val="1"/>
      <w:marLeft w:val="0"/>
      <w:marRight w:val="0"/>
      <w:marTop w:val="0"/>
      <w:marBottom w:val="0"/>
      <w:divBdr>
        <w:top w:val="none" w:sz="0" w:space="0" w:color="auto"/>
        <w:left w:val="none" w:sz="0" w:space="0" w:color="auto"/>
        <w:bottom w:val="none" w:sz="0" w:space="0" w:color="auto"/>
        <w:right w:val="none" w:sz="0" w:space="0" w:color="auto"/>
      </w:divBdr>
    </w:div>
    <w:div w:id="274410059">
      <w:bodyDiv w:val="1"/>
      <w:marLeft w:val="0"/>
      <w:marRight w:val="0"/>
      <w:marTop w:val="0"/>
      <w:marBottom w:val="0"/>
      <w:divBdr>
        <w:top w:val="none" w:sz="0" w:space="0" w:color="auto"/>
        <w:left w:val="none" w:sz="0" w:space="0" w:color="auto"/>
        <w:bottom w:val="none" w:sz="0" w:space="0" w:color="auto"/>
        <w:right w:val="none" w:sz="0" w:space="0" w:color="auto"/>
      </w:divBdr>
    </w:div>
    <w:div w:id="319165282">
      <w:bodyDiv w:val="1"/>
      <w:marLeft w:val="0"/>
      <w:marRight w:val="0"/>
      <w:marTop w:val="0"/>
      <w:marBottom w:val="0"/>
      <w:divBdr>
        <w:top w:val="none" w:sz="0" w:space="0" w:color="auto"/>
        <w:left w:val="none" w:sz="0" w:space="0" w:color="auto"/>
        <w:bottom w:val="none" w:sz="0" w:space="0" w:color="auto"/>
        <w:right w:val="none" w:sz="0" w:space="0" w:color="auto"/>
      </w:divBdr>
    </w:div>
    <w:div w:id="336007768">
      <w:bodyDiv w:val="1"/>
      <w:marLeft w:val="0"/>
      <w:marRight w:val="0"/>
      <w:marTop w:val="0"/>
      <w:marBottom w:val="0"/>
      <w:divBdr>
        <w:top w:val="none" w:sz="0" w:space="0" w:color="auto"/>
        <w:left w:val="none" w:sz="0" w:space="0" w:color="auto"/>
        <w:bottom w:val="none" w:sz="0" w:space="0" w:color="auto"/>
        <w:right w:val="none" w:sz="0" w:space="0" w:color="auto"/>
      </w:divBdr>
    </w:div>
    <w:div w:id="355037395">
      <w:bodyDiv w:val="1"/>
      <w:marLeft w:val="0"/>
      <w:marRight w:val="0"/>
      <w:marTop w:val="0"/>
      <w:marBottom w:val="0"/>
      <w:divBdr>
        <w:top w:val="none" w:sz="0" w:space="0" w:color="auto"/>
        <w:left w:val="none" w:sz="0" w:space="0" w:color="auto"/>
        <w:bottom w:val="none" w:sz="0" w:space="0" w:color="auto"/>
        <w:right w:val="none" w:sz="0" w:space="0" w:color="auto"/>
      </w:divBdr>
    </w:div>
    <w:div w:id="399795735">
      <w:bodyDiv w:val="1"/>
      <w:marLeft w:val="0"/>
      <w:marRight w:val="0"/>
      <w:marTop w:val="0"/>
      <w:marBottom w:val="0"/>
      <w:divBdr>
        <w:top w:val="none" w:sz="0" w:space="0" w:color="auto"/>
        <w:left w:val="none" w:sz="0" w:space="0" w:color="auto"/>
        <w:bottom w:val="none" w:sz="0" w:space="0" w:color="auto"/>
        <w:right w:val="none" w:sz="0" w:space="0" w:color="auto"/>
      </w:divBdr>
    </w:div>
    <w:div w:id="439227962">
      <w:bodyDiv w:val="1"/>
      <w:marLeft w:val="0"/>
      <w:marRight w:val="0"/>
      <w:marTop w:val="0"/>
      <w:marBottom w:val="0"/>
      <w:divBdr>
        <w:top w:val="none" w:sz="0" w:space="0" w:color="auto"/>
        <w:left w:val="none" w:sz="0" w:space="0" w:color="auto"/>
        <w:bottom w:val="none" w:sz="0" w:space="0" w:color="auto"/>
        <w:right w:val="none" w:sz="0" w:space="0" w:color="auto"/>
      </w:divBdr>
    </w:div>
    <w:div w:id="450317826">
      <w:bodyDiv w:val="1"/>
      <w:marLeft w:val="0"/>
      <w:marRight w:val="0"/>
      <w:marTop w:val="0"/>
      <w:marBottom w:val="0"/>
      <w:divBdr>
        <w:top w:val="none" w:sz="0" w:space="0" w:color="auto"/>
        <w:left w:val="none" w:sz="0" w:space="0" w:color="auto"/>
        <w:bottom w:val="none" w:sz="0" w:space="0" w:color="auto"/>
        <w:right w:val="none" w:sz="0" w:space="0" w:color="auto"/>
      </w:divBdr>
    </w:div>
    <w:div w:id="614824611">
      <w:bodyDiv w:val="1"/>
      <w:marLeft w:val="0"/>
      <w:marRight w:val="0"/>
      <w:marTop w:val="0"/>
      <w:marBottom w:val="0"/>
      <w:divBdr>
        <w:top w:val="none" w:sz="0" w:space="0" w:color="auto"/>
        <w:left w:val="none" w:sz="0" w:space="0" w:color="auto"/>
        <w:bottom w:val="none" w:sz="0" w:space="0" w:color="auto"/>
        <w:right w:val="none" w:sz="0" w:space="0" w:color="auto"/>
      </w:divBdr>
    </w:div>
    <w:div w:id="695933276">
      <w:bodyDiv w:val="1"/>
      <w:marLeft w:val="0"/>
      <w:marRight w:val="0"/>
      <w:marTop w:val="0"/>
      <w:marBottom w:val="0"/>
      <w:divBdr>
        <w:top w:val="none" w:sz="0" w:space="0" w:color="auto"/>
        <w:left w:val="none" w:sz="0" w:space="0" w:color="auto"/>
        <w:bottom w:val="none" w:sz="0" w:space="0" w:color="auto"/>
        <w:right w:val="none" w:sz="0" w:space="0" w:color="auto"/>
      </w:divBdr>
    </w:div>
    <w:div w:id="725105302">
      <w:bodyDiv w:val="1"/>
      <w:marLeft w:val="0"/>
      <w:marRight w:val="0"/>
      <w:marTop w:val="0"/>
      <w:marBottom w:val="0"/>
      <w:divBdr>
        <w:top w:val="none" w:sz="0" w:space="0" w:color="auto"/>
        <w:left w:val="none" w:sz="0" w:space="0" w:color="auto"/>
        <w:bottom w:val="none" w:sz="0" w:space="0" w:color="auto"/>
        <w:right w:val="none" w:sz="0" w:space="0" w:color="auto"/>
      </w:divBdr>
    </w:div>
    <w:div w:id="726689680">
      <w:bodyDiv w:val="1"/>
      <w:marLeft w:val="0"/>
      <w:marRight w:val="0"/>
      <w:marTop w:val="0"/>
      <w:marBottom w:val="0"/>
      <w:divBdr>
        <w:top w:val="none" w:sz="0" w:space="0" w:color="auto"/>
        <w:left w:val="none" w:sz="0" w:space="0" w:color="auto"/>
        <w:bottom w:val="none" w:sz="0" w:space="0" w:color="auto"/>
        <w:right w:val="none" w:sz="0" w:space="0" w:color="auto"/>
      </w:divBdr>
    </w:div>
    <w:div w:id="837425763">
      <w:bodyDiv w:val="1"/>
      <w:marLeft w:val="0"/>
      <w:marRight w:val="0"/>
      <w:marTop w:val="0"/>
      <w:marBottom w:val="0"/>
      <w:divBdr>
        <w:top w:val="none" w:sz="0" w:space="0" w:color="auto"/>
        <w:left w:val="none" w:sz="0" w:space="0" w:color="auto"/>
        <w:bottom w:val="none" w:sz="0" w:space="0" w:color="auto"/>
        <w:right w:val="none" w:sz="0" w:space="0" w:color="auto"/>
      </w:divBdr>
    </w:div>
    <w:div w:id="925381215">
      <w:bodyDiv w:val="1"/>
      <w:marLeft w:val="0"/>
      <w:marRight w:val="0"/>
      <w:marTop w:val="0"/>
      <w:marBottom w:val="0"/>
      <w:divBdr>
        <w:top w:val="none" w:sz="0" w:space="0" w:color="auto"/>
        <w:left w:val="none" w:sz="0" w:space="0" w:color="auto"/>
        <w:bottom w:val="none" w:sz="0" w:space="0" w:color="auto"/>
        <w:right w:val="none" w:sz="0" w:space="0" w:color="auto"/>
      </w:divBdr>
    </w:div>
    <w:div w:id="942346730">
      <w:bodyDiv w:val="1"/>
      <w:marLeft w:val="0"/>
      <w:marRight w:val="0"/>
      <w:marTop w:val="0"/>
      <w:marBottom w:val="0"/>
      <w:divBdr>
        <w:top w:val="none" w:sz="0" w:space="0" w:color="auto"/>
        <w:left w:val="none" w:sz="0" w:space="0" w:color="auto"/>
        <w:bottom w:val="none" w:sz="0" w:space="0" w:color="auto"/>
        <w:right w:val="none" w:sz="0" w:space="0" w:color="auto"/>
      </w:divBdr>
    </w:div>
    <w:div w:id="989478244">
      <w:bodyDiv w:val="1"/>
      <w:marLeft w:val="0"/>
      <w:marRight w:val="0"/>
      <w:marTop w:val="0"/>
      <w:marBottom w:val="0"/>
      <w:divBdr>
        <w:top w:val="none" w:sz="0" w:space="0" w:color="auto"/>
        <w:left w:val="none" w:sz="0" w:space="0" w:color="auto"/>
        <w:bottom w:val="none" w:sz="0" w:space="0" w:color="auto"/>
        <w:right w:val="none" w:sz="0" w:space="0" w:color="auto"/>
      </w:divBdr>
    </w:div>
    <w:div w:id="997809711">
      <w:bodyDiv w:val="1"/>
      <w:marLeft w:val="0"/>
      <w:marRight w:val="0"/>
      <w:marTop w:val="0"/>
      <w:marBottom w:val="0"/>
      <w:divBdr>
        <w:top w:val="none" w:sz="0" w:space="0" w:color="auto"/>
        <w:left w:val="none" w:sz="0" w:space="0" w:color="auto"/>
        <w:bottom w:val="none" w:sz="0" w:space="0" w:color="auto"/>
        <w:right w:val="none" w:sz="0" w:space="0" w:color="auto"/>
      </w:divBdr>
    </w:div>
    <w:div w:id="1142967304">
      <w:bodyDiv w:val="1"/>
      <w:marLeft w:val="0"/>
      <w:marRight w:val="0"/>
      <w:marTop w:val="0"/>
      <w:marBottom w:val="0"/>
      <w:divBdr>
        <w:top w:val="none" w:sz="0" w:space="0" w:color="auto"/>
        <w:left w:val="none" w:sz="0" w:space="0" w:color="auto"/>
        <w:bottom w:val="none" w:sz="0" w:space="0" w:color="auto"/>
        <w:right w:val="none" w:sz="0" w:space="0" w:color="auto"/>
      </w:divBdr>
    </w:div>
    <w:div w:id="1149640319">
      <w:bodyDiv w:val="1"/>
      <w:marLeft w:val="0"/>
      <w:marRight w:val="0"/>
      <w:marTop w:val="0"/>
      <w:marBottom w:val="0"/>
      <w:divBdr>
        <w:top w:val="none" w:sz="0" w:space="0" w:color="auto"/>
        <w:left w:val="none" w:sz="0" w:space="0" w:color="auto"/>
        <w:bottom w:val="none" w:sz="0" w:space="0" w:color="auto"/>
        <w:right w:val="none" w:sz="0" w:space="0" w:color="auto"/>
      </w:divBdr>
    </w:div>
    <w:div w:id="1280527424">
      <w:bodyDiv w:val="1"/>
      <w:marLeft w:val="0"/>
      <w:marRight w:val="0"/>
      <w:marTop w:val="0"/>
      <w:marBottom w:val="0"/>
      <w:divBdr>
        <w:top w:val="none" w:sz="0" w:space="0" w:color="auto"/>
        <w:left w:val="none" w:sz="0" w:space="0" w:color="auto"/>
        <w:bottom w:val="none" w:sz="0" w:space="0" w:color="auto"/>
        <w:right w:val="none" w:sz="0" w:space="0" w:color="auto"/>
      </w:divBdr>
    </w:div>
    <w:div w:id="1357190717">
      <w:bodyDiv w:val="1"/>
      <w:marLeft w:val="0"/>
      <w:marRight w:val="0"/>
      <w:marTop w:val="0"/>
      <w:marBottom w:val="0"/>
      <w:divBdr>
        <w:top w:val="none" w:sz="0" w:space="0" w:color="auto"/>
        <w:left w:val="none" w:sz="0" w:space="0" w:color="auto"/>
        <w:bottom w:val="none" w:sz="0" w:space="0" w:color="auto"/>
        <w:right w:val="none" w:sz="0" w:space="0" w:color="auto"/>
      </w:divBdr>
    </w:div>
    <w:div w:id="1377313605">
      <w:bodyDiv w:val="1"/>
      <w:marLeft w:val="0"/>
      <w:marRight w:val="0"/>
      <w:marTop w:val="0"/>
      <w:marBottom w:val="0"/>
      <w:divBdr>
        <w:top w:val="none" w:sz="0" w:space="0" w:color="auto"/>
        <w:left w:val="none" w:sz="0" w:space="0" w:color="auto"/>
        <w:bottom w:val="none" w:sz="0" w:space="0" w:color="auto"/>
        <w:right w:val="none" w:sz="0" w:space="0" w:color="auto"/>
      </w:divBdr>
    </w:div>
    <w:div w:id="1420832814">
      <w:bodyDiv w:val="1"/>
      <w:marLeft w:val="0"/>
      <w:marRight w:val="0"/>
      <w:marTop w:val="0"/>
      <w:marBottom w:val="0"/>
      <w:divBdr>
        <w:top w:val="none" w:sz="0" w:space="0" w:color="auto"/>
        <w:left w:val="none" w:sz="0" w:space="0" w:color="auto"/>
        <w:bottom w:val="none" w:sz="0" w:space="0" w:color="auto"/>
        <w:right w:val="none" w:sz="0" w:space="0" w:color="auto"/>
      </w:divBdr>
    </w:div>
    <w:div w:id="1462268511">
      <w:bodyDiv w:val="1"/>
      <w:marLeft w:val="0"/>
      <w:marRight w:val="0"/>
      <w:marTop w:val="0"/>
      <w:marBottom w:val="0"/>
      <w:divBdr>
        <w:top w:val="none" w:sz="0" w:space="0" w:color="auto"/>
        <w:left w:val="none" w:sz="0" w:space="0" w:color="auto"/>
        <w:bottom w:val="none" w:sz="0" w:space="0" w:color="auto"/>
        <w:right w:val="none" w:sz="0" w:space="0" w:color="auto"/>
      </w:divBdr>
    </w:div>
    <w:div w:id="1514881095">
      <w:bodyDiv w:val="1"/>
      <w:marLeft w:val="0"/>
      <w:marRight w:val="0"/>
      <w:marTop w:val="0"/>
      <w:marBottom w:val="0"/>
      <w:divBdr>
        <w:top w:val="none" w:sz="0" w:space="0" w:color="auto"/>
        <w:left w:val="none" w:sz="0" w:space="0" w:color="auto"/>
        <w:bottom w:val="none" w:sz="0" w:space="0" w:color="auto"/>
        <w:right w:val="none" w:sz="0" w:space="0" w:color="auto"/>
      </w:divBdr>
    </w:div>
    <w:div w:id="1586262385">
      <w:bodyDiv w:val="1"/>
      <w:marLeft w:val="0"/>
      <w:marRight w:val="0"/>
      <w:marTop w:val="0"/>
      <w:marBottom w:val="0"/>
      <w:divBdr>
        <w:top w:val="none" w:sz="0" w:space="0" w:color="auto"/>
        <w:left w:val="none" w:sz="0" w:space="0" w:color="auto"/>
        <w:bottom w:val="none" w:sz="0" w:space="0" w:color="auto"/>
        <w:right w:val="none" w:sz="0" w:space="0" w:color="auto"/>
      </w:divBdr>
    </w:div>
    <w:div w:id="1704666662">
      <w:bodyDiv w:val="1"/>
      <w:marLeft w:val="0"/>
      <w:marRight w:val="0"/>
      <w:marTop w:val="0"/>
      <w:marBottom w:val="0"/>
      <w:divBdr>
        <w:top w:val="none" w:sz="0" w:space="0" w:color="auto"/>
        <w:left w:val="none" w:sz="0" w:space="0" w:color="auto"/>
        <w:bottom w:val="none" w:sz="0" w:space="0" w:color="auto"/>
        <w:right w:val="none" w:sz="0" w:space="0" w:color="auto"/>
      </w:divBdr>
    </w:div>
    <w:div w:id="1740980612">
      <w:bodyDiv w:val="1"/>
      <w:marLeft w:val="0"/>
      <w:marRight w:val="0"/>
      <w:marTop w:val="0"/>
      <w:marBottom w:val="0"/>
      <w:divBdr>
        <w:top w:val="none" w:sz="0" w:space="0" w:color="auto"/>
        <w:left w:val="none" w:sz="0" w:space="0" w:color="auto"/>
        <w:bottom w:val="none" w:sz="0" w:space="0" w:color="auto"/>
        <w:right w:val="none" w:sz="0" w:space="0" w:color="auto"/>
      </w:divBdr>
    </w:div>
    <w:div w:id="1761442982">
      <w:bodyDiv w:val="1"/>
      <w:marLeft w:val="0"/>
      <w:marRight w:val="0"/>
      <w:marTop w:val="0"/>
      <w:marBottom w:val="0"/>
      <w:divBdr>
        <w:top w:val="none" w:sz="0" w:space="0" w:color="auto"/>
        <w:left w:val="none" w:sz="0" w:space="0" w:color="auto"/>
        <w:bottom w:val="none" w:sz="0" w:space="0" w:color="auto"/>
        <w:right w:val="none" w:sz="0" w:space="0" w:color="auto"/>
      </w:divBdr>
    </w:div>
    <w:div w:id="1762143561">
      <w:bodyDiv w:val="1"/>
      <w:marLeft w:val="0"/>
      <w:marRight w:val="0"/>
      <w:marTop w:val="0"/>
      <w:marBottom w:val="0"/>
      <w:divBdr>
        <w:top w:val="none" w:sz="0" w:space="0" w:color="auto"/>
        <w:left w:val="none" w:sz="0" w:space="0" w:color="auto"/>
        <w:bottom w:val="none" w:sz="0" w:space="0" w:color="auto"/>
        <w:right w:val="none" w:sz="0" w:space="0" w:color="auto"/>
      </w:divBdr>
    </w:div>
    <w:div w:id="1783063555">
      <w:bodyDiv w:val="1"/>
      <w:marLeft w:val="0"/>
      <w:marRight w:val="0"/>
      <w:marTop w:val="0"/>
      <w:marBottom w:val="0"/>
      <w:divBdr>
        <w:top w:val="none" w:sz="0" w:space="0" w:color="auto"/>
        <w:left w:val="none" w:sz="0" w:space="0" w:color="auto"/>
        <w:bottom w:val="none" w:sz="0" w:space="0" w:color="auto"/>
        <w:right w:val="none" w:sz="0" w:space="0" w:color="auto"/>
      </w:divBdr>
    </w:div>
    <w:div w:id="1824394985">
      <w:bodyDiv w:val="1"/>
      <w:marLeft w:val="0"/>
      <w:marRight w:val="0"/>
      <w:marTop w:val="0"/>
      <w:marBottom w:val="0"/>
      <w:divBdr>
        <w:top w:val="none" w:sz="0" w:space="0" w:color="auto"/>
        <w:left w:val="none" w:sz="0" w:space="0" w:color="auto"/>
        <w:bottom w:val="none" w:sz="0" w:space="0" w:color="auto"/>
        <w:right w:val="none" w:sz="0" w:space="0" w:color="auto"/>
      </w:divBdr>
    </w:div>
    <w:div w:id="1845197841">
      <w:bodyDiv w:val="1"/>
      <w:marLeft w:val="0"/>
      <w:marRight w:val="0"/>
      <w:marTop w:val="0"/>
      <w:marBottom w:val="0"/>
      <w:divBdr>
        <w:top w:val="none" w:sz="0" w:space="0" w:color="auto"/>
        <w:left w:val="none" w:sz="0" w:space="0" w:color="auto"/>
        <w:bottom w:val="none" w:sz="0" w:space="0" w:color="auto"/>
        <w:right w:val="none" w:sz="0" w:space="0" w:color="auto"/>
      </w:divBdr>
    </w:div>
    <w:div w:id="1950041191">
      <w:bodyDiv w:val="1"/>
      <w:marLeft w:val="0"/>
      <w:marRight w:val="0"/>
      <w:marTop w:val="0"/>
      <w:marBottom w:val="0"/>
      <w:divBdr>
        <w:top w:val="none" w:sz="0" w:space="0" w:color="auto"/>
        <w:left w:val="none" w:sz="0" w:space="0" w:color="auto"/>
        <w:bottom w:val="none" w:sz="0" w:space="0" w:color="auto"/>
        <w:right w:val="none" w:sz="0" w:space="0" w:color="auto"/>
      </w:divBdr>
    </w:div>
    <w:div w:id="1963418089">
      <w:bodyDiv w:val="1"/>
      <w:marLeft w:val="0"/>
      <w:marRight w:val="0"/>
      <w:marTop w:val="0"/>
      <w:marBottom w:val="0"/>
      <w:divBdr>
        <w:top w:val="none" w:sz="0" w:space="0" w:color="auto"/>
        <w:left w:val="none" w:sz="0" w:space="0" w:color="auto"/>
        <w:bottom w:val="none" w:sz="0" w:space="0" w:color="auto"/>
        <w:right w:val="none" w:sz="0" w:space="0" w:color="auto"/>
      </w:divBdr>
    </w:div>
    <w:div w:id="2063867823">
      <w:bodyDiv w:val="1"/>
      <w:marLeft w:val="0"/>
      <w:marRight w:val="0"/>
      <w:marTop w:val="0"/>
      <w:marBottom w:val="0"/>
      <w:divBdr>
        <w:top w:val="none" w:sz="0" w:space="0" w:color="auto"/>
        <w:left w:val="none" w:sz="0" w:space="0" w:color="auto"/>
        <w:bottom w:val="none" w:sz="0" w:space="0" w:color="auto"/>
        <w:right w:val="none" w:sz="0" w:space="0" w:color="auto"/>
      </w:divBdr>
    </w:div>
    <w:div w:id="21239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ulations.gov/docket?D=EPA-HQ-OPPT-2017-0648" TargetMode="External"/><Relationship Id="rId18" Type="http://schemas.openxmlformats.org/officeDocument/2006/relationships/hyperlink" Target="https://cbiaccess.epa.gov/Citrix/CBIWeb/https:/www.epa.gov/assessing-and-managing-chemicals-under-tsca/risk-evaluations-existing-chemicals-under-tsca" TargetMode="External"/><Relationship Id="rId26" Type="http://schemas.openxmlformats.org/officeDocument/2006/relationships/hyperlink" Target="mailto:Steve.bennett@thehcpa.org" TargetMode="External"/><Relationship Id="rId39" Type="http://schemas.openxmlformats.org/officeDocument/2006/relationships/hyperlink" Target="https://www.regulations.gov/docket?D=EPA-HQ-OPPT-2017-0648" TargetMode="External"/><Relationship Id="rId3" Type="http://schemas.openxmlformats.org/officeDocument/2006/relationships/customXml" Target="../customXml/item3.xml"/><Relationship Id="rId21" Type="http://schemas.openxmlformats.org/officeDocument/2006/relationships/hyperlink" Target="https://www.gpo.gov/fdsys/pkg/FR-2018-07-31/pdf/2018-16369.pdf" TargetMode="External"/><Relationship Id="rId34" Type="http://schemas.openxmlformats.org/officeDocument/2006/relationships/footer" Target="footer2.xml"/><Relationship Id="rId42" Type="http://schemas.openxmlformats.org/officeDocument/2006/relationships/hyperlink" Target="https://www.ecfr.gov/cgi-bin/text-idx?SID=72e46806befb5032729dc4d209702813&amp;mc=true&amp;node=pt40.33.711&amp;rgn=div5" TargetMode="External"/><Relationship Id="rId47" Type="http://schemas.openxmlformats.org/officeDocument/2006/relationships/hyperlink" Target="https://www.epa.gov/sites/production/files/2017-03/cdr_template.docx" TargetMode="External"/><Relationship Id="rId50"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epa.gov/assessing-and-managing-chemicals-under-tsca/tsca-work-plan-methods-document" TargetMode="External"/><Relationship Id="rId25" Type="http://schemas.openxmlformats.org/officeDocument/2006/relationships/hyperlink" Target="mailto:Davidwawer@cpma.com" TargetMode="External"/><Relationship Id="rId33" Type="http://schemas.openxmlformats.org/officeDocument/2006/relationships/footer" Target="footer1.xml"/><Relationship Id="rId38" Type="http://schemas.openxmlformats.org/officeDocument/2006/relationships/header" Target="header4.xml"/><Relationship Id="rId46" Type="http://schemas.openxmlformats.org/officeDocument/2006/relationships/hyperlink" Target="https://www.epa.gov/tsca-cbi/what-include-cbi-substantiations" TargetMode="External"/><Relationship Id="rId2" Type="http://schemas.openxmlformats.org/officeDocument/2006/relationships/customXml" Target="../customXml/item2.xml"/><Relationship Id="rId16" Type="http://schemas.openxmlformats.org/officeDocument/2006/relationships/hyperlink" Target="https://www.federalregister.gov/documents/2017/01/19/2017-01235/statutory-requirements-for-substantiation-of-confidential-business-information-cbi-claims-under-the" TargetMode="External"/><Relationship Id="rId20" Type="http://schemas.openxmlformats.org/officeDocument/2006/relationships/hyperlink" Target="https://www.gpo.gov/fdsys/pkg/FR-2014-10-10/html/2014-24009.htm" TargetMode="External"/><Relationship Id="rId29" Type="http://schemas.openxmlformats.org/officeDocument/2006/relationships/hyperlink" Target="mailto:lbaer@cement.org" TargetMode="External"/><Relationship Id="rId41" Type="http://schemas.openxmlformats.org/officeDocument/2006/relationships/hyperlink" Target="https://www.epa.gov/laws-regulations/summary-toxic-substances-control-a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swickd@api.org" TargetMode="External"/><Relationship Id="rId32" Type="http://schemas.openxmlformats.org/officeDocument/2006/relationships/header" Target="header1.xml"/><Relationship Id="rId37" Type="http://schemas.openxmlformats.org/officeDocument/2006/relationships/header" Target="header3.xml"/><Relationship Id="rId40" Type="http://schemas.openxmlformats.org/officeDocument/2006/relationships/hyperlink" Target="http://www.regulations.gov" TargetMode="External"/><Relationship Id="rId45" Type="http://schemas.openxmlformats.org/officeDocument/2006/relationships/hyperlink" Target="https://www.epa.gov/chemical-data-reporting/instructions-reporting-2016-tsca-chemical-data-reporting"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ederalregister.gov/documents/2017/01/19/2017-01235/statutory-requirements-for-substantiation-of-confidential-business-information-cbi-claims-under-the" TargetMode="External"/><Relationship Id="rId23" Type="http://schemas.openxmlformats.org/officeDocument/2006/relationships/hyperlink" Target="mailto:kstanton@cleaninginstitute.org" TargetMode="External"/><Relationship Id="rId28" Type="http://schemas.openxmlformats.org/officeDocument/2006/relationships/hyperlink" Target="mailto:mgargas@plasticsindustry.org" TargetMode="External"/><Relationship Id="rId36" Type="http://schemas.openxmlformats.org/officeDocument/2006/relationships/footer" Target="footer3.xml"/><Relationship Id="rId49"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s://cbiaccess.epa.gov/Citrix/CBIWeb/https:/www.epa.gov/assessing-and-managing-chemicals-under-tsca/risk-evaluations-existing-chemicals-under-tsca" TargetMode="External"/><Relationship Id="rId31" Type="http://schemas.openxmlformats.org/officeDocument/2006/relationships/hyperlink" Target="mailto:eCDRweb@epa.gov" TargetMode="External"/><Relationship Id="rId44" Type="http://schemas.openxmlformats.org/officeDocument/2006/relationships/hyperlink" Target="http://www.regulations.gov/document?D=EPA-HQ-OPPT-2014-0735-0016"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cfr.gov/cgi-bin/text-idx?SID=72e46806befb5032729dc4d209702813&amp;mc=true&amp;node=pt40.33.711&amp;rgn=div5" TargetMode="External"/><Relationship Id="rId22" Type="http://schemas.openxmlformats.org/officeDocument/2006/relationships/hyperlink" Target="mailto:mike_walls@americanchemistry.com" TargetMode="External"/><Relationship Id="rId27" Type="http://schemas.openxmlformats.org/officeDocument/2006/relationships/hyperlink" Target="mailto:bwatzman@nma.org" TargetMode="External"/><Relationship Id="rId30" Type="http://schemas.openxmlformats.org/officeDocument/2006/relationships/hyperlink" Target="mailto:moedritzerm@socma.com" TargetMode="External"/><Relationship Id="rId35" Type="http://schemas.openxmlformats.org/officeDocument/2006/relationships/header" Target="header2.xml"/><Relationship Id="rId43" Type="http://schemas.openxmlformats.org/officeDocument/2006/relationships/hyperlink" Target="http://www.bls.gov/ect" TargetMode="External"/><Relationship Id="rId48" Type="http://schemas.openxmlformats.org/officeDocument/2006/relationships/header" Target="header5.xml"/><Relationship Id="rId8" Type="http://schemas.microsoft.com/office/2007/relationships/stylesWithEffects" Target="stylesWithEffects.xml"/><Relationship Id="rId51"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2018-10-02T14:30:18+00:00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40C8C2356F9D6448FFDE9D3A41E262B" ma:contentTypeVersion="10" ma:contentTypeDescription="Create a new document." ma:contentTypeScope="" ma:versionID="181fdb392f11c343add93faaab50c82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8f87ca9-d116-4246-8a47-f69c28fe3c5d" xmlns:ns6="a5d1ca4e-0a3f-4119-b619-e20b93ebd1aa" targetNamespace="http://schemas.microsoft.com/office/2006/metadata/properties" ma:root="true" ma:fieldsID="2a8b68be9e7f3888386a8a4088d6de0a" ns1:_="" ns2:_="" ns3:_="" ns4:_="" ns5:_="" ns6:_="">
    <xsd:import namespace="http://schemas.microsoft.com/sharepoint/v3"/>
    <xsd:import namespace="4ffa91fb-a0ff-4ac5-b2db-65c790d184a4"/>
    <xsd:import namespace="http://schemas.microsoft.com/sharepoint.v3"/>
    <xsd:import namespace="http://schemas.microsoft.com/sharepoint/v3/fields"/>
    <xsd:import namespace="88f87ca9-d116-4246-8a47-f69c28fe3c5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f87ca9-d116-4246-8a47-f69c28fe3c5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CF135-D094-402A-A681-3D774007B02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1CA663CC-0A9D-4019-8644-47255F6FAF5F}">
  <ds:schemaRefs>
    <ds:schemaRef ds:uri="http://schemas.microsoft.com/sharepoint/v3/contenttype/forms"/>
  </ds:schemaRefs>
</ds:datastoreItem>
</file>

<file path=customXml/itemProps3.xml><?xml version="1.0" encoding="utf-8"?>
<ds:datastoreItem xmlns:ds="http://schemas.openxmlformats.org/officeDocument/2006/customXml" ds:itemID="{67762AE9-5CA3-4B6E-8924-191202A39508}">
  <ds:schemaRefs>
    <ds:schemaRef ds:uri="Microsoft.SharePoint.Taxonomy.ContentTypeSync"/>
  </ds:schemaRefs>
</ds:datastoreItem>
</file>

<file path=customXml/itemProps4.xml><?xml version="1.0" encoding="utf-8"?>
<ds:datastoreItem xmlns:ds="http://schemas.openxmlformats.org/officeDocument/2006/customXml" ds:itemID="{BCDAC775-763D-45ED-A00B-54B7AE7A0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8f87ca9-d116-4246-8a47-f69c28fe3c5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B6E1B6-F9DF-4E9C-B6DD-FDA9BCD0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18425</Words>
  <Characters>105029</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123208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Hoffman</dc:creator>
  <cp:keywords/>
  <dc:description/>
  <cp:lastModifiedBy>SYSTEM</cp:lastModifiedBy>
  <cp:revision>2</cp:revision>
  <cp:lastPrinted>2018-10-01T21:52:00Z</cp:lastPrinted>
  <dcterms:created xsi:type="dcterms:W3CDTF">2018-10-19T17:09:00Z</dcterms:created>
  <dcterms:modified xsi:type="dcterms:W3CDTF">2018-10-19T17:09:00Z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0x010100C40C8C2356F9D6448FFDE9D3A41E262B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