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0063D" w14:textId="77777777" w:rsidR="00BC15BE" w:rsidRPr="00F5428B" w:rsidRDefault="00BC15BE" w:rsidP="00BC15BE">
      <w:pPr>
        <w:tabs>
          <w:tab w:val="center" w:pos="4680"/>
        </w:tabs>
        <w:jc w:val="center"/>
        <w:rPr>
          <w:b/>
          <w:bCs/>
          <w:sz w:val="24"/>
        </w:rPr>
      </w:pPr>
      <w:bookmarkStart w:id="0" w:name="_GoBack"/>
      <w:bookmarkEnd w:id="0"/>
    </w:p>
    <w:p w14:paraId="6A3C0555" w14:textId="77777777" w:rsidR="00BC15BE" w:rsidRPr="00F5428B" w:rsidRDefault="00BC15BE" w:rsidP="00BC15BE">
      <w:pPr>
        <w:tabs>
          <w:tab w:val="center" w:pos="4680"/>
        </w:tabs>
        <w:jc w:val="center"/>
        <w:rPr>
          <w:b/>
          <w:bCs/>
          <w:sz w:val="24"/>
        </w:rPr>
      </w:pPr>
    </w:p>
    <w:p w14:paraId="1BA59068" w14:textId="77777777" w:rsidR="00BC15BE" w:rsidRPr="00F5428B" w:rsidRDefault="00BC15BE" w:rsidP="00BC15BE">
      <w:pPr>
        <w:tabs>
          <w:tab w:val="center" w:pos="4680"/>
        </w:tabs>
        <w:jc w:val="center"/>
        <w:rPr>
          <w:b/>
          <w:bCs/>
          <w:sz w:val="24"/>
        </w:rPr>
      </w:pPr>
      <w:r w:rsidRPr="00F5428B">
        <w:rPr>
          <w:b/>
          <w:bCs/>
          <w:sz w:val="24"/>
        </w:rPr>
        <w:t>SUPPORTING STATEMENT FOR</w:t>
      </w:r>
    </w:p>
    <w:p w14:paraId="39A1A94B" w14:textId="4247FC8E" w:rsidR="002B45F1" w:rsidRPr="00F5428B" w:rsidRDefault="00FC4584" w:rsidP="002B45F1">
      <w:pPr>
        <w:tabs>
          <w:tab w:val="center" w:pos="5040"/>
        </w:tabs>
        <w:jc w:val="center"/>
        <w:rPr>
          <w:b/>
          <w:bCs/>
          <w:sz w:val="24"/>
        </w:rPr>
      </w:pPr>
      <w:r>
        <w:rPr>
          <w:b/>
          <w:bCs/>
          <w:sz w:val="24"/>
        </w:rPr>
        <w:t>FERC-549C</w:t>
      </w:r>
      <w:r w:rsidR="003F0E97" w:rsidRPr="00E06116">
        <w:rPr>
          <w:rStyle w:val="FootnoteReference"/>
          <w:bCs/>
          <w:sz w:val="24"/>
          <w:szCs w:val="24"/>
        </w:rPr>
        <w:footnoteReference w:id="2"/>
      </w:r>
      <w:r w:rsidR="002B45F1" w:rsidRPr="00E06116">
        <w:rPr>
          <w:bCs/>
          <w:sz w:val="24"/>
        </w:rPr>
        <w:t xml:space="preserve"> </w:t>
      </w:r>
      <w:r w:rsidR="002B45F1" w:rsidRPr="00F5428B">
        <w:rPr>
          <w:b/>
          <w:bCs/>
          <w:sz w:val="24"/>
        </w:rPr>
        <w:t>(</w:t>
      </w:r>
      <w:r>
        <w:rPr>
          <w:b/>
          <w:bCs/>
          <w:sz w:val="24"/>
        </w:rPr>
        <w:t>Standards for Business Practices of Interstate Natural Gas Pipelines</w:t>
      </w:r>
      <w:r w:rsidR="00E06116">
        <w:rPr>
          <w:b/>
          <w:bCs/>
          <w:sz w:val="24"/>
        </w:rPr>
        <w:t>)</w:t>
      </w:r>
    </w:p>
    <w:p w14:paraId="09E86EFA" w14:textId="77777777" w:rsidR="002B45F1" w:rsidRPr="00F5428B" w:rsidRDefault="00E06116" w:rsidP="002B45F1">
      <w:pPr>
        <w:tabs>
          <w:tab w:val="center" w:pos="5040"/>
        </w:tabs>
        <w:jc w:val="center"/>
        <w:rPr>
          <w:b/>
          <w:bCs/>
          <w:sz w:val="24"/>
        </w:rPr>
      </w:pPr>
      <w:r>
        <w:rPr>
          <w:b/>
          <w:bCs/>
          <w:sz w:val="24"/>
        </w:rPr>
        <w:t>as modified</w:t>
      </w:r>
      <w:r w:rsidR="002B45F1" w:rsidRPr="00F5428B">
        <w:rPr>
          <w:b/>
          <w:bCs/>
          <w:sz w:val="24"/>
        </w:rPr>
        <w:t xml:space="preserve"> by Fin</w:t>
      </w:r>
      <w:r>
        <w:rPr>
          <w:b/>
          <w:bCs/>
          <w:sz w:val="24"/>
        </w:rPr>
        <w:t>al Rule in Docket No. RM96-1-041</w:t>
      </w:r>
      <w:r w:rsidRPr="00E06116">
        <w:rPr>
          <w:rStyle w:val="FootnoteReference"/>
          <w:bCs/>
        </w:rPr>
        <w:footnoteReference w:id="3"/>
      </w:r>
    </w:p>
    <w:p w14:paraId="34F6204C" w14:textId="77777777" w:rsidR="00BC15BE" w:rsidRPr="00F5428B" w:rsidRDefault="00BC15BE" w:rsidP="00BC15BE">
      <w:pPr>
        <w:rPr>
          <w:sz w:val="24"/>
        </w:rPr>
      </w:pPr>
    </w:p>
    <w:p w14:paraId="35A0048C" w14:textId="0F793283" w:rsidR="002B45F1" w:rsidRPr="00F5428B" w:rsidRDefault="002B45F1" w:rsidP="002B45F1">
      <w:pPr>
        <w:rPr>
          <w:sz w:val="24"/>
        </w:rPr>
      </w:pPr>
      <w:r w:rsidRPr="00F5428B">
        <w:rPr>
          <w:sz w:val="24"/>
        </w:rPr>
        <w:t>The Federal Energy Regulatory Commission (Commission or FERC) requests that the Office of Managem</w:t>
      </w:r>
      <w:r w:rsidR="00E06116">
        <w:rPr>
          <w:sz w:val="24"/>
        </w:rPr>
        <w:t>ent and Budget (OMB) review/</w:t>
      </w:r>
      <w:r w:rsidRPr="00F5428B">
        <w:rPr>
          <w:sz w:val="24"/>
        </w:rPr>
        <w:t>approve changes to</w:t>
      </w:r>
      <w:r w:rsidR="00E06116">
        <w:rPr>
          <w:sz w:val="24"/>
        </w:rPr>
        <w:t xml:space="preserve"> and the extension of</w:t>
      </w:r>
      <w:r w:rsidRPr="00F5428B">
        <w:rPr>
          <w:sz w:val="24"/>
        </w:rPr>
        <w:t xml:space="preserve"> </w:t>
      </w:r>
      <w:r w:rsidR="00E06116">
        <w:rPr>
          <w:sz w:val="24"/>
        </w:rPr>
        <w:t xml:space="preserve">the </w:t>
      </w:r>
      <w:r w:rsidR="00FC4584">
        <w:rPr>
          <w:sz w:val="24"/>
        </w:rPr>
        <w:t>FERC-549C</w:t>
      </w:r>
      <w:r w:rsidR="00E06116">
        <w:rPr>
          <w:sz w:val="24"/>
        </w:rPr>
        <w:t xml:space="preserve"> information collection</w:t>
      </w:r>
      <w:r w:rsidRPr="00F5428B">
        <w:rPr>
          <w:sz w:val="24"/>
        </w:rPr>
        <w:t xml:space="preserve"> (</w:t>
      </w:r>
      <w:r w:rsidR="00FC4584" w:rsidRPr="00FC4584">
        <w:rPr>
          <w:sz w:val="24"/>
        </w:rPr>
        <w:t>Standards for Business Practices of Interstate Natural Gas Pipelines</w:t>
      </w:r>
      <w:r w:rsidRPr="00F5428B">
        <w:rPr>
          <w:sz w:val="24"/>
        </w:rPr>
        <w:t>),</w:t>
      </w:r>
      <w:r w:rsidRPr="00F5428B">
        <w:rPr>
          <w:sz w:val="24"/>
          <w:vertAlign w:val="superscript"/>
        </w:rPr>
        <w:t xml:space="preserve"> </w:t>
      </w:r>
      <w:r w:rsidRPr="00F5428B">
        <w:rPr>
          <w:sz w:val="24"/>
        </w:rPr>
        <w:t>as stated in the Final Rule in Docket No. RM</w:t>
      </w:r>
      <w:r w:rsidR="00E06116">
        <w:rPr>
          <w:sz w:val="24"/>
        </w:rPr>
        <w:t>96-1-041</w:t>
      </w:r>
      <w:r w:rsidRPr="00F5428B">
        <w:rPr>
          <w:sz w:val="24"/>
        </w:rPr>
        <w:t>.</w:t>
      </w:r>
    </w:p>
    <w:p w14:paraId="56DB3D15" w14:textId="77777777" w:rsidR="002B45F1" w:rsidRPr="00F5428B" w:rsidRDefault="002B45F1" w:rsidP="003D2136">
      <w:pPr>
        <w:pStyle w:val="ListParagraph"/>
      </w:pPr>
    </w:p>
    <w:p w14:paraId="33C340BF" w14:textId="771432AE" w:rsidR="006B7B80" w:rsidRDefault="002B45F1" w:rsidP="006B7B80">
      <w:pPr>
        <w:pStyle w:val="FERCparanumber"/>
        <w:numPr>
          <w:ilvl w:val="0"/>
          <w:numId w:val="0"/>
        </w:numPr>
        <w:rPr>
          <w:szCs w:val="26"/>
        </w:rPr>
      </w:pPr>
      <w:r w:rsidRPr="00F5428B">
        <w:rPr>
          <w:sz w:val="24"/>
        </w:rPr>
        <w:t>The Commission is submitting this consolidated supporting statement to OM</w:t>
      </w:r>
      <w:r w:rsidR="00A873E5">
        <w:rPr>
          <w:sz w:val="24"/>
        </w:rPr>
        <w:t>B with one ICR for each of the two</w:t>
      </w:r>
      <w:r w:rsidRPr="00F5428B">
        <w:rPr>
          <w:sz w:val="24"/>
        </w:rPr>
        <w:t xml:space="preserve"> separate OMB Control Numbers</w:t>
      </w:r>
      <w:r w:rsidR="00D109AD" w:rsidRPr="00D109AD">
        <w:rPr>
          <w:sz w:val="24"/>
        </w:rPr>
        <w:t xml:space="preserve"> </w:t>
      </w:r>
      <w:r w:rsidR="00D109AD">
        <w:rPr>
          <w:sz w:val="24"/>
        </w:rPr>
        <w:t>(1902-0154 for FERC-545 and 1902-0174 for FERC-549C)</w:t>
      </w:r>
      <w:r w:rsidRPr="00F5428B">
        <w:rPr>
          <w:sz w:val="24"/>
        </w:rPr>
        <w:t xml:space="preserve">.  </w:t>
      </w:r>
      <w:r w:rsidR="00A873E5">
        <w:rPr>
          <w:sz w:val="24"/>
        </w:rPr>
        <w:t>Additionally, each ICR will contain information regarding the extens</w:t>
      </w:r>
      <w:r w:rsidR="00D60724">
        <w:rPr>
          <w:sz w:val="24"/>
        </w:rPr>
        <w:t>ion of each collection</w:t>
      </w:r>
      <w:r w:rsidR="002E6CFA">
        <w:rPr>
          <w:sz w:val="24"/>
        </w:rPr>
        <w:t xml:space="preserve"> (the majority of each collections’ requirements remain unchanged) and additional requirements due to the modifications of the Final Rule in Docket. No. RM96-1-041</w:t>
      </w:r>
      <w:r w:rsidR="005A77A4">
        <w:rPr>
          <w:sz w:val="24"/>
        </w:rPr>
        <w:t xml:space="preserve"> (Final Rule)</w:t>
      </w:r>
      <w:r w:rsidR="00D60724">
        <w:rPr>
          <w:sz w:val="24"/>
        </w:rPr>
        <w:t>.</w:t>
      </w:r>
      <w:r w:rsidR="005A77A4">
        <w:rPr>
          <w:sz w:val="24"/>
        </w:rPr>
        <w:t xml:space="preserve">  </w:t>
      </w:r>
    </w:p>
    <w:p w14:paraId="56813438" w14:textId="77777777" w:rsidR="00BC15BE" w:rsidRPr="00F5428B" w:rsidRDefault="00BC15BE" w:rsidP="00BC15BE">
      <w:pPr>
        <w:rPr>
          <w:b/>
          <w:sz w:val="24"/>
        </w:rPr>
      </w:pPr>
    </w:p>
    <w:p w14:paraId="35BD39DC" w14:textId="77777777" w:rsidR="00BC15BE" w:rsidRPr="00F5428B" w:rsidRDefault="00BC15BE" w:rsidP="00BC15BE">
      <w:pPr>
        <w:pStyle w:val="Level1"/>
        <w:widowControl/>
        <w:tabs>
          <w:tab w:val="left" w:pos="-1440"/>
          <w:tab w:val="num" w:pos="720"/>
        </w:tabs>
        <w:rPr>
          <w:b/>
        </w:rPr>
      </w:pPr>
      <w:r w:rsidRPr="00F5428B">
        <w:rPr>
          <w:b/>
        </w:rPr>
        <w:t xml:space="preserve">CIRCUMSTANCES THAT MAKE THE COLLECTION OF INFORMATION NECESSARY  </w:t>
      </w:r>
    </w:p>
    <w:p w14:paraId="37618DE1" w14:textId="77777777" w:rsidR="00BC15BE" w:rsidRPr="00F5428B" w:rsidRDefault="00BC15BE" w:rsidP="00BC15BE">
      <w:pPr>
        <w:pStyle w:val="Level1"/>
        <w:widowControl/>
        <w:numPr>
          <w:ilvl w:val="0"/>
          <w:numId w:val="0"/>
        </w:numPr>
        <w:tabs>
          <w:tab w:val="left" w:pos="-1440"/>
        </w:tabs>
        <w:rPr>
          <w:b/>
        </w:rPr>
      </w:pPr>
    </w:p>
    <w:p w14:paraId="18839E98" w14:textId="61D89E25" w:rsidR="00382D44" w:rsidRDefault="00950A2F" w:rsidP="002B45F1">
      <w:pPr>
        <w:rPr>
          <w:sz w:val="24"/>
        </w:rPr>
      </w:pPr>
      <w:r>
        <w:rPr>
          <w:b/>
          <w:sz w:val="24"/>
          <w:u w:val="single"/>
        </w:rPr>
        <w:t xml:space="preserve">Final Rule in </w:t>
      </w:r>
      <w:r w:rsidR="002B45F1" w:rsidRPr="00D60724">
        <w:rPr>
          <w:b/>
          <w:sz w:val="24"/>
          <w:u w:val="single"/>
        </w:rPr>
        <w:t xml:space="preserve">Docket </w:t>
      </w:r>
      <w:r w:rsidR="00D60724" w:rsidRPr="00D60724">
        <w:rPr>
          <w:b/>
          <w:sz w:val="24"/>
          <w:u w:val="single"/>
        </w:rPr>
        <w:t>RM96-1-041</w:t>
      </w:r>
    </w:p>
    <w:p w14:paraId="0C67F8AD" w14:textId="77777777" w:rsidR="00DF17B3" w:rsidRDefault="00DF17B3" w:rsidP="002B45F1">
      <w:pPr>
        <w:rPr>
          <w:sz w:val="24"/>
        </w:rPr>
      </w:pPr>
    </w:p>
    <w:p w14:paraId="0BBBB4F5" w14:textId="77777777" w:rsidR="002B45F1" w:rsidRDefault="002B45F1" w:rsidP="002B45F1">
      <w:pPr>
        <w:rPr>
          <w:sz w:val="24"/>
        </w:rPr>
      </w:pPr>
      <w:r w:rsidRPr="00D60724">
        <w:rPr>
          <w:sz w:val="24"/>
        </w:rPr>
        <w:t>The</w:t>
      </w:r>
      <w:r w:rsidRPr="00F5428B">
        <w:rPr>
          <w:sz w:val="24"/>
        </w:rPr>
        <w:t xml:space="preserve"> Final Rule says in part [footnotes omitted]:</w:t>
      </w:r>
    </w:p>
    <w:p w14:paraId="3B19BFA5" w14:textId="77777777" w:rsidR="009D1B59" w:rsidRPr="00F5428B" w:rsidRDefault="009D1B59" w:rsidP="002B45F1">
      <w:pPr>
        <w:rPr>
          <w:sz w:val="24"/>
        </w:rPr>
      </w:pPr>
    </w:p>
    <w:p w14:paraId="65D9EFF6" w14:textId="77777777" w:rsidR="002A2273" w:rsidRDefault="002B45F1" w:rsidP="002A2273">
      <w:pPr>
        <w:ind w:left="720"/>
        <w:rPr>
          <w:sz w:val="24"/>
        </w:rPr>
      </w:pPr>
      <w:r w:rsidRPr="00F5428B">
        <w:rPr>
          <w:sz w:val="24"/>
        </w:rPr>
        <w:tab/>
      </w:r>
      <w:r w:rsidRPr="009D1B59">
        <w:rPr>
          <w:sz w:val="24"/>
        </w:rPr>
        <w:t>“</w:t>
      </w:r>
      <w:r w:rsidR="002A2273" w:rsidRPr="009D1B59">
        <w:rPr>
          <w:sz w:val="24"/>
        </w:rPr>
        <w:t xml:space="preserve">On September 29, 2017, NAESB filed a report informing the Commission that it had adopted and ratified WGQ Version 3.1 of its business </w:t>
      </w:r>
      <w:r w:rsidR="002A2273" w:rsidRPr="00FD7DF0">
        <w:rPr>
          <w:sz w:val="24"/>
        </w:rPr>
        <w:t>practice standards applicable to natural gas pipelines.  The NAESB report identifies all the changes made to the Version 3.0 Standards and summarizes the deliberations that led to the changes.  It also identifies changes to the existing standards t</w:t>
      </w:r>
      <w:r w:rsidR="002A2273" w:rsidRPr="002A2273">
        <w:rPr>
          <w:sz w:val="24"/>
        </w:rPr>
        <w:t>hat were considered but not adopted due to a lack of consensus or other reasons.</w:t>
      </w:r>
    </w:p>
    <w:p w14:paraId="74D79418" w14:textId="77777777" w:rsidR="00E111A5" w:rsidRPr="002A2273" w:rsidRDefault="00E111A5" w:rsidP="002A2273">
      <w:pPr>
        <w:ind w:left="720"/>
        <w:rPr>
          <w:sz w:val="24"/>
        </w:rPr>
      </w:pPr>
    </w:p>
    <w:p w14:paraId="0D5953DC" w14:textId="09F8634F" w:rsidR="002A2273" w:rsidRDefault="00B3775B" w:rsidP="002A2273">
      <w:pPr>
        <w:ind w:left="720"/>
        <w:rPr>
          <w:sz w:val="24"/>
        </w:rPr>
      </w:pPr>
      <w:r>
        <w:rPr>
          <w:sz w:val="24"/>
        </w:rPr>
        <w:lastRenderedPageBreak/>
        <w:tab/>
      </w:r>
      <w:r w:rsidR="002A2273" w:rsidRPr="002A2273">
        <w:rPr>
          <w:sz w:val="24"/>
        </w:rPr>
        <w:t>On August 21, 2018, the Commission issued a Notice of Proposed Rulemaking</w:t>
      </w:r>
      <w:r w:rsidR="00F959E9">
        <w:rPr>
          <w:sz w:val="24"/>
        </w:rPr>
        <w:t xml:space="preserve"> (NOPR)</w:t>
      </w:r>
      <w:r w:rsidR="002A2273" w:rsidRPr="002A2273">
        <w:rPr>
          <w:sz w:val="24"/>
        </w:rPr>
        <w:t xml:space="preserve"> proposing to incorporate by reference</w:t>
      </w:r>
      <w:r w:rsidR="002F6758" w:rsidRPr="002F6758">
        <w:rPr>
          <w:sz w:val="24"/>
        </w:rPr>
        <w:t xml:space="preserve"> </w:t>
      </w:r>
      <w:r w:rsidR="002F6758" w:rsidRPr="002A2273">
        <w:rPr>
          <w:sz w:val="24"/>
        </w:rPr>
        <w:t>NAESB WGQ Version 3.1 business practice standards</w:t>
      </w:r>
      <w:r w:rsidR="002F6758" w:rsidRPr="002F6758">
        <w:rPr>
          <w:sz w:val="24"/>
        </w:rPr>
        <w:t xml:space="preserve"> </w:t>
      </w:r>
      <w:r w:rsidR="002F6758" w:rsidRPr="002A2273">
        <w:rPr>
          <w:sz w:val="24"/>
        </w:rPr>
        <w:t>applicable to natural gas pipelines</w:t>
      </w:r>
      <w:r w:rsidR="002A2273" w:rsidRPr="002A2273">
        <w:rPr>
          <w:sz w:val="24"/>
        </w:rPr>
        <w:t xml:space="preserve">, with certain enumerated exceptions </w:t>
      </w:r>
      <w:r w:rsidR="002F6758">
        <w:rPr>
          <w:sz w:val="24"/>
        </w:rPr>
        <w:t>into its regulations.</w:t>
      </w:r>
      <w:r w:rsidR="002F6758" w:rsidRPr="002F6758">
        <w:rPr>
          <w:sz w:val="24"/>
        </w:rPr>
        <w:t xml:space="preserve"> </w:t>
      </w:r>
      <w:r w:rsidR="002A2273" w:rsidRPr="002A2273">
        <w:rPr>
          <w:b/>
          <w:sz w:val="24"/>
          <w:vertAlign w:val="superscript"/>
        </w:rPr>
        <w:footnoteReference w:id="4"/>
      </w:r>
    </w:p>
    <w:p w14:paraId="36F2CB35" w14:textId="77777777" w:rsidR="00E111A5" w:rsidRPr="002A2273" w:rsidRDefault="00E111A5" w:rsidP="002A2273">
      <w:pPr>
        <w:ind w:left="720"/>
        <w:rPr>
          <w:sz w:val="24"/>
        </w:rPr>
      </w:pPr>
    </w:p>
    <w:p w14:paraId="1B6A7125" w14:textId="09AC62F5" w:rsidR="00B3775B" w:rsidRDefault="00B3775B" w:rsidP="002A2273">
      <w:pPr>
        <w:ind w:left="720"/>
        <w:rPr>
          <w:sz w:val="24"/>
        </w:rPr>
      </w:pPr>
      <w:r>
        <w:rPr>
          <w:sz w:val="24"/>
        </w:rPr>
        <w:tab/>
      </w:r>
      <w:r w:rsidR="00F959E9">
        <w:rPr>
          <w:sz w:val="24"/>
        </w:rPr>
        <w:t xml:space="preserve">Following issuance of the </w:t>
      </w:r>
      <w:r w:rsidR="002A2273" w:rsidRPr="002A2273">
        <w:rPr>
          <w:sz w:val="24"/>
        </w:rPr>
        <w:t>NOPR</w:t>
      </w:r>
      <w:r w:rsidR="00F959E9">
        <w:rPr>
          <w:sz w:val="24"/>
        </w:rPr>
        <w:t xml:space="preserve"> regarding</w:t>
      </w:r>
      <w:r w:rsidR="00486D73">
        <w:rPr>
          <w:sz w:val="24"/>
        </w:rPr>
        <w:t xml:space="preserve"> NAESB’s WGQ </w:t>
      </w:r>
      <w:r w:rsidR="00F959E9" w:rsidRPr="002A2273">
        <w:rPr>
          <w:sz w:val="24"/>
        </w:rPr>
        <w:t>Version 3.1</w:t>
      </w:r>
      <w:r w:rsidR="00486D73">
        <w:rPr>
          <w:sz w:val="24"/>
        </w:rPr>
        <w:t xml:space="preserve"> business practice standards</w:t>
      </w:r>
      <w:r w:rsidR="002A2273" w:rsidRPr="002A2273">
        <w:rPr>
          <w:sz w:val="24"/>
        </w:rPr>
        <w:t xml:space="preserve">, </w:t>
      </w:r>
      <w:r w:rsidR="00F959E9">
        <w:rPr>
          <w:sz w:val="24"/>
        </w:rPr>
        <w:t xml:space="preserve">the </w:t>
      </w:r>
      <w:r w:rsidR="002A2273" w:rsidRPr="002A2273">
        <w:rPr>
          <w:sz w:val="24"/>
        </w:rPr>
        <w:t xml:space="preserve">Tennessee Valley Authority (TVA) and the Interstate Natural Gas Association of America (INGAA) filed comments.  TVA expresses support for the Commission’s proposal to incorporate by reference NAESB’s WGQ Version 3.1 business practice standards.  INGAA also supports the Commission’s proposal in the Version 3.1 NOPR, but urges the Commission to ensure that implementation of a Final Rule in this proceeding does not occur prior to April 1, 2019, </w:t>
      </w:r>
      <w:r w:rsidR="002F6758">
        <w:rPr>
          <w:sz w:val="24"/>
        </w:rPr>
        <w:t xml:space="preserve">which will be </w:t>
      </w:r>
      <w:r w:rsidR="002A2273" w:rsidRPr="002A2273">
        <w:rPr>
          <w:sz w:val="24"/>
        </w:rPr>
        <w:t xml:space="preserve">after the winter heating season.  INGAA states that implementation of a Final Rule in this proceeding will require substantial time and effort from both </w:t>
      </w:r>
      <w:r w:rsidR="002F6758">
        <w:rPr>
          <w:sz w:val="24"/>
        </w:rPr>
        <w:t xml:space="preserve">the </w:t>
      </w:r>
      <w:r w:rsidR="002A2273" w:rsidRPr="002A2273">
        <w:rPr>
          <w:sz w:val="24"/>
        </w:rPr>
        <w:t>pipelines and their customers to alter business systems, scheduling, and coordination processes</w:t>
      </w:r>
      <w:r w:rsidR="002F6758">
        <w:rPr>
          <w:sz w:val="24"/>
        </w:rPr>
        <w:t>,</w:t>
      </w:r>
      <w:r w:rsidR="002A2273" w:rsidRPr="002A2273">
        <w:rPr>
          <w:sz w:val="24"/>
        </w:rPr>
        <w:t xml:space="preserve"> and thus it would be best to schedule implementation to not occur during the winter heating season</w:t>
      </w:r>
      <w:r>
        <w:rPr>
          <w:sz w:val="24"/>
        </w:rPr>
        <w:t>.”</w:t>
      </w:r>
    </w:p>
    <w:p w14:paraId="5D835774" w14:textId="77777777" w:rsidR="00B3775B" w:rsidRDefault="00B3775B" w:rsidP="002A2273">
      <w:pPr>
        <w:ind w:left="720"/>
        <w:rPr>
          <w:sz w:val="24"/>
        </w:rPr>
      </w:pPr>
    </w:p>
    <w:p w14:paraId="12BEF421" w14:textId="156258D4" w:rsidR="002B45F1" w:rsidRPr="00F5428B" w:rsidRDefault="00B3775B" w:rsidP="002B45F1">
      <w:pPr>
        <w:ind w:left="720" w:firstLine="720"/>
        <w:rPr>
          <w:sz w:val="24"/>
        </w:rPr>
      </w:pPr>
      <w:r w:rsidRPr="00B3775B">
        <w:rPr>
          <w:sz w:val="24"/>
        </w:rPr>
        <w:t xml:space="preserve">In </w:t>
      </w:r>
      <w:r w:rsidR="009C5ED8">
        <w:rPr>
          <w:sz w:val="24"/>
        </w:rPr>
        <w:t xml:space="preserve">the </w:t>
      </w:r>
      <w:r w:rsidRPr="00B3775B">
        <w:rPr>
          <w:sz w:val="24"/>
        </w:rPr>
        <w:t xml:space="preserve">Final Rule, the </w:t>
      </w:r>
      <w:r w:rsidR="002F6758" w:rsidRPr="00B3775B">
        <w:rPr>
          <w:sz w:val="24"/>
        </w:rPr>
        <w:t>Commission amends</w:t>
      </w:r>
      <w:r w:rsidRPr="00B3775B">
        <w:rPr>
          <w:sz w:val="24"/>
        </w:rPr>
        <w:t xml:space="preserve"> its regulations </w:t>
      </w:r>
      <w:r w:rsidR="009C5ED8">
        <w:rPr>
          <w:sz w:val="24"/>
        </w:rPr>
        <w:t>in</w:t>
      </w:r>
      <w:r w:rsidR="009C5ED8" w:rsidRPr="00B3775B">
        <w:rPr>
          <w:sz w:val="24"/>
        </w:rPr>
        <w:t xml:space="preserve"> </w:t>
      </w:r>
      <w:r w:rsidRPr="00B3775B">
        <w:rPr>
          <w:sz w:val="24"/>
        </w:rPr>
        <w:t xml:space="preserve">18 CFR 284.12 to incorporate by reference, with certain enumerated exceptions, the latest version (Version 3.1) of business practice standards applicable to interstate natural gas pipelines </w:t>
      </w:r>
      <w:r w:rsidR="009C5ED8">
        <w:rPr>
          <w:sz w:val="24"/>
        </w:rPr>
        <w:t>(</w:t>
      </w:r>
      <w:r w:rsidRPr="00B3775B">
        <w:rPr>
          <w:sz w:val="24"/>
        </w:rPr>
        <w:t>adopted by the Wholesale Gas Quadrant (WGQ) of the North American Energy Standards Board (NAESB)</w:t>
      </w:r>
      <w:r w:rsidR="009C5ED8">
        <w:rPr>
          <w:sz w:val="24"/>
        </w:rPr>
        <w:t>), replacing Version 3.0.</w:t>
      </w:r>
      <w:r w:rsidR="00486D73">
        <w:rPr>
          <w:sz w:val="24"/>
        </w:rPr>
        <w:t xml:space="preserve"> </w:t>
      </w:r>
      <w:r w:rsidRPr="00B3775B">
        <w:rPr>
          <w:sz w:val="24"/>
        </w:rPr>
        <w:t xml:space="preserve"> Under this Final Rule, interstate natural gas pipelines are required to file compliance filings with the Commission by April 1, 2019</w:t>
      </w:r>
      <w:r w:rsidR="009C5ED8">
        <w:rPr>
          <w:sz w:val="24"/>
        </w:rPr>
        <w:t>,</w:t>
      </w:r>
      <w:r w:rsidRPr="00B3775B">
        <w:rPr>
          <w:sz w:val="24"/>
        </w:rPr>
        <w:t xml:space="preserve"> and are required to comply with the standards incorporated by reference in this rule on and after August 1, 2019.</w:t>
      </w:r>
      <w:r w:rsidR="00E111A5">
        <w:rPr>
          <w:sz w:val="24"/>
        </w:rPr>
        <w:t xml:space="preserve">  </w:t>
      </w:r>
      <w:r w:rsidR="002B45F1" w:rsidRPr="00F5428B">
        <w:rPr>
          <w:sz w:val="24"/>
        </w:rPr>
        <w:t>Adoption of the Version 3.</w:t>
      </w:r>
      <w:r w:rsidR="00486D73">
        <w:rPr>
          <w:sz w:val="24"/>
        </w:rPr>
        <w:t>1</w:t>
      </w:r>
      <w:r w:rsidR="002B45F1" w:rsidRPr="00F5428B">
        <w:rPr>
          <w:sz w:val="24"/>
        </w:rPr>
        <w:t xml:space="preserve"> </w:t>
      </w:r>
      <w:r w:rsidR="00486D73">
        <w:rPr>
          <w:sz w:val="24"/>
        </w:rPr>
        <w:t xml:space="preserve">business practice </w:t>
      </w:r>
      <w:r w:rsidR="009C5ED8">
        <w:rPr>
          <w:sz w:val="24"/>
        </w:rPr>
        <w:t>s</w:t>
      </w:r>
      <w:r w:rsidR="002B45F1" w:rsidRPr="00F5428B">
        <w:rPr>
          <w:sz w:val="24"/>
        </w:rPr>
        <w:t>tandards will</w:t>
      </w:r>
      <w:r w:rsidR="009C5ED8">
        <w:rPr>
          <w:sz w:val="24"/>
        </w:rPr>
        <w:t xml:space="preserve"> allow </w:t>
      </w:r>
      <w:r w:rsidR="00486D73">
        <w:rPr>
          <w:sz w:val="24"/>
        </w:rPr>
        <w:t>NAESB and its members to continue their efforts to</w:t>
      </w:r>
      <w:r w:rsidR="002B45F1" w:rsidRPr="00F5428B">
        <w:rPr>
          <w:sz w:val="24"/>
        </w:rPr>
        <w:t xml:space="preserve"> updat</w:t>
      </w:r>
      <w:r w:rsidR="00486D73">
        <w:rPr>
          <w:sz w:val="24"/>
        </w:rPr>
        <w:t>e</w:t>
      </w:r>
      <w:r w:rsidR="002B45F1" w:rsidRPr="00F5428B">
        <w:rPr>
          <w:sz w:val="24"/>
        </w:rPr>
        <w:t xml:space="preserve"> and improv</w:t>
      </w:r>
      <w:r w:rsidR="00486D73">
        <w:rPr>
          <w:sz w:val="24"/>
        </w:rPr>
        <w:t>e</w:t>
      </w:r>
      <w:r w:rsidR="002B45F1" w:rsidRPr="00F5428B">
        <w:rPr>
          <w:sz w:val="24"/>
        </w:rPr>
        <w:t xml:space="preserve"> </w:t>
      </w:r>
      <w:r w:rsidR="00486D73">
        <w:rPr>
          <w:sz w:val="24"/>
        </w:rPr>
        <w:t xml:space="preserve">the </w:t>
      </w:r>
      <w:r w:rsidR="00215D6C">
        <w:rPr>
          <w:sz w:val="24"/>
        </w:rPr>
        <w:t xml:space="preserve">wholesale </w:t>
      </w:r>
      <w:r w:rsidR="00486D73">
        <w:rPr>
          <w:sz w:val="24"/>
        </w:rPr>
        <w:t xml:space="preserve">natural gas </w:t>
      </w:r>
      <w:r w:rsidR="00215D6C">
        <w:rPr>
          <w:sz w:val="24"/>
        </w:rPr>
        <w:t>industry’s</w:t>
      </w:r>
      <w:r w:rsidR="002B45F1" w:rsidRPr="00F5428B">
        <w:rPr>
          <w:sz w:val="24"/>
        </w:rPr>
        <w:t xml:space="preserve"> business practice standards</w:t>
      </w:r>
      <w:r w:rsidR="009C5ED8">
        <w:rPr>
          <w:sz w:val="24"/>
        </w:rPr>
        <w:t xml:space="preserve">, </w:t>
      </w:r>
      <w:r w:rsidR="008D4689">
        <w:rPr>
          <w:sz w:val="24"/>
        </w:rPr>
        <w:t xml:space="preserve">which </w:t>
      </w:r>
      <w:r w:rsidR="00C4337B">
        <w:rPr>
          <w:sz w:val="24"/>
        </w:rPr>
        <w:t>will benefit</w:t>
      </w:r>
      <w:r w:rsidR="002B45F1" w:rsidRPr="00F5428B">
        <w:rPr>
          <w:sz w:val="24"/>
        </w:rPr>
        <w:t xml:space="preserve"> </w:t>
      </w:r>
      <w:r w:rsidR="00215D6C">
        <w:rPr>
          <w:sz w:val="24"/>
        </w:rPr>
        <w:t xml:space="preserve">all participants in the </w:t>
      </w:r>
      <w:r w:rsidR="002B45F1" w:rsidRPr="00F5428B">
        <w:rPr>
          <w:sz w:val="24"/>
        </w:rPr>
        <w:t>wholesale natural gas market</w:t>
      </w:r>
      <w:r w:rsidR="00256088" w:rsidRPr="00F5428B">
        <w:rPr>
          <w:sz w:val="24"/>
        </w:rPr>
        <w:t xml:space="preserve"> </w:t>
      </w:r>
      <w:r w:rsidR="008D4689">
        <w:rPr>
          <w:sz w:val="24"/>
        </w:rPr>
        <w:t xml:space="preserve">as </w:t>
      </w:r>
      <w:r w:rsidR="00215D6C">
        <w:rPr>
          <w:sz w:val="24"/>
        </w:rPr>
        <w:t xml:space="preserve">shown by the </w:t>
      </w:r>
      <w:r w:rsidR="008D4689">
        <w:rPr>
          <w:sz w:val="24"/>
        </w:rPr>
        <w:t xml:space="preserve">consensus </w:t>
      </w:r>
      <w:r w:rsidR="00215D6C">
        <w:rPr>
          <w:sz w:val="24"/>
        </w:rPr>
        <w:t>support for the revised standards from all</w:t>
      </w:r>
      <w:r w:rsidR="008D4689">
        <w:rPr>
          <w:sz w:val="24"/>
        </w:rPr>
        <w:t xml:space="preserve"> segments of the industry. </w:t>
      </w:r>
    </w:p>
    <w:p w14:paraId="42A85A8C" w14:textId="77777777" w:rsidR="002B45F1" w:rsidRPr="00F5428B" w:rsidRDefault="002B45F1" w:rsidP="002B45F1">
      <w:pPr>
        <w:rPr>
          <w:b/>
          <w:i/>
          <w:sz w:val="24"/>
        </w:rPr>
      </w:pPr>
    </w:p>
    <w:p w14:paraId="6CC1BC01" w14:textId="77777777" w:rsidR="00FC4584" w:rsidRPr="005409EE" w:rsidRDefault="00FC4584" w:rsidP="00FC4584">
      <w:pPr>
        <w:tabs>
          <w:tab w:val="num" w:pos="0"/>
        </w:tabs>
        <w:rPr>
          <w:b/>
          <w:sz w:val="24"/>
          <w:u w:val="single"/>
        </w:rPr>
      </w:pPr>
      <w:r w:rsidRPr="005409EE">
        <w:rPr>
          <w:b/>
          <w:sz w:val="24"/>
          <w:u w:val="single"/>
        </w:rPr>
        <w:t>FERC-549C</w:t>
      </w:r>
      <w:r>
        <w:rPr>
          <w:b/>
          <w:sz w:val="24"/>
          <w:u w:val="single"/>
        </w:rPr>
        <w:t xml:space="preserve"> (renewal)</w:t>
      </w:r>
    </w:p>
    <w:p w14:paraId="5F566B85" w14:textId="77777777" w:rsidR="00FC4584" w:rsidRPr="005409EE" w:rsidRDefault="00FC4584" w:rsidP="00FC4584">
      <w:pPr>
        <w:tabs>
          <w:tab w:val="num" w:pos="0"/>
        </w:tabs>
        <w:rPr>
          <w:b/>
          <w:sz w:val="24"/>
          <w:u w:val="single"/>
        </w:rPr>
      </w:pPr>
    </w:p>
    <w:p w14:paraId="1167C295" w14:textId="7D3B9922" w:rsidR="00FC4584" w:rsidRPr="00F5428B" w:rsidRDefault="00FC4584" w:rsidP="00FC4584">
      <w:pPr>
        <w:tabs>
          <w:tab w:val="num" w:pos="0"/>
        </w:tabs>
        <w:rPr>
          <w:sz w:val="24"/>
        </w:rPr>
      </w:pPr>
      <w:r w:rsidRPr="00F5428B">
        <w:rPr>
          <w:sz w:val="24"/>
        </w:rPr>
        <w:t>The business practice standards under FERC-549C are required to carry out the Commission’s policies in accordance with the general authority in Sections 4, 5, 7, 8, 10, 14, 16, and 20 of the Natural Gas Act (N</w:t>
      </w:r>
      <w:r w:rsidR="00D109AD">
        <w:rPr>
          <w:sz w:val="24"/>
        </w:rPr>
        <w:t>GA) (15 U.S.C. 717c-717w), and S</w:t>
      </w:r>
      <w:r w:rsidRPr="00F5428B">
        <w:rPr>
          <w:sz w:val="24"/>
        </w:rPr>
        <w:t xml:space="preserve">ections 311, 501, and 504 of the Natural Gas Policy Act of 1978 (NGPA) (15 U.S.C. 3301-3432).  The Commission adopted these business practice standards in order to update and standardize the natural gas industry’s business </w:t>
      </w:r>
      <w:r w:rsidRPr="00F5428B">
        <w:rPr>
          <w:sz w:val="24"/>
        </w:rPr>
        <w:lastRenderedPageBreak/>
        <w:t xml:space="preserve">practices and procedures as well as to improve the efficiency of the gas market and the means by which the gas industry conducts business across the interstate pipeline grid.   </w:t>
      </w:r>
    </w:p>
    <w:p w14:paraId="54A08BDE" w14:textId="77777777" w:rsidR="00FC4584" w:rsidRPr="00F5428B" w:rsidRDefault="00FC4584" w:rsidP="00FC4584">
      <w:pPr>
        <w:tabs>
          <w:tab w:val="num" w:pos="0"/>
        </w:tabs>
        <w:rPr>
          <w:sz w:val="24"/>
        </w:rPr>
      </w:pPr>
    </w:p>
    <w:p w14:paraId="2E22B744" w14:textId="77777777" w:rsidR="00FC4584" w:rsidRPr="00F5428B" w:rsidRDefault="00FC4584" w:rsidP="00FC4584">
      <w:pPr>
        <w:tabs>
          <w:tab w:val="num" w:pos="0"/>
        </w:tabs>
        <w:rPr>
          <w:sz w:val="24"/>
        </w:rPr>
      </w:pPr>
      <w:r w:rsidRPr="00F5428B">
        <w:rPr>
          <w:sz w:val="24"/>
        </w:rPr>
        <w:t>In various orders since 1996</w:t>
      </w:r>
      <w:r w:rsidRPr="00F5428B">
        <w:rPr>
          <w:rStyle w:val="FootnoteReference"/>
          <w:sz w:val="24"/>
          <w:szCs w:val="24"/>
        </w:rPr>
        <w:footnoteReference w:id="5"/>
      </w:r>
      <w:r w:rsidRPr="00F5428B">
        <w:rPr>
          <w:sz w:val="24"/>
        </w:rPr>
        <w:t xml:space="preserve">, FERC has adopted regulations to standardize the business practices and communication methodologies of interstate natural gas pipelines in order to create a more integrated and efficient pipeline industry.  In general, when and if NAESB-proposed standards (e.g., consensus standards developed by the WGQ, an accredited standards organization under the auspices of the American National Standards Institute (ANSI)) are approved by </w:t>
      </w:r>
      <w:r>
        <w:rPr>
          <w:sz w:val="24"/>
        </w:rPr>
        <w:t>the Commission</w:t>
      </w:r>
      <w:r w:rsidRPr="00F5428B">
        <w:rPr>
          <w:sz w:val="24"/>
        </w:rPr>
        <w:t>, the Commission incorporates them by reference into its approval.  The process of standardizing business practices in the natural gas industry began with a Commission initiative to standardize electronic communication of capacity release transactions.  The outgrowth of the initial Commission standardization efforts produced working groups composed of all segments of the gas industry and ultimately, the Gas Industry Standards Board (GISB), a consensus organization open to all members of the gas industry was created.  GISB was succeeded by NAESB.</w:t>
      </w:r>
    </w:p>
    <w:p w14:paraId="04DD6999" w14:textId="77777777" w:rsidR="00FC4584" w:rsidRPr="00F5428B" w:rsidRDefault="00FC4584" w:rsidP="00FC4584">
      <w:pPr>
        <w:tabs>
          <w:tab w:val="num" w:pos="0"/>
        </w:tabs>
        <w:rPr>
          <w:sz w:val="24"/>
        </w:rPr>
      </w:pPr>
    </w:p>
    <w:p w14:paraId="3D28C768" w14:textId="77777777" w:rsidR="00FC4584" w:rsidRPr="00F5428B" w:rsidRDefault="00FC4584" w:rsidP="00FC4584">
      <w:pPr>
        <w:tabs>
          <w:tab w:val="num" w:pos="0"/>
        </w:tabs>
        <w:rPr>
          <w:sz w:val="24"/>
        </w:rPr>
      </w:pPr>
      <w:r w:rsidRPr="00F5428B">
        <w:rPr>
          <w:sz w:val="24"/>
        </w:rPr>
        <w:t>NAESB</w:t>
      </w:r>
      <w:r w:rsidRPr="00F5428B">
        <w:rPr>
          <w:rStyle w:val="FootnoteReference"/>
          <w:sz w:val="24"/>
          <w:szCs w:val="24"/>
        </w:rPr>
        <w:footnoteReference w:id="6"/>
      </w:r>
      <w:r w:rsidRPr="00F5428B">
        <w:rPr>
          <w:sz w:val="24"/>
        </w:rPr>
        <w:t xml:space="preserve"> is a voluntary non-profit organization comprised of members from the retail and wholesale natural gas and electric industries.  NAESB’s mission is to take the lead in developing standards across these industries to simplify and expand electronic communication, and to streamline business practices.  Core to its objective is to lead to a seamless North American marketplace for natural gas, as recognized by its customers, the business community, industry participants and regulatory bodies.  NAESB has divided its efforts among four quadrants, including two retail quadrants, a wholesale electric quadrant, and the WGQ.  The NAESB WGQ standards are a product of this effort.  Industry participants seeking additional or amended standards (including principles, definitions, standards, data elements, process descriptions, technical implementation instructions) submit a request to the NAESB office, detailing the change, so that the appropriate process may take place to amend the standards.</w:t>
      </w:r>
    </w:p>
    <w:p w14:paraId="3B3AF4AB" w14:textId="77777777" w:rsidR="00BC15BE" w:rsidRPr="00F5428B" w:rsidRDefault="00BC15BE" w:rsidP="00BC15BE">
      <w:pPr>
        <w:rPr>
          <w:sz w:val="24"/>
        </w:rPr>
      </w:pPr>
    </w:p>
    <w:p w14:paraId="5FC92A66" w14:textId="77777777" w:rsidR="00BC15BE" w:rsidRPr="00F5428B" w:rsidRDefault="00BC15BE" w:rsidP="00BC15BE">
      <w:pPr>
        <w:pStyle w:val="Level1"/>
        <w:widowControl/>
        <w:tabs>
          <w:tab w:val="left" w:pos="-1440"/>
          <w:tab w:val="num" w:pos="720"/>
        </w:tabs>
        <w:rPr>
          <w:b/>
        </w:rPr>
      </w:pPr>
      <w:r w:rsidRPr="00F5428B">
        <w:rPr>
          <w:b/>
        </w:rPr>
        <w:t>HOW, BY WHOM, AND FOR WHAT PURPOSE THE INFORMATION IS TO BE USED AND THE CONSEQUENCES OF NOT COLLECTING THE INFORMATION</w:t>
      </w:r>
    </w:p>
    <w:p w14:paraId="436C6292" w14:textId="77777777" w:rsidR="00BC15BE" w:rsidRPr="00F5428B" w:rsidRDefault="00BC15BE" w:rsidP="00BC15BE">
      <w:pPr>
        <w:pStyle w:val="Level1"/>
        <w:numPr>
          <w:ilvl w:val="0"/>
          <w:numId w:val="0"/>
        </w:numPr>
        <w:tabs>
          <w:tab w:val="left" w:pos="-1440"/>
        </w:tabs>
      </w:pPr>
    </w:p>
    <w:p w14:paraId="6EDC3537" w14:textId="77777777" w:rsidR="00FC4584" w:rsidRDefault="00FC4584" w:rsidP="00FC4584">
      <w:pPr>
        <w:rPr>
          <w:b/>
          <w:sz w:val="24"/>
          <w:u w:val="single"/>
        </w:rPr>
      </w:pPr>
      <w:r>
        <w:rPr>
          <w:b/>
          <w:sz w:val="24"/>
          <w:u w:val="single"/>
        </w:rPr>
        <w:t xml:space="preserve">Final Rule in </w:t>
      </w:r>
      <w:r w:rsidRPr="00D60724">
        <w:rPr>
          <w:b/>
          <w:sz w:val="24"/>
          <w:u w:val="single"/>
        </w:rPr>
        <w:t>Docket RM96-1-041</w:t>
      </w:r>
    </w:p>
    <w:p w14:paraId="2F6EA4EB" w14:textId="77777777" w:rsidR="000E1368" w:rsidRDefault="000E1368" w:rsidP="00FC4584">
      <w:pPr>
        <w:rPr>
          <w:b/>
          <w:sz w:val="24"/>
        </w:rPr>
      </w:pPr>
    </w:p>
    <w:p w14:paraId="10F26C74" w14:textId="77777777" w:rsidR="00FC4584" w:rsidRPr="00F5428B" w:rsidRDefault="00FC4584" w:rsidP="00FC4584">
      <w:pPr>
        <w:rPr>
          <w:sz w:val="24"/>
        </w:rPr>
      </w:pPr>
      <w:r w:rsidRPr="00F5428B">
        <w:rPr>
          <w:sz w:val="24"/>
        </w:rPr>
        <w:t>The</w:t>
      </w:r>
      <w:r w:rsidRPr="00F5428B">
        <w:rPr>
          <w:b/>
          <w:sz w:val="24"/>
        </w:rPr>
        <w:t xml:space="preserve"> </w:t>
      </w:r>
      <w:r>
        <w:rPr>
          <w:sz w:val="24"/>
        </w:rPr>
        <w:t>Final Rule in RM96-1-041</w:t>
      </w:r>
      <w:r w:rsidRPr="00F5428B">
        <w:rPr>
          <w:sz w:val="24"/>
        </w:rPr>
        <w:t xml:space="preserve"> requires interstate</w:t>
      </w:r>
      <w:r>
        <w:rPr>
          <w:sz w:val="24"/>
        </w:rPr>
        <w:t xml:space="preserve"> natural</w:t>
      </w:r>
      <w:r w:rsidRPr="00F5428B">
        <w:rPr>
          <w:sz w:val="24"/>
        </w:rPr>
        <w:t xml:space="preserve"> gas pipelines to make a one-time tariff filing to reflect the changes in the updated NAESB standards</w:t>
      </w:r>
      <w:r>
        <w:rPr>
          <w:sz w:val="24"/>
        </w:rPr>
        <w:t xml:space="preserve"> in FERC-545</w:t>
      </w:r>
      <w:r w:rsidRPr="00F5428B">
        <w:rPr>
          <w:sz w:val="24"/>
        </w:rPr>
        <w:t xml:space="preserve">. </w:t>
      </w:r>
      <w:r>
        <w:rPr>
          <w:sz w:val="24"/>
        </w:rPr>
        <w:t xml:space="preserve"> </w:t>
      </w:r>
      <w:r w:rsidRPr="00F5428B">
        <w:rPr>
          <w:sz w:val="24"/>
        </w:rPr>
        <w:t>The Commission reviews the FERC-54</w:t>
      </w:r>
      <w:r>
        <w:rPr>
          <w:sz w:val="24"/>
        </w:rPr>
        <w:t>9C</w:t>
      </w:r>
      <w:r w:rsidRPr="00F5428B">
        <w:rPr>
          <w:sz w:val="24"/>
        </w:rPr>
        <w:t xml:space="preserve"> materials to determine whether proposed transportation and sales rates and terms and conditions of service are just and reasonable.  The Commission uses the information to monitor rates and terms and conditions of service related to jurisdictional transportation, natural gas storage, and unbundled sales activities of jurisdictional companies.  In addition to fulfilling the Commission’s obligations under the NGA, the information enables the Commission to monitor the activities and evaluate transactions of the natural gas industry to ensure competitiveness and improved efficiency of the industry’s operations.   </w:t>
      </w:r>
    </w:p>
    <w:p w14:paraId="3F376027" w14:textId="77777777" w:rsidR="00FC4584" w:rsidRPr="00F5428B" w:rsidRDefault="00FC4584" w:rsidP="00FC4584">
      <w:pPr>
        <w:rPr>
          <w:sz w:val="24"/>
        </w:rPr>
      </w:pPr>
    </w:p>
    <w:p w14:paraId="4A7092FB" w14:textId="77777777" w:rsidR="00FC4584" w:rsidRDefault="00FC4584" w:rsidP="00FC4584">
      <w:pPr>
        <w:rPr>
          <w:b/>
          <w:sz w:val="24"/>
          <w:u w:val="single"/>
        </w:rPr>
      </w:pPr>
      <w:r w:rsidRPr="00622554">
        <w:rPr>
          <w:b/>
          <w:sz w:val="24"/>
          <w:u w:val="single"/>
        </w:rPr>
        <w:t>FERC-549C</w:t>
      </w:r>
      <w:r>
        <w:rPr>
          <w:b/>
          <w:sz w:val="24"/>
          <w:u w:val="single"/>
        </w:rPr>
        <w:t xml:space="preserve"> (renewal)</w:t>
      </w:r>
    </w:p>
    <w:p w14:paraId="5BC386B7" w14:textId="77777777" w:rsidR="00FC4584" w:rsidRPr="00622554" w:rsidRDefault="00FC4584" w:rsidP="00FC4584">
      <w:pPr>
        <w:rPr>
          <w:b/>
          <w:sz w:val="24"/>
          <w:u w:val="single"/>
        </w:rPr>
      </w:pPr>
    </w:p>
    <w:p w14:paraId="77140B05" w14:textId="77777777" w:rsidR="00FC4584" w:rsidRPr="00F5428B" w:rsidRDefault="00FC4584" w:rsidP="00FC4584">
      <w:pPr>
        <w:rPr>
          <w:sz w:val="24"/>
        </w:rPr>
      </w:pPr>
      <w:r w:rsidRPr="00F5428B">
        <w:rPr>
          <w:sz w:val="24"/>
        </w:rPr>
        <w:t>The Commission requires the FERC-549C because the NOPR in Docket RM96-1-0</w:t>
      </w:r>
      <w:r>
        <w:rPr>
          <w:sz w:val="24"/>
        </w:rPr>
        <w:t>41</w:t>
      </w:r>
      <w:r w:rsidRPr="00F5428B">
        <w:rPr>
          <w:sz w:val="24"/>
        </w:rPr>
        <w:t xml:space="preserve"> proposes to amend its regulations at 18 CFR 284.12 to incorporate by reference, with certain exceptions, Version 3.</w:t>
      </w:r>
      <w:r>
        <w:rPr>
          <w:sz w:val="24"/>
        </w:rPr>
        <w:t>1</w:t>
      </w:r>
      <w:r w:rsidRPr="00F5428B">
        <w:rPr>
          <w:sz w:val="24"/>
        </w:rPr>
        <w:t xml:space="preserve"> of business practice standards adopted by NAESB applicable to natural gas pipelines.  The Version 3.</w:t>
      </w:r>
      <w:r>
        <w:rPr>
          <w:sz w:val="24"/>
        </w:rPr>
        <w:t>1</w:t>
      </w:r>
      <w:r w:rsidRPr="00F5428B">
        <w:rPr>
          <w:sz w:val="24"/>
        </w:rPr>
        <w:t xml:space="preserve"> standards also revise the codes used to identify receipt and delivery locations in the Index of Customers. </w:t>
      </w:r>
    </w:p>
    <w:p w14:paraId="78654033" w14:textId="77777777" w:rsidR="00FC4584" w:rsidRDefault="00FC4584" w:rsidP="00FC4584">
      <w:pPr>
        <w:rPr>
          <w:sz w:val="24"/>
        </w:rPr>
      </w:pPr>
    </w:p>
    <w:p w14:paraId="5F5CDE82" w14:textId="77777777" w:rsidR="00FC4584" w:rsidRPr="00F5428B" w:rsidRDefault="00FC4584" w:rsidP="00FC4584">
      <w:pPr>
        <w:rPr>
          <w:sz w:val="24"/>
        </w:rPr>
      </w:pPr>
      <w:r w:rsidRPr="00F5428B">
        <w:rPr>
          <w:sz w:val="24"/>
        </w:rPr>
        <w:t xml:space="preserve">Failure to collect this information would prohibit the Commission from monitoring and properly evaluating pipeline transactions and meeting statutory obligations under both the NGPA and the NGA. </w:t>
      </w:r>
    </w:p>
    <w:p w14:paraId="08D11658" w14:textId="77777777" w:rsidR="00FC4584" w:rsidRPr="00F5428B" w:rsidRDefault="00FC4584" w:rsidP="00FC4584">
      <w:pPr>
        <w:tabs>
          <w:tab w:val="num" w:pos="0"/>
        </w:tabs>
        <w:spacing w:before="100" w:beforeAutospacing="1" w:after="240"/>
        <w:rPr>
          <w:sz w:val="24"/>
        </w:rPr>
      </w:pPr>
      <w:r w:rsidRPr="00F5428B">
        <w:rPr>
          <w:sz w:val="24"/>
        </w:rPr>
        <w:t>Additionally, the incorporation by reference of consensus standards helps ensure the reasonableness of these standards because they have enlisted broad support from industry participants representing all segments of the industry.  Interstate natural gas pipelines will need to file new tariffs with the Commission only if</w:t>
      </w:r>
      <w:r>
        <w:rPr>
          <w:sz w:val="24"/>
        </w:rPr>
        <w:t>:</w:t>
      </w:r>
      <w:r w:rsidRPr="00F5428B">
        <w:rPr>
          <w:sz w:val="24"/>
        </w:rPr>
        <w:t xml:space="preserve"> a) they do not currently offer multi-party transportation contracts and b) shippers request that the pipeline offer such contracts.</w:t>
      </w:r>
    </w:p>
    <w:p w14:paraId="52D8ADD2" w14:textId="77777777" w:rsidR="003F0E97" w:rsidRPr="00F5428B" w:rsidRDefault="003F0E97" w:rsidP="003F0E97">
      <w:pPr>
        <w:rPr>
          <w:sz w:val="24"/>
        </w:rPr>
      </w:pPr>
    </w:p>
    <w:p w14:paraId="29271503" w14:textId="23448976" w:rsidR="00BC15BE" w:rsidRPr="00E34C4E" w:rsidRDefault="00BC15BE" w:rsidP="00BC15BE">
      <w:pPr>
        <w:pStyle w:val="Level1"/>
        <w:widowControl/>
        <w:tabs>
          <w:tab w:val="left" w:pos="-1440"/>
          <w:tab w:val="num" w:pos="720"/>
        </w:tabs>
        <w:rPr>
          <w:b/>
        </w:rPr>
      </w:pPr>
      <w:r w:rsidRPr="00F5428B">
        <w:rPr>
          <w:b/>
        </w:rPr>
        <w:t>DESCRIBE ANY CONSIDERATION FOR THE USE OF IMPROVED INFORMATION TECHNOLOGY TO REDUCE BURDEN AND TECHNICAL OR LEGAL OBSTACLES TO REDUCING BURDEN</w:t>
      </w:r>
    </w:p>
    <w:p w14:paraId="584C9AD0" w14:textId="66BEDD64" w:rsidR="00966D03" w:rsidRPr="00E34C4E" w:rsidRDefault="00E34C4E" w:rsidP="00E34C4E">
      <w:pPr>
        <w:tabs>
          <w:tab w:val="num" w:pos="0"/>
        </w:tabs>
        <w:spacing w:before="100" w:beforeAutospacing="1" w:after="240"/>
        <w:rPr>
          <w:sz w:val="24"/>
        </w:rPr>
      </w:pPr>
      <w:r w:rsidRPr="00950A2F">
        <w:rPr>
          <w:b/>
          <w:sz w:val="24"/>
          <w:u w:val="single"/>
        </w:rPr>
        <w:t xml:space="preserve">Final Rule in Docket </w:t>
      </w:r>
      <w:r w:rsidRPr="0027779E">
        <w:rPr>
          <w:b/>
          <w:sz w:val="24"/>
          <w:u w:val="single"/>
        </w:rPr>
        <w:t>RM96-1-041</w:t>
      </w:r>
      <w:r>
        <w:rPr>
          <w:b/>
          <w:sz w:val="24"/>
          <w:u w:val="single"/>
        </w:rPr>
        <w:t xml:space="preserve"> and </w:t>
      </w:r>
      <w:r w:rsidR="000E1368">
        <w:rPr>
          <w:b/>
          <w:sz w:val="24"/>
          <w:u w:val="single"/>
        </w:rPr>
        <w:t>FERC-549C</w:t>
      </w:r>
      <w:r w:rsidRPr="00950A2F">
        <w:rPr>
          <w:b/>
          <w:sz w:val="24"/>
          <w:u w:val="single"/>
        </w:rPr>
        <w:t xml:space="preserve"> </w:t>
      </w:r>
      <w:r>
        <w:rPr>
          <w:b/>
          <w:sz w:val="24"/>
          <w:u w:val="single"/>
        </w:rPr>
        <w:t>(renewal)</w:t>
      </w:r>
    </w:p>
    <w:p w14:paraId="0DDBEF9D" w14:textId="77777777" w:rsidR="00F8150C" w:rsidRDefault="00F8150C" w:rsidP="00F8150C">
      <w:pPr>
        <w:rPr>
          <w:sz w:val="24"/>
        </w:rPr>
      </w:pPr>
      <w:r w:rsidRPr="00F5428B">
        <w:rPr>
          <w:sz w:val="24"/>
        </w:rPr>
        <w:t>In previous rulemakings,</w:t>
      </w:r>
      <w:r w:rsidRPr="00F5428B">
        <w:rPr>
          <w:sz w:val="24"/>
          <w:vertAlign w:val="superscript"/>
        </w:rPr>
        <w:footnoteReference w:id="7"/>
      </w:r>
      <w:r w:rsidRPr="00F5428B">
        <w:rPr>
          <w:sz w:val="24"/>
        </w:rPr>
        <w:t xml:space="preserve"> the Commission implemented the capability and requirement for electronic filing of all tariff submissions.  FERC also improved the security of submitting those electronic filings and the pipelines’ on-line process of appointing and modifying agents with the authority to make a filing on the pipeline’s behalf (providing filing companies with greater control over the agents eligible to make specific types of filings on their behalf).</w:t>
      </w:r>
    </w:p>
    <w:p w14:paraId="7E08B8ED" w14:textId="77777777" w:rsidR="000E1368" w:rsidRDefault="000E1368" w:rsidP="00F8150C">
      <w:pPr>
        <w:rPr>
          <w:sz w:val="24"/>
        </w:rPr>
      </w:pPr>
    </w:p>
    <w:p w14:paraId="594C06F6" w14:textId="77777777" w:rsidR="000E1368" w:rsidRPr="00996F08" w:rsidRDefault="000E1368" w:rsidP="000E1368">
      <w:pPr>
        <w:tabs>
          <w:tab w:val="num" w:pos="0"/>
        </w:tabs>
        <w:spacing w:before="100" w:beforeAutospacing="1" w:after="240"/>
        <w:rPr>
          <w:sz w:val="24"/>
          <w:u w:val="single"/>
        </w:rPr>
      </w:pPr>
      <w:r w:rsidRPr="00996F08">
        <w:rPr>
          <w:b/>
          <w:sz w:val="24"/>
          <w:u w:val="single"/>
        </w:rPr>
        <w:t>FERC-549C (renewal)</w:t>
      </w:r>
      <w:r w:rsidRPr="00996F08">
        <w:rPr>
          <w:sz w:val="24"/>
          <w:u w:val="single"/>
        </w:rPr>
        <w:t xml:space="preserve"> </w:t>
      </w:r>
    </w:p>
    <w:p w14:paraId="4984098A" w14:textId="2EAB850A" w:rsidR="00C4337B" w:rsidRPr="000E1368" w:rsidRDefault="000E1368" w:rsidP="000E1368">
      <w:pPr>
        <w:tabs>
          <w:tab w:val="num" w:pos="0"/>
        </w:tabs>
        <w:spacing w:before="100" w:beforeAutospacing="1" w:after="240"/>
        <w:rPr>
          <w:b/>
          <w:bCs/>
          <w:sz w:val="24"/>
        </w:rPr>
      </w:pPr>
      <w:r w:rsidRPr="00F5428B">
        <w:rPr>
          <w:sz w:val="24"/>
        </w:rPr>
        <w:t>The information resulting from the FERC-549C data requirements will not be filed at FERC.  Instead it will be posted on the pipelines’ Internet websites, provided to third parties, or retained by the pipeline.  The Internet and current software allow easy access and use of data on the pipelines’ Internet websites and for the transmittal of information to users.</w:t>
      </w:r>
    </w:p>
    <w:p w14:paraId="696ED31D" w14:textId="77777777" w:rsidR="00BC15BE" w:rsidRPr="00F5428B" w:rsidRDefault="00BC15BE" w:rsidP="00BC15BE">
      <w:pPr>
        <w:pStyle w:val="Level1"/>
        <w:widowControl/>
        <w:tabs>
          <w:tab w:val="left" w:pos="-1440"/>
          <w:tab w:val="num" w:pos="720"/>
        </w:tabs>
        <w:rPr>
          <w:b/>
        </w:rPr>
      </w:pPr>
      <w:r w:rsidRPr="00F5428B">
        <w:rPr>
          <w:b/>
        </w:rPr>
        <w:t>DESCRIBE EFFORTS TO IDENTIFY DUPLICATION AND SHOW SPECIFICALLY WHY ANY SIMILAR INFORMATION ALREADY AVAILABLE CANNOT BE USED OR MODIFIED FOR USE FOR THE PURPOSE(S) DESCRIBED IN INSTRUCTION NO. 2.</w:t>
      </w:r>
    </w:p>
    <w:p w14:paraId="5BA5F386" w14:textId="6D3394EC" w:rsidR="00C4337B" w:rsidRDefault="00950A2F" w:rsidP="00F8150C">
      <w:pPr>
        <w:tabs>
          <w:tab w:val="num" w:pos="0"/>
        </w:tabs>
        <w:spacing w:before="100" w:beforeAutospacing="1" w:after="240"/>
        <w:rPr>
          <w:sz w:val="24"/>
        </w:rPr>
      </w:pPr>
      <w:r w:rsidRPr="00950A2F">
        <w:rPr>
          <w:b/>
          <w:sz w:val="24"/>
          <w:u w:val="single"/>
        </w:rPr>
        <w:t xml:space="preserve">Final Rule in Docket </w:t>
      </w:r>
      <w:r w:rsidRPr="0027779E">
        <w:rPr>
          <w:b/>
          <w:sz w:val="24"/>
          <w:u w:val="single"/>
        </w:rPr>
        <w:t>RM96-1-041</w:t>
      </w:r>
      <w:r w:rsidR="00966D03">
        <w:rPr>
          <w:b/>
          <w:sz w:val="24"/>
          <w:u w:val="single"/>
        </w:rPr>
        <w:t xml:space="preserve"> and </w:t>
      </w:r>
      <w:r w:rsidR="005F5E7C">
        <w:rPr>
          <w:b/>
          <w:sz w:val="24"/>
          <w:u w:val="single"/>
        </w:rPr>
        <w:t>FERC-549C</w:t>
      </w:r>
      <w:r w:rsidR="00F8150C" w:rsidRPr="00950A2F">
        <w:rPr>
          <w:b/>
          <w:sz w:val="24"/>
          <w:u w:val="single"/>
        </w:rPr>
        <w:t xml:space="preserve"> </w:t>
      </w:r>
      <w:r w:rsidR="005703D3">
        <w:rPr>
          <w:b/>
          <w:sz w:val="24"/>
          <w:u w:val="single"/>
        </w:rPr>
        <w:t>(renewal)</w:t>
      </w:r>
    </w:p>
    <w:p w14:paraId="087C3C6A" w14:textId="77777777" w:rsidR="00F8150C" w:rsidRPr="00F5428B" w:rsidRDefault="00F8150C" w:rsidP="00F8150C">
      <w:pPr>
        <w:tabs>
          <w:tab w:val="num" w:pos="0"/>
        </w:tabs>
        <w:spacing w:before="100" w:beforeAutospacing="1" w:after="240"/>
        <w:rPr>
          <w:sz w:val="24"/>
        </w:rPr>
      </w:pPr>
      <w:r w:rsidRPr="00F5428B">
        <w:rPr>
          <w:sz w:val="24"/>
        </w:rPr>
        <w:t xml:space="preserve">Commission filings and data requirements are periodically reviewed in conjunction with OMB clearance expiration dates.  This includes a review of the Commission’s regulations and data requirements to identify duplication.  No duplication of the information collection requirements has been found.  </w:t>
      </w:r>
    </w:p>
    <w:p w14:paraId="21267518" w14:textId="77777777" w:rsidR="00BC15BE" w:rsidRPr="00F5428B" w:rsidRDefault="00BC15BE" w:rsidP="00BC15BE">
      <w:pPr>
        <w:pStyle w:val="Level1"/>
        <w:widowControl/>
        <w:numPr>
          <w:ilvl w:val="0"/>
          <w:numId w:val="0"/>
        </w:numPr>
        <w:tabs>
          <w:tab w:val="left" w:pos="-1440"/>
        </w:tabs>
        <w:ind w:firstLine="720"/>
      </w:pPr>
    </w:p>
    <w:p w14:paraId="5B66D13D" w14:textId="77777777" w:rsidR="00BC15BE" w:rsidRPr="00F5428B" w:rsidRDefault="00BC15BE" w:rsidP="00BC15BE">
      <w:pPr>
        <w:pStyle w:val="Level1"/>
        <w:widowControl/>
        <w:tabs>
          <w:tab w:val="left" w:pos="-1440"/>
          <w:tab w:val="num" w:pos="720"/>
        </w:tabs>
        <w:rPr>
          <w:b/>
        </w:rPr>
      </w:pPr>
      <w:r w:rsidRPr="00F5428B">
        <w:rPr>
          <w:b/>
        </w:rPr>
        <w:t>METHODS USED TO MINIMIZE BURDEN IN COLLECTION OF INFORMATION INVOLVING SMALL ENTITIES</w:t>
      </w:r>
    </w:p>
    <w:p w14:paraId="127601DB" w14:textId="77777777" w:rsidR="00BC15BE" w:rsidRPr="00F5428B" w:rsidRDefault="00BC15BE" w:rsidP="00BC15BE">
      <w:pPr>
        <w:pStyle w:val="Level1"/>
        <w:widowControl/>
        <w:numPr>
          <w:ilvl w:val="0"/>
          <w:numId w:val="0"/>
        </w:numPr>
        <w:tabs>
          <w:tab w:val="left" w:pos="-1440"/>
        </w:tabs>
        <w:ind w:left="720" w:hanging="720"/>
      </w:pPr>
    </w:p>
    <w:p w14:paraId="5431E93A" w14:textId="77777777" w:rsidR="00950A2F" w:rsidRDefault="00950A2F" w:rsidP="00F8150C">
      <w:pPr>
        <w:rPr>
          <w:b/>
          <w:sz w:val="24"/>
          <w:u w:val="single"/>
        </w:rPr>
      </w:pPr>
      <w:r w:rsidRPr="00950A2F">
        <w:rPr>
          <w:b/>
          <w:sz w:val="24"/>
          <w:u w:val="single"/>
        </w:rPr>
        <w:t>Final Rule in Docket RM96-1-041</w:t>
      </w:r>
    </w:p>
    <w:p w14:paraId="19CD3887" w14:textId="77777777" w:rsidR="00966D03" w:rsidRDefault="00966D03" w:rsidP="00F8150C">
      <w:pPr>
        <w:rPr>
          <w:sz w:val="24"/>
        </w:rPr>
      </w:pPr>
    </w:p>
    <w:p w14:paraId="70FE6071" w14:textId="77777777" w:rsidR="00F8150C" w:rsidRPr="00F5428B" w:rsidRDefault="00F8150C" w:rsidP="00F8150C">
      <w:pPr>
        <w:rPr>
          <w:sz w:val="24"/>
        </w:rPr>
      </w:pPr>
      <w:r w:rsidRPr="00F5428B">
        <w:rPr>
          <w:sz w:val="24"/>
        </w:rPr>
        <w:t xml:space="preserve">The Small Business Administration's (SBA) Office of Size Standards develops the numerical definition of a small business as matched to North American Industry Classification System Codes (NAICS). </w:t>
      </w:r>
      <w:r w:rsidR="00402714">
        <w:rPr>
          <w:sz w:val="24"/>
        </w:rPr>
        <w:t xml:space="preserve"> </w:t>
      </w:r>
      <w:r w:rsidRPr="00F5428B">
        <w:rPr>
          <w:sz w:val="24"/>
        </w:rPr>
        <w:t>The SBA (in 13 CFR 121.101) has established a size standard for pipelines transporting natural gas, stating that a firm is a small entity if its annual receipts (including those of its affiliates) are $27.5 million or less.</w:t>
      </w:r>
      <w:r w:rsidRPr="00F5428B">
        <w:rPr>
          <w:rStyle w:val="FootnoteReference"/>
          <w:sz w:val="24"/>
          <w:szCs w:val="24"/>
        </w:rPr>
        <w:footnoteReference w:id="8"/>
      </w:r>
    </w:p>
    <w:p w14:paraId="69C6C13D" w14:textId="77777777" w:rsidR="00F8150C" w:rsidRPr="00F5428B" w:rsidRDefault="00F8150C" w:rsidP="00F8150C">
      <w:pPr>
        <w:ind w:firstLine="720"/>
        <w:rPr>
          <w:sz w:val="24"/>
        </w:rPr>
      </w:pPr>
    </w:p>
    <w:p w14:paraId="0FD13FEB" w14:textId="77777777" w:rsidR="005F5E7C" w:rsidRPr="00996F08" w:rsidRDefault="005F5E7C" w:rsidP="005F5E7C">
      <w:pPr>
        <w:tabs>
          <w:tab w:val="num" w:pos="0"/>
        </w:tabs>
        <w:spacing w:before="100" w:beforeAutospacing="1" w:after="240"/>
        <w:rPr>
          <w:b/>
          <w:sz w:val="24"/>
          <w:u w:val="single"/>
        </w:rPr>
      </w:pPr>
      <w:r w:rsidRPr="00996F08">
        <w:rPr>
          <w:b/>
          <w:sz w:val="24"/>
          <w:u w:val="single"/>
        </w:rPr>
        <w:t xml:space="preserve">FERC-549C (renewal) </w:t>
      </w:r>
    </w:p>
    <w:p w14:paraId="698DDACF" w14:textId="77777777" w:rsidR="005F5E7C" w:rsidRPr="00F5428B" w:rsidRDefault="005F5E7C" w:rsidP="005F5E7C">
      <w:pPr>
        <w:tabs>
          <w:tab w:val="num" w:pos="0"/>
        </w:tabs>
        <w:spacing w:before="100" w:beforeAutospacing="1" w:after="240"/>
        <w:rPr>
          <w:sz w:val="24"/>
        </w:rPr>
      </w:pPr>
      <w:r w:rsidRPr="00F5428B">
        <w:rPr>
          <w:sz w:val="24"/>
        </w:rPr>
        <w:t>The FERC-549C information collection will impact the proposed business standards, practices and procedures for the day-to-day operations of major and a few non-major natural gas companies.  These transactions would occur even without the standards, but the standards assure they are conducted in a standardized manner.  The business practice standards are designed to benefit all customers, including small businesses.  The Commission allows for extensions of time and for waivers of the business practice standards, when appropriate.  Such extensions or waivers are based on a pipeline’s individual circumstances, including the size of the pipeline.  For smaller pipelines, the Commission has granted waivers of some of the standards when such pipelines have shown that complying with such standards would prove unduly burdensome.</w:t>
      </w:r>
    </w:p>
    <w:p w14:paraId="1CB13102" w14:textId="77777777" w:rsidR="00BC15BE" w:rsidRPr="00F5428B" w:rsidRDefault="00BC15BE" w:rsidP="00BC15BE">
      <w:pPr>
        <w:pStyle w:val="FERCparanumber"/>
        <w:numPr>
          <w:ilvl w:val="0"/>
          <w:numId w:val="0"/>
        </w:numPr>
        <w:autoSpaceDE w:val="0"/>
        <w:autoSpaceDN w:val="0"/>
        <w:adjustRightInd w:val="0"/>
        <w:ind w:left="360"/>
        <w:rPr>
          <w:sz w:val="24"/>
        </w:rPr>
      </w:pPr>
    </w:p>
    <w:p w14:paraId="54B1E88D" w14:textId="77777777" w:rsidR="00BC15BE" w:rsidRPr="00F5428B" w:rsidRDefault="00BC15BE" w:rsidP="00BC15BE">
      <w:pPr>
        <w:pStyle w:val="Level1"/>
        <w:widowControl/>
        <w:tabs>
          <w:tab w:val="left" w:pos="-1440"/>
          <w:tab w:val="num" w:pos="720"/>
        </w:tabs>
        <w:rPr>
          <w:b/>
        </w:rPr>
      </w:pPr>
      <w:r w:rsidRPr="00F5428B">
        <w:rPr>
          <w:b/>
        </w:rPr>
        <w:t>CONSEQUENCE TO FEDERAL PROGRAM IF COLLECTION WERE CONDUCTED LESS FREQUENTLY</w:t>
      </w:r>
    </w:p>
    <w:p w14:paraId="4833465C" w14:textId="77777777" w:rsidR="00BC15BE" w:rsidRPr="00F5428B" w:rsidRDefault="00BC15BE" w:rsidP="00BC15BE">
      <w:pPr>
        <w:pStyle w:val="Level1"/>
        <w:widowControl/>
        <w:numPr>
          <w:ilvl w:val="0"/>
          <w:numId w:val="0"/>
        </w:numPr>
        <w:tabs>
          <w:tab w:val="left" w:pos="-1440"/>
          <w:tab w:val="num" w:pos="0"/>
        </w:tabs>
        <w:ind w:firstLine="720"/>
        <w:rPr>
          <w:b/>
        </w:rPr>
      </w:pPr>
    </w:p>
    <w:p w14:paraId="721F08CB" w14:textId="3EA0F056" w:rsidR="00950A2F" w:rsidRDefault="00950A2F" w:rsidP="00F8150C">
      <w:pPr>
        <w:tabs>
          <w:tab w:val="left" w:pos="0"/>
        </w:tabs>
        <w:rPr>
          <w:b/>
          <w:sz w:val="24"/>
          <w:u w:val="single"/>
        </w:rPr>
      </w:pPr>
      <w:r w:rsidRPr="00950A2F">
        <w:rPr>
          <w:b/>
          <w:sz w:val="24"/>
          <w:u w:val="single"/>
        </w:rPr>
        <w:t>Final Rule in Docket RM9</w:t>
      </w:r>
      <w:r w:rsidR="005F5E7C">
        <w:rPr>
          <w:b/>
          <w:sz w:val="24"/>
          <w:u w:val="single"/>
        </w:rPr>
        <w:t>6-1-041 and FERC-549C</w:t>
      </w:r>
      <w:r w:rsidR="00BD6B0B">
        <w:rPr>
          <w:b/>
          <w:sz w:val="24"/>
          <w:u w:val="single"/>
        </w:rPr>
        <w:t xml:space="preserve"> (renewal)</w:t>
      </w:r>
    </w:p>
    <w:p w14:paraId="2BA137A1" w14:textId="77777777" w:rsidR="001B1135" w:rsidRDefault="001B1135" w:rsidP="00F8150C">
      <w:pPr>
        <w:tabs>
          <w:tab w:val="left" w:pos="0"/>
        </w:tabs>
        <w:rPr>
          <w:sz w:val="24"/>
        </w:rPr>
      </w:pPr>
    </w:p>
    <w:p w14:paraId="62DFD3E8" w14:textId="77777777" w:rsidR="00F8150C" w:rsidRPr="00F5428B" w:rsidRDefault="00F8150C" w:rsidP="00F8150C">
      <w:pPr>
        <w:tabs>
          <w:tab w:val="left" w:pos="0"/>
        </w:tabs>
        <w:rPr>
          <w:sz w:val="24"/>
        </w:rPr>
      </w:pPr>
      <w:r w:rsidRPr="00F5428B">
        <w:rPr>
          <w:sz w:val="24"/>
        </w:rPr>
        <w:t xml:space="preserve">FERC-545 </w:t>
      </w:r>
      <w:r w:rsidR="00BD6B0B">
        <w:rPr>
          <w:sz w:val="24"/>
        </w:rPr>
        <w:t>is a one-time compliance filing</w:t>
      </w:r>
      <w:r w:rsidRPr="00F5428B">
        <w:rPr>
          <w:sz w:val="24"/>
        </w:rPr>
        <w:t xml:space="preserve">.  Failure to collect the information would prohibit </w:t>
      </w:r>
      <w:r w:rsidR="001B1135">
        <w:rPr>
          <w:sz w:val="24"/>
        </w:rPr>
        <w:t>the Commission</w:t>
      </w:r>
      <w:r w:rsidR="001B1135" w:rsidRPr="00F5428B">
        <w:rPr>
          <w:sz w:val="24"/>
        </w:rPr>
        <w:t xml:space="preserve"> </w:t>
      </w:r>
      <w:r w:rsidRPr="00F5428B">
        <w:rPr>
          <w:sz w:val="24"/>
        </w:rPr>
        <w:t xml:space="preserve">from properly monitoring and evaluating pipeline transactions and meeting statutory obligations under </w:t>
      </w:r>
      <w:r w:rsidR="001B1135">
        <w:rPr>
          <w:sz w:val="24"/>
        </w:rPr>
        <w:t xml:space="preserve">the </w:t>
      </w:r>
      <w:r w:rsidRPr="00F5428B">
        <w:rPr>
          <w:sz w:val="24"/>
        </w:rPr>
        <w:t>NGPA and NGA.</w:t>
      </w:r>
    </w:p>
    <w:p w14:paraId="3FD162DE" w14:textId="77777777" w:rsidR="00BC15BE" w:rsidRPr="00F5428B" w:rsidRDefault="00BC15BE" w:rsidP="00BC15BE">
      <w:pPr>
        <w:pStyle w:val="Level1"/>
        <w:widowControl/>
        <w:numPr>
          <w:ilvl w:val="0"/>
          <w:numId w:val="0"/>
        </w:numPr>
        <w:tabs>
          <w:tab w:val="left" w:pos="-1440"/>
        </w:tabs>
      </w:pPr>
    </w:p>
    <w:p w14:paraId="5ECAB497" w14:textId="77777777" w:rsidR="00BC15BE" w:rsidRPr="00F5428B" w:rsidRDefault="00BC15BE" w:rsidP="00BC15BE">
      <w:pPr>
        <w:pStyle w:val="Level1"/>
        <w:widowControl/>
        <w:tabs>
          <w:tab w:val="left" w:pos="-1440"/>
          <w:tab w:val="num" w:pos="720"/>
        </w:tabs>
        <w:rPr>
          <w:b/>
        </w:rPr>
      </w:pPr>
      <w:r w:rsidRPr="00F5428B">
        <w:rPr>
          <w:b/>
        </w:rPr>
        <w:t>EXPLAIN ANY SPECIAL CIRCUMSTANCES RELATING TO THE INFORMATION COLLECTION</w:t>
      </w:r>
    </w:p>
    <w:p w14:paraId="217EEBCF" w14:textId="77777777" w:rsidR="00BC15BE" w:rsidRPr="00F5428B" w:rsidRDefault="00BC15BE" w:rsidP="00BC15BE">
      <w:pPr>
        <w:pStyle w:val="Level1"/>
        <w:numPr>
          <w:ilvl w:val="0"/>
          <w:numId w:val="0"/>
        </w:numPr>
      </w:pPr>
    </w:p>
    <w:p w14:paraId="1D292DB5" w14:textId="7B204997" w:rsidR="00950A2F" w:rsidRDefault="00950A2F" w:rsidP="00BC15BE">
      <w:pPr>
        <w:pStyle w:val="Level1"/>
        <w:numPr>
          <w:ilvl w:val="0"/>
          <w:numId w:val="0"/>
        </w:numPr>
        <w:rPr>
          <w:b/>
          <w:u w:val="single"/>
        </w:rPr>
      </w:pPr>
      <w:r w:rsidRPr="00950A2F">
        <w:rPr>
          <w:b/>
          <w:u w:val="single"/>
        </w:rPr>
        <w:t>F</w:t>
      </w:r>
      <w:r w:rsidR="006B7EB4">
        <w:rPr>
          <w:b/>
          <w:u w:val="single"/>
        </w:rPr>
        <w:t>inal Rule i</w:t>
      </w:r>
      <w:r w:rsidR="005F5E7C">
        <w:rPr>
          <w:b/>
          <w:u w:val="single"/>
        </w:rPr>
        <w:t>n Docket RM96-1-041 and FERC-549C</w:t>
      </w:r>
      <w:r w:rsidR="007973BC">
        <w:rPr>
          <w:b/>
          <w:u w:val="single"/>
        </w:rPr>
        <w:t xml:space="preserve"> (renewal)</w:t>
      </w:r>
    </w:p>
    <w:p w14:paraId="4FCB337F" w14:textId="77777777" w:rsidR="00B3074E" w:rsidRDefault="00B3074E" w:rsidP="00BC15BE">
      <w:pPr>
        <w:pStyle w:val="Level1"/>
        <w:numPr>
          <w:ilvl w:val="0"/>
          <w:numId w:val="0"/>
        </w:numPr>
      </w:pPr>
    </w:p>
    <w:p w14:paraId="41837890" w14:textId="553D4DB2" w:rsidR="00F8150C" w:rsidRPr="00F5428B" w:rsidRDefault="005F5E7C" w:rsidP="00BC15BE">
      <w:pPr>
        <w:pStyle w:val="Level1"/>
        <w:numPr>
          <w:ilvl w:val="0"/>
          <w:numId w:val="0"/>
        </w:numPr>
      </w:pPr>
      <w:r>
        <w:t>The FERC-549C</w:t>
      </w:r>
      <w:r w:rsidR="00BD6B0B">
        <w:t xml:space="preserve"> </w:t>
      </w:r>
      <w:r w:rsidR="00F8150C" w:rsidRPr="00F5428B">
        <w:t>present</w:t>
      </w:r>
      <w:r w:rsidR="00BD6B0B">
        <w:t>s</w:t>
      </w:r>
      <w:r w:rsidR="00F8150C" w:rsidRPr="00F5428B">
        <w:t xml:space="preserve"> no special circumstances.</w:t>
      </w:r>
    </w:p>
    <w:p w14:paraId="6BB4F597" w14:textId="77777777" w:rsidR="00F45B52" w:rsidRPr="00F5428B" w:rsidRDefault="00F45B52" w:rsidP="00BC15BE">
      <w:pPr>
        <w:pStyle w:val="Level1"/>
        <w:numPr>
          <w:ilvl w:val="0"/>
          <w:numId w:val="0"/>
        </w:numPr>
      </w:pPr>
    </w:p>
    <w:p w14:paraId="183E946C" w14:textId="77777777" w:rsidR="00BC15BE" w:rsidRPr="00F5428B" w:rsidRDefault="00BC15BE" w:rsidP="00BC15BE">
      <w:pPr>
        <w:pStyle w:val="Level1"/>
        <w:widowControl/>
        <w:tabs>
          <w:tab w:val="left" w:pos="-1440"/>
          <w:tab w:val="num" w:pos="720"/>
        </w:tabs>
        <w:rPr>
          <w:b/>
        </w:rPr>
      </w:pPr>
      <w:r w:rsidRPr="00F5428B">
        <w:rPr>
          <w:b/>
        </w:rPr>
        <w:t>DESCRIBE EFFORTS TO CONSULT OUTSIDE THE AGENCY: SUMMARIZE PUBLIC COMMENTS AND AGENCY'S RESPONSE TO THESE COMMENTS</w:t>
      </w:r>
    </w:p>
    <w:p w14:paraId="33D0C2BC" w14:textId="77777777" w:rsidR="00BC15BE" w:rsidRPr="00F5428B" w:rsidRDefault="00BC15BE" w:rsidP="00BC15BE">
      <w:pPr>
        <w:tabs>
          <w:tab w:val="left" w:pos="-1440"/>
        </w:tabs>
        <w:rPr>
          <w:b/>
          <w:sz w:val="24"/>
        </w:rPr>
      </w:pPr>
    </w:p>
    <w:p w14:paraId="6ACB756B" w14:textId="77777777" w:rsidR="00E57C05" w:rsidRDefault="00E57C05" w:rsidP="00A5298F">
      <w:pPr>
        <w:rPr>
          <w:b/>
          <w:sz w:val="24"/>
          <w:u w:val="single"/>
        </w:rPr>
      </w:pPr>
      <w:r w:rsidRPr="00950A2F">
        <w:rPr>
          <w:b/>
          <w:sz w:val="24"/>
          <w:u w:val="single"/>
        </w:rPr>
        <w:t>Final Rule in Docket RM9</w:t>
      </w:r>
      <w:r w:rsidR="006B7EB4">
        <w:rPr>
          <w:b/>
          <w:sz w:val="24"/>
          <w:u w:val="single"/>
        </w:rPr>
        <w:t>6-1-041 and FERC-545</w:t>
      </w:r>
      <w:r w:rsidR="00786B8A">
        <w:rPr>
          <w:b/>
          <w:sz w:val="24"/>
          <w:u w:val="single"/>
        </w:rPr>
        <w:t xml:space="preserve"> (renewal)</w:t>
      </w:r>
    </w:p>
    <w:p w14:paraId="1A6482E2" w14:textId="77777777" w:rsidR="00786B8A" w:rsidRDefault="00786B8A" w:rsidP="00A5298F">
      <w:pPr>
        <w:rPr>
          <w:sz w:val="24"/>
        </w:rPr>
      </w:pPr>
    </w:p>
    <w:p w14:paraId="07EB852F" w14:textId="29CF7630" w:rsidR="009C523A" w:rsidRDefault="009C523A" w:rsidP="009C523A">
      <w:pPr>
        <w:rPr>
          <w:sz w:val="24"/>
        </w:rPr>
      </w:pPr>
      <w:r w:rsidRPr="00F5428B">
        <w:rPr>
          <w:sz w:val="24"/>
        </w:rPr>
        <w:t>The Commission</w:t>
      </w:r>
      <w:r>
        <w:rPr>
          <w:sz w:val="24"/>
        </w:rPr>
        <w:t>’</w:t>
      </w:r>
      <w:r w:rsidRPr="00F5428B">
        <w:rPr>
          <w:sz w:val="24"/>
        </w:rPr>
        <w:t>s outside consultation was in the form of a notice of proposed rulemaking (NOPR)</w:t>
      </w:r>
      <w:r>
        <w:rPr>
          <w:rStyle w:val="FootnoteReference"/>
        </w:rPr>
        <w:footnoteReference w:id="9"/>
      </w:r>
      <w:r w:rsidRPr="00F5428B">
        <w:rPr>
          <w:sz w:val="24"/>
        </w:rPr>
        <w:t xml:space="preserve"> that included the Commission’s best estimate of the burden imposed by compliance with the requirements proposed in the NOPR, as well as the availability of waivers, where requested and appropriate.  Interested persons were notified through publication in the Federal Register that they could file comments on the proposals in the NOPR, including the burden estimate.  In addition, potential commenters were specifically informed that they could file comments on the proposed collection of information and associated burden dir</w:t>
      </w:r>
      <w:r w:rsidR="00330F8C">
        <w:rPr>
          <w:sz w:val="24"/>
        </w:rPr>
        <w:t>ectly with OMB.  There were two</w:t>
      </w:r>
      <w:r w:rsidRPr="00F5428B">
        <w:rPr>
          <w:sz w:val="24"/>
        </w:rPr>
        <w:t xml:space="preserve"> comments filed with the Commission in response to the NOPR.  All were generally supportive of the Commission’s proposals and raised no concerns about the burden estimate in the NOPR.  </w:t>
      </w:r>
      <w:r>
        <w:rPr>
          <w:sz w:val="24"/>
        </w:rPr>
        <w:t xml:space="preserve">There were also no </w:t>
      </w:r>
      <w:r w:rsidRPr="00F5428B">
        <w:rPr>
          <w:sz w:val="24"/>
        </w:rPr>
        <w:t>concerns about the burden estimate filed with OMB.  Accordingly, the Commission used the same estimate in its Final Rule.</w:t>
      </w:r>
      <w:r>
        <w:rPr>
          <w:rStyle w:val="FootnoteReference"/>
        </w:rPr>
        <w:footnoteReference w:id="10"/>
      </w:r>
    </w:p>
    <w:p w14:paraId="01E98F39" w14:textId="264C79D8" w:rsidR="00131212" w:rsidRPr="00F5428B" w:rsidRDefault="00131212" w:rsidP="009C523A">
      <w:pPr>
        <w:rPr>
          <w:sz w:val="24"/>
        </w:rPr>
      </w:pPr>
      <w:r>
        <w:rPr>
          <w:sz w:val="24"/>
        </w:rPr>
        <w:t>The Commission also issued a 60-day public notice</w:t>
      </w:r>
      <w:r>
        <w:rPr>
          <w:rStyle w:val="FootnoteReference"/>
        </w:rPr>
        <w:footnoteReference w:id="11"/>
      </w:r>
      <w:r>
        <w:rPr>
          <w:sz w:val="24"/>
        </w:rPr>
        <w:t xml:space="preserve"> and a 30-day public notice</w:t>
      </w:r>
      <w:r>
        <w:rPr>
          <w:rStyle w:val="FootnoteReference"/>
        </w:rPr>
        <w:footnoteReference w:id="12"/>
      </w:r>
      <w:r>
        <w:rPr>
          <w:sz w:val="24"/>
        </w:rPr>
        <w:t xml:space="preserve"> concerning the renewal of currently </w:t>
      </w:r>
      <w:r w:rsidR="00330F8C">
        <w:rPr>
          <w:sz w:val="24"/>
        </w:rPr>
        <w:t>approved burden for the FERC-549C</w:t>
      </w:r>
      <w:r>
        <w:rPr>
          <w:sz w:val="24"/>
        </w:rPr>
        <w:t xml:space="preserve"> information collection.  No comments were received from the public in response to either of those notices.</w:t>
      </w:r>
    </w:p>
    <w:p w14:paraId="517D2728" w14:textId="77777777" w:rsidR="00A5298F" w:rsidRPr="00F5428B" w:rsidRDefault="00A5298F" w:rsidP="00BC15BE">
      <w:pPr>
        <w:tabs>
          <w:tab w:val="left" w:pos="-1440"/>
        </w:tabs>
        <w:rPr>
          <w:b/>
          <w:sz w:val="24"/>
        </w:rPr>
      </w:pPr>
    </w:p>
    <w:p w14:paraId="49541C65" w14:textId="77777777" w:rsidR="00BC15BE" w:rsidRPr="00F5428B" w:rsidRDefault="00BC15BE" w:rsidP="00BC15BE">
      <w:pPr>
        <w:rPr>
          <w:b/>
          <w:sz w:val="24"/>
        </w:rPr>
      </w:pPr>
      <w:r w:rsidRPr="00F5428B">
        <w:rPr>
          <w:bCs/>
          <w:sz w:val="24"/>
        </w:rPr>
        <w:t>9.</w:t>
      </w:r>
      <w:r w:rsidRPr="00F5428B">
        <w:rPr>
          <w:bCs/>
          <w:sz w:val="24"/>
        </w:rPr>
        <w:tab/>
      </w:r>
      <w:r w:rsidRPr="00F5428B">
        <w:rPr>
          <w:b/>
          <w:sz w:val="24"/>
        </w:rPr>
        <w:t>EXPLAIN ANY PAYMENT OR GIFTS TO RESPONDENTS</w:t>
      </w:r>
    </w:p>
    <w:p w14:paraId="3AD239FD" w14:textId="77777777" w:rsidR="00BC15BE" w:rsidRPr="00F5428B" w:rsidRDefault="00BC15BE" w:rsidP="00BC15BE">
      <w:pPr>
        <w:rPr>
          <w:b/>
          <w:sz w:val="24"/>
        </w:rPr>
      </w:pPr>
    </w:p>
    <w:p w14:paraId="2E077CF2" w14:textId="7A873F35" w:rsidR="00074EFD" w:rsidRDefault="00074EFD" w:rsidP="00BC15BE">
      <w:pPr>
        <w:rPr>
          <w:sz w:val="24"/>
        </w:rPr>
      </w:pPr>
      <w:r w:rsidRPr="00950A2F">
        <w:rPr>
          <w:b/>
          <w:sz w:val="24"/>
          <w:u w:val="single"/>
        </w:rPr>
        <w:t>F</w:t>
      </w:r>
      <w:r w:rsidR="00F86954">
        <w:rPr>
          <w:b/>
          <w:sz w:val="24"/>
          <w:u w:val="single"/>
        </w:rPr>
        <w:t xml:space="preserve">inal Rule in Docket RM96-1-041 and </w:t>
      </w:r>
      <w:r w:rsidR="009C523A">
        <w:rPr>
          <w:b/>
          <w:sz w:val="24"/>
          <w:u w:val="single"/>
        </w:rPr>
        <w:t>FERC-549C</w:t>
      </w:r>
      <w:r w:rsidR="00B33E93">
        <w:rPr>
          <w:b/>
          <w:sz w:val="24"/>
          <w:u w:val="single"/>
        </w:rPr>
        <w:t xml:space="preserve"> (renewal)</w:t>
      </w:r>
      <w:r w:rsidRPr="00F5428B">
        <w:rPr>
          <w:sz w:val="24"/>
        </w:rPr>
        <w:t xml:space="preserve"> </w:t>
      </w:r>
    </w:p>
    <w:p w14:paraId="7051282D" w14:textId="77777777" w:rsidR="002F39BD" w:rsidRDefault="002F39BD" w:rsidP="00BC15BE">
      <w:pPr>
        <w:rPr>
          <w:sz w:val="24"/>
        </w:rPr>
      </w:pPr>
    </w:p>
    <w:p w14:paraId="747F4580" w14:textId="59FD723A" w:rsidR="00BC15BE" w:rsidRPr="00F5428B" w:rsidRDefault="00BC15BE" w:rsidP="00BC15BE">
      <w:pPr>
        <w:rPr>
          <w:sz w:val="24"/>
        </w:rPr>
      </w:pPr>
      <w:r w:rsidRPr="00F5428B">
        <w:rPr>
          <w:sz w:val="24"/>
        </w:rPr>
        <w:t>There are no payments or gifts</w:t>
      </w:r>
      <w:r w:rsidR="000326C9">
        <w:rPr>
          <w:sz w:val="24"/>
        </w:rPr>
        <w:t xml:space="preserve"> made or given </w:t>
      </w:r>
      <w:r w:rsidRPr="00F5428B">
        <w:rPr>
          <w:sz w:val="24"/>
        </w:rPr>
        <w:t xml:space="preserve">to respondents associated with </w:t>
      </w:r>
      <w:r w:rsidR="009C523A">
        <w:rPr>
          <w:sz w:val="24"/>
        </w:rPr>
        <w:t>collections FERC-549C</w:t>
      </w:r>
      <w:r w:rsidR="006512E7">
        <w:rPr>
          <w:sz w:val="24"/>
        </w:rPr>
        <w:t xml:space="preserve"> and the Final Rule.</w:t>
      </w:r>
    </w:p>
    <w:p w14:paraId="519A22C7" w14:textId="77777777" w:rsidR="00BC15BE" w:rsidRPr="00F5428B" w:rsidRDefault="00BC15BE" w:rsidP="00BC15BE">
      <w:pPr>
        <w:ind w:left="720" w:hanging="720"/>
        <w:rPr>
          <w:b/>
          <w:bCs/>
          <w:sz w:val="24"/>
        </w:rPr>
      </w:pPr>
    </w:p>
    <w:p w14:paraId="2135200F" w14:textId="77777777" w:rsidR="00BC15BE" w:rsidRPr="00F5428B" w:rsidRDefault="00BC15BE" w:rsidP="00BC15BE">
      <w:pPr>
        <w:ind w:left="720" w:hanging="720"/>
        <w:rPr>
          <w:b/>
          <w:sz w:val="24"/>
        </w:rPr>
      </w:pPr>
      <w:r w:rsidRPr="00F5428B">
        <w:rPr>
          <w:bCs/>
          <w:sz w:val="24"/>
        </w:rPr>
        <w:t>1</w:t>
      </w:r>
      <w:r w:rsidRPr="00F5428B">
        <w:rPr>
          <w:sz w:val="24"/>
        </w:rPr>
        <w:t>0.</w:t>
      </w:r>
      <w:r w:rsidRPr="00F5428B">
        <w:rPr>
          <w:sz w:val="24"/>
        </w:rPr>
        <w:tab/>
      </w:r>
      <w:r w:rsidRPr="00F5428B">
        <w:rPr>
          <w:b/>
          <w:sz w:val="24"/>
        </w:rPr>
        <w:t>DESCRIBE ANY ASSURANCE OF CONFIDENTIALITY PROVIDED TO RESPONDENTS</w:t>
      </w:r>
    </w:p>
    <w:p w14:paraId="0E1BAB48" w14:textId="77777777" w:rsidR="00BC15BE" w:rsidRPr="00F5428B" w:rsidRDefault="00BC15BE" w:rsidP="00BC15BE">
      <w:pPr>
        <w:rPr>
          <w:sz w:val="24"/>
        </w:rPr>
      </w:pPr>
    </w:p>
    <w:p w14:paraId="568695BD" w14:textId="6891DF45" w:rsidR="00074EFD" w:rsidRDefault="00074EFD" w:rsidP="00BC15BE">
      <w:pPr>
        <w:rPr>
          <w:b/>
          <w:sz w:val="24"/>
          <w:u w:val="single"/>
        </w:rPr>
      </w:pPr>
      <w:r w:rsidRPr="00950A2F">
        <w:rPr>
          <w:b/>
          <w:sz w:val="24"/>
          <w:u w:val="single"/>
        </w:rPr>
        <w:t>F</w:t>
      </w:r>
      <w:r w:rsidR="00F86954">
        <w:rPr>
          <w:b/>
          <w:sz w:val="24"/>
          <w:u w:val="single"/>
        </w:rPr>
        <w:t>inal Rule i</w:t>
      </w:r>
      <w:r w:rsidR="009C523A">
        <w:rPr>
          <w:b/>
          <w:sz w:val="24"/>
          <w:u w:val="single"/>
        </w:rPr>
        <w:t>n Docket RM96-1-041 and FERC-549C</w:t>
      </w:r>
      <w:r w:rsidR="00CE4075">
        <w:rPr>
          <w:b/>
          <w:sz w:val="24"/>
          <w:u w:val="single"/>
        </w:rPr>
        <w:t xml:space="preserve"> (renewal)</w:t>
      </w:r>
    </w:p>
    <w:p w14:paraId="042B506D" w14:textId="77777777" w:rsidR="00CE4075" w:rsidRDefault="00CE4075" w:rsidP="00BC15BE">
      <w:pPr>
        <w:rPr>
          <w:sz w:val="24"/>
        </w:rPr>
      </w:pPr>
    </w:p>
    <w:p w14:paraId="0CB91422" w14:textId="13BB7C5E" w:rsidR="00BC15BE" w:rsidRPr="00F5428B" w:rsidRDefault="00C95983" w:rsidP="00BC15BE">
      <w:pPr>
        <w:rPr>
          <w:sz w:val="24"/>
        </w:rPr>
      </w:pPr>
      <w:r>
        <w:rPr>
          <w:sz w:val="24"/>
        </w:rPr>
        <w:t>T</w:t>
      </w:r>
      <w:r w:rsidR="009C523A">
        <w:rPr>
          <w:sz w:val="24"/>
        </w:rPr>
        <w:t>he FERC-549C</w:t>
      </w:r>
      <w:r w:rsidR="00F8150C" w:rsidRPr="00F5428B">
        <w:rPr>
          <w:sz w:val="24"/>
        </w:rPr>
        <w:t xml:space="preserve"> data is public.  In general, for all submittals to the Commission, filers may submit specific requests for confidential treatment to the extent permitted by law; details are available in 18 C.F.R. Section 388.112.</w:t>
      </w:r>
    </w:p>
    <w:p w14:paraId="3346081C" w14:textId="77777777" w:rsidR="00F8150C" w:rsidRPr="00F5428B" w:rsidRDefault="00F8150C" w:rsidP="00BC15BE">
      <w:pPr>
        <w:rPr>
          <w:sz w:val="24"/>
        </w:rPr>
      </w:pPr>
    </w:p>
    <w:p w14:paraId="20B1F703" w14:textId="77777777" w:rsidR="00BC15BE" w:rsidRPr="00F5428B" w:rsidRDefault="00BC15BE" w:rsidP="00BC15BE">
      <w:pPr>
        <w:pStyle w:val="Level1"/>
        <w:numPr>
          <w:ilvl w:val="0"/>
          <w:numId w:val="3"/>
        </w:numPr>
        <w:rPr>
          <w:b/>
        </w:rPr>
      </w:pPr>
      <w:r w:rsidRPr="00F5428B">
        <w:rPr>
          <w:b/>
        </w:rPr>
        <w:t>PROVIDE ADDITIONAL JUSTIFICATION FOR ANY QUESTIONS OF A SENSITIVE NATURE, SUCH AS SEXUAL BEHAVIOR AND ATTITUDES, RELIGIOUS BELIEFS, AND OTHER MATTERS THAT ARE COMMONLY CONSIDERED PRIVATE.</w:t>
      </w:r>
    </w:p>
    <w:p w14:paraId="665DE396" w14:textId="77777777" w:rsidR="00BC15BE" w:rsidRPr="00F5428B" w:rsidRDefault="00BC15BE" w:rsidP="00BC15BE">
      <w:pPr>
        <w:rPr>
          <w:sz w:val="24"/>
        </w:rPr>
      </w:pPr>
    </w:p>
    <w:p w14:paraId="3AF0E5DB" w14:textId="1947FFE1" w:rsidR="00074EFD" w:rsidRDefault="00074EFD" w:rsidP="00BC15BE">
      <w:pPr>
        <w:rPr>
          <w:b/>
          <w:sz w:val="24"/>
          <w:u w:val="single"/>
        </w:rPr>
      </w:pPr>
      <w:r w:rsidRPr="00950A2F">
        <w:rPr>
          <w:b/>
          <w:sz w:val="24"/>
          <w:u w:val="single"/>
        </w:rPr>
        <w:t>F</w:t>
      </w:r>
      <w:r w:rsidR="00F86954">
        <w:rPr>
          <w:b/>
          <w:sz w:val="24"/>
          <w:u w:val="single"/>
        </w:rPr>
        <w:t>inal Rule i</w:t>
      </w:r>
      <w:r w:rsidR="009C523A">
        <w:rPr>
          <w:b/>
          <w:sz w:val="24"/>
          <w:u w:val="single"/>
        </w:rPr>
        <w:t>n Docket RM96-1-041 and FERC-549C</w:t>
      </w:r>
      <w:r w:rsidR="00A17430">
        <w:rPr>
          <w:b/>
          <w:sz w:val="24"/>
          <w:u w:val="single"/>
        </w:rPr>
        <w:t xml:space="preserve"> (renewal)</w:t>
      </w:r>
    </w:p>
    <w:p w14:paraId="46AEDFC5" w14:textId="77777777" w:rsidR="00A17430" w:rsidRDefault="00A17430" w:rsidP="00BC15BE">
      <w:pPr>
        <w:rPr>
          <w:sz w:val="24"/>
        </w:rPr>
      </w:pPr>
    </w:p>
    <w:p w14:paraId="3DCB60E8" w14:textId="77777777" w:rsidR="00BC15BE" w:rsidRPr="00F5428B" w:rsidRDefault="00BC15BE" w:rsidP="00BC15BE">
      <w:pPr>
        <w:rPr>
          <w:sz w:val="24"/>
        </w:rPr>
      </w:pPr>
      <w:r w:rsidRPr="00F5428B">
        <w:rPr>
          <w:sz w:val="24"/>
        </w:rPr>
        <w:t>There are no questions of a sensitive nature in the reporting requirements.</w:t>
      </w:r>
    </w:p>
    <w:p w14:paraId="3E51840A" w14:textId="77777777" w:rsidR="00BC15BE" w:rsidRPr="00F5428B" w:rsidRDefault="00BC15BE" w:rsidP="00BC15BE">
      <w:pPr>
        <w:rPr>
          <w:sz w:val="24"/>
        </w:rPr>
      </w:pPr>
    </w:p>
    <w:p w14:paraId="584352B7" w14:textId="77777777" w:rsidR="00BC15BE" w:rsidRPr="00F5428B" w:rsidRDefault="00BC15BE" w:rsidP="00BC15BE">
      <w:pPr>
        <w:pStyle w:val="Level1"/>
        <w:rPr>
          <w:b/>
        </w:rPr>
      </w:pPr>
      <w:r w:rsidRPr="00F5428B">
        <w:rPr>
          <w:b/>
        </w:rPr>
        <w:t>ESTIMATED BURDEN OF COLLECTION OF INFORMATION</w:t>
      </w:r>
    </w:p>
    <w:p w14:paraId="29C92394" w14:textId="77777777" w:rsidR="00BC15BE" w:rsidRPr="00F5428B" w:rsidRDefault="00BC15BE" w:rsidP="00BC15BE">
      <w:pPr>
        <w:rPr>
          <w:sz w:val="24"/>
        </w:rPr>
      </w:pPr>
    </w:p>
    <w:p w14:paraId="2466AA3A" w14:textId="77777777" w:rsidR="005409EE" w:rsidRDefault="005409EE" w:rsidP="00F8150C">
      <w:pPr>
        <w:pStyle w:val="FERCparanumber"/>
        <w:numPr>
          <w:ilvl w:val="0"/>
          <w:numId w:val="0"/>
        </w:numPr>
        <w:rPr>
          <w:b/>
          <w:sz w:val="24"/>
          <w:u w:val="single"/>
        </w:rPr>
      </w:pPr>
      <w:r w:rsidRPr="00950A2F">
        <w:rPr>
          <w:b/>
          <w:sz w:val="24"/>
          <w:u w:val="single"/>
        </w:rPr>
        <w:t>Final Rule in Docket RM96-1-041</w:t>
      </w:r>
    </w:p>
    <w:p w14:paraId="119D3529" w14:textId="77777777" w:rsidR="00EF3830" w:rsidRDefault="00EF3830" w:rsidP="00F8150C">
      <w:pPr>
        <w:pStyle w:val="FERCparanumber"/>
        <w:numPr>
          <w:ilvl w:val="0"/>
          <w:numId w:val="0"/>
        </w:numPr>
        <w:rPr>
          <w:b/>
          <w:sz w:val="24"/>
          <w:u w:val="single"/>
        </w:rPr>
      </w:pPr>
    </w:p>
    <w:p w14:paraId="570D2150" w14:textId="77777777" w:rsidR="00F8150C" w:rsidRPr="00F5428B" w:rsidRDefault="00F8150C" w:rsidP="00F8150C">
      <w:pPr>
        <w:pStyle w:val="FERCparanumber"/>
        <w:numPr>
          <w:ilvl w:val="0"/>
          <w:numId w:val="0"/>
        </w:numPr>
        <w:rPr>
          <w:sz w:val="24"/>
        </w:rPr>
      </w:pPr>
      <w:r w:rsidRPr="00F5428B">
        <w:rPr>
          <w:sz w:val="24"/>
        </w:rPr>
        <w:t>The following estimates of reporting burden are related only to this Final Rule in RM96-1-0</w:t>
      </w:r>
      <w:r w:rsidR="00440A6C">
        <w:rPr>
          <w:sz w:val="24"/>
        </w:rPr>
        <w:t>41</w:t>
      </w:r>
      <w:r w:rsidRPr="00F5428B">
        <w:rPr>
          <w:sz w:val="24"/>
        </w:rPr>
        <w:t xml:space="preserve"> and anticipate the costs to pipelines for compliance.  The burden estimates are primarily related to start-up to implement these standards and regulations and will not result in ongoing costs.</w:t>
      </w:r>
    </w:p>
    <w:p w14:paraId="2DC3D57A" w14:textId="77777777" w:rsidR="00F8150C" w:rsidRPr="00F5428B" w:rsidRDefault="00F8150C" w:rsidP="00F8150C">
      <w:pPr>
        <w:pStyle w:val="FERCparanumber"/>
        <w:numPr>
          <w:ilvl w:val="0"/>
          <w:numId w:val="0"/>
        </w:numPr>
        <w:rPr>
          <w:sz w:val="24"/>
        </w:rPr>
      </w:pPr>
    </w:p>
    <w:tbl>
      <w:tblPr>
        <w:tblW w:w="5712"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9"/>
        <w:gridCol w:w="1731"/>
        <w:gridCol w:w="1680"/>
        <w:gridCol w:w="1475"/>
        <w:gridCol w:w="1291"/>
        <w:gridCol w:w="1853"/>
        <w:gridCol w:w="1711"/>
      </w:tblGrid>
      <w:tr w:rsidR="00074EFD" w:rsidRPr="00074EFD" w14:paraId="002727F4" w14:textId="77777777" w:rsidTr="008D4689">
        <w:trPr>
          <w:cantSplit/>
          <w:trHeight w:val="188"/>
        </w:trPr>
        <w:tc>
          <w:tcPr>
            <w:tcW w:w="5000" w:type="pct"/>
            <w:gridSpan w:val="7"/>
            <w:tcBorders>
              <w:bottom w:val="single" w:sz="4" w:space="0" w:color="auto"/>
            </w:tcBorders>
            <w:shd w:val="clear" w:color="auto" w:fill="D9D9D9"/>
          </w:tcPr>
          <w:p w14:paraId="4CE173E0" w14:textId="77777777" w:rsidR="00074EFD" w:rsidRPr="00074EFD" w:rsidRDefault="00074EFD" w:rsidP="00074EFD">
            <w:pPr>
              <w:widowControl w:val="0"/>
              <w:jc w:val="center"/>
              <w:rPr>
                <w:rFonts w:eastAsia="Calibri"/>
                <w:b/>
                <w:sz w:val="20"/>
                <w:szCs w:val="20"/>
              </w:rPr>
            </w:pPr>
            <w:r w:rsidRPr="00074EFD">
              <w:rPr>
                <w:rFonts w:eastAsia="Calibri"/>
                <w:b/>
                <w:sz w:val="20"/>
                <w:szCs w:val="20"/>
              </w:rPr>
              <w:t>RM96-1-041 Final Rule (Standards for Business Practices of Interstate Natural Gas Pipelines)</w:t>
            </w:r>
          </w:p>
        </w:tc>
      </w:tr>
      <w:tr w:rsidR="00074EFD" w:rsidRPr="00074EFD" w14:paraId="3906A55C" w14:textId="77777777" w:rsidTr="008D4689">
        <w:trPr>
          <w:cantSplit/>
        </w:trPr>
        <w:tc>
          <w:tcPr>
            <w:tcW w:w="548" w:type="pct"/>
            <w:shd w:val="clear" w:color="auto" w:fill="D9D9D9"/>
          </w:tcPr>
          <w:p w14:paraId="79346B5E" w14:textId="77777777" w:rsidR="00074EFD" w:rsidRPr="00074EFD" w:rsidRDefault="00074EFD" w:rsidP="00074EFD">
            <w:pPr>
              <w:widowControl w:val="0"/>
              <w:jc w:val="center"/>
              <w:rPr>
                <w:rFonts w:eastAsia="Calibri"/>
                <w:b/>
                <w:sz w:val="20"/>
                <w:szCs w:val="20"/>
              </w:rPr>
            </w:pPr>
          </w:p>
        </w:tc>
        <w:tc>
          <w:tcPr>
            <w:tcW w:w="791" w:type="pct"/>
            <w:shd w:val="clear" w:color="auto" w:fill="D9D9D9"/>
            <w:vAlign w:val="bottom"/>
          </w:tcPr>
          <w:p w14:paraId="6B07EA09" w14:textId="77777777" w:rsidR="00074EFD" w:rsidRPr="00074EFD" w:rsidRDefault="00074EFD" w:rsidP="00074EFD">
            <w:pPr>
              <w:widowControl w:val="0"/>
              <w:jc w:val="center"/>
              <w:rPr>
                <w:rFonts w:eastAsia="Calibri"/>
                <w:b/>
                <w:sz w:val="20"/>
                <w:szCs w:val="20"/>
              </w:rPr>
            </w:pPr>
            <w:r w:rsidRPr="00074EFD">
              <w:rPr>
                <w:rFonts w:eastAsia="Calibri"/>
                <w:b/>
                <w:sz w:val="20"/>
                <w:szCs w:val="20"/>
              </w:rPr>
              <w:t>Number of Respondents</w:t>
            </w:r>
            <w:r w:rsidRPr="00074EFD">
              <w:rPr>
                <w:rFonts w:eastAsia="Calibri"/>
                <w:b/>
                <w:sz w:val="20"/>
                <w:szCs w:val="20"/>
                <w:vertAlign w:val="superscript"/>
              </w:rPr>
              <w:footnoteReference w:id="13"/>
            </w:r>
          </w:p>
          <w:p w14:paraId="29AA5149" w14:textId="77777777" w:rsidR="00074EFD" w:rsidRPr="00074EFD" w:rsidRDefault="00074EFD" w:rsidP="00074EFD">
            <w:pPr>
              <w:widowControl w:val="0"/>
              <w:jc w:val="center"/>
              <w:rPr>
                <w:rFonts w:eastAsia="Calibri"/>
                <w:b/>
                <w:sz w:val="20"/>
                <w:szCs w:val="20"/>
              </w:rPr>
            </w:pPr>
            <w:r w:rsidRPr="00074EFD">
              <w:rPr>
                <w:rFonts w:eastAsia="Calibri"/>
                <w:b/>
                <w:sz w:val="20"/>
                <w:szCs w:val="20"/>
              </w:rPr>
              <w:t>(1)</w:t>
            </w:r>
          </w:p>
        </w:tc>
        <w:tc>
          <w:tcPr>
            <w:tcW w:w="768" w:type="pct"/>
            <w:shd w:val="clear" w:color="auto" w:fill="D9D9D9"/>
            <w:vAlign w:val="bottom"/>
          </w:tcPr>
          <w:p w14:paraId="05FD144C" w14:textId="77777777" w:rsidR="00074EFD" w:rsidRPr="00074EFD" w:rsidRDefault="00074EFD" w:rsidP="00074EFD">
            <w:pPr>
              <w:widowControl w:val="0"/>
              <w:jc w:val="center"/>
              <w:rPr>
                <w:rFonts w:eastAsia="Calibri"/>
                <w:b/>
                <w:sz w:val="20"/>
                <w:szCs w:val="20"/>
              </w:rPr>
            </w:pPr>
            <w:r w:rsidRPr="00074EFD">
              <w:rPr>
                <w:rFonts w:eastAsia="Calibri"/>
                <w:b/>
                <w:sz w:val="20"/>
                <w:szCs w:val="20"/>
              </w:rPr>
              <w:t>Annual Number of Responses per Respondent</w:t>
            </w:r>
          </w:p>
          <w:p w14:paraId="5900529E" w14:textId="77777777" w:rsidR="00074EFD" w:rsidRPr="00074EFD" w:rsidRDefault="00074EFD" w:rsidP="00074EFD">
            <w:pPr>
              <w:widowControl w:val="0"/>
              <w:jc w:val="center"/>
              <w:rPr>
                <w:rFonts w:eastAsia="Calibri"/>
                <w:b/>
                <w:sz w:val="20"/>
                <w:szCs w:val="20"/>
              </w:rPr>
            </w:pPr>
            <w:r w:rsidRPr="00074EFD">
              <w:rPr>
                <w:rFonts w:eastAsia="Calibri"/>
                <w:b/>
                <w:sz w:val="20"/>
                <w:szCs w:val="20"/>
              </w:rPr>
              <w:t>(2)</w:t>
            </w:r>
          </w:p>
        </w:tc>
        <w:tc>
          <w:tcPr>
            <w:tcW w:w="674" w:type="pct"/>
            <w:shd w:val="clear" w:color="auto" w:fill="D9D9D9"/>
            <w:vAlign w:val="bottom"/>
          </w:tcPr>
          <w:p w14:paraId="7C6E5B46" w14:textId="77777777" w:rsidR="00074EFD" w:rsidRPr="00074EFD" w:rsidRDefault="00074EFD" w:rsidP="00074EFD">
            <w:pPr>
              <w:widowControl w:val="0"/>
              <w:jc w:val="center"/>
              <w:rPr>
                <w:rFonts w:eastAsia="Calibri"/>
                <w:b/>
                <w:sz w:val="20"/>
                <w:szCs w:val="20"/>
              </w:rPr>
            </w:pPr>
            <w:r w:rsidRPr="00074EFD">
              <w:rPr>
                <w:rFonts w:eastAsia="Calibri"/>
                <w:b/>
                <w:sz w:val="20"/>
                <w:szCs w:val="20"/>
              </w:rPr>
              <w:t>Total Number of Responses (1)*(2)=</w:t>
            </w:r>
          </w:p>
          <w:p w14:paraId="30B09181" w14:textId="77777777" w:rsidR="00074EFD" w:rsidRPr="00074EFD" w:rsidRDefault="00074EFD" w:rsidP="00074EFD">
            <w:pPr>
              <w:widowControl w:val="0"/>
              <w:jc w:val="center"/>
              <w:rPr>
                <w:rFonts w:eastAsia="Calibri"/>
                <w:b/>
                <w:sz w:val="20"/>
                <w:szCs w:val="20"/>
              </w:rPr>
            </w:pPr>
            <w:r w:rsidRPr="00074EFD">
              <w:rPr>
                <w:rFonts w:eastAsia="Calibri"/>
                <w:b/>
                <w:sz w:val="20"/>
                <w:szCs w:val="20"/>
              </w:rPr>
              <w:t>(3)</w:t>
            </w:r>
          </w:p>
        </w:tc>
        <w:tc>
          <w:tcPr>
            <w:tcW w:w="590" w:type="pct"/>
            <w:shd w:val="clear" w:color="auto" w:fill="D9D9D9"/>
            <w:vAlign w:val="bottom"/>
          </w:tcPr>
          <w:p w14:paraId="00CACC1F" w14:textId="77777777" w:rsidR="00074EFD" w:rsidRPr="00074EFD" w:rsidRDefault="00074EFD" w:rsidP="00074EFD">
            <w:pPr>
              <w:widowControl w:val="0"/>
              <w:jc w:val="center"/>
              <w:rPr>
                <w:rFonts w:eastAsia="Calibri"/>
                <w:b/>
                <w:sz w:val="20"/>
                <w:szCs w:val="20"/>
              </w:rPr>
            </w:pPr>
            <w:r w:rsidRPr="00074EFD">
              <w:rPr>
                <w:rFonts w:eastAsia="Calibri"/>
                <w:b/>
                <w:sz w:val="20"/>
                <w:szCs w:val="20"/>
              </w:rPr>
              <w:t>Average Burden Hr. Per Response</w:t>
            </w:r>
          </w:p>
          <w:p w14:paraId="7F0574F5" w14:textId="77777777" w:rsidR="00074EFD" w:rsidRPr="00074EFD" w:rsidRDefault="00074EFD" w:rsidP="00074EFD">
            <w:pPr>
              <w:widowControl w:val="0"/>
              <w:jc w:val="center"/>
              <w:rPr>
                <w:rFonts w:eastAsia="Calibri"/>
                <w:b/>
                <w:sz w:val="20"/>
                <w:szCs w:val="20"/>
              </w:rPr>
            </w:pPr>
            <w:r w:rsidRPr="00074EFD">
              <w:rPr>
                <w:rFonts w:eastAsia="Calibri"/>
                <w:b/>
                <w:sz w:val="20"/>
                <w:szCs w:val="20"/>
              </w:rPr>
              <w:t>(4)</w:t>
            </w:r>
          </w:p>
        </w:tc>
        <w:tc>
          <w:tcPr>
            <w:tcW w:w="847" w:type="pct"/>
            <w:shd w:val="clear" w:color="auto" w:fill="D9D9D9"/>
            <w:vAlign w:val="bottom"/>
          </w:tcPr>
          <w:p w14:paraId="0F64E7F3" w14:textId="77777777" w:rsidR="00074EFD" w:rsidRPr="00074EFD" w:rsidRDefault="00074EFD" w:rsidP="00074EFD">
            <w:pPr>
              <w:widowControl w:val="0"/>
              <w:jc w:val="center"/>
              <w:rPr>
                <w:rFonts w:eastAsia="Calibri"/>
                <w:b/>
                <w:sz w:val="20"/>
                <w:szCs w:val="20"/>
              </w:rPr>
            </w:pPr>
            <w:r w:rsidRPr="00074EFD">
              <w:rPr>
                <w:rFonts w:eastAsia="Calibri"/>
                <w:b/>
                <w:sz w:val="20"/>
                <w:szCs w:val="20"/>
              </w:rPr>
              <w:t>Total Annual Burden Hours &amp; Total Annual Cost</w:t>
            </w:r>
            <w:r w:rsidRPr="00074EFD">
              <w:rPr>
                <w:rFonts w:eastAsia="Calibri"/>
                <w:b/>
                <w:sz w:val="20"/>
                <w:szCs w:val="20"/>
                <w:vertAlign w:val="superscript"/>
              </w:rPr>
              <w:footnoteReference w:id="14"/>
            </w:r>
          </w:p>
          <w:p w14:paraId="2D23078E" w14:textId="77777777" w:rsidR="00074EFD" w:rsidRPr="00074EFD" w:rsidRDefault="00074EFD" w:rsidP="00074EFD">
            <w:pPr>
              <w:widowControl w:val="0"/>
              <w:jc w:val="center"/>
              <w:rPr>
                <w:rFonts w:eastAsia="Calibri"/>
                <w:b/>
                <w:sz w:val="20"/>
                <w:szCs w:val="20"/>
              </w:rPr>
            </w:pPr>
            <w:r w:rsidRPr="00074EFD">
              <w:rPr>
                <w:rFonts w:eastAsia="Calibri"/>
                <w:b/>
                <w:sz w:val="20"/>
                <w:szCs w:val="20"/>
              </w:rPr>
              <w:t>(3)*(4)=(5)</w:t>
            </w:r>
          </w:p>
        </w:tc>
        <w:tc>
          <w:tcPr>
            <w:tcW w:w="782" w:type="pct"/>
            <w:shd w:val="clear" w:color="auto" w:fill="D9D9D9"/>
            <w:vAlign w:val="bottom"/>
          </w:tcPr>
          <w:p w14:paraId="33E5A7DB" w14:textId="77777777" w:rsidR="00074EFD" w:rsidRPr="00074EFD" w:rsidRDefault="00074EFD" w:rsidP="00074EFD">
            <w:pPr>
              <w:widowControl w:val="0"/>
              <w:jc w:val="center"/>
              <w:rPr>
                <w:rFonts w:eastAsia="Calibri"/>
                <w:b/>
                <w:sz w:val="20"/>
                <w:szCs w:val="20"/>
              </w:rPr>
            </w:pPr>
            <w:r w:rsidRPr="00074EFD">
              <w:rPr>
                <w:rFonts w:eastAsia="Calibri"/>
                <w:b/>
                <w:sz w:val="20"/>
                <w:szCs w:val="20"/>
              </w:rPr>
              <w:t xml:space="preserve">Annual Costs Per Respondent </w:t>
            </w:r>
          </w:p>
          <w:p w14:paraId="0C654B29" w14:textId="77777777" w:rsidR="00074EFD" w:rsidRPr="00074EFD" w:rsidRDefault="00074EFD" w:rsidP="00074EFD">
            <w:pPr>
              <w:widowControl w:val="0"/>
              <w:jc w:val="center"/>
              <w:rPr>
                <w:rFonts w:eastAsia="Calibri"/>
                <w:b/>
                <w:sz w:val="20"/>
                <w:szCs w:val="20"/>
              </w:rPr>
            </w:pPr>
            <w:r w:rsidRPr="00074EFD">
              <w:rPr>
                <w:rFonts w:eastAsia="Calibri"/>
                <w:b/>
                <w:sz w:val="20"/>
                <w:szCs w:val="20"/>
              </w:rPr>
              <w:t>($)</w:t>
            </w:r>
          </w:p>
          <w:p w14:paraId="25012C21" w14:textId="77777777" w:rsidR="00074EFD" w:rsidRPr="00074EFD" w:rsidRDefault="00074EFD" w:rsidP="00074EFD">
            <w:pPr>
              <w:widowControl w:val="0"/>
              <w:jc w:val="center"/>
              <w:rPr>
                <w:rFonts w:eastAsia="Calibri"/>
                <w:b/>
                <w:sz w:val="20"/>
                <w:szCs w:val="20"/>
              </w:rPr>
            </w:pPr>
            <w:r w:rsidRPr="00074EFD">
              <w:rPr>
                <w:rFonts w:eastAsia="Calibri"/>
                <w:b/>
                <w:sz w:val="20"/>
                <w:szCs w:val="20"/>
              </w:rPr>
              <w:t>(5) * (1) = (6)</w:t>
            </w:r>
          </w:p>
        </w:tc>
      </w:tr>
      <w:tr w:rsidR="00074EFD" w:rsidRPr="00074EFD" w14:paraId="3A1BD0DF" w14:textId="77777777" w:rsidTr="008D4689">
        <w:trPr>
          <w:cantSplit/>
        </w:trPr>
        <w:tc>
          <w:tcPr>
            <w:tcW w:w="548" w:type="pct"/>
          </w:tcPr>
          <w:p w14:paraId="4F029D2D" w14:textId="77777777" w:rsidR="00074EFD" w:rsidRPr="00074EFD" w:rsidRDefault="00074EFD" w:rsidP="008F65E6">
            <w:pPr>
              <w:widowControl w:val="0"/>
              <w:rPr>
                <w:rFonts w:eastAsia="Calibri"/>
                <w:sz w:val="20"/>
                <w:szCs w:val="20"/>
              </w:rPr>
            </w:pPr>
            <w:r w:rsidRPr="00074EFD">
              <w:rPr>
                <w:rFonts w:eastAsia="Calibri"/>
                <w:sz w:val="20"/>
                <w:szCs w:val="20"/>
              </w:rPr>
              <w:t>FERC-545 (one-time)</w:t>
            </w:r>
          </w:p>
        </w:tc>
        <w:tc>
          <w:tcPr>
            <w:tcW w:w="791" w:type="pct"/>
          </w:tcPr>
          <w:p w14:paraId="3254B0A0" w14:textId="77777777" w:rsidR="00074EFD" w:rsidRPr="00074EFD" w:rsidRDefault="00074EFD" w:rsidP="00074EFD">
            <w:pPr>
              <w:widowControl w:val="0"/>
              <w:jc w:val="right"/>
              <w:rPr>
                <w:rFonts w:eastAsia="Calibri"/>
                <w:sz w:val="20"/>
                <w:szCs w:val="20"/>
              </w:rPr>
            </w:pPr>
            <w:r w:rsidRPr="00074EFD">
              <w:rPr>
                <w:rFonts w:eastAsia="Calibri"/>
                <w:sz w:val="20"/>
                <w:szCs w:val="20"/>
              </w:rPr>
              <w:t>165</w:t>
            </w:r>
          </w:p>
        </w:tc>
        <w:tc>
          <w:tcPr>
            <w:tcW w:w="768" w:type="pct"/>
          </w:tcPr>
          <w:p w14:paraId="7608A577" w14:textId="77777777" w:rsidR="00074EFD" w:rsidRPr="00074EFD" w:rsidRDefault="00074EFD" w:rsidP="00074EFD">
            <w:pPr>
              <w:widowControl w:val="0"/>
              <w:jc w:val="right"/>
              <w:rPr>
                <w:rFonts w:eastAsia="Calibri"/>
                <w:sz w:val="20"/>
                <w:szCs w:val="20"/>
              </w:rPr>
            </w:pPr>
            <w:r w:rsidRPr="00074EFD">
              <w:rPr>
                <w:rFonts w:eastAsia="Calibri"/>
                <w:sz w:val="20"/>
                <w:szCs w:val="20"/>
              </w:rPr>
              <w:t>1</w:t>
            </w:r>
          </w:p>
        </w:tc>
        <w:tc>
          <w:tcPr>
            <w:tcW w:w="674" w:type="pct"/>
          </w:tcPr>
          <w:p w14:paraId="44C0C10A" w14:textId="77777777" w:rsidR="00074EFD" w:rsidRPr="00074EFD" w:rsidRDefault="00074EFD" w:rsidP="00074EFD">
            <w:pPr>
              <w:widowControl w:val="0"/>
              <w:jc w:val="right"/>
              <w:rPr>
                <w:rFonts w:eastAsia="Calibri"/>
                <w:sz w:val="20"/>
                <w:szCs w:val="20"/>
              </w:rPr>
            </w:pPr>
            <w:r w:rsidRPr="00074EFD">
              <w:rPr>
                <w:rFonts w:eastAsia="Calibri"/>
                <w:sz w:val="20"/>
                <w:szCs w:val="20"/>
              </w:rPr>
              <w:t>165</w:t>
            </w:r>
          </w:p>
        </w:tc>
        <w:tc>
          <w:tcPr>
            <w:tcW w:w="590" w:type="pct"/>
          </w:tcPr>
          <w:p w14:paraId="31BA6B62" w14:textId="77777777" w:rsidR="00074EFD" w:rsidRPr="00074EFD" w:rsidRDefault="00074EFD" w:rsidP="00074EFD">
            <w:pPr>
              <w:widowControl w:val="0"/>
              <w:jc w:val="right"/>
              <w:rPr>
                <w:rFonts w:eastAsia="Calibri"/>
                <w:sz w:val="20"/>
                <w:szCs w:val="20"/>
              </w:rPr>
            </w:pPr>
            <w:r w:rsidRPr="00074EFD">
              <w:rPr>
                <w:rFonts w:eastAsia="Calibri"/>
                <w:sz w:val="20"/>
                <w:szCs w:val="20"/>
              </w:rPr>
              <w:t>10 hrs.;</w:t>
            </w:r>
          </w:p>
          <w:p w14:paraId="57B664C5" w14:textId="77777777" w:rsidR="00074EFD" w:rsidRPr="00074EFD" w:rsidRDefault="00074EFD" w:rsidP="00074EFD">
            <w:pPr>
              <w:widowControl w:val="0"/>
              <w:jc w:val="right"/>
              <w:rPr>
                <w:rFonts w:eastAsia="Calibri"/>
                <w:sz w:val="20"/>
                <w:szCs w:val="20"/>
              </w:rPr>
            </w:pPr>
            <w:r w:rsidRPr="00074EFD">
              <w:rPr>
                <w:rFonts w:eastAsia="Calibri"/>
                <w:sz w:val="20"/>
                <w:szCs w:val="20"/>
              </w:rPr>
              <w:t>$1,020</w:t>
            </w:r>
          </w:p>
        </w:tc>
        <w:tc>
          <w:tcPr>
            <w:tcW w:w="847" w:type="pct"/>
          </w:tcPr>
          <w:p w14:paraId="0B44AF10" w14:textId="77777777" w:rsidR="00074EFD" w:rsidRPr="00074EFD" w:rsidRDefault="00074EFD" w:rsidP="00074EFD">
            <w:pPr>
              <w:widowControl w:val="0"/>
              <w:jc w:val="right"/>
              <w:rPr>
                <w:rFonts w:eastAsia="Calibri"/>
                <w:sz w:val="20"/>
                <w:szCs w:val="20"/>
              </w:rPr>
            </w:pPr>
            <w:r w:rsidRPr="00074EFD">
              <w:rPr>
                <w:rFonts w:eastAsia="Calibri"/>
                <w:sz w:val="20"/>
                <w:szCs w:val="20"/>
              </w:rPr>
              <w:t>1,650 hrs.;</w:t>
            </w:r>
          </w:p>
          <w:p w14:paraId="64FCB5F4" w14:textId="77777777" w:rsidR="00074EFD" w:rsidRPr="00074EFD" w:rsidRDefault="00074EFD" w:rsidP="00074EFD">
            <w:pPr>
              <w:widowControl w:val="0"/>
              <w:jc w:val="right"/>
              <w:rPr>
                <w:rFonts w:eastAsia="Calibri"/>
                <w:sz w:val="20"/>
                <w:szCs w:val="20"/>
              </w:rPr>
            </w:pPr>
            <w:r w:rsidRPr="00074EFD">
              <w:rPr>
                <w:rFonts w:eastAsia="Calibri"/>
                <w:sz w:val="20"/>
                <w:szCs w:val="20"/>
              </w:rPr>
              <w:t>$168,000</w:t>
            </w:r>
          </w:p>
        </w:tc>
        <w:tc>
          <w:tcPr>
            <w:tcW w:w="782" w:type="pct"/>
          </w:tcPr>
          <w:p w14:paraId="4DDD33DF" w14:textId="77777777" w:rsidR="00074EFD" w:rsidRPr="00074EFD" w:rsidRDefault="00074EFD" w:rsidP="00074EFD">
            <w:pPr>
              <w:widowControl w:val="0"/>
              <w:jc w:val="right"/>
              <w:rPr>
                <w:rFonts w:eastAsia="Calibri"/>
                <w:sz w:val="20"/>
                <w:szCs w:val="20"/>
              </w:rPr>
            </w:pPr>
            <w:r w:rsidRPr="00074EFD">
              <w:rPr>
                <w:rFonts w:eastAsia="Calibri"/>
                <w:sz w:val="20"/>
                <w:szCs w:val="20"/>
              </w:rPr>
              <w:t>$1,020</w:t>
            </w:r>
          </w:p>
        </w:tc>
      </w:tr>
      <w:tr w:rsidR="00074EFD" w:rsidRPr="00074EFD" w14:paraId="366A20AA" w14:textId="77777777" w:rsidTr="008D4689">
        <w:trPr>
          <w:cantSplit/>
        </w:trPr>
        <w:tc>
          <w:tcPr>
            <w:tcW w:w="548" w:type="pct"/>
          </w:tcPr>
          <w:p w14:paraId="5828D333" w14:textId="77777777" w:rsidR="00074EFD" w:rsidRPr="00074EFD" w:rsidRDefault="00074EFD" w:rsidP="00074EFD">
            <w:pPr>
              <w:widowControl w:val="0"/>
              <w:rPr>
                <w:rFonts w:eastAsia="Calibri"/>
                <w:sz w:val="20"/>
                <w:szCs w:val="20"/>
              </w:rPr>
            </w:pPr>
            <w:r w:rsidRPr="00074EFD">
              <w:rPr>
                <w:rFonts w:eastAsia="Calibri"/>
                <w:sz w:val="20"/>
                <w:szCs w:val="20"/>
              </w:rPr>
              <w:t>FERC-549C (one-time)</w:t>
            </w:r>
          </w:p>
        </w:tc>
        <w:tc>
          <w:tcPr>
            <w:tcW w:w="791" w:type="pct"/>
          </w:tcPr>
          <w:p w14:paraId="313B43B7" w14:textId="77777777" w:rsidR="00074EFD" w:rsidRPr="00074EFD" w:rsidRDefault="00074EFD" w:rsidP="00074EFD">
            <w:pPr>
              <w:widowControl w:val="0"/>
              <w:jc w:val="right"/>
              <w:rPr>
                <w:rFonts w:eastAsia="Calibri"/>
                <w:sz w:val="20"/>
                <w:szCs w:val="20"/>
              </w:rPr>
            </w:pPr>
            <w:r w:rsidRPr="00074EFD">
              <w:rPr>
                <w:rFonts w:eastAsia="Calibri"/>
                <w:sz w:val="20"/>
                <w:szCs w:val="20"/>
              </w:rPr>
              <w:t>165</w:t>
            </w:r>
          </w:p>
        </w:tc>
        <w:tc>
          <w:tcPr>
            <w:tcW w:w="768" w:type="pct"/>
          </w:tcPr>
          <w:p w14:paraId="49A18471" w14:textId="77777777" w:rsidR="00074EFD" w:rsidRPr="00074EFD" w:rsidRDefault="00074EFD" w:rsidP="00074EFD">
            <w:pPr>
              <w:widowControl w:val="0"/>
              <w:jc w:val="right"/>
              <w:rPr>
                <w:rFonts w:eastAsia="Calibri"/>
                <w:sz w:val="20"/>
                <w:szCs w:val="20"/>
              </w:rPr>
            </w:pPr>
            <w:r w:rsidRPr="00074EFD">
              <w:rPr>
                <w:rFonts w:eastAsia="Calibri"/>
                <w:sz w:val="20"/>
                <w:szCs w:val="20"/>
              </w:rPr>
              <w:t>1</w:t>
            </w:r>
          </w:p>
        </w:tc>
        <w:tc>
          <w:tcPr>
            <w:tcW w:w="674" w:type="pct"/>
          </w:tcPr>
          <w:p w14:paraId="5462CF65" w14:textId="77777777" w:rsidR="00074EFD" w:rsidRPr="00074EFD" w:rsidRDefault="00074EFD" w:rsidP="00074EFD">
            <w:pPr>
              <w:widowControl w:val="0"/>
              <w:jc w:val="right"/>
              <w:rPr>
                <w:rFonts w:eastAsia="Calibri"/>
                <w:sz w:val="20"/>
                <w:szCs w:val="20"/>
              </w:rPr>
            </w:pPr>
            <w:r w:rsidRPr="00074EFD">
              <w:rPr>
                <w:rFonts w:eastAsia="Calibri"/>
                <w:sz w:val="20"/>
                <w:szCs w:val="20"/>
              </w:rPr>
              <w:t>165</w:t>
            </w:r>
          </w:p>
        </w:tc>
        <w:tc>
          <w:tcPr>
            <w:tcW w:w="590" w:type="pct"/>
          </w:tcPr>
          <w:p w14:paraId="6DBB488E" w14:textId="77777777" w:rsidR="00074EFD" w:rsidRPr="00074EFD" w:rsidRDefault="00074EFD" w:rsidP="00074EFD">
            <w:pPr>
              <w:widowControl w:val="0"/>
              <w:jc w:val="right"/>
              <w:rPr>
                <w:rFonts w:eastAsia="Calibri"/>
                <w:sz w:val="20"/>
                <w:szCs w:val="20"/>
              </w:rPr>
            </w:pPr>
            <w:r w:rsidRPr="00074EFD">
              <w:rPr>
                <w:rFonts w:eastAsia="Calibri"/>
                <w:sz w:val="20"/>
                <w:szCs w:val="20"/>
              </w:rPr>
              <w:t>22 hrs.;</w:t>
            </w:r>
          </w:p>
          <w:p w14:paraId="44DB5AE2" w14:textId="77777777" w:rsidR="00074EFD" w:rsidRPr="00074EFD" w:rsidRDefault="00074EFD" w:rsidP="00074EFD">
            <w:pPr>
              <w:widowControl w:val="0"/>
              <w:jc w:val="right"/>
              <w:rPr>
                <w:rFonts w:eastAsia="Calibri"/>
                <w:sz w:val="20"/>
                <w:szCs w:val="20"/>
              </w:rPr>
            </w:pPr>
            <w:r w:rsidRPr="00074EFD">
              <w:rPr>
                <w:rFonts w:eastAsia="Calibri"/>
                <w:sz w:val="20"/>
                <w:szCs w:val="20"/>
              </w:rPr>
              <w:t>$2,244</w:t>
            </w:r>
          </w:p>
        </w:tc>
        <w:tc>
          <w:tcPr>
            <w:tcW w:w="847" w:type="pct"/>
          </w:tcPr>
          <w:p w14:paraId="2E3A6E23" w14:textId="77777777" w:rsidR="00074EFD" w:rsidRPr="00074EFD" w:rsidRDefault="00074EFD" w:rsidP="00074EFD">
            <w:pPr>
              <w:widowControl w:val="0"/>
              <w:jc w:val="right"/>
              <w:rPr>
                <w:rFonts w:eastAsia="Calibri"/>
                <w:sz w:val="20"/>
                <w:szCs w:val="20"/>
              </w:rPr>
            </w:pPr>
            <w:r w:rsidRPr="00074EFD">
              <w:rPr>
                <w:rFonts w:eastAsia="Calibri"/>
                <w:sz w:val="20"/>
                <w:szCs w:val="20"/>
              </w:rPr>
              <w:t>3,630 hrs.;</w:t>
            </w:r>
          </w:p>
          <w:p w14:paraId="12A00CFC" w14:textId="77777777" w:rsidR="00074EFD" w:rsidRPr="00074EFD" w:rsidRDefault="00074EFD" w:rsidP="00074EFD">
            <w:pPr>
              <w:widowControl w:val="0"/>
              <w:jc w:val="right"/>
              <w:rPr>
                <w:rFonts w:eastAsia="Calibri"/>
                <w:sz w:val="20"/>
                <w:szCs w:val="20"/>
              </w:rPr>
            </w:pPr>
            <w:r w:rsidRPr="00074EFD">
              <w:rPr>
                <w:rFonts w:eastAsia="Calibri"/>
                <w:sz w:val="20"/>
                <w:szCs w:val="20"/>
              </w:rPr>
              <w:t>$370,260</w:t>
            </w:r>
          </w:p>
        </w:tc>
        <w:tc>
          <w:tcPr>
            <w:tcW w:w="782" w:type="pct"/>
          </w:tcPr>
          <w:p w14:paraId="211ED1FA" w14:textId="77777777" w:rsidR="00074EFD" w:rsidRPr="00074EFD" w:rsidRDefault="00074EFD" w:rsidP="00074EFD">
            <w:pPr>
              <w:widowControl w:val="0"/>
              <w:jc w:val="right"/>
              <w:rPr>
                <w:rFonts w:eastAsia="Calibri"/>
                <w:sz w:val="20"/>
                <w:szCs w:val="20"/>
              </w:rPr>
            </w:pPr>
            <w:r w:rsidRPr="00074EFD">
              <w:rPr>
                <w:rFonts w:eastAsia="Calibri"/>
                <w:sz w:val="20"/>
                <w:szCs w:val="20"/>
              </w:rPr>
              <w:t>$2,244</w:t>
            </w:r>
          </w:p>
        </w:tc>
      </w:tr>
      <w:tr w:rsidR="00074EFD" w:rsidRPr="00074EFD" w14:paraId="5D33C006" w14:textId="77777777" w:rsidTr="00074EFD">
        <w:trPr>
          <w:cantSplit/>
        </w:trPr>
        <w:tc>
          <w:tcPr>
            <w:tcW w:w="548" w:type="pct"/>
          </w:tcPr>
          <w:p w14:paraId="2073E01E" w14:textId="77777777" w:rsidR="00074EFD" w:rsidRPr="00074EFD" w:rsidRDefault="00074EFD" w:rsidP="00074EFD">
            <w:pPr>
              <w:widowControl w:val="0"/>
              <w:rPr>
                <w:rFonts w:eastAsia="Calibri"/>
                <w:b/>
                <w:sz w:val="20"/>
                <w:szCs w:val="20"/>
              </w:rPr>
            </w:pPr>
            <w:r w:rsidRPr="00074EFD">
              <w:rPr>
                <w:rFonts w:eastAsia="Calibri"/>
                <w:b/>
                <w:sz w:val="20"/>
                <w:szCs w:val="20"/>
              </w:rPr>
              <w:t>TOTAL</w:t>
            </w:r>
          </w:p>
        </w:tc>
        <w:tc>
          <w:tcPr>
            <w:tcW w:w="1559" w:type="pct"/>
            <w:gridSpan w:val="2"/>
            <w:shd w:val="clear" w:color="auto" w:fill="D9D9D9"/>
          </w:tcPr>
          <w:p w14:paraId="1869A7E2" w14:textId="77777777" w:rsidR="00074EFD" w:rsidRPr="00074EFD" w:rsidRDefault="00074EFD" w:rsidP="00074EFD">
            <w:pPr>
              <w:widowControl w:val="0"/>
              <w:jc w:val="right"/>
              <w:rPr>
                <w:rFonts w:eastAsia="Calibri"/>
                <w:sz w:val="20"/>
                <w:szCs w:val="20"/>
              </w:rPr>
            </w:pPr>
          </w:p>
        </w:tc>
        <w:tc>
          <w:tcPr>
            <w:tcW w:w="674" w:type="pct"/>
          </w:tcPr>
          <w:p w14:paraId="285A396F" w14:textId="77777777" w:rsidR="00074EFD" w:rsidRPr="00074EFD" w:rsidRDefault="00074EFD" w:rsidP="00074EFD">
            <w:pPr>
              <w:widowControl w:val="0"/>
              <w:jc w:val="right"/>
              <w:rPr>
                <w:rFonts w:eastAsia="Calibri"/>
                <w:sz w:val="20"/>
                <w:szCs w:val="20"/>
              </w:rPr>
            </w:pPr>
            <w:r w:rsidRPr="00074EFD">
              <w:rPr>
                <w:rFonts w:eastAsia="Calibri"/>
                <w:sz w:val="20"/>
                <w:szCs w:val="20"/>
              </w:rPr>
              <w:t>330</w:t>
            </w:r>
          </w:p>
        </w:tc>
        <w:tc>
          <w:tcPr>
            <w:tcW w:w="590" w:type="pct"/>
            <w:shd w:val="clear" w:color="auto" w:fill="D9D9D9"/>
          </w:tcPr>
          <w:p w14:paraId="285A10DF" w14:textId="77777777" w:rsidR="00074EFD" w:rsidRPr="00074EFD" w:rsidRDefault="00074EFD" w:rsidP="00074EFD">
            <w:pPr>
              <w:widowControl w:val="0"/>
              <w:jc w:val="right"/>
              <w:rPr>
                <w:rFonts w:eastAsia="Calibri"/>
                <w:sz w:val="20"/>
                <w:szCs w:val="20"/>
              </w:rPr>
            </w:pPr>
          </w:p>
        </w:tc>
        <w:tc>
          <w:tcPr>
            <w:tcW w:w="847" w:type="pct"/>
          </w:tcPr>
          <w:p w14:paraId="224601AC" w14:textId="77777777" w:rsidR="00074EFD" w:rsidRPr="00074EFD" w:rsidRDefault="00074EFD" w:rsidP="00074EFD">
            <w:pPr>
              <w:widowControl w:val="0"/>
              <w:jc w:val="right"/>
              <w:rPr>
                <w:rFonts w:eastAsia="Calibri"/>
                <w:sz w:val="20"/>
                <w:szCs w:val="20"/>
              </w:rPr>
            </w:pPr>
            <w:r w:rsidRPr="00074EFD">
              <w:rPr>
                <w:rFonts w:eastAsia="Calibri"/>
                <w:sz w:val="20"/>
                <w:szCs w:val="20"/>
              </w:rPr>
              <w:t>5,280 hrs.;</w:t>
            </w:r>
          </w:p>
          <w:p w14:paraId="72BAE1F9" w14:textId="77777777" w:rsidR="00074EFD" w:rsidRPr="00074EFD" w:rsidRDefault="00074EFD" w:rsidP="00074EFD">
            <w:pPr>
              <w:widowControl w:val="0"/>
              <w:jc w:val="right"/>
              <w:rPr>
                <w:rFonts w:eastAsia="Calibri"/>
                <w:sz w:val="20"/>
                <w:szCs w:val="20"/>
              </w:rPr>
            </w:pPr>
            <w:r w:rsidRPr="00074EFD">
              <w:rPr>
                <w:rFonts w:eastAsia="Calibri"/>
                <w:sz w:val="20"/>
                <w:szCs w:val="20"/>
              </w:rPr>
              <w:t>$538,560</w:t>
            </w:r>
          </w:p>
        </w:tc>
        <w:tc>
          <w:tcPr>
            <w:tcW w:w="782" w:type="pct"/>
            <w:shd w:val="clear" w:color="auto" w:fill="D9D9D9"/>
          </w:tcPr>
          <w:p w14:paraId="067BFA08" w14:textId="77777777" w:rsidR="00074EFD" w:rsidRPr="00074EFD" w:rsidRDefault="00074EFD" w:rsidP="00074EFD">
            <w:pPr>
              <w:widowControl w:val="0"/>
              <w:jc w:val="right"/>
              <w:rPr>
                <w:rFonts w:eastAsia="Calibri"/>
                <w:sz w:val="20"/>
                <w:szCs w:val="20"/>
              </w:rPr>
            </w:pPr>
          </w:p>
        </w:tc>
      </w:tr>
    </w:tbl>
    <w:p w14:paraId="255A8C16" w14:textId="77777777" w:rsidR="00F8150C" w:rsidRPr="00F5428B" w:rsidRDefault="00F8150C" w:rsidP="00F8150C">
      <w:pPr>
        <w:rPr>
          <w:sz w:val="24"/>
        </w:rPr>
      </w:pPr>
    </w:p>
    <w:p w14:paraId="1DBCDCAB" w14:textId="77777777" w:rsidR="00074EFD" w:rsidRPr="005228C3" w:rsidRDefault="00074EFD" w:rsidP="00074EFD">
      <w:pPr>
        <w:pStyle w:val="FERCparanumber"/>
        <w:numPr>
          <w:ilvl w:val="0"/>
          <w:numId w:val="0"/>
        </w:numPr>
        <w:spacing w:before="240"/>
        <w:rPr>
          <w:sz w:val="24"/>
        </w:rPr>
      </w:pPr>
      <w:r w:rsidRPr="005228C3">
        <w:rPr>
          <w:sz w:val="24"/>
        </w:rPr>
        <w:t>The one-time burden (for both the FERC-545 and FERC-549C) will be averaged over three years:</w:t>
      </w:r>
    </w:p>
    <w:p w14:paraId="716A5A32" w14:textId="77777777" w:rsidR="00074EFD" w:rsidRPr="005228C3" w:rsidRDefault="00074EFD" w:rsidP="00074EFD">
      <w:pPr>
        <w:pStyle w:val="FERCparanumber"/>
        <w:numPr>
          <w:ilvl w:val="0"/>
          <w:numId w:val="0"/>
        </w:numPr>
        <w:rPr>
          <w:sz w:val="24"/>
        </w:rPr>
      </w:pPr>
      <w:r w:rsidRPr="005228C3">
        <w:rPr>
          <w:sz w:val="24"/>
        </w:rPr>
        <w:t>FERC-545: 1,650 hours ÷ 3 = 550 hours/year over three years</w:t>
      </w:r>
    </w:p>
    <w:p w14:paraId="18131459" w14:textId="77777777" w:rsidR="00074EFD" w:rsidRPr="005228C3" w:rsidRDefault="00074EFD" w:rsidP="00074EFD">
      <w:pPr>
        <w:pStyle w:val="FERCparanumber"/>
        <w:numPr>
          <w:ilvl w:val="0"/>
          <w:numId w:val="0"/>
        </w:numPr>
        <w:rPr>
          <w:sz w:val="24"/>
        </w:rPr>
      </w:pPr>
      <w:r w:rsidRPr="005228C3">
        <w:rPr>
          <w:sz w:val="24"/>
        </w:rPr>
        <w:t>FERC-549C: 3,630 hours ÷ 3 = 1,210 hours/year over three years</w:t>
      </w:r>
    </w:p>
    <w:p w14:paraId="2F004844" w14:textId="77777777" w:rsidR="00074EFD" w:rsidRPr="005228C3" w:rsidRDefault="00074EFD" w:rsidP="00074EFD">
      <w:pPr>
        <w:pStyle w:val="FERCparanumber"/>
        <w:numPr>
          <w:ilvl w:val="0"/>
          <w:numId w:val="0"/>
        </w:numPr>
        <w:rPr>
          <w:sz w:val="24"/>
        </w:rPr>
      </w:pPr>
    </w:p>
    <w:p w14:paraId="38E11971" w14:textId="77777777" w:rsidR="00074EFD" w:rsidRPr="005228C3" w:rsidRDefault="00074EFD" w:rsidP="00074EFD">
      <w:pPr>
        <w:pStyle w:val="FERCparanumber"/>
        <w:numPr>
          <w:ilvl w:val="0"/>
          <w:numId w:val="0"/>
        </w:numPr>
        <w:rPr>
          <w:sz w:val="24"/>
        </w:rPr>
      </w:pPr>
      <w:r w:rsidRPr="005228C3">
        <w:rPr>
          <w:sz w:val="24"/>
        </w:rPr>
        <w:t>The number of responses is also averaged over three years (for both the FERC-545 and FERC-549C):</w:t>
      </w:r>
    </w:p>
    <w:p w14:paraId="2E99DB7E" w14:textId="77777777" w:rsidR="00074EFD" w:rsidRPr="005228C3" w:rsidRDefault="00074EFD" w:rsidP="00074EFD">
      <w:pPr>
        <w:pStyle w:val="FERCparanumber"/>
        <w:numPr>
          <w:ilvl w:val="0"/>
          <w:numId w:val="0"/>
        </w:numPr>
        <w:rPr>
          <w:sz w:val="24"/>
        </w:rPr>
      </w:pPr>
      <w:r w:rsidRPr="005228C3">
        <w:rPr>
          <w:sz w:val="24"/>
        </w:rPr>
        <w:t>FERC-545: 165 responses ÷ 3 = 55 responses/year</w:t>
      </w:r>
    </w:p>
    <w:p w14:paraId="5F8649A3" w14:textId="77777777" w:rsidR="00074EFD" w:rsidRPr="005228C3" w:rsidRDefault="00074EFD" w:rsidP="00074EFD">
      <w:pPr>
        <w:pStyle w:val="FERCparanumber"/>
        <w:numPr>
          <w:ilvl w:val="0"/>
          <w:numId w:val="0"/>
        </w:numPr>
        <w:rPr>
          <w:sz w:val="24"/>
        </w:rPr>
      </w:pPr>
      <w:r w:rsidRPr="005228C3">
        <w:rPr>
          <w:sz w:val="24"/>
        </w:rPr>
        <w:t>FERC-549C: 165 responses ÷ 3 = 55 responses/year</w:t>
      </w:r>
    </w:p>
    <w:p w14:paraId="3DC3DC64" w14:textId="77777777" w:rsidR="00074EFD" w:rsidRPr="005228C3" w:rsidRDefault="00074EFD" w:rsidP="00074EFD">
      <w:pPr>
        <w:pStyle w:val="FERCparanumber"/>
        <w:numPr>
          <w:ilvl w:val="0"/>
          <w:numId w:val="0"/>
        </w:numPr>
        <w:rPr>
          <w:sz w:val="24"/>
        </w:rPr>
      </w:pPr>
    </w:p>
    <w:p w14:paraId="1DEAAA91" w14:textId="77777777" w:rsidR="00074EFD" w:rsidRPr="005228C3" w:rsidRDefault="00074EFD" w:rsidP="00074EFD">
      <w:pPr>
        <w:pStyle w:val="FERCparanumber"/>
        <w:numPr>
          <w:ilvl w:val="0"/>
          <w:numId w:val="0"/>
        </w:numPr>
        <w:rPr>
          <w:sz w:val="24"/>
        </w:rPr>
      </w:pPr>
      <w:r w:rsidRPr="005228C3">
        <w:rPr>
          <w:sz w:val="24"/>
        </w:rPr>
        <w:t>The responses and burden for Years 1-3 will total respectively as follows:</w:t>
      </w:r>
    </w:p>
    <w:p w14:paraId="4E9E4608" w14:textId="77777777" w:rsidR="00074EFD" w:rsidRPr="005228C3" w:rsidRDefault="00074EFD" w:rsidP="00074EFD">
      <w:pPr>
        <w:pStyle w:val="FERCparanumber"/>
        <w:numPr>
          <w:ilvl w:val="0"/>
          <w:numId w:val="0"/>
        </w:numPr>
        <w:rPr>
          <w:sz w:val="24"/>
        </w:rPr>
      </w:pPr>
      <w:r w:rsidRPr="005228C3">
        <w:rPr>
          <w:sz w:val="24"/>
        </w:rPr>
        <w:t>Year 1: 55 responses; 550 hours (FERC-545); 1,210 hours (FERC-549C)</w:t>
      </w:r>
    </w:p>
    <w:p w14:paraId="28F17414" w14:textId="77777777" w:rsidR="00074EFD" w:rsidRPr="005228C3" w:rsidRDefault="00074EFD" w:rsidP="00074EFD">
      <w:pPr>
        <w:pStyle w:val="FERCparanumber"/>
        <w:numPr>
          <w:ilvl w:val="0"/>
          <w:numId w:val="0"/>
        </w:numPr>
        <w:rPr>
          <w:sz w:val="24"/>
        </w:rPr>
      </w:pPr>
      <w:r w:rsidRPr="005228C3">
        <w:rPr>
          <w:sz w:val="24"/>
        </w:rPr>
        <w:t>Year 2: 55 responses; 550 hours (FERC-545); 1,210 hours (FERC-549C)</w:t>
      </w:r>
    </w:p>
    <w:p w14:paraId="51FEEE91" w14:textId="77777777" w:rsidR="00074EFD" w:rsidRPr="005228C3" w:rsidRDefault="00074EFD" w:rsidP="00074EFD">
      <w:pPr>
        <w:pStyle w:val="FERCparanumber"/>
        <w:numPr>
          <w:ilvl w:val="0"/>
          <w:numId w:val="0"/>
        </w:numPr>
        <w:rPr>
          <w:sz w:val="24"/>
        </w:rPr>
      </w:pPr>
      <w:r w:rsidRPr="005228C3">
        <w:rPr>
          <w:sz w:val="24"/>
        </w:rPr>
        <w:t>Year 3: 55 responses; 550 hours (FERC-545); 1,210 hours (FERC-549C)</w:t>
      </w:r>
    </w:p>
    <w:p w14:paraId="4DB1A23B" w14:textId="77777777" w:rsidR="009C523A" w:rsidRDefault="009C523A" w:rsidP="009C523A">
      <w:pPr>
        <w:rPr>
          <w:b/>
          <w:sz w:val="24"/>
          <w:u w:val="single"/>
        </w:rPr>
      </w:pPr>
    </w:p>
    <w:p w14:paraId="5D9E539A" w14:textId="50C98D87" w:rsidR="00B17FD0" w:rsidRDefault="00B17FD0" w:rsidP="009C523A">
      <w:pPr>
        <w:rPr>
          <w:b/>
          <w:sz w:val="24"/>
          <w:u w:val="single"/>
        </w:rPr>
      </w:pPr>
      <w:r>
        <w:rPr>
          <w:b/>
          <w:sz w:val="24"/>
          <w:u w:val="single"/>
        </w:rPr>
        <w:t>FERC-549C (removal of one-time burden)</w:t>
      </w:r>
    </w:p>
    <w:p w14:paraId="0FB4F57D" w14:textId="77777777" w:rsidR="00070536" w:rsidRDefault="00070536" w:rsidP="00070536">
      <w:pPr>
        <w:rPr>
          <w:sz w:val="24"/>
        </w:rPr>
      </w:pPr>
      <w:r>
        <w:rPr>
          <w:sz w:val="24"/>
        </w:rPr>
        <w:t>Also, FERC staff is removing a one-time requirement that is outside of its implementation period, has been completed, and should no longer apply the FERC-549C reporting burden:</w:t>
      </w:r>
    </w:p>
    <w:p w14:paraId="2C3A78BB" w14:textId="77777777" w:rsidR="00070536" w:rsidRDefault="00070536" w:rsidP="00070536">
      <w:pPr>
        <w:rPr>
          <w:sz w:val="24"/>
        </w:rPr>
      </w:pPr>
    </w:p>
    <w:p w14:paraId="5A3659E0" w14:textId="76CBF2F2" w:rsidR="00070536" w:rsidRPr="003D4D48" w:rsidRDefault="00070536" w:rsidP="00070536">
      <w:pPr>
        <w:pStyle w:val="ListParagraph"/>
        <w:numPr>
          <w:ilvl w:val="0"/>
          <w:numId w:val="11"/>
        </w:numPr>
      </w:pPr>
      <w:r>
        <w:t>Implementation of New Standards and 1 Added Intraday Nomination Cycle</w:t>
      </w:r>
      <w:r>
        <w:rPr>
          <w:rStyle w:val="FootnoteReference"/>
        </w:rPr>
        <w:footnoteReference w:id="15"/>
      </w:r>
      <w:r>
        <w:t>: 80 responses and 13,200 hours annually (averaged over Years 1-3)</w:t>
      </w:r>
      <w:r w:rsidR="00E83123">
        <w:rPr>
          <w:rStyle w:val="FootnoteReference"/>
        </w:rPr>
        <w:footnoteReference w:id="16"/>
      </w:r>
    </w:p>
    <w:p w14:paraId="1573669F" w14:textId="77777777" w:rsidR="00B17FD0" w:rsidRDefault="00B17FD0" w:rsidP="009C523A">
      <w:pPr>
        <w:rPr>
          <w:b/>
          <w:sz w:val="24"/>
          <w:u w:val="single"/>
        </w:rPr>
      </w:pPr>
    </w:p>
    <w:p w14:paraId="769D5F84" w14:textId="77777777" w:rsidR="00B17FD0" w:rsidRDefault="00B17FD0" w:rsidP="009C523A">
      <w:pPr>
        <w:rPr>
          <w:b/>
          <w:sz w:val="24"/>
          <w:u w:val="single"/>
        </w:rPr>
      </w:pPr>
    </w:p>
    <w:p w14:paraId="32A99983" w14:textId="77777777" w:rsidR="009C523A" w:rsidRPr="005409EE" w:rsidRDefault="009C523A" w:rsidP="009C523A">
      <w:pPr>
        <w:rPr>
          <w:b/>
          <w:sz w:val="24"/>
          <w:u w:val="single"/>
        </w:rPr>
      </w:pPr>
      <w:r w:rsidRPr="005409EE">
        <w:rPr>
          <w:b/>
          <w:sz w:val="24"/>
          <w:u w:val="single"/>
        </w:rPr>
        <w:t>FE</w:t>
      </w:r>
      <w:r>
        <w:rPr>
          <w:b/>
          <w:sz w:val="24"/>
          <w:u w:val="single"/>
        </w:rPr>
        <w:t xml:space="preserve">RC-549C </w:t>
      </w:r>
      <w:r w:rsidRPr="005409EE">
        <w:rPr>
          <w:b/>
          <w:sz w:val="24"/>
          <w:u w:val="single"/>
        </w:rPr>
        <w:t>(renewal)</w:t>
      </w:r>
    </w:p>
    <w:p w14:paraId="2F72F588" w14:textId="77777777" w:rsidR="009C523A" w:rsidRDefault="009C523A" w:rsidP="009C523A">
      <w:pPr>
        <w:rPr>
          <w:sz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9C523A" w:rsidRPr="00D77538" w14:paraId="4DA12A7E" w14:textId="77777777" w:rsidTr="00480622">
        <w:trPr>
          <w:cantSplit/>
        </w:trPr>
        <w:tc>
          <w:tcPr>
            <w:tcW w:w="5000" w:type="pct"/>
            <w:gridSpan w:val="7"/>
            <w:tcBorders>
              <w:bottom w:val="single" w:sz="4" w:space="0" w:color="auto"/>
            </w:tcBorders>
            <w:shd w:val="clear" w:color="auto" w:fill="D9D9D9"/>
          </w:tcPr>
          <w:p w14:paraId="68422C0F" w14:textId="77777777" w:rsidR="009C523A" w:rsidRPr="006A60CF" w:rsidRDefault="009C523A" w:rsidP="00480622">
            <w:pPr>
              <w:jc w:val="center"/>
              <w:rPr>
                <w:rFonts w:eastAsia="Calibri"/>
                <w:b/>
                <w:sz w:val="20"/>
                <w:szCs w:val="20"/>
              </w:rPr>
            </w:pPr>
            <w:r>
              <w:rPr>
                <w:rFonts w:eastAsia="Calibri"/>
                <w:b/>
                <w:sz w:val="20"/>
                <w:szCs w:val="20"/>
              </w:rPr>
              <w:t>FERC-549C: Standards for Business Practices of Interstate Natural Gas Pipelines</w:t>
            </w:r>
          </w:p>
        </w:tc>
      </w:tr>
      <w:tr w:rsidR="009C523A" w:rsidRPr="00D77538" w14:paraId="38176C68" w14:textId="77777777" w:rsidTr="00480622">
        <w:trPr>
          <w:cantSplit/>
        </w:trPr>
        <w:tc>
          <w:tcPr>
            <w:tcW w:w="878" w:type="pct"/>
            <w:shd w:val="clear" w:color="auto" w:fill="D9D9D9"/>
          </w:tcPr>
          <w:p w14:paraId="3AE804F5" w14:textId="77777777" w:rsidR="009C523A" w:rsidRPr="006A60CF" w:rsidRDefault="009C523A" w:rsidP="00480622">
            <w:pPr>
              <w:jc w:val="center"/>
              <w:rPr>
                <w:rFonts w:eastAsia="Calibri"/>
                <w:b/>
                <w:sz w:val="20"/>
                <w:szCs w:val="20"/>
              </w:rPr>
            </w:pPr>
          </w:p>
        </w:tc>
        <w:tc>
          <w:tcPr>
            <w:tcW w:w="746" w:type="pct"/>
            <w:shd w:val="clear" w:color="auto" w:fill="D9D9D9"/>
            <w:vAlign w:val="bottom"/>
          </w:tcPr>
          <w:p w14:paraId="7212F508" w14:textId="77777777" w:rsidR="009C523A" w:rsidRPr="006A60CF" w:rsidRDefault="009C523A" w:rsidP="00480622">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5C4F1F6D" w14:textId="77777777" w:rsidR="009C523A" w:rsidRPr="006A60CF" w:rsidRDefault="009C523A" w:rsidP="00480622">
            <w:pPr>
              <w:jc w:val="center"/>
              <w:rPr>
                <w:rFonts w:eastAsia="Calibri"/>
                <w:b/>
                <w:sz w:val="20"/>
                <w:szCs w:val="20"/>
              </w:rPr>
            </w:pPr>
            <w:r>
              <w:rPr>
                <w:rFonts w:eastAsia="Calibri"/>
                <w:b/>
                <w:sz w:val="20"/>
                <w:szCs w:val="20"/>
              </w:rPr>
              <w:t xml:space="preserve">Average </w:t>
            </w:r>
            <w:r w:rsidRPr="006A60CF">
              <w:rPr>
                <w:rFonts w:eastAsia="Calibri"/>
                <w:b/>
                <w:sz w:val="20"/>
                <w:szCs w:val="20"/>
              </w:rPr>
              <w:t>Number of Responses per Respondent</w:t>
            </w:r>
          </w:p>
          <w:p w14:paraId="62758B9C" w14:textId="77777777" w:rsidR="009C523A" w:rsidRPr="006A60CF" w:rsidRDefault="009C523A" w:rsidP="00480622">
            <w:pPr>
              <w:jc w:val="center"/>
              <w:rPr>
                <w:rFonts w:eastAsia="Calibri"/>
                <w:b/>
                <w:sz w:val="20"/>
                <w:szCs w:val="20"/>
              </w:rPr>
            </w:pPr>
            <w:r w:rsidRPr="006A60CF">
              <w:rPr>
                <w:rFonts w:eastAsia="Calibri"/>
                <w:b/>
                <w:sz w:val="20"/>
                <w:szCs w:val="20"/>
              </w:rPr>
              <w:t>(2)</w:t>
            </w:r>
            <w:r>
              <w:rPr>
                <w:rFonts w:eastAsia="Calibri"/>
                <w:b/>
                <w:sz w:val="20"/>
                <w:szCs w:val="20"/>
              </w:rPr>
              <w:t>=(3)÷(1)</w:t>
            </w:r>
            <w:r>
              <w:rPr>
                <w:rStyle w:val="FootnoteReference"/>
                <w:rFonts w:eastAsia="Calibri"/>
                <w:b w:val="0"/>
              </w:rPr>
              <w:footnoteReference w:id="17"/>
            </w:r>
          </w:p>
        </w:tc>
        <w:tc>
          <w:tcPr>
            <w:tcW w:w="703" w:type="pct"/>
            <w:shd w:val="clear" w:color="auto" w:fill="D9D9D9"/>
            <w:vAlign w:val="bottom"/>
          </w:tcPr>
          <w:p w14:paraId="5279D8E8" w14:textId="77777777" w:rsidR="009C523A" w:rsidRDefault="009C523A" w:rsidP="00480622">
            <w:pPr>
              <w:jc w:val="center"/>
              <w:rPr>
                <w:rFonts w:eastAsia="Calibri"/>
                <w:b/>
                <w:sz w:val="20"/>
                <w:szCs w:val="20"/>
              </w:rPr>
            </w:pPr>
            <w:r w:rsidRPr="006A60CF">
              <w:rPr>
                <w:rFonts w:eastAsia="Calibri"/>
                <w:b/>
                <w:sz w:val="20"/>
                <w:szCs w:val="20"/>
              </w:rPr>
              <w:t>Total</w:t>
            </w:r>
            <w:r>
              <w:rPr>
                <w:rFonts w:eastAsia="Calibri"/>
                <w:b/>
                <w:sz w:val="20"/>
                <w:szCs w:val="20"/>
              </w:rPr>
              <w:t xml:space="preserve"> Number of Responses </w:t>
            </w:r>
          </w:p>
          <w:p w14:paraId="27831213" w14:textId="77777777" w:rsidR="009C523A" w:rsidRPr="006A60CF" w:rsidRDefault="009C523A" w:rsidP="00480622">
            <w:pPr>
              <w:jc w:val="center"/>
              <w:rPr>
                <w:rFonts w:eastAsia="Calibri"/>
                <w:b/>
                <w:sz w:val="20"/>
                <w:szCs w:val="20"/>
              </w:rPr>
            </w:pPr>
            <w:r w:rsidRPr="006A60CF">
              <w:rPr>
                <w:rFonts w:eastAsia="Calibri"/>
                <w:b/>
                <w:sz w:val="20"/>
                <w:szCs w:val="20"/>
              </w:rPr>
              <w:t>(3)</w:t>
            </w:r>
          </w:p>
        </w:tc>
        <w:tc>
          <w:tcPr>
            <w:tcW w:w="654" w:type="pct"/>
            <w:shd w:val="clear" w:color="auto" w:fill="D9D9D9"/>
            <w:vAlign w:val="bottom"/>
          </w:tcPr>
          <w:p w14:paraId="6A593BEA" w14:textId="77777777" w:rsidR="009C523A" w:rsidRPr="006A60CF" w:rsidRDefault="009C523A" w:rsidP="00480622">
            <w:pPr>
              <w:jc w:val="center"/>
              <w:rPr>
                <w:rFonts w:eastAsia="Calibri"/>
                <w:b/>
                <w:sz w:val="20"/>
                <w:szCs w:val="20"/>
              </w:rPr>
            </w:pPr>
            <w:r w:rsidRPr="006A60CF">
              <w:rPr>
                <w:rFonts w:eastAsia="Calibri"/>
                <w:b/>
                <w:sz w:val="20"/>
                <w:szCs w:val="20"/>
              </w:rPr>
              <w:t>Average Burden</w:t>
            </w:r>
            <w:r>
              <w:rPr>
                <w:rFonts w:eastAsia="Calibri"/>
                <w:b/>
                <w:sz w:val="20"/>
                <w:szCs w:val="20"/>
              </w:rPr>
              <w:t xml:space="preserve"> Hrs. &amp; </w:t>
            </w:r>
            <w:r w:rsidRPr="006A60CF">
              <w:rPr>
                <w:rFonts w:eastAsia="Calibri"/>
                <w:b/>
                <w:sz w:val="20"/>
                <w:szCs w:val="20"/>
              </w:rPr>
              <w:t xml:space="preserve">Cost </w:t>
            </w:r>
            <w:r>
              <w:rPr>
                <w:rFonts w:eastAsia="Calibri"/>
                <w:b/>
                <w:sz w:val="20"/>
                <w:szCs w:val="20"/>
              </w:rPr>
              <w:t xml:space="preserve">($) </w:t>
            </w:r>
            <w:r w:rsidRPr="006A60CF">
              <w:rPr>
                <w:rFonts w:eastAsia="Calibri"/>
                <w:b/>
                <w:sz w:val="20"/>
                <w:szCs w:val="20"/>
              </w:rPr>
              <w:t>Per Response</w:t>
            </w:r>
            <w:r w:rsidRPr="006A60CF">
              <w:rPr>
                <w:rFonts w:eastAsia="Calibri"/>
                <w:b/>
                <w:sz w:val="20"/>
                <w:szCs w:val="20"/>
                <w:vertAlign w:val="superscript"/>
              </w:rPr>
              <w:footnoteReference w:id="18"/>
            </w:r>
          </w:p>
          <w:p w14:paraId="7C5C781D" w14:textId="77777777" w:rsidR="009C523A" w:rsidRPr="006A60CF" w:rsidRDefault="009C523A" w:rsidP="00480622">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0278F743" w14:textId="77777777" w:rsidR="009C523A" w:rsidRPr="006A60CF" w:rsidRDefault="009C523A" w:rsidP="00480622">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r>
              <w:rPr>
                <w:rFonts w:eastAsia="Calibri"/>
                <w:b/>
                <w:sz w:val="20"/>
                <w:szCs w:val="20"/>
              </w:rPr>
              <w:t xml:space="preserve"> ($)</w:t>
            </w:r>
          </w:p>
          <w:p w14:paraId="75B2693A" w14:textId="77777777" w:rsidR="009C523A" w:rsidRPr="006A60CF" w:rsidRDefault="009C523A" w:rsidP="00480622">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587BD680" w14:textId="77777777" w:rsidR="009C523A" w:rsidRDefault="009C523A" w:rsidP="00480622">
            <w:pPr>
              <w:jc w:val="center"/>
              <w:rPr>
                <w:rFonts w:eastAsia="Calibri"/>
                <w:b/>
                <w:sz w:val="20"/>
                <w:szCs w:val="20"/>
              </w:rPr>
            </w:pPr>
            <w:r w:rsidRPr="006A60CF">
              <w:rPr>
                <w:rFonts w:eastAsia="Calibri"/>
                <w:b/>
                <w:sz w:val="20"/>
                <w:szCs w:val="20"/>
              </w:rPr>
              <w:t>Cost per Respondent</w:t>
            </w:r>
          </w:p>
          <w:p w14:paraId="21E0C3CB" w14:textId="77777777" w:rsidR="009C523A" w:rsidRPr="006A60CF" w:rsidRDefault="009C523A" w:rsidP="00480622">
            <w:pPr>
              <w:jc w:val="center"/>
              <w:rPr>
                <w:rFonts w:eastAsia="Calibri"/>
                <w:b/>
                <w:sz w:val="20"/>
                <w:szCs w:val="20"/>
              </w:rPr>
            </w:pPr>
            <w:r>
              <w:rPr>
                <w:rFonts w:eastAsia="Calibri"/>
                <w:b/>
                <w:sz w:val="20"/>
                <w:szCs w:val="20"/>
              </w:rPr>
              <w:t>(rounded)</w:t>
            </w:r>
          </w:p>
          <w:p w14:paraId="46C40DAD" w14:textId="77777777" w:rsidR="009C523A" w:rsidRPr="006A60CF" w:rsidRDefault="009C523A" w:rsidP="00480622">
            <w:pPr>
              <w:jc w:val="center"/>
              <w:rPr>
                <w:rFonts w:eastAsia="Calibri"/>
                <w:b/>
                <w:sz w:val="20"/>
                <w:szCs w:val="20"/>
              </w:rPr>
            </w:pPr>
            <w:r w:rsidRPr="006A60CF">
              <w:rPr>
                <w:rFonts w:eastAsia="Calibri"/>
                <w:b/>
                <w:sz w:val="20"/>
                <w:szCs w:val="20"/>
              </w:rPr>
              <w:t xml:space="preserve"> ($)</w:t>
            </w:r>
          </w:p>
          <w:p w14:paraId="6A4D71E6" w14:textId="77777777" w:rsidR="009C523A" w:rsidRPr="006A60CF" w:rsidRDefault="009C523A" w:rsidP="00480622">
            <w:pPr>
              <w:jc w:val="center"/>
              <w:rPr>
                <w:rFonts w:eastAsia="Calibri"/>
                <w:b/>
                <w:sz w:val="20"/>
                <w:szCs w:val="20"/>
              </w:rPr>
            </w:pPr>
            <w:r w:rsidRPr="006A60CF">
              <w:rPr>
                <w:rFonts w:eastAsia="Calibri"/>
                <w:b/>
                <w:sz w:val="20"/>
                <w:szCs w:val="20"/>
              </w:rPr>
              <w:t>(5)÷(1)</w:t>
            </w:r>
          </w:p>
        </w:tc>
      </w:tr>
      <w:tr w:rsidR="009C523A" w:rsidRPr="00D77538" w14:paraId="6E14F86E" w14:textId="77777777" w:rsidTr="00480622">
        <w:trPr>
          <w:cantSplit/>
        </w:trPr>
        <w:tc>
          <w:tcPr>
            <w:tcW w:w="878" w:type="pct"/>
          </w:tcPr>
          <w:p w14:paraId="75A6A22D" w14:textId="77777777" w:rsidR="009C523A" w:rsidRPr="006A60CF" w:rsidRDefault="009C523A" w:rsidP="00480622">
            <w:pPr>
              <w:rPr>
                <w:rFonts w:eastAsia="Calibri"/>
                <w:sz w:val="20"/>
                <w:szCs w:val="20"/>
              </w:rPr>
            </w:pPr>
            <w:r>
              <w:rPr>
                <w:rFonts w:eastAsia="Calibri"/>
                <w:sz w:val="20"/>
                <w:szCs w:val="20"/>
              </w:rPr>
              <w:t>Standards for Business Practices of Interstate Natural Gas Pipelines</w:t>
            </w:r>
          </w:p>
        </w:tc>
        <w:tc>
          <w:tcPr>
            <w:tcW w:w="746" w:type="pct"/>
          </w:tcPr>
          <w:p w14:paraId="14A894BB" w14:textId="77777777" w:rsidR="009C523A" w:rsidRPr="006A60CF" w:rsidRDefault="009C523A" w:rsidP="00480622">
            <w:pPr>
              <w:jc w:val="right"/>
              <w:rPr>
                <w:rFonts w:eastAsia="Calibri"/>
                <w:sz w:val="20"/>
                <w:szCs w:val="20"/>
              </w:rPr>
            </w:pPr>
            <w:r>
              <w:rPr>
                <w:rFonts w:eastAsia="Calibri"/>
                <w:sz w:val="20"/>
                <w:szCs w:val="20"/>
              </w:rPr>
              <w:t>165</w:t>
            </w:r>
          </w:p>
          <w:p w14:paraId="225E917E" w14:textId="77777777" w:rsidR="009C523A" w:rsidRPr="006A60CF" w:rsidRDefault="009C523A" w:rsidP="00480622">
            <w:pPr>
              <w:jc w:val="right"/>
              <w:rPr>
                <w:rFonts w:eastAsia="Calibri"/>
                <w:sz w:val="20"/>
                <w:szCs w:val="20"/>
              </w:rPr>
            </w:pPr>
          </w:p>
        </w:tc>
        <w:tc>
          <w:tcPr>
            <w:tcW w:w="746" w:type="pct"/>
          </w:tcPr>
          <w:p w14:paraId="21005429" w14:textId="77777777" w:rsidR="009C523A" w:rsidRPr="006A60CF" w:rsidRDefault="009C523A" w:rsidP="00480622">
            <w:pPr>
              <w:jc w:val="right"/>
              <w:rPr>
                <w:rFonts w:eastAsia="Calibri"/>
                <w:sz w:val="20"/>
                <w:szCs w:val="20"/>
              </w:rPr>
            </w:pPr>
            <w:r>
              <w:rPr>
                <w:rFonts w:eastAsia="Calibri"/>
                <w:sz w:val="20"/>
                <w:szCs w:val="20"/>
              </w:rPr>
              <w:t>2.97</w:t>
            </w:r>
          </w:p>
        </w:tc>
        <w:tc>
          <w:tcPr>
            <w:tcW w:w="703" w:type="pct"/>
          </w:tcPr>
          <w:p w14:paraId="24A96404" w14:textId="77777777" w:rsidR="009C523A" w:rsidRPr="006A60CF" w:rsidRDefault="009C523A" w:rsidP="00480622">
            <w:pPr>
              <w:jc w:val="right"/>
              <w:rPr>
                <w:rFonts w:eastAsia="Calibri"/>
                <w:sz w:val="20"/>
                <w:szCs w:val="20"/>
              </w:rPr>
            </w:pPr>
            <w:r>
              <w:rPr>
                <w:rFonts w:eastAsia="Calibri"/>
                <w:sz w:val="20"/>
                <w:szCs w:val="20"/>
              </w:rPr>
              <w:t>490</w:t>
            </w:r>
          </w:p>
        </w:tc>
        <w:tc>
          <w:tcPr>
            <w:tcW w:w="654" w:type="pct"/>
          </w:tcPr>
          <w:p w14:paraId="116EACFF" w14:textId="77777777" w:rsidR="009C523A" w:rsidRPr="006A60CF" w:rsidRDefault="009C523A" w:rsidP="00480622">
            <w:pPr>
              <w:jc w:val="right"/>
              <w:rPr>
                <w:rFonts w:eastAsia="Calibri"/>
                <w:sz w:val="20"/>
                <w:szCs w:val="20"/>
              </w:rPr>
            </w:pPr>
            <w:r>
              <w:rPr>
                <w:rFonts w:eastAsia="Calibri"/>
                <w:sz w:val="20"/>
                <w:szCs w:val="20"/>
              </w:rPr>
              <w:t>96 hrs.;</w:t>
            </w:r>
          </w:p>
          <w:p w14:paraId="5DEF674F" w14:textId="77777777" w:rsidR="009C523A" w:rsidRPr="006A60CF" w:rsidRDefault="009C523A" w:rsidP="00480622">
            <w:pPr>
              <w:jc w:val="right"/>
              <w:rPr>
                <w:rFonts w:eastAsia="Calibri"/>
                <w:sz w:val="20"/>
                <w:szCs w:val="20"/>
              </w:rPr>
            </w:pPr>
            <w:r>
              <w:rPr>
                <w:rFonts w:eastAsia="Calibri"/>
                <w:sz w:val="20"/>
                <w:szCs w:val="20"/>
              </w:rPr>
              <w:t>$8,928</w:t>
            </w:r>
          </w:p>
        </w:tc>
        <w:tc>
          <w:tcPr>
            <w:tcW w:w="657" w:type="pct"/>
          </w:tcPr>
          <w:p w14:paraId="445B3623" w14:textId="77777777" w:rsidR="009C523A" w:rsidRPr="006A60CF" w:rsidRDefault="009C523A" w:rsidP="00480622">
            <w:pPr>
              <w:jc w:val="right"/>
              <w:rPr>
                <w:rFonts w:eastAsia="Calibri"/>
                <w:sz w:val="20"/>
                <w:szCs w:val="20"/>
              </w:rPr>
            </w:pPr>
            <w:r>
              <w:rPr>
                <w:rFonts w:eastAsia="Calibri"/>
                <w:sz w:val="20"/>
                <w:szCs w:val="20"/>
              </w:rPr>
              <w:t xml:space="preserve"> 47,040 hrs.;</w:t>
            </w:r>
          </w:p>
          <w:p w14:paraId="7A38C0E4" w14:textId="77777777" w:rsidR="009C523A" w:rsidRPr="006A60CF" w:rsidRDefault="009C523A" w:rsidP="00480622">
            <w:pPr>
              <w:jc w:val="right"/>
              <w:rPr>
                <w:rFonts w:eastAsia="Calibri"/>
                <w:sz w:val="20"/>
                <w:szCs w:val="20"/>
              </w:rPr>
            </w:pPr>
            <w:r>
              <w:rPr>
                <w:rFonts w:eastAsia="Calibri"/>
                <w:sz w:val="20"/>
                <w:szCs w:val="20"/>
              </w:rPr>
              <w:t>$4,374,720</w:t>
            </w:r>
          </w:p>
        </w:tc>
        <w:tc>
          <w:tcPr>
            <w:tcW w:w="616" w:type="pct"/>
          </w:tcPr>
          <w:p w14:paraId="6E4CE569" w14:textId="77777777" w:rsidR="009C523A" w:rsidRPr="006A60CF" w:rsidRDefault="009C523A" w:rsidP="00480622">
            <w:pPr>
              <w:jc w:val="right"/>
              <w:rPr>
                <w:rFonts w:eastAsia="Calibri"/>
                <w:sz w:val="20"/>
                <w:szCs w:val="20"/>
              </w:rPr>
            </w:pPr>
            <w:r>
              <w:rPr>
                <w:rFonts w:eastAsia="Calibri"/>
                <w:sz w:val="20"/>
                <w:szCs w:val="20"/>
              </w:rPr>
              <w:t>$26,513</w:t>
            </w:r>
            <w:r w:rsidRPr="006A60CF">
              <w:rPr>
                <w:rFonts w:eastAsia="Calibri"/>
                <w:sz w:val="20"/>
                <w:szCs w:val="20"/>
              </w:rPr>
              <w:t xml:space="preserve"> </w:t>
            </w:r>
          </w:p>
          <w:p w14:paraId="1709CD48" w14:textId="77777777" w:rsidR="009C523A" w:rsidRPr="006A60CF" w:rsidRDefault="009C523A" w:rsidP="00480622">
            <w:pPr>
              <w:jc w:val="right"/>
              <w:rPr>
                <w:rFonts w:eastAsia="Calibri"/>
                <w:sz w:val="20"/>
                <w:szCs w:val="20"/>
              </w:rPr>
            </w:pPr>
          </w:p>
        </w:tc>
      </w:tr>
    </w:tbl>
    <w:p w14:paraId="2BC648B7" w14:textId="77777777" w:rsidR="002D4D89" w:rsidRDefault="002D4D89" w:rsidP="00BC15BE">
      <w:pPr>
        <w:rPr>
          <w:b/>
          <w:sz w:val="24"/>
          <w:u w:val="single"/>
        </w:rPr>
      </w:pPr>
    </w:p>
    <w:p w14:paraId="21A40B83" w14:textId="77FB7708" w:rsidR="005409EE" w:rsidRPr="002D4D89" w:rsidRDefault="00E34C4E" w:rsidP="00BC15BE">
      <w:pPr>
        <w:rPr>
          <w:b/>
          <w:sz w:val="24"/>
          <w:u w:val="single"/>
        </w:rPr>
      </w:pPr>
      <w:r w:rsidRPr="002D4D89">
        <w:rPr>
          <w:b/>
          <w:sz w:val="24"/>
          <w:u w:val="single"/>
        </w:rPr>
        <w:t>Total requested</w:t>
      </w:r>
      <w:r w:rsidR="002D4D89">
        <w:rPr>
          <w:b/>
          <w:sz w:val="24"/>
          <w:u w:val="single"/>
        </w:rPr>
        <w:t xml:space="preserve"> r</w:t>
      </w:r>
      <w:r w:rsidR="009C523A">
        <w:rPr>
          <w:b/>
          <w:sz w:val="24"/>
          <w:u w:val="single"/>
        </w:rPr>
        <w:t>esponses and burden for FERC-549C</w:t>
      </w:r>
      <w:r w:rsidR="002D4D89" w:rsidRPr="002D4D89">
        <w:rPr>
          <w:b/>
          <w:sz w:val="24"/>
          <w:u w:val="single"/>
        </w:rPr>
        <w:t>:</w:t>
      </w:r>
    </w:p>
    <w:p w14:paraId="4AFACFF3" w14:textId="3BF1FEE9" w:rsidR="002D4D89" w:rsidRDefault="002D4D89" w:rsidP="00BC15BE">
      <w:pPr>
        <w:rPr>
          <w:sz w:val="24"/>
        </w:rPr>
      </w:pPr>
      <w:r>
        <w:rPr>
          <w:sz w:val="24"/>
        </w:rPr>
        <w:t>Annual response: 55 response/year (due to F</w:t>
      </w:r>
      <w:r w:rsidR="008C6E2A">
        <w:rPr>
          <w:sz w:val="24"/>
        </w:rPr>
        <w:t>inal Rule in RM96-1-041) + 490 responses/year (FERC-549C renewal) = 545</w:t>
      </w:r>
      <w:r>
        <w:rPr>
          <w:sz w:val="24"/>
        </w:rPr>
        <w:t xml:space="preserve"> responses/year.</w:t>
      </w:r>
    </w:p>
    <w:p w14:paraId="181B295B" w14:textId="77777777" w:rsidR="002D4D89" w:rsidRDefault="002D4D89" w:rsidP="00BC15BE">
      <w:pPr>
        <w:rPr>
          <w:sz w:val="24"/>
        </w:rPr>
      </w:pPr>
    </w:p>
    <w:p w14:paraId="45879825" w14:textId="5CFE25E1" w:rsidR="002D4D89" w:rsidRDefault="008C6E2A" w:rsidP="00BC15BE">
      <w:pPr>
        <w:rPr>
          <w:sz w:val="24"/>
        </w:rPr>
      </w:pPr>
      <w:r>
        <w:rPr>
          <w:sz w:val="24"/>
        </w:rPr>
        <w:t>Annual hourly burden 1,210</w:t>
      </w:r>
      <w:r w:rsidR="002D4D89">
        <w:rPr>
          <w:sz w:val="24"/>
        </w:rPr>
        <w:t xml:space="preserve"> hours (due to Fi</w:t>
      </w:r>
      <w:r>
        <w:rPr>
          <w:sz w:val="24"/>
        </w:rPr>
        <w:t>nal Rule in R96-1-041) + 47,040 hours (FERC-549C renewal) = 48,250</w:t>
      </w:r>
      <w:r w:rsidR="002D4D89">
        <w:rPr>
          <w:sz w:val="24"/>
        </w:rPr>
        <w:t xml:space="preserve"> hours/year.</w:t>
      </w:r>
    </w:p>
    <w:p w14:paraId="25D7FD95" w14:textId="77777777" w:rsidR="00E34C4E" w:rsidRPr="00F5428B" w:rsidRDefault="00E34C4E" w:rsidP="00BC15BE">
      <w:pPr>
        <w:rPr>
          <w:sz w:val="24"/>
        </w:rPr>
      </w:pPr>
    </w:p>
    <w:p w14:paraId="2D5A5365" w14:textId="77777777" w:rsidR="00BC15BE" w:rsidRPr="00F5428B" w:rsidRDefault="00BC15BE" w:rsidP="00BC15BE">
      <w:pPr>
        <w:pStyle w:val="Level1"/>
        <w:rPr>
          <w:b/>
        </w:rPr>
      </w:pPr>
      <w:r w:rsidRPr="00F5428B">
        <w:rPr>
          <w:b/>
        </w:rPr>
        <w:t>ESTIMATE OF THE TOTAL ANNUAL COST BURDEN TO RESPONDENTS</w:t>
      </w:r>
    </w:p>
    <w:p w14:paraId="7D3E0302" w14:textId="77777777" w:rsidR="00BC15BE" w:rsidRPr="00F5428B" w:rsidRDefault="00BC15BE" w:rsidP="00BC15BE">
      <w:pPr>
        <w:rPr>
          <w:sz w:val="24"/>
        </w:rPr>
      </w:pPr>
    </w:p>
    <w:p w14:paraId="4F066234" w14:textId="243EDBA3" w:rsidR="005228C3" w:rsidRDefault="005228C3" w:rsidP="00BC15BE">
      <w:pPr>
        <w:rPr>
          <w:b/>
          <w:sz w:val="24"/>
          <w:u w:val="single"/>
        </w:rPr>
      </w:pPr>
      <w:r w:rsidRPr="00950A2F">
        <w:rPr>
          <w:b/>
          <w:sz w:val="24"/>
          <w:u w:val="single"/>
        </w:rPr>
        <w:t>F</w:t>
      </w:r>
      <w:r w:rsidR="00F86954">
        <w:rPr>
          <w:b/>
          <w:sz w:val="24"/>
          <w:u w:val="single"/>
        </w:rPr>
        <w:t>inal Rule i</w:t>
      </w:r>
      <w:r w:rsidR="008C6E2A">
        <w:rPr>
          <w:b/>
          <w:sz w:val="24"/>
          <w:u w:val="single"/>
        </w:rPr>
        <w:t>n Docket RM96-1-041 and FERC-549C</w:t>
      </w:r>
      <w:r w:rsidR="00533037">
        <w:rPr>
          <w:b/>
          <w:sz w:val="24"/>
          <w:u w:val="single"/>
        </w:rPr>
        <w:t xml:space="preserve"> </w:t>
      </w:r>
      <w:r w:rsidR="00577E07">
        <w:rPr>
          <w:b/>
          <w:sz w:val="24"/>
          <w:u w:val="single"/>
        </w:rPr>
        <w:t>(renewal)</w:t>
      </w:r>
    </w:p>
    <w:p w14:paraId="42F2561B" w14:textId="77777777" w:rsidR="008F65E6" w:rsidRDefault="008F65E6" w:rsidP="00BC15BE">
      <w:pPr>
        <w:rPr>
          <w:sz w:val="24"/>
        </w:rPr>
      </w:pPr>
    </w:p>
    <w:p w14:paraId="65DE3541" w14:textId="77777777" w:rsidR="00BC15BE" w:rsidRPr="00F5428B" w:rsidRDefault="00F8150C" w:rsidP="00BC15BE">
      <w:pPr>
        <w:rPr>
          <w:sz w:val="24"/>
        </w:rPr>
      </w:pPr>
      <w:r w:rsidRPr="00F5428B">
        <w:rPr>
          <w:sz w:val="24"/>
        </w:rPr>
        <w:t>There are no capital or start-up costs for the requirements in the Final Rule in RM96-1-0</w:t>
      </w:r>
      <w:r w:rsidR="00D36F12">
        <w:rPr>
          <w:sz w:val="24"/>
        </w:rPr>
        <w:t>41</w:t>
      </w:r>
      <w:r w:rsidRPr="00F5428B">
        <w:rPr>
          <w:sz w:val="24"/>
        </w:rPr>
        <w:t xml:space="preserve"> that are not associated with the burden hours.  All of the costs are related to burden hours and are detailed in </w:t>
      </w:r>
      <w:r w:rsidR="000C0189">
        <w:rPr>
          <w:sz w:val="24"/>
        </w:rPr>
        <w:t>Paragraphs</w:t>
      </w:r>
      <w:r w:rsidR="008611ED">
        <w:rPr>
          <w:sz w:val="24"/>
        </w:rPr>
        <w:t xml:space="preserve"> </w:t>
      </w:r>
      <w:r w:rsidRPr="00F5428B">
        <w:rPr>
          <w:sz w:val="24"/>
        </w:rPr>
        <w:t>12 and 15.</w:t>
      </w:r>
    </w:p>
    <w:p w14:paraId="18ADEA96" w14:textId="77777777" w:rsidR="00F8150C" w:rsidRPr="00F5428B" w:rsidRDefault="00F8150C" w:rsidP="00BC15BE">
      <w:pPr>
        <w:rPr>
          <w:sz w:val="24"/>
        </w:rPr>
      </w:pPr>
    </w:p>
    <w:p w14:paraId="630D4C84" w14:textId="77777777" w:rsidR="00BC15BE" w:rsidRPr="00F5428B" w:rsidRDefault="00BC15BE" w:rsidP="00BC15BE">
      <w:pPr>
        <w:pStyle w:val="Level1"/>
        <w:rPr>
          <w:b/>
        </w:rPr>
      </w:pPr>
      <w:r w:rsidRPr="00F5428B">
        <w:rPr>
          <w:b/>
        </w:rPr>
        <w:t>ESTIMATED ANNUALIZED COST TO FEDERAL GOVERNMENT</w:t>
      </w:r>
    </w:p>
    <w:p w14:paraId="103D3D7F" w14:textId="77777777" w:rsidR="00BC15BE" w:rsidRPr="00F5428B" w:rsidRDefault="00BC15BE" w:rsidP="00BC15BE">
      <w:pPr>
        <w:rPr>
          <w:sz w:val="24"/>
        </w:rPr>
      </w:pPr>
    </w:p>
    <w:p w14:paraId="186CE6F0" w14:textId="77777777" w:rsidR="003D2136" w:rsidRPr="00F5428B" w:rsidRDefault="003D2136" w:rsidP="003D2136">
      <w:pPr>
        <w:rPr>
          <w:sz w:val="24"/>
          <w:vertAlign w:val="superscript"/>
        </w:rPr>
      </w:pPr>
      <w:r w:rsidRPr="00F5428B">
        <w:rPr>
          <w:sz w:val="24"/>
        </w:rPr>
        <w:t>The following federal costs relate only to the new requirements in the Final Rule.</w:t>
      </w:r>
      <w:r w:rsidRPr="00F5428B" w:rsidDel="00807E75">
        <w:rPr>
          <w:sz w:val="24"/>
          <w:vertAlign w:val="superscript"/>
        </w:rPr>
        <w:t xml:space="preserve"> </w:t>
      </w:r>
    </w:p>
    <w:p w14:paraId="24E448B3" w14:textId="77777777" w:rsidR="002C118D" w:rsidRPr="00F5428B" w:rsidRDefault="002C118D" w:rsidP="002C118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3192"/>
        <w:gridCol w:w="3184"/>
      </w:tblGrid>
      <w:tr w:rsidR="002C118D" w:rsidRPr="00F5428B" w14:paraId="76270073" w14:textId="77777777" w:rsidTr="008D4689">
        <w:tc>
          <w:tcPr>
            <w:tcW w:w="3200" w:type="dxa"/>
            <w:shd w:val="clear" w:color="auto" w:fill="CCCCCC"/>
          </w:tcPr>
          <w:p w14:paraId="64C5C7C1" w14:textId="77777777" w:rsidR="002C118D" w:rsidRPr="00F5428B" w:rsidRDefault="002C118D" w:rsidP="008D4689">
            <w:pPr>
              <w:rPr>
                <w:sz w:val="24"/>
              </w:rPr>
            </w:pPr>
          </w:p>
        </w:tc>
        <w:tc>
          <w:tcPr>
            <w:tcW w:w="3192" w:type="dxa"/>
            <w:shd w:val="clear" w:color="auto" w:fill="CCCCCC"/>
            <w:vAlign w:val="bottom"/>
          </w:tcPr>
          <w:p w14:paraId="128D10F5" w14:textId="77777777" w:rsidR="002C118D" w:rsidRPr="00F5428B" w:rsidRDefault="002C118D" w:rsidP="008D4689">
            <w:pPr>
              <w:jc w:val="center"/>
              <w:rPr>
                <w:b/>
                <w:sz w:val="24"/>
              </w:rPr>
            </w:pPr>
            <w:r w:rsidRPr="00F5428B">
              <w:rPr>
                <w:b/>
                <w:sz w:val="24"/>
              </w:rPr>
              <w:t>Number of Hours or FTE’s</w:t>
            </w:r>
          </w:p>
        </w:tc>
        <w:tc>
          <w:tcPr>
            <w:tcW w:w="3184" w:type="dxa"/>
            <w:shd w:val="clear" w:color="auto" w:fill="CCCCCC"/>
            <w:vAlign w:val="bottom"/>
          </w:tcPr>
          <w:p w14:paraId="48D03250" w14:textId="77777777" w:rsidR="002C118D" w:rsidRPr="00F5428B" w:rsidRDefault="002C118D" w:rsidP="008D4689">
            <w:pPr>
              <w:jc w:val="center"/>
              <w:rPr>
                <w:b/>
                <w:sz w:val="24"/>
              </w:rPr>
            </w:pPr>
            <w:r w:rsidRPr="00F5428B">
              <w:rPr>
                <w:b/>
                <w:sz w:val="24"/>
              </w:rPr>
              <w:t>Estimated Annual Federal Cost ($)</w:t>
            </w:r>
            <w:r w:rsidRPr="00F5428B">
              <w:rPr>
                <w:sz w:val="24"/>
                <w:vertAlign w:val="superscript"/>
              </w:rPr>
              <w:footnoteReference w:id="19"/>
            </w:r>
            <w:r w:rsidRPr="00F5428B">
              <w:rPr>
                <w:b/>
                <w:sz w:val="24"/>
              </w:rPr>
              <w:t xml:space="preserve"> </w:t>
            </w:r>
          </w:p>
        </w:tc>
      </w:tr>
      <w:tr w:rsidR="002C118D" w:rsidRPr="00E37BB0" w14:paraId="5823F039" w14:textId="77777777" w:rsidTr="008D4689">
        <w:tc>
          <w:tcPr>
            <w:tcW w:w="3200" w:type="dxa"/>
          </w:tcPr>
          <w:p w14:paraId="5149305D" w14:textId="659DC968" w:rsidR="002C118D" w:rsidRPr="00F5428B" w:rsidRDefault="002C118D" w:rsidP="008D4689">
            <w:pPr>
              <w:rPr>
                <w:sz w:val="24"/>
              </w:rPr>
            </w:pPr>
            <w:r w:rsidRPr="00F5428B">
              <w:rPr>
                <w:sz w:val="24"/>
              </w:rPr>
              <w:t>PRA</w:t>
            </w:r>
            <w:r w:rsidRPr="00F5428B">
              <w:rPr>
                <w:rStyle w:val="FootnoteReference"/>
                <w:sz w:val="24"/>
                <w:szCs w:val="24"/>
              </w:rPr>
              <w:footnoteReference w:id="20"/>
            </w:r>
            <w:r w:rsidRPr="00F5428B">
              <w:rPr>
                <w:sz w:val="24"/>
              </w:rPr>
              <w:t xml:space="preserve"> Administration Cost</w:t>
            </w:r>
            <w:r w:rsidRPr="00F5428B">
              <w:rPr>
                <w:sz w:val="24"/>
                <w:vertAlign w:val="superscript"/>
              </w:rPr>
              <w:footnoteReference w:id="21"/>
            </w:r>
          </w:p>
        </w:tc>
        <w:tc>
          <w:tcPr>
            <w:tcW w:w="3192" w:type="dxa"/>
            <w:shd w:val="clear" w:color="auto" w:fill="FFFFFF"/>
            <w:vAlign w:val="bottom"/>
          </w:tcPr>
          <w:p w14:paraId="7FD151E6" w14:textId="77777777" w:rsidR="002C118D" w:rsidRPr="00F5428B" w:rsidRDefault="002C118D" w:rsidP="008D4689">
            <w:pPr>
              <w:jc w:val="right"/>
              <w:rPr>
                <w:sz w:val="24"/>
              </w:rPr>
            </w:pPr>
            <w:r w:rsidRPr="00F5428B">
              <w:rPr>
                <w:sz w:val="24"/>
              </w:rPr>
              <w:t>-</w:t>
            </w:r>
          </w:p>
        </w:tc>
        <w:tc>
          <w:tcPr>
            <w:tcW w:w="3184" w:type="dxa"/>
            <w:vAlign w:val="bottom"/>
          </w:tcPr>
          <w:p w14:paraId="1C3FD6E6" w14:textId="4F9F1FB7" w:rsidR="002C118D" w:rsidRPr="00E37BB0" w:rsidRDefault="00565AA0" w:rsidP="008D4689">
            <w:pPr>
              <w:jc w:val="right"/>
              <w:rPr>
                <w:sz w:val="24"/>
              </w:rPr>
            </w:pPr>
            <w:r w:rsidRPr="00E37BB0">
              <w:rPr>
                <w:sz w:val="24"/>
              </w:rPr>
              <w:t>$ 4,193</w:t>
            </w:r>
            <w:r w:rsidR="00A277D4" w:rsidRPr="00E37BB0">
              <w:rPr>
                <w:rStyle w:val="FootnoteReference"/>
                <w:b w:val="0"/>
              </w:rPr>
              <w:footnoteReference w:id="22"/>
            </w:r>
          </w:p>
        </w:tc>
      </w:tr>
      <w:tr w:rsidR="002C118D" w:rsidRPr="00F5428B" w14:paraId="69BB6999" w14:textId="77777777" w:rsidTr="008D4689">
        <w:tc>
          <w:tcPr>
            <w:tcW w:w="3200" w:type="dxa"/>
            <w:vAlign w:val="bottom"/>
          </w:tcPr>
          <w:p w14:paraId="75C39D29" w14:textId="77777777" w:rsidR="002C118D" w:rsidRPr="00F5428B" w:rsidRDefault="002C118D" w:rsidP="008D4689">
            <w:pPr>
              <w:ind w:left="720"/>
              <w:jc w:val="right"/>
              <w:rPr>
                <w:i/>
                <w:sz w:val="24"/>
              </w:rPr>
            </w:pPr>
            <w:r w:rsidRPr="00F5428B">
              <w:rPr>
                <w:sz w:val="24"/>
              </w:rPr>
              <w:t>Data Processing and Analysis, Sub-Total</w:t>
            </w:r>
            <w:r w:rsidRPr="00E37BB0">
              <w:rPr>
                <w:rStyle w:val="FootnoteReference"/>
                <w:b w:val="0"/>
                <w:sz w:val="24"/>
                <w:szCs w:val="24"/>
              </w:rPr>
              <w:footnoteReference w:id="23"/>
            </w:r>
          </w:p>
        </w:tc>
        <w:tc>
          <w:tcPr>
            <w:tcW w:w="3192" w:type="dxa"/>
            <w:shd w:val="clear" w:color="auto" w:fill="FFFFFF" w:themeFill="background1"/>
            <w:vAlign w:val="bottom"/>
          </w:tcPr>
          <w:p w14:paraId="6C7121A8" w14:textId="77777777" w:rsidR="002C118D" w:rsidRPr="00F5428B" w:rsidRDefault="002C118D" w:rsidP="008D4689">
            <w:pPr>
              <w:jc w:val="right"/>
              <w:rPr>
                <w:sz w:val="24"/>
              </w:rPr>
            </w:pPr>
            <w:r w:rsidRPr="00F5428B">
              <w:rPr>
                <w:sz w:val="24"/>
              </w:rPr>
              <w:t>1</w:t>
            </w:r>
            <w:r w:rsidRPr="00E37BB0">
              <w:rPr>
                <w:rStyle w:val="FootnoteReference"/>
                <w:b w:val="0"/>
                <w:sz w:val="24"/>
                <w:szCs w:val="24"/>
              </w:rPr>
              <w:footnoteReference w:id="24"/>
            </w:r>
          </w:p>
        </w:tc>
        <w:tc>
          <w:tcPr>
            <w:tcW w:w="3184" w:type="dxa"/>
            <w:vAlign w:val="bottom"/>
          </w:tcPr>
          <w:p w14:paraId="4B251C4C" w14:textId="77777777" w:rsidR="002C118D" w:rsidRPr="00F5428B" w:rsidDel="00423194" w:rsidRDefault="005409EE" w:rsidP="008D4689">
            <w:pPr>
              <w:jc w:val="right"/>
              <w:rPr>
                <w:sz w:val="24"/>
              </w:rPr>
            </w:pPr>
            <w:r>
              <w:rPr>
                <w:sz w:val="24"/>
              </w:rPr>
              <w:t>$164,820</w:t>
            </w:r>
          </w:p>
        </w:tc>
      </w:tr>
      <w:tr w:rsidR="002C118D" w:rsidRPr="00F5428B" w14:paraId="16E4597A" w14:textId="77777777" w:rsidTr="008D4689">
        <w:tc>
          <w:tcPr>
            <w:tcW w:w="3200" w:type="dxa"/>
            <w:vAlign w:val="bottom"/>
          </w:tcPr>
          <w:p w14:paraId="55CEF231" w14:textId="77777777" w:rsidR="002C118D" w:rsidRPr="00F5428B" w:rsidRDefault="002C118D" w:rsidP="008D4689">
            <w:pPr>
              <w:ind w:left="720"/>
              <w:jc w:val="right"/>
              <w:rPr>
                <w:i/>
                <w:sz w:val="24"/>
              </w:rPr>
            </w:pPr>
            <w:r w:rsidRPr="00F5428B">
              <w:rPr>
                <w:i/>
                <w:sz w:val="24"/>
              </w:rPr>
              <w:t>FERC-545</w:t>
            </w:r>
          </w:p>
        </w:tc>
        <w:tc>
          <w:tcPr>
            <w:tcW w:w="3192" w:type="dxa"/>
            <w:shd w:val="clear" w:color="auto" w:fill="FFFFFF" w:themeFill="background1"/>
            <w:vAlign w:val="bottom"/>
          </w:tcPr>
          <w:p w14:paraId="7F2E12F2" w14:textId="77777777" w:rsidR="002C118D" w:rsidRPr="00F5428B" w:rsidRDefault="002C118D" w:rsidP="008D4689">
            <w:pPr>
              <w:jc w:val="right"/>
              <w:rPr>
                <w:i/>
                <w:sz w:val="24"/>
              </w:rPr>
            </w:pPr>
            <w:r w:rsidRPr="00F5428B">
              <w:rPr>
                <w:sz w:val="24"/>
              </w:rPr>
              <w:t>0.</w:t>
            </w:r>
            <w:r w:rsidR="00D36F12">
              <w:rPr>
                <w:sz w:val="24"/>
              </w:rPr>
              <w:t>7</w:t>
            </w:r>
            <w:r w:rsidRPr="00F5428B">
              <w:rPr>
                <w:sz w:val="24"/>
              </w:rPr>
              <w:t>5</w:t>
            </w:r>
          </w:p>
        </w:tc>
        <w:tc>
          <w:tcPr>
            <w:tcW w:w="3184" w:type="dxa"/>
            <w:vAlign w:val="bottom"/>
          </w:tcPr>
          <w:p w14:paraId="2599C341" w14:textId="77777777" w:rsidR="002C118D" w:rsidRPr="00F5428B" w:rsidRDefault="005409EE" w:rsidP="008D4689">
            <w:pPr>
              <w:jc w:val="right"/>
              <w:rPr>
                <w:i/>
                <w:sz w:val="24"/>
              </w:rPr>
            </w:pPr>
            <w:r>
              <w:rPr>
                <w:sz w:val="24"/>
              </w:rPr>
              <w:t>$</w:t>
            </w:r>
            <w:r w:rsidR="00D36F12">
              <w:rPr>
                <w:sz w:val="24"/>
              </w:rPr>
              <w:t>123,615</w:t>
            </w:r>
          </w:p>
        </w:tc>
      </w:tr>
      <w:tr w:rsidR="002C118D" w:rsidRPr="00F5428B" w14:paraId="61D79815" w14:textId="77777777" w:rsidTr="008D4689">
        <w:tc>
          <w:tcPr>
            <w:tcW w:w="3200" w:type="dxa"/>
            <w:vAlign w:val="bottom"/>
          </w:tcPr>
          <w:p w14:paraId="51494E06" w14:textId="77777777" w:rsidR="002C118D" w:rsidRPr="00F5428B" w:rsidRDefault="002C118D" w:rsidP="008D4689">
            <w:pPr>
              <w:ind w:left="720"/>
              <w:jc w:val="right"/>
              <w:rPr>
                <w:i/>
                <w:sz w:val="24"/>
              </w:rPr>
            </w:pPr>
            <w:r w:rsidRPr="00F5428B">
              <w:rPr>
                <w:i/>
                <w:sz w:val="24"/>
              </w:rPr>
              <w:t>FERC-549C</w:t>
            </w:r>
          </w:p>
        </w:tc>
        <w:tc>
          <w:tcPr>
            <w:tcW w:w="3192" w:type="dxa"/>
            <w:shd w:val="clear" w:color="auto" w:fill="FFFFFF" w:themeFill="background1"/>
            <w:vAlign w:val="bottom"/>
          </w:tcPr>
          <w:p w14:paraId="04431892" w14:textId="77777777" w:rsidR="002C118D" w:rsidRPr="00F5428B" w:rsidRDefault="002C118D" w:rsidP="008D4689">
            <w:pPr>
              <w:jc w:val="right"/>
              <w:rPr>
                <w:i/>
                <w:sz w:val="24"/>
              </w:rPr>
            </w:pPr>
            <w:r w:rsidRPr="00F5428B">
              <w:rPr>
                <w:sz w:val="24"/>
              </w:rPr>
              <w:t>0.</w:t>
            </w:r>
            <w:r w:rsidR="00D36F12">
              <w:rPr>
                <w:sz w:val="24"/>
              </w:rPr>
              <w:t>2</w:t>
            </w:r>
            <w:r w:rsidRPr="00F5428B">
              <w:rPr>
                <w:sz w:val="24"/>
              </w:rPr>
              <w:t>5</w:t>
            </w:r>
          </w:p>
        </w:tc>
        <w:tc>
          <w:tcPr>
            <w:tcW w:w="3184" w:type="dxa"/>
            <w:vAlign w:val="bottom"/>
          </w:tcPr>
          <w:p w14:paraId="1D124B18" w14:textId="77777777" w:rsidR="002C118D" w:rsidRPr="00F5428B" w:rsidRDefault="005409EE" w:rsidP="008D4689">
            <w:pPr>
              <w:jc w:val="right"/>
              <w:rPr>
                <w:i/>
                <w:sz w:val="24"/>
              </w:rPr>
            </w:pPr>
            <w:r>
              <w:rPr>
                <w:sz w:val="24"/>
              </w:rPr>
              <w:t>$</w:t>
            </w:r>
            <w:r w:rsidR="00D36F12">
              <w:rPr>
                <w:sz w:val="24"/>
              </w:rPr>
              <w:t>41,205</w:t>
            </w:r>
          </w:p>
        </w:tc>
      </w:tr>
      <w:tr w:rsidR="002C118D" w:rsidRPr="00F5428B" w14:paraId="5D9EC3FC" w14:textId="77777777" w:rsidTr="008D4689">
        <w:tc>
          <w:tcPr>
            <w:tcW w:w="3200" w:type="dxa"/>
          </w:tcPr>
          <w:p w14:paraId="26F23898" w14:textId="77777777" w:rsidR="002C118D" w:rsidRPr="00F5428B" w:rsidRDefault="002C118D" w:rsidP="008D4689">
            <w:pPr>
              <w:rPr>
                <w:b/>
                <w:sz w:val="24"/>
              </w:rPr>
            </w:pPr>
            <w:r w:rsidRPr="00F5428B">
              <w:rPr>
                <w:b/>
                <w:sz w:val="24"/>
              </w:rPr>
              <w:t>FERC Total</w:t>
            </w:r>
          </w:p>
        </w:tc>
        <w:tc>
          <w:tcPr>
            <w:tcW w:w="3192" w:type="dxa"/>
            <w:vAlign w:val="bottom"/>
          </w:tcPr>
          <w:p w14:paraId="3571E654" w14:textId="77777777" w:rsidR="002C118D" w:rsidRPr="00F5428B" w:rsidRDefault="002C118D" w:rsidP="008D4689">
            <w:pPr>
              <w:jc w:val="right"/>
              <w:rPr>
                <w:sz w:val="24"/>
              </w:rPr>
            </w:pPr>
            <w:r w:rsidRPr="00F5428B">
              <w:rPr>
                <w:sz w:val="24"/>
              </w:rPr>
              <w:t>1</w:t>
            </w:r>
          </w:p>
        </w:tc>
        <w:tc>
          <w:tcPr>
            <w:tcW w:w="3184" w:type="dxa"/>
            <w:vAlign w:val="bottom"/>
          </w:tcPr>
          <w:p w14:paraId="6D9DE673" w14:textId="2B073C40" w:rsidR="002C118D" w:rsidRPr="00F5428B" w:rsidRDefault="00A277D4" w:rsidP="008D4689">
            <w:pPr>
              <w:jc w:val="right"/>
              <w:rPr>
                <w:sz w:val="24"/>
              </w:rPr>
            </w:pPr>
            <w:r>
              <w:rPr>
                <w:sz w:val="24"/>
              </w:rPr>
              <w:t>$164,</w:t>
            </w:r>
            <w:r w:rsidR="005409EE">
              <w:rPr>
                <w:sz w:val="24"/>
              </w:rPr>
              <w:t>820</w:t>
            </w:r>
          </w:p>
        </w:tc>
      </w:tr>
    </w:tbl>
    <w:p w14:paraId="2ED17E47" w14:textId="77777777" w:rsidR="00BC15BE" w:rsidRPr="00F5428B" w:rsidRDefault="00BC15BE" w:rsidP="00BC15BE">
      <w:pPr>
        <w:rPr>
          <w:sz w:val="24"/>
        </w:rPr>
      </w:pPr>
    </w:p>
    <w:p w14:paraId="35E63A91" w14:textId="77777777" w:rsidR="00BC15BE" w:rsidRPr="00F5428B" w:rsidRDefault="00BC15BE" w:rsidP="00BC15BE">
      <w:pPr>
        <w:pStyle w:val="Level1"/>
        <w:rPr>
          <w:b/>
        </w:rPr>
      </w:pPr>
      <w:r w:rsidRPr="00F5428B">
        <w:rPr>
          <w:b/>
        </w:rPr>
        <w:t>REASONS FOR CHANGES IN BURDEN INCLUDING THE NEED FOR ANY INCREASE</w:t>
      </w:r>
    </w:p>
    <w:p w14:paraId="5C619F2C" w14:textId="77777777" w:rsidR="002C118D" w:rsidRPr="00F5428B" w:rsidRDefault="002C118D" w:rsidP="002C118D">
      <w:pPr>
        <w:rPr>
          <w:b/>
          <w:sz w:val="24"/>
        </w:rPr>
      </w:pPr>
    </w:p>
    <w:p w14:paraId="2824344D" w14:textId="5A31A840" w:rsidR="005228C3" w:rsidRDefault="005228C3" w:rsidP="005228C3">
      <w:pPr>
        <w:rPr>
          <w:b/>
          <w:sz w:val="24"/>
          <w:u w:val="single"/>
        </w:rPr>
      </w:pPr>
      <w:r w:rsidRPr="00950A2F">
        <w:rPr>
          <w:b/>
          <w:sz w:val="24"/>
          <w:u w:val="single"/>
        </w:rPr>
        <w:t>Final Rule in Docket RM9</w:t>
      </w:r>
      <w:r w:rsidR="008C6E2A">
        <w:rPr>
          <w:b/>
          <w:sz w:val="24"/>
          <w:u w:val="single"/>
        </w:rPr>
        <w:t>6-1-041 and FERC-549C</w:t>
      </w:r>
      <w:r w:rsidR="00741AE3">
        <w:rPr>
          <w:b/>
          <w:sz w:val="24"/>
          <w:u w:val="single"/>
        </w:rPr>
        <w:t xml:space="preserve"> (renewal)</w:t>
      </w:r>
    </w:p>
    <w:p w14:paraId="0FF7353C" w14:textId="77777777" w:rsidR="008F65E6" w:rsidRDefault="008F65E6" w:rsidP="005228C3">
      <w:pPr>
        <w:rPr>
          <w:sz w:val="24"/>
        </w:rPr>
      </w:pPr>
    </w:p>
    <w:p w14:paraId="19C1E84F" w14:textId="1D6EC613" w:rsidR="002D1A59" w:rsidRPr="0073773B" w:rsidRDefault="008C6E2A" w:rsidP="002D1A59">
      <w:pPr>
        <w:pStyle w:val="FERCparanumber"/>
        <w:numPr>
          <w:ilvl w:val="0"/>
          <w:numId w:val="0"/>
        </w:numPr>
        <w:spacing w:after="120"/>
        <w:ind w:firstLine="720"/>
        <w:rPr>
          <w:rFonts w:eastAsia="Calibri"/>
          <w:sz w:val="24"/>
        </w:rPr>
      </w:pPr>
      <w:r>
        <w:rPr>
          <w:b/>
          <w:sz w:val="24"/>
        </w:rPr>
        <w:t>FERC-549C</w:t>
      </w:r>
      <w:r w:rsidR="005228C3">
        <w:rPr>
          <w:b/>
          <w:sz w:val="24"/>
        </w:rPr>
        <w:t xml:space="preserve"> (as affected by the Final Rule in RM96-1-041)</w:t>
      </w:r>
      <w:r w:rsidR="002C118D" w:rsidRPr="00F5428B">
        <w:rPr>
          <w:sz w:val="24"/>
        </w:rPr>
        <w:t>.  The</w:t>
      </w:r>
      <w:r w:rsidR="002C118D" w:rsidRPr="00F5428B">
        <w:rPr>
          <w:b/>
          <w:sz w:val="24"/>
        </w:rPr>
        <w:t xml:space="preserve"> </w:t>
      </w:r>
      <w:r w:rsidR="00B83CB7" w:rsidRPr="00F5428B">
        <w:rPr>
          <w:sz w:val="24"/>
        </w:rPr>
        <w:t xml:space="preserve">Final Rule </w:t>
      </w:r>
      <w:r w:rsidR="005228C3">
        <w:rPr>
          <w:sz w:val="24"/>
        </w:rPr>
        <w:t>in RM96-1-041</w:t>
      </w:r>
      <w:r w:rsidR="002C118D" w:rsidRPr="00F5428B">
        <w:rPr>
          <w:sz w:val="24"/>
        </w:rPr>
        <w:t xml:space="preserve"> </w:t>
      </w:r>
      <w:r w:rsidR="002D1A59" w:rsidRPr="00F52DA0">
        <w:rPr>
          <w:sz w:val="24"/>
        </w:rPr>
        <w:t>amends the Commission’s regulations at 18 CFR 284.12</w:t>
      </w:r>
      <w:r w:rsidR="002D1A59">
        <w:rPr>
          <w:sz w:val="24"/>
        </w:rPr>
        <w:t>(a)</w:t>
      </w:r>
      <w:r w:rsidR="002D1A59" w:rsidRPr="00F52DA0">
        <w:rPr>
          <w:sz w:val="24"/>
        </w:rPr>
        <w:t xml:space="preserve"> to incorporate by reference the latest version (Version 3.1) of seven business practice standards applicable to interstate natural gas pipelines adopted by NAESB’s WGQ.  </w:t>
      </w:r>
      <w:r w:rsidR="002D1A59">
        <w:rPr>
          <w:sz w:val="24"/>
        </w:rPr>
        <w:t xml:space="preserve">By incorporating these standards by reference into the Commission’s regulations the Commission has made compliance mandatory and enforceable.  Non-compliance, absent a specific waiver, violates the Commission’s regulations as well as the terms of each pipeline’s tariff.  </w:t>
      </w:r>
      <w:r w:rsidR="002D1A59" w:rsidRPr="00F52DA0">
        <w:rPr>
          <w:sz w:val="24"/>
        </w:rPr>
        <w:t xml:space="preserve">The final rule revises and replaces the existing incorporated business practices standards (the Version 3.0 standards) to make </w:t>
      </w:r>
      <w:r w:rsidR="002D1A59" w:rsidRPr="0073773B">
        <w:rPr>
          <w:rFonts w:eastAsia="Calibri"/>
          <w:sz w:val="24"/>
        </w:rPr>
        <w:t>two substantive revisions to its Nominations Related Standards, one to establish a standard rounding process for elapsed-prorated-scheduled quantity calculations, and a second to revise the specifications for the information to be included in a nomination request.</w:t>
      </w:r>
    </w:p>
    <w:p w14:paraId="3EF9EA4D" w14:textId="77777777" w:rsidR="002D1A59" w:rsidRPr="0073773B" w:rsidRDefault="002D1A59" w:rsidP="002D1A59">
      <w:pPr>
        <w:widowControl w:val="0"/>
        <w:autoSpaceDE w:val="0"/>
        <w:autoSpaceDN w:val="0"/>
        <w:adjustRightInd w:val="0"/>
        <w:spacing w:after="120"/>
        <w:ind w:firstLine="720"/>
        <w:rPr>
          <w:rFonts w:eastAsia="Calibri"/>
          <w:sz w:val="24"/>
        </w:rPr>
      </w:pPr>
      <w:r w:rsidRPr="0073773B">
        <w:rPr>
          <w:rFonts w:eastAsia="Calibri"/>
          <w:sz w:val="24"/>
        </w:rPr>
        <w:t>NAESB also adopted three revisions to the Quadrant Electronic Delivery Mechanism Related Standards.  First, it has increased the allowable field length in ASCII Comma Separated Value Files to 3000 characters.  Second, it has adopted new Standard 4.3.106 to allow checkboxes and radio buttons in the Transmission Service Providers’ Electronic Bulletin Boards.  Third, NAESB modified its standards to update the operating systems and web browsers that entities should support on behalf of users.  Additionally, clarifying language was added to the Secure Sockets Layer/Transport Layer Security protocols.</w:t>
      </w:r>
    </w:p>
    <w:p w14:paraId="149E7061" w14:textId="77777777" w:rsidR="002D1A59" w:rsidRPr="0073773B" w:rsidRDefault="002D1A59" w:rsidP="002D1A59">
      <w:pPr>
        <w:widowControl w:val="0"/>
        <w:autoSpaceDE w:val="0"/>
        <w:autoSpaceDN w:val="0"/>
        <w:adjustRightInd w:val="0"/>
        <w:spacing w:after="120"/>
        <w:ind w:firstLine="720"/>
        <w:rPr>
          <w:rFonts w:eastAsia="Calibri"/>
          <w:sz w:val="24"/>
        </w:rPr>
      </w:pPr>
      <w:r w:rsidRPr="0073773B">
        <w:rPr>
          <w:rFonts w:eastAsia="Calibri"/>
          <w:sz w:val="24"/>
        </w:rPr>
        <w:t xml:space="preserve">Other changes adopted by NAESB </w:t>
      </w:r>
      <w:r>
        <w:rPr>
          <w:rFonts w:eastAsia="Calibri"/>
          <w:sz w:val="24"/>
        </w:rPr>
        <w:t xml:space="preserve">to the business practice standards </w:t>
      </w:r>
      <w:r w:rsidRPr="0073773B">
        <w:rPr>
          <w:rFonts w:eastAsia="Calibri"/>
          <w:sz w:val="24"/>
        </w:rPr>
        <w:t>included changes to the NAESB WGQ data sets and other technical implementation documentation as well as revisions to the Flowing Gas Related data sets and technical implementation.  Further, NAESB revised the Imbalance Trade data set and revised two Senders Option data elements.  In addition, NAESB adopted revisions to the Capacity Release Related data sets and technical implementation.  NAESB also revised Standard 6.3.1 (i.e., the NAESB Base Contract for Sale and Purchase of Natural Gas) to add language directing users to NAESB’s copyright disclaimer posted on the NAESB website.  Identical language was added to three additional NAESB WGQ Contracts.</w:t>
      </w:r>
    </w:p>
    <w:p w14:paraId="3A555FC5" w14:textId="10392920" w:rsidR="002C118D" w:rsidRDefault="00C4173F" w:rsidP="00565AA0">
      <w:pPr>
        <w:rPr>
          <w:rFonts w:eastAsia="Calibri"/>
          <w:sz w:val="24"/>
        </w:rPr>
      </w:pPr>
      <w:r>
        <w:rPr>
          <w:rFonts w:eastAsia="Calibri"/>
          <w:sz w:val="24"/>
        </w:rPr>
        <w:tab/>
      </w:r>
      <w:r w:rsidR="002D1A59" w:rsidRPr="00F52DA0">
        <w:rPr>
          <w:rFonts w:eastAsia="Calibri"/>
          <w:sz w:val="24"/>
        </w:rPr>
        <w:t>Lastly, NAESB added a self-identification provision that assists end users in determining whether counterparties are commercial market participants as defined by the United States Commodity Futures Trading Commission.</w:t>
      </w:r>
    </w:p>
    <w:p w14:paraId="1DDE1A52" w14:textId="267F553D" w:rsidR="003D4D48" w:rsidRDefault="003D4D48" w:rsidP="00565AA0">
      <w:pPr>
        <w:rPr>
          <w:sz w:val="24"/>
        </w:rPr>
      </w:pPr>
    </w:p>
    <w:p w14:paraId="473DBCC3" w14:textId="2639C12B" w:rsidR="003D4D48" w:rsidRDefault="003D4D48" w:rsidP="00565AA0">
      <w:pPr>
        <w:rPr>
          <w:sz w:val="24"/>
        </w:rPr>
      </w:pPr>
      <w:r w:rsidRPr="00A83D8E">
        <w:rPr>
          <w:b/>
          <w:sz w:val="24"/>
        </w:rPr>
        <w:t>FERC-549C, Other Program Changes Not Related to RM96-1-041.</w:t>
      </w:r>
      <w:r w:rsidR="00070536">
        <w:rPr>
          <w:sz w:val="24"/>
        </w:rPr>
        <w:t xml:space="preserve">  As mentioned in Question #12</w:t>
      </w:r>
      <w:r>
        <w:rPr>
          <w:sz w:val="24"/>
        </w:rPr>
        <w:t>, FERC staff is removing a one-time requirement that is outside of its implementation period, has been completed, and should no longer apply the FERC-549C reporting burden:</w:t>
      </w:r>
    </w:p>
    <w:p w14:paraId="43B6AC9F" w14:textId="77777777" w:rsidR="003D4D48" w:rsidRDefault="003D4D48" w:rsidP="00565AA0">
      <w:pPr>
        <w:rPr>
          <w:sz w:val="24"/>
        </w:rPr>
      </w:pPr>
    </w:p>
    <w:p w14:paraId="4E7FC591" w14:textId="6D3CEB55" w:rsidR="003D4D48" w:rsidRPr="003D4D48" w:rsidRDefault="003D4D48" w:rsidP="00A83D8E">
      <w:pPr>
        <w:pStyle w:val="ListParagraph"/>
        <w:numPr>
          <w:ilvl w:val="0"/>
          <w:numId w:val="11"/>
        </w:numPr>
      </w:pPr>
      <w:r>
        <w:t xml:space="preserve">Implementation of New Standards and 1 Added Intraday Nomination Cycle: </w:t>
      </w:r>
      <w:r w:rsidR="00080487">
        <w:t>80</w:t>
      </w:r>
      <w:r>
        <w:t xml:space="preserve"> responses and </w:t>
      </w:r>
      <w:r w:rsidR="00080487">
        <w:t>13,200</w:t>
      </w:r>
      <w:r w:rsidR="005F6491">
        <w:t xml:space="preserve"> hours annually (averaged over Years 1-3)</w:t>
      </w:r>
      <w:r w:rsidR="00A42965">
        <w:rPr>
          <w:rStyle w:val="FootnoteReference"/>
        </w:rPr>
        <w:footnoteReference w:id="25"/>
      </w:r>
    </w:p>
    <w:p w14:paraId="305C25F9" w14:textId="77777777" w:rsidR="006D79F8" w:rsidRDefault="006D79F8" w:rsidP="006D79F8">
      <w:pPr>
        <w:rPr>
          <w:b/>
          <w:bCs/>
          <w:sz w:val="24"/>
        </w:rPr>
      </w:pPr>
    </w:p>
    <w:p w14:paraId="7D645B9B" w14:textId="77777777" w:rsidR="003D4D48" w:rsidRDefault="003D4D48" w:rsidP="006D79F8">
      <w:pPr>
        <w:rPr>
          <w:b/>
          <w:bCs/>
          <w:sz w:val="24"/>
        </w:rPr>
      </w:pPr>
      <w:r>
        <w:rPr>
          <w:b/>
          <w:bCs/>
          <w:sz w:val="24"/>
        </w:rPr>
        <w:t>FERC-549C (changes due to Adjustment in Estimate)</w:t>
      </w:r>
    </w:p>
    <w:p w14:paraId="1AF78718" w14:textId="3493D040" w:rsidR="005F6491" w:rsidRDefault="005F6491" w:rsidP="002C118D">
      <w:pPr>
        <w:rPr>
          <w:bCs/>
          <w:sz w:val="24"/>
        </w:rPr>
      </w:pPr>
      <w:r>
        <w:rPr>
          <w:bCs/>
          <w:sz w:val="24"/>
        </w:rPr>
        <w:t>FERC subject-matter experts revised the organization and labelling for the reporting requirements based on their actual organization in FERC regulations.  This more granular approach allowed a more thorough review of the FERC-549C information collection.  The existing FERC-549 reporting burden experienced changes: 1) a small decrease in annual filers (5 less responses per year) and 2) revised burden per response as related to each reporting requirement</w:t>
      </w:r>
      <w:r w:rsidR="00724C65">
        <w:rPr>
          <w:bCs/>
          <w:sz w:val="24"/>
        </w:rPr>
        <w:t xml:space="preserve"> (which resulted in an additional 13,297 hours per year industry wide</w:t>
      </w:r>
      <w:r>
        <w:rPr>
          <w:bCs/>
          <w:sz w:val="24"/>
        </w:rPr>
        <w:t xml:space="preserve">). </w:t>
      </w:r>
    </w:p>
    <w:p w14:paraId="451285F7" w14:textId="77777777" w:rsidR="00080487" w:rsidRPr="00080487" w:rsidRDefault="00080487" w:rsidP="00080487">
      <w:pPr>
        <w:rPr>
          <w:b/>
          <w:bCs/>
          <w:sz w:val="24"/>
        </w:rPr>
      </w:pPr>
    </w:p>
    <w:p w14:paraId="5D344318" w14:textId="12CEBA4E" w:rsidR="00DF7952" w:rsidRDefault="00080487" w:rsidP="00080487">
      <w:pPr>
        <w:rPr>
          <w:bCs/>
          <w:sz w:val="24"/>
        </w:rPr>
      </w:pPr>
      <w:r w:rsidRPr="00080487">
        <w:rPr>
          <w:bCs/>
          <w:sz w:val="24"/>
        </w:rPr>
        <w:t>Also, in ROCIS, the IC containing this one-time requirement contained ongoing requirements</w:t>
      </w:r>
      <w:r w:rsidR="00724C65">
        <w:rPr>
          <w:bCs/>
          <w:sz w:val="24"/>
        </w:rPr>
        <w:t xml:space="preserve"> in the amounts of 250 responses and 30,113 hours annually</w:t>
      </w:r>
      <w:r w:rsidRPr="00080487">
        <w:rPr>
          <w:bCs/>
          <w:sz w:val="24"/>
        </w:rPr>
        <w:t>.</w:t>
      </w:r>
    </w:p>
    <w:p w14:paraId="2905E7D5" w14:textId="1D7AC9EA" w:rsidR="00651E7C" w:rsidRDefault="00651E7C" w:rsidP="00080487">
      <w:pPr>
        <w:rPr>
          <w:b/>
          <w:bCs/>
          <w:sz w:val="24"/>
        </w:rPr>
      </w:pPr>
    </w:p>
    <w:p w14:paraId="0B6A8DE0" w14:textId="77777777" w:rsidR="00651E7C" w:rsidRPr="002D4D89" w:rsidRDefault="00651E7C" w:rsidP="00651E7C">
      <w:pPr>
        <w:rPr>
          <w:b/>
          <w:sz w:val="24"/>
          <w:u w:val="single"/>
        </w:rPr>
      </w:pPr>
      <w:r w:rsidRPr="002D4D89">
        <w:rPr>
          <w:b/>
          <w:sz w:val="24"/>
          <w:u w:val="single"/>
        </w:rPr>
        <w:t>Total requested</w:t>
      </w:r>
      <w:r>
        <w:rPr>
          <w:b/>
          <w:sz w:val="24"/>
          <w:u w:val="single"/>
        </w:rPr>
        <w:t xml:space="preserve"> responses and burden for FERC-549C</w:t>
      </w:r>
      <w:r w:rsidRPr="002D4D89">
        <w:rPr>
          <w:b/>
          <w:sz w:val="24"/>
          <w:u w:val="single"/>
        </w:rPr>
        <w:t>:</w:t>
      </w:r>
    </w:p>
    <w:p w14:paraId="11D1759D" w14:textId="47573EB3" w:rsidR="00651E7C" w:rsidRDefault="00651E7C" w:rsidP="00651E7C">
      <w:pPr>
        <w:rPr>
          <w:sz w:val="24"/>
        </w:rPr>
      </w:pPr>
      <w:r>
        <w:rPr>
          <w:sz w:val="24"/>
        </w:rPr>
        <w:t>Annual response: 55 response</w:t>
      </w:r>
      <w:r w:rsidR="003B15E8">
        <w:rPr>
          <w:sz w:val="24"/>
        </w:rPr>
        <w:t>s</w:t>
      </w:r>
      <w:r>
        <w:rPr>
          <w:sz w:val="24"/>
        </w:rPr>
        <w:t>/year (due to Final Rule in RM96-1-041) + 490 responses/year (FERC-549C renewal) = 545 responses/year.</w:t>
      </w:r>
    </w:p>
    <w:p w14:paraId="2B99B418" w14:textId="77777777" w:rsidR="00651E7C" w:rsidRDefault="00651E7C" w:rsidP="00651E7C">
      <w:pPr>
        <w:rPr>
          <w:sz w:val="24"/>
        </w:rPr>
      </w:pPr>
    </w:p>
    <w:p w14:paraId="429ECF11" w14:textId="77777777" w:rsidR="00651E7C" w:rsidRDefault="00651E7C" w:rsidP="00651E7C">
      <w:pPr>
        <w:rPr>
          <w:sz w:val="24"/>
        </w:rPr>
      </w:pPr>
      <w:r>
        <w:rPr>
          <w:sz w:val="24"/>
        </w:rPr>
        <w:t>Annual hourly burden 1,210 hours (due to Final Rule in R96-1-041) + 47,040 hours (FERC-549C renewal) = 48,250 hours/year.</w:t>
      </w:r>
    </w:p>
    <w:p w14:paraId="7A5156C5" w14:textId="77777777" w:rsidR="00651E7C" w:rsidRPr="00080487" w:rsidRDefault="00651E7C" w:rsidP="00080487">
      <w:pPr>
        <w:rPr>
          <w:b/>
          <w:bCs/>
          <w:sz w:val="24"/>
        </w:rPr>
      </w:pPr>
    </w:p>
    <w:p w14:paraId="1E4D4740" w14:textId="77777777" w:rsidR="006D79F8" w:rsidRPr="00F5428B" w:rsidRDefault="006D79F8" w:rsidP="002C118D">
      <w:pPr>
        <w:rPr>
          <w:b/>
          <w:bCs/>
          <w:sz w:val="24"/>
        </w:rPr>
      </w:pPr>
    </w:p>
    <w:p w14:paraId="7932BC89" w14:textId="77777777" w:rsidR="002C118D" w:rsidRPr="00F5428B" w:rsidRDefault="002C118D" w:rsidP="002C118D">
      <w:pPr>
        <w:rPr>
          <w:b/>
          <w:sz w:val="24"/>
        </w:rPr>
      </w:pPr>
      <w:r w:rsidRPr="00F5428B">
        <w:rPr>
          <w:b/>
          <w:bCs/>
          <w:sz w:val="24"/>
        </w:rPr>
        <w:t>Summary table</w:t>
      </w:r>
      <w:r w:rsidRPr="00F5428B">
        <w:rPr>
          <w:bCs/>
          <w:sz w:val="24"/>
        </w:rPr>
        <w:t xml:space="preserve"> of changes to burden hours, with current approved inventory, as listed in ROCIS and reginfo.gov follow.  (The additional implementation burden due to the </w:t>
      </w:r>
      <w:r w:rsidR="00B83CB7" w:rsidRPr="00F5428B">
        <w:rPr>
          <w:bCs/>
          <w:sz w:val="24"/>
        </w:rPr>
        <w:t>Final Rule</w:t>
      </w:r>
      <w:r w:rsidR="00565AA0">
        <w:rPr>
          <w:bCs/>
          <w:sz w:val="24"/>
        </w:rPr>
        <w:t xml:space="preserve"> in RM96-1-041</w:t>
      </w:r>
      <w:r w:rsidRPr="00F5428B">
        <w:rPr>
          <w:bCs/>
          <w:sz w:val="24"/>
        </w:rPr>
        <w:t xml:space="preserve"> is being averaged over Years 1-3, as discussed in #12 above.)</w:t>
      </w:r>
    </w:p>
    <w:p w14:paraId="2A77D060" w14:textId="77777777" w:rsidR="002C118D" w:rsidRPr="00F5428B" w:rsidRDefault="002C118D" w:rsidP="002C118D">
      <w:pPr>
        <w:rPr>
          <w:sz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C118D" w:rsidRPr="00F5428B" w14:paraId="5CE990D0" w14:textId="77777777" w:rsidTr="008D4689">
        <w:trPr>
          <w:trHeight w:val="870"/>
        </w:trPr>
        <w:tc>
          <w:tcPr>
            <w:tcW w:w="2679" w:type="dxa"/>
            <w:tcBorders>
              <w:bottom w:val="single" w:sz="4" w:space="0" w:color="auto"/>
            </w:tcBorders>
            <w:shd w:val="clear" w:color="auto" w:fill="D9D9D9"/>
            <w:vAlign w:val="bottom"/>
          </w:tcPr>
          <w:p w14:paraId="5181CF69" w14:textId="77777777" w:rsidR="002C118D" w:rsidRPr="00F5428B" w:rsidRDefault="002C118D" w:rsidP="008D4689">
            <w:pPr>
              <w:jc w:val="center"/>
              <w:rPr>
                <w:rFonts w:eastAsia="Calibri"/>
                <w:b/>
                <w:sz w:val="24"/>
              </w:rPr>
            </w:pPr>
          </w:p>
        </w:tc>
        <w:tc>
          <w:tcPr>
            <w:tcW w:w="1461" w:type="dxa"/>
            <w:tcBorders>
              <w:bottom w:val="single" w:sz="4" w:space="0" w:color="auto"/>
            </w:tcBorders>
            <w:shd w:val="clear" w:color="auto" w:fill="D9D9D9"/>
            <w:vAlign w:val="bottom"/>
          </w:tcPr>
          <w:p w14:paraId="7BFED57E" w14:textId="77777777" w:rsidR="002C118D" w:rsidRPr="00F5428B" w:rsidRDefault="002C118D" w:rsidP="008D4689">
            <w:pPr>
              <w:jc w:val="center"/>
              <w:rPr>
                <w:rFonts w:eastAsia="Calibri"/>
                <w:b/>
                <w:sz w:val="24"/>
              </w:rPr>
            </w:pPr>
            <w:r w:rsidRPr="00F5428B">
              <w:rPr>
                <w:rFonts w:eastAsia="Calibri"/>
                <w:b/>
                <w:sz w:val="24"/>
              </w:rPr>
              <w:t>Total Request</w:t>
            </w:r>
          </w:p>
        </w:tc>
        <w:tc>
          <w:tcPr>
            <w:tcW w:w="1620" w:type="dxa"/>
            <w:tcBorders>
              <w:bottom w:val="single" w:sz="4" w:space="0" w:color="auto"/>
            </w:tcBorders>
            <w:shd w:val="clear" w:color="auto" w:fill="D9D9D9"/>
            <w:vAlign w:val="bottom"/>
          </w:tcPr>
          <w:p w14:paraId="7A51479E" w14:textId="77777777" w:rsidR="002C118D" w:rsidRPr="00F5428B" w:rsidRDefault="002C118D" w:rsidP="008D4689">
            <w:pPr>
              <w:jc w:val="center"/>
              <w:rPr>
                <w:rFonts w:eastAsia="Calibri"/>
                <w:b/>
                <w:sz w:val="24"/>
              </w:rPr>
            </w:pPr>
            <w:r w:rsidRPr="00F5428B">
              <w:rPr>
                <w:rFonts w:eastAsia="Calibri"/>
                <w:b/>
                <w:sz w:val="24"/>
              </w:rPr>
              <w:t>Previously Approved</w:t>
            </w:r>
          </w:p>
        </w:tc>
        <w:tc>
          <w:tcPr>
            <w:tcW w:w="1800" w:type="dxa"/>
            <w:tcBorders>
              <w:bottom w:val="single" w:sz="4" w:space="0" w:color="auto"/>
            </w:tcBorders>
            <w:shd w:val="clear" w:color="auto" w:fill="D9D9D9"/>
            <w:vAlign w:val="bottom"/>
          </w:tcPr>
          <w:p w14:paraId="1B357A8D" w14:textId="77777777" w:rsidR="002C118D" w:rsidRPr="00F5428B" w:rsidRDefault="002C118D" w:rsidP="008D4689">
            <w:pPr>
              <w:jc w:val="center"/>
              <w:rPr>
                <w:rFonts w:eastAsia="Calibri"/>
                <w:b/>
                <w:sz w:val="24"/>
              </w:rPr>
            </w:pPr>
            <w:r w:rsidRPr="00F5428B">
              <w:rPr>
                <w:rFonts w:eastAsia="Calibri"/>
                <w:b/>
                <w:sz w:val="24"/>
              </w:rPr>
              <w:t>Change due to Adjustment in Estimate</w:t>
            </w:r>
          </w:p>
        </w:tc>
        <w:tc>
          <w:tcPr>
            <w:tcW w:w="1800" w:type="dxa"/>
            <w:tcBorders>
              <w:bottom w:val="single" w:sz="4" w:space="0" w:color="auto"/>
            </w:tcBorders>
            <w:shd w:val="clear" w:color="auto" w:fill="D9D9D9"/>
            <w:vAlign w:val="bottom"/>
          </w:tcPr>
          <w:p w14:paraId="6DAB3A54" w14:textId="77777777" w:rsidR="002C118D" w:rsidRPr="00F5428B" w:rsidRDefault="002C118D" w:rsidP="008D4689">
            <w:pPr>
              <w:jc w:val="center"/>
              <w:rPr>
                <w:rFonts w:eastAsia="Calibri"/>
                <w:b/>
                <w:sz w:val="24"/>
              </w:rPr>
            </w:pPr>
            <w:r w:rsidRPr="00F5428B">
              <w:rPr>
                <w:rFonts w:eastAsia="Calibri"/>
                <w:b/>
                <w:sz w:val="24"/>
              </w:rPr>
              <w:t>Change Due to Agency Discretion</w:t>
            </w:r>
          </w:p>
        </w:tc>
      </w:tr>
      <w:tr w:rsidR="002C118D" w:rsidRPr="00F5428B" w14:paraId="5A63EA38" w14:textId="77777777" w:rsidTr="008D4689">
        <w:trPr>
          <w:trHeight w:val="431"/>
        </w:trPr>
        <w:tc>
          <w:tcPr>
            <w:tcW w:w="9360" w:type="dxa"/>
            <w:gridSpan w:val="5"/>
            <w:shd w:val="clear" w:color="auto" w:fill="C6D9F1" w:themeFill="text2" w:themeFillTint="33"/>
            <w:vAlign w:val="bottom"/>
          </w:tcPr>
          <w:p w14:paraId="076575C6" w14:textId="608200F0" w:rsidR="002C118D" w:rsidRPr="00F5428B" w:rsidRDefault="008C6E2A" w:rsidP="008D4689">
            <w:pPr>
              <w:jc w:val="center"/>
              <w:rPr>
                <w:b/>
                <w:bCs/>
                <w:sz w:val="24"/>
              </w:rPr>
            </w:pPr>
            <w:r>
              <w:rPr>
                <w:b/>
                <w:bCs/>
                <w:sz w:val="24"/>
              </w:rPr>
              <w:t>FERC-549C</w:t>
            </w:r>
          </w:p>
        </w:tc>
      </w:tr>
      <w:tr w:rsidR="002C118D" w:rsidRPr="00F5428B" w14:paraId="05D53088" w14:textId="77777777" w:rsidTr="008D4689">
        <w:trPr>
          <w:trHeight w:val="591"/>
        </w:trPr>
        <w:tc>
          <w:tcPr>
            <w:tcW w:w="2679" w:type="dxa"/>
            <w:shd w:val="clear" w:color="auto" w:fill="auto"/>
          </w:tcPr>
          <w:p w14:paraId="461D5683" w14:textId="77777777" w:rsidR="002C118D" w:rsidRPr="00F5428B" w:rsidRDefault="002C118D" w:rsidP="008D4689">
            <w:pPr>
              <w:jc w:val="center"/>
              <w:rPr>
                <w:rFonts w:eastAsia="Calibri"/>
                <w:sz w:val="24"/>
              </w:rPr>
            </w:pPr>
            <w:r w:rsidRPr="00F5428B">
              <w:rPr>
                <w:rFonts w:eastAsia="Calibri"/>
                <w:sz w:val="24"/>
              </w:rPr>
              <w:t>Annual Number of Responses</w:t>
            </w:r>
          </w:p>
        </w:tc>
        <w:tc>
          <w:tcPr>
            <w:tcW w:w="1461" w:type="dxa"/>
            <w:shd w:val="clear" w:color="auto" w:fill="auto"/>
            <w:vAlign w:val="bottom"/>
          </w:tcPr>
          <w:p w14:paraId="6E8CB634" w14:textId="5A9C438C" w:rsidR="002C118D" w:rsidRPr="00F5428B" w:rsidRDefault="008C6E2A" w:rsidP="008D4689">
            <w:pPr>
              <w:jc w:val="right"/>
              <w:rPr>
                <w:rFonts w:eastAsia="Calibri"/>
                <w:sz w:val="24"/>
              </w:rPr>
            </w:pPr>
            <w:r w:rsidRPr="00B17FD0">
              <w:rPr>
                <w:rFonts w:eastAsia="Calibri"/>
                <w:sz w:val="24"/>
              </w:rPr>
              <w:t>545</w:t>
            </w:r>
          </w:p>
        </w:tc>
        <w:tc>
          <w:tcPr>
            <w:tcW w:w="1620" w:type="dxa"/>
            <w:shd w:val="clear" w:color="auto" w:fill="auto"/>
            <w:vAlign w:val="bottom"/>
          </w:tcPr>
          <w:p w14:paraId="2736E832" w14:textId="3D8DE01B" w:rsidR="002C118D" w:rsidRPr="00F5428B" w:rsidRDefault="008C6E2A" w:rsidP="008D4689">
            <w:pPr>
              <w:jc w:val="right"/>
              <w:rPr>
                <w:rFonts w:eastAsia="Calibri"/>
                <w:sz w:val="24"/>
              </w:rPr>
            </w:pPr>
            <w:r>
              <w:rPr>
                <w:rFonts w:eastAsia="Calibri"/>
                <w:sz w:val="24"/>
              </w:rPr>
              <w:t>495</w:t>
            </w:r>
          </w:p>
        </w:tc>
        <w:tc>
          <w:tcPr>
            <w:tcW w:w="1800" w:type="dxa"/>
            <w:shd w:val="clear" w:color="auto" w:fill="auto"/>
            <w:vAlign w:val="bottom"/>
          </w:tcPr>
          <w:p w14:paraId="00769106" w14:textId="484A19F1" w:rsidR="002C118D" w:rsidRPr="00F5428B" w:rsidRDefault="00DF3B9D" w:rsidP="008D4689">
            <w:pPr>
              <w:jc w:val="right"/>
              <w:rPr>
                <w:rFonts w:eastAsia="Calibri"/>
                <w:sz w:val="24"/>
              </w:rPr>
            </w:pPr>
            <w:r>
              <w:rPr>
                <w:rFonts w:eastAsia="Calibri"/>
                <w:sz w:val="24"/>
              </w:rPr>
              <w:t>75</w:t>
            </w:r>
          </w:p>
        </w:tc>
        <w:tc>
          <w:tcPr>
            <w:tcW w:w="1800" w:type="dxa"/>
            <w:shd w:val="clear" w:color="auto" w:fill="auto"/>
            <w:vAlign w:val="bottom"/>
          </w:tcPr>
          <w:p w14:paraId="5FA631E6" w14:textId="5DD21D8C" w:rsidR="002C118D" w:rsidRPr="00F5428B" w:rsidRDefault="00DF3B9D" w:rsidP="00A96CB8">
            <w:pPr>
              <w:jc w:val="right"/>
              <w:rPr>
                <w:rFonts w:eastAsia="Calibri"/>
                <w:sz w:val="24"/>
              </w:rPr>
            </w:pPr>
            <w:r>
              <w:rPr>
                <w:rFonts w:eastAsia="Calibri"/>
                <w:sz w:val="24"/>
              </w:rPr>
              <w:t>-25</w:t>
            </w:r>
          </w:p>
        </w:tc>
      </w:tr>
      <w:tr w:rsidR="002C118D" w:rsidRPr="00F5428B" w14:paraId="4B89B22C" w14:textId="77777777" w:rsidTr="008D4689">
        <w:trPr>
          <w:trHeight w:val="575"/>
        </w:trPr>
        <w:tc>
          <w:tcPr>
            <w:tcW w:w="2679" w:type="dxa"/>
            <w:shd w:val="clear" w:color="auto" w:fill="auto"/>
          </w:tcPr>
          <w:p w14:paraId="5EB38687" w14:textId="77777777" w:rsidR="002C118D" w:rsidRPr="00F5428B" w:rsidRDefault="002C118D" w:rsidP="008D4689">
            <w:pPr>
              <w:jc w:val="center"/>
              <w:rPr>
                <w:rFonts w:eastAsia="Calibri"/>
                <w:sz w:val="24"/>
              </w:rPr>
            </w:pPr>
            <w:r w:rsidRPr="00F5428B">
              <w:rPr>
                <w:rFonts w:eastAsia="Calibri"/>
                <w:sz w:val="24"/>
              </w:rPr>
              <w:t>Annual Time Burden (Hr.)</w:t>
            </w:r>
          </w:p>
        </w:tc>
        <w:tc>
          <w:tcPr>
            <w:tcW w:w="1461" w:type="dxa"/>
            <w:shd w:val="clear" w:color="auto" w:fill="auto"/>
            <w:vAlign w:val="bottom"/>
          </w:tcPr>
          <w:p w14:paraId="283CE0EE" w14:textId="23109D9B" w:rsidR="002C118D" w:rsidRPr="00F5428B" w:rsidRDefault="008C6E2A" w:rsidP="008D4689">
            <w:pPr>
              <w:jc w:val="right"/>
              <w:rPr>
                <w:rFonts w:eastAsia="Calibri"/>
                <w:sz w:val="24"/>
              </w:rPr>
            </w:pPr>
            <w:r w:rsidRPr="00B17FD0">
              <w:rPr>
                <w:rFonts w:eastAsia="Calibri"/>
                <w:sz w:val="24"/>
              </w:rPr>
              <w:t>48,250</w:t>
            </w:r>
          </w:p>
        </w:tc>
        <w:tc>
          <w:tcPr>
            <w:tcW w:w="1620" w:type="dxa"/>
            <w:shd w:val="clear" w:color="auto" w:fill="auto"/>
            <w:vAlign w:val="bottom"/>
          </w:tcPr>
          <w:p w14:paraId="428DD5EA" w14:textId="5456656E" w:rsidR="002C118D" w:rsidRPr="00F5428B" w:rsidRDefault="008C6E2A" w:rsidP="008D4689">
            <w:pPr>
              <w:jc w:val="right"/>
              <w:rPr>
                <w:rFonts w:eastAsia="Calibri"/>
                <w:sz w:val="24"/>
              </w:rPr>
            </w:pPr>
            <w:r>
              <w:rPr>
                <w:rFonts w:eastAsia="Calibri"/>
                <w:sz w:val="24"/>
              </w:rPr>
              <w:t>46,943</w:t>
            </w:r>
          </w:p>
        </w:tc>
        <w:tc>
          <w:tcPr>
            <w:tcW w:w="1800" w:type="dxa"/>
            <w:shd w:val="clear" w:color="auto" w:fill="auto"/>
            <w:vAlign w:val="bottom"/>
          </w:tcPr>
          <w:p w14:paraId="56544879" w14:textId="60C46C62" w:rsidR="002C118D" w:rsidRPr="00F5428B" w:rsidRDefault="00DF3B9D" w:rsidP="008D4689">
            <w:pPr>
              <w:jc w:val="right"/>
              <w:rPr>
                <w:rFonts w:eastAsia="Calibri"/>
                <w:sz w:val="24"/>
              </w:rPr>
            </w:pPr>
            <w:r>
              <w:rPr>
                <w:rFonts w:eastAsia="Calibri"/>
                <w:sz w:val="24"/>
              </w:rPr>
              <w:t>13,297</w:t>
            </w:r>
          </w:p>
        </w:tc>
        <w:tc>
          <w:tcPr>
            <w:tcW w:w="1800" w:type="dxa"/>
            <w:shd w:val="clear" w:color="auto" w:fill="auto"/>
            <w:vAlign w:val="bottom"/>
          </w:tcPr>
          <w:p w14:paraId="7A6D3B52" w14:textId="1EA557FD" w:rsidR="002C118D" w:rsidRPr="00F5428B" w:rsidRDefault="00DF3B9D" w:rsidP="00A96CB8">
            <w:pPr>
              <w:jc w:val="right"/>
              <w:rPr>
                <w:rFonts w:eastAsia="Calibri"/>
                <w:sz w:val="24"/>
              </w:rPr>
            </w:pPr>
            <w:r>
              <w:rPr>
                <w:rFonts w:eastAsia="Calibri"/>
                <w:sz w:val="24"/>
              </w:rPr>
              <w:t>-11,990</w:t>
            </w:r>
          </w:p>
        </w:tc>
      </w:tr>
      <w:tr w:rsidR="002C118D" w:rsidRPr="00F5428B" w14:paraId="3CC2CB67" w14:textId="77777777" w:rsidTr="008D4689">
        <w:trPr>
          <w:trHeight w:val="295"/>
        </w:trPr>
        <w:tc>
          <w:tcPr>
            <w:tcW w:w="2679" w:type="dxa"/>
            <w:tcBorders>
              <w:bottom w:val="single" w:sz="4" w:space="0" w:color="auto"/>
            </w:tcBorders>
            <w:shd w:val="clear" w:color="auto" w:fill="auto"/>
          </w:tcPr>
          <w:p w14:paraId="7C8525B6" w14:textId="77777777" w:rsidR="002C118D" w:rsidRPr="00F5428B" w:rsidRDefault="002C118D" w:rsidP="008D4689">
            <w:pPr>
              <w:jc w:val="center"/>
              <w:rPr>
                <w:rFonts w:eastAsia="Calibri"/>
                <w:sz w:val="24"/>
              </w:rPr>
            </w:pPr>
            <w:r w:rsidRPr="00F5428B">
              <w:rPr>
                <w:rFonts w:eastAsia="Calibri"/>
                <w:sz w:val="24"/>
              </w:rPr>
              <w:t>Annual Cost Burden ($)</w:t>
            </w:r>
          </w:p>
        </w:tc>
        <w:tc>
          <w:tcPr>
            <w:tcW w:w="1461" w:type="dxa"/>
            <w:tcBorders>
              <w:bottom w:val="single" w:sz="4" w:space="0" w:color="auto"/>
            </w:tcBorders>
            <w:shd w:val="clear" w:color="auto" w:fill="auto"/>
            <w:vAlign w:val="bottom"/>
          </w:tcPr>
          <w:p w14:paraId="1B04AE41" w14:textId="77777777" w:rsidR="002C118D" w:rsidRPr="00F5428B" w:rsidRDefault="002C118D" w:rsidP="008D4689">
            <w:pPr>
              <w:jc w:val="right"/>
              <w:rPr>
                <w:rFonts w:eastAsia="Calibri"/>
                <w:sz w:val="24"/>
                <w:highlight w:val="yellow"/>
              </w:rPr>
            </w:pPr>
            <w:r w:rsidRPr="00F5428B">
              <w:rPr>
                <w:rFonts w:eastAsia="Calibri"/>
                <w:sz w:val="24"/>
              </w:rPr>
              <w:t>$0</w:t>
            </w:r>
          </w:p>
        </w:tc>
        <w:tc>
          <w:tcPr>
            <w:tcW w:w="1620" w:type="dxa"/>
            <w:tcBorders>
              <w:bottom w:val="single" w:sz="4" w:space="0" w:color="auto"/>
            </w:tcBorders>
            <w:shd w:val="clear" w:color="auto" w:fill="auto"/>
            <w:vAlign w:val="bottom"/>
          </w:tcPr>
          <w:p w14:paraId="1D9DC643" w14:textId="77777777" w:rsidR="002C118D" w:rsidRPr="00F5428B" w:rsidRDefault="002C118D" w:rsidP="008D4689">
            <w:pPr>
              <w:jc w:val="right"/>
              <w:rPr>
                <w:rFonts w:eastAsia="Calibri"/>
                <w:sz w:val="24"/>
              </w:rPr>
            </w:pPr>
            <w:r w:rsidRPr="00F5428B">
              <w:rPr>
                <w:rFonts w:eastAsia="Calibri"/>
                <w:sz w:val="24"/>
              </w:rPr>
              <w:t>$0</w:t>
            </w:r>
          </w:p>
        </w:tc>
        <w:tc>
          <w:tcPr>
            <w:tcW w:w="1800" w:type="dxa"/>
            <w:tcBorders>
              <w:bottom w:val="single" w:sz="4" w:space="0" w:color="auto"/>
            </w:tcBorders>
            <w:shd w:val="clear" w:color="auto" w:fill="auto"/>
            <w:vAlign w:val="bottom"/>
          </w:tcPr>
          <w:p w14:paraId="48CBB93A" w14:textId="77777777" w:rsidR="002C118D" w:rsidRPr="00F5428B" w:rsidRDefault="002C118D" w:rsidP="008D4689">
            <w:pPr>
              <w:jc w:val="right"/>
              <w:rPr>
                <w:rFonts w:eastAsia="Calibri"/>
                <w:sz w:val="24"/>
              </w:rPr>
            </w:pPr>
            <w:r w:rsidRPr="00F5428B">
              <w:rPr>
                <w:rFonts w:eastAsia="Calibri"/>
                <w:sz w:val="24"/>
              </w:rPr>
              <w:t>$0</w:t>
            </w:r>
          </w:p>
        </w:tc>
        <w:tc>
          <w:tcPr>
            <w:tcW w:w="1800" w:type="dxa"/>
            <w:tcBorders>
              <w:bottom w:val="single" w:sz="4" w:space="0" w:color="auto"/>
            </w:tcBorders>
            <w:shd w:val="clear" w:color="auto" w:fill="auto"/>
            <w:vAlign w:val="bottom"/>
          </w:tcPr>
          <w:p w14:paraId="4A8DCB73" w14:textId="77777777" w:rsidR="002C118D" w:rsidRPr="00F5428B" w:rsidRDefault="002C118D" w:rsidP="008D4689">
            <w:pPr>
              <w:jc w:val="right"/>
              <w:rPr>
                <w:rFonts w:eastAsia="Calibri"/>
                <w:sz w:val="24"/>
              </w:rPr>
            </w:pPr>
            <w:r w:rsidRPr="00F5428B">
              <w:rPr>
                <w:rFonts w:eastAsia="Calibri"/>
                <w:sz w:val="24"/>
              </w:rPr>
              <w:t>$0</w:t>
            </w:r>
          </w:p>
        </w:tc>
      </w:tr>
    </w:tbl>
    <w:p w14:paraId="1801F2FB" w14:textId="77777777" w:rsidR="002C118D" w:rsidRPr="00F5428B" w:rsidRDefault="002C118D" w:rsidP="00BC15BE">
      <w:pPr>
        <w:rPr>
          <w:sz w:val="24"/>
        </w:rPr>
      </w:pPr>
    </w:p>
    <w:p w14:paraId="1DD34261" w14:textId="77777777" w:rsidR="00BC15BE" w:rsidRPr="00F5428B" w:rsidRDefault="00BC15BE" w:rsidP="00BC15BE">
      <w:pPr>
        <w:pStyle w:val="Level1"/>
        <w:rPr>
          <w:b/>
        </w:rPr>
      </w:pPr>
      <w:r w:rsidRPr="00F5428B">
        <w:rPr>
          <w:b/>
        </w:rPr>
        <w:t>TIME SCHEDULE FOR PUBLICATION OF DATA</w:t>
      </w:r>
    </w:p>
    <w:p w14:paraId="4CA649BF" w14:textId="77777777" w:rsidR="00BC15BE" w:rsidRPr="00F5428B" w:rsidRDefault="00BC15BE" w:rsidP="00BC15BE">
      <w:pPr>
        <w:rPr>
          <w:sz w:val="24"/>
        </w:rPr>
      </w:pPr>
    </w:p>
    <w:p w14:paraId="2267FB4E" w14:textId="19E08DBC" w:rsidR="00565AA0" w:rsidRDefault="00565AA0" w:rsidP="00BC15BE">
      <w:pPr>
        <w:rPr>
          <w:sz w:val="24"/>
        </w:rPr>
      </w:pPr>
      <w:r w:rsidRPr="00950A2F">
        <w:rPr>
          <w:b/>
          <w:sz w:val="24"/>
          <w:u w:val="single"/>
        </w:rPr>
        <w:t>F</w:t>
      </w:r>
      <w:r w:rsidR="00F86954">
        <w:rPr>
          <w:b/>
          <w:sz w:val="24"/>
          <w:u w:val="single"/>
        </w:rPr>
        <w:t>inal Rule i</w:t>
      </w:r>
      <w:r w:rsidR="008C6E2A">
        <w:rPr>
          <w:b/>
          <w:sz w:val="24"/>
          <w:u w:val="single"/>
        </w:rPr>
        <w:t>n Docket RM96-1-041 and FERC-549C</w:t>
      </w:r>
      <w:r w:rsidR="008F65E6">
        <w:rPr>
          <w:b/>
          <w:sz w:val="24"/>
          <w:u w:val="single"/>
        </w:rPr>
        <w:t xml:space="preserve"> (renewal)</w:t>
      </w:r>
    </w:p>
    <w:p w14:paraId="0A20ADCA" w14:textId="77777777" w:rsidR="000C0189" w:rsidRDefault="000C0189" w:rsidP="00BC15BE">
      <w:pPr>
        <w:rPr>
          <w:sz w:val="24"/>
        </w:rPr>
      </w:pPr>
    </w:p>
    <w:p w14:paraId="22B7D8AE" w14:textId="77777777" w:rsidR="00BC15BE" w:rsidRPr="00F5428B" w:rsidRDefault="003D2136" w:rsidP="00BC15BE">
      <w:pPr>
        <w:rPr>
          <w:sz w:val="24"/>
        </w:rPr>
      </w:pPr>
      <w:r w:rsidRPr="00F5428B">
        <w:rPr>
          <w:sz w:val="24"/>
        </w:rPr>
        <w:t>There are no publications of the information</w:t>
      </w:r>
      <w:r w:rsidR="00BC15BE" w:rsidRPr="00F5428B">
        <w:rPr>
          <w:sz w:val="24"/>
        </w:rPr>
        <w:t>.</w:t>
      </w:r>
    </w:p>
    <w:p w14:paraId="02004AD4" w14:textId="77777777" w:rsidR="00BC15BE" w:rsidRPr="00F5428B" w:rsidRDefault="00BC15BE" w:rsidP="00BC15BE">
      <w:pPr>
        <w:rPr>
          <w:sz w:val="24"/>
        </w:rPr>
      </w:pPr>
    </w:p>
    <w:p w14:paraId="604362A8" w14:textId="77777777" w:rsidR="00BC15BE" w:rsidRPr="00F5428B" w:rsidRDefault="00BC15BE" w:rsidP="00BC15BE">
      <w:pPr>
        <w:pStyle w:val="Level1"/>
        <w:rPr>
          <w:b/>
        </w:rPr>
      </w:pPr>
      <w:r w:rsidRPr="00F5428B">
        <w:rPr>
          <w:b/>
        </w:rPr>
        <w:t>DISPLAY OF EXPIRATION DATE</w:t>
      </w:r>
    </w:p>
    <w:p w14:paraId="142CB75B" w14:textId="77777777" w:rsidR="00BC15BE" w:rsidRPr="00F5428B" w:rsidRDefault="00BC15BE" w:rsidP="00BC15BE">
      <w:pPr>
        <w:rPr>
          <w:sz w:val="24"/>
        </w:rPr>
      </w:pPr>
    </w:p>
    <w:p w14:paraId="1282CCE4" w14:textId="5A95C6C9" w:rsidR="00565AA0" w:rsidRDefault="00565AA0" w:rsidP="00BC15BE">
      <w:pPr>
        <w:rPr>
          <w:sz w:val="24"/>
        </w:rPr>
      </w:pPr>
      <w:r w:rsidRPr="00950A2F">
        <w:rPr>
          <w:b/>
          <w:sz w:val="24"/>
          <w:u w:val="single"/>
        </w:rPr>
        <w:t>F</w:t>
      </w:r>
      <w:r w:rsidR="00F86954">
        <w:rPr>
          <w:b/>
          <w:sz w:val="24"/>
          <w:u w:val="single"/>
        </w:rPr>
        <w:t>inal Rule i</w:t>
      </w:r>
      <w:r w:rsidR="008C6E2A">
        <w:rPr>
          <w:b/>
          <w:sz w:val="24"/>
          <w:u w:val="single"/>
        </w:rPr>
        <w:t>n Docket RM96-1-041 and FERC-549C</w:t>
      </w:r>
      <w:r w:rsidR="003E0393">
        <w:rPr>
          <w:b/>
          <w:sz w:val="24"/>
          <w:u w:val="single"/>
        </w:rPr>
        <w:t xml:space="preserve"> (renewal)</w:t>
      </w:r>
    </w:p>
    <w:p w14:paraId="3EFB0E76" w14:textId="77777777" w:rsidR="000C0189" w:rsidRDefault="000C0189" w:rsidP="00BC15BE">
      <w:pPr>
        <w:rPr>
          <w:sz w:val="24"/>
        </w:rPr>
      </w:pPr>
    </w:p>
    <w:p w14:paraId="40669138" w14:textId="3CCECD8D" w:rsidR="00BC15BE" w:rsidRPr="00F5428B" w:rsidRDefault="003D2136" w:rsidP="00BC15BE">
      <w:pPr>
        <w:rPr>
          <w:sz w:val="24"/>
        </w:rPr>
      </w:pPr>
      <w:r w:rsidRPr="00F5428B">
        <w:rPr>
          <w:sz w:val="24"/>
        </w:rPr>
        <w:t xml:space="preserve">The expiration dates are displayed on ferc.gov with links to the updated table from </w:t>
      </w:r>
      <w:hyperlink r:id="rId14" w:history="1">
        <w:r w:rsidRPr="00F5428B">
          <w:rPr>
            <w:rStyle w:val="Hyperlink"/>
            <w:sz w:val="24"/>
          </w:rPr>
          <w:t>http://www.ferc.gov/docs-filing/info-collections.asp</w:t>
        </w:r>
      </w:hyperlink>
      <w:r w:rsidR="00724C65">
        <w:rPr>
          <w:sz w:val="24"/>
        </w:rPr>
        <w:t>.</w:t>
      </w:r>
    </w:p>
    <w:p w14:paraId="39DDEEB5" w14:textId="77777777" w:rsidR="00BC15BE" w:rsidRPr="00F5428B" w:rsidRDefault="00BC15BE" w:rsidP="00BC15BE">
      <w:pPr>
        <w:rPr>
          <w:sz w:val="24"/>
        </w:rPr>
      </w:pPr>
    </w:p>
    <w:p w14:paraId="121B55AC" w14:textId="77777777" w:rsidR="00BC15BE" w:rsidRPr="00F5428B" w:rsidRDefault="00BC15BE" w:rsidP="00BC15BE">
      <w:pPr>
        <w:pStyle w:val="Level1"/>
        <w:rPr>
          <w:b/>
        </w:rPr>
      </w:pPr>
      <w:r w:rsidRPr="00F5428B">
        <w:rPr>
          <w:b/>
        </w:rPr>
        <w:t>EXCEPTIONS TO THE CERTIFICATION STATEMENT</w:t>
      </w:r>
    </w:p>
    <w:p w14:paraId="3DB258A3" w14:textId="77777777" w:rsidR="00BC15BE" w:rsidRPr="00F5428B" w:rsidRDefault="00BC15BE" w:rsidP="00BC15BE">
      <w:pPr>
        <w:rPr>
          <w:sz w:val="24"/>
        </w:rPr>
      </w:pPr>
    </w:p>
    <w:p w14:paraId="7DFF450B" w14:textId="47F5D0DE" w:rsidR="00565AA0" w:rsidRDefault="00565AA0" w:rsidP="00565AA0">
      <w:pPr>
        <w:rPr>
          <w:sz w:val="24"/>
        </w:rPr>
      </w:pPr>
      <w:r w:rsidRPr="00950A2F">
        <w:rPr>
          <w:b/>
          <w:sz w:val="24"/>
          <w:u w:val="single"/>
        </w:rPr>
        <w:t>F</w:t>
      </w:r>
      <w:r w:rsidR="00F86954">
        <w:rPr>
          <w:b/>
          <w:sz w:val="24"/>
          <w:u w:val="single"/>
        </w:rPr>
        <w:t xml:space="preserve">inal Rule in Docket RM96-1-041 and </w:t>
      </w:r>
      <w:r w:rsidR="008C6E2A">
        <w:rPr>
          <w:b/>
          <w:sz w:val="24"/>
          <w:u w:val="single"/>
        </w:rPr>
        <w:t>FERC-549C</w:t>
      </w:r>
      <w:r w:rsidR="003E0393">
        <w:rPr>
          <w:b/>
          <w:sz w:val="24"/>
          <w:u w:val="single"/>
        </w:rPr>
        <w:t xml:space="preserve"> (renewal)</w:t>
      </w:r>
    </w:p>
    <w:p w14:paraId="4508C369" w14:textId="77777777" w:rsidR="000C0189" w:rsidRDefault="000C0189" w:rsidP="00BC15BE">
      <w:pPr>
        <w:rPr>
          <w:sz w:val="24"/>
        </w:rPr>
      </w:pPr>
    </w:p>
    <w:p w14:paraId="7C3D7C44" w14:textId="77777777" w:rsidR="00BC15BE" w:rsidRPr="00F5428B" w:rsidRDefault="00BC15BE" w:rsidP="00BC15BE">
      <w:pPr>
        <w:rPr>
          <w:sz w:val="24"/>
        </w:rPr>
      </w:pPr>
      <w:r w:rsidRPr="00F5428B">
        <w:rPr>
          <w:sz w:val="24"/>
        </w:rPr>
        <w:t>There are no exceptions.</w:t>
      </w:r>
    </w:p>
    <w:p w14:paraId="5DD536D6" w14:textId="77777777" w:rsidR="0010764F" w:rsidRPr="00F5428B" w:rsidRDefault="0010764F">
      <w:pPr>
        <w:rPr>
          <w:sz w:val="24"/>
        </w:rPr>
      </w:pPr>
    </w:p>
    <w:sectPr w:rsidR="0010764F" w:rsidRPr="00F5428B" w:rsidSect="008D4689">
      <w:headerReference w:type="default" r:id="rId15"/>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3A114" w14:textId="77777777" w:rsidR="00480622" w:rsidRDefault="00480622" w:rsidP="00BC15BE">
      <w:r>
        <w:separator/>
      </w:r>
    </w:p>
  </w:endnote>
  <w:endnote w:type="continuationSeparator" w:id="0">
    <w:p w14:paraId="6968E9C3" w14:textId="77777777" w:rsidR="00480622" w:rsidRDefault="00480622" w:rsidP="00BC15BE">
      <w:r>
        <w:continuationSeparator/>
      </w:r>
    </w:p>
  </w:endnote>
  <w:endnote w:type="continuationNotice" w:id="1">
    <w:p w14:paraId="480EEDE8" w14:textId="77777777" w:rsidR="00480622" w:rsidRDefault="00480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C933F" w14:textId="77777777" w:rsidR="00480622" w:rsidRDefault="00480622" w:rsidP="00BC15BE">
      <w:r>
        <w:separator/>
      </w:r>
    </w:p>
  </w:footnote>
  <w:footnote w:type="continuationSeparator" w:id="0">
    <w:p w14:paraId="7B5B9AB1" w14:textId="77777777" w:rsidR="00480622" w:rsidRDefault="00480622" w:rsidP="00BC15BE">
      <w:r>
        <w:continuationSeparator/>
      </w:r>
    </w:p>
  </w:footnote>
  <w:footnote w:type="continuationNotice" w:id="1">
    <w:p w14:paraId="35D5D771" w14:textId="77777777" w:rsidR="00480622" w:rsidRDefault="00480622"/>
  </w:footnote>
  <w:footnote w:id="2">
    <w:p w14:paraId="34952BF6" w14:textId="4A8D6722" w:rsidR="00480622" w:rsidRPr="00AA3EFC" w:rsidRDefault="00480622" w:rsidP="00AA3EFC">
      <w:pPr>
        <w:pStyle w:val="FootnoteText"/>
        <w:spacing w:after="0"/>
        <w:ind w:firstLine="0"/>
        <w:rPr>
          <w:sz w:val="20"/>
        </w:rPr>
      </w:pPr>
      <w:r w:rsidRPr="00AA3EFC">
        <w:rPr>
          <w:rStyle w:val="FootnoteReference"/>
          <w:sz w:val="20"/>
          <w:szCs w:val="20"/>
        </w:rPr>
        <w:footnoteRef/>
      </w:r>
      <w:r w:rsidRPr="00AA3EFC">
        <w:rPr>
          <w:sz w:val="20"/>
        </w:rPr>
        <w:t xml:space="preserve"> The submittal to OMB for the NOPR in RM96-1-041 was made under a temporary collection number (and temporary placeholder), FERC-549C1 (OMB Control No. TBD) to enable FERC to submit this package timely to OMB for review under the Paperwork Reduction Act.  This was done because another unrelated item was pending OMB review under FERC-549C, and only one item per OMB Control Number can be pending OMB review at a time.</w:t>
      </w:r>
    </w:p>
  </w:footnote>
  <w:footnote w:id="3">
    <w:p w14:paraId="59C4499E" w14:textId="642B2031" w:rsidR="00480622" w:rsidRPr="00AA3EFC" w:rsidRDefault="00480622" w:rsidP="00AA3EFC">
      <w:pPr>
        <w:pStyle w:val="FootnoteText"/>
        <w:spacing w:after="0"/>
        <w:ind w:firstLine="0"/>
        <w:rPr>
          <w:sz w:val="20"/>
        </w:rPr>
      </w:pPr>
      <w:r w:rsidRPr="00AA3EFC">
        <w:rPr>
          <w:rStyle w:val="FootnoteReference"/>
          <w:sz w:val="20"/>
          <w:szCs w:val="20"/>
        </w:rPr>
        <w:footnoteRef/>
      </w:r>
      <w:r w:rsidRPr="00AA3EFC">
        <w:rPr>
          <w:sz w:val="20"/>
        </w:rPr>
        <w:t xml:space="preserve"> This supporting statement will also contain information concerning the extension of the FERC-549C information collection.</w:t>
      </w:r>
    </w:p>
  </w:footnote>
  <w:footnote w:id="4">
    <w:p w14:paraId="5A4916A7" w14:textId="77777777" w:rsidR="00480622" w:rsidRPr="00AA3EFC" w:rsidRDefault="00480622" w:rsidP="00AA3EFC">
      <w:pPr>
        <w:pStyle w:val="FootnoteText"/>
        <w:spacing w:after="0"/>
        <w:ind w:firstLine="0"/>
        <w:rPr>
          <w:sz w:val="20"/>
        </w:rPr>
      </w:pPr>
      <w:r w:rsidRPr="00AA3EFC">
        <w:rPr>
          <w:b/>
          <w:sz w:val="20"/>
          <w:vertAlign w:val="superscript"/>
        </w:rPr>
        <w:footnoteRef/>
      </w:r>
      <w:r w:rsidRPr="00AA3EFC">
        <w:rPr>
          <w:b/>
          <w:sz w:val="20"/>
          <w:vertAlign w:val="superscript"/>
        </w:rPr>
        <w:t xml:space="preserve"> </w:t>
      </w:r>
      <w:r w:rsidRPr="00AA3EFC">
        <w:rPr>
          <w:i/>
          <w:sz w:val="20"/>
        </w:rPr>
        <w:t>Standards for Business Practices of Interstate Natural Gas Pipelines</w:t>
      </w:r>
      <w:r w:rsidRPr="00AA3EFC">
        <w:rPr>
          <w:sz w:val="20"/>
        </w:rPr>
        <w:t>, Notice of Proposed Rulemaking, 83 FR 44521 (Aug. 31, 2018), FERC Stats. &amp; Regs. ¶ 32,728 (Aug. 21, 2018) (Version 3.1 NOPR).</w:t>
      </w:r>
    </w:p>
  </w:footnote>
  <w:footnote w:id="5">
    <w:p w14:paraId="6076BCCB" w14:textId="77777777" w:rsidR="00480622" w:rsidRPr="00AA3EFC" w:rsidRDefault="00480622" w:rsidP="00AA3EFC">
      <w:pPr>
        <w:rPr>
          <w:sz w:val="20"/>
          <w:szCs w:val="20"/>
        </w:rPr>
      </w:pPr>
      <w:r w:rsidRPr="00AA3EFC">
        <w:rPr>
          <w:rStyle w:val="FootnoteReference"/>
          <w:sz w:val="20"/>
          <w:szCs w:val="20"/>
        </w:rPr>
        <w:footnoteRef/>
      </w:r>
      <w:r w:rsidRPr="00AA3EFC">
        <w:rPr>
          <w:sz w:val="20"/>
          <w:szCs w:val="20"/>
        </w:rPr>
        <w:t xml:space="preserve"> FERC-549C was created in Order No. 587 (July 26, 1996, 61 FR 39053) because interstate natural gas pipelines were required to adopt certain standards for business practices that required changes in the day-to-day operations.  In addition, these standards required pipelines to adopt certain mechanisms for electronic communication between the pipelines and those doing business with the pipelines.</w:t>
      </w:r>
    </w:p>
  </w:footnote>
  <w:footnote w:id="6">
    <w:p w14:paraId="463593AF" w14:textId="77777777" w:rsidR="00480622" w:rsidRPr="00AA3EFC" w:rsidRDefault="00480622" w:rsidP="00AA3EFC">
      <w:pPr>
        <w:pStyle w:val="FootnoteText"/>
        <w:spacing w:after="0"/>
        <w:ind w:firstLine="0"/>
        <w:rPr>
          <w:sz w:val="20"/>
        </w:rPr>
      </w:pPr>
      <w:r w:rsidRPr="00AA3EFC">
        <w:rPr>
          <w:rStyle w:val="FootnoteReference"/>
          <w:sz w:val="20"/>
          <w:szCs w:val="20"/>
        </w:rPr>
        <w:footnoteRef/>
      </w:r>
      <w:r w:rsidRPr="00AA3EFC">
        <w:rPr>
          <w:sz w:val="20"/>
        </w:rPr>
        <w:t xml:space="preserve"> Additional information is available on NAESB’s website at </w:t>
      </w:r>
      <w:hyperlink r:id="rId1" w:history="1">
        <w:r w:rsidRPr="00AA3EFC">
          <w:rPr>
            <w:rStyle w:val="Hyperlink"/>
            <w:sz w:val="20"/>
          </w:rPr>
          <w:t>http://www.naesb.org/</w:t>
        </w:r>
      </w:hyperlink>
      <w:r w:rsidRPr="00AA3EFC">
        <w:rPr>
          <w:sz w:val="20"/>
        </w:rPr>
        <w:t xml:space="preserve">.  NAESB described its standards development process as of January 29, 2013 in “Submittal of Modifications to the NAESB Public Key Infrastructure Standards and Other Standards to support the Public Key Infrastructure (Docket Nos. RM05-5-000 and RM05-5-022),” Appendix E, posted on ferc.gov at </w:t>
      </w:r>
      <w:hyperlink r:id="rId2" w:history="1">
        <w:r w:rsidRPr="00AA3EFC">
          <w:rPr>
            <w:rStyle w:val="Hyperlink"/>
            <w:sz w:val="20"/>
          </w:rPr>
          <w:t>http://elibrary.ferc.gov/idmws/common/opennat.asp?fileID=13165589</w:t>
        </w:r>
      </w:hyperlink>
      <w:r w:rsidRPr="00AA3EFC">
        <w:rPr>
          <w:sz w:val="20"/>
        </w:rPr>
        <w:t>.  The same process is used by the WGQ in developing standards for interstate natural gas pipelines, with the exception that the composition of the voting segments have been designed to match the participants in the natural gas industry.</w:t>
      </w:r>
    </w:p>
  </w:footnote>
  <w:footnote w:id="7">
    <w:p w14:paraId="40F6DFDB" w14:textId="77777777" w:rsidR="00480622" w:rsidRPr="00AA3EFC" w:rsidRDefault="00480622" w:rsidP="00AA3EFC">
      <w:pPr>
        <w:pStyle w:val="FootnoteText"/>
        <w:spacing w:after="0"/>
        <w:ind w:firstLine="0"/>
        <w:rPr>
          <w:sz w:val="20"/>
        </w:rPr>
      </w:pPr>
      <w:r w:rsidRPr="00AA3EFC">
        <w:rPr>
          <w:rStyle w:val="FootnoteReference"/>
          <w:sz w:val="20"/>
          <w:szCs w:val="20"/>
        </w:rPr>
        <w:footnoteRef/>
      </w:r>
      <w:r w:rsidRPr="00AA3EFC">
        <w:rPr>
          <w:sz w:val="20"/>
        </w:rPr>
        <w:t xml:space="preserve"> More information is available on FERC’s eTariff page at </w:t>
      </w:r>
      <w:hyperlink r:id="rId3" w:history="1">
        <w:r w:rsidRPr="00AA3EFC">
          <w:rPr>
            <w:rStyle w:val="Hyperlink"/>
            <w:sz w:val="20"/>
          </w:rPr>
          <w:t>http://www.ferc.gov/docs-filing/etariff.asp</w:t>
        </w:r>
      </w:hyperlink>
      <w:r w:rsidRPr="00AA3EFC">
        <w:rPr>
          <w:sz w:val="20"/>
        </w:rPr>
        <w:t xml:space="preserve"> .</w:t>
      </w:r>
    </w:p>
  </w:footnote>
  <w:footnote w:id="8">
    <w:p w14:paraId="59F6B092" w14:textId="77777777" w:rsidR="00480622" w:rsidRPr="00AA3EFC" w:rsidRDefault="00480622" w:rsidP="00AA3EFC">
      <w:pPr>
        <w:pStyle w:val="FootnoteText"/>
        <w:spacing w:after="0"/>
        <w:ind w:firstLine="0"/>
        <w:rPr>
          <w:sz w:val="20"/>
        </w:rPr>
      </w:pPr>
      <w:r w:rsidRPr="00AA3EFC">
        <w:rPr>
          <w:rStyle w:val="FootnoteReference"/>
          <w:sz w:val="20"/>
          <w:szCs w:val="20"/>
        </w:rPr>
        <w:footnoteRef/>
      </w:r>
      <w:r w:rsidRPr="00AA3EFC">
        <w:rPr>
          <w:sz w:val="20"/>
        </w:rPr>
        <w:t xml:space="preserve"> U.S. Small Business Administration, Table of Small Business Size Standards for  Pipeline Transportation of Natural Gas, NAICS Code 486210,  available at https://www.sba.gov/sites/default/files/files/Size_Standards_Table.pdf, Subsector 486. </w:t>
      </w:r>
    </w:p>
    <w:p w14:paraId="67E0ACF9" w14:textId="77777777" w:rsidR="00480622" w:rsidRPr="00AA3EFC" w:rsidRDefault="00480622" w:rsidP="00AA3EFC">
      <w:pPr>
        <w:pStyle w:val="FootnoteText"/>
        <w:spacing w:after="0"/>
        <w:ind w:firstLine="0"/>
        <w:rPr>
          <w:sz w:val="20"/>
        </w:rPr>
      </w:pPr>
      <w:r w:rsidRPr="00AA3EFC">
        <w:rPr>
          <w:sz w:val="20"/>
        </w:rPr>
        <w:t>Matched to North American Industry Classification System Codes, Natural Gas Pipeline Transportation, NAICS Code 486210, page 27, July 14, 2014, available at https://www.sba.gov/sites/default/files/files/Size_Standards_Table.pdf, Subsector 486.</w:t>
      </w:r>
    </w:p>
  </w:footnote>
  <w:footnote w:id="9">
    <w:p w14:paraId="71610BF3" w14:textId="77777777" w:rsidR="00480622" w:rsidRPr="00AA3EFC" w:rsidRDefault="00480622" w:rsidP="00AA3EFC">
      <w:pPr>
        <w:pStyle w:val="FootnoteText"/>
        <w:spacing w:after="0"/>
        <w:ind w:firstLine="0"/>
        <w:rPr>
          <w:sz w:val="20"/>
        </w:rPr>
      </w:pPr>
      <w:r w:rsidRPr="00AA3EFC">
        <w:rPr>
          <w:rStyle w:val="FootnoteReference"/>
          <w:sz w:val="20"/>
          <w:szCs w:val="20"/>
        </w:rPr>
        <w:footnoteRef/>
      </w:r>
      <w:r w:rsidRPr="00AA3EFC">
        <w:rPr>
          <w:sz w:val="20"/>
        </w:rPr>
        <w:t xml:space="preserve"> Issued on 8/21/2018; published on 8/31/2018 (83 FR 44521)</w:t>
      </w:r>
    </w:p>
  </w:footnote>
  <w:footnote w:id="10">
    <w:p w14:paraId="33146C1A" w14:textId="6058ADEA" w:rsidR="00480622" w:rsidRPr="00AA3EFC" w:rsidRDefault="00480622" w:rsidP="00AA3EFC">
      <w:pPr>
        <w:pStyle w:val="FootnoteText"/>
        <w:spacing w:after="0"/>
        <w:ind w:firstLine="0"/>
        <w:rPr>
          <w:sz w:val="20"/>
        </w:rPr>
      </w:pPr>
      <w:r w:rsidRPr="00AA3EFC">
        <w:rPr>
          <w:rStyle w:val="FootnoteReference"/>
          <w:sz w:val="20"/>
          <w:szCs w:val="20"/>
        </w:rPr>
        <w:footnoteRef/>
      </w:r>
      <w:r w:rsidRPr="00AA3EFC">
        <w:rPr>
          <w:sz w:val="20"/>
        </w:rPr>
        <w:t xml:space="preserve"> Issued on 11/15/2018; published on 12/3/2018 (83 FR 62242)</w:t>
      </w:r>
    </w:p>
  </w:footnote>
  <w:footnote w:id="11">
    <w:p w14:paraId="23252C41" w14:textId="77777777" w:rsidR="00480622" w:rsidRPr="00AA3EFC" w:rsidRDefault="00480622" w:rsidP="00AA3EFC">
      <w:pPr>
        <w:pStyle w:val="FootnoteText"/>
        <w:spacing w:after="0"/>
        <w:ind w:firstLine="0"/>
        <w:rPr>
          <w:sz w:val="20"/>
        </w:rPr>
      </w:pPr>
      <w:r w:rsidRPr="00AA3EFC">
        <w:rPr>
          <w:rStyle w:val="FootnoteReference"/>
          <w:sz w:val="20"/>
          <w:szCs w:val="20"/>
        </w:rPr>
        <w:footnoteRef/>
      </w:r>
      <w:r w:rsidRPr="00AA3EFC">
        <w:rPr>
          <w:sz w:val="20"/>
        </w:rPr>
        <w:t xml:space="preserve"> Publication in the Federal Register occurred on 8/16/2018 (83 FR 40759)</w:t>
      </w:r>
    </w:p>
  </w:footnote>
  <w:footnote w:id="12">
    <w:p w14:paraId="641F891C" w14:textId="77777777" w:rsidR="00480622" w:rsidRPr="00AA3EFC" w:rsidRDefault="00480622" w:rsidP="00AA3EFC">
      <w:pPr>
        <w:pStyle w:val="FootnoteText"/>
        <w:spacing w:after="0"/>
        <w:ind w:firstLine="0"/>
        <w:rPr>
          <w:sz w:val="20"/>
        </w:rPr>
      </w:pPr>
      <w:r w:rsidRPr="00AA3EFC">
        <w:rPr>
          <w:rStyle w:val="FootnoteReference"/>
          <w:sz w:val="20"/>
          <w:szCs w:val="20"/>
        </w:rPr>
        <w:footnoteRef/>
      </w:r>
      <w:r w:rsidRPr="00AA3EFC">
        <w:rPr>
          <w:sz w:val="20"/>
        </w:rPr>
        <w:t xml:space="preserve"> Publication in the Federal Register occurred on 10/31/2018 (83 FR 54737)</w:t>
      </w:r>
    </w:p>
  </w:footnote>
  <w:footnote w:id="13">
    <w:p w14:paraId="22DC1FAD" w14:textId="7FF60B2C" w:rsidR="00480622" w:rsidRPr="00AA3EFC" w:rsidRDefault="00480622" w:rsidP="00AA3EFC">
      <w:pPr>
        <w:pStyle w:val="FootnoteText"/>
        <w:spacing w:after="0"/>
        <w:ind w:firstLine="0"/>
        <w:rPr>
          <w:sz w:val="20"/>
        </w:rPr>
      </w:pPr>
      <w:r w:rsidRPr="00AA3EFC">
        <w:rPr>
          <w:b/>
          <w:sz w:val="20"/>
          <w:vertAlign w:val="superscript"/>
        </w:rPr>
        <w:footnoteRef/>
      </w:r>
      <w:r w:rsidRPr="00AA3EFC">
        <w:rPr>
          <w:sz w:val="20"/>
        </w:rPr>
        <w:t xml:space="preserve"> The number of respondents is the number of entities upon which a change in burden from the current standards to the proposed will be observed.  It is not the total number of entities to which the current or proposed standards are applicable.</w:t>
      </w:r>
    </w:p>
  </w:footnote>
  <w:footnote w:id="14">
    <w:p w14:paraId="71B7E5B8" w14:textId="1AAEAE8F" w:rsidR="00480622" w:rsidRPr="00AA3EFC" w:rsidRDefault="00480622" w:rsidP="00AA3EFC">
      <w:pPr>
        <w:pStyle w:val="FootnoteText"/>
        <w:spacing w:after="0"/>
        <w:ind w:firstLine="0"/>
        <w:rPr>
          <w:sz w:val="20"/>
        </w:rPr>
      </w:pPr>
      <w:r w:rsidRPr="00AA3EFC">
        <w:rPr>
          <w:b/>
          <w:sz w:val="20"/>
          <w:vertAlign w:val="superscript"/>
        </w:rPr>
        <w:footnoteRef/>
      </w:r>
      <w:r w:rsidRPr="00AA3EFC">
        <w:rPr>
          <w:b/>
          <w:sz w:val="20"/>
          <w:vertAlign w:val="superscript"/>
        </w:rPr>
        <w:t xml:space="preserve"> </w:t>
      </w:r>
      <w:r w:rsidRPr="00AA3EFC">
        <w:rPr>
          <w:sz w:val="20"/>
        </w:rPr>
        <w:t xml:space="preserve">The estimated hourly cost (salary plus benefits) provided in this section is based on the salary figures for May 2017 posted by the Bureau of Labor Statistics for the Utilities sector (available at </w:t>
      </w:r>
      <w:hyperlink r:id="rId4" w:history="1">
        <w:r w:rsidRPr="00AA3EFC">
          <w:rPr>
            <w:rStyle w:val="Hyperlink"/>
            <w:sz w:val="20"/>
          </w:rPr>
          <w:t>https://www.bls.gov/oes/current/naics3_221000.htm</w:t>
        </w:r>
      </w:hyperlink>
      <w:r w:rsidRPr="00AA3EFC">
        <w:rPr>
          <w:sz w:val="20"/>
        </w:rPr>
        <w:t xml:space="preserve">) and scaled to reflect benefits using the relative importance of employer costs in employee compensation from May 2017 (available at </w:t>
      </w:r>
      <w:hyperlink r:id="rId5" w:history="1">
        <w:r w:rsidRPr="00AA3EFC">
          <w:rPr>
            <w:rStyle w:val="Hyperlink"/>
            <w:sz w:val="20"/>
          </w:rPr>
          <w:t>http://www.bls.gov/news.release/ecec.nr0.htm</w:t>
        </w:r>
      </w:hyperlink>
      <w:r w:rsidRPr="00AA3EFC">
        <w:rPr>
          <w:sz w:val="20"/>
        </w:rPr>
        <w:t>).  The hourly estimates for salary plus benefits are:</w:t>
      </w:r>
    </w:p>
    <w:p w14:paraId="36F4B4B0" w14:textId="77777777" w:rsidR="00480622" w:rsidRPr="00AA3EFC" w:rsidRDefault="00480622" w:rsidP="00AA3EFC">
      <w:pPr>
        <w:rPr>
          <w:sz w:val="20"/>
          <w:szCs w:val="20"/>
        </w:rPr>
      </w:pPr>
      <w:r w:rsidRPr="00AA3EFC">
        <w:rPr>
          <w:sz w:val="20"/>
          <w:szCs w:val="20"/>
        </w:rPr>
        <w:t xml:space="preserve">Computer and Information Systems Manager (Occupation Code: 11-3021), $96.51 </w:t>
      </w:r>
      <w:r w:rsidRPr="00AA3EFC">
        <w:rPr>
          <w:sz w:val="20"/>
          <w:szCs w:val="20"/>
        </w:rPr>
        <w:tab/>
      </w:r>
    </w:p>
    <w:p w14:paraId="64C48CB1" w14:textId="77777777" w:rsidR="00480622" w:rsidRPr="00AA3EFC" w:rsidRDefault="00480622" w:rsidP="00AA3EFC">
      <w:pPr>
        <w:rPr>
          <w:sz w:val="20"/>
          <w:szCs w:val="20"/>
        </w:rPr>
      </w:pPr>
      <w:r w:rsidRPr="00AA3EFC">
        <w:rPr>
          <w:sz w:val="20"/>
          <w:szCs w:val="20"/>
        </w:rPr>
        <w:t>Electrical Engineer (Occupation Code: 17-2071), $66.90</w:t>
      </w:r>
    </w:p>
    <w:p w14:paraId="63564A73" w14:textId="77777777" w:rsidR="00480622" w:rsidRPr="00AA3EFC" w:rsidRDefault="00480622" w:rsidP="00AA3EFC">
      <w:pPr>
        <w:rPr>
          <w:sz w:val="20"/>
          <w:szCs w:val="20"/>
        </w:rPr>
      </w:pPr>
      <w:r w:rsidRPr="00AA3EFC">
        <w:rPr>
          <w:sz w:val="20"/>
          <w:szCs w:val="20"/>
        </w:rPr>
        <w:t>Legal (Occupation Code: 23-0000), $143.68</w:t>
      </w:r>
    </w:p>
    <w:p w14:paraId="00730A0E" w14:textId="77777777" w:rsidR="00480622" w:rsidRPr="00AA3EFC" w:rsidRDefault="00480622" w:rsidP="00AA3EFC">
      <w:pPr>
        <w:rPr>
          <w:sz w:val="20"/>
          <w:szCs w:val="20"/>
        </w:rPr>
      </w:pPr>
      <w:r w:rsidRPr="00AA3EFC">
        <w:rPr>
          <w:sz w:val="20"/>
          <w:szCs w:val="20"/>
        </w:rPr>
        <w:t>The average hourly cost (salary plus benefits), weighting all of these skill sets evenly, is $102.36. The Commission rounds it to $102/hour.</w:t>
      </w:r>
    </w:p>
  </w:footnote>
  <w:footnote w:id="15">
    <w:p w14:paraId="3C00BAF6" w14:textId="52A54F99" w:rsidR="00480622" w:rsidRPr="00AA3EFC" w:rsidRDefault="00480622" w:rsidP="00AA3EFC">
      <w:pPr>
        <w:pStyle w:val="FootnoteText"/>
        <w:spacing w:after="0"/>
        <w:ind w:firstLine="0"/>
        <w:rPr>
          <w:sz w:val="20"/>
        </w:rPr>
      </w:pPr>
      <w:r w:rsidRPr="00AA3EFC">
        <w:rPr>
          <w:rStyle w:val="FootnoteReference"/>
          <w:sz w:val="20"/>
          <w:szCs w:val="20"/>
        </w:rPr>
        <w:footnoteRef/>
      </w:r>
      <w:r w:rsidRPr="00AA3EFC">
        <w:rPr>
          <w:sz w:val="20"/>
        </w:rPr>
        <w:t xml:space="preserve"> The RM14-2-000 Final Rule (Coordination of the Scheduling Processes of Interstate Natural Gas Pipelines and Public Utilities) was issued on 4/16/2015; reporting requirements were completed on 2/1/2016.</w:t>
      </w:r>
    </w:p>
  </w:footnote>
  <w:footnote w:id="16">
    <w:p w14:paraId="503402F4" w14:textId="6E6D341C" w:rsidR="00480622" w:rsidRPr="00CA333E" w:rsidRDefault="00480622" w:rsidP="00CA333E">
      <w:pPr>
        <w:pStyle w:val="FootnoteText"/>
        <w:spacing w:after="0"/>
        <w:ind w:firstLine="0"/>
        <w:rPr>
          <w:sz w:val="20"/>
        </w:rPr>
      </w:pPr>
      <w:r w:rsidRPr="00CA333E">
        <w:rPr>
          <w:rStyle w:val="FootnoteReference"/>
          <w:sz w:val="20"/>
          <w:szCs w:val="20"/>
        </w:rPr>
        <w:footnoteRef/>
      </w:r>
      <w:r w:rsidRPr="00CA333E">
        <w:rPr>
          <w:sz w:val="20"/>
        </w:rPr>
        <w:t xml:space="preserve"> </w:t>
      </w:r>
      <w:r w:rsidRPr="00AA3EFC">
        <w:rPr>
          <w:sz w:val="20"/>
        </w:rPr>
        <w:t>There is a</w:t>
      </w:r>
      <w:r w:rsidRPr="00CA333E">
        <w:rPr>
          <w:sz w:val="20"/>
        </w:rPr>
        <w:t>n ongoing component of this category of 250 responses and 30,113 hours per year</w:t>
      </w:r>
      <w:r>
        <w:rPr>
          <w:sz w:val="20"/>
        </w:rPr>
        <w:t>, which are retained in the IC</w:t>
      </w:r>
      <w:r w:rsidRPr="00CA333E">
        <w:rPr>
          <w:sz w:val="20"/>
        </w:rPr>
        <w:t>.</w:t>
      </w:r>
    </w:p>
  </w:footnote>
  <w:footnote w:id="17">
    <w:p w14:paraId="358B736C" w14:textId="77777777" w:rsidR="00480622" w:rsidRPr="00AA3EFC" w:rsidRDefault="00480622" w:rsidP="00AA3EFC">
      <w:pPr>
        <w:pStyle w:val="FootnoteText"/>
        <w:spacing w:after="0"/>
        <w:ind w:firstLine="0"/>
        <w:rPr>
          <w:sz w:val="20"/>
        </w:rPr>
      </w:pPr>
      <w:r w:rsidRPr="00AA3EFC">
        <w:rPr>
          <w:rStyle w:val="FootnoteReference"/>
          <w:sz w:val="20"/>
          <w:szCs w:val="20"/>
        </w:rPr>
        <w:footnoteRef/>
      </w:r>
      <w:r w:rsidRPr="00AA3EFC">
        <w:rPr>
          <w:sz w:val="20"/>
        </w:rPr>
        <w:t xml:space="preserve"> The average number of responses per respondent were calculated by dividing the total number of responses (Column 3) in each category by the number of responses (Column 1).</w:t>
      </w:r>
    </w:p>
  </w:footnote>
  <w:footnote w:id="18">
    <w:p w14:paraId="41D7B998" w14:textId="06028AA2" w:rsidR="00480622" w:rsidRPr="00AA3EFC" w:rsidRDefault="00480622" w:rsidP="00AA3EFC">
      <w:pPr>
        <w:pStyle w:val="FootnoteText"/>
        <w:spacing w:after="0"/>
        <w:ind w:firstLine="0"/>
        <w:rPr>
          <w:sz w:val="20"/>
        </w:rPr>
      </w:pPr>
      <w:r w:rsidRPr="00AA3EFC">
        <w:rPr>
          <w:rStyle w:val="FootnoteReference"/>
          <w:sz w:val="20"/>
          <w:szCs w:val="20"/>
        </w:rPr>
        <w:footnoteRef/>
      </w:r>
      <w:r w:rsidRPr="00AA3EFC">
        <w:rPr>
          <w:sz w:val="20"/>
        </w:rPr>
        <w:t xml:space="preserve"> The estimated hourly cost (salary plus benefits) provided in this section is based on the salary figures (</w:t>
      </w:r>
      <w:hyperlink r:id="rId6" w:history="1">
        <w:r w:rsidRPr="00AA3EFC">
          <w:rPr>
            <w:rStyle w:val="Hyperlink"/>
            <w:sz w:val="20"/>
          </w:rPr>
          <w:t>https://www.bls.gov/oes/current/naics3_221000.htm</w:t>
        </w:r>
      </w:hyperlink>
      <w:r w:rsidRPr="00AA3EFC">
        <w:rPr>
          <w:rStyle w:val="Hyperlink"/>
          <w:sz w:val="20"/>
        </w:rPr>
        <w:t>)</w:t>
      </w:r>
      <w:r w:rsidRPr="00AA3EFC">
        <w:rPr>
          <w:sz w:val="20"/>
        </w:rPr>
        <w:t xml:space="preserve"> and benefits (</w:t>
      </w:r>
      <w:hyperlink r:id="rId7" w:history="1">
        <w:r w:rsidRPr="00AA3EFC">
          <w:rPr>
            <w:rStyle w:val="Hyperlink"/>
            <w:sz w:val="20"/>
          </w:rPr>
          <w:t>http://www.bls.gov/news.release/ecec.nr0.htm</w:t>
        </w:r>
      </w:hyperlink>
      <w:r w:rsidRPr="00AA3EFC">
        <w:rPr>
          <w:rStyle w:val="Hyperlink"/>
          <w:sz w:val="20"/>
        </w:rPr>
        <w:t>)</w:t>
      </w:r>
      <w:r w:rsidRPr="00AA3EFC">
        <w:rPr>
          <w:sz w:val="20"/>
        </w:rPr>
        <w:t xml:space="preserve"> for May 2017 posted by the Bureau of Labor Statistics for the Utilities sector. The hourly estimates for salary plus benefits are: </w:t>
      </w:r>
    </w:p>
    <w:p w14:paraId="0BF7E160" w14:textId="77777777" w:rsidR="00480622" w:rsidRPr="00AA3EFC" w:rsidRDefault="00480622">
      <w:pPr>
        <w:pStyle w:val="FootnoteText"/>
        <w:spacing w:after="0"/>
        <w:ind w:firstLine="0"/>
        <w:rPr>
          <w:rFonts w:eastAsia="Calibri"/>
          <w:sz w:val="20"/>
        </w:rPr>
      </w:pPr>
      <w:r w:rsidRPr="00AA3EFC">
        <w:rPr>
          <w:rFonts w:eastAsia="Calibri"/>
          <w:sz w:val="20"/>
        </w:rPr>
        <w:tab/>
        <w:t>Petroleum Engineer (Occupation Code: 17-2171), $71.62</w:t>
      </w:r>
      <w:r w:rsidRPr="00AA3EFC">
        <w:rPr>
          <w:rFonts w:eastAsia="Calibri"/>
          <w:sz w:val="20"/>
        </w:rPr>
        <w:tab/>
      </w:r>
    </w:p>
    <w:p w14:paraId="3F8DDB98" w14:textId="4E278BEE" w:rsidR="00480622" w:rsidRPr="00AA3EFC" w:rsidRDefault="00480622">
      <w:pPr>
        <w:pStyle w:val="FootnoteText"/>
        <w:spacing w:after="0"/>
        <w:ind w:firstLine="0"/>
        <w:rPr>
          <w:rFonts w:eastAsia="Calibri"/>
          <w:sz w:val="20"/>
        </w:rPr>
      </w:pPr>
      <w:r w:rsidRPr="00AA3EFC">
        <w:rPr>
          <w:rFonts w:eastAsia="Calibri"/>
          <w:sz w:val="20"/>
        </w:rPr>
        <w:tab/>
        <w:t>Computer Systems Analyst (Occupation Code: 15-1121), $67.82</w:t>
      </w:r>
    </w:p>
    <w:p w14:paraId="402E2724" w14:textId="77777777" w:rsidR="00480622" w:rsidRPr="00AA3EFC" w:rsidRDefault="00480622">
      <w:pPr>
        <w:pStyle w:val="FootnoteText"/>
        <w:spacing w:after="0"/>
        <w:ind w:firstLine="0"/>
        <w:rPr>
          <w:rFonts w:eastAsia="Calibri"/>
          <w:sz w:val="20"/>
        </w:rPr>
      </w:pPr>
      <w:r w:rsidRPr="00AA3EFC">
        <w:rPr>
          <w:rFonts w:eastAsia="Calibri"/>
          <w:sz w:val="20"/>
        </w:rPr>
        <w:tab/>
        <w:t>Legal (Occupation Code: 23-0000), $143.68</w:t>
      </w:r>
    </w:p>
    <w:p w14:paraId="45A07083" w14:textId="77777777" w:rsidR="00480622" w:rsidRPr="00AA3EFC" w:rsidRDefault="00480622">
      <w:pPr>
        <w:pStyle w:val="FootnoteText"/>
        <w:spacing w:after="0"/>
        <w:ind w:firstLine="0"/>
        <w:rPr>
          <w:rFonts w:eastAsia="Calibri"/>
          <w:sz w:val="20"/>
        </w:rPr>
      </w:pPr>
      <w:r w:rsidRPr="00AA3EFC">
        <w:rPr>
          <w:rFonts w:eastAsia="Calibri"/>
          <w:sz w:val="20"/>
        </w:rPr>
        <w:tab/>
        <w:t>Economist (Occupation Code: 19-3011), $71.98</w:t>
      </w:r>
    </w:p>
    <w:p w14:paraId="370922AA" w14:textId="77777777" w:rsidR="00480622" w:rsidRPr="00AA3EFC" w:rsidRDefault="00480622">
      <w:pPr>
        <w:autoSpaceDE w:val="0"/>
        <w:autoSpaceDN w:val="0"/>
        <w:adjustRightInd w:val="0"/>
        <w:rPr>
          <w:sz w:val="20"/>
          <w:szCs w:val="20"/>
        </w:rPr>
      </w:pPr>
      <w:r w:rsidRPr="00AA3EFC">
        <w:rPr>
          <w:sz w:val="20"/>
          <w:szCs w:val="20"/>
        </w:rPr>
        <w:t>The average hourly cost (salary plus benefits) is calculated weighting each of the aforementioned wage categories as follows: $71.62 (0.3) + $143.68 (0.3) + $67.82 (0.15) + $71.98 (0.25) = $92.76. The Commission rounds it to $93/hour.</w:t>
      </w:r>
    </w:p>
  </w:footnote>
  <w:footnote w:id="19">
    <w:p w14:paraId="1AA21F48" w14:textId="77777777" w:rsidR="00480622" w:rsidRPr="00AA3EFC" w:rsidRDefault="00480622">
      <w:pPr>
        <w:pStyle w:val="FootnoteText"/>
        <w:spacing w:after="0"/>
        <w:ind w:firstLine="0"/>
        <w:rPr>
          <w:sz w:val="20"/>
        </w:rPr>
      </w:pPr>
      <w:r w:rsidRPr="00AA3EFC">
        <w:rPr>
          <w:rStyle w:val="FootnoteReference"/>
          <w:sz w:val="20"/>
          <w:szCs w:val="20"/>
        </w:rPr>
        <w:footnoteRef/>
      </w:r>
      <w:r w:rsidRPr="00AA3EFC">
        <w:rPr>
          <w:sz w:val="20"/>
        </w:rPr>
        <w:t xml:space="preserve"> Based on FERC’s Fiscal Year 2018 average cost per FTE (salary plus benefits) of $164,820 per year (or 2,080 work hours), rounded to $79.00 per hour. </w:t>
      </w:r>
    </w:p>
  </w:footnote>
  <w:footnote w:id="20">
    <w:p w14:paraId="5896C281" w14:textId="77777777" w:rsidR="00480622" w:rsidRPr="00AA3EFC" w:rsidRDefault="00480622">
      <w:pPr>
        <w:pStyle w:val="FootnoteText"/>
        <w:spacing w:after="0"/>
        <w:ind w:firstLine="0"/>
        <w:rPr>
          <w:sz w:val="20"/>
        </w:rPr>
      </w:pPr>
      <w:r w:rsidRPr="00AA3EFC">
        <w:rPr>
          <w:rStyle w:val="FootnoteReference"/>
          <w:sz w:val="20"/>
          <w:szCs w:val="20"/>
        </w:rPr>
        <w:footnoteRef/>
      </w:r>
      <w:r w:rsidRPr="00AA3EFC">
        <w:rPr>
          <w:sz w:val="20"/>
        </w:rPr>
        <w:t xml:space="preserve"> Paperwork Reduction Act of 1995 (PRA)</w:t>
      </w:r>
    </w:p>
  </w:footnote>
  <w:footnote w:id="21">
    <w:p w14:paraId="2AB0B54B" w14:textId="77777777" w:rsidR="00480622" w:rsidRPr="00AA3EFC" w:rsidRDefault="00480622">
      <w:pPr>
        <w:pStyle w:val="FootnoteText"/>
        <w:spacing w:after="0"/>
        <w:ind w:firstLine="0"/>
        <w:rPr>
          <w:sz w:val="20"/>
        </w:rPr>
      </w:pPr>
      <w:r w:rsidRPr="00AA3EFC">
        <w:rPr>
          <w:rStyle w:val="FootnoteReference"/>
          <w:sz w:val="20"/>
          <w:szCs w:val="20"/>
        </w:rPr>
        <w:footnoteRef/>
      </w:r>
      <w:r w:rsidRPr="00AA3EFC">
        <w:rPr>
          <w:sz w:val="20"/>
        </w:rPr>
        <w:t xml:space="preserve"> The PRA Administration Cost is $ 4,931, and includes preparing supporting statements, notices, and other activities associated with Paperwork Reduction Act compliance.</w:t>
      </w:r>
    </w:p>
  </w:footnote>
  <w:footnote w:id="22">
    <w:p w14:paraId="26909FBA" w14:textId="1A7CCEF0" w:rsidR="00480622" w:rsidRPr="00AA3EFC" w:rsidRDefault="00480622">
      <w:pPr>
        <w:pStyle w:val="FootnoteText"/>
        <w:spacing w:after="0"/>
        <w:ind w:firstLine="0"/>
        <w:rPr>
          <w:sz w:val="20"/>
        </w:rPr>
      </w:pPr>
      <w:r w:rsidRPr="00AA3EFC">
        <w:rPr>
          <w:rStyle w:val="FootnoteReference"/>
          <w:sz w:val="20"/>
          <w:szCs w:val="20"/>
        </w:rPr>
        <w:footnoteRef/>
      </w:r>
      <w:r w:rsidRPr="00AA3EFC">
        <w:rPr>
          <w:sz w:val="20"/>
        </w:rPr>
        <w:t xml:space="preserve"> This cost will be applied to both the FERC-545 and FERC-549C information collections as related to their respective ICRs.</w:t>
      </w:r>
    </w:p>
  </w:footnote>
  <w:footnote w:id="23">
    <w:p w14:paraId="5827BD56" w14:textId="77777777" w:rsidR="00480622" w:rsidRPr="00AA3EFC" w:rsidRDefault="00480622">
      <w:pPr>
        <w:pStyle w:val="FootnoteText"/>
        <w:spacing w:after="0"/>
        <w:ind w:firstLine="0"/>
        <w:rPr>
          <w:sz w:val="20"/>
        </w:rPr>
      </w:pPr>
      <w:r w:rsidRPr="00AA3EFC">
        <w:rPr>
          <w:rStyle w:val="FootnoteReference"/>
          <w:sz w:val="20"/>
          <w:szCs w:val="20"/>
        </w:rPr>
        <w:footnoteRef/>
      </w:r>
      <w:r w:rsidRPr="00AA3EFC">
        <w:rPr>
          <w:sz w:val="20"/>
        </w:rPr>
        <w:t xml:space="preserve"> The estimate of federal FTE’s and the indicated split between FERC-545 and FERC-549C is based on staff’s experience and the fact that the FERC-545 filings are one-time filings, with the FERC-549C requirements both one-time and on-going.</w:t>
      </w:r>
    </w:p>
  </w:footnote>
  <w:footnote w:id="24">
    <w:p w14:paraId="079763D6" w14:textId="77777777" w:rsidR="00480622" w:rsidRPr="00AA3EFC" w:rsidRDefault="00480622">
      <w:pPr>
        <w:pStyle w:val="FootnoteText"/>
        <w:spacing w:after="0"/>
        <w:ind w:firstLine="0"/>
        <w:rPr>
          <w:sz w:val="20"/>
        </w:rPr>
      </w:pPr>
      <w:r w:rsidRPr="00AA3EFC">
        <w:rPr>
          <w:rStyle w:val="FootnoteReference"/>
          <w:sz w:val="20"/>
          <w:szCs w:val="20"/>
        </w:rPr>
        <w:footnoteRef/>
      </w:r>
      <w:r w:rsidRPr="00AA3EFC">
        <w:rPr>
          <w:sz w:val="20"/>
        </w:rPr>
        <w:t xml:space="preserve"> </w:t>
      </w:r>
      <w:r w:rsidRPr="00AA3EFC">
        <w:rPr>
          <w:sz w:val="20"/>
          <w:shd w:val="clear" w:color="auto" w:fill="FFFFFF"/>
        </w:rPr>
        <w:t xml:space="preserve">The 1 FTE we are estimating here in connection with the issuance of the Final Rule in Docket No. </w:t>
      </w:r>
      <w:r w:rsidRPr="00AA3EFC">
        <w:rPr>
          <w:bCs/>
          <w:sz w:val="20"/>
          <w:shd w:val="clear" w:color="auto" w:fill="FFFFFF"/>
        </w:rPr>
        <w:t>RM96-1-041</w:t>
      </w:r>
      <w:r w:rsidRPr="00AA3EFC">
        <w:rPr>
          <w:sz w:val="20"/>
          <w:shd w:val="clear" w:color="auto" w:fill="FFFFFF"/>
        </w:rPr>
        <w:t xml:space="preserve"> does not represent an additional FTE.</w:t>
      </w:r>
    </w:p>
  </w:footnote>
  <w:footnote w:id="25">
    <w:p w14:paraId="551CFAE3" w14:textId="383D702A" w:rsidR="00480622" w:rsidRPr="00CA333E" w:rsidRDefault="00480622" w:rsidP="00CA333E">
      <w:pPr>
        <w:pStyle w:val="FootnoteText"/>
        <w:spacing w:after="0"/>
        <w:ind w:firstLine="0"/>
        <w:rPr>
          <w:sz w:val="20"/>
        </w:rPr>
      </w:pPr>
      <w:r w:rsidRPr="00CA333E">
        <w:rPr>
          <w:rStyle w:val="FootnoteReference"/>
          <w:sz w:val="20"/>
          <w:szCs w:val="20"/>
        </w:rPr>
        <w:footnoteRef/>
      </w:r>
      <w:r w:rsidRPr="00CA333E">
        <w:rPr>
          <w:sz w:val="20"/>
        </w:rPr>
        <w:t xml:space="preserve"> The 13,200 hour reduction is reflected in the Summary table by the net reduction of 11,900 hours in the Change Due to Agency Discretion column [-13,200 hours (one-time) + 1,210 hours (one-time due to RM96-1-041 Final Rule) = -11,990].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75F88" w14:textId="77777777" w:rsidR="00480622" w:rsidRPr="00F5428B" w:rsidRDefault="00480622" w:rsidP="008D4689">
    <w:pPr>
      <w:pStyle w:val="Header"/>
      <w:framePr w:wrap="around" w:vAnchor="text" w:hAnchor="margin" w:xAlign="right" w:y="1"/>
      <w:rPr>
        <w:rStyle w:val="PageNumber"/>
      </w:rPr>
    </w:pPr>
    <w:r w:rsidRPr="00F5428B">
      <w:rPr>
        <w:rStyle w:val="PageNumber"/>
      </w:rPr>
      <w:fldChar w:fldCharType="begin"/>
    </w:r>
    <w:r w:rsidRPr="00F5428B">
      <w:rPr>
        <w:rStyle w:val="PageNumber"/>
      </w:rPr>
      <w:instrText xml:space="preserve">PAGE  </w:instrText>
    </w:r>
    <w:r w:rsidRPr="00F5428B">
      <w:rPr>
        <w:rStyle w:val="PageNumber"/>
      </w:rPr>
      <w:fldChar w:fldCharType="separate"/>
    </w:r>
    <w:r w:rsidR="00367657">
      <w:rPr>
        <w:rStyle w:val="PageNumber"/>
        <w:noProof/>
      </w:rPr>
      <w:t>1</w:t>
    </w:r>
    <w:r w:rsidRPr="00F5428B">
      <w:rPr>
        <w:rStyle w:val="PageNumber"/>
      </w:rPr>
      <w:fldChar w:fldCharType="end"/>
    </w:r>
  </w:p>
  <w:p w14:paraId="36C8BE19" w14:textId="7F703932" w:rsidR="00480622" w:rsidRPr="00A873E5" w:rsidRDefault="00480622" w:rsidP="002B45F1">
    <w:pPr>
      <w:pStyle w:val="Header"/>
    </w:pPr>
    <w:r>
      <w:t>FERC-549C (OMB Control No. 1902-0174</w:t>
    </w:r>
    <w:r w:rsidRPr="00A873E5">
      <w:t>)</w:t>
    </w:r>
  </w:p>
  <w:p w14:paraId="4E3188D1" w14:textId="77777777" w:rsidR="00480622" w:rsidRPr="00A873E5" w:rsidRDefault="00480622" w:rsidP="008D4689">
    <w:pPr>
      <w:tabs>
        <w:tab w:val="left" w:pos="-1440"/>
      </w:tabs>
      <w:ind w:left="5760" w:right="360" w:hanging="5760"/>
      <w:rPr>
        <w:sz w:val="24"/>
      </w:rPr>
    </w:pPr>
    <w:r w:rsidRPr="00A873E5">
      <w:rPr>
        <w:sz w:val="24"/>
      </w:rPr>
      <w:t>Docket No. RM96-1-041 Final Rule (issued 11/15/2018)</w:t>
    </w:r>
  </w:p>
  <w:p w14:paraId="5D5A9B8E" w14:textId="77777777" w:rsidR="00480622" w:rsidRDefault="00480622" w:rsidP="008D4689">
    <w:pPr>
      <w:tabs>
        <w:tab w:val="left" w:pos="-1440"/>
      </w:tabs>
      <w:ind w:left="5760" w:right="360" w:hanging="5760"/>
      <w:rPr>
        <w:sz w:val="24"/>
      </w:rPr>
    </w:pPr>
    <w:r w:rsidRPr="00A873E5">
      <w:rPr>
        <w:sz w:val="24"/>
      </w:rPr>
      <w:t>RIN:  1902-AF54</w:t>
    </w:r>
  </w:p>
  <w:p w14:paraId="36D65841" w14:textId="64B07914" w:rsidR="00480622" w:rsidRPr="00A873E5" w:rsidRDefault="00480622" w:rsidP="008D4689">
    <w:pPr>
      <w:tabs>
        <w:tab w:val="left" w:pos="-1440"/>
      </w:tabs>
      <w:ind w:left="5760" w:right="360" w:hanging="5760"/>
      <w:rPr>
        <w:sz w:val="24"/>
      </w:rPr>
    </w:pPr>
    <w:r>
      <w:rPr>
        <w:sz w:val="24"/>
      </w:rPr>
      <w:t>Updated: 2/12/2019</w:t>
    </w:r>
  </w:p>
  <w:p w14:paraId="780E8A6C" w14:textId="77777777" w:rsidR="00480622" w:rsidRPr="00F5428B" w:rsidRDefault="00480622" w:rsidP="008D4689">
    <w:pPr>
      <w:tabs>
        <w:tab w:val="left" w:pos="-1440"/>
      </w:tabs>
      <w:ind w:left="5760" w:right="360" w:hanging="5760"/>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31C72F6"/>
    <w:multiLevelType w:val="hybridMultilevel"/>
    <w:tmpl w:val="45CAD20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
    <w:nsid w:val="2024364F"/>
    <w:multiLevelType w:val="hybridMultilevel"/>
    <w:tmpl w:val="8B4E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04DF4"/>
    <w:multiLevelType w:val="hybridMultilevel"/>
    <w:tmpl w:val="8794A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11562D7"/>
    <w:multiLevelType w:val="hybridMultilevel"/>
    <w:tmpl w:val="57F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E719D3"/>
    <w:multiLevelType w:val="hybridMultilevel"/>
    <w:tmpl w:val="B9A2F77C"/>
    <w:lvl w:ilvl="0" w:tplc="0409000F">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AC1F6C"/>
    <w:multiLevelType w:val="hybridMultilevel"/>
    <w:tmpl w:val="4F8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6B3665"/>
    <w:multiLevelType w:val="hybridMultilevel"/>
    <w:tmpl w:val="1A1E3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71CC722F"/>
    <w:multiLevelType w:val="hybridMultilevel"/>
    <w:tmpl w:val="A202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4E4DD3"/>
    <w:multiLevelType w:val="hybridMultilevel"/>
    <w:tmpl w:val="C6FC6362"/>
    <w:lvl w:ilvl="0" w:tplc="03DC8F60">
      <w:start w:val="1"/>
      <w:numFmt w:val="decimal"/>
      <w:lvlText w:val="%1."/>
      <w:lvlJc w:val="left"/>
      <w:pPr>
        <w:tabs>
          <w:tab w:val="num" w:pos="720"/>
        </w:tabs>
        <w:ind w:left="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11"/>
      <w:lvl w:ilvl="0">
        <w:start w:val="11"/>
        <w:numFmt w:val="decimal"/>
        <w:pStyle w:val="Level1"/>
        <w:lvlText w:val="%1."/>
        <w:lvlJc w:val="left"/>
      </w:lvl>
    </w:lvlOverride>
  </w:num>
  <w:num w:numId="4">
    <w:abstractNumId w:val="7"/>
  </w:num>
  <w:num w:numId="5">
    <w:abstractNumId w:val="3"/>
  </w:num>
  <w:num w:numId="6">
    <w:abstractNumId w:val="9"/>
  </w:num>
  <w:num w:numId="7">
    <w:abstractNumId w:val="2"/>
  </w:num>
  <w:num w:numId="8">
    <w:abstractNumId w:val="1"/>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5BE"/>
    <w:rsid w:val="00006D51"/>
    <w:rsid w:val="00023257"/>
    <w:rsid w:val="000326C9"/>
    <w:rsid w:val="00035182"/>
    <w:rsid w:val="00070536"/>
    <w:rsid w:val="00074EFD"/>
    <w:rsid w:val="00080487"/>
    <w:rsid w:val="000C0189"/>
    <w:rsid w:val="000E1368"/>
    <w:rsid w:val="000E2C3C"/>
    <w:rsid w:val="0010764F"/>
    <w:rsid w:val="001204F8"/>
    <w:rsid w:val="001235FD"/>
    <w:rsid w:val="00131212"/>
    <w:rsid w:val="001456AE"/>
    <w:rsid w:val="0016621A"/>
    <w:rsid w:val="00185817"/>
    <w:rsid w:val="00193190"/>
    <w:rsid w:val="001A03B1"/>
    <w:rsid w:val="001B1135"/>
    <w:rsid w:val="0020662B"/>
    <w:rsid w:val="00212D57"/>
    <w:rsid w:val="00215D6C"/>
    <w:rsid w:val="00221289"/>
    <w:rsid w:val="002237E4"/>
    <w:rsid w:val="00256088"/>
    <w:rsid w:val="0027779E"/>
    <w:rsid w:val="00295055"/>
    <w:rsid w:val="002978F1"/>
    <w:rsid w:val="00297991"/>
    <w:rsid w:val="002A0085"/>
    <w:rsid w:val="002A2273"/>
    <w:rsid w:val="002A2AFD"/>
    <w:rsid w:val="002B4415"/>
    <w:rsid w:val="002B45F1"/>
    <w:rsid w:val="002C118D"/>
    <w:rsid w:val="002D1A59"/>
    <w:rsid w:val="002D4D89"/>
    <w:rsid w:val="002D7F3A"/>
    <w:rsid w:val="002E2010"/>
    <w:rsid w:val="002E6CFA"/>
    <w:rsid w:val="002E7DA9"/>
    <w:rsid w:val="002F39BD"/>
    <w:rsid w:val="002F6758"/>
    <w:rsid w:val="00330F8C"/>
    <w:rsid w:val="00353A27"/>
    <w:rsid w:val="00367657"/>
    <w:rsid w:val="003726C6"/>
    <w:rsid w:val="00382D44"/>
    <w:rsid w:val="00385B39"/>
    <w:rsid w:val="003A6CBA"/>
    <w:rsid w:val="003B15E8"/>
    <w:rsid w:val="003D2136"/>
    <w:rsid w:val="003D4D48"/>
    <w:rsid w:val="003E0393"/>
    <w:rsid w:val="003F0E97"/>
    <w:rsid w:val="00402714"/>
    <w:rsid w:val="00416822"/>
    <w:rsid w:val="00440A6C"/>
    <w:rsid w:val="004758FB"/>
    <w:rsid w:val="00476985"/>
    <w:rsid w:val="00480165"/>
    <w:rsid w:val="00480622"/>
    <w:rsid w:val="00481661"/>
    <w:rsid w:val="004832CE"/>
    <w:rsid w:val="00486D73"/>
    <w:rsid w:val="00487415"/>
    <w:rsid w:val="004D5056"/>
    <w:rsid w:val="00504150"/>
    <w:rsid w:val="005228C3"/>
    <w:rsid w:val="00533037"/>
    <w:rsid w:val="005409EE"/>
    <w:rsid w:val="00565AA0"/>
    <w:rsid w:val="005703D3"/>
    <w:rsid w:val="00577E07"/>
    <w:rsid w:val="005A3A2A"/>
    <w:rsid w:val="005A47EC"/>
    <w:rsid w:val="005A77A4"/>
    <w:rsid w:val="005B305F"/>
    <w:rsid w:val="005B4ACC"/>
    <w:rsid w:val="005C31E9"/>
    <w:rsid w:val="005E653B"/>
    <w:rsid w:val="005E7DE0"/>
    <w:rsid w:val="005F2E53"/>
    <w:rsid w:val="005F5E7C"/>
    <w:rsid w:val="005F6491"/>
    <w:rsid w:val="00613D99"/>
    <w:rsid w:val="00622554"/>
    <w:rsid w:val="006462AD"/>
    <w:rsid w:val="006512E7"/>
    <w:rsid w:val="00651E7C"/>
    <w:rsid w:val="00652747"/>
    <w:rsid w:val="00653765"/>
    <w:rsid w:val="00671BA2"/>
    <w:rsid w:val="00681128"/>
    <w:rsid w:val="00691DF4"/>
    <w:rsid w:val="006943C1"/>
    <w:rsid w:val="006B7B80"/>
    <w:rsid w:val="006B7EB4"/>
    <w:rsid w:val="006D79F8"/>
    <w:rsid w:val="006E49AD"/>
    <w:rsid w:val="006F7494"/>
    <w:rsid w:val="007051A1"/>
    <w:rsid w:val="00724C65"/>
    <w:rsid w:val="00725D1D"/>
    <w:rsid w:val="0073773B"/>
    <w:rsid w:val="00741AE3"/>
    <w:rsid w:val="00753774"/>
    <w:rsid w:val="00775C67"/>
    <w:rsid w:val="007777B4"/>
    <w:rsid w:val="00785AAC"/>
    <w:rsid w:val="00786B8A"/>
    <w:rsid w:val="007973BC"/>
    <w:rsid w:val="007A7CD6"/>
    <w:rsid w:val="007C35D1"/>
    <w:rsid w:val="007F3726"/>
    <w:rsid w:val="007F4D97"/>
    <w:rsid w:val="00857548"/>
    <w:rsid w:val="008611ED"/>
    <w:rsid w:val="0087618D"/>
    <w:rsid w:val="008A250D"/>
    <w:rsid w:val="008C6E2A"/>
    <w:rsid w:val="008D4689"/>
    <w:rsid w:val="008E0300"/>
    <w:rsid w:val="008F65E6"/>
    <w:rsid w:val="008F718E"/>
    <w:rsid w:val="00914CC6"/>
    <w:rsid w:val="0094085E"/>
    <w:rsid w:val="00946AC5"/>
    <w:rsid w:val="00950A2F"/>
    <w:rsid w:val="00966D03"/>
    <w:rsid w:val="00971F55"/>
    <w:rsid w:val="00986AA7"/>
    <w:rsid w:val="009878A3"/>
    <w:rsid w:val="009B43B6"/>
    <w:rsid w:val="009C3D22"/>
    <w:rsid w:val="009C523A"/>
    <w:rsid w:val="009C5ED8"/>
    <w:rsid w:val="009D1B59"/>
    <w:rsid w:val="00A17430"/>
    <w:rsid w:val="00A1752A"/>
    <w:rsid w:val="00A277D4"/>
    <w:rsid w:val="00A42965"/>
    <w:rsid w:val="00A5298F"/>
    <w:rsid w:val="00A83D8E"/>
    <w:rsid w:val="00A873E5"/>
    <w:rsid w:val="00A96CB8"/>
    <w:rsid w:val="00AA3EFC"/>
    <w:rsid w:val="00AA44F5"/>
    <w:rsid w:val="00AA5BA9"/>
    <w:rsid w:val="00B17FD0"/>
    <w:rsid w:val="00B2471C"/>
    <w:rsid w:val="00B3074E"/>
    <w:rsid w:val="00B33E93"/>
    <w:rsid w:val="00B3775B"/>
    <w:rsid w:val="00B6435E"/>
    <w:rsid w:val="00B719A3"/>
    <w:rsid w:val="00B83CB7"/>
    <w:rsid w:val="00B90ECF"/>
    <w:rsid w:val="00BC15BE"/>
    <w:rsid w:val="00BD6B0B"/>
    <w:rsid w:val="00BE7994"/>
    <w:rsid w:val="00C002D1"/>
    <w:rsid w:val="00C16812"/>
    <w:rsid w:val="00C24781"/>
    <w:rsid w:val="00C375B5"/>
    <w:rsid w:val="00C4173F"/>
    <w:rsid w:val="00C4337B"/>
    <w:rsid w:val="00C51371"/>
    <w:rsid w:val="00C52006"/>
    <w:rsid w:val="00C60DEA"/>
    <w:rsid w:val="00C65EBA"/>
    <w:rsid w:val="00C82FB6"/>
    <w:rsid w:val="00C851F5"/>
    <w:rsid w:val="00C91AC4"/>
    <w:rsid w:val="00C95983"/>
    <w:rsid w:val="00CA333E"/>
    <w:rsid w:val="00CE4075"/>
    <w:rsid w:val="00D109AD"/>
    <w:rsid w:val="00D36F12"/>
    <w:rsid w:val="00D60724"/>
    <w:rsid w:val="00D64990"/>
    <w:rsid w:val="00D81DD0"/>
    <w:rsid w:val="00D93F72"/>
    <w:rsid w:val="00DA678D"/>
    <w:rsid w:val="00DE6187"/>
    <w:rsid w:val="00DF17B3"/>
    <w:rsid w:val="00DF3B9D"/>
    <w:rsid w:val="00DF7952"/>
    <w:rsid w:val="00E06116"/>
    <w:rsid w:val="00E111A5"/>
    <w:rsid w:val="00E1151B"/>
    <w:rsid w:val="00E34C4E"/>
    <w:rsid w:val="00E37BB0"/>
    <w:rsid w:val="00E57C05"/>
    <w:rsid w:val="00E639DE"/>
    <w:rsid w:val="00E64A43"/>
    <w:rsid w:val="00E83123"/>
    <w:rsid w:val="00E95224"/>
    <w:rsid w:val="00EC2AAF"/>
    <w:rsid w:val="00ED09DA"/>
    <w:rsid w:val="00EE6B15"/>
    <w:rsid w:val="00EF3830"/>
    <w:rsid w:val="00F11408"/>
    <w:rsid w:val="00F35E8E"/>
    <w:rsid w:val="00F45B52"/>
    <w:rsid w:val="00F50C79"/>
    <w:rsid w:val="00F52DA0"/>
    <w:rsid w:val="00F5428B"/>
    <w:rsid w:val="00F54F45"/>
    <w:rsid w:val="00F56F9C"/>
    <w:rsid w:val="00F66FF0"/>
    <w:rsid w:val="00F74808"/>
    <w:rsid w:val="00F8150C"/>
    <w:rsid w:val="00F86954"/>
    <w:rsid w:val="00F959E9"/>
    <w:rsid w:val="00FA7C25"/>
    <w:rsid w:val="00FC4584"/>
    <w:rsid w:val="00FD7DF0"/>
    <w:rsid w:val="00FE6EB5"/>
    <w:rsid w:val="00FF3A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507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E7C"/>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uiPriority w:val="99"/>
    <w:qFormat/>
    <w:rsid w:val="00BC15BE"/>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C15BE"/>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2"/>
    <w:uiPriority w:val="99"/>
    <w:qFormat/>
    <w:rsid w:val="00BC15BE"/>
    <w:pPr>
      <w:spacing w:after="260"/>
      <w:ind w:firstLine="720"/>
    </w:pPr>
    <w:rPr>
      <w:szCs w:val="20"/>
    </w:rPr>
  </w:style>
  <w:style w:type="character" w:customStyle="1" w:styleId="FootnoteTextChar">
    <w:name w:val="Footnote Text Char"/>
    <w:aliases w:val="Footnote Text Char Char Char,Footnote Text Char1 Char1 Char Char,Footnote Text Char2 Char Char Char Char,Footnote Text Char Char1 Char Char Char Char,Footnote Text Char1 Char Char Char Char,Footnote Text Char Char Char Char Char Char"/>
    <w:basedOn w:val="DefaultParagraphFont"/>
    <w:uiPriority w:val="99"/>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uiPriority w:val="99"/>
    <w:rsid w:val="00BC15BE"/>
    <w:rPr>
      <w:rFonts w:ascii="Times New Roman" w:eastAsia="Times New Roman" w:hAnsi="Times New Roman" w:cs="Times New Roman"/>
      <w:sz w:val="26"/>
      <w:szCs w:val="20"/>
    </w:rPr>
  </w:style>
  <w:style w:type="character" w:customStyle="1" w:styleId="FERCparanumberChar">
    <w:name w:val="FERC paranumber Char"/>
    <w:link w:val="FERCparanumber"/>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semiHidden/>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uiPriority w:val="99"/>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D51"/>
    <w:pPr>
      <w:spacing w:after="0" w:line="240" w:lineRule="auto"/>
    </w:pPr>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D109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E7C"/>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uiPriority w:val="99"/>
    <w:qFormat/>
    <w:rsid w:val="00BC15BE"/>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C15BE"/>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2"/>
    <w:uiPriority w:val="99"/>
    <w:qFormat/>
    <w:rsid w:val="00BC15BE"/>
    <w:pPr>
      <w:spacing w:after="260"/>
      <w:ind w:firstLine="720"/>
    </w:pPr>
    <w:rPr>
      <w:szCs w:val="20"/>
    </w:rPr>
  </w:style>
  <w:style w:type="character" w:customStyle="1" w:styleId="FootnoteTextChar">
    <w:name w:val="Footnote Text Char"/>
    <w:aliases w:val="Footnote Text Char Char Char,Footnote Text Char1 Char1 Char Char,Footnote Text Char2 Char Char Char Char,Footnote Text Char Char1 Char Char Char Char,Footnote Text Char1 Char Char Char Char,Footnote Text Char Char Char Char Char Char"/>
    <w:basedOn w:val="DefaultParagraphFont"/>
    <w:uiPriority w:val="99"/>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uiPriority w:val="99"/>
    <w:rsid w:val="00BC15BE"/>
    <w:rPr>
      <w:rFonts w:ascii="Times New Roman" w:eastAsia="Times New Roman" w:hAnsi="Times New Roman" w:cs="Times New Roman"/>
      <w:sz w:val="26"/>
      <w:szCs w:val="20"/>
    </w:rPr>
  </w:style>
  <w:style w:type="character" w:customStyle="1" w:styleId="FERCparanumberChar">
    <w:name w:val="FERC paranumber Char"/>
    <w:link w:val="FERCparanumber"/>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semiHidden/>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uiPriority w:val="99"/>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D51"/>
    <w:pPr>
      <w:spacing w:after="0" w:line="240" w:lineRule="auto"/>
    </w:pPr>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D109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264943">
      <w:bodyDiv w:val="1"/>
      <w:marLeft w:val="0"/>
      <w:marRight w:val="0"/>
      <w:marTop w:val="0"/>
      <w:marBottom w:val="0"/>
      <w:divBdr>
        <w:top w:val="none" w:sz="0" w:space="0" w:color="auto"/>
        <w:left w:val="none" w:sz="0" w:space="0" w:color="auto"/>
        <w:bottom w:val="none" w:sz="0" w:space="0" w:color="auto"/>
        <w:right w:val="none" w:sz="0" w:space="0" w:color="auto"/>
      </w:divBdr>
      <w:divsChild>
        <w:div w:id="2012180470">
          <w:marLeft w:val="0"/>
          <w:marRight w:val="0"/>
          <w:marTop w:val="0"/>
          <w:marBottom w:val="0"/>
          <w:divBdr>
            <w:top w:val="none" w:sz="0" w:space="0" w:color="auto"/>
            <w:left w:val="none" w:sz="0" w:space="0" w:color="auto"/>
            <w:bottom w:val="none" w:sz="0" w:space="0" w:color="auto"/>
            <w:right w:val="none" w:sz="0" w:space="0" w:color="auto"/>
          </w:divBdr>
          <w:divsChild>
            <w:div w:id="1624380243">
              <w:marLeft w:val="0"/>
              <w:marRight w:val="0"/>
              <w:marTop w:val="0"/>
              <w:marBottom w:val="0"/>
              <w:divBdr>
                <w:top w:val="none" w:sz="0" w:space="0" w:color="auto"/>
                <w:left w:val="none" w:sz="0" w:space="0" w:color="auto"/>
                <w:bottom w:val="none" w:sz="0" w:space="0" w:color="auto"/>
                <w:right w:val="none" w:sz="0" w:space="0" w:color="auto"/>
              </w:divBdr>
              <w:divsChild>
                <w:div w:id="1275559644">
                  <w:marLeft w:val="0"/>
                  <w:marRight w:val="0"/>
                  <w:marTop w:val="0"/>
                  <w:marBottom w:val="0"/>
                  <w:divBdr>
                    <w:top w:val="none" w:sz="0" w:space="0" w:color="auto"/>
                    <w:left w:val="none" w:sz="0" w:space="0" w:color="auto"/>
                    <w:bottom w:val="none" w:sz="0" w:space="0" w:color="auto"/>
                    <w:right w:val="none" w:sz="0" w:space="0" w:color="auto"/>
                  </w:divBdr>
                  <w:divsChild>
                    <w:div w:id="1465386056">
                      <w:marLeft w:val="0"/>
                      <w:marRight w:val="0"/>
                      <w:marTop w:val="0"/>
                      <w:marBottom w:val="0"/>
                      <w:divBdr>
                        <w:top w:val="none" w:sz="0" w:space="0" w:color="auto"/>
                        <w:left w:val="none" w:sz="0" w:space="0" w:color="auto"/>
                        <w:bottom w:val="none" w:sz="0" w:space="0" w:color="auto"/>
                        <w:right w:val="none" w:sz="0" w:space="0" w:color="auto"/>
                      </w:divBdr>
                      <w:divsChild>
                        <w:div w:id="558901593">
                          <w:marLeft w:val="0"/>
                          <w:marRight w:val="0"/>
                          <w:marTop w:val="0"/>
                          <w:marBottom w:val="0"/>
                          <w:divBdr>
                            <w:top w:val="none" w:sz="0" w:space="0" w:color="auto"/>
                            <w:left w:val="none" w:sz="0" w:space="0" w:color="auto"/>
                            <w:bottom w:val="none" w:sz="0" w:space="0" w:color="auto"/>
                            <w:right w:val="none" w:sz="0" w:space="0" w:color="auto"/>
                          </w:divBdr>
                          <w:divsChild>
                            <w:div w:id="985089116">
                              <w:marLeft w:val="0"/>
                              <w:marRight w:val="0"/>
                              <w:marTop w:val="0"/>
                              <w:marBottom w:val="0"/>
                              <w:divBdr>
                                <w:top w:val="none" w:sz="0" w:space="0" w:color="auto"/>
                                <w:left w:val="none" w:sz="0" w:space="0" w:color="auto"/>
                                <w:bottom w:val="none" w:sz="0" w:space="0" w:color="auto"/>
                                <w:right w:val="none" w:sz="0" w:space="0" w:color="auto"/>
                              </w:divBdr>
                              <w:divsChild>
                                <w:div w:id="2097166578">
                                  <w:marLeft w:val="0"/>
                                  <w:marRight w:val="0"/>
                                  <w:marTop w:val="0"/>
                                  <w:marBottom w:val="0"/>
                                  <w:divBdr>
                                    <w:top w:val="none" w:sz="0" w:space="0" w:color="auto"/>
                                    <w:left w:val="none" w:sz="0" w:space="0" w:color="auto"/>
                                    <w:bottom w:val="none" w:sz="0" w:space="0" w:color="auto"/>
                                    <w:right w:val="none" w:sz="0" w:space="0" w:color="auto"/>
                                  </w:divBdr>
                                  <w:divsChild>
                                    <w:div w:id="1512254130">
                                      <w:marLeft w:val="0"/>
                                      <w:marRight w:val="0"/>
                                      <w:marTop w:val="0"/>
                                      <w:marBottom w:val="0"/>
                                      <w:divBdr>
                                        <w:top w:val="none" w:sz="0" w:space="0" w:color="auto"/>
                                        <w:left w:val="none" w:sz="0" w:space="0" w:color="auto"/>
                                        <w:bottom w:val="none" w:sz="0" w:space="0" w:color="auto"/>
                                        <w:right w:val="none" w:sz="0" w:space="0" w:color="auto"/>
                                      </w:divBdr>
                                      <w:divsChild>
                                        <w:div w:id="1685784766">
                                          <w:marLeft w:val="0"/>
                                          <w:marRight w:val="0"/>
                                          <w:marTop w:val="0"/>
                                          <w:marBottom w:val="0"/>
                                          <w:divBdr>
                                            <w:top w:val="none" w:sz="0" w:space="0" w:color="auto"/>
                                            <w:left w:val="none" w:sz="0" w:space="0" w:color="auto"/>
                                            <w:bottom w:val="none" w:sz="0" w:space="0" w:color="auto"/>
                                            <w:right w:val="none" w:sz="0" w:space="0" w:color="auto"/>
                                          </w:divBdr>
                                          <w:divsChild>
                                            <w:div w:id="1317496808">
                                              <w:marLeft w:val="0"/>
                                              <w:marRight w:val="0"/>
                                              <w:marTop w:val="0"/>
                                              <w:marBottom w:val="0"/>
                                              <w:divBdr>
                                                <w:top w:val="none" w:sz="0" w:space="0" w:color="auto"/>
                                                <w:left w:val="none" w:sz="0" w:space="0" w:color="auto"/>
                                                <w:bottom w:val="none" w:sz="0" w:space="0" w:color="auto"/>
                                                <w:right w:val="none" w:sz="0" w:space="0" w:color="auto"/>
                                              </w:divBdr>
                                              <w:divsChild>
                                                <w:div w:id="1225606885">
                                                  <w:marLeft w:val="0"/>
                                                  <w:marRight w:val="0"/>
                                                  <w:marTop w:val="0"/>
                                                  <w:marBottom w:val="0"/>
                                                  <w:divBdr>
                                                    <w:top w:val="none" w:sz="0" w:space="0" w:color="auto"/>
                                                    <w:left w:val="none" w:sz="0" w:space="0" w:color="auto"/>
                                                    <w:bottom w:val="none" w:sz="0" w:space="0" w:color="auto"/>
                                                    <w:right w:val="none" w:sz="0" w:space="0" w:color="auto"/>
                                                  </w:divBdr>
                                                  <w:divsChild>
                                                    <w:div w:id="1381901290">
                                                      <w:marLeft w:val="0"/>
                                                      <w:marRight w:val="0"/>
                                                      <w:marTop w:val="0"/>
                                                      <w:marBottom w:val="0"/>
                                                      <w:divBdr>
                                                        <w:top w:val="none" w:sz="0" w:space="0" w:color="auto"/>
                                                        <w:left w:val="none" w:sz="0" w:space="0" w:color="auto"/>
                                                        <w:bottom w:val="none" w:sz="0" w:space="0" w:color="auto"/>
                                                        <w:right w:val="none" w:sz="0" w:space="0" w:color="auto"/>
                                                      </w:divBdr>
                                                      <w:divsChild>
                                                        <w:div w:id="2128350548">
                                                          <w:marLeft w:val="0"/>
                                                          <w:marRight w:val="0"/>
                                                          <w:marTop w:val="0"/>
                                                          <w:marBottom w:val="0"/>
                                                          <w:divBdr>
                                                            <w:top w:val="none" w:sz="0" w:space="0" w:color="auto"/>
                                                            <w:left w:val="none" w:sz="0" w:space="0" w:color="auto"/>
                                                            <w:bottom w:val="none" w:sz="0" w:space="0" w:color="auto"/>
                                                            <w:right w:val="none" w:sz="0" w:space="0" w:color="auto"/>
                                                          </w:divBdr>
                                                          <w:divsChild>
                                                            <w:div w:id="1796216029">
                                                              <w:marLeft w:val="0"/>
                                                              <w:marRight w:val="0"/>
                                                              <w:marTop w:val="0"/>
                                                              <w:marBottom w:val="0"/>
                                                              <w:divBdr>
                                                                <w:top w:val="none" w:sz="0" w:space="0" w:color="auto"/>
                                                                <w:left w:val="none" w:sz="0" w:space="0" w:color="auto"/>
                                                                <w:bottom w:val="none" w:sz="0" w:space="0" w:color="auto"/>
                                                                <w:right w:val="none" w:sz="0" w:space="0" w:color="auto"/>
                                                              </w:divBdr>
                                                              <w:divsChild>
                                                                <w:div w:id="601566924">
                                                                  <w:marLeft w:val="480"/>
                                                                  <w:marRight w:val="0"/>
                                                                  <w:marTop w:val="0"/>
                                                                  <w:marBottom w:val="0"/>
                                                                  <w:divBdr>
                                                                    <w:top w:val="none" w:sz="0" w:space="0" w:color="auto"/>
                                                                    <w:left w:val="none" w:sz="0" w:space="0" w:color="auto"/>
                                                                    <w:bottom w:val="none" w:sz="0" w:space="0" w:color="auto"/>
                                                                    <w:right w:val="none" w:sz="0" w:space="0" w:color="auto"/>
                                                                  </w:divBdr>
                                                                  <w:divsChild>
                                                                    <w:div w:id="480849274">
                                                                      <w:marLeft w:val="0"/>
                                                                      <w:marRight w:val="0"/>
                                                                      <w:marTop w:val="0"/>
                                                                      <w:marBottom w:val="0"/>
                                                                      <w:divBdr>
                                                                        <w:top w:val="none" w:sz="0" w:space="0" w:color="auto"/>
                                                                        <w:left w:val="none" w:sz="0" w:space="0" w:color="auto"/>
                                                                        <w:bottom w:val="none" w:sz="0" w:space="0" w:color="auto"/>
                                                                        <w:right w:val="none" w:sz="0" w:space="0" w:color="auto"/>
                                                                      </w:divBdr>
                                                                      <w:divsChild>
                                                                        <w:div w:id="214703263">
                                                                          <w:marLeft w:val="0"/>
                                                                          <w:marRight w:val="0"/>
                                                                          <w:marTop w:val="0"/>
                                                                          <w:marBottom w:val="0"/>
                                                                          <w:divBdr>
                                                                            <w:top w:val="none" w:sz="0" w:space="0" w:color="auto"/>
                                                                            <w:left w:val="none" w:sz="0" w:space="0" w:color="auto"/>
                                                                            <w:bottom w:val="none" w:sz="0" w:space="0" w:color="auto"/>
                                                                            <w:right w:val="none" w:sz="0" w:space="0" w:color="auto"/>
                                                                          </w:divBdr>
                                                                          <w:divsChild>
                                                                            <w:div w:id="1970545753">
                                                                              <w:marLeft w:val="0"/>
                                                                              <w:marRight w:val="0"/>
                                                                              <w:marTop w:val="0"/>
                                                                              <w:marBottom w:val="0"/>
                                                                              <w:divBdr>
                                                                                <w:top w:val="none" w:sz="0" w:space="0" w:color="auto"/>
                                                                                <w:left w:val="none" w:sz="0" w:space="0" w:color="auto"/>
                                                                                <w:bottom w:val="none" w:sz="0" w:space="0" w:color="auto"/>
                                                                                <w:right w:val="none" w:sz="0" w:space="0" w:color="auto"/>
                                                                              </w:divBdr>
                                                                              <w:divsChild>
                                                                                <w:div w:id="1469319011">
                                                                                  <w:marLeft w:val="0"/>
                                                                                  <w:marRight w:val="0"/>
                                                                                  <w:marTop w:val="0"/>
                                                                                  <w:marBottom w:val="0"/>
                                                                                  <w:divBdr>
                                                                                    <w:top w:val="none" w:sz="0" w:space="0" w:color="auto"/>
                                                                                    <w:left w:val="none" w:sz="0" w:space="0" w:color="auto"/>
                                                                                    <w:bottom w:val="none" w:sz="0" w:space="0" w:color="auto"/>
                                                                                    <w:right w:val="none" w:sz="0" w:space="0" w:color="auto"/>
                                                                                  </w:divBdr>
                                                                                  <w:divsChild>
                                                                                    <w:div w:id="506403651">
                                                                                      <w:marLeft w:val="0"/>
                                                                                      <w:marRight w:val="0"/>
                                                                                      <w:marTop w:val="0"/>
                                                                                      <w:marBottom w:val="0"/>
                                                                                      <w:divBdr>
                                                                                        <w:top w:val="none" w:sz="0" w:space="0" w:color="auto"/>
                                                                                        <w:left w:val="none" w:sz="0" w:space="0" w:color="auto"/>
                                                                                        <w:bottom w:val="none" w:sz="0" w:space="0" w:color="auto"/>
                                                                                        <w:right w:val="none" w:sz="0" w:space="0" w:color="auto"/>
                                                                                      </w:divBdr>
                                                                                      <w:divsChild>
                                                                                        <w:div w:id="336347885">
                                                                                          <w:marLeft w:val="0"/>
                                                                                          <w:marRight w:val="0"/>
                                                                                          <w:marTop w:val="240"/>
                                                                                          <w:marBottom w:val="0"/>
                                                                                          <w:divBdr>
                                                                                            <w:top w:val="none" w:sz="0" w:space="0" w:color="auto"/>
                                                                                            <w:left w:val="none" w:sz="0" w:space="0" w:color="auto"/>
                                                                                            <w:bottom w:val="single" w:sz="6" w:space="23" w:color="auto"/>
                                                                                            <w:right w:val="none" w:sz="0" w:space="0" w:color="auto"/>
                                                                                          </w:divBdr>
                                                                                          <w:divsChild>
                                                                                            <w:div w:id="2000186876">
                                                                                              <w:marLeft w:val="0"/>
                                                                                              <w:marRight w:val="0"/>
                                                                                              <w:marTop w:val="0"/>
                                                                                              <w:marBottom w:val="0"/>
                                                                                              <w:divBdr>
                                                                                                <w:top w:val="none" w:sz="0" w:space="0" w:color="auto"/>
                                                                                                <w:left w:val="none" w:sz="0" w:space="0" w:color="auto"/>
                                                                                                <w:bottom w:val="none" w:sz="0" w:space="0" w:color="auto"/>
                                                                                                <w:right w:val="none" w:sz="0" w:space="0" w:color="auto"/>
                                                                                              </w:divBdr>
                                                                                              <w:divsChild>
                                                                                                <w:div w:id="653025633">
                                                                                                  <w:marLeft w:val="0"/>
                                                                                                  <w:marRight w:val="0"/>
                                                                                                  <w:marTop w:val="0"/>
                                                                                                  <w:marBottom w:val="0"/>
                                                                                                  <w:divBdr>
                                                                                                    <w:top w:val="none" w:sz="0" w:space="0" w:color="auto"/>
                                                                                                    <w:left w:val="none" w:sz="0" w:space="0" w:color="auto"/>
                                                                                                    <w:bottom w:val="none" w:sz="0" w:space="0" w:color="auto"/>
                                                                                                    <w:right w:val="none" w:sz="0" w:space="0" w:color="auto"/>
                                                                                                  </w:divBdr>
                                                                                                  <w:divsChild>
                                                                                                    <w:div w:id="248971648">
                                                                                                      <w:marLeft w:val="0"/>
                                                                                                      <w:marRight w:val="0"/>
                                                                                                      <w:marTop w:val="0"/>
                                                                                                      <w:marBottom w:val="0"/>
                                                                                                      <w:divBdr>
                                                                                                        <w:top w:val="none" w:sz="0" w:space="0" w:color="auto"/>
                                                                                                        <w:left w:val="none" w:sz="0" w:space="0" w:color="auto"/>
                                                                                                        <w:bottom w:val="none" w:sz="0" w:space="0" w:color="auto"/>
                                                                                                        <w:right w:val="none" w:sz="0" w:space="0" w:color="auto"/>
                                                                                                      </w:divBdr>
                                                                                                      <w:divsChild>
                                                                                                        <w:div w:id="109861761">
                                                                                                          <w:marLeft w:val="0"/>
                                                                                                          <w:marRight w:val="0"/>
                                                                                                          <w:marTop w:val="0"/>
                                                                                                          <w:marBottom w:val="0"/>
                                                                                                          <w:divBdr>
                                                                                                            <w:top w:val="none" w:sz="0" w:space="0" w:color="auto"/>
                                                                                                            <w:left w:val="none" w:sz="0" w:space="0" w:color="auto"/>
                                                                                                            <w:bottom w:val="none" w:sz="0" w:space="0" w:color="auto"/>
                                                                                                            <w:right w:val="none" w:sz="0" w:space="0" w:color="auto"/>
                                                                                                          </w:divBdr>
                                                                                                          <w:divsChild>
                                                                                                            <w:div w:id="658465172">
                                                                                                              <w:marLeft w:val="0"/>
                                                                                                              <w:marRight w:val="0"/>
                                                                                                              <w:marTop w:val="0"/>
                                                                                                              <w:marBottom w:val="0"/>
                                                                                                              <w:divBdr>
                                                                                                                <w:top w:val="none" w:sz="0" w:space="0" w:color="auto"/>
                                                                                                                <w:left w:val="none" w:sz="0" w:space="0" w:color="auto"/>
                                                                                                                <w:bottom w:val="none" w:sz="0" w:space="0" w:color="auto"/>
                                                                                                                <w:right w:val="none" w:sz="0" w:space="0" w:color="auto"/>
                                                                                                              </w:divBdr>
                                                                                                              <w:divsChild>
                                                                                                                <w:div w:id="164521922">
                                                                                                                  <w:marLeft w:val="0"/>
                                                                                                                  <w:marRight w:val="0"/>
                                                                                                                  <w:marTop w:val="0"/>
                                                                                                                  <w:marBottom w:val="0"/>
                                                                                                                  <w:divBdr>
                                                                                                                    <w:top w:val="none" w:sz="0" w:space="0" w:color="auto"/>
                                                                                                                    <w:left w:val="none" w:sz="0" w:space="0" w:color="auto"/>
                                                                                                                    <w:bottom w:val="none" w:sz="0" w:space="0" w:color="auto"/>
                                                                                                                    <w:right w:val="none" w:sz="0" w:space="0" w:color="auto"/>
                                                                                                                  </w:divBdr>
                                                                                                                  <w:divsChild>
                                                                                                                    <w:div w:id="1455979712">
                                                                                                                      <w:marLeft w:val="0"/>
                                                                                                                      <w:marRight w:val="0"/>
                                                                                                                      <w:marTop w:val="0"/>
                                                                                                                      <w:marBottom w:val="0"/>
                                                                                                                      <w:divBdr>
                                                                                                                        <w:top w:val="none" w:sz="0" w:space="0" w:color="auto"/>
                                                                                                                        <w:left w:val="none" w:sz="0" w:space="0" w:color="auto"/>
                                                                                                                        <w:bottom w:val="none" w:sz="0" w:space="0" w:color="auto"/>
                                                                                                                        <w:right w:val="none" w:sz="0" w:space="0" w:color="auto"/>
                                                                                                                      </w:divBdr>
                                                                                                                      <w:divsChild>
                                                                                                                        <w:div w:id="13851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erc.gov/docs-filing/etariff.asp" TargetMode="External"/><Relationship Id="rId7" Type="http://schemas.openxmlformats.org/officeDocument/2006/relationships/hyperlink" Target="http://www.bls.gov/news.release/ecec.nr0.htm" TargetMode="External"/><Relationship Id="rId2" Type="http://schemas.openxmlformats.org/officeDocument/2006/relationships/hyperlink" Target="http://elibrary.ferc.gov/idmws/common/opennat.asp?fileID=13165589" TargetMode="External"/><Relationship Id="rId1" Type="http://schemas.openxmlformats.org/officeDocument/2006/relationships/hyperlink" Target="http://www.naesb.org/" TargetMode="External"/><Relationship Id="rId6" Type="http://schemas.openxmlformats.org/officeDocument/2006/relationships/hyperlink" Target="https://www.bls.gov/oes/current/naics3_221000.htm" TargetMode="External"/><Relationship Id="rId5" Type="http://schemas.openxmlformats.org/officeDocument/2006/relationships/hyperlink" Target="http://www.bls.gov/news.release/ecec.nr0.htm" TargetMode="External"/><Relationship Id="rId4" Type="http://schemas.openxmlformats.org/officeDocument/2006/relationships/hyperlink" Target="https://www.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549C</_x0031__x002e__x0020_Collection_x0020_Number>
    <Date xmlns="d6eefc7d-9817-4fa6-84d5-3bc009be21b8">2019-02-08T05:00:00+00:00</Date>
    <Status xmlns="d6eefc7d-9817-4fa6-84d5-3bc009be21b8">Final</Status>
    <_x0032__x002e__x0020_Docket_x0020_Number xmlns="d6eefc7d-9817-4fa6-84d5-3bc009be21b8" xsi:nil="true"/>
    <_x0032__x002e__x0020_Collection_x0020_Number xmlns="d6eefc7d-9817-4fa6-84d5-3bc009be21b8">549C1</_x0032__x002e__x0020_Collection_x0020_Number>
    <_x0031__x002e__x0020_Docket_x0020_Number xmlns="d6eefc7d-9817-4fa6-84d5-3bc009be21b8">RM96-1-041</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472E6-E3F7-4C35-B2DC-3F4E7649F8B4}">
  <ds:schemaRefs>
    <ds:schemaRef ds:uri="http://schemas.microsoft.com/office/2006/documentManagement/types"/>
    <ds:schemaRef ds:uri="http://schemas.openxmlformats.org/package/2006/metadata/core-properties"/>
    <ds:schemaRef ds:uri="http://purl.org/dc/dcmitype/"/>
    <ds:schemaRef ds:uri="d6eefc7d-9817-4fa6-84d5-3bc009be21b8"/>
    <ds:schemaRef ds:uri="http://purl.org/dc/elements/1.1/"/>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58C3B1B-D3A1-4D23-881C-01A455364216}">
  <ds:schemaRefs>
    <ds:schemaRef ds:uri="http://schemas.microsoft.com/sharepoint/v3/contenttype/forms"/>
  </ds:schemaRefs>
</ds:datastoreItem>
</file>

<file path=customXml/itemProps3.xml><?xml version="1.0" encoding="utf-8"?>
<ds:datastoreItem xmlns:ds="http://schemas.openxmlformats.org/officeDocument/2006/customXml" ds:itemID="{D57AFFBE-41CF-4137-88A6-0D509F795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12CBF-5232-4A20-9CEA-D3E12137B9DC}">
  <ds:schemaRefs>
    <ds:schemaRef ds:uri="http://schemas.microsoft.com/office/2006/metadata/customXsn"/>
  </ds:schemaRefs>
</ds:datastoreItem>
</file>

<file path=customXml/itemProps5.xml><?xml version="1.0" encoding="utf-8"?>
<ds:datastoreItem xmlns:ds="http://schemas.openxmlformats.org/officeDocument/2006/customXml" ds:itemID="{1DC3324D-3051-4133-9627-7DA9B31FC4BE}">
  <ds:schemaRefs>
    <ds:schemaRef ds:uri="Microsoft.SharePoint.Taxonomy.ContentTypeSync"/>
  </ds:schemaRefs>
</ds:datastoreItem>
</file>

<file path=customXml/itemProps6.xml><?xml version="1.0" encoding="utf-8"?>
<ds:datastoreItem xmlns:ds="http://schemas.openxmlformats.org/officeDocument/2006/customXml" ds:itemID="{09DE18D4-A7EA-4480-80AA-0E883682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3430</Words>
  <Characters>19552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RM96-1-041 Final Rule Supporting Statement</vt:lpstr>
    </vt:vector>
  </TitlesOfParts>
  <Company>Federal Energy Regulatory Commission</Company>
  <LinksUpToDate>false</LinksUpToDate>
  <CharactersWithSpaces>22937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RM96-1-041 Final Rule Supporting Statement</dc:title>
  <dc:creator>Camilla Ryan</dc:creator>
  <cp:lastModifiedBy>SYSTEM</cp:lastModifiedBy>
  <cp:revision>2</cp:revision>
  <cp:lastPrinted>2019-02-08T16:14:00Z</cp:lastPrinted>
  <dcterms:created xsi:type="dcterms:W3CDTF">2019-02-15T20:27:00Z</dcterms:created>
  <dcterms:modified xsi:type="dcterms:W3CDTF">2019-02-15T20:27:00Z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