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98E51" w14:textId="77777777" w:rsidR="00B3407F" w:rsidRPr="00B16372" w:rsidRDefault="00B3407F" w:rsidP="0092596C">
      <w:pPr>
        <w:spacing w:after="0" w:line="240" w:lineRule="auto"/>
        <w:jc w:val="center"/>
        <w:rPr>
          <w:rFonts w:ascii="Times New Roman" w:hAnsi="Times New Roman"/>
          <w:sz w:val="24"/>
          <w:szCs w:val="24"/>
        </w:rPr>
      </w:pPr>
      <w:bookmarkStart w:id="0" w:name="_GoBack"/>
      <w:bookmarkEnd w:id="0"/>
      <w:r w:rsidRPr="00B16372">
        <w:rPr>
          <w:rFonts w:ascii="Times New Roman" w:hAnsi="Times New Roman"/>
          <w:sz w:val="24"/>
          <w:szCs w:val="24"/>
        </w:rPr>
        <w:t>Supporting Statement</w:t>
      </w:r>
    </w:p>
    <w:p w14:paraId="28F56E8D" w14:textId="340A1575"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6E33D4">
        <w:rPr>
          <w:rFonts w:ascii="Times New Roman" w:hAnsi="Times New Roman"/>
          <w:b/>
          <w:sz w:val="24"/>
          <w:szCs w:val="24"/>
        </w:rPr>
        <w:t>N</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B63139">
        <w:rPr>
          <w:rFonts w:ascii="Times New Roman" w:hAnsi="Times New Roman"/>
          <w:b/>
          <w:sz w:val="24"/>
          <w:szCs w:val="24"/>
        </w:rPr>
        <w:t>TPL</w:t>
      </w:r>
      <w:r w:rsidR="006B1C0C" w:rsidRPr="00177077">
        <w:rPr>
          <w:rStyle w:val="FootnoteReference"/>
          <w:rFonts w:ascii="Times New Roman" w:hAnsi="Times New Roman"/>
          <w:b/>
          <w:sz w:val="24"/>
          <w:szCs w:val="24"/>
          <w:vertAlign w:val="superscript"/>
        </w:rPr>
        <w:footnoteReference w:id="2"/>
      </w:r>
      <w:r w:rsidR="00B63139" w:rsidRPr="00177077">
        <w:rPr>
          <w:rFonts w:ascii="Times New Roman" w:hAnsi="Times New Roman"/>
          <w:b/>
          <w:sz w:val="24"/>
          <w:szCs w:val="24"/>
          <w:vertAlign w:val="superscript"/>
        </w:rPr>
        <w:t xml:space="preserve"> </w:t>
      </w:r>
      <w:r w:rsidR="006E33D4">
        <w:rPr>
          <w:rFonts w:ascii="Times New Roman" w:hAnsi="Times New Roman"/>
          <w:b/>
          <w:sz w:val="24"/>
          <w:szCs w:val="24"/>
        </w:rPr>
        <w:t>Reliability Standard</w:t>
      </w:r>
      <w:r w:rsidR="00742F1D">
        <w:rPr>
          <w:rFonts w:ascii="Times New Roman" w:hAnsi="Times New Roman"/>
          <w:b/>
          <w:sz w:val="24"/>
          <w:szCs w:val="24"/>
        </w:rPr>
        <w:t>s</w:t>
      </w:r>
      <w:r w:rsidR="00B63139">
        <w:rPr>
          <w:rFonts w:ascii="Times New Roman" w:hAnsi="Times New Roman"/>
          <w:b/>
          <w:sz w:val="24"/>
          <w:szCs w:val="24"/>
        </w:rPr>
        <w:t xml:space="preserve">, </w:t>
      </w:r>
    </w:p>
    <w:p w14:paraId="6A9EE8BE" w14:textId="5FCB564C" w:rsidR="00B3407F" w:rsidRPr="00B16372" w:rsidRDefault="009E1FF8" w:rsidP="0092596C">
      <w:pPr>
        <w:spacing w:after="0" w:line="240" w:lineRule="auto"/>
        <w:jc w:val="center"/>
        <w:rPr>
          <w:rFonts w:ascii="Times New Roman" w:hAnsi="Times New Roman"/>
          <w:sz w:val="24"/>
          <w:szCs w:val="24"/>
        </w:rPr>
      </w:pPr>
      <w:r>
        <w:rPr>
          <w:rFonts w:ascii="Times New Roman" w:hAnsi="Times New Roman"/>
          <w:sz w:val="24"/>
          <w:szCs w:val="24"/>
        </w:rPr>
        <w:t>changes</w:t>
      </w:r>
      <w:r w:rsidR="00D8732A">
        <w:rPr>
          <w:rFonts w:ascii="Times New Roman" w:hAnsi="Times New Roman"/>
          <w:sz w:val="24"/>
          <w:szCs w:val="24"/>
        </w:rPr>
        <w:t xml:space="preserve"> </w:t>
      </w:r>
      <w:r w:rsidR="00DC309E">
        <w:rPr>
          <w:rFonts w:ascii="Times New Roman" w:hAnsi="Times New Roman"/>
          <w:sz w:val="24"/>
          <w:szCs w:val="24"/>
        </w:rPr>
        <w:t>due to Final Rule</w:t>
      </w:r>
      <w:r w:rsidR="00303AB5">
        <w:rPr>
          <w:rFonts w:ascii="Times New Roman" w:hAnsi="Times New Roman"/>
          <w:sz w:val="24"/>
          <w:szCs w:val="24"/>
        </w:rPr>
        <w:t xml:space="preserve"> in </w:t>
      </w:r>
      <w:r w:rsidR="00E767F2" w:rsidRPr="00E767F2">
        <w:rPr>
          <w:rFonts w:ascii="Times New Roman" w:hAnsi="Times New Roman"/>
          <w:sz w:val="24"/>
          <w:szCs w:val="24"/>
        </w:rPr>
        <w:t>Docket Nos. RM18-8-000 and RM15-11-003</w:t>
      </w:r>
    </w:p>
    <w:p w14:paraId="6D53B2D6" w14:textId="77777777" w:rsidR="00FD66F1" w:rsidRPr="00B16372" w:rsidRDefault="00FD66F1" w:rsidP="0092596C">
      <w:pPr>
        <w:spacing w:after="0" w:line="240" w:lineRule="auto"/>
        <w:rPr>
          <w:rFonts w:ascii="Times New Roman" w:hAnsi="Times New Roman" w:cs="Times New Roman"/>
          <w:sz w:val="24"/>
          <w:szCs w:val="24"/>
        </w:rPr>
      </w:pPr>
    </w:p>
    <w:p w14:paraId="3F00B893" w14:textId="6DD41CA8" w:rsidR="00C37770" w:rsidRDefault="00C37770" w:rsidP="0081469B">
      <w:pPr>
        <w:spacing w:after="0" w:line="240" w:lineRule="auto"/>
        <w:rPr>
          <w:rFonts w:ascii="Times New Roman" w:hAnsi="Times New Roman"/>
          <w:sz w:val="24"/>
          <w:szCs w:val="24"/>
        </w:rPr>
      </w:pPr>
      <w:r>
        <w:rPr>
          <w:rFonts w:ascii="Times New Roman" w:hAnsi="Times New Roman"/>
          <w:sz w:val="24"/>
          <w:szCs w:val="24"/>
        </w:rPr>
        <w:t>The reporting and recordk</w:t>
      </w:r>
      <w:r w:rsidR="00326E9D">
        <w:rPr>
          <w:rFonts w:ascii="Times New Roman" w:hAnsi="Times New Roman"/>
          <w:sz w:val="24"/>
          <w:szCs w:val="24"/>
        </w:rPr>
        <w:t>eeping requirements for</w:t>
      </w:r>
      <w:r>
        <w:rPr>
          <w:rFonts w:ascii="Times New Roman" w:hAnsi="Times New Roman"/>
          <w:sz w:val="24"/>
          <w:szCs w:val="24"/>
        </w:rPr>
        <w:t xml:space="preserve"> Reliability Standard TPL-007-</w:t>
      </w:r>
      <w:r w:rsidR="00303AB5">
        <w:rPr>
          <w:rFonts w:ascii="Times New Roman" w:hAnsi="Times New Roman"/>
          <w:sz w:val="24"/>
          <w:szCs w:val="24"/>
        </w:rPr>
        <w:t xml:space="preserve">2 </w:t>
      </w:r>
      <w:r w:rsidR="0087477C" w:rsidRPr="0087477C">
        <w:rPr>
          <w:rFonts w:ascii="Times New Roman" w:hAnsi="Times New Roman"/>
          <w:sz w:val="24"/>
          <w:szCs w:val="24"/>
        </w:rPr>
        <w:t xml:space="preserve">(Transmission System Planned Performance for Geomagnetic </w:t>
      </w:r>
      <w:r w:rsidR="0087477C" w:rsidRPr="00581DB5">
        <w:rPr>
          <w:rFonts w:ascii="Times New Roman" w:hAnsi="Times New Roman"/>
          <w:sz w:val="24"/>
          <w:szCs w:val="24"/>
        </w:rPr>
        <w:t xml:space="preserve">Disturbance Events) </w:t>
      </w:r>
      <w:r w:rsidR="00632DB2" w:rsidRPr="00581DB5">
        <w:rPr>
          <w:rFonts w:ascii="Times New Roman" w:hAnsi="Times New Roman"/>
          <w:sz w:val="24"/>
          <w:szCs w:val="24"/>
        </w:rPr>
        <w:t>are being</w:t>
      </w:r>
      <w:r w:rsidRPr="00581DB5">
        <w:rPr>
          <w:rFonts w:ascii="Times New Roman" w:hAnsi="Times New Roman"/>
          <w:sz w:val="24"/>
          <w:szCs w:val="24"/>
        </w:rPr>
        <w:t xml:space="preserve"> </w:t>
      </w:r>
      <w:r w:rsidR="00303AB5" w:rsidRPr="00581DB5">
        <w:rPr>
          <w:rFonts w:ascii="Times New Roman" w:hAnsi="Times New Roman"/>
          <w:sz w:val="24"/>
          <w:szCs w:val="24"/>
        </w:rPr>
        <w:t xml:space="preserve">included in </w:t>
      </w:r>
      <w:r w:rsidRPr="00581DB5">
        <w:rPr>
          <w:rFonts w:ascii="Times New Roman" w:hAnsi="Times New Roman"/>
          <w:sz w:val="24"/>
          <w:szCs w:val="24"/>
        </w:rPr>
        <w:t>FER</w:t>
      </w:r>
      <w:r w:rsidR="00914DD7" w:rsidRPr="00581DB5">
        <w:rPr>
          <w:rFonts w:ascii="Times New Roman" w:hAnsi="Times New Roman"/>
          <w:sz w:val="24"/>
          <w:szCs w:val="24"/>
        </w:rPr>
        <w:t>C-725N,</w:t>
      </w:r>
      <w:r w:rsidR="00C6615C" w:rsidRPr="00581DB5">
        <w:rPr>
          <w:rStyle w:val="FootnoteReference"/>
          <w:rFonts w:ascii="Times New Roman" w:hAnsi="Times New Roman"/>
          <w:sz w:val="24"/>
          <w:szCs w:val="24"/>
          <w:vertAlign w:val="superscript"/>
        </w:rPr>
        <w:footnoteReference w:id="3"/>
      </w:r>
      <w:r w:rsidR="00914DD7" w:rsidRPr="00581DB5">
        <w:rPr>
          <w:rFonts w:ascii="Times New Roman" w:hAnsi="Times New Roman"/>
          <w:sz w:val="24"/>
          <w:szCs w:val="24"/>
        </w:rPr>
        <w:t xml:space="preserve"> as discussed in the </w:t>
      </w:r>
      <w:r w:rsidR="00DC309E" w:rsidRPr="00581DB5">
        <w:rPr>
          <w:rFonts w:ascii="Times New Roman" w:hAnsi="Times New Roman"/>
          <w:sz w:val="24"/>
          <w:szCs w:val="24"/>
        </w:rPr>
        <w:t xml:space="preserve">Final Rule (Commission Order No. </w:t>
      </w:r>
      <w:r w:rsidR="00581DB5" w:rsidRPr="00581DB5">
        <w:rPr>
          <w:rFonts w:ascii="Times New Roman" w:hAnsi="Times New Roman"/>
          <w:sz w:val="24"/>
          <w:szCs w:val="24"/>
        </w:rPr>
        <w:t>851</w:t>
      </w:r>
      <w:r w:rsidR="00DC309E" w:rsidRPr="00581DB5">
        <w:rPr>
          <w:rFonts w:ascii="Times New Roman" w:hAnsi="Times New Roman"/>
          <w:sz w:val="24"/>
          <w:szCs w:val="24"/>
        </w:rPr>
        <w:t>)</w:t>
      </w:r>
      <w:r w:rsidRPr="00581DB5">
        <w:rPr>
          <w:rFonts w:ascii="Times New Roman" w:hAnsi="Times New Roman"/>
          <w:sz w:val="24"/>
          <w:szCs w:val="24"/>
        </w:rPr>
        <w:t xml:space="preserve"> in </w:t>
      </w:r>
      <w:r w:rsidR="0010121F" w:rsidRPr="00581DB5">
        <w:rPr>
          <w:rFonts w:ascii="Times New Roman" w:hAnsi="Times New Roman"/>
          <w:sz w:val="24"/>
          <w:szCs w:val="24"/>
        </w:rPr>
        <w:t>Docket</w:t>
      </w:r>
      <w:r w:rsidR="0010121F" w:rsidRPr="0010121F">
        <w:rPr>
          <w:rFonts w:ascii="Times New Roman" w:hAnsi="Times New Roman"/>
          <w:sz w:val="24"/>
          <w:szCs w:val="24"/>
        </w:rPr>
        <w:t xml:space="preserve"> Nos. RM18-8-000 and RM15-11-003</w:t>
      </w:r>
      <w:r w:rsidR="00CF793D" w:rsidRPr="000E18A0">
        <w:rPr>
          <w:rStyle w:val="FootnoteReference"/>
          <w:rFonts w:ascii="Times New Roman" w:hAnsi="Times New Roman"/>
          <w:sz w:val="24"/>
          <w:szCs w:val="24"/>
          <w:vertAlign w:val="superscript"/>
        </w:rPr>
        <w:footnoteReference w:id="4"/>
      </w:r>
      <w:r w:rsidR="00914DD7">
        <w:rPr>
          <w:rFonts w:ascii="Times New Roman" w:hAnsi="Times New Roman"/>
          <w:sz w:val="24"/>
          <w:szCs w:val="24"/>
        </w:rPr>
        <w:t xml:space="preserve"> and this supporting statement</w:t>
      </w:r>
      <w:bookmarkStart w:id="1" w:name="_Ref513031714"/>
      <w:r w:rsidRPr="00C37770">
        <w:rPr>
          <w:rStyle w:val="FootnoteReference"/>
          <w:rFonts w:ascii="Times New Roman" w:hAnsi="Times New Roman"/>
          <w:sz w:val="24"/>
          <w:szCs w:val="24"/>
          <w:vertAlign w:val="superscript"/>
        </w:rPr>
        <w:footnoteReference w:id="5"/>
      </w:r>
      <w:bookmarkEnd w:id="1"/>
      <w:r w:rsidR="00914DD7">
        <w:rPr>
          <w:rFonts w:ascii="Times New Roman" w:hAnsi="Times New Roman"/>
          <w:sz w:val="24"/>
          <w:szCs w:val="24"/>
        </w:rPr>
        <w:t>.</w:t>
      </w:r>
      <w:r>
        <w:rPr>
          <w:rFonts w:ascii="Times New Roman" w:hAnsi="Times New Roman"/>
          <w:sz w:val="24"/>
          <w:szCs w:val="24"/>
        </w:rPr>
        <w:t xml:space="preserve">  The Federal Energy Regulatory Commission </w:t>
      </w:r>
      <w:r>
        <w:rPr>
          <w:rFonts w:ascii="Times New Roman" w:hAnsi="Times New Roman"/>
          <w:sz w:val="24"/>
          <w:szCs w:val="24"/>
        </w:rPr>
        <w:lastRenderedPageBreak/>
        <w:t>(FERC or Commission) is requesting that the Office of Management and Budget (OMB) approve the reporting and record</w:t>
      </w:r>
      <w:r w:rsidR="00326E9D">
        <w:rPr>
          <w:rFonts w:ascii="Times New Roman" w:hAnsi="Times New Roman"/>
          <w:sz w:val="24"/>
          <w:szCs w:val="24"/>
        </w:rPr>
        <w:t xml:space="preserve">keeping requirements </w:t>
      </w:r>
      <w:r w:rsidR="00914DD7">
        <w:rPr>
          <w:rFonts w:ascii="Times New Roman" w:hAnsi="Times New Roman"/>
          <w:sz w:val="24"/>
          <w:szCs w:val="24"/>
        </w:rPr>
        <w:t xml:space="preserve">in </w:t>
      </w:r>
      <w:r w:rsidR="00632DB2">
        <w:rPr>
          <w:rFonts w:ascii="Times New Roman" w:hAnsi="Times New Roman"/>
          <w:sz w:val="24"/>
          <w:szCs w:val="24"/>
        </w:rPr>
        <w:t xml:space="preserve">FERC-725N as modified by </w:t>
      </w:r>
      <w:r w:rsidR="00914DD7">
        <w:rPr>
          <w:rFonts w:ascii="Times New Roman" w:hAnsi="Times New Roman"/>
          <w:sz w:val="24"/>
          <w:szCs w:val="24"/>
        </w:rPr>
        <w:t xml:space="preserve">the </w:t>
      </w:r>
      <w:r w:rsidR="008F2FDF">
        <w:rPr>
          <w:rFonts w:ascii="Times New Roman" w:hAnsi="Times New Roman"/>
          <w:sz w:val="24"/>
          <w:szCs w:val="24"/>
        </w:rPr>
        <w:t xml:space="preserve">Final Rule </w:t>
      </w:r>
      <w:r w:rsidR="003B1366">
        <w:rPr>
          <w:rFonts w:ascii="Times New Roman" w:hAnsi="Times New Roman"/>
          <w:sz w:val="24"/>
          <w:szCs w:val="24"/>
        </w:rPr>
        <w:t>in Docket RM18-8</w:t>
      </w:r>
      <w:r w:rsidR="00914DD7">
        <w:rPr>
          <w:rFonts w:ascii="Times New Roman" w:hAnsi="Times New Roman"/>
          <w:sz w:val="24"/>
          <w:szCs w:val="24"/>
        </w:rPr>
        <w:t>-000</w:t>
      </w:r>
      <w:r w:rsidR="00CF793D">
        <w:rPr>
          <w:rFonts w:ascii="Times New Roman" w:hAnsi="Times New Roman"/>
          <w:sz w:val="24"/>
          <w:szCs w:val="24"/>
        </w:rPr>
        <w:t>.</w:t>
      </w:r>
      <w:r w:rsidR="000813E4">
        <w:rPr>
          <w:rFonts w:ascii="Times New Roman" w:hAnsi="Times New Roman"/>
          <w:sz w:val="24"/>
          <w:szCs w:val="24"/>
        </w:rPr>
        <w:t xml:space="preserve"> </w:t>
      </w:r>
    </w:p>
    <w:p w14:paraId="19B5AA8F" w14:textId="77777777" w:rsidR="00C37770" w:rsidRDefault="00C37770" w:rsidP="0081469B">
      <w:pPr>
        <w:spacing w:after="0" w:line="240" w:lineRule="auto"/>
        <w:rPr>
          <w:rFonts w:ascii="Times New Roman" w:hAnsi="Times New Roman"/>
          <w:sz w:val="24"/>
          <w:szCs w:val="24"/>
        </w:rPr>
      </w:pPr>
    </w:p>
    <w:p w14:paraId="695CEA8A" w14:textId="77777777"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2C9EB1FC" w14:textId="77777777" w:rsidR="00A72E7B" w:rsidRPr="00B16372" w:rsidRDefault="00A72E7B" w:rsidP="0092596C">
      <w:pPr>
        <w:spacing w:after="0" w:line="240" w:lineRule="auto"/>
        <w:rPr>
          <w:rFonts w:ascii="Times New Roman" w:hAnsi="Times New Roman" w:cs="Times New Roman"/>
          <w:sz w:val="24"/>
          <w:szCs w:val="24"/>
        </w:rPr>
      </w:pPr>
    </w:p>
    <w:p w14:paraId="5F1EE211" w14:textId="77777777"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(EPAct 2005), was enacted into law.</w:t>
      </w:r>
      <w:r w:rsidRPr="00B16372">
        <w:rPr>
          <w:rStyle w:val="FootnoteReference"/>
          <w:sz w:val="24"/>
          <w:vertAlign w:val="superscript"/>
        </w:rPr>
        <w:footnoteReference w:id="6"/>
      </w:r>
      <w:r w:rsidRPr="00B16372">
        <w:rPr>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w:t>
      </w:r>
      <w:r w:rsidR="00914DD7">
        <w:rPr>
          <w:sz w:val="24"/>
        </w:rPr>
        <w:t>ubject to Commission oversight.</w:t>
      </w:r>
    </w:p>
    <w:p w14:paraId="3ED397FE" w14:textId="77777777" w:rsidR="00DF401D" w:rsidRPr="00B16372" w:rsidRDefault="00DF401D" w:rsidP="0092596C">
      <w:pPr>
        <w:spacing w:after="0" w:line="240" w:lineRule="auto"/>
        <w:rPr>
          <w:rFonts w:ascii="Times New Roman" w:hAnsi="Times New Roman" w:cs="Times New Roman"/>
          <w:sz w:val="24"/>
          <w:szCs w:val="24"/>
        </w:rPr>
      </w:pPr>
    </w:p>
    <w:p w14:paraId="567AC1BD" w14:textId="77777777" w:rsidR="00AF4B6E" w:rsidRDefault="00E05FA3" w:rsidP="0087477C">
      <w:pPr>
        <w:spacing w:after="0" w:line="240" w:lineRule="auto"/>
        <w:rPr>
          <w:rFonts w:ascii="Times New Roman" w:eastAsia="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including </w:t>
      </w:r>
      <w:r w:rsidRPr="00B16372">
        <w:rPr>
          <w:rFonts w:ascii="Times New Roman" w:eastAsia="Times New Roman" w:hAnsi="Times New Roman" w:cs="Times New Roman"/>
          <w:sz w:val="24"/>
          <w:szCs w:val="24"/>
        </w:rPr>
        <w:t>Version 0 TPL Reliability Standards.</w:t>
      </w:r>
      <w:r w:rsidRPr="00B16372">
        <w:rPr>
          <w:rFonts w:ascii="Times New Roman" w:eastAsia="Times New Roman" w:hAnsi="Times New Roman" w:cs="Times New Roman"/>
          <w:b/>
          <w:sz w:val="24"/>
          <w:szCs w:val="24"/>
          <w:vertAlign w:val="superscript"/>
        </w:rPr>
        <w:footnoteReference w:id="7"/>
      </w:r>
      <w:r w:rsidRPr="00B16372">
        <w:rPr>
          <w:rFonts w:ascii="Times New Roman" w:eastAsia="Times New Roman" w:hAnsi="Times New Roman" w:cs="Times New Roman"/>
          <w:sz w:val="24"/>
          <w:szCs w:val="24"/>
        </w:rPr>
        <w:t xml:space="preserve"> </w:t>
      </w:r>
      <w:r w:rsidR="008B2E94" w:rsidRPr="00B16372" w:rsidDel="008B2E94">
        <w:rPr>
          <w:rFonts w:ascii="Times New Roman" w:eastAsia="Times New Roman" w:hAnsi="Times New Roman" w:cs="Times New Roman"/>
          <w:sz w:val="24"/>
          <w:szCs w:val="24"/>
        </w:rPr>
        <w:t xml:space="preserve"> </w:t>
      </w:r>
    </w:p>
    <w:p w14:paraId="3E676107" w14:textId="77777777" w:rsidR="004A4457" w:rsidRPr="004A4457" w:rsidRDefault="004A4457" w:rsidP="0087477C">
      <w:pPr>
        <w:spacing w:after="0" w:line="240" w:lineRule="auto"/>
        <w:rPr>
          <w:rFonts w:ascii="Times New Roman" w:eastAsia="Times New Roman" w:hAnsi="Times New Roman" w:cs="Times New Roman"/>
          <w:sz w:val="24"/>
          <w:szCs w:val="24"/>
        </w:rPr>
      </w:pPr>
    </w:p>
    <w:p w14:paraId="1F021C91" w14:textId="77777777" w:rsidR="0087477C" w:rsidRDefault="00A26F36" w:rsidP="0092596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Docket No. RM15-11. </w:t>
      </w:r>
      <w:r w:rsidRPr="00A26F36">
        <w:rPr>
          <w:rFonts w:ascii="Times New Roman" w:hAnsi="Times New Roman" w:cs="Times New Roman"/>
          <w:sz w:val="24"/>
          <w:szCs w:val="24"/>
        </w:rPr>
        <w:t xml:space="preserve"> </w:t>
      </w:r>
      <w:r w:rsidR="004A4457" w:rsidRPr="00A26F36">
        <w:rPr>
          <w:rFonts w:ascii="Times New Roman" w:hAnsi="Times New Roman" w:cs="Times New Roman"/>
          <w:sz w:val="24"/>
          <w:szCs w:val="24"/>
        </w:rPr>
        <w:t>In</w:t>
      </w:r>
      <w:r w:rsidR="004A4457">
        <w:rPr>
          <w:rFonts w:ascii="Times New Roman" w:hAnsi="Times New Roman" w:cs="Times New Roman"/>
          <w:sz w:val="24"/>
          <w:szCs w:val="24"/>
        </w:rPr>
        <w:t xml:space="preserve"> th</w:t>
      </w:r>
      <w:r w:rsidR="00230589">
        <w:rPr>
          <w:rFonts w:ascii="Times New Roman" w:hAnsi="Times New Roman" w:cs="Times New Roman"/>
          <w:sz w:val="24"/>
          <w:szCs w:val="24"/>
        </w:rPr>
        <w:t>e</w:t>
      </w:r>
      <w:r w:rsidR="004A4457">
        <w:rPr>
          <w:rFonts w:ascii="Times New Roman" w:hAnsi="Times New Roman" w:cs="Times New Roman"/>
          <w:sz w:val="24"/>
          <w:szCs w:val="24"/>
        </w:rPr>
        <w:t xml:space="preserve"> Final Rule</w:t>
      </w:r>
      <w:r w:rsidR="00044D1D">
        <w:rPr>
          <w:rFonts w:ascii="Times New Roman" w:hAnsi="Times New Roman" w:cs="Times New Roman"/>
          <w:sz w:val="24"/>
          <w:szCs w:val="24"/>
        </w:rPr>
        <w:t xml:space="preserve"> in Docket RM15-11</w:t>
      </w:r>
      <w:r w:rsidR="00914DD7">
        <w:rPr>
          <w:rFonts w:ascii="Times New Roman" w:hAnsi="Times New Roman" w:cs="Times New Roman"/>
          <w:sz w:val="24"/>
          <w:szCs w:val="24"/>
        </w:rPr>
        <w:t>, FERC</w:t>
      </w:r>
      <w:r w:rsidR="0087477C" w:rsidRPr="0087477C">
        <w:rPr>
          <w:rFonts w:ascii="Times New Roman" w:hAnsi="Times New Roman" w:cs="Times New Roman"/>
          <w:sz w:val="24"/>
          <w:szCs w:val="24"/>
        </w:rPr>
        <w:t xml:space="preserve"> approve</w:t>
      </w:r>
      <w:r w:rsidR="00230589">
        <w:rPr>
          <w:rFonts w:ascii="Times New Roman" w:hAnsi="Times New Roman" w:cs="Times New Roman"/>
          <w:sz w:val="24"/>
          <w:szCs w:val="24"/>
        </w:rPr>
        <w:t>d</w:t>
      </w:r>
      <w:r w:rsidR="0087477C" w:rsidRPr="0087477C">
        <w:rPr>
          <w:rFonts w:ascii="Times New Roman" w:hAnsi="Times New Roman" w:cs="Times New Roman"/>
          <w:sz w:val="24"/>
          <w:szCs w:val="24"/>
        </w:rPr>
        <w:t xml:space="preserve"> Reliabilit</w:t>
      </w:r>
      <w:r w:rsidR="00914DD7">
        <w:rPr>
          <w:rFonts w:ascii="Times New Roman" w:hAnsi="Times New Roman" w:cs="Times New Roman"/>
          <w:sz w:val="24"/>
          <w:szCs w:val="24"/>
        </w:rPr>
        <w:t xml:space="preserve">y Standard TPL-007-1.  </w:t>
      </w:r>
      <w:r w:rsidR="0087477C" w:rsidRPr="0087477C">
        <w:rPr>
          <w:rFonts w:ascii="Times New Roman" w:hAnsi="Times New Roman" w:cs="Times New Roman"/>
          <w:sz w:val="24"/>
          <w:szCs w:val="24"/>
        </w:rPr>
        <w:t>Reliability Standard TPL-007-1 establishe</w:t>
      </w:r>
      <w:r>
        <w:rPr>
          <w:rFonts w:ascii="Times New Roman" w:hAnsi="Times New Roman" w:cs="Times New Roman"/>
          <w:sz w:val="24"/>
          <w:szCs w:val="24"/>
        </w:rPr>
        <w:t>d</w:t>
      </w:r>
      <w:r w:rsidR="0087477C" w:rsidRPr="0087477C">
        <w:rPr>
          <w:rFonts w:ascii="Times New Roman" w:hAnsi="Times New Roman" w:cs="Times New Roman"/>
          <w:sz w:val="24"/>
          <w:szCs w:val="24"/>
        </w:rPr>
        <w:t xml:space="preserve"> requirements for certain entities to assess the vulnerability of their transmission systems to geomagnetic disturbance events (GMDs)</w:t>
      </w:r>
      <w:r>
        <w:rPr>
          <w:rFonts w:ascii="Times New Roman" w:hAnsi="Times New Roman" w:cs="Times New Roman"/>
          <w:sz w:val="24"/>
          <w:szCs w:val="24"/>
        </w:rPr>
        <w:t>.</w:t>
      </w:r>
      <w:r w:rsidR="0087477C" w:rsidRPr="0087477C">
        <w:rPr>
          <w:rFonts w:ascii="Times New Roman" w:hAnsi="Times New Roman" w:cs="Times New Roman"/>
          <w:sz w:val="24"/>
          <w:szCs w:val="24"/>
        </w:rPr>
        <w:t xml:space="preserve"> </w:t>
      </w:r>
      <w:r w:rsidR="009C5135">
        <w:rPr>
          <w:rFonts w:ascii="Times New Roman" w:hAnsi="Times New Roman" w:cs="Times New Roman"/>
          <w:sz w:val="24"/>
          <w:szCs w:val="24"/>
        </w:rPr>
        <w:t>NERC</w:t>
      </w:r>
      <w:r w:rsidR="00EF5332">
        <w:rPr>
          <w:rFonts w:ascii="Times New Roman" w:hAnsi="Times New Roman" w:cs="Times New Roman"/>
          <w:sz w:val="24"/>
          <w:szCs w:val="24"/>
        </w:rPr>
        <w:t xml:space="preserve"> submitted the</w:t>
      </w:r>
      <w:r w:rsidR="0087477C" w:rsidRPr="0087477C">
        <w:rPr>
          <w:rFonts w:ascii="Times New Roman" w:hAnsi="Times New Roman" w:cs="Times New Roman"/>
          <w:sz w:val="24"/>
          <w:szCs w:val="24"/>
        </w:rPr>
        <w:t xml:space="preserve"> Reliability Standard for Commission approval in response to a </w:t>
      </w:r>
      <w:r w:rsidR="009C5135">
        <w:rPr>
          <w:rFonts w:ascii="Times New Roman" w:hAnsi="Times New Roman" w:cs="Times New Roman"/>
          <w:sz w:val="24"/>
          <w:szCs w:val="24"/>
        </w:rPr>
        <w:t>FERC</w:t>
      </w:r>
      <w:r w:rsidR="0087477C" w:rsidRPr="0087477C">
        <w:rPr>
          <w:rFonts w:ascii="Times New Roman" w:hAnsi="Times New Roman" w:cs="Times New Roman"/>
          <w:sz w:val="24"/>
          <w:szCs w:val="24"/>
        </w:rPr>
        <w:t xml:space="preserve"> directive in Order No. 779.  In a</w:t>
      </w:r>
      <w:r w:rsidR="00EF5332">
        <w:rPr>
          <w:rFonts w:ascii="Times New Roman" w:hAnsi="Times New Roman" w:cs="Times New Roman"/>
          <w:sz w:val="24"/>
          <w:szCs w:val="24"/>
        </w:rPr>
        <w:t>ddition, the Commission</w:t>
      </w:r>
      <w:r w:rsidR="0087477C" w:rsidRPr="0087477C">
        <w:rPr>
          <w:rFonts w:ascii="Times New Roman" w:hAnsi="Times New Roman" w:cs="Times New Roman"/>
          <w:sz w:val="24"/>
          <w:szCs w:val="24"/>
        </w:rPr>
        <w:t xml:space="preserve"> direct</w:t>
      </w:r>
      <w:r>
        <w:rPr>
          <w:rFonts w:ascii="Times New Roman" w:hAnsi="Times New Roman" w:cs="Times New Roman"/>
          <w:sz w:val="24"/>
          <w:szCs w:val="24"/>
        </w:rPr>
        <w:t>ed</w:t>
      </w:r>
      <w:r w:rsidR="0087477C" w:rsidRPr="0087477C">
        <w:rPr>
          <w:rFonts w:ascii="Times New Roman" w:hAnsi="Times New Roman" w:cs="Times New Roman"/>
          <w:sz w:val="24"/>
          <w:szCs w:val="24"/>
        </w:rPr>
        <w:t xml:space="preserve"> that NERC develop modifications to the benchmark GMD event definition set forth</w:t>
      </w:r>
      <w:r w:rsidR="00EF5332">
        <w:rPr>
          <w:rFonts w:ascii="Times New Roman" w:hAnsi="Times New Roman" w:cs="Times New Roman"/>
          <w:sz w:val="24"/>
          <w:szCs w:val="24"/>
        </w:rPr>
        <w:t xml:space="preserve"> in Attachment 1 of the approved</w:t>
      </w:r>
      <w:r w:rsidR="0087477C" w:rsidRPr="0087477C">
        <w:rPr>
          <w:rFonts w:ascii="Times New Roman" w:hAnsi="Times New Roman" w:cs="Times New Roman"/>
          <w:sz w:val="24"/>
          <w:szCs w:val="24"/>
        </w:rPr>
        <w:t xml:space="preserve"> Reliability Standard</w:t>
      </w:r>
      <w:r>
        <w:rPr>
          <w:rFonts w:ascii="Times New Roman" w:hAnsi="Times New Roman" w:cs="Times New Roman"/>
          <w:sz w:val="24"/>
          <w:szCs w:val="24"/>
        </w:rPr>
        <w:t>,</w:t>
      </w:r>
      <w:r w:rsidR="0087477C" w:rsidRPr="0087477C">
        <w:rPr>
          <w:rFonts w:ascii="Times New Roman" w:hAnsi="Times New Roman" w:cs="Times New Roman"/>
          <w:sz w:val="24"/>
          <w:szCs w:val="24"/>
        </w:rPr>
        <w:t xml:space="preserve"> so that the definition is not based sole</w:t>
      </w:r>
      <w:r w:rsidR="00914DD7">
        <w:rPr>
          <w:rFonts w:ascii="Times New Roman" w:hAnsi="Times New Roman" w:cs="Times New Roman"/>
          <w:sz w:val="24"/>
          <w:szCs w:val="24"/>
        </w:rPr>
        <w:t>ly on spatially-averaged data.</w:t>
      </w:r>
    </w:p>
    <w:p w14:paraId="2F0EA40B" w14:textId="77777777" w:rsidR="00230589" w:rsidRDefault="00230589" w:rsidP="0092596C">
      <w:pPr>
        <w:spacing w:after="0" w:line="240" w:lineRule="auto"/>
        <w:rPr>
          <w:rFonts w:ascii="Times New Roman" w:hAnsi="Times New Roman" w:cs="Times New Roman"/>
          <w:sz w:val="24"/>
          <w:szCs w:val="24"/>
        </w:rPr>
      </w:pPr>
    </w:p>
    <w:p w14:paraId="5FB80AC4" w14:textId="6C580444" w:rsidR="001F5176" w:rsidRDefault="00EF7379" w:rsidP="0023058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Docket No. RM18-8.  </w:t>
      </w:r>
      <w:r w:rsidR="00230589">
        <w:rPr>
          <w:rFonts w:ascii="Times New Roman" w:hAnsi="Times New Roman" w:cs="Times New Roman"/>
          <w:sz w:val="24"/>
          <w:szCs w:val="24"/>
        </w:rPr>
        <w:t>In th</w:t>
      </w:r>
      <w:r w:rsidR="001B6800">
        <w:rPr>
          <w:rFonts w:ascii="Times New Roman" w:hAnsi="Times New Roman" w:cs="Times New Roman"/>
          <w:sz w:val="24"/>
          <w:szCs w:val="24"/>
        </w:rPr>
        <w:t>e</w:t>
      </w:r>
      <w:r w:rsidR="00230589">
        <w:rPr>
          <w:rFonts w:ascii="Times New Roman" w:hAnsi="Times New Roman" w:cs="Times New Roman"/>
          <w:sz w:val="24"/>
          <w:szCs w:val="24"/>
        </w:rPr>
        <w:t xml:space="preserve"> </w:t>
      </w:r>
      <w:r w:rsidR="00CC76DE">
        <w:rPr>
          <w:rFonts w:ascii="Times New Roman" w:hAnsi="Times New Roman" w:cs="Times New Roman"/>
          <w:sz w:val="24"/>
          <w:szCs w:val="24"/>
        </w:rPr>
        <w:t xml:space="preserve">Final Rule </w:t>
      </w:r>
      <w:r w:rsidR="00230589">
        <w:rPr>
          <w:rFonts w:ascii="Times New Roman" w:hAnsi="Times New Roman" w:cs="Times New Roman"/>
          <w:sz w:val="24"/>
          <w:szCs w:val="24"/>
        </w:rPr>
        <w:t>in Docket RM18-8</w:t>
      </w:r>
      <w:r w:rsidR="00230589" w:rsidRPr="00230589">
        <w:rPr>
          <w:rFonts w:ascii="Times New Roman" w:hAnsi="Times New Roman" w:cs="Times New Roman"/>
          <w:sz w:val="24"/>
          <w:szCs w:val="24"/>
        </w:rPr>
        <w:t>, the Commission approve</w:t>
      </w:r>
      <w:r w:rsidR="00584F95">
        <w:rPr>
          <w:rFonts w:ascii="Times New Roman" w:hAnsi="Times New Roman" w:cs="Times New Roman"/>
          <w:sz w:val="24"/>
          <w:szCs w:val="24"/>
        </w:rPr>
        <w:t>s</w:t>
      </w:r>
      <w:r w:rsidR="00230589" w:rsidRPr="00230589">
        <w:rPr>
          <w:rFonts w:ascii="Times New Roman" w:hAnsi="Times New Roman" w:cs="Times New Roman"/>
          <w:sz w:val="24"/>
          <w:szCs w:val="24"/>
        </w:rPr>
        <w:t xml:space="preserve"> Reliability Standard TPL-007-2 (Transmission System Planned Performance for Geomagnetic Disturbance Events).  The North American Electric Reliability Corporation (NERC), the Commission-certified Electric Reliability Organization (ERO), submitted Reliability Standard TPL-007-2 for approval in response to a Commission directive in Order No. 830.  Geomagnetic disturbance events (GMDs) occur when the sun ejects charged particles that interact with and cause changes in the earth’s magnetic fields.  Reliability Standard TPL-007-2 modifies currently-effective Reliability Standard TPL-007-1 (Transmission System Planned Performance for Geomagnetic Disturbance Events) by requiring applicable entities to:  (1) conduct supplemental GMD vulnerability assessments and thermal impact assessments; (2) obtain geomagnetically induced current (GIC) and magnetometer data; and (3) meet certain deadlines for the development and completion of tasks in corrective action plans.  </w:t>
      </w:r>
    </w:p>
    <w:p w14:paraId="3281FA10" w14:textId="77777777" w:rsidR="001F5176" w:rsidRDefault="001F5176" w:rsidP="00230589">
      <w:pPr>
        <w:spacing w:after="0" w:line="240" w:lineRule="auto"/>
        <w:rPr>
          <w:rFonts w:ascii="Times New Roman" w:hAnsi="Times New Roman" w:cs="Times New Roman"/>
          <w:sz w:val="24"/>
          <w:szCs w:val="24"/>
        </w:rPr>
      </w:pPr>
    </w:p>
    <w:p w14:paraId="3F631121" w14:textId="44B20545" w:rsidR="001F5176" w:rsidRDefault="001F5176" w:rsidP="001F5176">
      <w:pPr>
        <w:spacing w:after="0" w:line="240" w:lineRule="auto"/>
        <w:rPr>
          <w:rFonts w:ascii="Times New Roman" w:hAnsi="Times New Roman" w:cs="Times New Roman"/>
          <w:sz w:val="24"/>
          <w:szCs w:val="24"/>
        </w:rPr>
      </w:pPr>
      <w:r w:rsidRPr="00230589">
        <w:rPr>
          <w:rFonts w:ascii="Times New Roman" w:hAnsi="Times New Roman" w:cs="Times New Roman"/>
          <w:sz w:val="24"/>
          <w:szCs w:val="24"/>
        </w:rPr>
        <w:t xml:space="preserve">Reliability Standard TPL-007-2 addresses the directives in Order No. 830 to modify currently-effective Reliability Standard TPL-007-1:  (1) to revise the benchmark GMD event definition, as it pertains to the required GMD Vulnerability Assessments and transformer thermal impact assessments, so that the definition is not based solely on spatially-averaged data; (2) to require the collection of necessary GIC monitoring and magnetometer data and to make such data publicly available; and (3) to include a one-year deadline for the completion of corrective action plans and two and four-year deadlines to complete mitigation actions involving non-hardware and hardware mitigation, respectively.  </w:t>
      </w:r>
    </w:p>
    <w:p w14:paraId="5694E63E" w14:textId="77777777" w:rsidR="001F5176" w:rsidRDefault="001F5176" w:rsidP="00230589">
      <w:pPr>
        <w:spacing w:after="0" w:line="240" w:lineRule="auto"/>
        <w:rPr>
          <w:rFonts w:ascii="Times New Roman" w:hAnsi="Times New Roman" w:cs="Times New Roman"/>
          <w:sz w:val="24"/>
          <w:szCs w:val="24"/>
        </w:rPr>
      </w:pPr>
    </w:p>
    <w:p w14:paraId="4275DA71" w14:textId="7CCB4C18" w:rsidR="00230589" w:rsidRPr="00230589" w:rsidRDefault="00230589" w:rsidP="00230589">
      <w:pPr>
        <w:spacing w:after="0" w:line="240" w:lineRule="auto"/>
        <w:rPr>
          <w:rFonts w:ascii="Times New Roman" w:hAnsi="Times New Roman" w:cs="Times New Roman"/>
          <w:sz w:val="24"/>
          <w:szCs w:val="24"/>
        </w:rPr>
      </w:pPr>
      <w:r w:rsidRPr="00230589">
        <w:rPr>
          <w:rFonts w:ascii="Times New Roman" w:hAnsi="Times New Roman" w:cs="Times New Roman"/>
          <w:sz w:val="24"/>
          <w:szCs w:val="24"/>
        </w:rPr>
        <w:t>In addition, the Commission direct</w:t>
      </w:r>
      <w:r w:rsidR="00584F95">
        <w:rPr>
          <w:rFonts w:ascii="Times New Roman" w:hAnsi="Times New Roman" w:cs="Times New Roman"/>
          <w:sz w:val="24"/>
          <w:szCs w:val="24"/>
        </w:rPr>
        <w:t>s</w:t>
      </w:r>
      <w:r w:rsidRPr="00230589">
        <w:rPr>
          <w:rFonts w:ascii="Times New Roman" w:hAnsi="Times New Roman" w:cs="Times New Roman"/>
          <w:sz w:val="24"/>
          <w:szCs w:val="24"/>
        </w:rPr>
        <w:t xml:space="preserve"> NERC to develop modifications to the Reliability Standards to require applicable entities to develop and implement corrective action plans to mitigate supplemental GMD event vulnerabilities.</w:t>
      </w:r>
    </w:p>
    <w:p w14:paraId="3E4A0575" w14:textId="77777777" w:rsidR="00EF7379" w:rsidRDefault="00EF7379" w:rsidP="00230589">
      <w:pPr>
        <w:spacing w:after="0" w:line="240" w:lineRule="auto"/>
        <w:rPr>
          <w:rFonts w:ascii="Times New Roman" w:hAnsi="Times New Roman" w:cs="Times New Roman"/>
          <w:sz w:val="24"/>
          <w:szCs w:val="24"/>
        </w:rPr>
      </w:pPr>
    </w:p>
    <w:p w14:paraId="38C01C44" w14:textId="1E334050" w:rsidR="00230589" w:rsidRPr="00230589" w:rsidRDefault="00230589" w:rsidP="00230589">
      <w:pPr>
        <w:spacing w:after="0" w:line="240" w:lineRule="auto"/>
        <w:rPr>
          <w:rFonts w:ascii="Times New Roman" w:hAnsi="Times New Roman" w:cs="Times New Roman"/>
          <w:sz w:val="24"/>
          <w:szCs w:val="24"/>
        </w:rPr>
      </w:pPr>
      <w:r w:rsidRPr="00230589">
        <w:rPr>
          <w:rFonts w:ascii="Times New Roman" w:hAnsi="Times New Roman" w:cs="Times New Roman"/>
          <w:sz w:val="24"/>
          <w:szCs w:val="24"/>
        </w:rPr>
        <w:t>The Commission also approve</w:t>
      </w:r>
      <w:r w:rsidR="00584F95">
        <w:rPr>
          <w:rFonts w:ascii="Times New Roman" w:hAnsi="Times New Roman" w:cs="Times New Roman"/>
          <w:sz w:val="24"/>
          <w:szCs w:val="24"/>
        </w:rPr>
        <w:t>s</w:t>
      </w:r>
      <w:r w:rsidRPr="00230589">
        <w:rPr>
          <w:rFonts w:ascii="Times New Roman" w:hAnsi="Times New Roman" w:cs="Times New Roman"/>
          <w:sz w:val="24"/>
          <w:szCs w:val="24"/>
        </w:rPr>
        <w:t xml:space="preserve"> the associated violation risk factors and violation severity levels, implementation plan, and effective date for proposed Reliability Standard TPL-007-2.</w:t>
      </w:r>
    </w:p>
    <w:p w14:paraId="13C27DDF" w14:textId="77777777" w:rsidR="0087477C" w:rsidRPr="00B16372" w:rsidRDefault="0087477C" w:rsidP="0092596C">
      <w:pPr>
        <w:spacing w:after="0" w:line="240" w:lineRule="auto"/>
        <w:rPr>
          <w:rFonts w:ascii="Times New Roman" w:hAnsi="Times New Roman" w:cs="Times New Roman"/>
          <w:sz w:val="24"/>
          <w:szCs w:val="24"/>
        </w:rPr>
      </w:pPr>
    </w:p>
    <w:p w14:paraId="276383E5" w14:textId="77777777"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2FC79E4A" w14:textId="77777777" w:rsidR="003B25DD" w:rsidRDefault="003B25DD" w:rsidP="0092596C">
      <w:pPr>
        <w:spacing w:after="0" w:line="240" w:lineRule="auto"/>
        <w:rPr>
          <w:rFonts w:ascii="Times New Roman" w:hAnsi="Times New Roman" w:cs="Times New Roman"/>
          <w:sz w:val="24"/>
          <w:szCs w:val="24"/>
        </w:rPr>
      </w:pPr>
    </w:p>
    <w:p w14:paraId="18105C45" w14:textId="77777777" w:rsidR="00812739" w:rsidRDefault="00812739"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In its petition</w:t>
      </w:r>
      <w:r w:rsidR="00CE4ABF" w:rsidRPr="00632DB2">
        <w:rPr>
          <w:rStyle w:val="FootnoteReference"/>
          <w:rFonts w:ascii="Times New Roman" w:hAnsi="Times New Roman" w:cs="Times New Roman"/>
          <w:sz w:val="24"/>
          <w:szCs w:val="24"/>
          <w:vertAlign w:val="superscript"/>
        </w:rPr>
        <w:footnoteReference w:id="8"/>
      </w:r>
      <w:r w:rsidR="00A75E9B">
        <w:rPr>
          <w:rFonts w:ascii="Times New Roman" w:hAnsi="Times New Roman" w:cs="Times New Roman"/>
          <w:sz w:val="24"/>
          <w:szCs w:val="24"/>
        </w:rPr>
        <w:t xml:space="preserve"> to the Commission</w:t>
      </w:r>
      <w:r>
        <w:rPr>
          <w:rFonts w:ascii="Times New Roman" w:hAnsi="Times New Roman" w:cs="Times New Roman"/>
          <w:sz w:val="24"/>
          <w:szCs w:val="24"/>
        </w:rPr>
        <w:t>, NERC states</w:t>
      </w:r>
      <w:r w:rsidR="00386CCB" w:rsidRPr="00386CCB">
        <w:rPr>
          <w:rFonts w:ascii="Times New Roman" w:hAnsi="Times New Roman" w:cs="Times New Roman"/>
          <w:sz w:val="24"/>
          <w:szCs w:val="24"/>
        </w:rPr>
        <w:t xml:space="preserve"> </w:t>
      </w:r>
      <w:r w:rsidR="00386CCB">
        <w:rPr>
          <w:rFonts w:ascii="Times New Roman" w:hAnsi="Times New Roman" w:cs="Times New Roman"/>
          <w:sz w:val="24"/>
          <w:szCs w:val="24"/>
        </w:rPr>
        <w:t>the following</w:t>
      </w:r>
      <w:r>
        <w:rPr>
          <w:rFonts w:ascii="Times New Roman" w:hAnsi="Times New Roman" w:cs="Times New Roman"/>
          <w:sz w:val="24"/>
          <w:szCs w:val="24"/>
        </w:rPr>
        <w:t xml:space="preserve"> </w:t>
      </w:r>
    </w:p>
    <w:p w14:paraId="46B07F4F" w14:textId="77777777" w:rsidR="00812739" w:rsidRDefault="00812739" w:rsidP="0092596C">
      <w:pPr>
        <w:spacing w:after="0" w:line="240" w:lineRule="auto"/>
        <w:rPr>
          <w:rFonts w:ascii="Times New Roman" w:hAnsi="Times New Roman" w:cs="Times New Roman"/>
          <w:sz w:val="24"/>
          <w:szCs w:val="24"/>
        </w:rPr>
      </w:pPr>
    </w:p>
    <w:p w14:paraId="7C10D509" w14:textId="77777777" w:rsidR="00812739" w:rsidRDefault="00BD0227" w:rsidP="00EE4B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812739" w:rsidRPr="00812739">
        <w:rPr>
          <w:rFonts w:ascii="Times New Roman" w:hAnsi="Times New Roman" w:cs="Times New Roman"/>
          <w:sz w:val="24"/>
          <w:szCs w:val="24"/>
        </w:rPr>
        <w:t>Currently-effective Reliability Standard TPL-007-1 requires entities to conduct initial and on-going assessments of the potential impact of the defined benchmark GMD event on BPS equipment and the BPS as a whole. Proposed Reliability Standard TPL-007-2 builds upon these</w:t>
      </w:r>
      <w:r w:rsidR="00812739">
        <w:rPr>
          <w:rFonts w:ascii="Times New Roman" w:hAnsi="Times New Roman" w:cs="Times New Roman"/>
          <w:sz w:val="24"/>
          <w:szCs w:val="24"/>
        </w:rPr>
        <w:t xml:space="preserve"> </w:t>
      </w:r>
      <w:r w:rsidR="00812739" w:rsidRPr="00812739">
        <w:rPr>
          <w:rFonts w:ascii="Times New Roman" w:hAnsi="Times New Roman" w:cs="Times New Roman"/>
          <w:sz w:val="24"/>
          <w:szCs w:val="24"/>
        </w:rPr>
        <w:t>Requirements and adds new Requirements for entities to assess their vulnerabilities to a second defined event, the supplemental GMD event. This supplemental GMD event is designed to account for the localized peak effects of severe GMD events on systems and equipment. The proposed standard also contains new Requirements for the collection of GIC and magnetometer data. Lastly, the proposed standard revises Requirement R7 to include deadlines for the development and completion of any necessary Corrective Action Plans. Each of these revisions and how they address the Commission’s directives from Order No. 830 is discussed below.</w:t>
      </w:r>
      <w:r w:rsidR="00812739">
        <w:rPr>
          <w:rFonts w:ascii="Times New Roman" w:hAnsi="Times New Roman" w:cs="Times New Roman"/>
          <w:sz w:val="24"/>
          <w:szCs w:val="24"/>
        </w:rPr>
        <w:t xml:space="preserve"> …</w:t>
      </w:r>
    </w:p>
    <w:p w14:paraId="2CC9A438" w14:textId="77777777" w:rsidR="00812739" w:rsidRDefault="00812739" w:rsidP="00EE4B53">
      <w:pPr>
        <w:spacing w:after="0" w:line="240" w:lineRule="auto"/>
        <w:ind w:left="720"/>
        <w:rPr>
          <w:rFonts w:ascii="Times New Roman" w:hAnsi="Times New Roman" w:cs="Times New Roman"/>
          <w:sz w:val="24"/>
          <w:szCs w:val="24"/>
        </w:rPr>
      </w:pPr>
    </w:p>
    <w:p w14:paraId="4EADCC30" w14:textId="77777777" w:rsidR="00812739" w:rsidRDefault="00812739" w:rsidP="00EE4B53">
      <w:pPr>
        <w:spacing w:after="0" w:line="240" w:lineRule="auto"/>
        <w:ind w:left="720"/>
        <w:rPr>
          <w:rFonts w:ascii="Times New Roman" w:hAnsi="Times New Roman" w:cs="Times New Roman"/>
          <w:sz w:val="24"/>
          <w:szCs w:val="24"/>
        </w:rPr>
      </w:pPr>
      <w:r w:rsidRPr="00812739">
        <w:rPr>
          <w:rFonts w:ascii="Times New Roman" w:hAnsi="Times New Roman" w:cs="Times New Roman"/>
          <w:sz w:val="24"/>
          <w:szCs w:val="24"/>
        </w:rPr>
        <w:t>The supplemental GMD event provides a technically justified method of assessing vulnerabilities to the localized peak effects of severe GMD events, thereby addressing the Commission’s Order No. 830 directive. Together, the approved benchmark GMD event and the proposed supplemental GMD event provide a high threshold for assessing GMD impacts.</w:t>
      </w:r>
    </w:p>
    <w:p w14:paraId="7C7F3117" w14:textId="77777777" w:rsidR="00812739" w:rsidRDefault="00812739" w:rsidP="00EE4B53">
      <w:pPr>
        <w:spacing w:after="0" w:line="240" w:lineRule="auto"/>
        <w:ind w:left="1440"/>
        <w:rPr>
          <w:rFonts w:ascii="Times New Roman" w:hAnsi="Times New Roman" w:cs="Times New Roman"/>
          <w:sz w:val="24"/>
          <w:szCs w:val="24"/>
        </w:rPr>
      </w:pPr>
    </w:p>
    <w:p w14:paraId="368B2F86" w14:textId="77777777" w:rsidR="00812739" w:rsidRDefault="00812739" w:rsidP="00EE4B53">
      <w:pPr>
        <w:spacing w:after="0" w:line="240" w:lineRule="auto"/>
        <w:ind w:left="720"/>
        <w:rPr>
          <w:rFonts w:ascii="Times New Roman" w:hAnsi="Times New Roman" w:cs="Times New Roman"/>
          <w:sz w:val="24"/>
          <w:szCs w:val="24"/>
        </w:rPr>
      </w:pPr>
      <w:r w:rsidRPr="00812739">
        <w:rPr>
          <w:rFonts w:ascii="Times New Roman" w:hAnsi="Times New Roman" w:cs="Times New Roman"/>
          <w:sz w:val="24"/>
          <w:szCs w:val="24"/>
        </w:rPr>
        <w:t>Proposed Reliability Standard TPL-007-2 supports future data collection across the North American BPS by requiring planning entities to implement processes for obtaining GMD data for each planning area. NERC, pursuant to the pending Section 1600 GMD Data Request,42 will collect GMD data from entities and make that data available to support ongoing research and analysis of GMD risk. The proposed standard, together with the pending Section 1600 GMD Data Request, would thus satisfy the Commission’s data collection directives in Order No. 830 and provide data to help address the potential reliability risks posed by GMDs.</w:t>
      </w:r>
      <w:r w:rsidR="00BD0227">
        <w:rPr>
          <w:rFonts w:ascii="Times New Roman" w:hAnsi="Times New Roman" w:cs="Times New Roman"/>
          <w:sz w:val="24"/>
          <w:szCs w:val="24"/>
        </w:rPr>
        <w:t>”</w:t>
      </w:r>
    </w:p>
    <w:p w14:paraId="14AAFE60" w14:textId="77777777" w:rsidR="00812739" w:rsidRDefault="00812739" w:rsidP="0092596C">
      <w:pPr>
        <w:spacing w:after="0" w:line="240" w:lineRule="auto"/>
        <w:rPr>
          <w:rFonts w:ascii="Times New Roman" w:hAnsi="Times New Roman" w:cs="Times New Roman"/>
          <w:sz w:val="24"/>
          <w:szCs w:val="24"/>
        </w:rPr>
      </w:pPr>
    </w:p>
    <w:p w14:paraId="7EED626B" w14:textId="77777777" w:rsidR="00812739" w:rsidRDefault="00812739" w:rsidP="0092596C">
      <w:pPr>
        <w:spacing w:after="0" w:line="240" w:lineRule="auto"/>
        <w:rPr>
          <w:rFonts w:ascii="Times New Roman" w:hAnsi="Times New Roman" w:cs="Times New Roman"/>
          <w:sz w:val="24"/>
          <w:szCs w:val="24"/>
        </w:rPr>
      </w:pPr>
      <w:r w:rsidRPr="00812739">
        <w:rPr>
          <w:rFonts w:ascii="Times New Roman" w:hAnsi="Times New Roman" w:cs="Times New Roman"/>
          <w:sz w:val="24"/>
          <w:szCs w:val="24"/>
        </w:rPr>
        <w:t xml:space="preserve">As described in the Background section of the standard, “[d]uring a GMD event, geomagnetically-induced currents (GIC) may cause transformer hot-spot heating or damage, loss of Reactive Power sources, increased Reactive Power demand, and Misoperation(s), the combination of which may result in voltage collapse and blackout.”  GMD events could cause widespread blackouts and cause damage to equipment that could result in sustained system outages.  The information </w:t>
      </w:r>
      <w:r w:rsidR="00AB08B6">
        <w:rPr>
          <w:rFonts w:ascii="Times New Roman" w:hAnsi="Times New Roman" w:cs="Times New Roman"/>
          <w:sz w:val="24"/>
          <w:szCs w:val="24"/>
        </w:rPr>
        <w:t xml:space="preserve">generated for compliance with </w:t>
      </w:r>
      <w:r>
        <w:rPr>
          <w:rFonts w:ascii="Times New Roman" w:hAnsi="Times New Roman" w:cs="Times New Roman"/>
          <w:sz w:val="24"/>
          <w:szCs w:val="24"/>
        </w:rPr>
        <w:t>this standard will be used to ensure that entities are appropriately studying whether their systems</w:t>
      </w:r>
      <w:r w:rsidR="00AB08B6">
        <w:rPr>
          <w:rFonts w:ascii="Times New Roman" w:hAnsi="Times New Roman" w:cs="Times New Roman"/>
          <w:sz w:val="24"/>
          <w:szCs w:val="24"/>
        </w:rPr>
        <w:t xml:space="preserve"> and equipment</w:t>
      </w:r>
      <w:r>
        <w:rPr>
          <w:rFonts w:ascii="Times New Roman" w:hAnsi="Times New Roman" w:cs="Times New Roman"/>
          <w:sz w:val="24"/>
          <w:szCs w:val="24"/>
        </w:rPr>
        <w:t xml:space="preserve"> are vulnerable to GMD events and correcting any </w:t>
      </w:r>
      <w:r w:rsidR="00AB08B6">
        <w:rPr>
          <w:rFonts w:ascii="Times New Roman" w:hAnsi="Times New Roman" w:cs="Times New Roman"/>
          <w:sz w:val="24"/>
          <w:szCs w:val="24"/>
        </w:rPr>
        <w:t>vulnerabilities discovered through the benchmark GMD study.</w:t>
      </w:r>
      <w:r w:rsidRPr="00812739">
        <w:rPr>
          <w:rFonts w:ascii="Times New Roman" w:hAnsi="Times New Roman" w:cs="Times New Roman"/>
          <w:sz w:val="24"/>
          <w:szCs w:val="24"/>
        </w:rPr>
        <w:t xml:space="preserve"> </w:t>
      </w:r>
    </w:p>
    <w:p w14:paraId="73E58FE4" w14:textId="77777777" w:rsidR="00812739" w:rsidRPr="00B16372" w:rsidRDefault="00812739" w:rsidP="0092596C">
      <w:pPr>
        <w:spacing w:after="0" w:line="240" w:lineRule="auto"/>
        <w:rPr>
          <w:rFonts w:ascii="Times New Roman" w:hAnsi="Times New Roman" w:cs="Times New Roman"/>
          <w:sz w:val="24"/>
          <w:szCs w:val="24"/>
        </w:rPr>
      </w:pPr>
    </w:p>
    <w:p w14:paraId="48CE02C2"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24C99BB" w14:textId="77777777" w:rsidR="00EB3E6F" w:rsidRPr="00B16372" w:rsidRDefault="00EB3E6F" w:rsidP="0092596C">
      <w:pPr>
        <w:spacing w:after="0" w:line="240" w:lineRule="auto"/>
        <w:rPr>
          <w:rFonts w:ascii="Times New Roman" w:hAnsi="Times New Roman" w:cs="Times New Roman"/>
          <w:sz w:val="24"/>
          <w:szCs w:val="24"/>
        </w:rPr>
      </w:pPr>
    </w:p>
    <w:p w14:paraId="6FB258D2" w14:textId="77777777"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280671D8" w14:textId="77777777" w:rsidR="00693371" w:rsidRPr="00693371" w:rsidRDefault="00693371" w:rsidP="00693371">
      <w:pPr>
        <w:spacing w:after="0" w:line="240" w:lineRule="auto"/>
        <w:rPr>
          <w:rFonts w:ascii="Times New Roman" w:hAnsi="Times New Roman" w:cs="Times New Roman"/>
          <w:sz w:val="24"/>
          <w:szCs w:val="24"/>
        </w:rPr>
      </w:pPr>
    </w:p>
    <w:p w14:paraId="1A4A2132" w14:textId="77777777"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submittals are not made to FERC.</w:t>
      </w:r>
    </w:p>
    <w:p w14:paraId="28E837B5" w14:textId="77777777" w:rsidR="00693371" w:rsidRPr="00B16372" w:rsidRDefault="00693371" w:rsidP="0092596C">
      <w:pPr>
        <w:spacing w:after="0" w:line="240" w:lineRule="auto"/>
        <w:rPr>
          <w:rFonts w:ascii="Times New Roman" w:hAnsi="Times New Roman" w:cs="Times New Roman"/>
          <w:sz w:val="24"/>
          <w:szCs w:val="24"/>
        </w:rPr>
      </w:pPr>
    </w:p>
    <w:p w14:paraId="6FADEB99"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E344C68" w14:textId="77777777" w:rsidR="00EB3E6F" w:rsidRPr="00B16372" w:rsidRDefault="00EB3E6F" w:rsidP="0092596C">
      <w:pPr>
        <w:spacing w:after="0" w:line="240" w:lineRule="auto"/>
        <w:rPr>
          <w:rFonts w:ascii="Times New Roman" w:hAnsi="Times New Roman" w:cs="Times New Roman"/>
          <w:sz w:val="24"/>
          <w:szCs w:val="24"/>
        </w:rPr>
      </w:pPr>
    </w:p>
    <w:p w14:paraId="37642D7D" w14:textId="77777777" w:rsidR="00EB3E6F" w:rsidRPr="00693371" w:rsidRDefault="00C00D70"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r w:rsidR="00693371" w:rsidRPr="00693371">
        <w:rPr>
          <w:rFonts w:ascii="Times New Roman" w:hAnsi="Times New Roman" w:cs="Times New Roman"/>
          <w:sz w:val="24"/>
          <w:szCs w:val="24"/>
        </w:rPr>
        <w:t xml:space="preserve"> In addition, the standard-developing group (the ERO and various stakeholders) think </w:t>
      </w:r>
      <w:r w:rsidR="00AB08B6">
        <w:rPr>
          <w:rFonts w:ascii="Times New Roman" w:hAnsi="Times New Roman" w:cs="Times New Roman"/>
          <w:sz w:val="24"/>
          <w:szCs w:val="24"/>
        </w:rPr>
        <w:t>the standard is an effective means for meeting the Commission directives from Order No. 830</w:t>
      </w:r>
      <w:r w:rsidR="00693371" w:rsidRPr="00693371">
        <w:rPr>
          <w:rFonts w:ascii="Times New Roman" w:hAnsi="Times New Roman" w:cs="Times New Roman"/>
          <w:sz w:val="24"/>
          <w:szCs w:val="24"/>
        </w:rPr>
        <w:t>, as indicated in the NERC petition.</w:t>
      </w:r>
    </w:p>
    <w:p w14:paraId="1931EA0E" w14:textId="77777777" w:rsidR="00C00D70" w:rsidRPr="00B16372" w:rsidRDefault="00C00D70" w:rsidP="0092596C">
      <w:pPr>
        <w:spacing w:after="0" w:line="240" w:lineRule="auto"/>
        <w:rPr>
          <w:rFonts w:ascii="Times New Roman" w:hAnsi="Times New Roman" w:cs="Times New Roman"/>
          <w:sz w:val="24"/>
          <w:szCs w:val="24"/>
        </w:rPr>
      </w:pPr>
    </w:p>
    <w:p w14:paraId="2AECE62A"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5D46B33F" w14:textId="77777777" w:rsidR="00EB3E6F" w:rsidRPr="00B16372" w:rsidRDefault="00EB3E6F" w:rsidP="0092596C">
      <w:pPr>
        <w:spacing w:after="0" w:line="240" w:lineRule="auto"/>
        <w:rPr>
          <w:rFonts w:ascii="Times New Roman" w:hAnsi="Times New Roman" w:cs="Times New Roman"/>
          <w:sz w:val="24"/>
          <w:szCs w:val="24"/>
        </w:rPr>
      </w:pPr>
    </w:p>
    <w:p w14:paraId="7C57577E" w14:textId="77777777" w:rsidR="00693371" w:rsidRPr="00693371" w:rsidRDefault="00693371" w:rsidP="00693371">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Small entities generally can reduce their burden by taking part in a joint registration organization or a coordinated function registration.  These options allow an entity the ability to share its compliance burd</w:t>
      </w:r>
      <w:r w:rsidR="00EF5332">
        <w:rPr>
          <w:rFonts w:ascii="Times New Roman" w:hAnsi="Times New Roman" w:cs="Times New Roman"/>
          <w:sz w:val="24"/>
          <w:szCs w:val="24"/>
        </w:rPr>
        <w:t>en with other similar entities.</w:t>
      </w:r>
    </w:p>
    <w:p w14:paraId="3DC47449" w14:textId="77777777" w:rsidR="00693371" w:rsidRPr="00693371" w:rsidRDefault="00693371" w:rsidP="00693371">
      <w:pPr>
        <w:spacing w:after="0" w:line="240" w:lineRule="auto"/>
        <w:rPr>
          <w:rFonts w:ascii="Times New Roman" w:hAnsi="Times New Roman" w:cs="Times New Roman"/>
          <w:sz w:val="24"/>
          <w:szCs w:val="24"/>
        </w:rPr>
      </w:pPr>
    </w:p>
    <w:p w14:paraId="34ADE392" w14:textId="77777777" w:rsidR="00EB3E6F" w:rsidRDefault="00693371" w:rsidP="0092596C">
      <w:pPr>
        <w:spacing w:after="0" w:line="240" w:lineRule="auto"/>
        <w:rPr>
          <w:rFonts w:ascii="Times New Roman" w:hAnsi="Times New Roman" w:cs="Times New Roman"/>
          <w:sz w:val="24"/>
          <w:szCs w:val="24"/>
        </w:rPr>
      </w:pPr>
      <w:r w:rsidRPr="00693371">
        <w:rPr>
          <w:rFonts w:ascii="Times New Roman" w:hAnsi="Times New Roman" w:cs="Times New Roman"/>
          <w:sz w:val="24"/>
          <w:szCs w:val="24"/>
        </w:rPr>
        <w:t xml:space="preserve">Detailed information regarding these options </w:t>
      </w:r>
      <w:r w:rsidR="00A337D1">
        <w:rPr>
          <w:rFonts w:ascii="Times New Roman" w:hAnsi="Times New Roman" w:cs="Times New Roman"/>
          <w:sz w:val="24"/>
          <w:szCs w:val="24"/>
        </w:rPr>
        <w:t>is</w:t>
      </w:r>
      <w:r w:rsidR="00A337D1" w:rsidRPr="00693371">
        <w:rPr>
          <w:rFonts w:ascii="Times New Roman" w:hAnsi="Times New Roman" w:cs="Times New Roman"/>
          <w:sz w:val="24"/>
          <w:szCs w:val="24"/>
        </w:rPr>
        <w:t xml:space="preserve"> </w:t>
      </w:r>
      <w:r w:rsidRPr="00693371">
        <w:rPr>
          <w:rFonts w:ascii="Times New Roman" w:hAnsi="Times New Roman" w:cs="Times New Roman"/>
          <w:sz w:val="24"/>
          <w:szCs w:val="24"/>
        </w:rPr>
        <w:t>available in NERC’s Rules of Pro</w:t>
      </w:r>
      <w:r w:rsidR="00EF5332">
        <w:rPr>
          <w:rFonts w:ascii="Times New Roman" w:hAnsi="Times New Roman" w:cs="Times New Roman"/>
          <w:sz w:val="24"/>
          <w:szCs w:val="24"/>
        </w:rPr>
        <w:t>cedure at sections 507 and 508</w:t>
      </w:r>
      <w:r w:rsidRPr="00DE00F4">
        <w:rPr>
          <w:rStyle w:val="FootnoteReference"/>
          <w:rFonts w:ascii="Times New Roman" w:hAnsi="Times New Roman" w:cs="Times New Roman"/>
          <w:sz w:val="24"/>
          <w:szCs w:val="24"/>
          <w:vertAlign w:val="superscript"/>
        </w:rPr>
        <w:footnoteReference w:id="9"/>
      </w:r>
      <w:r w:rsidR="00EF5332">
        <w:rPr>
          <w:rFonts w:ascii="Times New Roman" w:hAnsi="Times New Roman" w:cs="Times New Roman"/>
          <w:sz w:val="24"/>
          <w:szCs w:val="24"/>
        </w:rPr>
        <w:t>.</w:t>
      </w:r>
    </w:p>
    <w:p w14:paraId="0E0023B8" w14:textId="77777777" w:rsidR="00DE00F4" w:rsidRPr="00B16372" w:rsidRDefault="00DE00F4" w:rsidP="0092596C">
      <w:pPr>
        <w:spacing w:after="0" w:line="240" w:lineRule="auto"/>
        <w:rPr>
          <w:rFonts w:ascii="Times New Roman" w:hAnsi="Times New Roman" w:cs="Times New Roman"/>
          <w:sz w:val="24"/>
          <w:szCs w:val="24"/>
        </w:rPr>
      </w:pPr>
    </w:p>
    <w:p w14:paraId="36670EDB"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2AB1A633" w14:textId="77777777" w:rsidR="00EB3E6F" w:rsidRPr="00B16372" w:rsidRDefault="00EB3E6F" w:rsidP="0092596C">
      <w:pPr>
        <w:spacing w:after="0" w:line="240" w:lineRule="auto"/>
        <w:rPr>
          <w:rFonts w:ascii="Times New Roman" w:hAnsi="Times New Roman" w:cs="Times New Roman"/>
          <w:sz w:val="24"/>
          <w:szCs w:val="24"/>
        </w:rPr>
      </w:pPr>
    </w:p>
    <w:p w14:paraId="7C41C6AB" w14:textId="77777777"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A337D1">
        <w:rPr>
          <w:rFonts w:ascii="Times New Roman" w:hAnsi="Times New Roman" w:cs="Times New Roman"/>
          <w:sz w:val="24"/>
          <w:szCs w:val="24"/>
        </w:rPr>
        <w:t xml:space="preserve"> and higher vulnerability and risk</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transmission system outages and loss of load</w:t>
      </w:r>
      <w:r w:rsidRPr="00B16372">
        <w:rPr>
          <w:rFonts w:ascii="Times New Roman" w:hAnsi="Times New Roman" w:cs="Times New Roman"/>
          <w:sz w:val="24"/>
          <w:szCs w:val="24"/>
        </w:rPr>
        <w:t>.</w:t>
      </w:r>
    </w:p>
    <w:p w14:paraId="026F8DA7" w14:textId="77777777" w:rsidR="00B86284" w:rsidRPr="00B16372" w:rsidRDefault="00B86284" w:rsidP="0092596C">
      <w:pPr>
        <w:spacing w:after="0" w:line="240" w:lineRule="auto"/>
        <w:rPr>
          <w:rFonts w:ascii="Times New Roman" w:hAnsi="Times New Roman" w:cs="Times New Roman"/>
          <w:sz w:val="24"/>
          <w:szCs w:val="24"/>
        </w:rPr>
      </w:pPr>
    </w:p>
    <w:p w14:paraId="0C99F924"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09F799C6" w14:textId="77777777" w:rsidR="00EB3E6F" w:rsidRPr="00B16372" w:rsidRDefault="00EB3E6F" w:rsidP="0092596C">
      <w:pPr>
        <w:spacing w:after="0" w:line="240" w:lineRule="auto"/>
        <w:rPr>
          <w:rFonts w:ascii="Times New Roman" w:hAnsi="Times New Roman" w:cs="Times New Roman"/>
          <w:sz w:val="24"/>
          <w:szCs w:val="24"/>
        </w:rPr>
      </w:pPr>
    </w:p>
    <w:p w14:paraId="7AD2F42B" w14:textId="77777777" w:rsidR="00C60EDC"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There are some special circumstances as described in 5 CFR 1320.5(d)(2) related to this information collection.</w:t>
      </w:r>
      <w:r w:rsidR="001F6FF8">
        <w:rPr>
          <w:rFonts w:ascii="Times New Roman" w:hAnsi="Times New Roman"/>
          <w:sz w:val="24"/>
          <w:szCs w:val="24"/>
        </w:rPr>
        <w:t xml:space="preserve">  </w:t>
      </w:r>
    </w:p>
    <w:p w14:paraId="09EE0FDC" w14:textId="77777777" w:rsidR="000E18A0" w:rsidRDefault="000E18A0" w:rsidP="00C60EDC">
      <w:pPr>
        <w:spacing w:after="0" w:line="240" w:lineRule="auto"/>
        <w:rPr>
          <w:rFonts w:ascii="Times New Roman" w:hAnsi="Times New Roman"/>
          <w:sz w:val="24"/>
          <w:szCs w:val="24"/>
        </w:rPr>
      </w:pPr>
    </w:p>
    <w:p w14:paraId="0CE32FA2" w14:textId="77777777" w:rsidR="00A26C3C" w:rsidRDefault="00A26C3C" w:rsidP="00A26C3C">
      <w:pPr>
        <w:pStyle w:val="Default"/>
        <w:rPr>
          <w:rFonts w:ascii="Times New Roman" w:hAnsi="Times New Roman"/>
        </w:rPr>
      </w:pPr>
      <w:r w:rsidRPr="00A26C3C">
        <w:rPr>
          <w:rFonts w:ascii="Times New Roman" w:hAnsi="Times New Roman"/>
        </w:rPr>
        <w:t xml:space="preserve">Some of the evidence must be retained for five years </w:t>
      </w:r>
      <w:r w:rsidR="006C663D">
        <w:rPr>
          <w:rFonts w:ascii="Times New Roman" w:hAnsi="Times New Roman"/>
        </w:rPr>
        <w:t xml:space="preserve">(or longer) </w:t>
      </w:r>
      <w:r w:rsidRPr="00A26C3C">
        <w:rPr>
          <w:rFonts w:ascii="Times New Roman" w:hAnsi="Times New Roman"/>
        </w:rPr>
        <w:t xml:space="preserve">as described below, in the Evidence Retention section of </w:t>
      </w:r>
      <w:r w:rsidR="00135CDC">
        <w:rPr>
          <w:rFonts w:ascii="Times New Roman" w:hAnsi="Times New Roman"/>
        </w:rPr>
        <w:t>Reliability Standard</w:t>
      </w:r>
      <w:r w:rsidRPr="00A26C3C">
        <w:rPr>
          <w:rFonts w:ascii="Times New Roman" w:hAnsi="Times New Roman"/>
        </w:rPr>
        <w:t xml:space="preserve"> </w:t>
      </w:r>
      <w:r w:rsidR="006C663D">
        <w:rPr>
          <w:rFonts w:ascii="Times New Roman" w:hAnsi="Times New Roman"/>
        </w:rPr>
        <w:t>TPL-007-2</w:t>
      </w:r>
      <w:r w:rsidRPr="00A26C3C">
        <w:rPr>
          <w:rFonts w:ascii="Times New Roman" w:hAnsi="Times New Roman"/>
        </w:rPr>
        <w:t>.</w:t>
      </w:r>
      <w:r>
        <w:rPr>
          <w:rFonts w:ascii="Times New Roman" w:hAnsi="Times New Roman"/>
        </w:rPr>
        <w:t xml:space="preserve">  The standard states in part:</w:t>
      </w:r>
    </w:p>
    <w:p w14:paraId="02A722FC" w14:textId="77777777" w:rsidR="00A26C3C" w:rsidRDefault="00A26C3C" w:rsidP="00A26C3C">
      <w:pPr>
        <w:pStyle w:val="Default"/>
      </w:pPr>
    </w:p>
    <w:p w14:paraId="60F5DBD0" w14:textId="77777777" w:rsidR="00A26C3C" w:rsidRPr="006C663D" w:rsidRDefault="00A26C3C" w:rsidP="006C663D">
      <w:pPr>
        <w:pStyle w:val="Default"/>
        <w:ind w:left="400"/>
        <w:rPr>
          <w:rFonts w:ascii="Times New Roman" w:hAnsi="Times New Roman" w:cs="Times New Roman"/>
        </w:rPr>
      </w:pPr>
      <w:r w:rsidRPr="006C663D">
        <w:rPr>
          <w:rFonts w:ascii="Times New Roman" w:hAnsi="Times New Roman" w:cs="Times New Roman"/>
          <w:b/>
          <w:bCs/>
        </w:rPr>
        <w:t xml:space="preserve">“1.2. Evidence Retention: </w:t>
      </w:r>
      <w:r w:rsidRPr="006C663D">
        <w:rPr>
          <w:rFonts w:ascii="Times New Roman" w:hAnsi="Times New Roman" w:cs="Times New Roman"/>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14:paraId="52FE923B" w14:textId="77777777" w:rsidR="00A26C3C" w:rsidRPr="006C663D" w:rsidRDefault="00A26C3C" w:rsidP="006C663D">
      <w:pPr>
        <w:pStyle w:val="Default"/>
        <w:ind w:left="400"/>
        <w:rPr>
          <w:rFonts w:ascii="Times New Roman" w:hAnsi="Times New Roman" w:cs="Times New Roman"/>
        </w:rPr>
      </w:pPr>
    </w:p>
    <w:p w14:paraId="0B3CBFD9" w14:textId="77777777" w:rsidR="00A26C3C" w:rsidRPr="006C663D" w:rsidRDefault="00A26C3C" w:rsidP="006C663D">
      <w:pPr>
        <w:kinsoku w:val="0"/>
        <w:overflowPunct w:val="0"/>
        <w:autoSpaceDE w:val="0"/>
        <w:autoSpaceDN w:val="0"/>
        <w:adjustRightInd w:val="0"/>
        <w:spacing w:before="103" w:after="0" w:line="240" w:lineRule="auto"/>
        <w:ind w:left="600" w:right="375"/>
        <w:rPr>
          <w:rFonts w:ascii="Times New Roman" w:hAnsi="Times New Roman" w:cs="Times New Roman"/>
          <w:spacing w:val="-1"/>
          <w:sz w:val="24"/>
          <w:szCs w:val="24"/>
        </w:rPr>
      </w:pPr>
      <w:r w:rsidRPr="006C663D">
        <w:rPr>
          <w:rFonts w:ascii="Times New Roman" w:hAnsi="Times New Roman" w:cs="Times New Roman"/>
          <w:sz w:val="24"/>
          <w:szCs w:val="24"/>
        </w:rPr>
        <w:t>The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applicable</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keep</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data</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or</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to</w:t>
      </w:r>
      <w:r w:rsidRPr="006C663D">
        <w:rPr>
          <w:rFonts w:ascii="Times New Roman" w:hAnsi="Times New Roman" w:cs="Times New Roman"/>
          <w:spacing w:val="-1"/>
          <w:sz w:val="24"/>
          <w:szCs w:val="24"/>
        </w:rPr>
        <w:t xml:space="preserve"> show</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 xml:space="preserve">compliance </w:t>
      </w:r>
      <w:r w:rsidRPr="006C663D">
        <w:rPr>
          <w:rFonts w:ascii="Times New Roman" w:hAnsi="Times New Roman" w:cs="Times New Roman"/>
          <w:sz w:val="24"/>
          <w:szCs w:val="24"/>
        </w:rPr>
        <w:t>as</w:t>
      </w:r>
      <w:r w:rsidRPr="006C663D">
        <w:rPr>
          <w:rFonts w:ascii="Times New Roman" w:hAnsi="Times New Roman" w:cs="Times New Roman"/>
          <w:spacing w:val="55"/>
          <w:sz w:val="24"/>
          <w:szCs w:val="24"/>
        </w:rPr>
        <w:t xml:space="preserve"> </w:t>
      </w:r>
      <w:r w:rsidRPr="006C663D">
        <w:rPr>
          <w:rFonts w:ascii="Times New Roman" w:hAnsi="Times New Roman" w:cs="Times New Roman"/>
          <w:spacing w:val="-1"/>
          <w:sz w:val="24"/>
          <w:szCs w:val="24"/>
        </w:rPr>
        <w:t>identified</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below</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unless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directed</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by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its</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Compliance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Enforcement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Authority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to</w:t>
      </w:r>
      <w:r w:rsidRPr="006C663D">
        <w:rPr>
          <w:rFonts w:ascii="Times New Roman" w:hAnsi="Times New Roman" w:cs="Times New Roman"/>
          <w:spacing w:val="76"/>
          <w:sz w:val="24"/>
          <w:szCs w:val="24"/>
        </w:rPr>
        <w:t xml:space="preserve"> </w:t>
      </w:r>
      <w:r w:rsidRPr="006C663D">
        <w:rPr>
          <w:rFonts w:ascii="Times New Roman" w:hAnsi="Times New Roman" w:cs="Times New Roman"/>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specific</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 xml:space="preserve">for </w:t>
      </w:r>
      <w:r w:rsidRPr="006C663D">
        <w:rPr>
          <w:rFonts w:ascii="Times New Roman" w:hAnsi="Times New Roman" w:cs="Times New Roman"/>
          <w:sz w:val="24"/>
          <w:szCs w:val="24"/>
        </w:rPr>
        <w:t>a</w:t>
      </w:r>
      <w:r w:rsidRPr="006C663D">
        <w:rPr>
          <w:rFonts w:ascii="Times New Roman" w:hAnsi="Times New Roman" w:cs="Times New Roman"/>
          <w:spacing w:val="-1"/>
          <w:sz w:val="24"/>
          <w:szCs w:val="24"/>
        </w:rPr>
        <w:t xml:space="preserve"> longer</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period</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of</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2"/>
          <w:sz w:val="24"/>
          <w:szCs w:val="24"/>
        </w:rPr>
        <w:t xml:space="preserve">time </w:t>
      </w:r>
      <w:r w:rsidRPr="006C663D">
        <w:rPr>
          <w:rFonts w:ascii="Times New Roman" w:hAnsi="Times New Roman" w:cs="Times New Roman"/>
          <w:sz w:val="24"/>
          <w:szCs w:val="24"/>
        </w:rPr>
        <w:t>as</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part</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of</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an</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investigation.</w:t>
      </w:r>
    </w:p>
    <w:p w14:paraId="34989637"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9" w:after="0" w:line="241" w:lineRule="auto"/>
        <w:ind w:left="2100" w:right="222"/>
        <w:rPr>
          <w:rFonts w:ascii="Times New Roman" w:hAnsi="Times New Roman" w:cs="Times New Roman"/>
          <w:spacing w:val="-1"/>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R2,</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R3,</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R5,</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R6,</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R9,</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R10,</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each</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entity</w:t>
      </w:r>
      <w:r w:rsidRPr="006C663D">
        <w:rPr>
          <w:rFonts w:ascii="Times New Roman" w:hAnsi="Times New Roman" w:cs="Times New Roman"/>
          <w:spacing w:val="78"/>
          <w:w w:val="99"/>
          <w:sz w:val="24"/>
          <w:szCs w:val="24"/>
        </w:rPr>
        <w:t xml:space="preserve"> </w:t>
      </w:r>
      <w:r w:rsidRPr="006C663D">
        <w:rPr>
          <w:rFonts w:ascii="Times New Roman" w:hAnsi="Times New Roman" w:cs="Times New Roman"/>
          <w:sz w:val="24"/>
          <w:szCs w:val="24"/>
        </w:rPr>
        <w:t>shall</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 xml:space="preserve">documentation </w:t>
      </w:r>
      <w:r w:rsidRPr="006C663D">
        <w:rPr>
          <w:rFonts w:ascii="Times New Roman" w:hAnsi="Times New Roman" w:cs="Times New Roman"/>
          <w:sz w:val="24"/>
          <w:szCs w:val="24"/>
        </w:rPr>
        <w:t>as</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for</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five</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years.</w:t>
      </w:r>
    </w:p>
    <w:p w14:paraId="5CC7802A"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7" w:after="0" w:line="240" w:lineRule="auto"/>
        <w:ind w:left="2100" w:right="622"/>
        <w:rPr>
          <w:rFonts w:ascii="Times New Roman" w:hAnsi="Times New Roman" w:cs="Times New Roman"/>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R4</w:t>
      </w:r>
      <w:r w:rsidRPr="006C663D">
        <w:rPr>
          <w:rFonts w:ascii="Times New Roman" w:hAnsi="Times New Roman" w:cs="Times New Roman"/>
          <w:spacing w:val="-2"/>
          <w:sz w:val="24"/>
          <w:szCs w:val="24"/>
        </w:rPr>
        <w:t xml:space="preserve"> and</w:t>
      </w:r>
      <w:r w:rsidRPr="006C663D">
        <w:rPr>
          <w:rFonts w:ascii="Times New Roman" w:hAnsi="Times New Roman" w:cs="Times New Roman"/>
          <w:spacing w:val="-1"/>
          <w:sz w:val="24"/>
          <w:szCs w:val="24"/>
        </w:rPr>
        <w:t xml:space="preserve"> R8,</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each 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shall</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65"/>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of</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the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current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GMD</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Vulnerability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Assessment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the</w:t>
      </w:r>
      <w:r w:rsidRPr="006C663D">
        <w:rPr>
          <w:rFonts w:ascii="Times New Roman" w:hAnsi="Times New Roman" w:cs="Times New Roman"/>
          <w:spacing w:val="70"/>
          <w:w w:val="99"/>
          <w:sz w:val="24"/>
          <w:szCs w:val="24"/>
        </w:rPr>
        <w:t xml:space="preserve"> </w:t>
      </w:r>
      <w:r w:rsidRPr="006C663D">
        <w:rPr>
          <w:rFonts w:ascii="Times New Roman" w:hAnsi="Times New Roman" w:cs="Times New Roman"/>
          <w:spacing w:val="-1"/>
          <w:sz w:val="24"/>
          <w:szCs w:val="24"/>
        </w:rPr>
        <w:t>preceding</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GMD</w:t>
      </w:r>
      <w:r w:rsidRPr="006C663D">
        <w:rPr>
          <w:rFonts w:ascii="Times New Roman" w:hAnsi="Times New Roman" w:cs="Times New Roman"/>
          <w:spacing w:val="-7"/>
          <w:sz w:val="24"/>
          <w:szCs w:val="24"/>
        </w:rPr>
        <w:t xml:space="preserve"> </w:t>
      </w:r>
      <w:r w:rsidRPr="006C663D">
        <w:rPr>
          <w:rFonts w:ascii="Times New Roman" w:hAnsi="Times New Roman" w:cs="Times New Roman"/>
          <w:spacing w:val="-1"/>
          <w:sz w:val="24"/>
          <w:szCs w:val="24"/>
        </w:rPr>
        <w:t>Vulnerability</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Assessment.</w:t>
      </w:r>
    </w:p>
    <w:p w14:paraId="6C8CB055"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9" w:after="0" w:line="240" w:lineRule="auto"/>
        <w:ind w:left="2100" w:right="103"/>
        <w:rPr>
          <w:rFonts w:ascii="Times New Roman" w:hAnsi="Times New Roman" w:cs="Times New Roman"/>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R7,</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each responsible</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6"/>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as</w:t>
      </w:r>
      <w:r w:rsidRPr="006C663D">
        <w:rPr>
          <w:rFonts w:ascii="Times New Roman" w:hAnsi="Times New Roman" w:cs="Times New Roman"/>
          <w:spacing w:val="75"/>
          <w:sz w:val="24"/>
          <w:szCs w:val="24"/>
        </w:rPr>
        <w:t xml:space="preserve"> </w:t>
      </w:r>
      <w:r w:rsidRPr="006C663D">
        <w:rPr>
          <w:rFonts w:ascii="Times New Roman" w:hAnsi="Times New Roman" w:cs="Times New Roman"/>
          <w:sz w:val="24"/>
          <w:szCs w:val="24"/>
        </w:rPr>
        <w:t>evidence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for</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five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years</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or</w:t>
      </w:r>
      <w:r w:rsidRPr="006C663D">
        <w:rPr>
          <w:rFonts w:ascii="Times New Roman" w:hAnsi="Times New Roman" w:cs="Times New Roman"/>
          <w:spacing w:val="-2"/>
          <w:sz w:val="24"/>
          <w:szCs w:val="24"/>
        </w:rPr>
        <w:t xml:space="preserve"> </w:t>
      </w:r>
      <w:r w:rsidRPr="006C663D">
        <w:rPr>
          <w:rFonts w:ascii="Times New Roman" w:hAnsi="Times New Roman" w:cs="Times New Roman"/>
          <w:sz w:val="24"/>
          <w:szCs w:val="24"/>
        </w:rPr>
        <w:t>until</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all</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actions</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2"/>
          <w:sz w:val="24"/>
          <w:szCs w:val="24"/>
        </w:rPr>
        <w:t>in</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the</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Corrective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Action Plan</w:t>
      </w:r>
      <w:r w:rsidRPr="006C663D">
        <w:rPr>
          <w:rFonts w:ascii="Times New Roman" w:hAnsi="Times New Roman" w:cs="Times New Roman"/>
          <w:sz w:val="24"/>
          <w:szCs w:val="24"/>
        </w:rPr>
        <w:t xml:space="preserve"> </w:t>
      </w:r>
      <w:r w:rsidRPr="006C663D">
        <w:rPr>
          <w:rFonts w:ascii="Times New Roman" w:hAnsi="Times New Roman" w:cs="Times New Roman"/>
          <w:spacing w:val="-1"/>
          <w:sz w:val="24"/>
          <w:szCs w:val="24"/>
        </w:rPr>
        <w:t>are</w:t>
      </w:r>
      <w:r w:rsidRPr="006C663D">
        <w:rPr>
          <w:rFonts w:ascii="Times New Roman" w:hAnsi="Times New Roman" w:cs="Times New Roman"/>
          <w:spacing w:val="47"/>
          <w:w w:val="99"/>
          <w:sz w:val="24"/>
          <w:szCs w:val="24"/>
        </w:rPr>
        <w:t xml:space="preserve"> </w:t>
      </w:r>
      <w:r w:rsidRPr="006C663D">
        <w:rPr>
          <w:rFonts w:ascii="Times New Roman" w:hAnsi="Times New Roman" w:cs="Times New Roman"/>
          <w:spacing w:val="-1"/>
          <w:sz w:val="24"/>
          <w:szCs w:val="24"/>
        </w:rPr>
        <w:t>completed,</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whichever</w:t>
      </w:r>
      <w:r w:rsidRPr="006C663D">
        <w:rPr>
          <w:rFonts w:ascii="Times New Roman" w:hAnsi="Times New Roman" w:cs="Times New Roman"/>
          <w:spacing w:val="-6"/>
          <w:sz w:val="24"/>
          <w:szCs w:val="24"/>
        </w:rPr>
        <w:t xml:space="preserve"> </w:t>
      </w:r>
      <w:r w:rsidRPr="006C663D">
        <w:rPr>
          <w:rFonts w:ascii="Times New Roman" w:hAnsi="Times New Roman" w:cs="Times New Roman"/>
          <w:sz w:val="24"/>
          <w:szCs w:val="24"/>
        </w:rPr>
        <w:t>is</w:t>
      </w:r>
      <w:r w:rsidRPr="006C663D">
        <w:rPr>
          <w:rFonts w:ascii="Times New Roman" w:hAnsi="Times New Roman" w:cs="Times New Roman"/>
          <w:spacing w:val="-5"/>
          <w:sz w:val="24"/>
          <w:szCs w:val="24"/>
        </w:rPr>
        <w:t xml:space="preserve"> </w:t>
      </w:r>
      <w:r w:rsidRPr="006C663D">
        <w:rPr>
          <w:rFonts w:ascii="Times New Roman" w:hAnsi="Times New Roman" w:cs="Times New Roman"/>
          <w:sz w:val="24"/>
          <w:szCs w:val="24"/>
        </w:rPr>
        <w:t>later.</w:t>
      </w:r>
    </w:p>
    <w:p w14:paraId="6C55AE5A" w14:textId="77777777" w:rsidR="00A26C3C" w:rsidRPr="006C663D" w:rsidRDefault="00A26C3C" w:rsidP="006C663D">
      <w:pPr>
        <w:numPr>
          <w:ilvl w:val="0"/>
          <w:numId w:val="26"/>
        </w:numPr>
        <w:tabs>
          <w:tab w:val="left" w:pos="1700"/>
        </w:tabs>
        <w:kinsoku w:val="0"/>
        <w:overflowPunct w:val="0"/>
        <w:autoSpaceDE w:val="0"/>
        <w:autoSpaceDN w:val="0"/>
        <w:adjustRightInd w:val="0"/>
        <w:spacing w:before="118" w:after="0" w:line="240" w:lineRule="auto"/>
        <w:ind w:left="2100" w:right="861"/>
        <w:rPr>
          <w:rFonts w:ascii="Times New Roman" w:hAnsi="Times New Roman" w:cs="Times New Roman"/>
          <w:spacing w:val="-1"/>
          <w:sz w:val="24"/>
          <w:szCs w:val="24"/>
        </w:rPr>
      </w:pPr>
      <w:r w:rsidRPr="006C663D">
        <w:rPr>
          <w:rFonts w:ascii="Times New Roman" w:hAnsi="Times New Roman" w:cs="Times New Roman"/>
          <w:sz w:val="24"/>
          <w:szCs w:val="24"/>
        </w:rPr>
        <w:t>For</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Requirements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R11</w:t>
      </w:r>
      <w:r w:rsidRPr="006C663D">
        <w:rPr>
          <w:rFonts w:ascii="Times New Roman" w:hAnsi="Times New Roman" w:cs="Times New Roman"/>
          <w:spacing w:val="-4"/>
          <w:sz w:val="24"/>
          <w:szCs w:val="24"/>
        </w:rPr>
        <w:t xml:space="preserve"> </w:t>
      </w:r>
      <w:r w:rsidRPr="006C663D">
        <w:rPr>
          <w:rFonts w:ascii="Times New Roman" w:hAnsi="Times New Roman" w:cs="Times New Roman"/>
          <w:spacing w:val="-1"/>
          <w:sz w:val="24"/>
          <w:szCs w:val="24"/>
        </w:rPr>
        <w:t>and</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R12,</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each</w:t>
      </w:r>
      <w:r w:rsidRPr="006C663D">
        <w:rPr>
          <w:rFonts w:ascii="Times New Roman" w:hAnsi="Times New Roman" w:cs="Times New Roman"/>
          <w:spacing w:val="-2"/>
          <w:sz w:val="24"/>
          <w:szCs w:val="24"/>
        </w:rPr>
        <w:t xml:space="preserve"> </w:t>
      </w:r>
      <w:r w:rsidRPr="006C663D">
        <w:rPr>
          <w:rFonts w:ascii="Times New Roman" w:hAnsi="Times New Roman" w:cs="Times New Roman"/>
          <w:spacing w:val="-1"/>
          <w:sz w:val="24"/>
          <w:szCs w:val="24"/>
        </w:rPr>
        <w:t>responsible</w:t>
      </w:r>
      <w:r w:rsidRPr="006C663D">
        <w:rPr>
          <w:rFonts w:ascii="Times New Roman" w:hAnsi="Times New Roman" w:cs="Times New Roman"/>
          <w:spacing w:val="-4"/>
          <w:sz w:val="24"/>
          <w:szCs w:val="24"/>
        </w:rPr>
        <w:t xml:space="preserve"> </w:t>
      </w:r>
      <w:r w:rsidRPr="006C663D">
        <w:rPr>
          <w:rFonts w:ascii="Times New Roman" w:hAnsi="Times New Roman" w:cs="Times New Roman"/>
          <w:sz w:val="24"/>
          <w:szCs w:val="24"/>
        </w:rPr>
        <w:t>entity</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shall</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retain</w:t>
      </w:r>
      <w:r w:rsidRPr="006C663D">
        <w:rPr>
          <w:rFonts w:ascii="Times New Roman" w:hAnsi="Times New Roman" w:cs="Times New Roman"/>
          <w:spacing w:val="51"/>
          <w:sz w:val="24"/>
          <w:szCs w:val="24"/>
        </w:rPr>
        <w:t xml:space="preserve"> </w:t>
      </w:r>
      <w:r w:rsidRPr="006C663D">
        <w:rPr>
          <w:rFonts w:ascii="Times New Roman" w:hAnsi="Times New Roman" w:cs="Times New Roman"/>
          <w:spacing w:val="-1"/>
          <w:sz w:val="24"/>
          <w:szCs w:val="24"/>
        </w:rPr>
        <w:t>documentation</w:t>
      </w:r>
      <w:r w:rsidRPr="006C663D">
        <w:rPr>
          <w:rFonts w:ascii="Times New Roman" w:hAnsi="Times New Roman" w:cs="Times New Roman"/>
          <w:spacing w:val="-3"/>
          <w:sz w:val="24"/>
          <w:szCs w:val="24"/>
        </w:rPr>
        <w:t xml:space="preserve"> </w:t>
      </w:r>
      <w:r w:rsidRPr="006C663D">
        <w:rPr>
          <w:rFonts w:ascii="Times New Roman" w:hAnsi="Times New Roman" w:cs="Times New Roman"/>
          <w:sz w:val="24"/>
          <w:szCs w:val="24"/>
        </w:rPr>
        <w:t>as</w:t>
      </w:r>
      <w:r w:rsidRPr="006C663D">
        <w:rPr>
          <w:rFonts w:ascii="Times New Roman" w:hAnsi="Times New Roman" w:cs="Times New Roman"/>
          <w:spacing w:val="-5"/>
          <w:sz w:val="24"/>
          <w:szCs w:val="24"/>
        </w:rPr>
        <w:t xml:space="preserve"> </w:t>
      </w:r>
      <w:r w:rsidRPr="006C663D">
        <w:rPr>
          <w:rFonts w:ascii="Times New Roman" w:hAnsi="Times New Roman" w:cs="Times New Roman"/>
          <w:spacing w:val="-1"/>
          <w:sz w:val="24"/>
          <w:szCs w:val="24"/>
        </w:rPr>
        <w:t>evidence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for</w:t>
      </w:r>
      <w:r w:rsidRPr="006C663D">
        <w:rPr>
          <w:rFonts w:ascii="Times New Roman" w:hAnsi="Times New Roman" w:cs="Times New Roman"/>
          <w:spacing w:val="-6"/>
          <w:sz w:val="24"/>
          <w:szCs w:val="24"/>
        </w:rPr>
        <w:t xml:space="preserve"> </w:t>
      </w:r>
      <w:r w:rsidRPr="006C663D">
        <w:rPr>
          <w:rFonts w:ascii="Times New Roman" w:hAnsi="Times New Roman" w:cs="Times New Roman"/>
          <w:sz w:val="24"/>
          <w:szCs w:val="24"/>
        </w:rPr>
        <w:t>three</w:t>
      </w:r>
      <w:r w:rsidRPr="006C663D">
        <w:rPr>
          <w:rFonts w:ascii="Times New Roman" w:hAnsi="Times New Roman" w:cs="Times New Roman"/>
          <w:spacing w:val="-3"/>
          <w:sz w:val="24"/>
          <w:szCs w:val="24"/>
        </w:rPr>
        <w:t xml:space="preserve"> </w:t>
      </w:r>
      <w:r w:rsidRPr="006C663D">
        <w:rPr>
          <w:rFonts w:ascii="Times New Roman" w:hAnsi="Times New Roman" w:cs="Times New Roman"/>
          <w:spacing w:val="-1"/>
          <w:sz w:val="24"/>
          <w:szCs w:val="24"/>
        </w:rPr>
        <w:t>years.”</w:t>
      </w:r>
    </w:p>
    <w:p w14:paraId="2E0EAE1B" w14:textId="77777777" w:rsidR="00670E40" w:rsidRPr="002B2D91" w:rsidRDefault="00670E40" w:rsidP="00C60EDC">
      <w:pPr>
        <w:spacing w:after="0" w:line="240" w:lineRule="auto"/>
        <w:rPr>
          <w:rFonts w:ascii="Times New Roman" w:hAnsi="Times New Roman"/>
          <w:sz w:val="24"/>
          <w:szCs w:val="24"/>
        </w:rPr>
      </w:pPr>
    </w:p>
    <w:p w14:paraId="0439FB95" w14:textId="77777777" w:rsidR="00C60EDC" w:rsidRPr="002B2D91" w:rsidRDefault="00C60EDC" w:rsidP="00C60EDC">
      <w:pPr>
        <w:spacing w:after="0" w:line="240" w:lineRule="auto"/>
        <w:rPr>
          <w:rFonts w:ascii="Times New Roman" w:hAnsi="Times New Roman"/>
          <w:sz w:val="24"/>
          <w:szCs w:val="24"/>
          <w:highlight w:val="yellow"/>
        </w:rPr>
      </w:pPr>
      <w:r w:rsidRPr="002B2D91">
        <w:rPr>
          <w:rFonts w:ascii="Times New Roman" w:hAnsi="Times New Roman"/>
          <w:sz w:val="24"/>
          <w:szCs w:val="24"/>
        </w:rPr>
        <w:t>These special circumstances are necessary for reliability purposes.</w:t>
      </w:r>
      <w:r w:rsidR="00632E66">
        <w:rPr>
          <w:rFonts w:ascii="Times New Roman" w:hAnsi="Times New Roman"/>
          <w:sz w:val="24"/>
          <w:szCs w:val="24"/>
        </w:rPr>
        <w:t xml:space="preserve">  </w:t>
      </w:r>
      <w:r w:rsidR="00632E66" w:rsidRPr="00632E66">
        <w:rPr>
          <w:rFonts w:ascii="Times New Roman" w:hAnsi="Times New Roman"/>
          <w:sz w:val="24"/>
          <w:szCs w:val="24"/>
        </w:rPr>
        <w:t>The schedule for revisiting the GMD vulnerability assessments and corrective action plans is every 60 months (</w:t>
      </w:r>
      <w:r w:rsidR="00BD0227">
        <w:rPr>
          <w:rFonts w:ascii="Times New Roman" w:hAnsi="Times New Roman"/>
          <w:sz w:val="24"/>
          <w:szCs w:val="24"/>
        </w:rPr>
        <w:t>per</w:t>
      </w:r>
      <w:r w:rsidR="00BD0227" w:rsidRPr="00632E66">
        <w:rPr>
          <w:rFonts w:ascii="Times New Roman" w:hAnsi="Times New Roman"/>
          <w:sz w:val="24"/>
          <w:szCs w:val="24"/>
        </w:rPr>
        <w:t xml:space="preserve"> </w:t>
      </w:r>
      <w:r w:rsidR="00EF5332">
        <w:rPr>
          <w:rFonts w:ascii="Times New Roman" w:hAnsi="Times New Roman"/>
          <w:sz w:val="24"/>
          <w:szCs w:val="24"/>
        </w:rPr>
        <w:t>Requirement R4).  The</w:t>
      </w:r>
      <w:r w:rsidR="00632E66" w:rsidRPr="00632E66">
        <w:rPr>
          <w:rFonts w:ascii="Times New Roman" w:hAnsi="Times New Roman"/>
          <w:sz w:val="24"/>
          <w:szCs w:val="24"/>
        </w:rPr>
        <w:t xml:space="preserve"> retention periods essentially require evidence to be retained until updated assessments are performed.  The updates would incorporate such things as better scientific or engineering tools, changes to the electric grid topology and resources, and better mitigation measures.</w:t>
      </w:r>
    </w:p>
    <w:p w14:paraId="3F753854" w14:textId="77777777" w:rsidR="00EB3E6F" w:rsidRPr="00B16372" w:rsidRDefault="00EB3E6F" w:rsidP="0092596C">
      <w:pPr>
        <w:spacing w:after="0" w:line="240" w:lineRule="auto"/>
        <w:rPr>
          <w:rFonts w:ascii="Times New Roman" w:hAnsi="Times New Roman" w:cs="Times New Roman"/>
          <w:sz w:val="24"/>
          <w:szCs w:val="24"/>
        </w:rPr>
      </w:pPr>
    </w:p>
    <w:p w14:paraId="0EFEC702"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5F255F0F" w14:textId="77777777" w:rsidR="00797FBB" w:rsidRDefault="00797FBB" w:rsidP="0092596C">
      <w:pPr>
        <w:spacing w:after="0" w:line="240" w:lineRule="auto"/>
        <w:rPr>
          <w:rFonts w:ascii="Times New Roman" w:hAnsi="Times New Roman"/>
          <w:bCs/>
          <w:sz w:val="24"/>
          <w:szCs w:val="24"/>
        </w:rPr>
      </w:pPr>
    </w:p>
    <w:p w14:paraId="37BC994B" w14:textId="77777777" w:rsidR="0072126E" w:rsidRDefault="0072126E" w:rsidP="0092596C">
      <w:pPr>
        <w:spacing w:after="0" w:line="240" w:lineRule="auto"/>
        <w:rPr>
          <w:rFonts w:ascii="Times New Roman" w:hAnsi="Times New Roman"/>
          <w:bCs/>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w:t>
      </w:r>
      <w:r w:rsidR="00326E9D">
        <w:rPr>
          <w:rFonts w:ascii="Times New Roman" w:hAnsi="Times New Roman"/>
          <w:bCs/>
          <w:sz w:val="24"/>
          <w:szCs w:val="24"/>
        </w:rPr>
        <w:t>omments, with the final</w:t>
      </w:r>
      <w:r w:rsidRPr="00B16372">
        <w:rPr>
          <w:rFonts w:ascii="Times New Roman" w:hAnsi="Times New Roman"/>
          <w:bCs/>
          <w:sz w:val="24"/>
          <w:szCs w:val="24"/>
        </w:rPr>
        <w:t xml:space="preserve"> standard submitted to the </w:t>
      </w:r>
      <w:r w:rsidR="00CC22DB">
        <w:rPr>
          <w:rFonts w:ascii="Times New Roman" w:hAnsi="Times New Roman"/>
          <w:bCs/>
          <w:sz w:val="24"/>
          <w:szCs w:val="24"/>
        </w:rPr>
        <w:t>Commission</w:t>
      </w:r>
      <w:r w:rsidR="00CC22DB" w:rsidRPr="00B16372">
        <w:rPr>
          <w:rFonts w:ascii="Times New Roman" w:hAnsi="Times New Roman"/>
          <w:bCs/>
          <w:sz w:val="24"/>
          <w:szCs w:val="24"/>
        </w:rPr>
        <w:t xml:space="preserve"> </w:t>
      </w:r>
      <w:r w:rsidRPr="00B16372">
        <w:rPr>
          <w:rFonts w:ascii="Times New Roman" w:hAnsi="Times New Roman"/>
          <w:bCs/>
          <w:sz w:val="24"/>
          <w:szCs w:val="24"/>
        </w:rPr>
        <w:t>for review and approval.</w:t>
      </w:r>
      <w:r w:rsidRPr="00B16372">
        <w:rPr>
          <w:rFonts w:ascii="Times New Roman" w:hAnsi="Times New Roman"/>
          <w:b/>
          <w:bCs/>
          <w:sz w:val="24"/>
          <w:szCs w:val="24"/>
          <w:vertAlign w:val="superscript"/>
        </w:rPr>
        <w:footnoteReference w:id="10"/>
      </w:r>
      <w:r w:rsidRPr="00B16372">
        <w:rPr>
          <w:rFonts w:ascii="Times New Roman" w:hAnsi="Times New Roman"/>
          <w:bCs/>
          <w:sz w:val="24"/>
          <w:szCs w:val="24"/>
        </w:rPr>
        <w:t xml:space="preserve">  In addition, each FERC rulemaking (both proposed and final rules) is published in the </w:t>
      </w:r>
      <w:r w:rsidRPr="00797FBB">
        <w:rPr>
          <w:rFonts w:ascii="Times New Roman" w:hAnsi="Times New Roman"/>
          <w:bCs/>
          <w:sz w:val="24"/>
          <w:szCs w:val="24"/>
        </w:rPr>
        <w:t>Federal Register</w:t>
      </w:r>
      <w:r w:rsidRPr="00B16372">
        <w:rPr>
          <w:rFonts w:ascii="Times New Roman" w:hAnsi="Times New Roman"/>
          <w:bCs/>
          <w:sz w:val="24"/>
          <w:szCs w:val="24"/>
        </w:rPr>
        <w:t>, thereby providing public utilities and licensees, state commissions, Federal agencies, and other interested parties an opportunity to submit data, views, comments or suggestions concerning t</w:t>
      </w:r>
      <w:r w:rsidR="00326E9D">
        <w:rPr>
          <w:rFonts w:ascii="Times New Roman" w:hAnsi="Times New Roman"/>
          <w:bCs/>
          <w:sz w:val="24"/>
          <w:szCs w:val="24"/>
        </w:rPr>
        <w:t>he approved</w:t>
      </w:r>
      <w:r w:rsidR="00797FBB">
        <w:rPr>
          <w:rFonts w:ascii="Times New Roman" w:hAnsi="Times New Roman"/>
          <w:bCs/>
          <w:sz w:val="24"/>
          <w:szCs w:val="24"/>
        </w:rPr>
        <w:t xml:space="preserve"> collection of data.</w:t>
      </w:r>
    </w:p>
    <w:p w14:paraId="595199BA" w14:textId="77777777" w:rsidR="007E4D53" w:rsidRDefault="007E4D53" w:rsidP="0092596C">
      <w:pPr>
        <w:spacing w:after="0" w:line="240" w:lineRule="auto"/>
        <w:rPr>
          <w:rFonts w:ascii="Times New Roman" w:hAnsi="Times New Roman"/>
          <w:bCs/>
          <w:sz w:val="24"/>
          <w:szCs w:val="24"/>
        </w:rPr>
      </w:pPr>
    </w:p>
    <w:p w14:paraId="2A83595A" w14:textId="77777777" w:rsidR="007E4D53" w:rsidRDefault="007E4D53" w:rsidP="0092596C">
      <w:pPr>
        <w:spacing w:after="0" w:line="240" w:lineRule="auto"/>
        <w:rPr>
          <w:rFonts w:ascii="Times New Roman" w:hAnsi="Times New Roman"/>
          <w:bCs/>
          <w:sz w:val="24"/>
          <w:szCs w:val="24"/>
        </w:rPr>
      </w:pPr>
      <w:r>
        <w:rPr>
          <w:rFonts w:ascii="Times New Roman" w:hAnsi="Times New Roman"/>
          <w:bCs/>
          <w:sz w:val="24"/>
          <w:szCs w:val="24"/>
        </w:rPr>
        <w:t>NERC submitted a Petition</w:t>
      </w:r>
      <w:r w:rsidRPr="00CC22DB">
        <w:rPr>
          <w:rStyle w:val="FootnoteReference"/>
          <w:rFonts w:ascii="Times New Roman" w:hAnsi="Times New Roman"/>
          <w:bCs/>
          <w:sz w:val="24"/>
          <w:szCs w:val="24"/>
          <w:vertAlign w:val="superscript"/>
        </w:rPr>
        <w:footnoteReference w:id="11"/>
      </w:r>
      <w:r>
        <w:rPr>
          <w:rFonts w:ascii="Times New Roman" w:hAnsi="Times New Roman"/>
          <w:bCs/>
          <w:sz w:val="24"/>
          <w:szCs w:val="24"/>
        </w:rPr>
        <w:t xml:space="preserve"> on 1/22/2018 to the Commission requesting Commission approval of the proposed standard. </w:t>
      </w:r>
    </w:p>
    <w:p w14:paraId="0C0790F0" w14:textId="77777777" w:rsidR="00973C3A" w:rsidRDefault="00973C3A" w:rsidP="0092596C">
      <w:pPr>
        <w:spacing w:after="0" w:line="240" w:lineRule="auto"/>
        <w:rPr>
          <w:rFonts w:ascii="Times New Roman" w:hAnsi="Times New Roman"/>
          <w:bCs/>
          <w:sz w:val="24"/>
          <w:szCs w:val="24"/>
        </w:rPr>
      </w:pPr>
    </w:p>
    <w:p w14:paraId="1950065B" w14:textId="77777777" w:rsidR="00973C3A" w:rsidRDefault="007E4D53" w:rsidP="0092596C">
      <w:pPr>
        <w:spacing w:after="0" w:line="240" w:lineRule="auto"/>
        <w:rPr>
          <w:rFonts w:ascii="Times New Roman" w:hAnsi="Times New Roman"/>
          <w:sz w:val="24"/>
          <w:szCs w:val="24"/>
        </w:rPr>
      </w:pPr>
      <w:r>
        <w:rPr>
          <w:rFonts w:ascii="Times New Roman" w:hAnsi="Times New Roman"/>
          <w:sz w:val="24"/>
          <w:szCs w:val="24"/>
        </w:rPr>
        <w:t xml:space="preserve">In </w:t>
      </w:r>
      <w:r w:rsidR="00D63DF6">
        <w:rPr>
          <w:rFonts w:ascii="Times New Roman" w:hAnsi="Times New Roman"/>
          <w:sz w:val="24"/>
          <w:szCs w:val="24"/>
        </w:rPr>
        <w:t xml:space="preserve">the </w:t>
      </w:r>
      <w:r>
        <w:rPr>
          <w:rFonts w:ascii="Times New Roman" w:hAnsi="Times New Roman"/>
          <w:sz w:val="24"/>
          <w:szCs w:val="24"/>
        </w:rPr>
        <w:t>NOPR in Docket N</w:t>
      </w:r>
      <w:r w:rsidR="00F44F87">
        <w:rPr>
          <w:rFonts w:ascii="Times New Roman" w:hAnsi="Times New Roman"/>
          <w:sz w:val="24"/>
          <w:szCs w:val="24"/>
        </w:rPr>
        <w:t>o</w:t>
      </w:r>
      <w:r>
        <w:rPr>
          <w:rFonts w:ascii="Times New Roman" w:hAnsi="Times New Roman"/>
          <w:sz w:val="24"/>
          <w:szCs w:val="24"/>
        </w:rPr>
        <w:t>. RM18-8</w:t>
      </w:r>
      <w:r w:rsidR="00A11112">
        <w:rPr>
          <w:rFonts w:ascii="Times New Roman" w:hAnsi="Times New Roman"/>
          <w:sz w:val="24"/>
          <w:szCs w:val="24"/>
        </w:rPr>
        <w:t xml:space="preserve"> (issued 5/17/2018)</w:t>
      </w:r>
      <w:r>
        <w:rPr>
          <w:rFonts w:ascii="Times New Roman" w:hAnsi="Times New Roman"/>
          <w:sz w:val="24"/>
          <w:szCs w:val="24"/>
        </w:rPr>
        <w:t>, t</w:t>
      </w:r>
      <w:r w:rsidR="00973C3A" w:rsidRPr="00973C3A">
        <w:rPr>
          <w:rFonts w:ascii="Times New Roman" w:hAnsi="Times New Roman"/>
          <w:sz w:val="24"/>
          <w:szCs w:val="24"/>
        </w:rPr>
        <w:t xml:space="preserve">he Commission </w:t>
      </w:r>
      <w:r>
        <w:rPr>
          <w:rFonts w:ascii="Times New Roman" w:hAnsi="Times New Roman"/>
          <w:sz w:val="24"/>
          <w:szCs w:val="24"/>
        </w:rPr>
        <w:t>solicit</w:t>
      </w:r>
      <w:r w:rsidR="00BD0227">
        <w:rPr>
          <w:rFonts w:ascii="Times New Roman" w:hAnsi="Times New Roman"/>
          <w:sz w:val="24"/>
          <w:szCs w:val="24"/>
        </w:rPr>
        <w:t>ed</w:t>
      </w:r>
      <w:r>
        <w:rPr>
          <w:rFonts w:ascii="Times New Roman" w:hAnsi="Times New Roman"/>
          <w:sz w:val="24"/>
          <w:szCs w:val="24"/>
        </w:rPr>
        <w:t xml:space="preserve"> public comments and </w:t>
      </w:r>
      <w:r w:rsidR="00BD0227">
        <w:rPr>
          <w:rFonts w:ascii="Times New Roman" w:hAnsi="Times New Roman"/>
          <w:sz w:val="24"/>
          <w:szCs w:val="24"/>
        </w:rPr>
        <w:t xml:space="preserve">proposed </w:t>
      </w:r>
      <w:r>
        <w:rPr>
          <w:rFonts w:ascii="Times New Roman" w:hAnsi="Times New Roman"/>
          <w:sz w:val="24"/>
          <w:szCs w:val="24"/>
        </w:rPr>
        <w:t xml:space="preserve">to approve the draft </w:t>
      </w:r>
      <w:r w:rsidR="00135CDC">
        <w:rPr>
          <w:rFonts w:ascii="Times New Roman" w:hAnsi="Times New Roman"/>
          <w:sz w:val="24"/>
          <w:szCs w:val="24"/>
        </w:rPr>
        <w:t xml:space="preserve">Reliability Standard </w:t>
      </w:r>
      <w:r>
        <w:rPr>
          <w:rFonts w:ascii="Times New Roman" w:hAnsi="Times New Roman"/>
          <w:sz w:val="24"/>
          <w:szCs w:val="24"/>
        </w:rPr>
        <w:t>TPL-007-2</w:t>
      </w:r>
      <w:r w:rsidR="000202FD">
        <w:rPr>
          <w:rFonts w:ascii="Times New Roman" w:hAnsi="Times New Roman"/>
          <w:sz w:val="24"/>
          <w:szCs w:val="24"/>
        </w:rPr>
        <w:t xml:space="preserve">.  The NOPR </w:t>
      </w:r>
      <w:r w:rsidR="001B6800">
        <w:rPr>
          <w:rFonts w:ascii="Times New Roman" w:hAnsi="Times New Roman"/>
          <w:sz w:val="24"/>
          <w:szCs w:val="24"/>
        </w:rPr>
        <w:t>was</w:t>
      </w:r>
      <w:r w:rsidR="000202FD">
        <w:rPr>
          <w:rFonts w:ascii="Times New Roman" w:hAnsi="Times New Roman"/>
          <w:sz w:val="24"/>
          <w:szCs w:val="24"/>
        </w:rPr>
        <w:t xml:space="preserve"> published in the Federal Register</w:t>
      </w:r>
      <w:r w:rsidR="000C710E">
        <w:rPr>
          <w:rFonts w:ascii="Times New Roman" w:hAnsi="Times New Roman"/>
          <w:sz w:val="24"/>
          <w:szCs w:val="24"/>
        </w:rPr>
        <w:t xml:space="preserve"> on 5/23/2018</w:t>
      </w:r>
      <w:r w:rsidR="001B6800">
        <w:rPr>
          <w:rFonts w:ascii="Times New Roman" w:hAnsi="Times New Roman"/>
          <w:sz w:val="24"/>
          <w:szCs w:val="24"/>
        </w:rPr>
        <w:t xml:space="preserve"> (83 FR 23854)</w:t>
      </w:r>
      <w:r w:rsidR="000202FD">
        <w:rPr>
          <w:rFonts w:ascii="Times New Roman" w:hAnsi="Times New Roman"/>
          <w:sz w:val="24"/>
          <w:szCs w:val="24"/>
        </w:rPr>
        <w:t>.</w:t>
      </w:r>
      <w:r w:rsidR="00D63DF6">
        <w:rPr>
          <w:rFonts w:ascii="Times New Roman" w:hAnsi="Times New Roman"/>
          <w:sz w:val="24"/>
          <w:szCs w:val="24"/>
        </w:rPr>
        <w:t xml:space="preserve">  </w:t>
      </w:r>
      <w:r w:rsidR="00582492">
        <w:rPr>
          <w:rFonts w:ascii="Times New Roman" w:hAnsi="Times New Roman"/>
          <w:sz w:val="24"/>
          <w:szCs w:val="24"/>
        </w:rPr>
        <w:t>There were no PRA-related c</w:t>
      </w:r>
      <w:r w:rsidR="00D63DF6">
        <w:rPr>
          <w:rFonts w:ascii="Times New Roman" w:hAnsi="Times New Roman"/>
          <w:sz w:val="24"/>
          <w:szCs w:val="24"/>
        </w:rPr>
        <w:t>omments received on the NOPR</w:t>
      </w:r>
      <w:r w:rsidR="00582492">
        <w:rPr>
          <w:rFonts w:ascii="Times New Roman" w:hAnsi="Times New Roman"/>
          <w:sz w:val="24"/>
          <w:szCs w:val="24"/>
        </w:rPr>
        <w:t>; all comments</w:t>
      </w:r>
      <w:r w:rsidR="00D63DF6">
        <w:rPr>
          <w:rFonts w:ascii="Times New Roman" w:hAnsi="Times New Roman"/>
          <w:sz w:val="24"/>
          <w:szCs w:val="24"/>
        </w:rPr>
        <w:t xml:space="preserve"> are summarized and addressed in the Final Rule.  </w:t>
      </w:r>
    </w:p>
    <w:p w14:paraId="2E108942" w14:textId="77777777" w:rsidR="005855F9" w:rsidRDefault="005855F9" w:rsidP="0092596C">
      <w:pPr>
        <w:spacing w:after="0" w:line="240" w:lineRule="auto"/>
        <w:rPr>
          <w:rFonts w:ascii="Times New Roman" w:hAnsi="Times New Roman"/>
          <w:sz w:val="24"/>
          <w:szCs w:val="24"/>
        </w:rPr>
      </w:pPr>
    </w:p>
    <w:p w14:paraId="4B6E654B" w14:textId="77777777" w:rsidR="005855F9" w:rsidRDefault="005855F9" w:rsidP="0092596C">
      <w:pPr>
        <w:spacing w:after="0" w:line="240" w:lineRule="auto"/>
        <w:rPr>
          <w:rFonts w:ascii="Times New Roman" w:hAnsi="Times New Roman"/>
          <w:sz w:val="24"/>
          <w:szCs w:val="24"/>
        </w:rPr>
      </w:pPr>
      <w:r>
        <w:rPr>
          <w:rFonts w:ascii="Times New Roman" w:hAnsi="Times New Roman"/>
          <w:sz w:val="24"/>
          <w:szCs w:val="24"/>
        </w:rPr>
        <w:t>The Final Rule is being published in the Federal Register.</w:t>
      </w:r>
    </w:p>
    <w:p w14:paraId="6530D08D" w14:textId="77777777" w:rsidR="005462C0" w:rsidRPr="00B16372" w:rsidRDefault="005462C0" w:rsidP="0092596C">
      <w:pPr>
        <w:spacing w:after="0" w:line="240" w:lineRule="auto"/>
        <w:rPr>
          <w:rFonts w:ascii="Times New Roman" w:hAnsi="Times New Roman" w:cs="Times New Roman"/>
          <w:sz w:val="24"/>
          <w:szCs w:val="24"/>
        </w:rPr>
      </w:pPr>
    </w:p>
    <w:p w14:paraId="1CBD970D" w14:textId="77777777"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3058A1CB" w14:textId="77777777" w:rsidR="00D80FBD" w:rsidRPr="00B16372" w:rsidRDefault="00D80FBD" w:rsidP="0092596C">
      <w:pPr>
        <w:spacing w:after="0" w:line="240" w:lineRule="auto"/>
        <w:rPr>
          <w:rFonts w:ascii="Times New Roman" w:hAnsi="Times New Roman" w:cs="Times New Roman"/>
          <w:sz w:val="24"/>
          <w:szCs w:val="24"/>
        </w:rPr>
      </w:pPr>
    </w:p>
    <w:p w14:paraId="5343BAF1" w14:textId="7777777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6867935A" w14:textId="77777777" w:rsidR="00D80FBD" w:rsidRPr="00B16372" w:rsidRDefault="00D80FBD" w:rsidP="0092596C">
      <w:pPr>
        <w:spacing w:after="0" w:line="240" w:lineRule="auto"/>
        <w:rPr>
          <w:rFonts w:ascii="Times New Roman" w:hAnsi="Times New Roman" w:cs="Times New Roman"/>
          <w:sz w:val="24"/>
          <w:szCs w:val="24"/>
        </w:rPr>
      </w:pPr>
    </w:p>
    <w:p w14:paraId="688CE1CC"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7FBF43D8" w14:textId="77777777" w:rsidR="00DF19E8" w:rsidRDefault="00DF19E8" w:rsidP="0092596C">
      <w:pPr>
        <w:spacing w:after="0" w:line="240" w:lineRule="auto"/>
        <w:rPr>
          <w:rFonts w:ascii="Times New Roman" w:hAnsi="Times New Roman" w:cs="Times New Roman"/>
          <w:sz w:val="24"/>
          <w:szCs w:val="24"/>
        </w:rPr>
      </w:pPr>
    </w:p>
    <w:p w14:paraId="679AB585" w14:textId="77777777" w:rsidR="00E7335D" w:rsidRPr="00E7335D" w:rsidRDefault="00E7335D" w:rsidP="00E7335D">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According to t</w:t>
      </w:r>
      <w:r w:rsidR="007C0DC7">
        <w:rPr>
          <w:rFonts w:ascii="Times New Roman" w:hAnsi="Times New Roman" w:cs="Times New Roman"/>
          <w:sz w:val="24"/>
          <w:szCs w:val="24"/>
        </w:rPr>
        <w:t>he NERC Rule of Procedure 1502,</w:t>
      </w:r>
      <w:r w:rsidRPr="00E7335D">
        <w:rPr>
          <w:rFonts w:ascii="Times New Roman" w:hAnsi="Times New Roman" w:cs="Times New Roman"/>
          <w:sz w:val="24"/>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532997E" w14:textId="77777777" w:rsidR="00E7335D" w:rsidRPr="00E7335D" w:rsidRDefault="00E7335D" w:rsidP="00E7335D">
      <w:pPr>
        <w:spacing w:after="0" w:line="240" w:lineRule="auto"/>
        <w:rPr>
          <w:rFonts w:ascii="Times New Roman" w:hAnsi="Times New Roman" w:cs="Times New Roman"/>
          <w:sz w:val="24"/>
          <w:szCs w:val="24"/>
        </w:rPr>
      </w:pPr>
    </w:p>
    <w:p w14:paraId="71373902" w14:textId="77777777" w:rsidR="00D80FBD" w:rsidRDefault="00E7335D" w:rsidP="0092596C">
      <w:pPr>
        <w:spacing w:after="0" w:line="240" w:lineRule="auto"/>
        <w:rPr>
          <w:rFonts w:ascii="Times New Roman" w:hAnsi="Times New Roman" w:cs="Times New Roman"/>
          <w:sz w:val="24"/>
          <w:szCs w:val="24"/>
        </w:rPr>
      </w:pPr>
      <w:r w:rsidRPr="00E7335D">
        <w:rPr>
          <w:rFonts w:ascii="Times New Roman" w:hAnsi="Times New Roman" w:cs="Times New Roman"/>
          <w:sz w:val="24"/>
          <w:szCs w:val="24"/>
        </w:rPr>
        <w:t>Responding entities do not submit the information collected under the approved Reliability Standard to FERC.  Rather, they maintain it internally</w:t>
      </w:r>
      <w:r w:rsidR="00CC22DB">
        <w:rPr>
          <w:rFonts w:ascii="Times New Roman" w:hAnsi="Times New Roman" w:cs="Times New Roman"/>
          <w:sz w:val="24"/>
          <w:szCs w:val="24"/>
        </w:rPr>
        <w:t xml:space="preserve"> or provide it to NERC or the Regional Entities</w:t>
      </w:r>
      <w:r w:rsidRPr="00E7335D">
        <w:rPr>
          <w:rFonts w:ascii="Times New Roman" w:hAnsi="Times New Roman" w:cs="Times New Roman"/>
          <w:sz w:val="24"/>
          <w:szCs w:val="24"/>
        </w:rPr>
        <w:t xml:space="preserve">.  Since there are no </w:t>
      </w:r>
      <w:r w:rsidR="00CC22DB" w:rsidRPr="00E7335D">
        <w:rPr>
          <w:rFonts w:ascii="Times New Roman" w:hAnsi="Times New Roman" w:cs="Times New Roman"/>
          <w:sz w:val="24"/>
          <w:szCs w:val="24"/>
        </w:rPr>
        <w:t>submi</w:t>
      </w:r>
      <w:r w:rsidR="00CC22DB">
        <w:rPr>
          <w:rFonts w:ascii="Times New Roman" w:hAnsi="Times New Roman" w:cs="Times New Roman"/>
          <w:sz w:val="24"/>
          <w:szCs w:val="24"/>
        </w:rPr>
        <w:t>ttals</w:t>
      </w:r>
      <w:r w:rsidR="00CC22DB" w:rsidRPr="00E7335D">
        <w:rPr>
          <w:rFonts w:ascii="Times New Roman" w:hAnsi="Times New Roman" w:cs="Times New Roman"/>
          <w:sz w:val="24"/>
          <w:szCs w:val="24"/>
        </w:rPr>
        <w:t xml:space="preserve"> </w:t>
      </w:r>
      <w:r w:rsidRPr="00E7335D">
        <w:rPr>
          <w:rFonts w:ascii="Times New Roman" w:hAnsi="Times New Roman" w:cs="Times New Roman"/>
          <w:sz w:val="24"/>
          <w:szCs w:val="24"/>
        </w:rPr>
        <w:t xml:space="preserve">made to </w:t>
      </w:r>
      <w:r w:rsidR="00CC22DB">
        <w:rPr>
          <w:rFonts w:ascii="Times New Roman" w:hAnsi="Times New Roman" w:cs="Times New Roman"/>
          <w:sz w:val="24"/>
          <w:szCs w:val="24"/>
        </w:rPr>
        <w:t>the Commission</w:t>
      </w:r>
      <w:r w:rsidRPr="00E7335D">
        <w:rPr>
          <w:rFonts w:ascii="Times New Roman" w:hAnsi="Times New Roman" w:cs="Times New Roman"/>
          <w:sz w:val="24"/>
          <w:szCs w:val="24"/>
        </w:rPr>
        <w:t xml:space="preserve">, FERC provides no specific provisions in order to protect confidentiality unless and until any such information is submitted to FERC as part of an enforcement action or other compliance review. </w:t>
      </w:r>
    </w:p>
    <w:p w14:paraId="6E92F171" w14:textId="77777777" w:rsidR="00E7335D" w:rsidRPr="00B16372" w:rsidRDefault="00E7335D" w:rsidP="0092596C">
      <w:pPr>
        <w:spacing w:after="0" w:line="240" w:lineRule="auto"/>
        <w:rPr>
          <w:rFonts w:ascii="Times New Roman" w:hAnsi="Times New Roman" w:cs="Times New Roman"/>
          <w:sz w:val="24"/>
          <w:szCs w:val="24"/>
        </w:rPr>
      </w:pPr>
    </w:p>
    <w:p w14:paraId="164575AA" w14:textId="77777777" w:rsidR="00D80FBD" w:rsidRPr="00B16372" w:rsidRDefault="007C7E1D" w:rsidP="0092596C">
      <w:pPr>
        <w:pStyle w:val="ListParagraph"/>
        <w:numPr>
          <w:ilvl w:val="0"/>
          <w:numId w:val="1"/>
        </w:numPr>
        <w:spacing w:after="0" w:line="240" w:lineRule="auto"/>
        <w:ind w:left="360"/>
        <w:rPr>
          <w:rFonts w:ascii="Times New Roman" w:hAnsi="Times New Roman" w:cs="Times New Roman"/>
          <w:b/>
          <w:sz w:val="24"/>
          <w:szCs w:val="24"/>
        </w:rPr>
      </w:pPr>
      <w:r w:rsidRPr="0051745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01BFA6BF" w14:textId="77777777" w:rsidR="00D80FBD" w:rsidRPr="00B16372" w:rsidRDefault="00D80FBD" w:rsidP="0092596C">
      <w:pPr>
        <w:spacing w:after="0" w:line="240" w:lineRule="auto"/>
        <w:rPr>
          <w:rFonts w:ascii="Times New Roman" w:hAnsi="Times New Roman" w:cs="Times New Roman"/>
          <w:sz w:val="24"/>
          <w:szCs w:val="24"/>
        </w:rPr>
      </w:pPr>
    </w:p>
    <w:p w14:paraId="306C9267" w14:textId="77777777"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503948EB" w14:textId="77777777" w:rsidR="00D80FBD" w:rsidRPr="00B16372" w:rsidRDefault="00D80FBD" w:rsidP="0092596C">
      <w:pPr>
        <w:spacing w:after="0" w:line="240" w:lineRule="auto"/>
        <w:rPr>
          <w:rFonts w:ascii="Times New Roman" w:hAnsi="Times New Roman" w:cs="Times New Roman"/>
          <w:sz w:val="24"/>
          <w:szCs w:val="24"/>
        </w:rPr>
      </w:pPr>
    </w:p>
    <w:p w14:paraId="40AF4580"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1F0A0915" w14:textId="77777777" w:rsidR="00A4336A" w:rsidRPr="00B16372" w:rsidRDefault="00A4336A" w:rsidP="0092596C">
      <w:pPr>
        <w:spacing w:after="0" w:line="240" w:lineRule="auto"/>
        <w:rPr>
          <w:rFonts w:ascii="Times New Roman" w:hAnsi="Times New Roman" w:cs="Times New Roman"/>
          <w:sz w:val="24"/>
          <w:szCs w:val="24"/>
        </w:rPr>
      </w:pPr>
    </w:p>
    <w:p w14:paraId="5F0B2C57" w14:textId="77777777" w:rsidR="0058558B"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 xml:space="preserve">The Commission estimates the </w:t>
      </w:r>
      <w:r w:rsidR="00CC22DB">
        <w:rPr>
          <w:rFonts w:ascii="Times New Roman" w:hAnsi="Times New Roman" w:cs="Times New Roman"/>
          <w:sz w:val="24"/>
          <w:szCs w:val="24"/>
        </w:rPr>
        <w:t>burden and cost</w:t>
      </w:r>
      <w:r w:rsidR="00F64AE2" w:rsidRPr="00EE4B53">
        <w:rPr>
          <w:rStyle w:val="FootnoteReference"/>
          <w:rFonts w:ascii="Times New Roman" w:hAnsi="Times New Roman" w:cs="Times New Roman"/>
          <w:sz w:val="24"/>
          <w:szCs w:val="24"/>
          <w:vertAlign w:val="superscript"/>
        </w:rPr>
        <w:footnoteReference w:id="12"/>
      </w:r>
      <w:r w:rsidRPr="0073268A">
        <w:rPr>
          <w:rFonts w:ascii="Times New Roman" w:hAnsi="Times New Roman" w:cs="Times New Roman"/>
          <w:sz w:val="24"/>
          <w:szCs w:val="24"/>
        </w:rPr>
        <w:t xml:space="preserve"> for this information collection as</w:t>
      </w:r>
      <w:r w:rsidR="00851BC4">
        <w:rPr>
          <w:rFonts w:ascii="Times New Roman" w:hAnsi="Times New Roman" w:cs="Times New Roman"/>
          <w:sz w:val="24"/>
          <w:szCs w:val="24"/>
        </w:rPr>
        <w:t xml:space="preserve"> follows.</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369"/>
        <w:gridCol w:w="1370"/>
        <w:gridCol w:w="1369"/>
        <w:gridCol w:w="1370"/>
        <w:gridCol w:w="1369"/>
        <w:gridCol w:w="1370"/>
      </w:tblGrid>
      <w:tr w:rsidR="00425E13" w:rsidRPr="00135762" w14:paraId="6C92BDB2" w14:textId="77777777" w:rsidTr="004F18C0">
        <w:tc>
          <w:tcPr>
            <w:tcW w:w="9586" w:type="dxa"/>
            <w:gridSpan w:val="7"/>
            <w:shd w:val="clear" w:color="auto" w:fill="D9D9D9"/>
          </w:tcPr>
          <w:p w14:paraId="37D11EAE"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FERC-725N, Changes Due to Final Rule in Docket No. RM18-8</w:t>
            </w:r>
            <w:r w:rsidRPr="00135762">
              <w:rPr>
                <w:rStyle w:val="FootnoteReference"/>
                <w:sz w:val="24"/>
                <w:vertAlign w:val="superscript"/>
              </w:rPr>
              <w:footnoteReference w:id="13"/>
            </w:r>
            <w:r w:rsidRPr="00135762">
              <w:rPr>
                <w:b/>
                <w:sz w:val="24"/>
                <w:vertAlign w:val="superscript"/>
              </w:rPr>
              <w:t xml:space="preserve">, </w:t>
            </w:r>
            <w:r w:rsidRPr="00135762">
              <w:rPr>
                <w:rStyle w:val="FootnoteReference"/>
                <w:sz w:val="24"/>
                <w:vertAlign w:val="superscript"/>
              </w:rPr>
              <w:footnoteReference w:id="14"/>
            </w:r>
          </w:p>
        </w:tc>
      </w:tr>
      <w:tr w:rsidR="00425E13" w:rsidRPr="00135762" w14:paraId="5FAB8B37" w14:textId="77777777" w:rsidTr="004F18C0">
        <w:tc>
          <w:tcPr>
            <w:tcW w:w="1369" w:type="dxa"/>
            <w:shd w:val="clear" w:color="auto" w:fill="D9D9D9"/>
            <w:vAlign w:val="bottom"/>
          </w:tcPr>
          <w:p w14:paraId="54843EA3"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Requirement (R)</w:t>
            </w:r>
          </w:p>
        </w:tc>
        <w:tc>
          <w:tcPr>
            <w:tcW w:w="1369" w:type="dxa"/>
            <w:shd w:val="clear" w:color="auto" w:fill="D9D9D9"/>
            <w:vAlign w:val="bottom"/>
          </w:tcPr>
          <w:p w14:paraId="7063DF7C"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Number and Type of Respondents</w:t>
            </w:r>
          </w:p>
          <w:p w14:paraId="428183F2"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(1)</w:t>
            </w:r>
          </w:p>
        </w:tc>
        <w:tc>
          <w:tcPr>
            <w:tcW w:w="1370" w:type="dxa"/>
            <w:shd w:val="clear" w:color="auto" w:fill="D9D9D9"/>
            <w:vAlign w:val="bottom"/>
          </w:tcPr>
          <w:p w14:paraId="7DAFA3F7"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 xml:space="preserve">Annual Number of Responses Per Respondent </w:t>
            </w:r>
          </w:p>
          <w:p w14:paraId="56323EC1"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(2)</w:t>
            </w:r>
          </w:p>
        </w:tc>
        <w:tc>
          <w:tcPr>
            <w:tcW w:w="1369" w:type="dxa"/>
            <w:shd w:val="clear" w:color="auto" w:fill="D9D9D9"/>
            <w:vAlign w:val="bottom"/>
          </w:tcPr>
          <w:p w14:paraId="609E4E0C"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Total No. of Responses</w:t>
            </w:r>
          </w:p>
          <w:p w14:paraId="34251DB1"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(1)X(2)=(3)</w:t>
            </w:r>
          </w:p>
        </w:tc>
        <w:tc>
          <w:tcPr>
            <w:tcW w:w="1370" w:type="dxa"/>
            <w:shd w:val="clear" w:color="auto" w:fill="D9D9D9"/>
            <w:vAlign w:val="bottom"/>
          </w:tcPr>
          <w:p w14:paraId="0EF0E865"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Average Burden Hrs. &amp; Cost per Response</w:t>
            </w:r>
          </w:p>
          <w:p w14:paraId="4B101D0B"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(4)</w:t>
            </w:r>
          </w:p>
        </w:tc>
        <w:tc>
          <w:tcPr>
            <w:tcW w:w="1369" w:type="dxa"/>
            <w:shd w:val="clear" w:color="auto" w:fill="D9D9D9"/>
            <w:vAlign w:val="bottom"/>
          </w:tcPr>
          <w:p w14:paraId="44370B3C"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Total Annual Burden Hrs. &amp; Total Annual Cost (rounded)</w:t>
            </w:r>
          </w:p>
          <w:p w14:paraId="0EB6C747" w14:textId="77777777" w:rsidR="00425E13" w:rsidRPr="00135762" w:rsidRDefault="00425E13" w:rsidP="004F18C0">
            <w:pPr>
              <w:pStyle w:val="FERCparanumber"/>
              <w:numPr>
                <w:ilvl w:val="0"/>
                <w:numId w:val="0"/>
              </w:numPr>
              <w:spacing w:line="240" w:lineRule="auto"/>
              <w:jc w:val="center"/>
              <w:rPr>
                <w:b/>
                <w:sz w:val="24"/>
              </w:rPr>
            </w:pPr>
            <w:r w:rsidRPr="00135762">
              <w:rPr>
                <w:b/>
                <w:sz w:val="24"/>
              </w:rPr>
              <w:t>(3)X(4)=(5)</w:t>
            </w:r>
          </w:p>
        </w:tc>
        <w:tc>
          <w:tcPr>
            <w:tcW w:w="1370" w:type="dxa"/>
            <w:shd w:val="clear" w:color="auto" w:fill="D9D9D9"/>
            <w:vAlign w:val="bottom"/>
          </w:tcPr>
          <w:p w14:paraId="1507B767" w14:textId="77777777" w:rsidR="00425E13" w:rsidRPr="00135762" w:rsidRDefault="00425E13" w:rsidP="004F18C0">
            <w:pPr>
              <w:tabs>
                <w:tab w:val="num" w:pos="720"/>
              </w:tabs>
              <w:jc w:val="center"/>
              <w:rPr>
                <w:rFonts w:ascii="Times New Roman" w:eastAsia="Calibri" w:hAnsi="Times New Roman" w:cs="Times New Roman"/>
                <w:b/>
                <w:sz w:val="24"/>
                <w:szCs w:val="24"/>
              </w:rPr>
            </w:pPr>
            <w:r w:rsidRPr="00135762">
              <w:rPr>
                <w:rFonts w:ascii="Times New Roman" w:eastAsia="Calibri" w:hAnsi="Times New Roman" w:cs="Times New Roman"/>
                <w:b/>
                <w:sz w:val="24"/>
                <w:szCs w:val="24"/>
              </w:rPr>
              <w:t>Cost per Respondent ($)</w:t>
            </w:r>
          </w:p>
          <w:p w14:paraId="64139E44" w14:textId="77777777" w:rsidR="00425E13" w:rsidRPr="00135762" w:rsidRDefault="00425E13" w:rsidP="004F18C0">
            <w:pPr>
              <w:pStyle w:val="FERCparanumber"/>
              <w:numPr>
                <w:ilvl w:val="0"/>
                <w:numId w:val="0"/>
              </w:numPr>
              <w:spacing w:line="240" w:lineRule="auto"/>
              <w:jc w:val="center"/>
              <w:rPr>
                <w:b/>
                <w:sz w:val="24"/>
              </w:rPr>
            </w:pPr>
            <w:r w:rsidRPr="00135762">
              <w:rPr>
                <w:rFonts w:eastAsia="Calibri"/>
                <w:b/>
                <w:sz w:val="24"/>
              </w:rPr>
              <w:t>(5)÷(1)</w:t>
            </w:r>
          </w:p>
        </w:tc>
      </w:tr>
      <w:tr w:rsidR="00425E13" w:rsidRPr="00135762" w14:paraId="7E69AD23" w14:textId="77777777" w:rsidTr="004F18C0">
        <w:trPr>
          <w:trHeight w:val="494"/>
        </w:trPr>
        <w:tc>
          <w:tcPr>
            <w:tcW w:w="1369" w:type="dxa"/>
            <w:vAlign w:val="center"/>
          </w:tcPr>
          <w:p w14:paraId="5308A821" w14:textId="77777777" w:rsidR="00425E13" w:rsidRPr="00135762" w:rsidDel="00B32264" w:rsidRDefault="00425E13" w:rsidP="004F18C0">
            <w:pPr>
              <w:pStyle w:val="FERCparanumber"/>
              <w:numPr>
                <w:ilvl w:val="0"/>
                <w:numId w:val="0"/>
              </w:numPr>
              <w:spacing w:line="240" w:lineRule="auto"/>
              <w:rPr>
                <w:sz w:val="24"/>
              </w:rPr>
            </w:pPr>
            <w:r w:rsidRPr="00135762">
              <w:rPr>
                <w:sz w:val="24"/>
              </w:rPr>
              <w:t>R1 through R6</w:t>
            </w:r>
            <w:r w:rsidRPr="00023960">
              <w:rPr>
                <w:rStyle w:val="FootnoteReference"/>
                <w:sz w:val="24"/>
                <w:vertAlign w:val="superscript"/>
              </w:rPr>
              <w:footnoteReference w:id="15"/>
            </w:r>
          </w:p>
        </w:tc>
        <w:tc>
          <w:tcPr>
            <w:tcW w:w="1369" w:type="dxa"/>
            <w:vAlign w:val="bottom"/>
          </w:tcPr>
          <w:p w14:paraId="0E26CA17"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c>
          <w:tcPr>
            <w:tcW w:w="1370" w:type="dxa"/>
            <w:vAlign w:val="bottom"/>
          </w:tcPr>
          <w:p w14:paraId="01238E81"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c>
          <w:tcPr>
            <w:tcW w:w="1369" w:type="dxa"/>
            <w:vAlign w:val="bottom"/>
          </w:tcPr>
          <w:p w14:paraId="4C1E9C8A"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c>
          <w:tcPr>
            <w:tcW w:w="1370" w:type="dxa"/>
            <w:shd w:val="clear" w:color="auto" w:fill="auto"/>
            <w:vAlign w:val="bottom"/>
          </w:tcPr>
          <w:p w14:paraId="4D684462"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c>
          <w:tcPr>
            <w:tcW w:w="1369" w:type="dxa"/>
            <w:vAlign w:val="bottom"/>
          </w:tcPr>
          <w:p w14:paraId="34143846"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c>
          <w:tcPr>
            <w:tcW w:w="1370" w:type="dxa"/>
            <w:vAlign w:val="bottom"/>
          </w:tcPr>
          <w:p w14:paraId="06BF92A6" w14:textId="77777777" w:rsidR="00425E13" w:rsidRPr="00135762" w:rsidRDefault="00425E13" w:rsidP="004F18C0">
            <w:pPr>
              <w:pStyle w:val="FERCparanumber"/>
              <w:numPr>
                <w:ilvl w:val="0"/>
                <w:numId w:val="0"/>
              </w:numPr>
              <w:spacing w:line="240" w:lineRule="auto"/>
              <w:jc w:val="center"/>
              <w:rPr>
                <w:sz w:val="24"/>
              </w:rPr>
            </w:pPr>
            <w:r w:rsidRPr="00135762">
              <w:rPr>
                <w:sz w:val="24"/>
              </w:rPr>
              <w:t>No change</w:t>
            </w:r>
          </w:p>
        </w:tc>
      </w:tr>
      <w:tr w:rsidR="00425E13" w:rsidRPr="00135762" w14:paraId="0569E64F" w14:textId="77777777" w:rsidTr="004F18C0">
        <w:trPr>
          <w:trHeight w:val="494"/>
        </w:trPr>
        <w:tc>
          <w:tcPr>
            <w:tcW w:w="1369" w:type="dxa"/>
            <w:vAlign w:val="center"/>
          </w:tcPr>
          <w:p w14:paraId="372418D1" w14:textId="77777777" w:rsidR="00425E13" w:rsidRPr="00135762" w:rsidRDefault="00425E13" w:rsidP="004F18C0">
            <w:pPr>
              <w:pStyle w:val="FERCparanumber"/>
              <w:numPr>
                <w:ilvl w:val="0"/>
                <w:numId w:val="0"/>
              </w:numPr>
              <w:spacing w:line="240" w:lineRule="auto"/>
              <w:rPr>
                <w:sz w:val="24"/>
              </w:rPr>
            </w:pPr>
            <w:r w:rsidRPr="00135762">
              <w:rPr>
                <w:sz w:val="24"/>
              </w:rPr>
              <w:t>R7</w:t>
            </w:r>
          </w:p>
        </w:tc>
        <w:tc>
          <w:tcPr>
            <w:tcW w:w="1369" w:type="dxa"/>
            <w:vAlign w:val="bottom"/>
          </w:tcPr>
          <w:p w14:paraId="7ED8E290"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188 </w:t>
            </w:r>
            <w:r w:rsidRPr="00135762">
              <w:rPr>
                <w:sz w:val="24"/>
              </w:rPr>
              <w:br/>
              <w:t>(PC and TP)</w:t>
            </w:r>
          </w:p>
        </w:tc>
        <w:tc>
          <w:tcPr>
            <w:tcW w:w="1370" w:type="dxa"/>
            <w:vAlign w:val="bottom"/>
          </w:tcPr>
          <w:p w14:paraId="6178A9F1" w14:textId="77777777" w:rsidR="00425E13" w:rsidRPr="00135762" w:rsidRDefault="00425E13" w:rsidP="00135762">
            <w:pPr>
              <w:pStyle w:val="FERCparanumber"/>
              <w:numPr>
                <w:ilvl w:val="0"/>
                <w:numId w:val="0"/>
              </w:numPr>
              <w:spacing w:line="240" w:lineRule="auto"/>
              <w:jc w:val="right"/>
              <w:rPr>
                <w:sz w:val="24"/>
              </w:rPr>
            </w:pPr>
            <w:r w:rsidRPr="00135762">
              <w:rPr>
                <w:sz w:val="24"/>
              </w:rPr>
              <w:t>1/5 (once for every five year study)</w:t>
            </w:r>
          </w:p>
        </w:tc>
        <w:tc>
          <w:tcPr>
            <w:tcW w:w="1369" w:type="dxa"/>
            <w:vAlign w:val="bottom"/>
          </w:tcPr>
          <w:p w14:paraId="6D1C77A9" w14:textId="77777777" w:rsidR="00425E13" w:rsidRPr="00135762" w:rsidRDefault="00425E13" w:rsidP="00135762">
            <w:pPr>
              <w:pStyle w:val="FERCparanumber"/>
              <w:numPr>
                <w:ilvl w:val="0"/>
                <w:numId w:val="0"/>
              </w:numPr>
              <w:spacing w:line="240" w:lineRule="auto"/>
              <w:jc w:val="right"/>
              <w:rPr>
                <w:sz w:val="24"/>
              </w:rPr>
            </w:pPr>
            <w:r w:rsidRPr="00135762">
              <w:rPr>
                <w:sz w:val="24"/>
              </w:rPr>
              <w:t>37.6</w:t>
            </w:r>
          </w:p>
        </w:tc>
        <w:tc>
          <w:tcPr>
            <w:tcW w:w="1370" w:type="dxa"/>
            <w:shd w:val="clear" w:color="auto" w:fill="auto"/>
            <w:vAlign w:val="bottom"/>
          </w:tcPr>
          <w:p w14:paraId="78278AEC" w14:textId="77777777" w:rsidR="00425E13" w:rsidRPr="00135762" w:rsidRDefault="00425E13" w:rsidP="00135762">
            <w:pPr>
              <w:pStyle w:val="FERCparanumber"/>
              <w:numPr>
                <w:ilvl w:val="0"/>
                <w:numId w:val="0"/>
              </w:numPr>
              <w:spacing w:line="240" w:lineRule="auto"/>
              <w:jc w:val="right"/>
              <w:rPr>
                <w:sz w:val="24"/>
              </w:rPr>
            </w:pPr>
            <w:r w:rsidRPr="00135762">
              <w:rPr>
                <w:sz w:val="24"/>
              </w:rPr>
              <w:t>Rep. 5 hrs., $334.50; RK 5 hrs., $160.20</w:t>
            </w:r>
          </w:p>
        </w:tc>
        <w:tc>
          <w:tcPr>
            <w:tcW w:w="1369" w:type="dxa"/>
            <w:vAlign w:val="bottom"/>
          </w:tcPr>
          <w:p w14:paraId="20097BBE" w14:textId="77777777" w:rsidR="00425E13" w:rsidRPr="00135762" w:rsidRDefault="00425E13" w:rsidP="00135762">
            <w:pPr>
              <w:pStyle w:val="FERCparanumber"/>
              <w:numPr>
                <w:ilvl w:val="0"/>
                <w:numId w:val="0"/>
              </w:numPr>
              <w:spacing w:line="240" w:lineRule="auto"/>
              <w:jc w:val="right"/>
              <w:rPr>
                <w:sz w:val="24"/>
              </w:rPr>
            </w:pPr>
            <w:r w:rsidRPr="00135762">
              <w:rPr>
                <w:sz w:val="24"/>
              </w:rPr>
              <w:t>Rep. 188 hrs., $12,577; RK 188 hrs., $6,023</w:t>
            </w:r>
            <w:r w:rsidRPr="00135762" w:rsidDel="00855815">
              <w:rPr>
                <w:sz w:val="24"/>
              </w:rPr>
              <w:t xml:space="preserve"> </w:t>
            </w:r>
          </w:p>
        </w:tc>
        <w:tc>
          <w:tcPr>
            <w:tcW w:w="1370" w:type="dxa"/>
            <w:vAlign w:val="bottom"/>
          </w:tcPr>
          <w:p w14:paraId="26DCF32E" w14:textId="77777777" w:rsidR="00425E13" w:rsidRPr="00135762" w:rsidRDefault="00425E13" w:rsidP="00135762">
            <w:pPr>
              <w:pStyle w:val="FERCparanumber"/>
              <w:numPr>
                <w:ilvl w:val="0"/>
                <w:numId w:val="0"/>
              </w:numPr>
              <w:spacing w:line="240" w:lineRule="auto"/>
              <w:jc w:val="right"/>
              <w:rPr>
                <w:sz w:val="24"/>
              </w:rPr>
            </w:pPr>
            <w:r w:rsidRPr="00135762">
              <w:rPr>
                <w:sz w:val="24"/>
              </w:rPr>
              <w:t>Rep. 1 hr., $66.90; RK 1 hr., $32.04</w:t>
            </w:r>
          </w:p>
        </w:tc>
      </w:tr>
      <w:tr w:rsidR="00425E13" w:rsidRPr="00135762" w14:paraId="1C19E868" w14:textId="77777777" w:rsidTr="004F18C0">
        <w:trPr>
          <w:trHeight w:val="710"/>
        </w:trPr>
        <w:tc>
          <w:tcPr>
            <w:tcW w:w="1369" w:type="dxa"/>
            <w:vAlign w:val="center"/>
          </w:tcPr>
          <w:p w14:paraId="4AB519D3" w14:textId="77777777" w:rsidR="00425E13" w:rsidRPr="00135762" w:rsidRDefault="00425E13" w:rsidP="004F18C0">
            <w:pPr>
              <w:pStyle w:val="FERCparanumber"/>
              <w:numPr>
                <w:ilvl w:val="0"/>
                <w:numId w:val="0"/>
              </w:numPr>
              <w:spacing w:line="240" w:lineRule="auto"/>
              <w:rPr>
                <w:sz w:val="24"/>
              </w:rPr>
            </w:pPr>
            <w:r w:rsidRPr="00135762">
              <w:rPr>
                <w:sz w:val="24"/>
              </w:rPr>
              <w:t>R8</w:t>
            </w:r>
          </w:p>
        </w:tc>
        <w:tc>
          <w:tcPr>
            <w:tcW w:w="1369" w:type="dxa"/>
            <w:vAlign w:val="bottom"/>
          </w:tcPr>
          <w:p w14:paraId="20AC852D"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188 </w:t>
            </w:r>
            <w:r w:rsidRPr="00135762">
              <w:rPr>
                <w:sz w:val="24"/>
              </w:rPr>
              <w:br/>
              <w:t>(PC and TP)</w:t>
            </w:r>
          </w:p>
        </w:tc>
        <w:tc>
          <w:tcPr>
            <w:tcW w:w="1370" w:type="dxa"/>
            <w:vAlign w:val="bottom"/>
          </w:tcPr>
          <w:p w14:paraId="157DDACE" w14:textId="77777777" w:rsidR="00425E13" w:rsidRPr="00135762" w:rsidRDefault="00425E13" w:rsidP="00135762">
            <w:pPr>
              <w:pStyle w:val="FERCparanumber"/>
              <w:numPr>
                <w:ilvl w:val="0"/>
                <w:numId w:val="0"/>
              </w:numPr>
              <w:spacing w:line="240" w:lineRule="auto"/>
              <w:jc w:val="right"/>
              <w:rPr>
                <w:sz w:val="24"/>
              </w:rPr>
            </w:pPr>
            <w:r w:rsidRPr="00135762">
              <w:rPr>
                <w:sz w:val="24"/>
              </w:rPr>
              <w:t>1/5 (once for every five year study)</w:t>
            </w:r>
          </w:p>
        </w:tc>
        <w:tc>
          <w:tcPr>
            <w:tcW w:w="1369" w:type="dxa"/>
            <w:vAlign w:val="bottom"/>
          </w:tcPr>
          <w:p w14:paraId="183FC0F1" w14:textId="77777777" w:rsidR="00425E13" w:rsidRPr="00135762" w:rsidRDefault="00425E13" w:rsidP="00135762">
            <w:pPr>
              <w:pStyle w:val="FERCparanumber"/>
              <w:numPr>
                <w:ilvl w:val="0"/>
                <w:numId w:val="0"/>
              </w:numPr>
              <w:spacing w:line="240" w:lineRule="auto"/>
              <w:jc w:val="right"/>
              <w:rPr>
                <w:sz w:val="24"/>
              </w:rPr>
            </w:pPr>
            <w:r w:rsidRPr="00135762">
              <w:rPr>
                <w:sz w:val="24"/>
              </w:rPr>
              <w:t>37.6</w:t>
            </w:r>
          </w:p>
        </w:tc>
        <w:tc>
          <w:tcPr>
            <w:tcW w:w="1370" w:type="dxa"/>
            <w:shd w:val="clear" w:color="auto" w:fill="auto"/>
            <w:vAlign w:val="bottom"/>
          </w:tcPr>
          <w:p w14:paraId="60D9A88D" w14:textId="77777777" w:rsidR="00425E13" w:rsidRPr="00135762" w:rsidRDefault="00425E13" w:rsidP="00135762">
            <w:pPr>
              <w:pStyle w:val="FERCparanumber"/>
              <w:numPr>
                <w:ilvl w:val="0"/>
                <w:numId w:val="0"/>
              </w:numPr>
              <w:spacing w:line="240" w:lineRule="auto"/>
              <w:jc w:val="right"/>
              <w:rPr>
                <w:sz w:val="24"/>
              </w:rPr>
            </w:pPr>
            <w:r w:rsidRPr="00135762">
              <w:rPr>
                <w:sz w:val="24"/>
              </w:rPr>
              <w:t>Rep.,  27 hrs., $1,806.30;RK, 21 hrs., $672.84</w:t>
            </w:r>
          </w:p>
        </w:tc>
        <w:tc>
          <w:tcPr>
            <w:tcW w:w="1369" w:type="dxa"/>
            <w:vAlign w:val="bottom"/>
          </w:tcPr>
          <w:p w14:paraId="1924229C" w14:textId="77777777" w:rsidR="00425E13" w:rsidRPr="00135762" w:rsidRDefault="00425E13" w:rsidP="00135762">
            <w:pPr>
              <w:pStyle w:val="FERCparanumber"/>
              <w:numPr>
                <w:ilvl w:val="0"/>
                <w:numId w:val="0"/>
              </w:numPr>
              <w:spacing w:line="240" w:lineRule="auto"/>
              <w:jc w:val="right"/>
              <w:rPr>
                <w:sz w:val="24"/>
              </w:rPr>
            </w:pPr>
            <w:r w:rsidRPr="00135762">
              <w:rPr>
                <w:sz w:val="24"/>
              </w:rPr>
              <w:t>Rep. 1,015 hrs., $67,917; RK 790 hrs., $25,299</w:t>
            </w:r>
          </w:p>
        </w:tc>
        <w:tc>
          <w:tcPr>
            <w:tcW w:w="1370" w:type="dxa"/>
            <w:vAlign w:val="bottom"/>
          </w:tcPr>
          <w:p w14:paraId="1A50780A" w14:textId="77777777" w:rsidR="00425E13" w:rsidRPr="00135762" w:rsidRDefault="00425E13" w:rsidP="00135762">
            <w:pPr>
              <w:pStyle w:val="FERCparanumber"/>
              <w:numPr>
                <w:ilvl w:val="0"/>
                <w:numId w:val="0"/>
              </w:numPr>
              <w:spacing w:line="240" w:lineRule="auto"/>
              <w:jc w:val="right"/>
              <w:rPr>
                <w:sz w:val="24"/>
              </w:rPr>
            </w:pPr>
            <w:r w:rsidRPr="00135762">
              <w:rPr>
                <w:sz w:val="24"/>
              </w:rPr>
              <w:t>Rep., 5.4 hrs., $361.26; RK 4.2 hrs., $134.57</w:t>
            </w:r>
          </w:p>
        </w:tc>
      </w:tr>
      <w:tr w:rsidR="00425E13" w:rsidRPr="00135762" w14:paraId="1AE2F35B" w14:textId="77777777" w:rsidTr="004F18C0">
        <w:trPr>
          <w:trHeight w:val="710"/>
        </w:trPr>
        <w:tc>
          <w:tcPr>
            <w:tcW w:w="1369" w:type="dxa"/>
            <w:vAlign w:val="center"/>
          </w:tcPr>
          <w:p w14:paraId="28F5B047" w14:textId="77777777" w:rsidR="00425E13" w:rsidRPr="00135762" w:rsidRDefault="00425E13" w:rsidP="004F18C0">
            <w:pPr>
              <w:pStyle w:val="FERCparanumber"/>
              <w:numPr>
                <w:ilvl w:val="0"/>
                <w:numId w:val="0"/>
              </w:numPr>
              <w:spacing w:line="240" w:lineRule="auto"/>
              <w:rPr>
                <w:sz w:val="24"/>
              </w:rPr>
            </w:pPr>
            <w:r w:rsidRPr="00135762">
              <w:rPr>
                <w:sz w:val="24"/>
              </w:rPr>
              <w:t>R9</w:t>
            </w:r>
          </w:p>
        </w:tc>
        <w:tc>
          <w:tcPr>
            <w:tcW w:w="1369" w:type="dxa"/>
            <w:vAlign w:val="bottom"/>
          </w:tcPr>
          <w:p w14:paraId="74786D1B"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188 </w:t>
            </w:r>
            <w:r w:rsidRPr="00135762">
              <w:rPr>
                <w:sz w:val="24"/>
              </w:rPr>
              <w:br/>
              <w:t>(PC and TP)</w:t>
            </w:r>
          </w:p>
        </w:tc>
        <w:tc>
          <w:tcPr>
            <w:tcW w:w="1370" w:type="dxa"/>
            <w:vAlign w:val="bottom"/>
          </w:tcPr>
          <w:p w14:paraId="4AFE926E" w14:textId="77777777" w:rsidR="00425E13" w:rsidRPr="00135762" w:rsidRDefault="00425E13" w:rsidP="00135762">
            <w:pPr>
              <w:pStyle w:val="FERCparanumber"/>
              <w:numPr>
                <w:ilvl w:val="0"/>
                <w:numId w:val="0"/>
              </w:numPr>
              <w:spacing w:line="240" w:lineRule="auto"/>
              <w:jc w:val="right"/>
              <w:rPr>
                <w:sz w:val="24"/>
              </w:rPr>
            </w:pPr>
            <w:r w:rsidRPr="00135762">
              <w:rPr>
                <w:sz w:val="24"/>
              </w:rPr>
              <w:t>1/5 (once for every five year study)</w:t>
            </w:r>
          </w:p>
        </w:tc>
        <w:tc>
          <w:tcPr>
            <w:tcW w:w="1369" w:type="dxa"/>
            <w:vAlign w:val="bottom"/>
          </w:tcPr>
          <w:p w14:paraId="234455E9" w14:textId="77777777" w:rsidR="00425E13" w:rsidRPr="00135762" w:rsidRDefault="00425E13" w:rsidP="00135762">
            <w:pPr>
              <w:pStyle w:val="FERCparanumber"/>
              <w:numPr>
                <w:ilvl w:val="0"/>
                <w:numId w:val="0"/>
              </w:numPr>
              <w:spacing w:line="240" w:lineRule="auto"/>
              <w:jc w:val="right"/>
              <w:rPr>
                <w:sz w:val="24"/>
              </w:rPr>
            </w:pPr>
            <w:r w:rsidRPr="00135762">
              <w:rPr>
                <w:sz w:val="24"/>
              </w:rPr>
              <w:t>37.6</w:t>
            </w:r>
          </w:p>
        </w:tc>
        <w:tc>
          <w:tcPr>
            <w:tcW w:w="1370" w:type="dxa"/>
            <w:shd w:val="clear" w:color="auto" w:fill="auto"/>
            <w:vAlign w:val="bottom"/>
          </w:tcPr>
          <w:p w14:paraId="0FA09E38" w14:textId="77777777" w:rsidR="00425E13" w:rsidRPr="00135762" w:rsidRDefault="00425E13" w:rsidP="00135762">
            <w:pPr>
              <w:pStyle w:val="FERCparanumber"/>
              <w:numPr>
                <w:ilvl w:val="0"/>
                <w:numId w:val="0"/>
              </w:numPr>
              <w:spacing w:line="240" w:lineRule="auto"/>
              <w:jc w:val="right"/>
              <w:rPr>
                <w:sz w:val="24"/>
              </w:rPr>
            </w:pPr>
            <w:r w:rsidRPr="00135762">
              <w:rPr>
                <w:sz w:val="24"/>
              </w:rPr>
              <w:t>Rep. 9 hrs., $602.10;</w:t>
            </w:r>
            <w:r w:rsidRPr="00135762">
              <w:rPr>
                <w:sz w:val="24"/>
              </w:rPr>
              <w:br/>
              <w:t>RK 7 hrs., $224.28</w:t>
            </w:r>
          </w:p>
        </w:tc>
        <w:tc>
          <w:tcPr>
            <w:tcW w:w="1369" w:type="dxa"/>
            <w:vAlign w:val="bottom"/>
          </w:tcPr>
          <w:p w14:paraId="1FE28444" w14:textId="77777777" w:rsidR="00425E13" w:rsidRPr="00135762" w:rsidRDefault="00425E13" w:rsidP="00135762">
            <w:pPr>
              <w:pStyle w:val="FERCparanumber"/>
              <w:numPr>
                <w:ilvl w:val="0"/>
                <w:numId w:val="0"/>
              </w:numPr>
              <w:spacing w:line="240" w:lineRule="auto"/>
              <w:jc w:val="right"/>
              <w:rPr>
                <w:sz w:val="24"/>
              </w:rPr>
            </w:pPr>
            <w:r w:rsidRPr="00135762">
              <w:rPr>
                <w:sz w:val="24"/>
              </w:rPr>
              <w:t>Rep. 338 hrs., $22,639; RK 263 hrs., $8,432</w:t>
            </w:r>
          </w:p>
        </w:tc>
        <w:tc>
          <w:tcPr>
            <w:tcW w:w="1370" w:type="dxa"/>
            <w:vAlign w:val="bottom"/>
          </w:tcPr>
          <w:p w14:paraId="4FF8E7D7" w14:textId="77777777" w:rsidR="00425E13" w:rsidRPr="00135762" w:rsidRDefault="00425E13" w:rsidP="00135762">
            <w:pPr>
              <w:pStyle w:val="FERCparanumber"/>
              <w:numPr>
                <w:ilvl w:val="0"/>
                <w:numId w:val="0"/>
              </w:numPr>
              <w:spacing w:line="240" w:lineRule="auto"/>
              <w:jc w:val="right"/>
              <w:rPr>
                <w:sz w:val="24"/>
              </w:rPr>
            </w:pPr>
            <w:r w:rsidRPr="00135762">
              <w:rPr>
                <w:sz w:val="24"/>
              </w:rPr>
              <w:t>Rep. 1.8 hrs., $120.42; RK 1.4 hrs., $44.85</w:t>
            </w:r>
          </w:p>
        </w:tc>
      </w:tr>
      <w:tr w:rsidR="00425E13" w:rsidRPr="00135762" w14:paraId="6BE7227F" w14:textId="77777777" w:rsidTr="004F18C0">
        <w:trPr>
          <w:trHeight w:val="710"/>
        </w:trPr>
        <w:tc>
          <w:tcPr>
            <w:tcW w:w="1369" w:type="dxa"/>
            <w:vAlign w:val="center"/>
          </w:tcPr>
          <w:p w14:paraId="0F9EB225" w14:textId="77777777" w:rsidR="00425E13" w:rsidRPr="00135762" w:rsidRDefault="00425E13" w:rsidP="004F18C0">
            <w:pPr>
              <w:pStyle w:val="FERCparanumber"/>
              <w:numPr>
                <w:ilvl w:val="0"/>
                <w:numId w:val="0"/>
              </w:numPr>
              <w:spacing w:line="240" w:lineRule="auto"/>
              <w:rPr>
                <w:sz w:val="24"/>
              </w:rPr>
            </w:pPr>
            <w:r w:rsidRPr="00135762">
              <w:rPr>
                <w:sz w:val="24"/>
              </w:rPr>
              <w:t>R10</w:t>
            </w:r>
          </w:p>
        </w:tc>
        <w:tc>
          <w:tcPr>
            <w:tcW w:w="1369" w:type="dxa"/>
            <w:vAlign w:val="bottom"/>
          </w:tcPr>
          <w:p w14:paraId="5624DEE0" w14:textId="77777777" w:rsidR="00425E13" w:rsidRPr="00135762" w:rsidRDefault="00425E13" w:rsidP="00135762">
            <w:pPr>
              <w:pStyle w:val="FERCparanumber"/>
              <w:numPr>
                <w:ilvl w:val="0"/>
                <w:numId w:val="0"/>
              </w:numPr>
              <w:spacing w:line="240" w:lineRule="auto"/>
              <w:jc w:val="right"/>
              <w:rPr>
                <w:sz w:val="24"/>
              </w:rPr>
            </w:pPr>
            <w:r w:rsidRPr="00135762">
              <w:rPr>
                <w:sz w:val="24"/>
              </w:rPr>
              <w:t>280</w:t>
            </w:r>
            <w:r w:rsidRPr="00135762">
              <w:rPr>
                <w:sz w:val="24"/>
              </w:rPr>
              <w:br/>
              <w:t>(25% of 1,119)</w:t>
            </w:r>
            <w:r w:rsidRPr="00135762">
              <w:rPr>
                <w:sz w:val="24"/>
              </w:rPr>
              <w:br/>
              <w:t>(GO and TO)</w:t>
            </w:r>
          </w:p>
        </w:tc>
        <w:tc>
          <w:tcPr>
            <w:tcW w:w="1370" w:type="dxa"/>
            <w:vAlign w:val="bottom"/>
          </w:tcPr>
          <w:p w14:paraId="5F87225F" w14:textId="77777777" w:rsidR="00425E13" w:rsidRPr="00135762" w:rsidRDefault="00425E13" w:rsidP="00135762">
            <w:pPr>
              <w:pStyle w:val="FERCparanumber"/>
              <w:numPr>
                <w:ilvl w:val="0"/>
                <w:numId w:val="0"/>
              </w:numPr>
              <w:spacing w:line="240" w:lineRule="auto"/>
              <w:jc w:val="right"/>
              <w:rPr>
                <w:sz w:val="24"/>
              </w:rPr>
            </w:pPr>
            <w:r w:rsidRPr="00135762">
              <w:rPr>
                <w:sz w:val="24"/>
              </w:rPr>
              <w:t>1/5 (once for every five year study)</w:t>
            </w:r>
          </w:p>
        </w:tc>
        <w:tc>
          <w:tcPr>
            <w:tcW w:w="1369" w:type="dxa"/>
            <w:vAlign w:val="bottom"/>
          </w:tcPr>
          <w:p w14:paraId="5E3E7F09" w14:textId="77777777" w:rsidR="00425E13" w:rsidRPr="00135762" w:rsidRDefault="00425E13" w:rsidP="00135762">
            <w:pPr>
              <w:pStyle w:val="FERCparanumber"/>
              <w:numPr>
                <w:ilvl w:val="0"/>
                <w:numId w:val="0"/>
              </w:numPr>
              <w:spacing w:line="240" w:lineRule="auto"/>
              <w:jc w:val="right"/>
              <w:rPr>
                <w:sz w:val="24"/>
              </w:rPr>
            </w:pPr>
            <w:r w:rsidRPr="00135762">
              <w:rPr>
                <w:sz w:val="24"/>
              </w:rPr>
              <w:t>56</w:t>
            </w:r>
          </w:p>
        </w:tc>
        <w:tc>
          <w:tcPr>
            <w:tcW w:w="1370" w:type="dxa"/>
            <w:shd w:val="clear" w:color="auto" w:fill="auto"/>
            <w:vAlign w:val="bottom"/>
          </w:tcPr>
          <w:p w14:paraId="1E9C6506" w14:textId="77777777" w:rsidR="00425E13" w:rsidRPr="00135762" w:rsidRDefault="00425E13" w:rsidP="00135762">
            <w:pPr>
              <w:pStyle w:val="FERCparanumber"/>
              <w:numPr>
                <w:ilvl w:val="0"/>
                <w:numId w:val="0"/>
              </w:numPr>
              <w:spacing w:line="240" w:lineRule="auto"/>
              <w:jc w:val="right"/>
              <w:rPr>
                <w:sz w:val="24"/>
              </w:rPr>
            </w:pPr>
            <w:r w:rsidRPr="00135762">
              <w:rPr>
                <w:sz w:val="24"/>
              </w:rPr>
              <w:t>Rep. 22 hrs., $1,471.80;</w:t>
            </w:r>
            <w:r w:rsidRPr="00135762">
              <w:rPr>
                <w:sz w:val="24"/>
              </w:rPr>
              <w:br/>
              <w:t>RK 18 hrs., $576.72</w:t>
            </w:r>
          </w:p>
        </w:tc>
        <w:tc>
          <w:tcPr>
            <w:tcW w:w="1369" w:type="dxa"/>
            <w:vAlign w:val="bottom"/>
          </w:tcPr>
          <w:p w14:paraId="70DC481B" w14:textId="77777777" w:rsidR="00425E13" w:rsidRPr="00135762" w:rsidRDefault="00425E13" w:rsidP="00135762">
            <w:pPr>
              <w:pStyle w:val="FERCparanumber"/>
              <w:numPr>
                <w:ilvl w:val="0"/>
                <w:numId w:val="0"/>
              </w:numPr>
              <w:spacing w:line="240" w:lineRule="auto"/>
              <w:jc w:val="right"/>
              <w:rPr>
                <w:sz w:val="24"/>
              </w:rPr>
            </w:pPr>
            <w:r w:rsidRPr="00135762">
              <w:rPr>
                <w:sz w:val="24"/>
              </w:rPr>
              <w:t>Rep. 1,232 hrs., $82,421;  RK 1,008 hrs., $32,296</w:t>
            </w:r>
          </w:p>
        </w:tc>
        <w:tc>
          <w:tcPr>
            <w:tcW w:w="1370" w:type="dxa"/>
            <w:vAlign w:val="bottom"/>
          </w:tcPr>
          <w:p w14:paraId="4DC7251A" w14:textId="77777777" w:rsidR="00425E13" w:rsidRPr="00135762" w:rsidRDefault="00425E13" w:rsidP="00135762">
            <w:pPr>
              <w:pStyle w:val="FERCparanumber"/>
              <w:numPr>
                <w:ilvl w:val="0"/>
                <w:numId w:val="0"/>
              </w:numPr>
              <w:spacing w:line="240" w:lineRule="auto"/>
              <w:jc w:val="right"/>
              <w:rPr>
                <w:sz w:val="24"/>
              </w:rPr>
            </w:pPr>
            <w:r w:rsidRPr="00135762">
              <w:rPr>
                <w:sz w:val="24"/>
              </w:rPr>
              <w:t>Rep. 4.4 hrs., $294.36;  RK 3.6 hrs., $115.34</w:t>
            </w:r>
          </w:p>
        </w:tc>
      </w:tr>
      <w:tr w:rsidR="00425E13" w:rsidRPr="00135762" w14:paraId="7C34BE94" w14:textId="77777777" w:rsidTr="004F18C0">
        <w:trPr>
          <w:trHeight w:val="710"/>
        </w:trPr>
        <w:tc>
          <w:tcPr>
            <w:tcW w:w="1369" w:type="dxa"/>
            <w:vAlign w:val="center"/>
          </w:tcPr>
          <w:p w14:paraId="1D2349FD" w14:textId="77777777" w:rsidR="00425E13" w:rsidRPr="00135762" w:rsidRDefault="00425E13" w:rsidP="004F18C0">
            <w:pPr>
              <w:pStyle w:val="FERCparanumber"/>
              <w:numPr>
                <w:ilvl w:val="0"/>
                <w:numId w:val="0"/>
              </w:numPr>
              <w:spacing w:line="240" w:lineRule="auto"/>
              <w:rPr>
                <w:sz w:val="24"/>
              </w:rPr>
            </w:pPr>
            <w:r w:rsidRPr="00135762">
              <w:rPr>
                <w:sz w:val="24"/>
              </w:rPr>
              <w:t>R11</w:t>
            </w:r>
          </w:p>
        </w:tc>
        <w:tc>
          <w:tcPr>
            <w:tcW w:w="1369" w:type="dxa"/>
            <w:vAlign w:val="bottom"/>
          </w:tcPr>
          <w:p w14:paraId="6DDA3F75"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188 </w:t>
            </w:r>
            <w:r w:rsidRPr="00135762">
              <w:rPr>
                <w:sz w:val="24"/>
              </w:rPr>
              <w:br/>
              <w:t>(PC and TP)</w:t>
            </w:r>
          </w:p>
        </w:tc>
        <w:tc>
          <w:tcPr>
            <w:tcW w:w="1370" w:type="dxa"/>
            <w:vAlign w:val="bottom"/>
          </w:tcPr>
          <w:p w14:paraId="68C14F75" w14:textId="77777777" w:rsidR="00425E13" w:rsidRPr="00135762" w:rsidRDefault="00425E13" w:rsidP="00135762">
            <w:pPr>
              <w:pStyle w:val="FERCparanumber"/>
              <w:numPr>
                <w:ilvl w:val="0"/>
                <w:numId w:val="0"/>
              </w:numPr>
              <w:spacing w:line="240" w:lineRule="auto"/>
              <w:jc w:val="right"/>
              <w:rPr>
                <w:sz w:val="24"/>
              </w:rPr>
            </w:pPr>
            <w:r w:rsidRPr="00135762">
              <w:rPr>
                <w:sz w:val="24"/>
              </w:rPr>
              <w:t>1 (on-going reporting)</w:t>
            </w:r>
          </w:p>
        </w:tc>
        <w:tc>
          <w:tcPr>
            <w:tcW w:w="1369" w:type="dxa"/>
            <w:vAlign w:val="bottom"/>
          </w:tcPr>
          <w:p w14:paraId="5B122155" w14:textId="77777777" w:rsidR="00425E13" w:rsidRPr="00135762" w:rsidRDefault="00425E13" w:rsidP="00135762">
            <w:pPr>
              <w:pStyle w:val="FERCparanumber"/>
              <w:numPr>
                <w:ilvl w:val="0"/>
                <w:numId w:val="0"/>
              </w:numPr>
              <w:spacing w:line="240" w:lineRule="auto"/>
              <w:jc w:val="right"/>
              <w:rPr>
                <w:sz w:val="24"/>
              </w:rPr>
            </w:pPr>
            <w:r w:rsidRPr="00135762">
              <w:rPr>
                <w:sz w:val="24"/>
              </w:rPr>
              <w:t>188</w:t>
            </w:r>
          </w:p>
        </w:tc>
        <w:tc>
          <w:tcPr>
            <w:tcW w:w="1370" w:type="dxa"/>
            <w:shd w:val="clear" w:color="auto" w:fill="auto"/>
            <w:vAlign w:val="bottom"/>
          </w:tcPr>
          <w:p w14:paraId="61958DF2" w14:textId="77777777" w:rsidR="00425E13" w:rsidRPr="00135762" w:rsidRDefault="00425E13" w:rsidP="00135762">
            <w:pPr>
              <w:pStyle w:val="FERCparanumber"/>
              <w:numPr>
                <w:ilvl w:val="0"/>
                <w:numId w:val="0"/>
              </w:numPr>
              <w:spacing w:line="240" w:lineRule="auto"/>
              <w:jc w:val="right"/>
              <w:rPr>
                <w:sz w:val="24"/>
              </w:rPr>
            </w:pPr>
            <w:r w:rsidRPr="00135762">
              <w:rPr>
                <w:sz w:val="24"/>
              </w:rPr>
              <w:t>Rep. 10 hrs., $669;</w:t>
            </w:r>
            <w:r w:rsidRPr="00135762">
              <w:rPr>
                <w:sz w:val="24"/>
              </w:rPr>
              <w:br/>
              <w:t>RK. 10 hrs., $320.40</w:t>
            </w:r>
          </w:p>
        </w:tc>
        <w:tc>
          <w:tcPr>
            <w:tcW w:w="1369" w:type="dxa"/>
            <w:vAlign w:val="bottom"/>
          </w:tcPr>
          <w:p w14:paraId="41737579" w14:textId="77777777" w:rsidR="00425E13" w:rsidRPr="00135762" w:rsidRDefault="00425E13" w:rsidP="00135762">
            <w:pPr>
              <w:pStyle w:val="FERCparanumber"/>
              <w:numPr>
                <w:ilvl w:val="0"/>
                <w:numId w:val="0"/>
              </w:numPr>
              <w:spacing w:line="240" w:lineRule="auto"/>
              <w:jc w:val="right"/>
              <w:rPr>
                <w:sz w:val="24"/>
              </w:rPr>
            </w:pPr>
            <w:r w:rsidRPr="00135762">
              <w:rPr>
                <w:sz w:val="24"/>
              </w:rPr>
              <w:t>Rep. 1,880 hrs., $125,772; RK 1,880 hrs., $60,235</w:t>
            </w:r>
          </w:p>
        </w:tc>
        <w:tc>
          <w:tcPr>
            <w:tcW w:w="1370" w:type="dxa"/>
            <w:vAlign w:val="bottom"/>
          </w:tcPr>
          <w:p w14:paraId="056E86C4" w14:textId="77777777" w:rsidR="00425E13" w:rsidRPr="00135762" w:rsidRDefault="00425E13" w:rsidP="00135762">
            <w:pPr>
              <w:pStyle w:val="FERCparanumber"/>
              <w:numPr>
                <w:ilvl w:val="0"/>
                <w:numId w:val="0"/>
              </w:numPr>
              <w:spacing w:line="240" w:lineRule="auto"/>
              <w:jc w:val="right"/>
              <w:rPr>
                <w:sz w:val="24"/>
              </w:rPr>
            </w:pPr>
            <w:r w:rsidRPr="00135762">
              <w:rPr>
                <w:sz w:val="24"/>
              </w:rPr>
              <w:t>Rep. 10 hrs., $669; RK 10 hrs., $320.40</w:t>
            </w:r>
          </w:p>
        </w:tc>
      </w:tr>
      <w:tr w:rsidR="00425E13" w:rsidRPr="00135762" w14:paraId="68491FD3" w14:textId="77777777" w:rsidTr="004F18C0">
        <w:trPr>
          <w:trHeight w:val="710"/>
        </w:trPr>
        <w:tc>
          <w:tcPr>
            <w:tcW w:w="1369" w:type="dxa"/>
            <w:vAlign w:val="center"/>
          </w:tcPr>
          <w:p w14:paraId="0E802882" w14:textId="77777777" w:rsidR="00425E13" w:rsidRPr="00135762" w:rsidRDefault="00425E13" w:rsidP="004F18C0">
            <w:pPr>
              <w:pStyle w:val="FERCparanumber"/>
              <w:numPr>
                <w:ilvl w:val="0"/>
                <w:numId w:val="0"/>
              </w:numPr>
              <w:spacing w:line="240" w:lineRule="auto"/>
              <w:rPr>
                <w:sz w:val="24"/>
              </w:rPr>
            </w:pPr>
            <w:r w:rsidRPr="00135762">
              <w:rPr>
                <w:sz w:val="24"/>
              </w:rPr>
              <w:t>R12</w:t>
            </w:r>
          </w:p>
        </w:tc>
        <w:tc>
          <w:tcPr>
            <w:tcW w:w="1369" w:type="dxa"/>
            <w:vAlign w:val="bottom"/>
          </w:tcPr>
          <w:p w14:paraId="659EB6B3"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188 </w:t>
            </w:r>
            <w:r w:rsidRPr="00135762">
              <w:rPr>
                <w:sz w:val="24"/>
              </w:rPr>
              <w:br/>
              <w:t>(PC and TP)</w:t>
            </w:r>
          </w:p>
        </w:tc>
        <w:tc>
          <w:tcPr>
            <w:tcW w:w="1370" w:type="dxa"/>
            <w:vAlign w:val="bottom"/>
          </w:tcPr>
          <w:p w14:paraId="14D3E911" w14:textId="77777777" w:rsidR="00425E13" w:rsidRPr="00135762" w:rsidRDefault="00425E13" w:rsidP="00135762">
            <w:pPr>
              <w:pStyle w:val="FERCparanumber"/>
              <w:numPr>
                <w:ilvl w:val="0"/>
                <w:numId w:val="0"/>
              </w:numPr>
              <w:spacing w:line="240" w:lineRule="auto"/>
              <w:jc w:val="right"/>
              <w:rPr>
                <w:sz w:val="24"/>
              </w:rPr>
            </w:pPr>
            <w:r w:rsidRPr="00135762">
              <w:rPr>
                <w:sz w:val="24"/>
              </w:rPr>
              <w:t>1 (on-going reporting)</w:t>
            </w:r>
          </w:p>
        </w:tc>
        <w:tc>
          <w:tcPr>
            <w:tcW w:w="1369" w:type="dxa"/>
            <w:vAlign w:val="bottom"/>
          </w:tcPr>
          <w:p w14:paraId="20A0E434" w14:textId="77777777" w:rsidR="00425E13" w:rsidRPr="00135762" w:rsidRDefault="00425E13" w:rsidP="00135762">
            <w:pPr>
              <w:pStyle w:val="FERCparanumber"/>
              <w:numPr>
                <w:ilvl w:val="0"/>
                <w:numId w:val="0"/>
              </w:numPr>
              <w:spacing w:line="240" w:lineRule="auto"/>
              <w:jc w:val="right"/>
              <w:rPr>
                <w:sz w:val="24"/>
              </w:rPr>
            </w:pPr>
            <w:r w:rsidRPr="00135762">
              <w:rPr>
                <w:sz w:val="24"/>
              </w:rPr>
              <w:t>188</w:t>
            </w:r>
          </w:p>
        </w:tc>
        <w:tc>
          <w:tcPr>
            <w:tcW w:w="1370" w:type="dxa"/>
            <w:shd w:val="clear" w:color="auto" w:fill="auto"/>
            <w:vAlign w:val="bottom"/>
          </w:tcPr>
          <w:p w14:paraId="575F6D1D" w14:textId="22E3ABEC" w:rsidR="00425E13" w:rsidRPr="00135762" w:rsidRDefault="00425E13" w:rsidP="00135762">
            <w:pPr>
              <w:pStyle w:val="FERCparanumber"/>
              <w:numPr>
                <w:ilvl w:val="0"/>
                <w:numId w:val="0"/>
              </w:numPr>
              <w:spacing w:line="240" w:lineRule="auto"/>
              <w:jc w:val="right"/>
              <w:rPr>
                <w:sz w:val="24"/>
              </w:rPr>
            </w:pPr>
            <w:r w:rsidRPr="00135762">
              <w:rPr>
                <w:sz w:val="24"/>
              </w:rPr>
              <w:t>Rep. 10 hrs., $669;</w:t>
            </w:r>
            <w:r w:rsidRPr="00135762">
              <w:rPr>
                <w:sz w:val="24"/>
              </w:rPr>
              <w:br/>
              <w:t xml:space="preserve">RK. 10 hrs., </w:t>
            </w:r>
            <w:r w:rsidR="00991BA8">
              <w:rPr>
                <w:sz w:val="24"/>
              </w:rPr>
              <w:t>$</w:t>
            </w:r>
            <w:r w:rsidRPr="00135762">
              <w:rPr>
                <w:sz w:val="24"/>
              </w:rPr>
              <w:t>320.40</w:t>
            </w:r>
          </w:p>
        </w:tc>
        <w:tc>
          <w:tcPr>
            <w:tcW w:w="1369" w:type="dxa"/>
            <w:vAlign w:val="bottom"/>
          </w:tcPr>
          <w:p w14:paraId="02E9E3A8" w14:textId="77777777" w:rsidR="00425E13" w:rsidRPr="00135762" w:rsidRDefault="00425E13" w:rsidP="00135762">
            <w:pPr>
              <w:pStyle w:val="FERCparanumber"/>
              <w:numPr>
                <w:ilvl w:val="0"/>
                <w:numId w:val="0"/>
              </w:numPr>
              <w:spacing w:line="240" w:lineRule="auto"/>
              <w:jc w:val="right"/>
              <w:rPr>
                <w:sz w:val="24"/>
              </w:rPr>
            </w:pPr>
            <w:r w:rsidRPr="00135762">
              <w:rPr>
                <w:sz w:val="24"/>
              </w:rPr>
              <w:t>Rep. 1,880 hrs. $125,772; RK 1,880 hrs., $60,235</w:t>
            </w:r>
          </w:p>
        </w:tc>
        <w:tc>
          <w:tcPr>
            <w:tcW w:w="1370" w:type="dxa"/>
            <w:vAlign w:val="bottom"/>
          </w:tcPr>
          <w:p w14:paraId="61CF49A5" w14:textId="77777777" w:rsidR="00425E13" w:rsidRPr="00135762" w:rsidRDefault="00425E13" w:rsidP="00135762">
            <w:pPr>
              <w:pStyle w:val="FERCparanumber"/>
              <w:numPr>
                <w:ilvl w:val="0"/>
                <w:numId w:val="0"/>
              </w:numPr>
              <w:spacing w:line="240" w:lineRule="auto"/>
              <w:jc w:val="right"/>
              <w:rPr>
                <w:sz w:val="24"/>
              </w:rPr>
            </w:pPr>
            <w:r w:rsidRPr="00135762">
              <w:rPr>
                <w:sz w:val="24"/>
              </w:rPr>
              <w:t>Rep. 10 hrs., $669; RK 10 hrs., $320.40</w:t>
            </w:r>
          </w:p>
        </w:tc>
      </w:tr>
      <w:tr w:rsidR="00425E13" w:rsidRPr="00135762" w14:paraId="1CC74DD5" w14:textId="77777777" w:rsidTr="004F18C0">
        <w:trPr>
          <w:trHeight w:val="710"/>
        </w:trPr>
        <w:tc>
          <w:tcPr>
            <w:tcW w:w="1369" w:type="dxa"/>
            <w:vAlign w:val="center"/>
          </w:tcPr>
          <w:p w14:paraId="5856CD2C" w14:textId="77777777" w:rsidR="00425E13" w:rsidRPr="00135762" w:rsidRDefault="00425E13" w:rsidP="004F18C0">
            <w:pPr>
              <w:pStyle w:val="FERCparanumber"/>
              <w:numPr>
                <w:ilvl w:val="0"/>
                <w:numId w:val="0"/>
              </w:numPr>
              <w:spacing w:line="240" w:lineRule="auto"/>
              <w:rPr>
                <w:sz w:val="24"/>
              </w:rPr>
            </w:pPr>
            <w:r w:rsidRPr="00135762">
              <w:rPr>
                <w:sz w:val="24"/>
              </w:rPr>
              <w:t xml:space="preserve">Total Additional Hrs. and Cost (rounded), due to Final Rule in RM18-8 </w:t>
            </w:r>
          </w:p>
        </w:tc>
        <w:tc>
          <w:tcPr>
            <w:tcW w:w="1369" w:type="dxa"/>
            <w:vAlign w:val="bottom"/>
          </w:tcPr>
          <w:p w14:paraId="150A03ED" w14:textId="77777777" w:rsidR="00425E13" w:rsidRPr="00135762" w:rsidRDefault="00425E13" w:rsidP="00135762">
            <w:pPr>
              <w:pStyle w:val="FERCparanumber"/>
              <w:numPr>
                <w:ilvl w:val="0"/>
                <w:numId w:val="0"/>
              </w:numPr>
              <w:spacing w:line="240" w:lineRule="auto"/>
              <w:jc w:val="right"/>
              <w:rPr>
                <w:sz w:val="24"/>
              </w:rPr>
            </w:pPr>
          </w:p>
        </w:tc>
        <w:tc>
          <w:tcPr>
            <w:tcW w:w="1370" w:type="dxa"/>
            <w:vAlign w:val="bottom"/>
          </w:tcPr>
          <w:p w14:paraId="3C456700" w14:textId="77777777" w:rsidR="00425E13" w:rsidRPr="00135762" w:rsidRDefault="00425E13" w:rsidP="00135762">
            <w:pPr>
              <w:pStyle w:val="FERCparanumber"/>
              <w:numPr>
                <w:ilvl w:val="0"/>
                <w:numId w:val="0"/>
              </w:numPr>
              <w:spacing w:line="240" w:lineRule="auto"/>
              <w:jc w:val="right"/>
              <w:rPr>
                <w:sz w:val="24"/>
              </w:rPr>
            </w:pPr>
          </w:p>
        </w:tc>
        <w:tc>
          <w:tcPr>
            <w:tcW w:w="1369" w:type="dxa"/>
            <w:vAlign w:val="bottom"/>
          </w:tcPr>
          <w:p w14:paraId="4D8D44EA" w14:textId="77777777" w:rsidR="00425E13" w:rsidRPr="00135762" w:rsidRDefault="00425E13" w:rsidP="00135762">
            <w:pPr>
              <w:pStyle w:val="FERCparanumber"/>
              <w:numPr>
                <w:ilvl w:val="0"/>
                <w:numId w:val="0"/>
              </w:numPr>
              <w:spacing w:line="240" w:lineRule="auto"/>
              <w:jc w:val="right"/>
              <w:rPr>
                <w:sz w:val="24"/>
              </w:rPr>
            </w:pPr>
          </w:p>
        </w:tc>
        <w:tc>
          <w:tcPr>
            <w:tcW w:w="1370" w:type="dxa"/>
            <w:shd w:val="clear" w:color="auto" w:fill="auto"/>
            <w:vAlign w:val="bottom"/>
          </w:tcPr>
          <w:p w14:paraId="3F999DA6" w14:textId="77777777" w:rsidR="00425E13" w:rsidRPr="00135762" w:rsidRDefault="00425E13" w:rsidP="00135762">
            <w:pPr>
              <w:pStyle w:val="FERCparanumber"/>
              <w:numPr>
                <w:ilvl w:val="0"/>
                <w:numId w:val="0"/>
              </w:numPr>
              <w:spacing w:line="240" w:lineRule="auto"/>
              <w:jc w:val="right"/>
              <w:rPr>
                <w:sz w:val="24"/>
              </w:rPr>
            </w:pPr>
          </w:p>
        </w:tc>
        <w:tc>
          <w:tcPr>
            <w:tcW w:w="1369" w:type="dxa"/>
            <w:vAlign w:val="bottom"/>
          </w:tcPr>
          <w:p w14:paraId="0341BE94" w14:textId="77777777" w:rsidR="00425E13" w:rsidRPr="00135762" w:rsidRDefault="00425E13" w:rsidP="00135762">
            <w:pPr>
              <w:pStyle w:val="FERCparanumber"/>
              <w:numPr>
                <w:ilvl w:val="0"/>
                <w:numId w:val="0"/>
              </w:numPr>
              <w:spacing w:line="240" w:lineRule="auto"/>
              <w:jc w:val="right"/>
              <w:rPr>
                <w:sz w:val="24"/>
              </w:rPr>
            </w:pPr>
            <w:r w:rsidRPr="00135762">
              <w:rPr>
                <w:sz w:val="24"/>
              </w:rPr>
              <w:t>Rep., 6,533</w:t>
            </w:r>
          </w:p>
          <w:p w14:paraId="0C38DC01" w14:textId="77777777" w:rsidR="00425E13" w:rsidRPr="00135762" w:rsidRDefault="00425E13" w:rsidP="00135762">
            <w:pPr>
              <w:pStyle w:val="FERCparanumber"/>
              <w:numPr>
                <w:ilvl w:val="0"/>
                <w:numId w:val="0"/>
              </w:numPr>
              <w:spacing w:line="240" w:lineRule="auto"/>
              <w:jc w:val="right"/>
              <w:rPr>
                <w:sz w:val="24"/>
              </w:rPr>
            </w:pPr>
            <w:r w:rsidRPr="00135762">
              <w:rPr>
                <w:sz w:val="24"/>
              </w:rPr>
              <w:t xml:space="preserve"> hrs., $437,057; RK 6,009</w:t>
            </w:r>
          </w:p>
          <w:p w14:paraId="7C5CDA98" w14:textId="77777777" w:rsidR="00425E13" w:rsidRPr="00135762" w:rsidRDefault="00425E13" w:rsidP="00135762">
            <w:pPr>
              <w:pStyle w:val="FERCparanumber"/>
              <w:numPr>
                <w:ilvl w:val="0"/>
                <w:numId w:val="0"/>
              </w:numPr>
              <w:spacing w:line="240" w:lineRule="auto"/>
              <w:jc w:val="right"/>
              <w:rPr>
                <w:sz w:val="24"/>
              </w:rPr>
            </w:pPr>
            <w:r w:rsidRPr="00135762">
              <w:rPr>
                <w:sz w:val="24"/>
              </w:rPr>
              <w:t>hrs., $192,528</w:t>
            </w:r>
          </w:p>
        </w:tc>
        <w:tc>
          <w:tcPr>
            <w:tcW w:w="1370" w:type="dxa"/>
            <w:vAlign w:val="bottom"/>
          </w:tcPr>
          <w:p w14:paraId="113AEDF3" w14:textId="77777777" w:rsidR="00425E13" w:rsidRPr="00135762" w:rsidRDefault="00425E13" w:rsidP="00135762">
            <w:pPr>
              <w:pStyle w:val="FERCparanumber"/>
              <w:numPr>
                <w:ilvl w:val="0"/>
                <w:numId w:val="0"/>
              </w:numPr>
              <w:spacing w:line="240" w:lineRule="auto"/>
              <w:jc w:val="right"/>
              <w:rPr>
                <w:sz w:val="24"/>
              </w:rPr>
            </w:pPr>
          </w:p>
        </w:tc>
      </w:tr>
    </w:tbl>
    <w:p w14:paraId="2C1AB26A" w14:textId="4B9D7D57" w:rsidR="00851BC4" w:rsidRDefault="00851BC4" w:rsidP="0092596C">
      <w:pPr>
        <w:spacing w:after="0" w:line="240" w:lineRule="auto"/>
        <w:rPr>
          <w:rFonts w:ascii="Times New Roman" w:hAnsi="Times New Roman" w:cs="Times New Roman"/>
          <w:sz w:val="24"/>
          <w:szCs w:val="24"/>
        </w:rPr>
      </w:pPr>
    </w:p>
    <w:p w14:paraId="173B611B" w14:textId="77777777" w:rsidR="0058558B" w:rsidRDefault="00482C87"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35CDC">
        <w:rPr>
          <w:rFonts w:ascii="Times New Roman" w:hAnsi="Times New Roman" w:cs="Times New Roman"/>
          <w:sz w:val="24"/>
          <w:szCs w:val="24"/>
        </w:rPr>
        <w:t xml:space="preserve">estimated </w:t>
      </w:r>
      <w:r>
        <w:rPr>
          <w:rFonts w:ascii="Times New Roman" w:hAnsi="Times New Roman" w:cs="Times New Roman"/>
          <w:sz w:val="24"/>
          <w:szCs w:val="24"/>
        </w:rPr>
        <w:t xml:space="preserve">burden </w:t>
      </w:r>
      <w:r w:rsidR="00D50C40">
        <w:rPr>
          <w:rFonts w:ascii="Times New Roman" w:hAnsi="Times New Roman" w:cs="Times New Roman"/>
          <w:sz w:val="24"/>
          <w:szCs w:val="24"/>
        </w:rPr>
        <w:t xml:space="preserve">for RM18-8 </w:t>
      </w:r>
      <w:r>
        <w:rPr>
          <w:rFonts w:ascii="Times New Roman" w:hAnsi="Times New Roman" w:cs="Times New Roman"/>
          <w:sz w:val="24"/>
          <w:szCs w:val="24"/>
        </w:rPr>
        <w:t xml:space="preserve">in the table above is in addition to the current OMB-approved inventory </w:t>
      </w:r>
      <w:r w:rsidR="00ED3844">
        <w:rPr>
          <w:rFonts w:ascii="Times New Roman" w:hAnsi="Times New Roman" w:cs="Times New Roman"/>
          <w:sz w:val="24"/>
          <w:szCs w:val="24"/>
        </w:rPr>
        <w:t xml:space="preserve">for FERC-725N </w:t>
      </w:r>
      <w:r>
        <w:rPr>
          <w:rFonts w:ascii="Times New Roman" w:hAnsi="Times New Roman" w:cs="Times New Roman"/>
          <w:sz w:val="24"/>
          <w:szCs w:val="24"/>
        </w:rPr>
        <w:t xml:space="preserve">of </w:t>
      </w:r>
      <w:r w:rsidRPr="00482C87">
        <w:rPr>
          <w:rFonts w:ascii="Times New Roman" w:hAnsi="Times New Roman" w:cs="Times New Roman"/>
          <w:sz w:val="24"/>
          <w:szCs w:val="24"/>
        </w:rPr>
        <w:t>45,020</w:t>
      </w:r>
      <w:r>
        <w:rPr>
          <w:rFonts w:ascii="Times New Roman" w:hAnsi="Times New Roman" w:cs="Times New Roman"/>
          <w:sz w:val="24"/>
          <w:szCs w:val="24"/>
        </w:rPr>
        <w:t xml:space="preserve"> hours </w:t>
      </w:r>
      <w:r w:rsidR="00D50C40">
        <w:rPr>
          <w:rFonts w:ascii="Times New Roman" w:hAnsi="Times New Roman" w:cs="Times New Roman"/>
          <w:sz w:val="24"/>
          <w:szCs w:val="24"/>
        </w:rPr>
        <w:t>(</w:t>
      </w:r>
      <w:r>
        <w:rPr>
          <w:rFonts w:ascii="Times New Roman" w:hAnsi="Times New Roman" w:cs="Times New Roman"/>
          <w:sz w:val="24"/>
          <w:szCs w:val="24"/>
        </w:rPr>
        <w:t xml:space="preserve">for </w:t>
      </w:r>
      <w:r w:rsidRPr="00482C87">
        <w:rPr>
          <w:rFonts w:ascii="Times New Roman" w:hAnsi="Times New Roman" w:cs="Times New Roman"/>
          <w:sz w:val="24"/>
          <w:szCs w:val="24"/>
        </w:rPr>
        <w:t>2,205</w:t>
      </w:r>
      <w:r>
        <w:rPr>
          <w:rFonts w:ascii="Times New Roman" w:hAnsi="Times New Roman" w:cs="Times New Roman"/>
          <w:sz w:val="24"/>
          <w:szCs w:val="24"/>
        </w:rPr>
        <w:t xml:space="preserve"> responses</w:t>
      </w:r>
      <w:r w:rsidR="00D50C40">
        <w:rPr>
          <w:rFonts w:ascii="Times New Roman" w:hAnsi="Times New Roman" w:cs="Times New Roman"/>
          <w:sz w:val="24"/>
          <w:szCs w:val="24"/>
        </w:rPr>
        <w:t>)</w:t>
      </w:r>
      <w:r>
        <w:rPr>
          <w:rFonts w:ascii="Times New Roman" w:hAnsi="Times New Roman" w:cs="Times New Roman"/>
          <w:sz w:val="24"/>
          <w:szCs w:val="24"/>
        </w:rPr>
        <w:t>.</w:t>
      </w:r>
      <w:r w:rsidR="00D50C40">
        <w:rPr>
          <w:rFonts w:ascii="Times New Roman" w:hAnsi="Times New Roman" w:cs="Times New Roman"/>
          <w:sz w:val="24"/>
          <w:szCs w:val="24"/>
        </w:rPr>
        <w:t xml:space="preserve">  </w:t>
      </w:r>
      <w:r w:rsidR="00DC3DA7">
        <w:rPr>
          <w:rFonts w:ascii="Times New Roman" w:hAnsi="Times New Roman" w:cs="Times New Roman"/>
          <w:sz w:val="24"/>
          <w:szCs w:val="24"/>
        </w:rPr>
        <w:t>T</w:t>
      </w:r>
      <w:r w:rsidR="00D50C40">
        <w:rPr>
          <w:rFonts w:ascii="Times New Roman" w:hAnsi="Times New Roman" w:cs="Times New Roman"/>
          <w:sz w:val="24"/>
          <w:szCs w:val="24"/>
        </w:rPr>
        <w:t>he new annual estimated burden total would be 57, 562 hours {(45,020 + 6,533 [reporting] + 6,009 [recordkeeping]) hrs.}.</w:t>
      </w:r>
    </w:p>
    <w:p w14:paraId="5C08FF0E" w14:textId="77777777" w:rsidR="00482C87" w:rsidRPr="00B16372" w:rsidRDefault="00482C87" w:rsidP="0092596C">
      <w:pPr>
        <w:spacing w:after="0" w:line="240" w:lineRule="auto"/>
        <w:rPr>
          <w:rFonts w:ascii="Times New Roman" w:hAnsi="Times New Roman" w:cs="Times New Roman"/>
          <w:sz w:val="24"/>
          <w:szCs w:val="24"/>
        </w:rPr>
      </w:pPr>
    </w:p>
    <w:p w14:paraId="602DA968" w14:textId="77777777" w:rsidR="00462F59" w:rsidRPr="00462F59" w:rsidRDefault="00E636D7" w:rsidP="00462F59">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52C8D525" w14:textId="77777777" w:rsidR="00CC22DB" w:rsidRDefault="00CC22DB" w:rsidP="00462F59">
      <w:pPr>
        <w:spacing w:after="0" w:line="240" w:lineRule="auto"/>
        <w:rPr>
          <w:rFonts w:ascii="Times New Roman" w:hAnsi="Times New Roman" w:cs="Times New Roman"/>
          <w:sz w:val="24"/>
          <w:szCs w:val="24"/>
        </w:rPr>
      </w:pPr>
    </w:p>
    <w:p w14:paraId="7DA5C886" w14:textId="2D3AF968" w:rsidR="00E636D7" w:rsidRDefault="00462F59" w:rsidP="0092596C">
      <w:pPr>
        <w:spacing w:after="0" w:line="240" w:lineRule="auto"/>
        <w:rPr>
          <w:rFonts w:ascii="Times New Roman" w:hAnsi="Times New Roman" w:cs="Times New Roman"/>
          <w:sz w:val="24"/>
          <w:szCs w:val="24"/>
        </w:rPr>
      </w:pPr>
      <w:r w:rsidRPr="00462F59">
        <w:rPr>
          <w:rFonts w:ascii="Times New Roman" w:hAnsi="Times New Roman" w:cs="Times New Roman"/>
          <w:sz w:val="24"/>
          <w:szCs w:val="24"/>
        </w:rPr>
        <w:t>There are no non-labor costs currently associated with the FERC-725</w:t>
      </w:r>
      <w:r>
        <w:rPr>
          <w:rFonts w:ascii="Times New Roman" w:hAnsi="Times New Roman" w:cs="Times New Roman"/>
          <w:sz w:val="24"/>
          <w:szCs w:val="24"/>
        </w:rPr>
        <w:t>N</w:t>
      </w:r>
      <w:r w:rsidRPr="00462F59">
        <w:rPr>
          <w:rFonts w:ascii="Times New Roman" w:hAnsi="Times New Roman" w:cs="Times New Roman"/>
          <w:sz w:val="24"/>
          <w:szCs w:val="24"/>
        </w:rPr>
        <w:t>.</w:t>
      </w:r>
      <w:r w:rsidR="00C81610">
        <w:rPr>
          <w:rFonts w:ascii="Times New Roman" w:hAnsi="Times New Roman" w:cs="Times New Roman"/>
          <w:sz w:val="24"/>
          <w:szCs w:val="24"/>
        </w:rPr>
        <w:t xml:space="preserve">  </w:t>
      </w:r>
      <w:r w:rsidR="006F75DB">
        <w:rPr>
          <w:rFonts w:ascii="Times New Roman" w:hAnsi="Times New Roman" w:cs="Times New Roman"/>
          <w:sz w:val="24"/>
          <w:szCs w:val="24"/>
        </w:rPr>
        <w:t xml:space="preserve">All of the </w:t>
      </w:r>
      <w:r w:rsidR="00C81610">
        <w:rPr>
          <w:rFonts w:ascii="Times New Roman" w:hAnsi="Times New Roman" w:cs="Times New Roman"/>
          <w:sz w:val="24"/>
          <w:szCs w:val="24"/>
        </w:rPr>
        <w:t xml:space="preserve">PRA-related </w:t>
      </w:r>
      <w:r w:rsidR="006F75DB">
        <w:rPr>
          <w:rFonts w:ascii="Times New Roman" w:hAnsi="Times New Roman" w:cs="Times New Roman"/>
          <w:sz w:val="24"/>
          <w:szCs w:val="24"/>
        </w:rPr>
        <w:t xml:space="preserve">costs </w:t>
      </w:r>
      <w:r w:rsidR="004A7467">
        <w:rPr>
          <w:rFonts w:ascii="Times New Roman" w:hAnsi="Times New Roman" w:cs="Times New Roman"/>
          <w:sz w:val="24"/>
          <w:szCs w:val="24"/>
        </w:rPr>
        <w:t xml:space="preserve">due to </w:t>
      </w:r>
      <w:r w:rsidR="006F75DB">
        <w:rPr>
          <w:rFonts w:ascii="Times New Roman" w:hAnsi="Times New Roman" w:cs="Times New Roman"/>
          <w:sz w:val="24"/>
          <w:szCs w:val="24"/>
        </w:rPr>
        <w:t xml:space="preserve">the </w:t>
      </w:r>
      <w:r w:rsidR="00E35F36">
        <w:rPr>
          <w:rFonts w:ascii="Times New Roman" w:hAnsi="Times New Roman" w:cs="Times New Roman"/>
          <w:sz w:val="24"/>
          <w:szCs w:val="24"/>
        </w:rPr>
        <w:t xml:space="preserve">Final Rule </w:t>
      </w:r>
      <w:r w:rsidR="00CC22DB">
        <w:rPr>
          <w:rFonts w:ascii="Times New Roman" w:hAnsi="Times New Roman" w:cs="Times New Roman"/>
          <w:sz w:val="24"/>
          <w:szCs w:val="24"/>
        </w:rPr>
        <w:t>in RM18-8</w:t>
      </w:r>
      <w:r w:rsidR="00051011">
        <w:rPr>
          <w:rFonts w:ascii="Times New Roman" w:hAnsi="Times New Roman" w:cs="Times New Roman"/>
          <w:sz w:val="24"/>
          <w:szCs w:val="24"/>
        </w:rPr>
        <w:t xml:space="preserve"> </w:t>
      </w:r>
      <w:r w:rsidRPr="00462F59">
        <w:rPr>
          <w:rFonts w:ascii="Times New Roman" w:hAnsi="Times New Roman" w:cs="Times New Roman"/>
          <w:sz w:val="24"/>
          <w:szCs w:val="24"/>
        </w:rPr>
        <w:t>are associated with burden hours (labor) and described in #12 and 15.</w:t>
      </w:r>
    </w:p>
    <w:p w14:paraId="5C0AC5F2" w14:textId="77777777" w:rsidR="00462F59" w:rsidRPr="00B16372" w:rsidRDefault="00462F59" w:rsidP="0092596C">
      <w:pPr>
        <w:spacing w:after="0" w:line="240" w:lineRule="auto"/>
        <w:rPr>
          <w:rFonts w:ascii="Times New Roman" w:hAnsi="Times New Roman" w:cs="Times New Roman"/>
          <w:sz w:val="24"/>
          <w:szCs w:val="24"/>
        </w:rPr>
      </w:pPr>
    </w:p>
    <w:p w14:paraId="2458CC21" w14:textId="77777777"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7D9BC116" w14:textId="77777777" w:rsidR="00A276F5" w:rsidRPr="00B16372" w:rsidRDefault="00A276F5" w:rsidP="0092596C">
      <w:pPr>
        <w:spacing w:after="0" w:line="240" w:lineRule="auto"/>
        <w:rPr>
          <w:rFonts w:ascii="Times New Roman" w:hAnsi="Times New Roman" w:cs="Times New Roman"/>
          <w:sz w:val="24"/>
          <w:szCs w:val="24"/>
        </w:rPr>
      </w:pPr>
    </w:p>
    <w:p w14:paraId="5B4B648C" w14:textId="77777777" w:rsidR="00C61BCC" w:rsidRPr="00C61BCC" w:rsidRDefault="00C61BCC" w:rsidP="00EE4B53">
      <w:pPr>
        <w:spacing w:after="0" w:line="240" w:lineRule="auto"/>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Any </w:t>
      </w:r>
      <w:r w:rsidR="00841B82">
        <w:rPr>
          <w:rFonts w:ascii="Times New Roman" w:eastAsia="Calibri" w:hAnsi="Times New Roman" w:cs="Times New Roman"/>
          <w:sz w:val="24"/>
          <w:szCs w:val="24"/>
        </w:rPr>
        <w:t xml:space="preserve">related </w:t>
      </w:r>
      <w:r w:rsidRPr="00C61BCC">
        <w:rPr>
          <w:rFonts w:ascii="Times New Roman" w:eastAsia="Calibri" w:hAnsi="Times New Roman" w:cs="Times New Roman"/>
          <w:sz w:val="24"/>
          <w:szCs w:val="24"/>
        </w:rPr>
        <w:t xml:space="preserve">involvement by the Commission is covered under the FERC-725 collection (OMB Control No. 1902-0225) and is not part of this request or package.  </w:t>
      </w:r>
    </w:p>
    <w:p w14:paraId="765D3CED" w14:textId="77777777" w:rsidR="00C61BCC" w:rsidRDefault="00C61BCC" w:rsidP="00EE4B53">
      <w:pPr>
        <w:spacing w:after="0" w:line="240" w:lineRule="auto"/>
        <w:rPr>
          <w:rFonts w:ascii="Times New Roman" w:eastAsia="Times New Roman" w:hAnsi="Times New Roman" w:cs="Times New Roman"/>
          <w:sz w:val="24"/>
          <w:szCs w:val="24"/>
        </w:rPr>
      </w:pPr>
    </w:p>
    <w:p w14:paraId="71F749C7" w14:textId="77777777" w:rsidR="00CA64E4" w:rsidRDefault="00CA64E4" w:rsidP="00EE4B53">
      <w:pPr>
        <w:spacing w:after="0" w:line="240" w:lineRule="auto"/>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w:t>
      </w:r>
      <w:r>
        <w:rPr>
          <w:rFonts w:ascii="Times New Roman" w:eastAsia="Times New Roman" w:hAnsi="Times New Roman" w:cs="Times New Roman"/>
          <w:sz w:val="24"/>
          <w:szCs w:val="24"/>
        </w:rPr>
        <w:t>information collection.  T</w:t>
      </w:r>
      <w:r w:rsidRPr="00CA64E4">
        <w:rPr>
          <w:rFonts w:ascii="Times New Roman" w:eastAsia="Times New Roman" w:hAnsi="Times New Roman" w:cs="Times New Roman"/>
          <w:sz w:val="24"/>
          <w:szCs w:val="24"/>
        </w:rPr>
        <w:t xml:space="preserve">his average annual cost </w:t>
      </w:r>
      <w:r>
        <w:rPr>
          <w:rFonts w:ascii="Times New Roman" w:eastAsia="Times New Roman" w:hAnsi="Times New Roman" w:cs="Times New Roman"/>
          <w:sz w:val="24"/>
          <w:szCs w:val="24"/>
        </w:rPr>
        <w:t xml:space="preserve">(updated 5/2018) </w:t>
      </w:r>
      <w:r w:rsidRPr="00CA64E4">
        <w:rPr>
          <w:rFonts w:ascii="Times New Roman" w:eastAsia="Times New Roman" w:hAnsi="Times New Roman" w:cs="Times New Roman"/>
          <w:sz w:val="24"/>
          <w:szCs w:val="24"/>
        </w:rPr>
        <w:t xml:space="preserve">includes requests for extensions, all associated rulemakings, and other changes to the collection, as well as </w:t>
      </w:r>
      <w:r w:rsidR="00C65FB5">
        <w:rPr>
          <w:rFonts w:ascii="Times New Roman" w:eastAsia="Times New Roman" w:hAnsi="Times New Roman" w:cs="Times New Roman"/>
          <w:sz w:val="24"/>
          <w:szCs w:val="24"/>
        </w:rPr>
        <w:t xml:space="preserve">necessary </w:t>
      </w:r>
      <w:r w:rsidRPr="00CA64E4">
        <w:rPr>
          <w:rFonts w:ascii="Times New Roman" w:eastAsia="Times New Roman" w:hAnsi="Times New Roman" w:cs="Times New Roman"/>
          <w:sz w:val="24"/>
          <w:szCs w:val="24"/>
        </w:rPr>
        <w:t>publications in the Federal Register.</w:t>
      </w:r>
    </w:p>
    <w:p w14:paraId="36D656E6" w14:textId="77777777" w:rsidR="00CA64E4" w:rsidRDefault="00CA64E4" w:rsidP="00C61BCC">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73268A" w:rsidRPr="0073268A" w14:paraId="082B6BB6" w14:textId="77777777" w:rsidTr="00BE6733">
        <w:tc>
          <w:tcPr>
            <w:tcW w:w="2938" w:type="dxa"/>
            <w:shd w:val="clear" w:color="auto" w:fill="CCCCCC"/>
            <w:vAlign w:val="bottom"/>
          </w:tcPr>
          <w:p w14:paraId="57D075EB"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FERC-725N</w:t>
            </w:r>
          </w:p>
        </w:tc>
        <w:tc>
          <w:tcPr>
            <w:tcW w:w="2953" w:type="dxa"/>
            <w:shd w:val="clear" w:color="auto" w:fill="CCCCCC"/>
            <w:vAlign w:val="bottom"/>
          </w:tcPr>
          <w:p w14:paraId="73489355"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Number of Employees (</w:t>
            </w:r>
            <w:r w:rsidR="00C91D42">
              <w:rPr>
                <w:rFonts w:ascii="Times New Roman" w:eastAsia="Times New Roman" w:hAnsi="Times New Roman" w:cs="Times New Roman"/>
                <w:b/>
                <w:sz w:val="24"/>
                <w:szCs w:val="24"/>
              </w:rPr>
              <w:t>Full-Time Equivalents [</w:t>
            </w:r>
            <w:r w:rsidRPr="0073268A">
              <w:rPr>
                <w:rFonts w:ascii="Times New Roman" w:eastAsia="Times New Roman" w:hAnsi="Times New Roman" w:cs="Times New Roman"/>
                <w:b/>
                <w:sz w:val="24"/>
                <w:szCs w:val="24"/>
              </w:rPr>
              <w:t>FTEs</w:t>
            </w:r>
            <w:r w:rsidR="00C91D42">
              <w:rPr>
                <w:rFonts w:ascii="Times New Roman" w:eastAsia="Times New Roman" w:hAnsi="Times New Roman" w:cs="Times New Roman"/>
                <w:b/>
                <w:sz w:val="24"/>
                <w:szCs w:val="24"/>
              </w:rPr>
              <w:t>]</w:t>
            </w:r>
            <w:r w:rsidRPr="0073268A">
              <w:rPr>
                <w:rFonts w:ascii="Times New Roman" w:eastAsia="Times New Roman" w:hAnsi="Times New Roman" w:cs="Times New Roman"/>
                <w:b/>
                <w:sz w:val="24"/>
                <w:szCs w:val="24"/>
              </w:rPr>
              <w:t>)</w:t>
            </w:r>
          </w:p>
        </w:tc>
        <w:tc>
          <w:tcPr>
            <w:tcW w:w="2965" w:type="dxa"/>
            <w:shd w:val="clear" w:color="auto" w:fill="CCCCCC"/>
            <w:vAlign w:val="bottom"/>
          </w:tcPr>
          <w:p w14:paraId="42491159" w14:textId="77777777" w:rsidR="0073268A" w:rsidRPr="0073268A" w:rsidRDefault="0073268A" w:rsidP="00BE6733">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3268A">
              <w:rPr>
                <w:rFonts w:ascii="Times New Roman" w:eastAsia="Times New Roman" w:hAnsi="Times New Roman" w:cs="Times New Roman"/>
                <w:b/>
                <w:sz w:val="24"/>
                <w:szCs w:val="24"/>
              </w:rPr>
              <w:t>Estimated Annual Federal Cost</w:t>
            </w:r>
          </w:p>
        </w:tc>
      </w:tr>
      <w:tr w:rsidR="0073268A" w:rsidRPr="0073268A" w14:paraId="1F9B4935" w14:textId="77777777" w:rsidTr="00BE6733">
        <w:tc>
          <w:tcPr>
            <w:tcW w:w="2938" w:type="dxa"/>
            <w:shd w:val="clear" w:color="auto" w:fill="auto"/>
          </w:tcPr>
          <w:p w14:paraId="04CFD992" w14:textId="77777777" w:rsidR="0073268A" w:rsidRPr="0073268A" w:rsidRDefault="0073268A" w:rsidP="00031BB8">
            <w:pPr>
              <w:widowControl w:val="0"/>
              <w:autoSpaceDE w:val="0"/>
              <w:autoSpaceDN w:val="0"/>
              <w:adjustRightInd w:val="0"/>
              <w:spacing w:after="0" w:line="240" w:lineRule="auto"/>
              <w:rPr>
                <w:rFonts w:ascii="Times New Roman" w:eastAsia="Times New Roman" w:hAnsi="Times New Roman" w:cs="Times New Roman"/>
                <w:sz w:val="24"/>
                <w:szCs w:val="24"/>
              </w:rPr>
            </w:pPr>
            <w:r w:rsidRPr="0073268A">
              <w:rPr>
                <w:rFonts w:ascii="Times New Roman" w:eastAsia="Times New Roman" w:hAnsi="Times New Roman" w:cs="Times New Roman"/>
                <w:sz w:val="24"/>
                <w:szCs w:val="26"/>
              </w:rPr>
              <w:t>PRA Administration Cost</w:t>
            </w:r>
          </w:p>
        </w:tc>
        <w:tc>
          <w:tcPr>
            <w:tcW w:w="2953" w:type="dxa"/>
            <w:shd w:val="clear" w:color="auto" w:fill="auto"/>
            <w:vAlign w:val="bottom"/>
          </w:tcPr>
          <w:p w14:paraId="34DA6F36"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vAlign w:val="bottom"/>
          </w:tcPr>
          <w:p w14:paraId="3AE934CC" w14:textId="77777777" w:rsidR="0073268A" w:rsidRPr="0073268A" w:rsidRDefault="00CA64E4" w:rsidP="00271AF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$4,931</w:t>
            </w:r>
          </w:p>
        </w:tc>
      </w:tr>
      <w:tr w:rsidR="0073268A" w:rsidRPr="0073268A" w14:paraId="569FA206" w14:textId="77777777" w:rsidTr="00BE6733">
        <w:tc>
          <w:tcPr>
            <w:tcW w:w="2938" w:type="dxa"/>
            <w:shd w:val="clear" w:color="auto" w:fill="auto"/>
          </w:tcPr>
          <w:p w14:paraId="23543A97" w14:textId="77777777" w:rsidR="0073268A" w:rsidRPr="0073268A" w:rsidRDefault="0073268A" w:rsidP="00252715">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Data Processing and Analysis</w:t>
            </w:r>
          </w:p>
        </w:tc>
        <w:tc>
          <w:tcPr>
            <w:tcW w:w="2953" w:type="dxa"/>
            <w:shd w:val="clear" w:color="auto" w:fill="auto"/>
            <w:vAlign w:val="bottom"/>
          </w:tcPr>
          <w:p w14:paraId="71587F81"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65" w:type="dxa"/>
            <w:shd w:val="clear" w:color="auto" w:fill="auto"/>
            <w:vAlign w:val="bottom"/>
          </w:tcPr>
          <w:p w14:paraId="6B207118"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73268A">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r>
      <w:tr w:rsidR="0073268A" w:rsidRPr="0073268A" w14:paraId="128D4963" w14:textId="77777777" w:rsidTr="00BE6733">
        <w:tc>
          <w:tcPr>
            <w:tcW w:w="2938" w:type="dxa"/>
            <w:shd w:val="clear" w:color="auto" w:fill="auto"/>
          </w:tcPr>
          <w:p w14:paraId="4517A735" w14:textId="77777777" w:rsidR="0073268A" w:rsidRPr="0073268A" w:rsidRDefault="0073268A" w:rsidP="0073268A">
            <w:pPr>
              <w:widowControl w:val="0"/>
              <w:autoSpaceDE w:val="0"/>
              <w:autoSpaceDN w:val="0"/>
              <w:adjustRightInd w:val="0"/>
              <w:spacing w:after="0" w:line="240" w:lineRule="auto"/>
              <w:rPr>
                <w:rFonts w:ascii="Times New Roman" w:eastAsia="Times New Roman" w:hAnsi="Times New Roman" w:cs="Times New Roman"/>
                <w:sz w:val="24"/>
                <w:szCs w:val="26"/>
              </w:rPr>
            </w:pPr>
            <w:r w:rsidRPr="0073268A">
              <w:rPr>
                <w:rFonts w:ascii="Times New Roman" w:eastAsia="Times New Roman" w:hAnsi="Times New Roman" w:cs="Times New Roman"/>
                <w:sz w:val="24"/>
                <w:szCs w:val="26"/>
              </w:rPr>
              <w:t>FERC Total</w:t>
            </w:r>
          </w:p>
        </w:tc>
        <w:tc>
          <w:tcPr>
            <w:tcW w:w="2953" w:type="dxa"/>
            <w:tcBorders>
              <w:bottom w:val="single" w:sz="4" w:space="0" w:color="auto"/>
            </w:tcBorders>
            <w:shd w:val="clear" w:color="auto" w:fill="BFBFBF"/>
            <w:vAlign w:val="bottom"/>
          </w:tcPr>
          <w:p w14:paraId="37766CBA" w14:textId="77777777" w:rsidR="0073268A" w:rsidRPr="0073268A" w:rsidRDefault="0073268A" w:rsidP="0073268A">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vAlign w:val="bottom"/>
          </w:tcPr>
          <w:p w14:paraId="5535F88E" w14:textId="77777777" w:rsidR="0073268A" w:rsidRPr="0073268A" w:rsidRDefault="00CA64E4" w:rsidP="00271AF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CA64E4">
              <w:rPr>
                <w:rFonts w:ascii="Times New Roman" w:eastAsia="Times New Roman" w:hAnsi="Times New Roman" w:cs="Times New Roman"/>
                <w:sz w:val="24"/>
                <w:szCs w:val="24"/>
              </w:rPr>
              <w:t>$4,931</w:t>
            </w:r>
          </w:p>
        </w:tc>
      </w:tr>
    </w:tbl>
    <w:p w14:paraId="514520B9" w14:textId="77777777" w:rsidR="00A276F5" w:rsidRPr="00B16372" w:rsidRDefault="00A276F5" w:rsidP="0092596C">
      <w:pPr>
        <w:spacing w:after="0" w:line="240" w:lineRule="auto"/>
        <w:rPr>
          <w:rFonts w:ascii="Times New Roman" w:hAnsi="Times New Roman" w:cs="Times New Roman"/>
          <w:sz w:val="24"/>
          <w:szCs w:val="24"/>
        </w:rPr>
      </w:pPr>
    </w:p>
    <w:p w14:paraId="6405372A" w14:textId="77777777"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37223DEB" w14:textId="77777777" w:rsidR="00DB14A2" w:rsidRDefault="00DB14A2" w:rsidP="00DB14A2">
      <w:pPr>
        <w:spacing w:after="0" w:line="240" w:lineRule="auto"/>
        <w:rPr>
          <w:rFonts w:ascii="Times New Roman" w:hAnsi="Times New Roman" w:cs="Times New Roman"/>
          <w:sz w:val="24"/>
          <w:szCs w:val="24"/>
          <w:u w:val="single"/>
        </w:rPr>
      </w:pPr>
    </w:p>
    <w:p w14:paraId="37AE3D48" w14:textId="1ABC4E4A" w:rsidR="00C60AFD" w:rsidRDefault="00721C0C" w:rsidP="00C60AFD">
      <w:pPr>
        <w:spacing w:after="0" w:line="240" w:lineRule="auto"/>
        <w:rPr>
          <w:rFonts w:ascii="Times New Roman" w:hAnsi="Times New Roman" w:cs="Times New Roman"/>
          <w:sz w:val="24"/>
          <w:szCs w:val="24"/>
        </w:rPr>
      </w:pPr>
      <w:r>
        <w:rPr>
          <w:rFonts w:ascii="Times New Roman" w:hAnsi="Times New Roman" w:cs="Times New Roman"/>
          <w:sz w:val="24"/>
          <w:szCs w:val="24"/>
        </w:rPr>
        <w:t>In the Final Rule in RM18-8, t</w:t>
      </w:r>
      <w:r w:rsidR="00C60AFD">
        <w:rPr>
          <w:rFonts w:ascii="Times New Roman" w:hAnsi="Times New Roman" w:cs="Times New Roman"/>
          <w:sz w:val="24"/>
          <w:szCs w:val="24"/>
        </w:rPr>
        <w:t>he Commission</w:t>
      </w:r>
      <w:r w:rsidR="00C60AFD" w:rsidRPr="00BD6EEC">
        <w:rPr>
          <w:rFonts w:ascii="Times New Roman" w:hAnsi="Times New Roman" w:cs="Times New Roman"/>
          <w:sz w:val="24"/>
          <w:szCs w:val="24"/>
        </w:rPr>
        <w:t xml:space="preserve"> approve</w:t>
      </w:r>
      <w:r w:rsidR="003D14FF">
        <w:rPr>
          <w:rFonts w:ascii="Times New Roman" w:hAnsi="Times New Roman" w:cs="Times New Roman"/>
          <w:sz w:val="24"/>
          <w:szCs w:val="24"/>
        </w:rPr>
        <w:t>s</w:t>
      </w:r>
      <w:r w:rsidR="00C60AFD" w:rsidRPr="00BD6EEC">
        <w:rPr>
          <w:rFonts w:ascii="Times New Roman" w:hAnsi="Times New Roman" w:cs="Times New Roman"/>
          <w:sz w:val="24"/>
          <w:szCs w:val="24"/>
        </w:rPr>
        <w:t xml:space="preserve"> Reliability Standard TPL-007-</w:t>
      </w:r>
      <w:r w:rsidR="00C60AFD">
        <w:rPr>
          <w:rFonts w:ascii="Times New Roman" w:hAnsi="Times New Roman" w:cs="Times New Roman"/>
          <w:sz w:val="24"/>
          <w:szCs w:val="24"/>
        </w:rPr>
        <w:t>2</w:t>
      </w:r>
      <w:r w:rsidR="00C60AFD" w:rsidRPr="00BD6EEC">
        <w:rPr>
          <w:rFonts w:ascii="Times New Roman" w:hAnsi="Times New Roman" w:cs="Times New Roman"/>
          <w:sz w:val="24"/>
          <w:szCs w:val="24"/>
        </w:rPr>
        <w:t xml:space="preserve"> and the associated implementation plan, violation severity levels, and violation risk factors</w:t>
      </w:r>
      <w:r w:rsidR="00C60AFD">
        <w:rPr>
          <w:rFonts w:ascii="Times New Roman" w:hAnsi="Times New Roman" w:cs="Times New Roman"/>
          <w:sz w:val="24"/>
          <w:szCs w:val="24"/>
        </w:rPr>
        <w:t xml:space="preserve">, as discussed above.  </w:t>
      </w:r>
      <w:r w:rsidR="00135762" w:rsidRPr="00135762">
        <w:rPr>
          <w:rFonts w:ascii="Times New Roman" w:hAnsi="Times New Roman" w:cs="Times New Roman"/>
          <w:sz w:val="24"/>
          <w:szCs w:val="24"/>
        </w:rPr>
        <w:t>Reliab</w:t>
      </w:r>
      <w:r w:rsidR="00135762">
        <w:rPr>
          <w:rFonts w:ascii="Times New Roman" w:hAnsi="Times New Roman" w:cs="Times New Roman"/>
          <w:sz w:val="24"/>
          <w:szCs w:val="24"/>
        </w:rPr>
        <w:t xml:space="preserve">ility Standard TPL-007-2 </w:t>
      </w:r>
      <w:r w:rsidR="00135762" w:rsidRPr="00135762">
        <w:rPr>
          <w:rFonts w:ascii="Times New Roman" w:hAnsi="Times New Roman" w:cs="Times New Roman"/>
          <w:sz w:val="24"/>
          <w:szCs w:val="24"/>
        </w:rPr>
        <w:t xml:space="preserve">replaces currently-effective Reliability Standard TPL-007-1.  </w:t>
      </w:r>
      <w:r w:rsidR="00C60AFD" w:rsidRPr="00BD6EEC">
        <w:rPr>
          <w:rFonts w:ascii="Times New Roman" w:hAnsi="Times New Roman" w:cs="Times New Roman"/>
          <w:sz w:val="24"/>
          <w:szCs w:val="24"/>
        </w:rPr>
        <w:t>Reliability Standard TPL-007-</w:t>
      </w:r>
      <w:r w:rsidR="00C60AFD">
        <w:rPr>
          <w:rFonts w:ascii="Times New Roman" w:hAnsi="Times New Roman" w:cs="Times New Roman"/>
          <w:sz w:val="24"/>
          <w:szCs w:val="24"/>
        </w:rPr>
        <w:t>2</w:t>
      </w:r>
      <w:r w:rsidR="00C60AFD" w:rsidRPr="00BD6EEC">
        <w:rPr>
          <w:rFonts w:ascii="Times New Roman" w:hAnsi="Times New Roman" w:cs="Times New Roman"/>
          <w:sz w:val="24"/>
          <w:szCs w:val="24"/>
        </w:rPr>
        <w:t xml:space="preserve"> will </w:t>
      </w:r>
      <w:r w:rsidR="00C60AFD">
        <w:rPr>
          <w:rFonts w:ascii="Times New Roman" w:hAnsi="Times New Roman" w:cs="Times New Roman"/>
          <w:sz w:val="24"/>
          <w:szCs w:val="24"/>
        </w:rPr>
        <w:t xml:space="preserve">modify one requirement from TPL-007-1 and </w:t>
      </w:r>
      <w:r w:rsidR="00C60AFD" w:rsidRPr="00BD6EEC">
        <w:rPr>
          <w:rFonts w:ascii="Times New Roman" w:hAnsi="Times New Roman" w:cs="Times New Roman"/>
          <w:sz w:val="24"/>
          <w:szCs w:val="24"/>
        </w:rPr>
        <w:t xml:space="preserve">impose new requirements for transmission planners, planning coordinators, transmission owners, and generator owners.  </w:t>
      </w:r>
    </w:p>
    <w:p w14:paraId="3271D5FD" w14:textId="77777777" w:rsidR="00C60AFD" w:rsidRDefault="00C60AFD" w:rsidP="00DB14A2">
      <w:pPr>
        <w:spacing w:after="0" w:line="240" w:lineRule="auto"/>
        <w:rPr>
          <w:rFonts w:ascii="Times New Roman" w:hAnsi="Times New Roman" w:cs="Times New Roman"/>
          <w:sz w:val="24"/>
          <w:szCs w:val="24"/>
          <w:u w:val="single"/>
        </w:rPr>
      </w:pPr>
    </w:p>
    <w:p w14:paraId="542B14CA" w14:textId="77777777" w:rsidR="00C60AFD" w:rsidRDefault="00C60AFD" w:rsidP="00EE4B53">
      <w:pPr>
        <w:pStyle w:val="ListParagraph"/>
        <w:numPr>
          <w:ilvl w:val="0"/>
          <w:numId w:val="29"/>
        </w:numPr>
        <w:spacing w:after="0" w:line="240" w:lineRule="auto"/>
        <w:rPr>
          <w:rFonts w:ascii="Times New Roman" w:hAnsi="Times New Roman" w:cs="Times New Roman"/>
          <w:sz w:val="24"/>
          <w:szCs w:val="24"/>
        </w:rPr>
      </w:pPr>
      <w:r w:rsidRPr="00EE4B53">
        <w:rPr>
          <w:rFonts w:ascii="Times New Roman" w:hAnsi="Times New Roman" w:cs="Times New Roman"/>
          <w:sz w:val="24"/>
          <w:szCs w:val="24"/>
        </w:rPr>
        <w:t>Reliability Standard TPL-007-</w:t>
      </w:r>
      <w:r>
        <w:rPr>
          <w:rFonts w:ascii="Times New Roman" w:hAnsi="Times New Roman" w:cs="Times New Roman"/>
          <w:sz w:val="24"/>
          <w:szCs w:val="24"/>
        </w:rPr>
        <w:t>2, Requirement R7 modifies the existing TPL-007-1, Requirement R7, to require development of the corrective action plans within one year of the completion of the GMD Vulnerability Assessment and implementation of non-hardware mitigation within two years and hardware mitigation within four years.</w:t>
      </w:r>
    </w:p>
    <w:p w14:paraId="13C966F9" w14:textId="77777777" w:rsidR="00C60AFD" w:rsidRDefault="00C60AFD"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Reliability Standard TPL-007-2, Requirement R8 requires </w:t>
      </w:r>
      <w:r w:rsidR="003A68BC">
        <w:rPr>
          <w:rFonts w:ascii="Times New Roman" w:hAnsi="Times New Roman" w:cs="Times New Roman"/>
          <w:sz w:val="24"/>
          <w:szCs w:val="24"/>
        </w:rPr>
        <w:t>responsible entities</w:t>
      </w:r>
      <w:r>
        <w:rPr>
          <w:rFonts w:ascii="Times New Roman" w:hAnsi="Times New Roman" w:cs="Times New Roman"/>
          <w:sz w:val="24"/>
          <w:szCs w:val="24"/>
        </w:rPr>
        <w:t xml:space="preserve"> to perform a supplemental GMD Vulnerability Assessment</w:t>
      </w:r>
      <w:r w:rsidR="003A68BC">
        <w:rPr>
          <w:rFonts w:ascii="Times New Roman" w:hAnsi="Times New Roman" w:cs="Times New Roman"/>
          <w:sz w:val="24"/>
          <w:szCs w:val="24"/>
        </w:rPr>
        <w:t xml:space="preserve"> of the near-term planning horizon at least once every 60 calendar months.</w:t>
      </w:r>
    </w:p>
    <w:p w14:paraId="30800CEA"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R9 requires responsible entities to provide GIC flow information related to the supplement GMD event to the transmission owners and generator owners that own an applicable bulk electric system power transformer in the planning area.  This information is necessary for applicable transmission owners and generator owners to conduct the supplemental thermal impact assessments required by Requirement R10.</w:t>
      </w:r>
    </w:p>
    <w:p w14:paraId="3B7C3829"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R10 requires applicable transmission owners and generator owners to conduct thermal impact assessments where the maximum effective GIC value provided in Requirement R9 is 85 A/phase or greater.</w:t>
      </w:r>
    </w:p>
    <w:p w14:paraId="27835DDB" w14:textId="77777777" w:rsidR="003A68BC"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R11 requires responsible entities to implement a process to obtain GIC monitor data from at least one monitor within the Planning Coordinator’s planning area or other part of the system included in the Planning Coordinator’s GIC System model.</w:t>
      </w:r>
    </w:p>
    <w:p w14:paraId="75B44FAE" w14:textId="77777777" w:rsidR="003A68BC" w:rsidRPr="00EE4B53" w:rsidRDefault="003A68BC" w:rsidP="00EE4B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Reliability Standard TPL-007-2, Requirement R12 requires responsible entities to implement a process to obtain geomagnetic field data for tis Planning Coordinator’s planning area.</w:t>
      </w:r>
    </w:p>
    <w:p w14:paraId="2161BE19" w14:textId="77777777" w:rsidR="00C60AFD" w:rsidRPr="00DB14A2" w:rsidRDefault="00C60AFD" w:rsidP="00DB14A2">
      <w:pPr>
        <w:spacing w:after="0" w:line="240" w:lineRule="auto"/>
        <w:rPr>
          <w:rFonts w:ascii="Times New Roman" w:hAnsi="Times New Roman" w:cs="Times New Roman"/>
          <w:sz w:val="24"/>
          <w:szCs w:val="24"/>
          <w:u w:val="single"/>
        </w:rPr>
      </w:pPr>
    </w:p>
    <w:p w14:paraId="3DC69089" w14:textId="77777777" w:rsidR="0092596C" w:rsidRDefault="0073268A" w:rsidP="0092596C">
      <w:pPr>
        <w:spacing w:after="0" w:line="240" w:lineRule="auto"/>
        <w:rPr>
          <w:rFonts w:ascii="Times New Roman" w:hAnsi="Times New Roman" w:cs="Times New Roman"/>
          <w:sz w:val="24"/>
          <w:szCs w:val="24"/>
        </w:rPr>
      </w:pPr>
      <w:r w:rsidRPr="0073268A">
        <w:rPr>
          <w:rFonts w:ascii="Times New Roman" w:hAnsi="Times New Roman" w:cs="Times New Roman"/>
          <w:sz w:val="24"/>
          <w:szCs w:val="24"/>
        </w:rPr>
        <w:t>The following table shows the total burden of the collection of information.  The format, labels, and definitions of the table follow the ROCIS submission system’s “Information Collection Request Summary of Burden” for the metadata</w:t>
      </w:r>
      <w:r>
        <w:rPr>
          <w:rFonts w:ascii="Times New Roman" w:hAnsi="Times New Roman" w:cs="Times New Roman"/>
          <w:sz w:val="24"/>
          <w:szCs w:val="24"/>
        </w:rPr>
        <w:t>.</w:t>
      </w:r>
    </w:p>
    <w:p w14:paraId="05A3AE3E" w14:textId="77777777" w:rsidR="0073268A" w:rsidRDefault="0073268A"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73268A" w14:paraId="2C8A1946" w14:textId="77777777" w:rsidTr="0092596C">
        <w:trPr>
          <w:trHeight w:val="870"/>
        </w:trPr>
        <w:tc>
          <w:tcPr>
            <w:tcW w:w="2679" w:type="dxa"/>
            <w:shd w:val="clear" w:color="auto" w:fill="D9D9D9"/>
            <w:vAlign w:val="bottom"/>
          </w:tcPr>
          <w:p w14:paraId="73602529"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FERC-725</w:t>
            </w:r>
            <w:r w:rsidR="00CE34E4" w:rsidRPr="0073268A">
              <w:rPr>
                <w:rFonts w:ascii="Times New Roman" w:hAnsi="Times New Roman"/>
                <w:b/>
                <w:sz w:val="24"/>
                <w:szCs w:val="24"/>
              </w:rPr>
              <w:t>N</w:t>
            </w:r>
          </w:p>
        </w:tc>
        <w:tc>
          <w:tcPr>
            <w:tcW w:w="1461" w:type="dxa"/>
            <w:shd w:val="clear" w:color="auto" w:fill="D9D9D9"/>
            <w:vAlign w:val="bottom"/>
          </w:tcPr>
          <w:p w14:paraId="4A7E8F47"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Total Request</w:t>
            </w:r>
          </w:p>
        </w:tc>
        <w:tc>
          <w:tcPr>
            <w:tcW w:w="1620" w:type="dxa"/>
            <w:shd w:val="clear" w:color="auto" w:fill="D9D9D9"/>
            <w:vAlign w:val="bottom"/>
          </w:tcPr>
          <w:p w14:paraId="744B7A85"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Previously Approved</w:t>
            </w:r>
          </w:p>
        </w:tc>
        <w:tc>
          <w:tcPr>
            <w:tcW w:w="1800" w:type="dxa"/>
            <w:shd w:val="clear" w:color="auto" w:fill="D9D9D9"/>
            <w:vAlign w:val="bottom"/>
          </w:tcPr>
          <w:p w14:paraId="0EA83775"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Adjustment in Estimate</w:t>
            </w:r>
          </w:p>
        </w:tc>
        <w:tc>
          <w:tcPr>
            <w:tcW w:w="1800" w:type="dxa"/>
            <w:shd w:val="clear" w:color="auto" w:fill="D9D9D9"/>
            <w:vAlign w:val="bottom"/>
          </w:tcPr>
          <w:p w14:paraId="66642FC9" w14:textId="77777777" w:rsidR="0092596C" w:rsidRPr="0073268A" w:rsidRDefault="0092596C" w:rsidP="0092596C">
            <w:pPr>
              <w:spacing w:after="0" w:line="240" w:lineRule="auto"/>
              <w:jc w:val="center"/>
              <w:rPr>
                <w:rFonts w:ascii="Times New Roman" w:hAnsi="Times New Roman"/>
                <w:b/>
                <w:sz w:val="24"/>
                <w:szCs w:val="24"/>
              </w:rPr>
            </w:pPr>
            <w:r w:rsidRPr="0073268A">
              <w:rPr>
                <w:rFonts w:ascii="Times New Roman" w:hAnsi="Times New Roman"/>
                <w:b/>
                <w:sz w:val="24"/>
                <w:szCs w:val="24"/>
              </w:rPr>
              <w:t>Change Due to Agency Discretion</w:t>
            </w:r>
          </w:p>
        </w:tc>
      </w:tr>
      <w:tr w:rsidR="00BD6EEC" w:rsidRPr="00D9265E" w14:paraId="26089624" w14:textId="77777777" w:rsidTr="0092596C">
        <w:trPr>
          <w:trHeight w:val="591"/>
        </w:trPr>
        <w:tc>
          <w:tcPr>
            <w:tcW w:w="2679" w:type="dxa"/>
          </w:tcPr>
          <w:p w14:paraId="48F85172" w14:textId="77777777" w:rsidR="00BD6EEC" w:rsidRPr="00D9265E" w:rsidRDefault="00BD6EEC" w:rsidP="0092596C">
            <w:pPr>
              <w:spacing w:after="0" w:line="240" w:lineRule="auto"/>
              <w:jc w:val="center"/>
              <w:rPr>
                <w:rFonts w:ascii="Times New Roman" w:hAnsi="Times New Roman"/>
                <w:sz w:val="24"/>
                <w:szCs w:val="24"/>
              </w:rPr>
            </w:pPr>
            <w:r w:rsidRPr="00D9265E">
              <w:rPr>
                <w:rFonts w:ascii="Times New Roman" w:hAnsi="Times New Roman"/>
                <w:sz w:val="24"/>
                <w:szCs w:val="24"/>
              </w:rPr>
              <w:t>Annual Number of Responses</w:t>
            </w:r>
          </w:p>
        </w:tc>
        <w:tc>
          <w:tcPr>
            <w:tcW w:w="1461" w:type="dxa"/>
            <w:vAlign w:val="center"/>
          </w:tcPr>
          <w:p w14:paraId="79595309" w14:textId="66AC990E" w:rsidR="00BD6EEC" w:rsidRPr="00D9265E" w:rsidRDefault="00E20EE9" w:rsidP="0092596C">
            <w:pPr>
              <w:spacing w:after="0" w:line="240" w:lineRule="auto"/>
              <w:jc w:val="right"/>
              <w:rPr>
                <w:rFonts w:ascii="Times New Roman" w:hAnsi="Times New Roman"/>
                <w:sz w:val="24"/>
                <w:szCs w:val="24"/>
              </w:rPr>
            </w:pPr>
            <w:r>
              <w:rPr>
                <w:rFonts w:ascii="Times New Roman" w:hAnsi="Times New Roman"/>
                <w:sz w:val="24"/>
                <w:szCs w:val="24"/>
              </w:rPr>
              <w:t>2,449</w:t>
            </w:r>
          </w:p>
        </w:tc>
        <w:tc>
          <w:tcPr>
            <w:tcW w:w="1620" w:type="dxa"/>
            <w:vAlign w:val="center"/>
          </w:tcPr>
          <w:p w14:paraId="72D36B30" w14:textId="77777777" w:rsidR="00BD6EEC" w:rsidRPr="00D9265E" w:rsidRDefault="00CE218B" w:rsidP="00271AFC">
            <w:pPr>
              <w:spacing w:after="0" w:line="240" w:lineRule="auto"/>
              <w:jc w:val="right"/>
              <w:rPr>
                <w:rFonts w:ascii="Times New Roman" w:hAnsi="Times New Roman"/>
                <w:sz w:val="24"/>
                <w:szCs w:val="24"/>
              </w:rPr>
            </w:pPr>
            <w:r w:rsidRPr="00D9265E">
              <w:rPr>
                <w:rFonts w:ascii="Times New Roman" w:hAnsi="Times New Roman"/>
                <w:sz w:val="24"/>
                <w:szCs w:val="24"/>
              </w:rPr>
              <w:t>2,205</w:t>
            </w:r>
          </w:p>
        </w:tc>
        <w:tc>
          <w:tcPr>
            <w:tcW w:w="1800" w:type="dxa"/>
            <w:vAlign w:val="center"/>
          </w:tcPr>
          <w:p w14:paraId="33C4186F" w14:textId="77777777" w:rsidR="00BD6EEC" w:rsidRPr="00D9265E" w:rsidRDefault="0058558B" w:rsidP="0092596C">
            <w:pPr>
              <w:spacing w:after="0" w:line="240" w:lineRule="auto"/>
              <w:jc w:val="right"/>
              <w:rPr>
                <w:rFonts w:ascii="Times New Roman" w:hAnsi="Times New Roman"/>
                <w:sz w:val="24"/>
                <w:szCs w:val="24"/>
              </w:rPr>
            </w:pPr>
            <w:r w:rsidRPr="00D9265E">
              <w:rPr>
                <w:rFonts w:ascii="Times New Roman" w:hAnsi="Times New Roman"/>
                <w:sz w:val="24"/>
                <w:szCs w:val="24"/>
              </w:rPr>
              <w:t>0</w:t>
            </w:r>
          </w:p>
        </w:tc>
        <w:tc>
          <w:tcPr>
            <w:tcW w:w="1800" w:type="dxa"/>
            <w:vAlign w:val="center"/>
          </w:tcPr>
          <w:p w14:paraId="04EA27E1" w14:textId="77777777" w:rsidR="00BD6EEC" w:rsidRPr="00D9265E" w:rsidRDefault="00CE218B" w:rsidP="00607558">
            <w:pPr>
              <w:spacing w:after="0" w:line="240" w:lineRule="auto"/>
              <w:jc w:val="right"/>
              <w:rPr>
                <w:rFonts w:ascii="Times New Roman" w:hAnsi="Times New Roman"/>
                <w:sz w:val="24"/>
                <w:szCs w:val="24"/>
              </w:rPr>
            </w:pPr>
            <w:r w:rsidRPr="00D9265E">
              <w:rPr>
                <w:rFonts w:ascii="Times New Roman" w:hAnsi="Times New Roman"/>
                <w:sz w:val="24"/>
                <w:szCs w:val="24"/>
              </w:rPr>
              <w:t>+</w:t>
            </w:r>
            <w:r w:rsidR="00607558" w:rsidRPr="00D9265E">
              <w:rPr>
                <w:rFonts w:ascii="Times New Roman" w:hAnsi="Times New Roman"/>
                <w:sz w:val="24"/>
                <w:szCs w:val="24"/>
              </w:rPr>
              <w:t>244</w:t>
            </w:r>
            <w:r w:rsidR="00607558" w:rsidRPr="00D9265E">
              <w:rPr>
                <w:rStyle w:val="FootnoteReference"/>
                <w:rFonts w:ascii="Times New Roman" w:hAnsi="Times New Roman"/>
                <w:sz w:val="24"/>
                <w:szCs w:val="24"/>
                <w:vertAlign w:val="superscript"/>
              </w:rPr>
              <w:footnoteReference w:id="16"/>
            </w:r>
          </w:p>
        </w:tc>
      </w:tr>
      <w:tr w:rsidR="00BD6EEC" w:rsidRPr="0073268A" w14:paraId="4034A376" w14:textId="77777777" w:rsidTr="0092596C">
        <w:trPr>
          <w:trHeight w:val="575"/>
        </w:trPr>
        <w:tc>
          <w:tcPr>
            <w:tcW w:w="2679" w:type="dxa"/>
          </w:tcPr>
          <w:p w14:paraId="3274ADC8" w14:textId="77777777" w:rsidR="00BD6EEC" w:rsidRPr="0073268A" w:rsidRDefault="00BD6EE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Time Burden (Hr</w:t>
            </w:r>
            <w:r w:rsidR="00CE218B">
              <w:rPr>
                <w:rFonts w:ascii="Times New Roman" w:hAnsi="Times New Roman"/>
                <w:sz w:val="24"/>
                <w:szCs w:val="24"/>
              </w:rPr>
              <w:t>.</w:t>
            </w:r>
            <w:r w:rsidRPr="0073268A">
              <w:rPr>
                <w:rFonts w:ascii="Times New Roman" w:hAnsi="Times New Roman"/>
                <w:sz w:val="24"/>
                <w:szCs w:val="24"/>
              </w:rPr>
              <w:t>)</w:t>
            </w:r>
          </w:p>
        </w:tc>
        <w:tc>
          <w:tcPr>
            <w:tcW w:w="1461" w:type="dxa"/>
            <w:vAlign w:val="center"/>
          </w:tcPr>
          <w:p w14:paraId="413BAF2B"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sz w:val="24"/>
                <w:szCs w:val="24"/>
              </w:rPr>
              <w:t>57,562</w:t>
            </w:r>
          </w:p>
        </w:tc>
        <w:tc>
          <w:tcPr>
            <w:tcW w:w="1620" w:type="dxa"/>
            <w:vAlign w:val="center"/>
          </w:tcPr>
          <w:p w14:paraId="29BBD279"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sz w:val="24"/>
                <w:szCs w:val="24"/>
              </w:rPr>
              <w:t>45,020</w:t>
            </w:r>
          </w:p>
        </w:tc>
        <w:tc>
          <w:tcPr>
            <w:tcW w:w="1800" w:type="dxa"/>
            <w:vAlign w:val="center"/>
          </w:tcPr>
          <w:p w14:paraId="25863B3C" w14:textId="77777777" w:rsidR="00BD6EEC" w:rsidRPr="0073268A" w:rsidRDefault="0058558B"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299B2705" w14:textId="77777777" w:rsidR="00BD6EEC" w:rsidRPr="0073268A" w:rsidRDefault="00CE218B" w:rsidP="0092596C">
            <w:pPr>
              <w:spacing w:after="0" w:line="240" w:lineRule="auto"/>
              <w:jc w:val="right"/>
              <w:rPr>
                <w:rFonts w:ascii="Times New Roman" w:hAnsi="Times New Roman"/>
                <w:sz w:val="24"/>
                <w:szCs w:val="24"/>
              </w:rPr>
            </w:pPr>
            <w:r>
              <w:rPr>
                <w:rFonts w:ascii="Times New Roman" w:hAnsi="Times New Roman" w:cs="Times New Roman"/>
                <w:sz w:val="24"/>
                <w:szCs w:val="24"/>
              </w:rPr>
              <w:t>+12,542</w:t>
            </w:r>
          </w:p>
        </w:tc>
      </w:tr>
      <w:tr w:rsidR="0092596C" w:rsidRPr="0073268A" w14:paraId="5F22384D" w14:textId="77777777" w:rsidTr="0092596C">
        <w:trPr>
          <w:trHeight w:val="295"/>
        </w:trPr>
        <w:tc>
          <w:tcPr>
            <w:tcW w:w="2679" w:type="dxa"/>
          </w:tcPr>
          <w:p w14:paraId="3E6FCBFF" w14:textId="77777777" w:rsidR="0092596C" w:rsidRPr="0073268A" w:rsidRDefault="0092596C" w:rsidP="0092596C">
            <w:pPr>
              <w:spacing w:after="0" w:line="240" w:lineRule="auto"/>
              <w:jc w:val="center"/>
              <w:rPr>
                <w:rFonts w:ascii="Times New Roman" w:hAnsi="Times New Roman"/>
                <w:sz w:val="24"/>
                <w:szCs w:val="24"/>
              </w:rPr>
            </w:pPr>
            <w:r w:rsidRPr="0073268A">
              <w:rPr>
                <w:rFonts w:ascii="Times New Roman" w:hAnsi="Times New Roman"/>
                <w:sz w:val="24"/>
                <w:szCs w:val="24"/>
              </w:rPr>
              <w:t>Annual Cost Burden ($)</w:t>
            </w:r>
          </w:p>
        </w:tc>
        <w:tc>
          <w:tcPr>
            <w:tcW w:w="1461" w:type="dxa"/>
            <w:vAlign w:val="center"/>
          </w:tcPr>
          <w:p w14:paraId="61F1BF37"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620" w:type="dxa"/>
            <w:vAlign w:val="center"/>
          </w:tcPr>
          <w:p w14:paraId="1241890F"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7733C363" w14:textId="77777777" w:rsidR="0092596C" w:rsidRPr="0073268A" w:rsidRDefault="00BD6EEC" w:rsidP="0092596C">
            <w:pPr>
              <w:spacing w:after="0" w:line="240" w:lineRule="auto"/>
              <w:jc w:val="right"/>
              <w:rPr>
                <w:rFonts w:ascii="Times New Roman" w:hAnsi="Times New Roman"/>
                <w:sz w:val="24"/>
                <w:szCs w:val="24"/>
              </w:rPr>
            </w:pPr>
            <w:r w:rsidRPr="0073268A">
              <w:rPr>
                <w:rFonts w:ascii="Times New Roman" w:hAnsi="Times New Roman"/>
                <w:sz w:val="24"/>
                <w:szCs w:val="24"/>
              </w:rPr>
              <w:t>0</w:t>
            </w:r>
          </w:p>
        </w:tc>
        <w:tc>
          <w:tcPr>
            <w:tcW w:w="1800" w:type="dxa"/>
            <w:vAlign w:val="center"/>
          </w:tcPr>
          <w:p w14:paraId="17DB9CFC" w14:textId="77777777" w:rsidR="0092596C" w:rsidRPr="0073268A" w:rsidRDefault="00BD6EEC" w:rsidP="00BD6EEC">
            <w:pPr>
              <w:spacing w:after="0" w:line="240" w:lineRule="auto"/>
              <w:jc w:val="right"/>
              <w:rPr>
                <w:rFonts w:ascii="Times New Roman" w:hAnsi="Times New Roman"/>
                <w:sz w:val="24"/>
                <w:szCs w:val="24"/>
              </w:rPr>
            </w:pPr>
            <w:r w:rsidRPr="0073268A">
              <w:rPr>
                <w:rFonts w:ascii="Times New Roman" w:hAnsi="Times New Roman"/>
                <w:sz w:val="24"/>
                <w:szCs w:val="24"/>
              </w:rPr>
              <w:t>0</w:t>
            </w:r>
          </w:p>
        </w:tc>
      </w:tr>
    </w:tbl>
    <w:p w14:paraId="3ED6CA20" w14:textId="77777777" w:rsidR="0092596C" w:rsidRPr="0092596C" w:rsidRDefault="0092596C" w:rsidP="0092596C">
      <w:pPr>
        <w:spacing w:after="0" w:line="240" w:lineRule="auto"/>
        <w:rPr>
          <w:rFonts w:ascii="Times New Roman" w:hAnsi="Times New Roman" w:cs="Times New Roman"/>
          <w:sz w:val="24"/>
          <w:szCs w:val="24"/>
        </w:rPr>
      </w:pPr>
    </w:p>
    <w:p w14:paraId="5114F388" w14:textId="77777777"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2BCF944E" w14:textId="77777777" w:rsidR="00826750" w:rsidRPr="00B16372" w:rsidRDefault="00826750" w:rsidP="0092596C">
      <w:pPr>
        <w:spacing w:after="0" w:line="240" w:lineRule="auto"/>
        <w:rPr>
          <w:rFonts w:ascii="Times New Roman" w:hAnsi="Times New Roman" w:cs="Times New Roman"/>
          <w:sz w:val="24"/>
          <w:szCs w:val="24"/>
        </w:rPr>
      </w:pPr>
    </w:p>
    <w:p w14:paraId="55793D64" w14:textId="77777777"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There are no data publications </w:t>
      </w:r>
      <w:r w:rsidR="00643EEA">
        <w:rPr>
          <w:rFonts w:ascii="Times New Roman" w:hAnsi="Times New Roman" w:cs="Times New Roman"/>
          <w:sz w:val="24"/>
          <w:szCs w:val="24"/>
        </w:rPr>
        <w:t xml:space="preserve">related to </w:t>
      </w:r>
      <w:r w:rsidRPr="00B16372">
        <w:rPr>
          <w:rFonts w:ascii="Times New Roman" w:hAnsi="Times New Roman" w:cs="Times New Roman"/>
          <w:sz w:val="24"/>
          <w:szCs w:val="24"/>
        </w:rPr>
        <w:t>this collection</w:t>
      </w:r>
    </w:p>
    <w:p w14:paraId="273502FE" w14:textId="77777777" w:rsidR="00414F32" w:rsidRPr="00B16372" w:rsidRDefault="00414F32" w:rsidP="0092596C">
      <w:pPr>
        <w:spacing w:after="0" w:line="240" w:lineRule="auto"/>
        <w:rPr>
          <w:rFonts w:ascii="Times New Roman" w:hAnsi="Times New Roman" w:cs="Times New Roman"/>
          <w:sz w:val="24"/>
          <w:szCs w:val="24"/>
        </w:rPr>
      </w:pPr>
    </w:p>
    <w:p w14:paraId="37C07FB3"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6EEFBD0F" w14:textId="77777777" w:rsidR="00414F32" w:rsidRPr="00B16372" w:rsidRDefault="00414F32" w:rsidP="0092596C">
      <w:pPr>
        <w:spacing w:after="0" w:line="240" w:lineRule="auto"/>
        <w:rPr>
          <w:rFonts w:ascii="Times New Roman" w:hAnsi="Times New Roman" w:cs="Times New Roman"/>
          <w:sz w:val="24"/>
          <w:szCs w:val="24"/>
        </w:rPr>
      </w:pPr>
    </w:p>
    <w:p w14:paraId="7E34C9C7" w14:textId="77777777" w:rsidR="00414F32" w:rsidRDefault="00C61BCC" w:rsidP="0092596C">
      <w:pPr>
        <w:spacing w:after="0" w:line="240" w:lineRule="auto"/>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4"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4A2DD5B2" w14:textId="77777777" w:rsidR="00C61BCC" w:rsidRPr="00B16372" w:rsidRDefault="00C61BCC" w:rsidP="0092596C">
      <w:pPr>
        <w:spacing w:after="0" w:line="240" w:lineRule="auto"/>
        <w:rPr>
          <w:rFonts w:ascii="Times New Roman" w:hAnsi="Times New Roman" w:cs="Times New Roman"/>
          <w:sz w:val="24"/>
          <w:szCs w:val="24"/>
        </w:rPr>
      </w:pPr>
    </w:p>
    <w:p w14:paraId="5B6BF7FC"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58157515" w14:textId="77777777" w:rsidR="0057700F" w:rsidRPr="00B16372" w:rsidRDefault="0057700F" w:rsidP="0092596C">
      <w:pPr>
        <w:spacing w:after="0" w:line="240" w:lineRule="auto"/>
        <w:rPr>
          <w:rFonts w:ascii="Times New Roman" w:hAnsi="Times New Roman" w:cs="Times New Roman"/>
          <w:b/>
          <w:sz w:val="24"/>
          <w:szCs w:val="24"/>
        </w:rPr>
      </w:pPr>
    </w:p>
    <w:p w14:paraId="4A398E1B" w14:textId="77777777" w:rsidR="00AD7B67" w:rsidRPr="00914DD7" w:rsidRDefault="00C462F5" w:rsidP="000964B8">
      <w:pPr>
        <w:rPr>
          <w:rFonts w:ascii="Times New Roman" w:hAnsi="Times New Roman" w:cs="Times New Roman"/>
          <w:sz w:val="24"/>
          <w:szCs w:val="24"/>
        </w:rPr>
      </w:pPr>
      <w:r>
        <w:rPr>
          <w:rFonts w:ascii="Times New Roman" w:eastAsia="Calibri" w:hAnsi="Times New Roman" w:cs="Times New Roman"/>
          <w:sz w:val="24"/>
          <w:szCs w:val="24"/>
        </w:rPr>
        <w:t>There are no exceptions.</w:t>
      </w:r>
    </w:p>
    <w:sectPr w:rsidR="00AD7B67" w:rsidRPr="00914DD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088B9" w14:textId="77777777" w:rsidR="0091227D" w:rsidRDefault="0091227D" w:rsidP="00FD66F1">
      <w:pPr>
        <w:spacing w:after="0" w:line="240" w:lineRule="auto"/>
      </w:pPr>
      <w:r>
        <w:separator/>
      </w:r>
    </w:p>
  </w:endnote>
  <w:endnote w:type="continuationSeparator" w:id="0">
    <w:p w14:paraId="59C8FABE" w14:textId="77777777" w:rsidR="0091227D" w:rsidRDefault="0091227D" w:rsidP="00FD66F1">
      <w:pPr>
        <w:spacing w:after="0" w:line="240" w:lineRule="auto"/>
      </w:pPr>
      <w:r>
        <w:continuationSeparator/>
      </w:r>
    </w:p>
  </w:endnote>
  <w:endnote w:type="continuationNotice" w:id="1">
    <w:p w14:paraId="003F6986" w14:textId="77777777" w:rsidR="0091227D" w:rsidRDefault="00912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307B719" w14:textId="77777777" w:rsidR="00DE3CEF" w:rsidRPr="009C3453" w:rsidRDefault="00DE3CE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DF3775">
          <w:rPr>
            <w:rFonts w:ascii="Times New Roman" w:hAnsi="Times New Roman" w:cs="Times New Roman"/>
            <w:noProof/>
          </w:rPr>
          <w:t>1</w:t>
        </w:r>
        <w:r w:rsidRPr="009C3453">
          <w:rPr>
            <w:rFonts w:ascii="Times New Roman" w:hAnsi="Times New Roman" w:cs="Times New Roman"/>
            <w:noProof/>
          </w:rPr>
          <w:fldChar w:fldCharType="end"/>
        </w:r>
      </w:p>
    </w:sdtContent>
  </w:sdt>
  <w:p w14:paraId="4A07F80C" w14:textId="77777777" w:rsidR="00DE3CEF" w:rsidRDefault="00DE3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39FD9" w14:textId="77777777" w:rsidR="0091227D" w:rsidRDefault="0091227D" w:rsidP="00FD66F1">
      <w:pPr>
        <w:spacing w:after="0" w:line="240" w:lineRule="auto"/>
      </w:pPr>
      <w:r>
        <w:separator/>
      </w:r>
    </w:p>
  </w:footnote>
  <w:footnote w:type="continuationSeparator" w:id="0">
    <w:p w14:paraId="154A9F81" w14:textId="77777777" w:rsidR="0091227D" w:rsidRDefault="0091227D" w:rsidP="00FD66F1">
      <w:pPr>
        <w:spacing w:after="0" w:line="240" w:lineRule="auto"/>
      </w:pPr>
      <w:r>
        <w:continuationSeparator/>
      </w:r>
    </w:p>
  </w:footnote>
  <w:footnote w:type="continuationNotice" w:id="1">
    <w:p w14:paraId="2A3F33BD" w14:textId="77777777" w:rsidR="0091227D" w:rsidRDefault="0091227D">
      <w:pPr>
        <w:spacing w:after="0" w:line="240" w:lineRule="auto"/>
      </w:pPr>
    </w:p>
  </w:footnote>
  <w:footnote w:id="2">
    <w:p w14:paraId="488573C8" w14:textId="77777777" w:rsidR="00DE3CEF" w:rsidRPr="00EE4B53" w:rsidRDefault="00DE3CEF"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“TPL” stands for Transmission Planning</w:t>
      </w:r>
      <w:r>
        <w:rPr>
          <w:sz w:val="24"/>
          <w:szCs w:val="24"/>
        </w:rPr>
        <w:t>.</w:t>
      </w:r>
      <w:r w:rsidRPr="00EE4B53">
        <w:rPr>
          <w:sz w:val="24"/>
          <w:szCs w:val="24"/>
        </w:rPr>
        <w:t xml:space="preserve"> </w:t>
      </w:r>
    </w:p>
  </w:footnote>
  <w:footnote w:id="3">
    <w:p w14:paraId="42B7911A" w14:textId="69687E56" w:rsidR="00DE3CEF" w:rsidRPr="004F18C0" w:rsidRDefault="00DE3CEF">
      <w:pPr>
        <w:pStyle w:val="FootnoteText"/>
        <w:rPr>
          <w:sz w:val="24"/>
          <w:szCs w:val="24"/>
        </w:rPr>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FERC-725N </w:t>
      </w:r>
      <w:r w:rsidRPr="00A11112">
        <w:rPr>
          <w:sz w:val="24"/>
          <w:szCs w:val="24"/>
        </w:rPr>
        <w:t>currently contains Reliability Standard</w:t>
      </w:r>
      <w:r w:rsidR="00742F1D">
        <w:rPr>
          <w:sz w:val="24"/>
          <w:szCs w:val="24"/>
        </w:rPr>
        <w:t>s</w:t>
      </w:r>
      <w:r w:rsidRPr="00A11112">
        <w:rPr>
          <w:sz w:val="24"/>
          <w:szCs w:val="24"/>
        </w:rPr>
        <w:t xml:space="preserve"> TPL-001-4</w:t>
      </w:r>
      <w:r w:rsidR="00742F1D">
        <w:rPr>
          <w:sz w:val="24"/>
          <w:szCs w:val="24"/>
        </w:rPr>
        <w:t xml:space="preserve"> (approved in Commission Order 786, issued 10/17/2013) and TPL-007-1 (approved in Commission Order 830, issued 9/22/2016)</w:t>
      </w:r>
      <w:r>
        <w:rPr>
          <w:sz w:val="24"/>
          <w:szCs w:val="24"/>
        </w:rPr>
        <w:t>.</w:t>
      </w:r>
      <w:r w:rsidR="00742F1D">
        <w:rPr>
          <w:sz w:val="24"/>
          <w:szCs w:val="24"/>
        </w:rPr>
        <w:t xml:space="preserve"> The Final Rule in Docket RM18-8 is approving Reliability Standard TPL-007-2 (to </w:t>
      </w:r>
      <w:r w:rsidR="00742F1D" w:rsidRPr="004F18C0">
        <w:rPr>
          <w:sz w:val="24"/>
          <w:szCs w:val="24"/>
        </w:rPr>
        <w:t>replace TPL-007-1), as discussed in this supporting statement.</w:t>
      </w:r>
    </w:p>
  </w:footnote>
  <w:footnote w:id="4">
    <w:p w14:paraId="31DAE520" w14:textId="45A15AD7" w:rsidR="0064506B" w:rsidRPr="004F18C0" w:rsidRDefault="00DE3CEF" w:rsidP="00F15484">
      <w:pPr>
        <w:pStyle w:val="FootnoteText"/>
        <w:rPr>
          <w:sz w:val="24"/>
          <w:szCs w:val="24"/>
        </w:rPr>
      </w:pPr>
      <w:r w:rsidRPr="004F18C0">
        <w:rPr>
          <w:rStyle w:val="FootnoteReference"/>
          <w:sz w:val="24"/>
          <w:szCs w:val="24"/>
          <w:vertAlign w:val="superscript"/>
        </w:rPr>
        <w:footnoteRef/>
      </w:r>
      <w:r w:rsidRPr="004F18C0">
        <w:rPr>
          <w:sz w:val="24"/>
          <w:szCs w:val="24"/>
        </w:rPr>
        <w:t xml:space="preserve"> The Final Rule is posted in FERC’s eLibrary at </w:t>
      </w:r>
      <w:hyperlink r:id="rId1" w:history="1">
        <w:r w:rsidR="004F18C0" w:rsidRPr="004F18C0">
          <w:rPr>
            <w:rStyle w:val="Hyperlink"/>
            <w:sz w:val="24"/>
            <w:szCs w:val="24"/>
          </w:rPr>
          <w:t>https://elibrary.ferc.gov/idmws/common/OpenNat.asp?fileID=15096521</w:t>
        </w:r>
      </w:hyperlink>
      <w:r w:rsidRPr="00632DB2">
        <w:rPr>
          <w:sz w:val="24"/>
          <w:szCs w:val="24"/>
          <w:highlight w:val="yellow"/>
        </w:rPr>
        <w:t xml:space="preserve">.  </w:t>
      </w:r>
    </w:p>
    <w:p w14:paraId="5A26CFB5" w14:textId="77777777" w:rsidR="004F18C0" w:rsidRDefault="004F18C0" w:rsidP="00F15484">
      <w:pPr>
        <w:pStyle w:val="FootnoteText"/>
        <w:rPr>
          <w:sz w:val="24"/>
          <w:szCs w:val="24"/>
        </w:rPr>
      </w:pPr>
    </w:p>
    <w:p w14:paraId="66880BA1" w14:textId="53ECF85D" w:rsidR="00907BA9" w:rsidRDefault="0064506B" w:rsidP="00F15484">
      <w:pPr>
        <w:pStyle w:val="FootnoteText"/>
        <w:rPr>
          <w:sz w:val="24"/>
          <w:szCs w:val="24"/>
        </w:rPr>
      </w:pPr>
      <w:r w:rsidRPr="0064506B">
        <w:rPr>
          <w:sz w:val="24"/>
          <w:szCs w:val="24"/>
        </w:rPr>
        <w:t xml:space="preserve">On a </w:t>
      </w:r>
      <w:r w:rsidR="004F7FE7">
        <w:rPr>
          <w:sz w:val="24"/>
          <w:szCs w:val="24"/>
        </w:rPr>
        <w:t>separate</w:t>
      </w:r>
      <w:r w:rsidRPr="0064506B">
        <w:rPr>
          <w:sz w:val="24"/>
          <w:szCs w:val="24"/>
        </w:rPr>
        <w:t xml:space="preserve"> note, in Docket No. RR18-9-</w:t>
      </w:r>
      <w:r>
        <w:rPr>
          <w:sz w:val="24"/>
          <w:szCs w:val="24"/>
        </w:rPr>
        <w:t xml:space="preserve">000, </w:t>
      </w:r>
      <w:r w:rsidR="00DE3CEF" w:rsidRPr="0064506B">
        <w:rPr>
          <w:sz w:val="24"/>
          <w:szCs w:val="24"/>
        </w:rPr>
        <w:t xml:space="preserve">the Commission </w:t>
      </w:r>
      <w:r w:rsidRPr="0064506B">
        <w:rPr>
          <w:sz w:val="24"/>
          <w:szCs w:val="24"/>
        </w:rPr>
        <w:t xml:space="preserve">approved </w:t>
      </w:r>
      <w:r>
        <w:rPr>
          <w:sz w:val="24"/>
          <w:szCs w:val="24"/>
        </w:rPr>
        <w:t xml:space="preserve">(at </w:t>
      </w:r>
      <w:hyperlink r:id="rId2" w:history="1">
        <w:r w:rsidRPr="00BC5501">
          <w:rPr>
            <w:rStyle w:val="Hyperlink"/>
            <w:sz w:val="24"/>
            <w:szCs w:val="24"/>
          </w:rPr>
          <w:t>https://elibrary.ferc.gov/idmws/common/OpenNat.asp?fileID=15075448</w:t>
        </w:r>
      </w:hyperlink>
      <w:r>
        <w:rPr>
          <w:sz w:val="24"/>
          <w:szCs w:val="24"/>
        </w:rPr>
        <w:t>)</w:t>
      </w:r>
      <w:r w:rsidRPr="0064506B">
        <w:rPr>
          <w:sz w:val="24"/>
          <w:szCs w:val="24"/>
        </w:rPr>
        <w:t xml:space="preserve"> the </w:t>
      </w:r>
      <w:r w:rsidR="00DE3CEF" w:rsidRPr="0064506B">
        <w:rPr>
          <w:sz w:val="24"/>
          <w:szCs w:val="24"/>
        </w:rPr>
        <w:t>NERC 2019 Business Plan and Budget (submitted on 8/24/2018</w:t>
      </w:r>
      <w:r w:rsidR="00DE3CEF">
        <w:rPr>
          <w:sz w:val="24"/>
          <w:szCs w:val="24"/>
        </w:rPr>
        <w:t xml:space="preserve">, and posted at </w:t>
      </w:r>
      <w:hyperlink r:id="rId3" w:history="1">
        <w:r w:rsidR="00DE3CEF" w:rsidRPr="001A0854">
          <w:rPr>
            <w:rStyle w:val="Hyperlink"/>
            <w:sz w:val="24"/>
            <w:szCs w:val="24"/>
          </w:rPr>
          <w:t>https://elibrary.ferc.gov/idmws/common/opennat.asp?fileID=15003846</w:t>
        </w:r>
      </w:hyperlink>
      <w:r w:rsidR="00DE3CEF">
        <w:rPr>
          <w:sz w:val="24"/>
          <w:szCs w:val="24"/>
        </w:rPr>
        <w:t>).</w:t>
      </w:r>
    </w:p>
    <w:p w14:paraId="1DFB3849" w14:textId="77777777" w:rsidR="004F18C0" w:rsidRDefault="004F18C0" w:rsidP="00F15484">
      <w:pPr>
        <w:pStyle w:val="FootnoteText"/>
        <w:rPr>
          <w:sz w:val="24"/>
          <w:szCs w:val="24"/>
        </w:rPr>
      </w:pPr>
    </w:p>
    <w:p w14:paraId="19F85C60" w14:textId="6CFCAB14" w:rsidR="00DE3CEF" w:rsidRPr="00A11112" w:rsidRDefault="00DE3CEF" w:rsidP="00F15484">
      <w:pPr>
        <w:pStyle w:val="FootnoteText"/>
        <w:rPr>
          <w:sz w:val="24"/>
          <w:szCs w:val="24"/>
        </w:rPr>
      </w:pPr>
      <w:r w:rsidRPr="00A11112">
        <w:rPr>
          <w:sz w:val="24"/>
          <w:szCs w:val="24"/>
        </w:rPr>
        <w:t xml:space="preserve">The </w:t>
      </w:r>
      <w:r>
        <w:rPr>
          <w:sz w:val="24"/>
          <w:szCs w:val="24"/>
        </w:rPr>
        <w:t>Notice of Proposed Rulemaking (</w:t>
      </w:r>
      <w:r w:rsidRPr="00A11112">
        <w:rPr>
          <w:sz w:val="24"/>
          <w:szCs w:val="24"/>
        </w:rPr>
        <w:t>NOPR</w:t>
      </w:r>
      <w:r>
        <w:rPr>
          <w:sz w:val="24"/>
          <w:szCs w:val="24"/>
        </w:rPr>
        <w:t>)</w:t>
      </w:r>
      <w:r w:rsidRPr="00A11112">
        <w:rPr>
          <w:sz w:val="24"/>
          <w:szCs w:val="24"/>
        </w:rPr>
        <w:t xml:space="preserve"> is posted at </w:t>
      </w:r>
      <w:hyperlink r:id="rId4" w:history="1">
        <w:r w:rsidRPr="00A11112">
          <w:rPr>
            <w:rStyle w:val="Hyperlink"/>
            <w:sz w:val="24"/>
            <w:szCs w:val="24"/>
          </w:rPr>
          <w:t>https://elibrary.ferc.gov/idmws/common/OpenNat.asp?fileID=14921726</w:t>
        </w:r>
      </w:hyperlink>
      <w:r>
        <w:rPr>
          <w:sz w:val="24"/>
          <w:szCs w:val="24"/>
        </w:rPr>
        <w:t>.</w:t>
      </w:r>
      <w:r w:rsidRPr="00A11112">
        <w:rPr>
          <w:sz w:val="24"/>
          <w:szCs w:val="24"/>
        </w:rPr>
        <w:t xml:space="preserve">  The </w:t>
      </w:r>
      <w:r w:rsidRPr="00A11112">
        <w:rPr>
          <w:rStyle w:val="Hyperlink"/>
          <w:color w:val="auto"/>
          <w:sz w:val="24"/>
          <w:szCs w:val="24"/>
          <w:u w:val="none"/>
        </w:rPr>
        <w:t xml:space="preserve">Staff Presentation </w:t>
      </w:r>
      <w:r w:rsidR="00907BA9">
        <w:rPr>
          <w:rStyle w:val="Hyperlink"/>
          <w:color w:val="auto"/>
          <w:sz w:val="24"/>
          <w:szCs w:val="24"/>
          <w:u w:val="none"/>
        </w:rPr>
        <w:t xml:space="preserve">for the NOPR </w:t>
      </w:r>
      <w:r w:rsidRPr="00A11112">
        <w:rPr>
          <w:rStyle w:val="Hyperlink"/>
          <w:color w:val="auto"/>
          <w:sz w:val="24"/>
          <w:szCs w:val="24"/>
          <w:u w:val="none"/>
        </w:rPr>
        <w:t xml:space="preserve">is posted at </w:t>
      </w:r>
      <w:hyperlink r:id="rId5" w:history="1">
        <w:r w:rsidRPr="00A11112">
          <w:rPr>
            <w:rStyle w:val="Hyperlink"/>
            <w:sz w:val="24"/>
            <w:szCs w:val="24"/>
          </w:rPr>
          <w:t>https://www.ferc.gov/industries/electric/indus-act/reliability/05-17-18-E-1-presentation.pdf</w:t>
        </w:r>
      </w:hyperlink>
      <w:r w:rsidRPr="00A11112">
        <w:rPr>
          <w:rStyle w:val="Hyperlink"/>
          <w:sz w:val="24"/>
          <w:szCs w:val="24"/>
        </w:rPr>
        <w:t xml:space="preserve"> </w:t>
      </w:r>
      <w:r w:rsidRPr="00A11112">
        <w:rPr>
          <w:sz w:val="24"/>
          <w:szCs w:val="24"/>
        </w:rPr>
        <w:t>.</w:t>
      </w:r>
    </w:p>
  </w:footnote>
  <w:footnote w:id="5">
    <w:p w14:paraId="3378EF25" w14:textId="09B6552C" w:rsidR="00025037" w:rsidRPr="00EE4B53" w:rsidRDefault="00DE3CEF" w:rsidP="00271AFC">
      <w:pPr>
        <w:pStyle w:val="CommentText"/>
        <w:spacing w:after="0"/>
        <w:rPr>
          <w:rFonts w:ascii="Times New Roman" w:hAnsi="Times New Roman" w:cs="Times New Roman"/>
          <w:sz w:val="24"/>
          <w:szCs w:val="24"/>
          <w:highlight w:val="cyan"/>
          <w:vertAlign w:val="superscript"/>
        </w:rPr>
      </w:pPr>
      <w:r w:rsidRPr="00A11112">
        <w:rPr>
          <w:rStyle w:val="FootnoteReference"/>
          <w:rFonts w:ascii="Times New Roman" w:hAnsi="Times New Roman" w:cs="Times New Roman"/>
          <w:sz w:val="24"/>
          <w:szCs w:val="24"/>
          <w:vertAlign w:val="superscript"/>
        </w:rPr>
        <w:footnoteRef/>
      </w:r>
      <w:r w:rsidRPr="00A11112">
        <w:rPr>
          <w:rFonts w:ascii="Times New Roman" w:hAnsi="Times New Roman" w:cs="Times New Roman"/>
          <w:sz w:val="24"/>
          <w:szCs w:val="24"/>
          <w:vertAlign w:val="superscript"/>
        </w:rPr>
        <w:t xml:space="preserve"> </w:t>
      </w:r>
      <w:r w:rsidRPr="00A11112">
        <w:rPr>
          <w:rFonts w:ascii="Times New Roman" w:hAnsi="Times New Roman" w:cs="Times New Roman"/>
          <w:sz w:val="24"/>
          <w:szCs w:val="24"/>
        </w:rPr>
        <w:t>OMB’s</w:t>
      </w:r>
      <w:r w:rsidRPr="00EE4B53">
        <w:rPr>
          <w:rFonts w:ascii="Times New Roman" w:hAnsi="Times New Roman" w:cs="Times New Roman"/>
          <w:sz w:val="24"/>
          <w:szCs w:val="24"/>
        </w:rPr>
        <w:t xml:space="preserve"> terms of clearance for FERC-725N (for the final rule in </w:t>
      </w:r>
      <w:r w:rsidR="00025037">
        <w:rPr>
          <w:rFonts w:ascii="Times New Roman" w:hAnsi="Times New Roman" w:cs="Times New Roman"/>
          <w:sz w:val="24"/>
          <w:szCs w:val="24"/>
        </w:rPr>
        <w:t xml:space="preserve">Docket </w:t>
      </w:r>
      <w:r w:rsidRPr="00EE4B53">
        <w:rPr>
          <w:rFonts w:ascii="Times New Roman" w:hAnsi="Times New Roman" w:cs="Times New Roman"/>
          <w:sz w:val="24"/>
          <w:szCs w:val="24"/>
        </w:rPr>
        <w:t>RM15-11, ICR 201609-1902-007, dated 11/28/2016) state:  “Note that FERC included a one-time burden estimate (42,137 hours) associated with the addition of Reliability Standard TPL-007-1 in this collection that was annualized over the three year approval period. FERC will need to remove this burden from this collection and their inventory after year 3. Similarly there are a number of one time responses that will need to be adjusted. Additionally, the previous terms of clearance will need to be addressed by FERC when Reliability Standards TPL-001-0 through TPL-001-004 are revised: "When FERC considers approval of the next versions of Reliability Standards TPL-001 through TPL-004, and TPL-007, they should consider small entity impacts and potential options for reducing their recordkeeping and reporting burden."”</w:t>
      </w:r>
    </w:p>
    <w:p w14:paraId="31E7DA99" w14:textId="77777777" w:rsidR="008132A5" w:rsidRDefault="008132A5" w:rsidP="00F15484">
      <w:pPr>
        <w:pStyle w:val="FootnoteText"/>
        <w:rPr>
          <w:sz w:val="24"/>
          <w:szCs w:val="24"/>
        </w:rPr>
      </w:pPr>
    </w:p>
    <w:p w14:paraId="302E0D0D" w14:textId="5AA71CCE" w:rsidR="00025037" w:rsidRPr="00EE4B53" w:rsidRDefault="00DE3CEF" w:rsidP="00F15484">
      <w:pPr>
        <w:pStyle w:val="FootnoteText"/>
        <w:rPr>
          <w:sz w:val="24"/>
          <w:szCs w:val="24"/>
          <w:highlight w:val="cyan"/>
          <w:vertAlign w:val="superscript"/>
        </w:rPr>
      </w:pPr>
      <w:r w:rsidRPr="00EE4B53">
        <w:rPr>
          <w:sz w:val="24"/>
          <w:szCs w:val="24"/>
        </w:rPr>
        <w:t xml:space="preserve">The 3-year approval period OMB mentioned above will not end until 11/2019, so the related one-time burden estimate (which was annualized over Years 1-3) is not being removed from FERC-725N at this time.  The effect on small entities has been considered in the NOPR </w:t>
      </w:r>
      <w:r>
        <w:rPr>
          <w:sz w:val="24"/>
          <w:szCs w:val="24"/>
        </w:rPr>
        <w:t xml:space="preserve">and Final Rule </w:t>
      </w:r>
      <w:r w:rsidRPr="00EE4B53">
        <w:rPr>
          <w:sz w:val="24"/>
          <w:szCs w:val="24"/>
        </w:rPr>
        <w:t>in Docket No. RM18-8, and there is no significant effect as discussed in the Regulatory Flexibility Act section</w:t>
      </w:r>
      <w:r>
        <w:rPr>
          <w:sz w:val="24"/>
          <w:szCs w:val="24"/>
        </w:rPr>
        <w:t>s</w:t>
      </w:r>
      <w:r w:rsidRPr="00EE4B53">
        <w:rPr>
          <w:sz w:val="24"/>
          <w:szCs w:val="24"/>
        </w:rPr>
        <w:t>.</w:t>
      </w:r>
    </w:p>
    <w:p w14:paraId="15E6BAB1" w14:textId="77777777" w:rsidR="008132A5" w:rsidRDefault="008132A5" w:rsidP="00F15484">
      <w:pPr>
        <w:pStyle w:val="FootnoteText"/>
        <w:rPr>
          <w:sz w:val="24"/>
          <w:szCs w:val="24"/>
        </w:rPr>
      </w:pPr>
    </w:p>
    <w:p w14:paraId="43BAB819" w14:textId="4F0B3C57" w:rsidR="00025037" w:rsidRDefault="00DE3CEF" w:rsidP="00F15484">
      <w:pPr>
        <w:pStyle w:val="FootnoteText"/>
        <w:rPr>
          <w:sz w:val="24"/>
          <w:szCs w:val="24"/>
        </w:rPr>
      </w:pPr>
      <w:r w:rsidRPr="00EE4B53">
        <w:rPr>
          <w:sz w:val="24"/>
          <w:szCs w:val="24"/>
        </w:rPr>
        <w:t>The information collection requirements in the Reliability Standards TPL-001-0 through TPL-004-0 are approved by OMB under FERC-725A (OMB Control No.1902-0244).</w:t>
      </w:r>
      <w:r>
        <w:rPr>
          <w:sz w:val="24"/>
          <w:szCs w:val="24"/>
        </w:rPr>
        <w:t xml:space="preserve">  </w:t>
      </w:r>
      <w:r w:rsidRPr="00EE4B53">
        <w:rPr>
          <w:sz w:val="24"/>
          <w:szCs w:val="24"/>
        </w:rPr>
        <w:t>Reliability Standards TPL-001 through TPL-004 are not affected by Docket No. RM18-8 and are not addressed further in this supporting statement.</w:t>
      </w:r>
      <w:r w:rsidR="00025037" w:rsidRPr="00025037">
        <w:rPr>
          <w:sz w:val="24"/>
          <w:szCs w:val="24"/>
        </w:rPr>
        <w:t xml:space="preserve"> </w:t>
      </w:r>
    </w:p>
    <w:p w14:paraId="765F2459" w14:textId="6D355F9D" w:rsidR="00DE3CEF" w:rsidRPr="00EE4B53" w:rsidRDefault="00025037" w:rsidP="00F15484">
      <w:pPr>
        <w:pStyle w:val="FootnoteText"/>
        <w:rPr>
          <w:sz w:val="24"/>
          <w:szCs w:val="24"/>
        </w:rPr>
      </w:pPr>
      <w:r w:rsidRPr="00EE4B53">
        <w:rPr>
          <w:sz w:val="24"/>
          <w:szCs w:val="24"/>
        </w:rPr>
        <w:t>Reliability Standard TPL-001-4 (from the final rule in Docket Nos. RM12-1 and RM13-9)</w:t>
      </w:r>
      <w:r>
        <w:rPr>
          <w:sz w:val="24"/>
          <w:szCs w:val="24"/>
        </w:rPr>
        <w:t xml:space="preserve"> </w:t>
      </w:r>
      <w:r w:rsidRPr="00EE4B53">
        <w:rPr>
          <w:sz w:val="24"/>
          <w:szCs w:val="24"/>
        </w:rPr>
        <w:t xml:space="preserve">was approved by OMB on 1/10/2014 in FERC-725N.  </w:t>
      </w:r>
    </w:p>
  </w:footnote>
  <w:footnote w:id="6">
    <w:p w14:paraId="3B024E70" w14:textId="77777777" w:rsidR="00DE3CEF" w:rsidRPr="00F15484" w:rsidRDefault="00DE3CEF" w:rsidP="00F15484">
      <w:pPr>
        <w:pStyle w:val="FootnoteText"/>
      </w:pPr>
      <w:r w:rsidRPr="00EE4B53">
        <w:rPr>
          <w:rStyle w:val="FootnoteReference"/>
          <w:sz w:val="24"/>
          <w:szCs w:val="24"/>
          <w:vertAlign w:val="superscript"/>
        </w:rPr>
        <w:footnoteRef/>
      </w:r>
      <w:r w:rsidRPr="00EE4B53">
        <w:rPr>
          <w:sz w:val="24"/>
          <w:szCs w:val="24"/>
        </w:rPr>
        <w:t xml:space="preserve"> The Energy Policy Act of 2005, Pub. L. No 109-58, Title XII, Subtitle A, 119 Stat. 594, 941 (2005), codified at 16 U.S.C. 824o (2000).</w:t>
      </w:r>
    </w:p>
  </w:footnote>
  <w:footnote w:id="7">
    <w:p w14:paraId="6287EBF0" w14:textId="77777777" w:rsidR="00DE3CEF" w:rsidRPr="00EE4B53" w:rsidRDefault="00DE3CEF"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w:t>
      </w:r>
      <w:r w:rsidRPr="00EE4B53">
        <w:rPr>
          <w:i/>
          <w:sz w:val="24"/>
          <w:szCs w:val="24"/>
        </w:rPr>
        <w:t>Mandatory Reliability Standards for the Bulk-Power System</w:t>
      </w:r>
      <w:r w:rsidRPr="00EE4B53">
        <w:rPr>
          <w:sz w:val="24"/>
          <w:szCs w:val="24"/>
        </w:rPr>
        <w:t>,</w:t>
      </w:r>
      <w:r w:rsidRPr="00EE4B53">
        <w:rPr>
          <w:i/>
          <w:sz w:val="24"/>
          <w:szCs w:val="24"/>
        </w:rPr>
        <w:t xml:space="preserve"> </w:t>
      </w:r>
      <w:r w:rsidRPr="00EE4B53">
        <w:rPr>
          <w:sz w:val="24"/>
          <w:szCs w:val="24"/>
        </w:rPr>
        <w:t xml:space="preserve">Order No. 693, FERC Stats. &amp; Regs. ¶ 31,242 at PP 1840, 1845, </w:t>
      </w:r>
      <w:r w:rsidRPr="00EE4B53">
        <w:rPr>
          <w:i/>
          <w:sz w:val="24"/>
          <w:szCs w:val="24"/>
        </w:rPr>
        <w:t>order on reh’g</w:t>
      </w:r>
      <w:r w:rsidRPr="00EE4B53">
        <w:rPr>
          <w:sz w:val="24"/>
          <w:szCs w:val="24"/>
        </w:rPr>
        <w:t>, Order No. 693-A, 120 FERC ¶ 61,053 (2007).  The currently-effective versions of the TPL Reliability Standards are as follows:  TPL-001-4 and TPL-007-1 (which is be</w:t>
      </w:r>
      <w:r>
        <w:rPr>
          <w:sz w:val="24"/>
          <w:szCs w:val="24"/>
        </w:rPr>
        <w:t>ing</w:t>
      </w:r>
      <w:r w:rsidRPr="00EE4B53">
        <w:rPr>
          <w:sz w:val="24"/>
          <w:szCs w:val="24"/>
        </w:rPr>
        <w:t xml:space="preserve"> replaced by TPL-007-2 in Docket RM18-8</w:t>
      </w:r>
      <w:r>
        <w:rPr>
          <w:sz w:val="24"/>
          <w:szCs w:val="24"/>
        </w:rPr>
        <w:t>,</w:t>
      </w:r>
      <w:r w:rsidRPr="00EE4B53">
        <w:rPr>
          <w:sz w:val="24"/>
          <w:szCs w:val="24"/>
        </w:rPr>
        <w:t xml:space="preserve"> discussed here).</w:t>
      </w:r>
    </w:p>
  </w:footnote>
  <w:footnote w:id="8">
    <w:p w14:paraId="13733A72" w14:textId="77777777" w:rsidR="00DE3CEF" w:rsidRPr="00566E72" w:rsidRDefault="00DE3CEF">
      <w:pPr>
        <w:pStyle w:val="FootnoteText"/>
        <w:rPr>
          <w:sz w:val="24"/>
          <w:szCs w:val="24"/>
        </w:rPr>
      </w:pPr>
      <w:r w:rsidRPr="00632DB2">
        <w:rPr>
          <w:rStyle w:val="FootnoteReference"/>
          <w:sz w:val="24"/>
          <w:szCs w:val="24"/>
          <w:vertAlign w:val="superscript"/>
        </w:rPr>
        <w:footnoteRef/>
      </w:r>
      <w:r w:rsidRPr="00632DB2">
        <w:rPr>
          <w:sz w:val="24"/>
          <w:szCs w:val="24"/>
          <w:vertAlign w:val="superscript"/>
        </w:rPr>
        <w:t xml:space="preserve"> </w:t>
      </w:r>
      <w:r w:rsidRPr="00632DB2">
        <w:rPr>
          <w:sz w:val="24"/>
          <w:szCs w:val="24"/>
        </w:rPr>
        <w:t xml:space="preserve">NERC’s Petition </w:t>
      </w:r>
      <w:r w:rsidRPr="00566E72">
        <w:rPr>
          <w:sz w:val="24"/>
          <w:szCs w:val="24"/>
        </w:rPr>
        <w:t>(</w:t>
      </w:r>
      <w:r w:rsidRPr="00632DB2">
        <w:rPr>
          <w:sz w:val="24"/>
          <w:szCs w:val="24"/>
        </w:rPr>
        <w:t>dated 1/22/2018</w:t>
      </w:r>
      <w:r w:rsidRPr="00566E72">
        <w:rPr>
          <w:sz w:val="24"/>
          <w:szCs w:val="24"/>
        </w:rPr>
        <w:t>)</w:t>
      </w:r>
      <w:r w:rsidRPr="00632DB2">
        <w:rPr>
          <w:sz w:val="24"/>
          <w:szCs w:val="24"/>
        </w:rPr>
        <w:t xml:space="preserve"> is posted on FERC’s eLibrary at </w:t>
      </w:r>
      <w:hyperlink r:id="rId6" w:history="1">
        <w:r w:rsidRPr="00632DB2">
          <w:rPr>
            <w:rStyle w:val="Hyperlink"/>
            <w:sz w:val="24"/>
            <w:szCs w:val="24"/>
          </w:rPr>
          <w:t>https://elibrary.ferc.gov/idmws/common/OpenNat.asp?fileID=14802641</w:t>
        </w:r>
      </w:hyperlink>
      <w:r w:rsidRPr="00632DB2">
        <w:rPr>
          <w:sz w:val="24"/>
          <w:szCs w:val="24"/>
        </w:rPr>
        <w:t xml:space="preserve">.  </w:t>
      </w:r>
    </w:p>
    <w:p w14:paraId="4695DC3D" w14:textId="77777777" w:rsidR="00DE3CEF" w:rsidRPr="00566E72" w:rsidRDefault="00DE3CEF">
      <w:pPr>
        <w:pStyle w:val="FootnoteText"/>
        <w:rPr>
          <w:sz w:val="24"/>
          <w:szCs w:val="24"/>
        </w:rPr>
      </w:pPr>
      <w:r w:rsidRPr="00632DB2">
        <w:rPr>
          <w:sz w:val="24"/>
          <w:szCs w:val="24"/>
        </w:rPr>
        <w:t>The exhibits</w:t>
      </w:r>
      <w:r>
        <w:rPr>
          <w:sz w:val="24"/>
          <w:szCs w:val="24"/>
        </w:rPr>
        <w:t>,</w:t>
      </w:r>
      <w:r w:rsidRPr="00632DB2">
        <w:rPr>
          <w:sz w:val="24"/>
          <w:szCs w:val="24"/>
        </w:rPr>
        <w:t xml:space="preserve"> </w:t>
      </w:r>
      <w:r w:rsidRPr="00566E72">
        <w:rPr>
          <w:sz w:val="24"/>
          <w:szCs w:val="24"/>
        </w:rPr>
        <w:t xml:space="preserve">posted </w:t>
      </w:r>
      <w:r w:rsidRPr="00632DB2">
        <w:rPr>
          <w:sz w:val="24"/>
          <w:szCs w:val="24"/>
        </w:rPr>
        <w:t>separately in eLibrary</w:t>
      </w:r>
      <w:r w:rsidRPr="00566E72">
        <w:rPr>
          <w:sz w:val="24"/>
          <w:szCs w:val="24"/>
        </w:rPr>
        <w:t xml:space="preserve"> include:</w:t>
      </w:r>
    </w:p>
    <w:p w14:paraId="7E2EEC2B" w14:textId="77777777" w:rsidR="00DE3CEF" w:rsidRPr="00632DB2" w:rsidRDefault="00DE3CEF" w:rsidP="00632DB2">
      <w:pPr>
        <w:pStyle w:val="FootnoteText"/>
        <w:numPr>
          <w:ilvl w:val="0"/>
          <w:numId w:val="30"/>
        </w:numPr>
        <w:rPr>
          <w:sz w:val="24"/>
          <w:szCs w:val="24"/>
        </w:rPr>
      </w:pPr>
      <w:r w:rsidRPr="00632DB2">
        <w:rPr>
          <w:sz w:val="24"/>
          <w:szCs w:val="24"/>
        </w:rPr>
        <w:t xml:space="preserve">Exhibit A, Proposed Reliability Standard TPL-007-2 – Transmission System Planned Performance for Geomagnetic Disturbance Operations, at </w:t>
      </w:r>
      <w:hyperlink r:id="rId7" w:history="1">
        <w:r w:rsidRPr="00632DB2">
          <w:rPr>
            <w:rStyle w:val="Hyperlink"/>
            <w:sz w:val="24"/>
            <w:szCs w:val="24"/>
          </w:rPr>
          <w:t>https://elibrary.ferc.gov/idmws/common/OpenNat.asp?fileID=14802642</w:t>
        </w:r>
      </w:hyperlink>
    </w:p>
    <w:p w14:paraId="69272FEB" w14:textId="77777777" w:rsidR="00DE3CEF" w:rsidRDefault="00DE3CEF" w:rsidP="00632DB2">
      <w:pPr>
        <w:pStyle w:val="FootnoteText"/>
        <w:numPr>
          <w:ilvl w:val="0"/>
          <w:numId w:val="30"/>
        </w:numPr>
        <w:rPr>
          <w:sz w:val="24"/>
          <w:szCs w:val="24"/>
        </w:rPr>
      </w:pPr>
      <w:r w:rsidRPr="00632DB2">
        <w:rPr>
          <w:sz w:val="24"/>
          <w:szCs w:val="24"/>
        </w:rPr>
        <w:t xml:space="preserve">Exhibit B, Implementation Plan for Proposed Reliability Standard TPL-007-2, at </w:t>
      </w:r>
      <w:hyperlink r:id="rId8" w:history="1">
        <w:r w:rsidRPr="00632DB2">
          <w:rPr>
            <w:rStyle w:val="Hyperlink"/>
            <w:sz w:val="24"/>
            <w:szCs w:val="24"/>
          </w:rPr>
          <w:t>https://elibrary.ferc.gov/idmws/common/OpenNat.asp?fileID=14802643</w:t>
        </w:r>
      </w:hyperlink>
    </w:p>
    <w:p w14:paraId="1F6645C8" w14:textId="77777777" w:rsidR="00DE3CEF" w:rsidRPr="00632DB2" w:rsidRDefault="00DE3CEF" w:rsidP="00632DB2">
      <w:pPr>
        <w:pStyle w:val="FootnoteText"/>
        <w:numPr>
          <w:ilvl w:val="0"/>
          <w:numId w:val="30"/>
        </w:numPr>
        <w:rPr>
          <w:sz w:val="24"/>
          <w:szCs w:val="24"/>
        </w:rPr>
      </w:pPr>
      <w:r w:rsidRPr="00632DB2">
        <w:rPr>
          <w:sz w:val="24"/>
          <w:szCs w:val="24"/>
        </w:rPr>
        <w:t>Exhibit D, Summary of Development History and Complete Record of Development, at https://elibrary.ferc.gov/idmws/common/OpenNat.asp?fileID=14802645</w:t>
      </w:r>
    </w:p>
  </w:footnote>
  <w:footnote w:id="9">
    <w:p w14:paraId="318FC35A" w14:textId="77777777" w:rsidR="00DE3CEF" w:rsidRPr="00F15484" w:rsidRDefault="00DE3CEF" w:rsidP="00F15484">
      <w:pPr>
        <w:pStyle w:val="FootnoteText"/>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Details of the current ERO Reliability Standard processes are available in Appendix 3A of the NERC Rules of Procedure on the NERC website at </w:t>
      </w:r>
      <w:r w:rsidRPr="00EE4B53">
        <w:rPr>
          <w:rStyle w:val="Hyperlink"/>
          <w:sz w:val="24"/>
          <w:szCs w:val="24"/>
        </w:rPr>
        <w:t>https://www.nerc.com/AboutNERC/Pages/Rules-of-Procedure.aspx</w:t>
      </w:r>
      <w:r w:rsidRPr="00EE4B53">
        <w:rPr>
          <w:sz w:val="24"/>
          <w:szCs w:val="24"/>
        </w:rPr>
        <w:t>.</w:t>
      </w:r>
    </w:p>
  </w:footnote>
  <w:footnote w:id="10">
    <w:p w14:paraId="73462849" w14:textId="77777777" w:rsidR="00DE3CEF" w:rsidRDefault="00DE3CEF" w:rsidP="00F15484">
      <w:pPr>
        <w:pStyle w:val="FootnoteText"/>
        <w:rPr>
          <w:sz w:val="24"/>
          <w:szCs w:val="24"/>
        </w:rPr>
      </w:pPr>
      <w:r w:rsidRPr="00EE4B53">
        <w:rPr>
          <w:rStyle w:val="FootnoteReference"/>
          <w:sz w:val="24"/>
          <w:szCs w:val="24"/>
          <w:vertAlign w:val="superscript"/>
        </w:rPr>
        <w:footnoteRef/>
      </w:r>
      <w:r w:rsidRPr="00EE4B53">
        <w:rPr>
          <w:sz w:val="24"/>
          <w:szCs w:val="24"/>
        </w:rPr>
        <w:t xml:space="preserve"> Details of the current ERO Reliability Standard processes are available on the NERC website at </w:t>
      </w:r>
      <w:hyperlink r:id="rId9" w:history="1">
        <w:r w:rsidRPr="00EE4B53">
          <w:rPr>
            <w:rStyle w:val="Hyperlink"/>
            <w:sz w:val="24"/>
            <w:szCs w:val="24"/>
          </w:rPr>
          <w:t>http://www.nerc.com</w:t>
        </w:r>
      </w:hyperlink>
      <w:r w:rsidRPr="00EE4B53">
        <w:rPr>
          <w:sz w:val="24"/>
          <w:szCs w:val="24"/>
        </w:rPr>
        <w:t xml:space="preserve"> .</w:t>
      </w:r>
    </w:p>
    <w:p w14:paraId="65847B7E" w14:textId="77777777" w:rsidR="00DE3CEF" w:rsidRPr="00EE4B53" w:rsidRDefault="00DE3CEF" w:rsidP="00F15484">
      <w:pPr>
        <w:pStyle w:val="FootnoteText"/>
        <w:rPr>
          <w:sz w:val="24"/>
          <w:szCs w:val="24"/>
        </w:rPr>
      </w:pPr>
      <w:r w:rsidRPr="00566E72">
        <w:rPr>
          <w:sz w:val="24"/>
          <w:szCs w:val="24"/>
        </w:rPr>
        <w:t xml:space="preserve">Exhibit D </w:t>
      </w:r>
      <w:r>
        <w:rPr>
          <w:sz w:val="24"/>
          <w:szCs w:val="24"/>
        </w:rPr>
        <w:t xml:space="preserve">of NERC’s Petition contains the </w:t>
      </w:r>
      <w:r w:rsidRPr="00566E72">
        <w:rPr>
          <w:sz w:val="24"/>
          <w:szCs w:val="24"/>
        </w:rPr>
        <w:t>Summary of Development History and Complete Record of Development</w:t>
      </w:r>
      <w:r>
        <w:rPr>
          <w:sz w:val="24"/>
          <w:szCs w:val="24"/>
        </w:rPr>
        <w:t xml:space="preserve"> for </w:t>
      </w:r>
      <w:r w:rsidRPr="00566E72">
        <w:rPr>
          <w:sz w:val="24"/>
          <w:szCs w:val="24"/>
        </w:rPr>
        <w:t>Reliability Standard TPL-007-2</w:t>
      </w:r>
      <w:r>
        <w:rPr>
          <w:sz w:val="24"/>
          <w:szCs w:val="24"/>
        </w:rPr>
        <w:t>.</w:t>
      </w:r>
    </w:p>
  </w:footnote>
  <w:footnote w:id="11">
    <w:p w14:paraId="26827E18" w14:textId="77777777" w:rsidR="00DE3CEF" w:rsidRDefault="00DE3CEF">
      <w:pPr>
        <w:pStyle w:val="FootnoteText"/>
      </w:pPr>
      <w:r w:rsidRPr="00EE4B53">
        <w:rPr>
          <w:rStyle w:val="FootnoteReference"/>
          <w:sz w:val="24"/>
          <w:szCs w:val="24"/>
          <w:vertAlign w:val="superscript"/>
        </w:rPr>
        <w:footnoteRef/>
      </w:r>
      <w:r w:rsidRPr="00EE4B53">
        <w:rPr>
          <w:sz w:val="24"/>
          <w:szCs w:val="24"/>
          <w:vertAlign w:val="superscript"/>
        </w:rPr>
        <w:t xml:space="preserve"> </w:t>
      </w:r>
      <w:r w:rsidRPr="00EE4B53">
        <w:rPr>
          <w:sz w:val="24"/>
          <w:szCs w:val="24"/>
        </w:rPr>
        <w:t xml:space="preserve">The NERC Petition is posted in FERC’s eLibrary at </w:t>
      </w:r>
      <w:hyperlink r:id="rId10" w:history="1">
        <w:r w:rsidRPr="00EE4B53">
          <w:rPr>
            <w:rStyle w:val="Hyperlink"/>
            <w:sz w:val="24"/>
            <w:szCs w:val="24"/>
          </w:rPr>
          <w:t>https://elibrary-backup.ferc.gov/idmws/common/OpenNat.asp?fileID=14802641</w:t>
        </w:r>
      </w:hyperlink>
      <w:r w:rsidRPr="00EE4B53">
        <w:rPr>
          <w:sz w:val="24"/>
          <w:szCs w:val="24"/>
        </w:rPr>
        <w:t xml:space="preserve">.  The proposed standard (Exhibit A) is posted at </w:t>
      </w:r>
      <w:hyperlink r:id="rId11" w:history="1">
        <w:r w:rsidRPr="00EE4B53">
          <w:rPr>
            <w:rStyle w:val="Hyperlink"/>
            <w:sz w:val="24"/>
            <w:szCs w:val="24"/>
          </w:rPr>
          <w:t>https://elibrary-backup.ferc.gov/idmws/common/OpenNat.asp?fileID=14802642</w:t>
        </w:r>
      </w:hyperlink>
      <w:r w:rsidRPr="00EE4B53">
        <w:rPr>
          <w:sz w:val="24"/>
          <w:szCs w:val="24"/>
        </w:rPr>
        <w:t>.  The remaining Exhibits (e.g., Implementation Plan, Record of Development, etc.) are posted as separate files under FERC’s eLibrary accession number 20180122-5163.</w:t>
      </w:r>
    </w:p>
  </w:footnote>
  <w:footnote w:id="12">
    <w:p w14:paraId="64A942A4" w14:textId="30771D9E" w:rsidR="00850EA0" w:rsidRPr="00850EA0" w:rsidRDefault="00DE3CEF" w:rsidP="00850EA0">
      <w:pPr>
        <w:pStyle w:val="FootnoteText"/>
        <w:rPr>
          <w:sz w:val="24"/>
          <w:szCs w:val="24"/>
        </w:rPr>
      </w:pPr>
      <w:r w:rsidRPr="00EE4B53">
        <w:rPr>
          <w:rStyle w:val="FootnoteReference"/>
          <w:sz w:val="24"/>
          <w:szCs w:val="24"/>
          <w:vertAlign w:val="superscript"/>
        </w:rPr>
        <w:footnoteRef/>
      </w:r>
      <w:r w:rsidRPr="00EE4B53">
        <w:rPr>
          <w:sz w:val="24"/>
          <w:szCs w:val="24"/>
          <w:vertAlign w:val="superscript"/>
        </w:rPr>
        <w:t xml:space="preserve"> </w:t>
      </w:r>
      <w:r w:rsidR="00850EA0" w:rsidRPr="00850EA0">
        <w:rPr>
          <w:sz w:val="24"/>
          <w:szCs w:val="24"/>
        </w:rPr>
        <w:t xml:space="preserve">Hourly costs are based on the Bureau of Labor Statistics (BLS) figures for May 2017 (Sector 22, Utilities) for wages (https://www.bls.gov/oes/current/naics2_22.htm) and benefits for December 2017 (https://www.bls.gov/news.release/ecec.nr0.htm).  We  estimate that an Electrical Engineer (NAICS code 17-2071) would perform the functions associated with reporting requirements, at an average hourly cost (for wages and benefits) of $66.90  The functions associated with recordkeeping requirements, we estimate, would be performed by a File Clerk (NAICS code 43-4071) at an average hourly cost of $32.04 for wages and benefits.  </w:t>
      </w:r>
    </w:p>
    <w:p w14:paraId="64B807D8" w14:textId="77777777" w:rsidR="00850EA0" w:rsidRDefault="00850EA0" w:rsidP="00850EA0">
      <w:pPr>
        <w:pStyle w:val="FootnoteText"/>
        <w:rPr>
          <w:sz w:val="24"/>
          <w:szCs w:val="24"/>
        </w:rPr>
      </w:pPr>
    </w:p>
    <w:p w14:paraId="4C6E7C9F" w14:textId="77777777" w:rsidR="00850EA0" w:rsidRPr="00850EA0" w:rsidRDefault="00850EA0" w:rsidP="00850EA0">
      <w:pPr>
        <w:pStyle w:val="FootnoteText"/>
        <w:rPr>
          <w:sz w:val="24"/>
          <w:szCs w:val="24"/>
        </w:rPr>
      </w:pPr>
      <w:r w:rsidRPr="00850EA0">
        <w:rPr>
          <w:sz w:val="24"/>
          <w:szCs w:val="24"/>
        </w:rPr>
        <w:t>The estimated burden and cost are in addition to the burden and cost that are associated with the existing requirements in Reliability Standard TPL-007-1 (and in the current OMB-approved inventory), which would continue under Reliability Standard TPL-007-2.</w:t>
      </w:r>
    </w:p>
    <w:p w14:paraId="0311D452" w14:textId="77777777" w:rsidR="00850EA0" w:rsidRDefault="00850EA0" w:rsidP="00850EA0">
      <w:pPr>
        <w:pStyle w:val="FootnoteText"/>
        <w:rPr>
          <w:sz w:val="24"/>
          <w:szCs w:val="24"/>
        </w:rPr>
      </w:pPr>
    </w:p>
    <w:p w14:paraId="7696B6B6" w14:textId="18C97DDA" w:rsidR="00DE3CEF" w:rsidRPr="00EE4B53" w:rsidRDefault="00850EA0" w:rsidP="00850EA0">
      <w:pPr>
        <w:pStyle w:val="FootnoteText"/>
        <w:rPr>
          <w:sz w:val="24"/>
          <w:szCs w:val="24"/>
        </w:rPr>
      </w:pPr>
      <w:r w:rsidRPr="00850EA0">
        <w:rPr>
          <w:sz w:val="24"/>
          <w:szCs w:val="24"/>
        </w:rPr>
        <w:t>The requirements for NERC to provide reports to the Commission and to develop and submit modifications to Reliability Standard TPL-007-2 are already covered under FERC-725 (OMB Control No. 1902-0225).</w:t>
      </w:r>
    </w:p>
  </w:footnote>
  <w:footnote w:id="13">
    <w:p w14:paraId="2501B3F4" w14:textId="77777777" w:rsidR="00425E13" w:rsidRPr="00135762" w:rsidRDefault="00425E13" w:rsidP="00425E13">
      <w:pPr>
        <w:pStyle w:val="FootnoteText"/>
        <w:rPr>
          <w:sz w:val="24"/>
          <w:szCs w:val="24"/>
        </w:rPr>
      </w:pPr>
      <w:r w:rsidRPr="00135762">
        <w:rPr>
          <w:rStyle w:val="FootnoteReference"/>
          <w:sz w:val="24"/>
          <w:szCs w:val="24"/>
          <w:vertAlign w:val="superscript"/>
        </w:rPr>
        <w:footnoteRef/>
      </w:r>
      <w:r w:rsidRPr="00135762">
        <w:rPr>
          <w:sz w:val="24"/>
          <w:szCs w:val="24"/>
          <w:vertAlign w:val="superscript"/>
        </w:rPr>
        <w:t xml:space="preserve"> </w:t>
      </w:r>
      <w:r w:rsidRPr="00135762">
        <w:rPr>
          <w:sz w:val="24"/>
          <w:szCs w:val="24"/>
        </w:rPr>
        <w:t>Rep.=reporting requirements; RK =recordkeeping requirements (Evidence Retention).</w:t>
      </w:r>
    </w:p>
  </w:footnote>
  <w:footnote w:id="14">
    <w:p w14:paraId="4D616DBC" w14:textId="77777777" w:rsidR="00425E13" w:rsidRPr="00135762" w:rsidRDefault="00425E13" w:rsidP="00425E13">
      <w:pPr>
        <w:pStyle w:val="FootnoteText"/>
        <w:rPr>
          <w:sz w:val="24"/>
          <w:szCs w:val="24"/>
        </w:rPr>
      </w:pPr>
      <w:r w:rsidRPr="00135762">
        <w:rPr>
          <w:rStyle w:val="FootnoteReference"/>
          <w:sz w:val="24"/>
          <w:szCs w:val="24"/>
          <w:vertAlign w:val="superscript"/>
        </w:rPr>
        <w:footnoteRef/>
      </w:r>
      <w:r w:rsidRPr="00135762">
        <w:rPr>
          <w:sz w:val="24"/>
          <w:szCs w:val="24"/>
        </w:rPr>
        <w:t xml:space="preserve"> For each Reliability Standard, the Measure shows the acceptable evidence (Reporting Requirement) for the associated Requirement (R numbers), and the Compliance section details the related Recordkeeping Requirement.</w:t>
      </w:r>
    </w:p>
  </w:footnote>
  <w:footnote w:id="15">
    <w:p w14:paraId="2DBB93D3" w14:textId="77777777" w:rsidR="00425E13" w:rsidRDefault="00425E13" w:rsidP="00425E13">
      <w:pPr>
        <w:pStyle w:val="FootnoteText"/>
      </w:pPr>
      <w:r w:rsidRPr="00135762">
        <w:rPr>
          <w:rStyle w:val="FootnoteReference"/>
          <w:sz w:val="24"/>
          <w:szCs w:val="24"/>
          <w:vertAlign w:val="superscript"/>
        </w:rPr>
        <w:footnoteRef/>
      </w:r>
      <w:r w:rsidRPr="00135762">
        <w:rPr>
          <w:sz w:val="24"/>
          <w:szCs w:val="24"/>
        </w:rPr>
        <w:t xml:space="preserve"> While Reliability Standard TPL-007-2 extends the requirements in existing Reliability Standard TPL-007-1, Requirements R1 through R3 to the newly required supplemental GMD event analyses, the obligation to conduct the supplemental GMD event analyses is found in Reliability Standard TPL-007-2, Requirements R8 through R10.</w:t>
      </w:r>
    </w:p>
  </w:footnote>
  <w:footnote w:id="16">
    <w:p w14:paraId="5765E3D4" w14:textId="77777777" w:rsidR="00DE3CEF" w:rsidRPr="00D9265E" w:rsidRDefault="00DE3CEF">
      <w:pPr>
        <w:pStyle w:val="FootnoteText"/>
        <w:rPr>
          <w:sz w:val="24"/>
          <w:szCs w:val="24"/>
        </w:rPr>
      </w:pPr>
      <w:r w:rsidRPr="00D9265E">
        <w:rPr>
          <w:rStyle w:val="FootnoteReference"/>
          <w:sz w:val="24"/>
          <w:szCs w:val="24"/>
          <w:vertAlign w:val="superscript"/>
        </w:rPr>
        <w:footnoteRef/>
      </w:r>
      <w:r w:rsidRPr="00D9265E">
        <w:rPr>
          <w:sz w:val="24"/>
          <w:szCs w:val="24"/>
        </w:rPr>
        <w:t xml:space="preserve"> </w:t>
      </w:r>
      <w:r>
        <w:rPr>
          <w:sz w:val="24"/>
          <w:szCs w:val="24"/>
        </w:rPr>
        <w:t xml:space="preserve">Because each entity (respondent) has multiple activities (labelled “responses” for reginfo.gov and ROCIS) in a </w:t>
      </w:r>
      <w:r w:rsidRPr="00E20EE9">
        <w:rPr>
          <w:sz w:val="24"/>
          <w:szCs w:val="24"/>
        </w:rPr>
        <w:t>year, the number of additional responses is counted as one response per entity affected annually (</w:t>
      </w:r>
      <w:r w:rsidRPr="00820D48">
        <w:rPr>
          <w:sz w:val="24"/>
          <w:szCs w:val="24"/>
        </w:rPr>
        <w:t>188+56).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B41A7" w14:textId="77777777" w:rsidR="00DE3CEF" w:rsidRPr="00790CE6" w:rsidRDefault="00DE3CEF" w:rsidP="00B3407F">
    <w:pPr>
      <w:pStyle w:val="Header"/>
      <w:rPr>
        <w:rFonts w:ascii="Times New Roman" w:hAnsi="Times New Roman"/>
        <w:sz w:val="24"/>
        <w:szCs w:val="24"/>
      </w:rPr>
    </w:pPr>
    <w:r w:rsidRPr="00790CE6">
      <w:rPr>
        <w:rFonts w:ascii="Times New Roman" w:hAnsi="Times New Roman"/>
        <w:sz w:val="24"/>
        <w:szCs w:val="24"/>
      </w:rPr>
      <w:t>FERC-725N (OMB Control No.: 1902-0264)</w:t>
    </w:r>
    <w:r w:rsidRPr="00790CE6">
      <w:rPr>
        <w:rFonts w:ascii="Times New Roman" w:hAnsi="Times New Roman"/>
        <w:b/>
        <w:sz w:val="24"/>
        <w:szCs w:val="24"/>
      </w:rPr>
      <w:t xml:space="preserve"> </w:t>
    </w:r>
  </w:p>
  <w:p w14:paraId="35B28B5F" w14:textId="262445D8" w:rsidR="00DE3CEF" w:rsidRPr="00790CE6" w:rsidRDefault="00E767F2" w:rsidP="00B3407F">
    <w:pPr>
      <w:pStyle w:val="Header"/>
      <w:rPr>
        <w:rFonts w:ascii="Times New Roman" w:hAnsi="Times New Roman"/>
        <w:sz w:val="24"/>
        <w:szCs w:val="24"/>
      </w:rPr>
    </w:pPr>
    <w:r w:rsidRPr="00E767F2">
      <w:rPr>
        <w:rFonts w:ascii="Times New Roman" w:hAnsi="Times New Roman"/>
        <w:sz w:val="24"/>
        <w:szCs w:val="24"/>
      </w:rPr>
      <w:t>Docket Nos. RM18-8-000 and RM15-11-003</w:t>
    </w:r>
    <w:r w:rsidR="00DE3CEF" w:rsidRPr="00790CE6">
      <w:rPr>
        <w:rFonts w:ascii="Times New Roman" w:hAnsi="Times New Roman"/>
        <w:sz w:val="24"/>
        <w:szCs w:val="24"/>
      </w:rPr>
      <w:t xml:space="preserve">, </w:t>
    </w:r>
    <w:r w:rsidR="00DE3CEF">
      <w:rPr>
        <w:rFonts w:ascii="Times New Roman" w:hAnsi="Times New Roman"/>
        <w:sz w:val="24"/>
        <w:szCs w:val="24"/>
      </w:rPr>
      <w:t xml:space="preserve">Final </w:t>
    </w:r>
    <w:r w:rsidR="00DE3CEF" w:rsidRPr="004F18C0">
      <w:rPr>
        <w:rFonts w:ascii="Times New Roman" w:hAnsi="Times New Roman"/>
        <w:sz w:val="24"/>
        <w:szCs w:val="24"/>
      </w:rPr>
      <w:t xml:space="preserve">Rule issued </w:t>
    </w:r>
    <w:r w:rsidR="004F18C0" w:rsidRPr="004F18C0">
      <w:rPr>
        <w:rFonts w:ascii="Times New Roman" w:hAnsi="Times New Roman"/>
        <w:sz w:val="24"/>
        <w:szCs w:val="24"/>
      </w:rPr>
      <w:t>11/15</w:t>
    </w:r>
    <w:r w:rsidR="00DE3CEF" w:rsidRPr="004F18C0">
      <w:rPr>
        <w:rFonts w:ascii="Times New Roman" w:hAnsi="Times New Roman"/>
        <w:sz w:val="24"/>
        <w:szCs w:val="24"/>
      </w:rPr>
      <w:t>/2018</w:t>
    </w:r>
  </w:p>
  <w:p w14:paraId="1D997DFA" w14:textId="77777777" w:rsidR="00DE3CEF" w:rsidRDefault="00DE3CEF" w:rsidP="00B3407F">
    <w:pPr>
      <w:pStyle w:val="Header"/>
      <w:rPr>
        <w:rFonts w:ascii="Times New Roman" w:hAnsi="Times New Roman"/>
        <w:sz w:val="24"/>
        <w:szCs w:val="24"/>
      </w:rPr>
    </w:pPr>
    <w:r w:rsidRPr="00790CE6">
      <w:rPr>
        <w:rFonts w:ascii="Times New Roman" w:hAnsi="Times New Roman"/>
        <w:sz w:val="24"/>
        <w:szCs w:val="24"/>
      </w:rPr>
      <w:t>RIN: 1902-AF52</w:t>
    </w:r>
  </w:p>
  <w:p w14:paraId="248297B8" w14:textId="77777777" w:rsidR="00DE3CEF" w:rsidRDefault="00DE3CEF"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numFmt w:val="bullet"/>
      <w:lvlText w:val=""/>
      <w:lvlJc w:val="left"/>
      <w:pPr>
        <w:ind w:left="1700" w:hanging="540"/>
      </w:pPr>
      <w:rPr>
        <w:rFonts w:ascii="Symbol" w:hAnsi="Symbol" w:cs="Symbol"/>
        <w:b w:val="0"/>
        <w:bCs w:val="0"/>
        <w:sz w:val="24"/>
        <w:szCs w:val="24"/>
      </w:rPr>
    </w:lvl>
    <w:lvl w:ilvl="1">
      <w:numFmt w:val="bullet"/>
      <w:lvlText w:val="•"/>
      <w:lvlJc w:val="left"/>
      <w:pPr>
        <w:ind w:left="2440" w:hanging="540"/>
      </w:pPr>
    </w:lvl>
    <w:lvl w:ilvl="2">
      <w:numFmt w:val="bullet"/>
      <w:lvlText w:val="•"/>
      <w:lvlJc w:val="left"/>
      <w:pPr>
        <w:ind w:left="3180" w:hanging="540"/>
      </w:pPr>
    </w:lvl>
    <w:lvl w:ilvl="3">
      <w:numFmt w:val="bullet"/>
      <w:lvlText w:val="•"/>
      <w:lvlJc w:val="left"/>
      <w:pPr>
        <w:ind w:left="3920" w:hanging="540"/>
      </w:pPr>
    </w:lvl>
    <w:lvl w:ilvl="4">
      <w:numFmt w:val="bullet"/>
      <w:lvlText w:val="•"/>
      <w:lvlJc w:val="left"/>
      <w:pPr>
        <w:ind w:left="4660" w:hanging="540"/>
      </w:pPr>
    </w:lvl>
    <w:lvl w:ilvl="5">
      <w:numFmt w:val="bullet"/>
      <w:lvlText w:val="•"/>
      <w:lvlJc w:val="left"/>
      <w:pPr>
        <w:ind w:left="5400" w:hanging="540"/>
      </w:pPr>
    </w:lvl>
    <w:lvl w:ilvl="6">
      <w:numFmt w:val="bullet"/>
      <w:lvlText w:val="•"/>
      <w:lvlJc w:val="left"/>
      <w:pPr>
        <w:ind w:left="6140" w:hanging="540"/>
      </w:pPr>
    </w:lvl>
    <w:lvl w:ilvl="7">
      <w:numFmt w:val="bullet"/>
      <w:lvlText w:val="•"/>
      <w:lvlJc w:val="left"/>
      <w:pPr>
        <w:ind w:left="6880" w:hanging="540"/>
      </w:pPr>
    </w:lvl>
    <w:lvl w:ilvl="8">
      <w:numFmt w:val="bullet"/>
      <w:lvlText w:val="•"/>
      <w:lvlJc w:val="left"/>
      <w:pPr>
        <w:ind w:left="7620" w:hanging="540"/>
      </w:pPr>
    </w:lvl>
  </w:abstractNum>
  <w:abstractNum w:abstractNumId="11">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nsid w:val="13F26DE4"/>
    <w:multiLevelType w:val="hybridMultilevel"/>
    <w:tmpl w:val="14B2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8585F"/>
    <w:multiLevelType w:val="hybridMultilevel"/>
    <w:tmpl w:val="053E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D0C7A"/>
    <w:multiLevelType w:val="hybridMultilevel"/>
    <w:tmpl w:val="B530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4">
    <w:nsid w:val="7BA77D90"/>
    <w:multiLevelType w:val="hybridMultilevel"/>
    <w:tmpl w:val="82F800C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5">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20"/>
  </w:num>
  <w:num w:numId="4">
    <w:abstractNumId w:val="22"/>
  </w:num>
  <w:num w:numId="5">
    <w:abstractNumId w:val="27"/>
  </w:num>
  <w:num w:numId="6">
    <w:abstractNumId w:val="23"/>
  </w:num>
  <w:num w:numId="7">
    <w:abstractNumId w:val="11"/>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27"/>
    <w:lvlOverride w:ilvl="0">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 w:numId="25">
    <w:abstractNumId w:val="25"/>
  </w:num>
  <w:num w:numId="26">
    <w:abstractNumId w:val="10"/>
  </w:num>
  <w:num w:numId="27">
    <w:abstractNumId w:val="26"/>
  </w:num>
  <w:num w:numId="28">
    <w:abstractNumId w:val="13"/>
  </w:num>
  <w:num w:numId="29">
    <w:abstractNumId w:val="12"/>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9B"/>
    <w:rsid w:val="000042C0"/>
    <w:rsid w:val="00005EA6"/>
    <w:rsid w:val="00014184"/>
    <w:rsid w:val="000202FD"/>
    <w:rsid w:val="0002242D"/>
    <w:rsid w:val="00023960"/>
    <w:rsid w:val="00025037"/>
    <w:rsid w:val="000275F0"/>
    <w:rsid w:val="00031BB8"/>
    <w:rsid w:val="00035845"/>
    <w:rsid w:val="00044D1D"/>
    <w:rsid w:val="00051011"/>
    <w:rsid w:val="00052F06"/>
    <w:rsid w:val="00063BF6"/>
    <w:rsid w:val="00066C23"/>
    <w:rsid w:val="00066DA6"/>
    <w:rsid w:val="00071E8E"/>
    <w:rsid w:val="00072C72"/>
    <w:rsid w:val="000813E4"/>
    <w:rsid w:val="0008601A"/>
    <w:rsid w:val="00094281"/>
    <w:rsid w:val="000964B8"/>
    <w:rsid w:val="000968A1"/>
    <w:rsid w:val="000A3DF1"/>
    <w:rsid w:val="000A5819"/>
    <w:rsid w:val="000B0C37"/>
    <w:rsid w:val="000C1FB1"/>
    <w:rsid w:val="000C710E"/>
    <w:rsid w:val="000D2AF1"/>
    <w:rsid w:val="000E18A0"/>
    <w:rsid w:val="000E4604"/>
    <w:rsid w:val="000E7187"/>
    <w:rsid w:val="000F13C5"/>
    <w:rsid w:val="00100A8D"/>
    <w:rsid w:val="0010121F"/>
    <w:rsid w:val="00102122"/>
    <w:rsid w:val="00104996"/>
    <w:rsid w:val="00110157"/>
    <w:rsid w:val="001109A1"/>
    <w:rsid w:val="001213AC"/>
    <w:rsid w:val="00135762"/>
    <w:rsid w:val="00135CDC"/>
    <w:rsid w:val="00143103"/>
    <w:rsid w:val="00144CE2"/>
    <w:rsid w:val="0014646E"/>
    <w:rsid w:val="001551E9"/>
    <w:rsid w:val="00162CC8"/>
    <w:rsid w:val="00163A66"/>
    <w:rsid w:val="00163E68"/>
    <w:rsid w:val="00177077"/>
    <w:rsid w:val="0017787C"/>
    <w:rsid w:val="00181727"/>
    <w:rsid w:val="00185730"/>
    <w:rsid w:val="00186AD0"/>
    <w:rsid w:val="001B6724"/>
    <w:rsid w:val="001B6800"/>
    <w:rsid w:val="001C300E"/>
    <w:rsid w:val="001C388B"/>
    <w:rsid w:val="001C6F69"/>
    <w:rsid w:val="001D3121"/>
    <w:rsid w:val="001D6C4C"/>
    <w:rsid w:val="001D7E0A"/>
    <w:rsid w:val="001F1AD2"/>
    <w:rsid w:val="001F5176"/>
    <w:rsid w:val="001F6FF8"/>
    <w:rsid w:val="0020124F"/>
    <w:rsid w:val="00205EAD"/>
    <w:rsid w:val="00212A8F"/>
    <w:rsid w:val="00212FCA"/>
    <w:rsid w:val="002249B4"/>
    <w:rsid w:val="00230589"/>
    <w:rsid w:val="00231EBD"/>
    <w:rsid w:val="00242999"/>
    <w:rsid w:val="002441B8"/>
    <w:rsid w:val="00252715"/>
    <w:rsid w:val="00253694"/>
    <w:rsid w:val="00255F31"/>
    <w:rsid w:val="00263E0D"/>
    <w:rsid w:val="002650BE"/>
    <w:rsid w:val="0026674D"/>
    <w:rsid w:val="00266B48"/>
    <w:rsid w:val="00271AFC"/>
    <w:rsid w:val="002800F3"/>
    <w:rsid w:val="0028162C"/>
    <w:rsid w:val="00283DDE"/>
    <w:rsid w:val="0028412B"/>
    <w:rsid w:val="00295AAF"/>
    <w:rsid w:val="002B13E2"/>
    <w:rsid w:val="002B2D91"/>
    <w:rsid w:val="002C3A50"/>
    <w:rsid w:val="002C62E6"/>
    <w:rsid w:val="002C7269"/>
    <w:rsid w:val="002D5B8B"/>
    <w:rsid w:val="002E309D"/>
    <w:rsid w:val="002E6793"/>
    <w:rsid w:val="002F0110"/>
    <w:rsid w:val="00301A61"/>
    <w:rsid w:val="00303AB5"/>
    <w:rsid w:val="00324D7D"/>
    <w:rsid w:val="00326E9D"/>
    <w:rsid w:val="00333EE2"/>
    <w:rsid w:val="00340B8D"/>
    <w:rsid w:val="00341FC3"/>
    <w:rsid w:val="003443B0"/>
    <w:rsid w:val="00350FC4"/>
    <w:rsid w:val="0035456D"/>
    <w:rsid w:val="0035559F"/>
    <w:rsid w:val="003729A3"/>
    <w:rsid w:val="00381926"/>
    <w:rsid w:val="00381D71"/>
    <w:rsid w:val="0038697C"/>
    <w:rsid w:val="00386CCB"/>
    <w:rsid w:val="00390F6F"/>
    <w:rsid w:val="00391952"/>
    <w:rsid w:val="00392C99"/>
    <w:rsid w:val="003972EB"/>
    <w:rsid w:val="003A3C84"/>
    <w:rsid w:val="003A68BC"/>
    <w:rsid w:val="003B064D"/>
    <w:rsid w:val="003B1366"/>
    <w:rsid w:val="003B1A27"/>
    <w:rsid w:val="003B25DD"/>
    <w:rsid w:val="003B3018"/>
    <w:rsid w:val="003D14FF"/>
    <w:rsid w:val="003D1CAB"/>
    <w:rsid w:val="003D4247"/>
    <w:rsid w:val="003E2216"/>
    <w:rsid w:val="003F5663"/>
    <w:rsid w:val="003F56FD"/>
    <w:rsid w:val="003F608B"/>
    <w:rsid w:val="003F7319"/>
    <w:rsid w:val="00401294"/>
    <w:rsid w:val="00412F79"/>
    <w:rsid w:val="00414AAC"/>
    <w:rsid w:val="00414F32"/>
    <w:rsid w:val="00415C53"/>
    <w:rsid w:val="00422546"/>
    <w:rsid w:val="00425E13"/>
    <w:rsid w:val="00430B5F"/>
    <w:rsid w:val="00431883"/>
    <w:rsid w:val="00432D3A"/>
    <w:rsid w:val="00434503"/>
    <w:rsid w:val="0043682B"/>
    <w:rsid w:val="00441F2A"/>
    <w:rsid w:val="004507BB"/>
    <w:rsid w:val="004552E9"/>
    <w:rsid w:val="00462F59"/>
    <w:rsid w:val="004779B9"/>
    <w:rsid w:val="00480677"/>
    <w:rsid w:val="00482C87"/>
    <w:rsid w:val="00483A59"/>
    <w:rsid w:val="004A1C23"/>
    <w:rsid w:val="004A40DB"/>
    <w:rsid w:val="004A4457"/>
    <w:rsid w:val="004A7467"/>
    <w:rsid w:val="004B01EE"/>
    <w:rsid w:val="004B124A"/>
    <w:rsid w:val="004C35AE"/>
    <w:rsid w:val="004C4C89"/>
    <w:rsid w:val="004C5674"/>
    <w:rsid w:val="004E217B"/>
    <w:rsid w:val="004E4378"/>
    <w:rsid w:val="004F0F04"/>
    <w:rsid w:val="004F18C0"/>
    <w:rsid w:val="004F6977"/>
    <w:rsid w:val="004F7FE7"/>
    <w:rsid w:val="00500F75"/>
    <w:rsid w:val="005013F0"/>
    <w:rsid w:val="00504D3E"/>
    <w:rsid w:val="00504E92"/>
    <w:rsid w:val="005109DC"/>
    <w:rsid w:val="00512686"/>
    <w:rsid w:val="00522F69"/>
    <w:rsid w:val="005268E0"/>
    <w:rsid w:val="00527383"/>
    <w:rsid w:val="00530462"/>
    <w:rsid w:val="0053287C"/>
    <w:rsid w:val="005334A9"/>
    <w:rsid w:val="005335A7"/>
    <w:rsid w:val="00534362"/>
    <w:rsid w:val="005409A5"/>
    <w:rsid w:val="005462C0"/>
    <w:rsid w:val="005524C9"/>
    <w:rsid w:val="0056227C"/>
    <w:rsid w:val="00566E72"/>
    <w:rsid w:val="00571C5E"/>
    <w:rsid w:val="0057700F"/>
    <w:rsid w:val="00580974"/>
    <w:rsid w:val="00581DB5"/>
    <w:rsid w:val="00582492"/>
    <w:rsid w:val="00584F95"/>
    <w:rsid w:val="0058558B"/>
    <w:rsid w:val="005855F9"/>
    <w:rsid w:val="00587D31"/>
    <w:rsid w:val="00587E1F"/>
    <w:rsid w:val="005A0384"/>
    <w:rsid w:val="005A2792"/>
    <w:rsid w:val="005A4D03"/>
    <w:rsid w:val="005B4642"/>
    <w:rsid w:val="005B77CE"/>
    <w:rsid w:val="005D2F10"/>
    <w:rsid w:val="005D7A65"/>
    <w:rsid w:val="005E23E6"/>
    <w:rsid w:val="005E7290"/>
    <w:rsid w:val="005E7728"/>
    <w:rsid w:val="005F1C3C"/>
    <w:rsid w:val="00607558"/>
    <w:rsid w:val="006166FA"/>
    <w:rsid w:val="00617F87"/>
    <w:rsid w:val="006242F5"/>
    <w:rsid w:val="00624EEB"/>
    <w:rsid w:val="00632DB2"/>
    <w:rsid w:val="00632E66"/>
    <w:rsid w:val="006369D7"/>
    <w:rsid w:val="00643EEA"/>
    <w:rsid w:val="00644715"/>
    <w:rsid w:val="0064506B"/>
    <w:rsid w:val="00647AD9"/>
    <w:rsid w:val="00652A58"/>
    <w:rsid w:val="00653BD5"/>
    <w:rsid w:val="00663BA1"/>
    <w:rsid w:val="00664BC0"/>
    <w:rsid w:val="00670E40"/>
    <w:rsid w:val="006738A3"/>
    <w:rsid w:val="006835EB"/>
    <w:rsid w:val="006867FE"/>
    <w:rsid w:val="0068765C"/>
    <w:rsid w:val="00690136"/>
    <w:rsid w:val="00693106"/>
    <w:rsid w:val="00693371"/>
    <w:rsid w:val="006A01B9"/>
    <w:rsid w:val="006A1207"/>
    <w:rsid w:val="006A1DBE"/>
    <w:rsid w:val="006A7291"/>
    <w:rsid w:val="006B17B5"/>
    <w:rsid w:val="006B1C0C"/>
    <w:rsid w:val="006C2F74"/>
    <w:rsid w:val="006C663D"/>
    <w:rsid w:val="006D15EC"/>
    <w:rsid w:val="006D3785"/>
    <w:rsid w:val="006E33D4"/>
    <w:rsid w:val="006E43F1"/>
    <w:rsid w:val="006E6BF1"/>
    <w:rsid w:val="006F18E9"/>
    <w:rsid w:val="006F32D1"/>
    <w:rsid w:val="006F5785"/>
    <w:rsid w:val="006F75DB"/>
    <w:rsid w:val="007012A0"/>
    <w:rsid w:val="007023B0"/>
    <w:rsid w:val="0070490D"/>
    <w:rsid w:val="0071460E"/>
    <w:rsid w:val="00717679"/>
    <w:rsid w:val="0072126E"/>
    <w:rsid w:val="00721C0C"/>
    <w:rsid w:val="00723183"/>
    <w:rsid w:val="00730307"/>
    <w:rsid w:val="0073268A"/>
    <w:rsid w:val="00734692"/>
    <w:rsid w:val="00742F1D"/>
    <w:rsid w:val="00743419"/>
    <w:rsid w:val="0074460A"/>
    <w:rsid w:val="0075655F"/>
    <w:rsid w:val="00763EAE"/>
    <w:rsid w:val="00764D4D"/>
    <w:rsid w:val="00773AEB"/>
    <w:rsid w:val="007839BE"/>
    <w:rsid w:val="007864DC"/>
    <w:rsid w:val="00787670"/>
    <w:rsid w:val="00790CE6"/>
    <w:rsid w:val="00794C7D"/>
    <w:rsid w:val="0079572A"/>
    <w:rsid w:val="007975C9"/>
    <w:rsid w:val="00797FBB"/>
    <w:rsid w:val="007A2F92"/>
    <w:rsid w:val="007B6ADD"/>
    <w:rsid w:val="007C0DC7"/>
    <w:rsid w:val="007C50D2"/>
    <w:rsid w:val="007C7E1D"/>
    <w:rsid w:val="007E4D53"/>
    <w:rsid w:val="007E7C0F"/>
    <w:rsid w:val="007F2CD9"/>
    <w:rsid w:val="00807796"/>
    <w:rsid w:val="00812739"/>
    <w:rsid w:val="008132A5"/>
    <w:rsid w:val="0081469B"/>
    <w:rsid w:val="00820D48"/>
    <w:rsid w:val="00826750"/>
    <w:rsid w:val="0083531F"/>
    <w:rsid w:val="00841B82"/>
    <w:rsid w:val="00844D85"/>
    <w:rsid w:val="00846003"/>
    <w:rsid w:val="00846B20"/>
    <w:rsid w:val="00847897"/>
    <w:rsid w:val="00850EA0"/>
    <w:rsid w:val="00851BC4"/>
    <w:rsid w:val="00854C4E"/>
    <w:rsid w:val="00856518"/>
    <w:rsid w:val="008614D7"/>
    <w:rsid w:val="008619E1"/>
    <w:rsid w:val="00870849"/>
    <w:rsid w:val="0087477C"/>
    <w:rsid w:val="00876154"/>
    <w:rsid w:val="00876F75"/>
    <w:rsid w:val="00883F19"/>
    <w:rsid w:val="008844F3"/>
    <w:rsid w:val="00887E7E"/>
    <w:rsid w:val="00894EEC"/>
    <w:rsid w:val="00895F99"/>
    <w:rsid w:val="008A21A4"/>
    <w:rsid w:val="008A3C25"/>
    <w:rsid w:val="008A74FC"/>
    <w:rsid w:val="008B10CB"/>
    <w:rsid w:val="008B2E94"/>
    <w:rsid w:val="008B3AFB"/>
    <w:rsid w:val="008B6A3E"/>
    <w:rsid w:val="008B703B"/>
    <w:rsid w:val="008C288D"/>
    <w:rsid w:val="008C5D06"/>
    <w:rsid w:val="008D1162"/>
    <w:rsid w:val="008E3FBC"/>
    <w:rsid w:val="008E70CD"/>
    <w:rsid w:val="008F1740"/>
    <w:rsid w:val="008F2FDF"/>
    <w:rsid w:val="008F63C1"/>
    <w:rsid w:val="009009B7"/>
    <w:rsid w:val="00903345"/>
    <w:rsid w:val="009055EB"/>
    <w:rsid w:val="00907BA9"/>
    <w:rsid w:val="0091227D"/>
    <w:rsid w:val="00913A8B"/>
    <w:rsid w:val="00914DD7"/>
    <w:rsid w:val="00923694"/>
    <w:rsid w:val="0092596C"/>
    <w:rsid w:val="009269F5"/>
    <w:rsid w:val="00926C24"/>
    <w:rsid w:val="00933B30"/>
    <w:rsid w:val="009367D6"/>
    <w:rsid w:val="0093752E"/>
    <w:rsid w:val="00942B56"/>
    <w:rsid w:val="0094558B"/>
    <w:rsid w:val="00952D28"/>
    <w:rsid w:val="00960EBE"/>
    <w:rsid w:val="00961938"/>
    <w:rsid w:val="00963862"/>
    <w:rsid w:val="00970FE4"/>
    <w:rsid w:val="00973C3A"/>
    <w:rsid w:val="00976E96"/>
    <w:rsid w:val="00980158"/>
    <w:rsid w:val="0098144A"/>
    <w:rsid w:val="00991BA8"/>
    <w:rsid w:val="00996A2C"/>
    <w:rsid w:val="00996C78"/>
    <w:rsid w:val="009A1650"/>
    <w:rsid w:val="009A16A7"/>
    <w:rsid w:val="009A2394"/>
    <w:rsid w:val="009C16AD"/>
    <w:rsid w:val="009C3453"/>
    <w:rsid w:val="009C4982"/>
    <w:rsid w:val="009C5135"/>
    <w:rsid w:val="009C6BF5"/>
    <w:rsid w:val="009D59D7"/>
    <w:rsid w:val="009E1190"/>
    <w:rsid w:val="009E1FF8"/>
    <w:rsid w:val="009E68B7"/>
    <w:rsid w:val="009E7B3E"/>
    <w:rsid w:val="009F0CAD"/>
    <w:rsid w:val="009F358B"/>
    <w:rsid w:val="00A02189"/>
    <w:rsid w:val="00A0538D"/>
    <w:rsid w:val="00A10D1A"/>
    <w:rsid w:val="00A11112"/>
    <w:rsid w:val="00A23E95"/>
    <w:rsid w:val="00A26C3C"/>
    <w:rsid w:val="00A26F36"/>
    <w:rsid w:val="00A276F5"/>
    <w:rsid w:val="00A306DF"/>
    <w:rsid w:val="00A3130E"/>
    <w:rsid w:val="00A337D1"/>
    <w:rsid w:val="00A3517E"/>
    <w:rsid w:val="00A36E03"/>
    <w:rsid w:val="00A4336A"/>
    <w:rsid w:val="00A46786"/>
    <w:rsid w:val="00A53244"/>
    <w:rsid w:val="00A54244"/>
    <w:rsid w:val="00A548BE"/>
    <w:rsid w:val="00A57401"/>
    <w:rsid w:val="00A6524A"/>
    <w:rsid w:val="00A72E7B"/>
    <w:rsid w:val="00A75E9B"/>
    <w:rsid w:val="00A800B2"/>
    <w:rsid w:val="00A80EE0"/>
    <w:rsid w:val="00A846F0"/>
    <w:rsid w:val="00A93304"/>
    <w:rsid w:val="00A94DB1"/>
    <w:rsid w:val="00A968FB"/>
    <w:rsid w:val="00A96B65"/>
    <w:rsid w:val="00AA0AB3"/>
    <w:rsid w:val="00AA0FBC"/>
    <w:rsid w:val="00AA7559"/>
    <w:rsid w:val="00AB08B6"/>
    <w:rsid w:val="00AB14F1"/>
    <w:rsid w:val="00AC503F"/>
    <w:rsid w:val="00AC5F0B"/>
    <w:rsid w:val="00AD3DE5"/>
    <w:rsid w:val="00AD64EE"/>
    <w:rsid w:val="00AD72D6"/>
    <w:rsid w:val="00AD7B67"/>
    <w:rsid w:val="00AF32F2"/>
    <w:rsid w:val="00AF4B6E"/>
    <w:rsid w:val="00AF51F9"/>
    <w:rsid w:val="00B018E3"/>
    <w:rsid w:val="00B04A6C"/>
    <w:rsid w:val="00B132E0"/>
    <w:rsid w:val="00B1381C"/>
    <w:rsid w:val="00B1422D"/>
    <w:rsid w:val="00B16372"/>
    <w:rsid w:val="00B3407F"/>
    <w:rsid w:val="00B401D5"/>
    <w:rsid w:val="00B411C0"/>
    <w:rsid w:val="00B41267"/>
    <w:rsid w:val="00B41F71"/>
    <w:rsid w:val="00B5301A"/>
    <w:rsid w:val="00B554AF"/>
    <w:rsid w:val="00B63139"/>
    <w:rsid w:val="00B665FE"/>
    <w:rsid w:val="00B66C44"/>
    <w:rsid w:val="00B86284"/>
    <w:rsid w:val="00B86892"/>
    <w:rsid w:val="00B91FA9"/>
    <w:rsid w:val="00B96E74"/>
    <w:rsid w:val="00BA1C7D"/>
    <w:rsid w:val="00BA2890"/>
    <w:rsid w:val="00BA5743"/>
    <w:rsid w:val="00BA5A1F"/>
    <w:rsid w:val="00BA7C56"/>
    <w:rsid w:val="00BB2D31"/>
    <w:rsid w:val="00BC302C"/>
    <w:rsid w:val="00BC77EF"/>
    <w:rsid w:val="00BD0227"/>
    <w:rsid w:val="00BD488B"/>
    <w:rsid w:val="00BD6EEC"/>
    <w:rsid w:val="00BE6733"/>
    <w:rsid w:val="00C00D70"/>
    <w:rsid w:val="00C01698"/>
    <w:rsid w:val="00C0572E"/>
    <w:rsid w:val="00C068E0"/>
    <w:rsid w:val="00C06913"/>
    <w:rsid w:val="00C126B9"/>
    <w:rsid w:val="00C15500"/>
    <w:rsid w:val="00C256AC"/>
    <w:rsid w:val="00C25C7C"/>
    <w:rsid w:val="00C37770"/>
    <w:rsid w:val="00C41A65"/>
    <w:rsid w:val="00C462F5"/>
    <w:rsid w:val="00C47083"/>
    <w:rsid w:val="00C47DE7"/>
    <w:rsid w:val="00C510DD"/>
    <w:rsid w:val="00C55853"/>
    <w:rsid w:val="00C57485"/>
    <w:rsid w:val="00C60AFD"/>
    <w:rsid w:val="00C60EDC"/>
    <w:rsid w:val="00C61BCC"/>
    <w:rsid w:val="00C65FB5"/>
    <w:rsid w:val="00C6615C"/>
    <w:rsid w:val="00C71122"/>
    <w:rsid w:val="00C802E5"/>
    <w:rsid w:val="00C80EDA"/>
    <w:rsid w:val="00C81610"/>
    <w:rsid w:val="00C867EB"/>
    <w:rsid w:val="00C91779"/>
    <w:rsid w:val="00C91D42"/>
    <w:rsid w:val="00CA0CE8"/>
    <w:rsid w:val="00CA4163"/>
    <w:rsid w:val="00CA495F"/>
    <w:rsid w:val="00CA4F8C"/>
    <w:rsid w:val="00CA59C3"/>
    <w:rsid w:val="00CA64E4"/>
    <w:rsid w:val="00CB42C4"/>
    <w:rsid w:val="00CB5C60"/>
    <w:rsid w:val="00CB75A8"/>
    <w:rsid w:val="00CC22DB"/>
    <w:rsid w:val="00CC366F"/>
    <w:rsid w:val="00CC376A"/>
    <w:rsid w:val="00CC76DE"/>
    <w:rsid w:val="00CD061C"/>
    <w:rsid w:val="00CD7DBB"/>
    <w:rsid w:val="00CE0B34"/>
    <w:rsid w:val="00CE218B"/>
    <w:rsid w:val="00CE34E4"/>
    <w:rsid w:val="00CE4ABF"/>
    <w:rsid w:val="00CE5550"/>
    <w:rsid w:val="00CF0ABD"/>
    <w:rsid w:val="00CF1FEE"/>
    <w:rsid w:val="00CF511E"/>
    <w:rsid w:val="00CF734E"/>
    <w:rsid w:val="00CF793D"/>
    <w:rsid w:val="00D009B9"/>
    <w:rsid w:val="00D018D3"/>
    <w:rsid w:val="00D01C59"/>
    <w:rsid w:val="00D037AB"/>
    <w:rsid w:val="00D049E1"/>
    <w:rsid w:val="00D05A7F"/>
    <w:rsid w:val="00D1366E"/>
    <w:rsid w:val="00D20588"/>
    <w:rsid w:val="00D25C92"/>
    <w:rsid w:val="00D2734C"/>
    <w:rsid w:val="00D3021C"/>
    <w:rsid w:val="00D31FF3"/>
    <w:rsid w:val="00D3369F"/>
    <w:rsid w:val="00D34087"/>
    <w:rsid w:val="00D35E27"/>
    <w:rsid w:val="00D40D3F"/>
    <w:rsid w:val="00D418A5"/>
    <w:rsid w:val="00D41DDA"/>
    <w:rsid w:val="00D430F7"/>
    <w:rsid w:val="00D50C40"/>
    <w:rsid w:val="00D577B2"/>
    <w:rsid w:val="00D57816"/>
    <w:rsid w:val="00D63DF6"/>
    <w:rsid w:val="00D71987"/>
    <w:rsid w:val="00D72E0B"/>
    <w:rsid w:val="00D734E6"/>
    <w:rsid w:val="00D80FBD"/>
    <w:rsid w:val="00D831AC"/>
    <w:rsid w:val="00D8732A"/>
    <w:rsid w:val="00D9126C"/>
    <w:rsid w:val="00D925EA"/>
    <w:rsid w:val="00D9265E"/>
    <w:rsid w:val="00D94773"/>
    <w:rsid w:val="00DA423F"/>
    <w:rsid w:val="00DA5A72"/>
    <w:rsid w:val="00DB14A2"/>
    <w:rsid w:val="00DB7779"/>
    <w:rsid w:val="00DC309E"/>
    <w:rsid w:val="00DC385C"/>
    <w:rsid w:val="00DC3DA7"/>
    <w:rsid w:val="00DC4E36"/>
    <w:rsid w:val="00DE00F4"/>
    <w:rsid w:val="00DE3CEF"/>
    <w:rsid w:val="00DE705D"/>
    <w:rsid w:val="00DF19E8"/>
    <w:rsid w:val="00DF3775"/>
    <w:rsid w:val="00DF401D"/>
    <w:rsid w:val="00DF56DA"/>
    <w:rsid w:val="00DF739D"/>
    <w:rsid w:val="00E05B53"/>
    <w:rsid w:val="00E05FA3"/>
    <w:rsid w:val="00E11CA6"/>
    <w:rsid w:val="00E14565"/>
    <w:rsid w:val="00E14BA3"/>
    <w:rsid w:val="00E169EE"/>
    <w:rsid w:val="00E20612"/>
    <w:rsid w:val="00E20D62"/>
    <w:rsid w:val="00E20EE9"/>
    <w:rsid w:val="00E21C81"/>
    <w:rsid w:val="00E239BE"/>
    <w:rsid w:val="00E35A6C"/>
    <w:rsid w:val="00E35F36"/>
    <w:rsid w:val="00E4319E"/>
    <w:rsid w:val="00E57AAC"/>
    <w:rsid w:val="00E62E4A"/>
    <w:rsid w:val="00E636D7"/>
    <w:rsid w:val="00E70827"/>
    <w:rsid w:val="00E72069"/>
    <w:rsid w:val="00E7335D"/>
    <w:rsid w:val="00E73C14"/>
    <w:rsid w:val="00E767F2"/>
    <w:rsid w:val="00E77D58"/>
    <w:rsid w:val="00E87A4F"/>
    <w:rsid w:val="00E92DC8"/>
    <w:rsid w:val="00E9658D"/>
    <w:rsid w:val="00EA242E"/>
    <w:rsid w:val="00EA6C8D"/>
    <w:rsid w:val="00EB0CBD"/>
    <w:rsid w:val="00EB1FF5"/>
    <w:rsid w:val="00EB353D"/>
    <w:rsid w:val="00EB3E6F"/>
    <w:rsid w:val="00EC0232"/>
    <w:rsid w:val="00ED3844"/>
    <w:rsid w:val="00ED5560"/>
    <w:rsid w:val="00EE4B53"/>
    <w:rsid w:val="00EE674C"/>
    <w:rsid w:val="00EF1588"/>
    <w:rsid w:val="00EF5332"/>
    <w:rsid w:val="00EF7379"/>
    <w:rsid w:val="00EF7683"/>
    <w:rsid w:val="00F12DC2"/>
    <w:rsid w:val="00F152DF"/>
    <w:rsid w:val="00F15484"/>
    <w:rsid w:val="00F16B5D"/>
    <w:rsid w:val="00F3345A"/>
    <w:rsid w:val="00F421CB"/>
    <w:rsid w:val="00F42691"/>
    <w:rsid w:val="00F436F8"/>
    <w:rsid w:val="00F44F87"/>
    <w:rsid w:val="00F53E93"/>
    <w:rsid w:val="00F605AC"/>
    <w:rsid w:val="00F62F58"/>
    <w:rsid w:val="00F63298"/>
    <w:rsid w:val="00F64AE2"/>
    <w:rsid w:val="00F65B7C"/>
    <w:rsid w:val="00F65BD2"/>
    <w:rsid w:val="00F87B98"/>
    <w:rsid w:val="00FA3DDA"/>
    <w:rsid w:val="00FA4A60"/>
    <w:rsid w:val="00FA661D"/>
    <w:rsid w:val="00FB0BA8"/>
    <w:rsid w:val="00FB10C9"/>
    <w:rsid w:val="00FB16E6"/>
    <w:rsid w:val="00FB44C6"/>
    <w:rsid w:val="00FC1142"/>
    <w:rsid w:val="00FD1DF0"/>
    <w:rsid w:val="00FD45DE"/>
    <w:rsid w:val="00FD66F1"/>
    <w:rsid w:val="00FF4EA0"/>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F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n3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customStyle="1" w:styleId="Default">
    <w:name w:val="Default"/>
    <w:rsid w:val="00A26C3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fn3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customStyle="1" w:styleId="Default">
    <w:name w:val="Default"/>
    <w:rsid w:val="00A26C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 w:id="21350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4802643" TargetMode="External"/><Relationship Id="rId3" Type="http://schemas.openxmlformats.org/officeDocument/2006/relationships/hyperlink" Target="https://elibrary.ferc.gov/idmws/common/opennat.asp?fileID=15003846" TargetMode="External"/><Relationship Id="rId7" Type="http://schemas.openxmlformats.org/officeDocument/2006/relationships/hyperlink" Target="https://elibrary.ferc.gov/idmws/common/OpenNat.asp?fileID=14802642" TargetMode="External"/><Relationship Id="rId2" Type="http://schemas.openxmlformats.org/officeDocument/2006/relationships/hyperlink" Target="https://elibrary.ferc.gov/idmws/common/OpenNat.asp?fileID=15075448" TargetMode="External"/><Relationship Id="rId1" Type="http://schemas.openxmlformats.org/officeDocument/2006/relationships/hyperlink" Target="https://elibrary.ferc.gov/idmws/common/OpenNat.asp?fileID=15096521" TargetMode="External"/><Relationship Id="rId6" Type="http://schemas.openxmlformats.org/officeDocument/2006/relationships/hyperlink" Target="https://elibrary.ferc.gov/idmws/common/OpenNat.asp?fileID=14802641" TargetMode="External"/><Relationship Id="rId11" Type="http://schemas.openxmlformats.org/officeDocument/2006/relationships/hyperlink" Target="https://elibrary-backup.ferc.gov/idmws/common/OpenNat.asp?fileID=14802642" TargetMode="External"/><Relationship Id="rId5" Type="http://schemas.openxmlformats.org/officeDocument/2006/relationships/hyperlink" Target="https://www.ferc.gov/industries/electric/indus-act/reliability/05-17-18-E-1-presentation.pdf" TargetMode="External"/><Relationship Id="rId10" Type="http://schemas.openxmlformats.org/officeDocument/2006/relationships/hyperlink" Target="https://elibrary-backup.ferc.gov/idmws/common/OpenNat.asp?fileID=14802641" TargetMode="External"/><Relationship Id="rId4" Type="http://schemas.openxmlformats.org/officeDocument/2006/relationships/hyperlink" Target="https://elibrary.ferc.gov/idmws/common/OpenNat.asp?fileID=14921726" TargetMode="External"/><Relationship Id="rId9"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2018-11-14T00:00:00-05:00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RM18-8</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496F-5630-495C-BA86-54070976FB6B}">
  <ds:schemaRefs>
    <ds:schemaRef ds:uri="Microsoft.SharePoint.Taxonomy.ContentTypeSync"/>
  </ds:schemaRefs>
</ds:datastoreItem>
</file>

<file path=customXml/itemProps2.xml><?xml version="1.0" encoding="utf-8"?>
<ds:datastoreItem xmlns:ds="http://schemas.openxmlformats.org/officeDocument/2006/customXml" ds:itemID="{D195CB2A-8010-4082-A8E8-764905A58D25}">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4.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5.xml><?xml version="1.0" encoding="utf-8"?>
<ds:datastoreItem xmlns:ds="http://schemas.openxmlformats.org/officeDocument/2006/customXml" ds:itemID="{732C74F7-CC61-408E-97EC-B76FBBF58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3BED5B-4DFA-4E76-8063-DCBEA7CE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2018-11-15T17:39:00Z</dcterms:created>
  <dcterms:modified xsi:type="dcterms:W3CDTF">2018-11-15T17:39:00Z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