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71FE3" w14:textId="77777777" w:rsidR="000A0966" w:rsidRPr="00EB755D" w:rsidRDefault="000A0966" w:rsidP="000A0966">
      <w:pPr>
        <w:tabs>
          <w:tab w:val="left" w:pos="1800"/>
        </w:tabs>
        <w:spacing w:after="0" w:line="240" w:lineRule="auto"/>
        <w:jc w:val="center"/>
        <w:rPr>
          <w:rFonts w:ascii="Times New Roman" w:hAnsi="Times New Roman" w:cs="Times New Roman"/>
          <w:sz w:val="26"/>
          <w:szCs w:val="26"/>
        </w:rPr>
      </w:pPr>
      <w:bookmarkStart w:id="0" w:name="_GoBack"/>
      <w:bookmarkEnd w:id="0"/>
      <w:r w:rsidRPr="00EB755D">
        <w:rPr>
          <w:rFonts w:ascii="Times New Roman" w:hAnsi="Times New Roman" w:cs="Times New Roman"/>
          <w:sz w:val="26"/>
          <w:szCs w:val="26"/>
        </w:rPr>
        <w:t>Supporting Statement for</w:t>
      </w:r>
    </w:p>
    <w:p w14:paraId="0B8EFE04" w14:textId="27EF674D" w:rsidR="000A0966" w:rsidRPr="00EB755D" w:rsidRDefault="000A0966" w:rsidP="000A0966">
      <w:pPr>
        <w:spacing w:after="0" w:line="240" w:lineRule="auto"/>
        <w:jc w:val="center"/>
        <w:rPr>
          <w:rFonts w:ascii="Times New Roman" w:hAnsi="Times New Roman" w:cs="Times New Roman"/>
          <w:b/>
          <w:sz w:val="26"/>
          <w:szCs w:val="26"/>
        </w:rPr>
      </w:pPr>
      <w:r w:rsidRPr="00EB755D">
        <w:rPr>
          <w:rFonts w:ascii="Times New Roman" w:hAnsi="Times New Roman" w:cs="Times New Roman"/>
          <w:b/>
          <w:sz w:val="26"/>
          <w:szCs w:val="26"/>
        </w:rPr>
        <w:t>FERC-519 (Application under Federal Power Act Section 203</w:t>
      </w:r>
      <w:r w:rsidR="00E479FF">
        <w:rPr>
          <w:rFonts w:ascii="Times New Roman" w:hAnsi="Times New Roman" w:cs="Times New Roman"/>
          <w:b/>
          <w:sz w:val="26"/>
          <w:szCs w:val="26"/>
        </w:rPr>
        <w:t>)</w:t>
      </w:r>
    </w:p>
    <w:p w14:paraId="07B39BED" w14:textId="50F08C4F" w:rsidR="00E479FF" w:rsidRDefault="000A0966" w:rsidP="000A0966">
      <w:pPr>
        <w:spacing w:after="0" w:line="240" w:lineRule="auto"/>
        <w:jc w:val="center"/>
        <w:rPr>
          <w:rFonts w:ascii="Times New Roman" w:hAnsi="Times New Roman" w:cs="Times New Roman"/>
          <w:b/>
          <w:sz w:val="26"/>
          <w:szCs w:val="26"/>
        </w:rPr>
      </w:pPr>
      <w:r w:rsidRPr="00EB755D">
        <w:rPr>
          <w:rFonts w:ascii="Times New Roman" w:hAnsi="Times New Roman" w:cs="Times New Roman"/>
          <w:b/>
          <w:sz w:val="26"/>
          <w:szCs w:val="26"/>
        </w:rPr>
        <w:t xml:space="preserve">as </w:t>
      </w:r>
      <w:r w:rsidR="00A20256">
        <w:rPr>
          <w:rFonts w:ascii="Times New Roman" w:hAnsi="Times New Roman" w:cs="Times New Roman"/>
          <w:b/>
          <w:sz w:val="26"/>
          <w:szCs w:val="26"/>
        </w:rPr>
        <w:t xml:space="preserve">revised </w:t>
      </w:r>
      <w:r w:rsidRPr="00EB755D">
        <w:rPr>
          <w:rFonts w:ascii="Times New Roman" w:hAnsi="Times New Roman" w:cs="Times New Roman"/>
          <w:b/>
          <w:sz w:val="26"/>
          <w:szCs w:val="26"/>
        </w:rPr>
        <w:t xml:space="preserve">by the Notice of Proposed Rulemaking (NOPR) </w:t>
      </w:r>
    </w:p>
    <w:p w14:paraId="1071769E" w14:textId="77777777" w:rsidR="000A0966" w:rsidRPr="00EB755D" w:rsidRDefault="000A0966" w:rsidP="000A0966">
      <w:pPr>
        <w:spacing w:after="0" w:line="240" w:lineRule="auto"/>
        <w:jc w:val="center"/>
        <w:rPr>
          <w:rFonts w:ascii="Times New Roman" w:hAnsi="Times New Roman" w:cs="Times New Roman"/>
          <w:sz w:val="26"/>
          <w:szCs w:val="26"/>
        </w:rPr>
      </w:pPr>
      <w:r w:rsidRPr="00EB755D">
        <w:rPr>
          <w:rFonts w:ascii="Times New Roman" w:hAnsi="Times New Roman" w:cs="Times New Roman"/>
          <w:b/>
          <w:sz w:val="26"/>
          <w:szCs w:val="26"/>
        </w:rPr>
        <w:t>in Docket No. RM19-4-000</w:t>
      </w:r>
    </w:p>
    <w:p w14:paraId="6BE0429E" w14:textId="77777777" w:rsidR="000A0966" w:rsidRPr="00EB755D" w:rsidRDefault="000A0966" w:rsidP="000A0966">
      <w:pPr>
        <w:spacing w:after="0" w:line="240" w:lineRule="auto"/>
        <w:rPr>
          <w:rFonts w:ascii="Times New Roman" w:hAnsi="Times New Roman" w:cs="Times New Roman"/>
          <w:sz w:val="26"/>
          <w:szCs w:val="26"/>
        </w:rPr>
      </w:pPr>
    </w:p>
    <w:p w14:paraId="1568A295" w14:textId="4FB89876" w:rsidR="002D6132"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Federal Energy Regulatory Commission (Commission or FERC) requests that the Office of Management and Budget (OMB) review and approve the</w:t>
      </w:r>
      <w:r w:rsidR="008C6FBE">
        <w:rPr>
          <w:rFonts w:ascii="Times New Roman" w:hAnsi="Times New Roman" w:cs="Times New Roman"/>
          <w:sz w:val="26"/>
          <w:szCs w:val="26"/>
        </w:rPr>
        <w:t xml:space="preserve"> FERC-</w:t>
      </w:r>
      <w:r w:rsidR="002D6132" w:rsidRPr="00EB755D">
        <w:rPr>
          <w:rFonts w:ascii="Times New Roman" w:hAnsi="Times New Roman" w:cs="Times New Roman"/>
          <w:sz w:val="26"/>
          <w:szCs w:val="26"/>
        </w:rPr>
        <w:t>51</w:t>
      </w:r>
      <w:r w:rsidRPr="00EB755D">
        <w:rPr>
          <w:rFonts w:ascii="Times New Roman" w:hAnsi="Times New Roman" w:cs="Times New Roman"/>
          <w:sz w:val="26"/>
          <w:szCs w:val="26"/>
        </w:rPr>
        <w:t>9 (Application under Federal Power Act Section 203)</w:t>
      </w:r>
      <w:r w:rsidR="002D6132" w:rsidRPr="00EB755D">
        <w:rPr>
          <w:rFonts w:ascii="Times New Roman" w:hAnsi="Times New Roman" w:cs="Times New Roman"/>
          <w:sz w:val="26"/>
          <w:szCs w:val="26"/>
        </w:rPr>
        <w:t>, as proposed for revision in the Notice of Proposed Rulemaking (NOPR) in Docket No. RM19-4-000.</w:t>
      </w:r>
    </w:p>
    <w:p w14:paraId="6A31F948" w14:textId="77777777" w:rsidR="002D6132" w:rsidRPr="00EB755D" w:rsidRDefault="002D6132" w:rsidP="000A0966">
      <w:pPr>
        <w:spacing w:after="0" w:line="240" w:lineRule="auto"/>
        <w:rPr>
          <w:rFonts w:ascii="Times New Roman" w:hAnsi="Times New Roman" w:cs="Times New Roman"/>
          <w:sz w:val="26"/>
          <w:szCs w:val="26"/>
        </w:rPr>
      </w:pPr>
    </w:p>
    <w:p w14:paraId="1A35201E" w14:textId="0C682A37" w:rsidR="00112891" w:rsidRPr="00EB755D" w:rsidRDefault="00112891" w:rsidP="00112891">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On September 28, 2018, the President signed into law an amendment to section 203 of the Federal Power Act (FPA) implementing the following two changes</w:t>
      </w:r>
      <w:r w:rsidR="00AA7213">
        <w:rPr>
          <w:rFonts w:ascii="Times New Roman" w:hAnsi="Times New Roman" w:cs="Times New Roman"/>
          <w:sz w:val="26"/>
          <w:szCs w:val="26"/>
        </w:rPr>
        <w:t xml:space="preserve"> that</w:t>
      </w:r>
      <w:r w:rsidRPr="00EB755D">
        <w:rPr>
          <w:rFonts w:ascii="Times New Roman" w:hAnsi="Times New Roman" w:cs="Times New Roman"/>
          <w:sz w:val="26"/>
          <w:szCs w:val="26"/>
        </w:rPr>
        <w:t xml:space="preserve">:  </w:t>
      </w:r>
    </w:p>
    <w:p w14:paraId="4FDCB2C8" w14:textId="094447A9" w:rsidR="00AA7213" w:rsidRDefault="00AA7213" w:rsidP="0011289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Revise S</w:t>
      </w:r>
      <w:r w:rsidR="00112891" w:rsidRPr="00AA7213">
        <w:rPr>
          <w:rFonts w:ascii="Times New Roman" w:hAnsi="Times New Roman" w:cs="Times New Roman"/>
          <w:sz w:val="26"/>
          <w:szCs w:val="26"/>
        </w:rPr>
        <w:t>ection 203(a)(1)(B)</w:t>
      </w:r>
      <w:r w:rsidR="00112891" w:rsidRPr="00EB755D">
        <w:rPr>
          <w:b/>
          <w:vertAlign w:val="superscript"/>
        </w:rPr>
        <w:footnoteReference w:id="1"/>
      </w:r>
      <w:r w:rsidR="00112891" w:rsidRPr="00AA7213">
        <w:rPr>
          <w:rFonts w:ascii="Times New Roman" w:hAnsi="Times New Roman" w:cs="Times New Roman"/>
          <w:sz w:val="26"/>
          <w:szCs w:val="26"/>
        </w:rPr>
        <w:t xml:space="preserve"> to establish a $10 million threshold for transactions requiring Commission a</w:t>
      </w:r>
      <w:r>
        <w:rPr>
          <w:rFonts w:ascii="Times New Roman" w:hAnsi="Times New Roman" w:cs="Times New Roman"/>
          <w:sz w:val="26"/>
          <w:szCs w:val="26"/>
        </w:rPr>
        <w:t>pproval under that section; and</w:t>
      </w:r>
    </w:p>
    <w:p w14:paraId="1C3CB3D9" w14:textId="365D0A3D" w:rsidR="00112891" w:rsidRPr="00AA7213" w:rsidRDefault="00AA7213" w:rsidP="0011289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Require</w:t>
      </w:r>
      <w:r w:rsidR="00112891" w:rsidRPr="00AA7213">
        <w:rPr>
          <w:rFonts w:ascii="Times New Roman" w:hAnsi="Times New Roman" w:cs="Times New Roman"/>
          <w:sz w:val="26"/>
          <w:szCs w:val="26"/>
        </w:rPr>
        <w:t xml:space="preserve"> the Commission to promulgate a rule, “[n]</w:t>
      </w:r>
      <w:r w:rsidR="00112891" w:rsidRPr="00AA7213">
        <w:rPr>
          <w:rFonts w:ascii="Times New Roman" w:hAnsi="Times New Roman" w:cs="Times New Roman"/>
          <w:iCs/>
          <w:sz w:val="26"/>
          <w:szCs w:val="26"/>
        </w:rPr>
        <w:t>ot later than 180 days after the date of enactment of this paragraph,</w:t>
      </w:r>
      <w:r w:rsidR="00112891" w:rsidRPr="00AA7213">
        <w:rPr>
          <w:rFonts w:ascii="Times New Roman" w:hAnsi="Times New Roman" w:cs="Times New Roman"/>
          <w:sz w:val="26"/>
          <w:szCs w:val="26"/>
        </w:rPr>
        <w:t xml:space="preserve">” that establishes a notification requirement for transactions valued between $1 million and $10 million that would have been subject to the Commission’s jurisdiction under </w:t>
      </w:r>
      <w:r>
        <w:rPr>
          <w:rFonts w:ascii="Times New Roman" w:hAnsi="Times New Roman" w:cs="Times New Roman"/>
          <w:sz w:val="26"/>
          <w:szCs w:val="26"/>
        </w:rPr>
        <w:t xml:space="preserve">Section </w:t>
      </w:r>
      <w:r w:rsidR="00112891" w:rsidRPr="00AA7213">
        <w:rPr>
          <w:rFonts w:ascii="Times New Roman" w:hAnsi="Times New Roman" w:cs="Times New Roman"/>
          <w:sz w:val="26"/>
          <w:szCs w:val="26"/>
        </w:rPr>
        <w:t>203(a)(1)(B) absent the newly implemented $10 million threshold.</w:t>
      </w:r>
    </w:p>
    <w:p w14:paraId="5FCC52F0"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 </w:t>
      </w:r>
    </w:p>
    <w:p w14:paraId="3C96A97D"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CIRCUMSTANCES THAT MAKE THE COLLECTION OF INFORMATION NECESSARY</w:t>
      </w:r>
    </w:p>
    <w:p w14:paraId="7AF0F440" w14:textId="77777777" w:rsidR="000A0966" w:rsidRPr="00EB755D" w:rsidRDefault="000A0966" w:rsidP="000A0966">
      <w:pPr>
        <w:pStyle w:val="ListParagraph"/>
        <w:spacing w:after="0" w:line="240" w:lineRule="auto"/>
        <w:ind w:left="360"/>
        <w:rPr>
          <w:rFonts w:ascii="Times New Roman" w:hAnsi="Times New Roman" w:cs="Times New Roman"/>
          <w:b/>
          <w:sz w:val="26"/>
          <w:szCs w:val="26"/>
        </w:rPr>
      </w:pPr>
    </w:p>
    <w:p w14:paraId="08D74546" w14:textId="09C51261" w:rsidR="000A0966" w:rsidRPr="00EB755D" w:rsidRDefault="00AA7213" w:rsidP="000A0966">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issued</w:t>
      </w:r>
      <w:r w:rsidR="000A0966" w:rsidRPr="00EB755D">
        <w:rPr>
          <w:rFonts w:ascii="Times New Roman" w:hAnsi="Times New Roman" w:cs="Times New Roman"/>
          <w:sz w:val="26"/>
          <w:szCs w:val="26"/>
        </w:rPr>
        <w:t xml:space="preserve"> this NOPR in Docket No. RM19-4-000 to revise part 33 of its regulations relating to mergers or consolidations by a public utility.  Specifically, the Commission proposes to revise section 33.1 of its regulations to establish that only mergers or consolidations by a public utility of facilities subject to the jurisdiction of the Commission and have a value in excess of $10 million are now subject to Commission authorization under amended </w:t>
      </w:r>
      <w:r w:rsidR="00E479FF">
        <w:rPr>
          <w:rFonts w:ascii="Times New Roman" w:hAnsi="Times New Roman" w:cs="Times New Roman"/>
          <w:sz w:val="26"/>
          <w:szCs w:val="26"/>
        </w:rPr>
        <w:t xml:space="preserve">FPA </w:t>
      </w:r>
      <w:r w:rsidR="00BF5035">
        <w:rPr>
          <w:rFonts w:ascii="Times New Roman" w:hAnsi="Times New Roman" w:cs="Times New Roman"/>
          <w:sz w:val="26"/>
          <w:szCs w:val="26"/>
        </w:rPr>
        <w:t>Section 203</w:t>
      </w:r>
      <w:r w:rsidR="000A0966" w:rsidRPr="00EB755D">
        <w:rPr>
          <w:rFonts w:ascii="Times New Roman" w:hAnsi="Times New Roman" w:cs="Times New Roman"/>
          <w:sz w:val="26"/>
          <w:szCs w:val="26"/>
        </w:rPr>
        <w:t xml:space="preserve">.  In addition, the </w:t>
      </w:r>
      <w:r w:rsidR="00BF5035">
        <w:rPr>
          <w:rFonts w:ascii="Times New Roman" w:hAnsi="Times New Roman" w:cs="Times New Roman"/>
          <w:sz w:val="26"/>
          <w:szCs w:val="26"/>
        </w:rPr>
        <w:t>Commission proposes to add S</w:t>
      </w:r>
      <w:r w:rsidR="000A0966" w:rsidRPr="00EB755D">
        <w:rPr>
          <w:rFonts w:ascii="Times New Roman" w:hAnsi="Times New Roman" w:cs="Times New Roman"/>
          <w:sz w:val="26"/>
          <w:szCs w:val="26"/>
        </w:rPr>
        <w:t>ection 33.12 to its regulations to establish a notification requirement for mergers or consolidations by a public utility if the facilities to be acquired have a value in excess of $1 million and such public utility is not required to secure Commissi</w:t>
      </w:r>
      <w:r w:rsidR="00BF5035">
        <w:rPr>
          <w:rFonts w:ascii="Times New Roman" w:hAnsi="Times New Roman" w:cs="Times New Roman"/>
          <w:sz w:val="26"/>
          <w:szCs w:val="26"/>
        </w:rPr>
        <w:t>on authorization under amended S</w:t>
      </w:r>
      <w:r w:rsidR="000A0966" w:rsidRPr="00EB755D">
        <w:rPr>
          <w:rFonts w:ascii="Times New Roman" w:hAnsi="Times New Roman" w:cs="Times New Roman"/>
          <w:sz w:val="26"/>
          <w:szCs w:val="26"/>
        </w:rPr>
        <w:t>ection 203.</w:t>
      </w:r>
    </w:p>
    <w:p w14:paraId="45893205" w14:textId="77777777" w:rsidR="000A0966" w:rsidRPr="00EB755D" w:rsidRDefault="000A0966" w:rsidP="000A0966">
      <w:pPr>
        <w:spacing w:after="0" w:line="240" w:lineRule="auto"/>
        <w:rPr>
          <w:rFonts w:ascii="Times New Roman" w:hAnsi="Times New Roman" w:cs="Times New Roman"/>
          <w:sz w:val="26"/>
          <w:szCs w:val="26"/>
        </w:rPr>
      </w:pPr>
    </w:p>
    <w:p w14:paraId="2609E336" w14:textId="77777777" w:rsidR="000A0966" w:rsidRPr="00EB755D" w:rsidRDefault="000A0966" w:rsidP="000A0966">
      <w:pPr>
        <w:spacing w:after="0" w:line="240" w:lineRule="auto"/>
        <w:rPr>
          <w:rFonts w:ascii="Times New Roman" w:hAnsi="Times New Roman" w:cs="Times New Roman"/>
          <w:b/>
          <w:sz w:val="26"/>
          <w:szCs w:val="26"/>
        </w:rPr>
      </w:pPr>
    </w:p>
    <w:p w14:paraId="645E5A25"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lastRenderedPageBreak/>
        <w:t>HOW, BY WHOM, AND FOR WHAT PURPOSE THE INFORMATION IS TO BE USED AND THE CONSEQUENCES OF NOT COLLECTING THE INFORMATION</w:t>
      </w:r>
    </w:p>
    <w:p w14:paraId="25A174F7" w14:textId="77777777" w:rsidR="00A20256" w:rsidRDefault="00A20256" w:rsidP="000A0966">
      <w:pPr>
        <w:spacing w:after="0" w:line="240" w:lineRule="auto"/>
        <w:rPr>
          <w:rFonts w:ascii="Times New Roman" w:hAnsi="Times New Roman" w:cs="Times New Roman"/>
          <w:sz w:val="26"/>
          <w:szCs w:val="26"/>
        </w:rPr>
      </w:pPr>
    </w:p>
    <w:p w14:paraId="12B51AE1"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 information collected under the FERC-519 enables the Commission to meet its statutory responsibilities regarding public utility disposition, merger, consolidation of facilities, purchase, or acquisition oversight and enforcement in accordance with the FPA as referenced above.  </w:t>
      </w:r>
    </w:p>
    <w:p w14:paraId="48D4F09F" w14:textId="77777777" w:rsidR="000A0966" w:rsidRPr="00EB755D" w:rsidRDefault="000A0966" w:rsidP="000A0966">
      <w:pPr>
        <w:spacing w:after="0" w:line="240" w:lineRule="auto"/>
        <w:rPr>
          <w:rFonts w:ascii="Times New Roman" w:hAnsi="Times New Roman" w:cs="Times New Roman"/>
          <w:sz w:val="26"/>
          <w:szCs w:val="26"/>
        </w:rPr>
      </w:pPr>
    </w:p>
    <w:p w14:paraId="5C8DF9BD" w14:textId="242E251C" w:rsidR="004203B7"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required information includes descriptions of corporate attributes of the party or parties to the transaction</w:t>
      </w:r>
      <w:r w:rsidR="009E64FA">
        <w:rPr>
          <w:rFonts w:ascii="Times New Roman" w:hAnsi="Times New Roman" w:cs="Times New Roman"/>
          <w:sz w:val="26"/>
          <w:szCs w:val="26"/>
        </w:rPr>
        <w:t>.</w:t>
      </w:r>
      <w:r w:rsidRPr="00EB755D">
        <w:rPr>
          <w:rFonts w:ascii="Times New Roman" w:hAnsi="Times New Roman" w:cs="Times New Roman"/>
          <w:sz w:val="26"/>
          <w:szCs w:val="26"/>
        </w:rPr>
        <w:t xml:space="preserve"> </w:t>
      </w:r>
    </w:p>
    <w:p w14:paraId="0C9CE1EC" w14:textId="77777777" w:rsidR="00BF5035" w:rsidRPr="00EB755D" w:rsidRDefault="00BF5035" w:rsidP="000A0966">
      <w:pPr>
        <w:spacing w:after="0" w:line="240" w:lineRule="auto"/>
        <w:rPr>
          <w:rFonts w:ascii="Times New Roman" w:hAnsi="Times New Roman" w:cs="Times New Roman"/>
          <w:sz w:val="26"/>
          <w:szCs w:val="26"/>
        </w:rPr>
      </w:pPr>
    </w:p>
    <w:p w14:paraId="4DB2AA31"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In general, FERC's regulations require jurisdictional companies to maintain the following types of records: </w:t>
      </w:r>
    </w:p>
    <w:p w14:paraId="5A37EE2B"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Corporate</w:t>
      </w:r>
    </w:p>
    <w:p w14:paraId="2EB8D5B1"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Information Technology Management</w:t>
      </w:r>
    </w:p>
    <w:p w14:paraId="03EABAA0"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General Accounting</w:t>
      </w:r>
    </w:p>
    <w:p w14:paraId="5F063F00"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Personnel and Payroll</w:t>
      </w:r>
    </w:p>
    <w:p w14:paraId="0DABC9A8"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Transportation</w:t>
      </w:r>
    </w:p>
    <w:p w14:paraId="1263DFAA"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Tariffs and Rates</w:t>
      </w:r>
    </w:p>
    <w:p w14:paraId="1C8847FD"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Insurance</w:t>
      </w:r>
    </w:p>
    <w:p w14:paraId="333E7679"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Operations and Maintenance</w:t>
      </w:r>
    </w:p>
    <w:p w14:paraId="7E53D752"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Plant and Depreciation</w:t>
      </w:r>
    </w:p>
    <w:p w14:paraId="71785D0C"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Purchase and Stores</w:t>
      </w:r>
    </w:p>
    <w:p w14:paraId="319683BB"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Revenue Accounting and Collection</w:t>
      </w:r>
    </w:p>
    <w:p w14:paraId="764865D6"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Tax</w:t>
      </w:r>
    </w:p>
    <w:p w14:paraId="5277B8D4"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Treasury</w:t>
      </w:r>
    </w:p>
    <w:p w14:paraId="55FA810B"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w:t>
      </w:r>
      <w:r w:rsidRPr="00EB755D">
        <w:rPr>
          <w:rFonts w:ascii="Times New Roman" w:hAnsi="Times New Roman" w:cs="Times New Roman"/>
          <w:sz w:val="26"/>
          <w:szCs w:val="26"/>
        </w:rPr>
        <w:tab/>
        <w:t>Miscellaneous</w:t>
      </w:r>
    </w:p>
    <w:p w14:paraId="06356FA5" w14:textId="77777777" w:rsidR="000A0966" w:rsidRPr="00EB755D" w:rsidRDefault="000A0966" w:rsidP="000A0966">
      <w:pPr>
        <w:spacing w:after="0" w:line="240" w:lineRule="auto"/>
        <w:rPr>
          <w:rFonts w:ascii="Times New Roman" w:hAnsi="Times New Roman" w:cs="Times New Roman"/>
          <w:sz w:val="26"/>
          <w:szCs w:val="26"/>
        </w:rPr>
      </w:pPr>
    </w:p>
    <w:p w14:paraId="4B08CEF4"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ANY CONSIDERATION OF THE USE OF IMPROVED INFORMATION TECHNOLOGY TO REDUCE THE BURDEN AND TECHNICAL OR LEGAL OBSTACLES TO REDUCING BURDEN</w:t>
      </w:r>
    </w:p>
    <w:p w14:paraId="2BF84175" w14:textId="77777777" w:rsidR="000A0966" w:rsidRPr="00EB755D" w:rsidRDefault="000A0966" w:rsidP="000A0966">
      <w:pPr>
        <w:spacing w:after="0" w:line="240" w:lineRule="auto"/>
        <w:rPr>
          <w:rFonts w:ascii="Times New Roman" w:hAnsi="Times New Roman" w:cs="Times New Roman"/>
          <w:sz w:val="26"/>
          <w:szCs w:val="26"/>
        </w:rPr>
      </w:pPr>
    </w:p>
    <w:p w14:paraId="6DF3DEAC" w14:textId="2B7ED6E5" w:rsidR="000A0966" w:rsidRPr="00EB755D" w:rsidRDefault="004403C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Commission implemented the capability and requi</w:t>
      </w:r>
      <w:r w:rsidR="00BF5035">
        <w:rPr>
          <w:rFonts w:ascii="Times New Roman" w:hAnsi="Times New Roman" w:cs="Times New Roman"/>
          <w:sz w:val="26"/>
          <w:szCs w:val="26"/>
        </w:rPr>
        <w:t>rement for filing FERC-519 in various formats</w:t>
      </w:r>
      <w:r w:rsidRPr="00EB755D">
        <w:rPr>
          <w:rFonts w:ascii="Times New Roman" w:hAnsi="Times New Roman" w:cs="Times New Roman"/>
          <w:sz w:val="26"/>
          <w:szCs w:val="26"/>
        </w:rPr>
        <w:t xml:space="preserve"> including </w:t>
      </w:r>
      <w:r w:rsidR="00BF5035">
        <w:rPr>
          <w:rFonts w:ascii="Times New Roman" w:hAnsi="Times New Roman" w:cs="Times New Roman"/>
          <w:sz w:val="26"/>
          <w:szCs w:val="26"/>
        </w:rPr>
        <w:t>the capability of</w:t>
      </w:r>
      <w:r w:rsidRPr="00EB755D">
        <w:rPr>
          <w:rFonts w:ascii="Times New Roman" w:hAnsi="Times New Roman" w:cs="Times New Roman"/>
          <w:sz w:val="26"/>
          <w:szCs w:val="26"/>
        </w:rPr>
        <w:t xml:space="preserve"> electronic </w:t>
      </w:r>
      <w:r w:rsidR="00AC629E">
        <w:rPr>
          <w:rFonts w:ascii="Times New Roman" w:hAnsi="Times New Roman" w:cs="Times New Roman"/>
          <w:sz w:val="26"/>
          <w:szCs w:val="26"/>
        </w:rPr>
        <w:t xml:space="preserve">filing via </w:t>
      </w:r>
      <w:hyperlink r:id="rId14" w:history="1">
        <w:r w:rsidR="00AC629E" w:rsidRPr="00AC629E">
          <w:rPr>
            <w:rStyle w:val="Hyperlink"/>
            <w:rFonts w:ascii="Times New Roman" w:hAnsi="Times New Roman" w:cs="Times New Roman"/>
            <w:sz w:val="26"/>
            <w:szCs w:val="26"/>
          </w:rPr>
          <w:t>eFiling</w:t>
        </w:r>
      </w:hyperlink>
      <w:r w:rsidR="00AC629E">
        <w:rPr>
          <w:rFonts w:ascii="Times New Roman" w:hAnsi="Times New Roman" w:cs="Times New Roman"/>
          <w:sz w:val="26"/>
          <w:szCs w:val="26"/>
        </w:rPr>
        <w:t xml:space="preserve"> on FERC’s webpage</w:t>
      </w:r>
      <w:r w:rsidRPr="00EB755D">
        <w:rPr>
          <w:rFonts w:ascii="Times New Roman" w:hAnsi="Times New Roman" w:cs="Times New Roman"/>
          <w:sz w:val="26"/>
          <w:szCs w:val="26"/>
        </w:rPr>
        <w:t>.</w:t>
      </w:r>
      <w:r w:rsidR="000A0966" w:rsidRPr="00EB755D">
        <w:rPr>
          <w:rFonts w:ascii="Times New Roman" w:hAnsi="Times New Roman" w:cs="Times New Roman"/>
          <w:sz w:val="26"/>
          <w:szCs w:val="26"/>
        </w:rPr>
        <w:t xml:space="preserve"> </w:t>
      </w:r>
    </w:p>
    <w:p w14:paraId="3FB25D07" w14:textId="77777777" w:rsidR="00EB755D" w:rsidRPr="00EB755D" w:rsidRDefault="00EB755D" w:rsidP="000A0966">
      <w:pPr>
        <w:spacing w:after="0" w:line="240" w:lineRule="auto"/>
        <w:rPr>
          <w:rFonts w:ascii="Times New Roman" w:hAnsi="Times New Roman" w:cs="Times New Roman"/>
          <w:sz w:val="26"/>
          <w:szCs w:val="26"/>
        </w:rPr>
      </w:pPr>
    </w:p>
    <w:p w14:paraId="38A7A8CA"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3031FA8" w14:textId="77777777" w:rsidR="000A0966" w:rsidRPr="00EB755D" w:rsidRDefault="000A0966" w:rsidP="000A0966">
      <w:pPr>
        <w:spacing w:after="0" w:line="240" w:lineRule="auto"/>
        <w:rPr>
          <w:rFonts w:ascii="Times New Roman" w:hAnsi="Times New Roman" w:cs="Times New Roman"/>
          <w:sz w:val="26"/>
          <w:szCs w:val="26"/>
        </w:rPr>
      </w:pPr>
    </w:p>
    <w:p w14:paraId="79E23470" w14:textId="77777777" w:rsidR="004403C6" w:rsidRDefault="004403C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lastRenderedPageBreak/>
        <w:t>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w:t>
      </w:r>
    </w:p>
    <w:p w14:paraId="7602A6AB" w14:textId="77777777" w:rsidR="00E479FF" w:rsidRPr="00EB755D" w:rsidRDefault="00E479FF" w:rsidP="000A0966">
      <w:pPr>
        <w:spacing w:after="0" w:line="240" w:lineRule="auto"/>
        <w:rPr>
          <w:rFonts w:ascii="Times New Roman" w:hAnsi="Times New Roman" w:cs="Times New Roman"/>
          <w:sz w:val="26"/>
          <w:szCs w:val="26"/>
        </w:rPr>
      </w:pPr>
    </w:p>
    <w:p w14:paraId="5EC0E33C"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METHODS USED TO MINIMIZE THE BURDEN IN COLLECTION OF INFORMATION INVOLVING SMALL ENTITIES</w:t>
      </w:r>
    </w:p>
    <w:p w14:paraId="28DA4B0B" w14:textId="77777777" w:rsidR="000A0966" w:rsidRPr="00EB755D" w:rsidRDefault="000A0966" w:rsidP="000A0966">
      <w:pPr>
        <w:spacing w:after="0" w:line="240" w:lineRule="auto"/>
        <w:rPr>
          <w:rFonts w:ascii="Times New Roman" w:hAnsi="Times New Roman" w:cs="Times New Roman"/>
          <w:sz w:val="26"/>
          <w:szCs w:val="26"/>
        </w:rPr>
      </w:pPr>
    </w:p>
    <w:p w14:paraId="597D9B18" w14:textId="037C4AD5" w:rsidR="00E477ED" w:rsidRPr="00EB755D" w:rsidRDefault="00E477ED" w:rsidP="00E477ED">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w:t>
      </w:r>
      <w:r w:rsidR="00AC629E">
        <w:rPr>
          <w:rFonts w:ascii="Times New Roman" w:hAnsi="Times New Roman" w:cs="Times New Roman"/>
          <w:sz w:val="26"/>
          <w:szCs w:val="26"/>
        </w:rPr>
        <w:t xml:space="preserve"> Small Business Administration</w:t>
      </w:r>
      <w:r w:rsidRPr="00EB755D">
        <w:rPr>
          <w:rFonts w:ascii="Times New Roman" w:hAnsi="Times New Roman" w:cs="Times New Roman"/>
          <w:sz w:val="26"/>
          <w:szCs w:val="26"/>
        </w:rPr>
        <w:t xml:space="preserve"> (SBA) Office of Size Standards develops the numerical definition of a small entity.  These standards are provided in the SBA regul</w:t>
      </w:r>
      <w:r w:rsidR="00AC629E">
        <w:rPr>
          <w:rFonts w:ascii="Times New Roman" w:hAnsi="Times New Roman" w:cs="Times New Roman"/>
          <w:sz w:val="26"/>
          <w:szCs w:val="26"/>
        </w:rPr>
        <w:t>ations at 13 CFR 121.201</w:t>
      </w:r>
      <w:r w:rsidRPr="00AC629E">
        <w:rPr>
          <w:rFonts w:ascii="Times New Roman" w:hAnsi="Times New Roman" w:cs="Times New Roman"/>
          <w:sz w:val="26"/>
          <w:szCs w:val="26"/>
          <w:vertAlign w:val="superscript"/>
        </w:rPr>
        <w:footnoteReference w:id="2"/>
      </w:r>
      <w:r w:rsidR="00AC629E">
        <w:rPr>
          <w:rFonts w:ascii="Times New Roman" w:hAnsi="Times New Roman" w:cs="Times New Roman"/>
          <w:sz w:val="26"/>
          <w:szCs w:val="26"/>
        </w:rPr>
        <w:t>. </w:t>
      </w:r>
      <w:r w:rsidR="004403C6" w:rsidRPr="00EB755D">
        <w:rPr>
          <w:rFonts w:ascii="Times New Roman" w:hAnsi="Times New Roman" w:cs="Times New Roman"/>
          <w:sz w:val="26"/>
          <w:szCs w:val="26"/>
        </w:rPr>
        <w:t>The SBA has established a small entity as having 500 employees or less.</w:t>
      </w:r>
    </w:p>
    <w:p w14:paraId="42B3C71A" w14:textId="77777777" w:rsidR="00E477ED" w:rsidRPr="00EB755D" w:rsidRDefault="00E477ED" w:rsidP="000A0966">
      <w:pPr>
        <w:spacing w:after="0" w:line="240" w:lineRule="auto"/>
        <w:rPr>
          <w:rFonts w:ascii="Times New Roman" w:hAnsi="Times New Roman" w:cs="Times New Roman"/>
          <w:sz w:val="26"/>
          <w:szCs w:val="26"/>
        </w:rPr>
      </w:pPr>
    </w:p>
    <w:p w14:paraId="05EA130E" w14:textId="77777777" w:rsidR="004403C6" w:rsidRPr="00EB755D" w:rsidRDefault="000A0966" w:rsidP="004403C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Small entities will typically not be affected by th</w:t>
      </w:r>
      <w:r w:rsidR="004403C6" w:rsidRPr="00EB755D">
        <w:rPr>
          <w:rFonts w:ascii="Times New Roman" w:hAnsi="Times New Roman" w:cs="Times New Roman"/>
          <w:sz w:val="26"/>
          <w:szCs w:val="26"/>
        </w:rPr>
        <w:t>is rulemaking</w:t>
      </w:r>
      <w:r w:rsidRPr="00EB755D">
        <w:rPr>
          <w:rFonts w:ascii="Times New Roman" w:hAnsi="Times New Roman" w:cs="Times New Roman"/>
          <w:sz w:val="26"/>
          <w:szCs w:val="26"/>
        </w:rPr>
        <w:t xml:space="preserve">.  Small entities are generally not in a position to file a FERC-519.  </w:t>
      </w:r>
      <w:r w:rsidR="004403C6" w:rsidRPr="00EB755D">
        <w:rPr>
          <w:rFonts w:ascii="Times New Roman" w:hAnsi="Times New Roman" w:cs="Times New Roman"/>
          <w:sz w:val="26"/>
          <w:szCs w:val="26"/>
        </w:rPr>
        <w:t>However, the Commission does consider waivers for small entities, which serves as an option for small entities to reduce their burden.  The Commission grants these waivers on a case-by-case basis.</w:t>
      </w:r>
    </w:p>
    <w:p w14:paraId="7FE9B50F" w14:textId="77777777" w:rsidR="004403C6" w:rsidRPr="00EB755D" w:rsidRDefault="004403C6" w:rsidP="004403C6">
      <w:pPr>
        <w:spacing w:after="0" w:line="240" w:lineRule="auto"/>
        <w:rPr>
          <w:rFonts w:ascii="Times New Roman" w:hAnsi="Times New Roman" w:cs="Times New Roman"/>
          <w:sz w:val="26"/>
          <w:szCs w:val="26"/>
        </w:rPr>
      </w:pPr>
    </w:p>
    <w:p w14:paraId="43D3EA66"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CONSEQUENCE TO FEDERAL PROGRAM IF COLLECTION WERE CONDUCTED LESS FREQUENTLY</w:t>
      </w:r>
    </w:p>
    <w:p w14:paraId="33D41EE7" w14:textId="77777777" w:rsidR="000A0966" w:rsidRPr="00EB755D" w:rsidRDefault="000A0966" w:rsidP="000A0966">
      <w:pPr>
        <w:spacing w:after="0" w:line="240" w:lineRule="auto"/>
        <w:rPr>
          <w:rFonts w:ascii="Times New Roman" w:hAnsi="Times New Roman" w:cs="Times New Roman"/>
          <w:b/>
          <w:sz w:val="26"/>
          <w:szCs w:val="26"/>
        </w:rPr>
      </w:pPr>
    </w:p>
    <w:p w14:paraId="286E49A7" w14:textId="0C022746" w:rsidR="00A20256"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FPA </w:t>
      </w:r>
      <w:r w:rsidR="00AC629E">
        <w:rPr>
          <w:rFonts w:ascii="Times New Roman" w:hAnsi="Times New Roman" w:cs="Times New Roman"/>
          <w:sz w:val="26"/>
          <w:szCs w:val="26"/>
        </w:rPr>
        <w:t>S</w:t>
      </w:r>
      <w:r w:rsidRPr="00EB755D">
        <w:rPr>
          <w:rFonts w:ascii="Times New Roman" w:hAnsi="Times New Roman" w:cs="Times New Roman"/>
          <w:sz w:val="26"/>
          <w:szCs w:val="26"/>
        </w:rPr>
        <w:t>ection 203 requires a filing on the occasion that a public utility proposes to dispose of jurisdictional facilities, merge such facilities, or acquire the securities of another public utility.  If the collection was not conducted before the proposed transaction was consummated, the Commission would be unable to perform its mandated oversight and review responsibilities with respect to facilities, mergers and securities transactions.</w:t>
      </w:r>
    </w:p>
    <w:p w14:paraId="3385F89D" w14:textId="77777777" w:rsidR="00A20256" w:rsidRDefault="00A20256" w:rsidP="000A0966">
      <w:pPr>
        <w:spacing w:after="0" w:line="240" w:lineRule="auto"/>
        <w:rPr>
          <w:rFonts w:ascii="Times New Roman" w:hAnsi="Times New Roman" w:cs="Times New Roman"/>
          <w:sz w:val="26"/>
          <w:szCs w:val="26"/>
        </w:rPr>
      </w:pPr>
    </w:p>
    <w:p w14:paraId="6BB24135" w14:textId="0C8EA7A6" w:rsidR="000A0966" w:rsidRPr="00EB755D" w:rsidRDefault="00A20256" w:rsidP="000A0966">
      <w:pPr>
        <w:spacing w:after="0" w:line="240" w:lineRule="auto"/>
        <w:rPr>
          <w:rFonts w:ascii="Times New Roman" w:hAnsi="Times New Roman" w:cs="Times New Roman"/>
          <w:sz w:val="26"/>
          <w:szCs w:val="26"/>
        </w:rPr>
      </w:pPr>
      <w:r w:rsidRPr="00A20256">
        <w:rPr>
          <w:rFonts w:ascii="Times New Roman" w:hAnsi="Times New Roman" w:cs="Times New Roman"/>
          <w:sz w:val="26"/>
          <w:szCs w:val="26"/>
        </w:rPr>
        <w:t>The info</w:t>
      </w:r>
      <w:r w:rsidR="00AC629E">
        <w:rPr>
          <w:rFonts w:ascii="Times New Roman" w:hAnsi="Times New Roman" w:cs="Times New Roman"/>
          <w:sz w:val="26"/>
          <w:szCs w:val="26"/>
        </w:rPr>
        <w:t>rmation collection changes proposed by the Commission</w:t>
      </w:r>
      <w:r w:rsidRPr="00A20256">
        <w:rPr>
          <w:rFonts w:ascii="Times New Roman" w:hAnsi="Times New Roman" w:cs="Times New Roman"/>
          <w:sz w:val="26"/>
          <w:szCs w:val="26"/>
        </w:rPr>
        <w:t xml:space="preserve"> in the NOPR apply to transactions that </w:t>
      </w:r>
      <w:r w:rsidRPr="00A20256">
        <w:rPr>
          <w:rFonts w:ascii="Times New Roman" w:hAnsi="Times New Roman" w:cs="Times New Roman"/>
          <w:i/>
          <w:sz w:val="26"/>
          <w:szCs w:val="26"/>
        </w:rPr>
        <w:t>were</w:t>
      </w:r>
      <w:r w:rsidR="00AC629E">
        <w:rPr>
          <w:rFonts w:ascii="Times New Roman" w:hAnsi="Times New Roman" w:cs="Times New Roman"/>
          <w:sz w:val="26"/>
          <w:szCs w:val="26"/>
        </w:rPr>
        <w:t xml:space="preserve"> jurisdictional, but (after the statutory changes)</w:t>
      </w:r>
      <w:r w:rsidRPr="00A20256">
        <w:rPr>
          <w:rFonts w:ascii="Times New Roman" w:hAnsi="Times New Roman" w:cs="Times New Roman"/>
          <w:sz w:val="26"/>
          <w:szCs w:val="26"/>
        </w:rPr>
        <w:t xml:space="preserve"> are</w:t>
      </w:r>
      <w:r w:rsidR="00AC629E">
        <w:rPr>
          <w:rFonts w:ascii="Times New Roman" w:hAnsi="Times New Roman" w:cs="Times New Roman"/>
          <w:sz w:val="26"/>
          <w:szCs w:val="26"/>
        </w:rPr>
        <w:t xml:space="preserve"> now</w:t>
      </w:r>
      <w:r w:rsidRPr="00A20256">
        <w:rPr>
          <w:rFonts w:ascii="Times New Roman" w:hAnsi="Times New Roman" w:cs="Times New Roman"/>
          <w:sz w:val="26"/>
          <w:szCs w:val="26"/>
        </w:rPr>
        <w:t xml:space="preserve"> not.  These transactions are</w:t>
      </w:r>
      <w:r w:rsidR="00AC629E">
        <w:rPr>
          <w:rFonts w:ascii="Times New Roman" w:hAnsi="Times New Roman" w:cs="Times New Roman"/>
          <w:sz w:val="26"/>
          <w:szCs w:val="26"/>
        </w:rPr>
        <w:t>,</w:t>
      </w:r>
      <w:r w:rsidRPr="00A20256">
        <w:rPr>
          <w:rFonts w:ascii="Times New Roman" w:hAnsi="Times New Roman" w:cs="Times New Roman"/>
          <w:sz w:val="26"/>
          <w:szCs w:val="26"/>
        </w:rPr>
        <w:t xml:space="preserve"> thus</w:t>
      </w:r>
      <w:r w:rsidR="00AC629E">
        <w:rPr>
          <w:rFonts w:ascii="Times New Roman" w:hAnsi="Times New Roman" w:cs="Times New Roman"/>
          <w:sz w:val="26"/>
          <w:szCs w:val="26"/>
        </w:rPr>
        <w:t>,</w:t>
      </w:r>
      <w:r w:rsidRPr="00A20256">
        <w:rPr>
          <w:rFonts w:ascii="Times New Roman" w:hAnsi="Times New Roman" w:cs="Times New Roman"/>
          <w:sz w:val="26"/>
          <w:szCs w:val="26"/>
        </w:rPr>
        <w:t xml:space="preserve"> not subject to FERC-519.</w:t>
      </w:r>
    </w:p>
    <w:p w14:paraId="307C7E6C" w14:textId="77777777" w:rsidR="000A0966" w:rsidRPr="00EB755D" w:rsidRDefault="000A0966" w:rsidP="000A0966">
      <w:pPr>
        <w:spacing w:after="0" w:line="240" w:lineRule="auto"/>
        <w:rPr>
          <w:rFonts w:ascii="Times New Roman" w:hAnsi="Times New Roman" w:cs="Times New Roman"/>
          <w:sz w:val="26"/>
          <w:szCs w:val="26"/>
        </w:rPr>
      </w:pPr>
    </w:p>
    <w:p w14:paraId="330ACBED"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EXPLAIN ANY SPECIAL CIRCUMSTANCES RELATING TO THE INFORMATION COLLECTION</w:t>
      </w:r>
    </w:p>
    <w:p w14:paraId="403E2302" w14:textId="77777777" w:rsidR="000A0966" w:rsidRPr="00EB755D" w:rsidRDefault="000A0966" w:rsidP="000A0966">
      <w:pPr>
        <w:pStyle w:val="ListParagraph"/>
        <w:spacing w:after="0" w:line="240" w:lineRule="auto"/>
        <w:ind w:left="360"/>
        <w:rPr>
          <w:rFonts w:ascii="Times New Roman" w:hAnsi="Times New Roman" w:cs="Times New Roman"/>
          <w:b/>
          <w:sz w:val="26"/>
          <w:szCs w:val="26"/>
        </w:rPr>
      </w:pPr>
    </w:p>
    <w:p w14:paraId="2AD1CA63" w14:textId="57C22FF2" w:rsidR="000A0966" w:rsidRPr="00EB755D" w:rsidRDefault="00E477ED"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 FERC-519 </w:t>
      </w:r>
      <w:r w:rsidR="00AC629E">
        <w:rPr>
          <w:rFonts w:ascii="Times New Roman" w:hAnsi="Times New Roman" w:cs="Times New Roman"/>
          <w:sz w:val="26"/>
          <w:szCs w:val="26"/>
        </w:rPr>
        <w:t xml:space="preserve">information collection </w:t>
      </w:r>
      <w:r w:rsidRPr="00EB755D">
        <w:rPr>
          <w:rFonts w:ascii="Times New Roman" w:hAnsi="Times New Roman" w:cs="Times New Roman"/>
          <w:sz w:val="26"/>
          <w:szCs w:val="26"/>
        </w:rPr>
        <w:t>presents no special circumstances</w:t>
      </w:r>
      <w:r w:rsidR="000A0966" w:rsidRPr="00EB755D">
        <w:rPr>
          <w:rFonts w:ascii="Times New Roman" w:hAnsi="Times New Roman" w:cs="Times New Roman"/>
          <w:sz w:val="26"/>
          <w:szCs w:val="26"/>
        </w:rPr>
        <w:t>.</w:t>
      </w:r>
    </w:p>
    <w:p w14:paraId="4D4DF674" w14:textId="77777777" w:rsidR="000A0966" w:rsidRPr="00EB755D" w:rsidRDefault="000A0966" w:rsidP="000A0966">
      <w:pPr>
        <w:spacing w:after="0" w:line="240" w:lineRule="auto"/>
        <w:rPr>
          <w:rFonts w:ascii="Times New Roman" w:hAnsi="Times New Roman" w:cs="Times New Roman"/>
          <w:sz w:val="26"/>
          <w:szCs w:val="26"/>
        </w:rPr>
      </w:pPr>
    </w:p>
    <w:p w14:paraId="42F4ACB6"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EFFORTS TO CONSULT OUTSIDE THE AGENCY: SUMMARIZE PUBLIC COMMENTS AND THE AGENCY’S RESPONSE</w:t>
      </w:r>
    </w:p>
    <w:p w14:paraId="3F92A386" w14:textId="77777777" w:rsidR="000A0966" w:rsidRPr="00EB755D" w:rsidRDefault="000A0966" w:rsidP="000A0966">
      <w:pPr>
        <w:spacing w:after="0" w:line="240" w:lineRule="auto"/>
        <w:rPr>
          <w:rFonts w:ascii="Times New Roman" w:hAnsi="Times New Roman" w:cs="Times New Roman"/>
          <w:sz w:val="26"/>
          <w:szCs w:val="26"/>
        </w:rPr>
      </w:pPr>
    </w:p>
    <w:p w14:paraId="77982A9C" w14:textId="72FF308D" w:rsidR="00E477ED" w:rsidRPr="00EB755D" w:rsidRDefault="00AC629E" w:rsidP="00E477ED">
      <w:pPr>
        <w:spacing w:after="0" w:line="240" w:lineRule="auto"/>
        <w:rPr>
          <w:rFonts w:ascii="Times New Roman" w:hAnsi="Times New Roman" w:cs="Times New Roman"/>
          <w:sz w:val="26"/>
          <w:szCs w:val="26"/>
        </w:rPr>
      </w:pPr>
      <w:r>
        <w:rPr>
          <w:rFonts w:ascii="Times New Roman" w:hAnsi="Times New Roman" w:cs="Times New Roman"/>
          <w:sz w:val="26"/>
          <w:szCs w:val="26"/>
        </w:rPr>
        <w:t>O</w:t>
      </w:r>
      <w:r w:rsidR="00E477ED" w:rsidRPr="00EB755D">
        <w:rPr>
          <w:rFonts w:ascii="Times New Roman" w:hAnsi="Times New Roman" w:cs="Times New Roman"/>
          <w:sz w:val="26"/>
          <w:szCs w:val="26"/>
        </w:rPr>
        <w:t>utside consultation</w:t>
      </w:r>
      <w:r>
        <w:rPr>
          <w:rFonts w:ascii="Times New Roman" w:hAnsi="Times New Roman" w:cs="Times New Roman"/>
          <w:sz w:val="26"/>
          <w:szCs w:val="26"/>
        </w:rPr>
        <w:t xml:space="preserve"> by the Commission was in the form of the</w:t>
      </w:r>
      <w:r w:rsidR="00E477ED" w:rsidRPr="00EB755D">
        <w:rPr>
          <w:rFonts w:ascii="Times New Roman" w:hAnsi="Times New Roman" w:cs="Times New Roman"/>
          <w:sz w:val="26"/>
          <w:szCs w:val="26"/>
        </w:rPr>
        <w:t xml:space="preserve"> NOPR that included the Commission’s best estimate of the burden imposed by compliance with the</w:t>
      </w:r>
      <w:r>
        <w:rPr>
          <w:rFonts w:ascii="Times New Roman" w:hAnsi="Times New Roman" w:cs="Times New Roman"/>
          <w:sz w:val="26"/>
          <w:szCs w:val="26"/>
        </w:rPr>
        <w:t xml:space="preserve"> proposed</w:t>
      </w:r>
      <w:r w:rsidR="00E477ED" w:rsidRPr="00EB755D">
        <w:rPr>
          <w:rFonts w:ascii="Times New Roman" w:hAnsi="Times New Roman" w:cs="Times New Roman"/>
          <w:sz w:val="26"/>
          <w:szCs w:val="26"/>
        </w:rPr>
        <w:t xml:space="preserve"> requirements as well</w:t>
      </w:r>
      <w:r>
        <w:rPr>
          <w:rFonts w:ascii="Times New Roman" w:hAnsi="Times New Roman" w:cs="Times New Roman"/>
          <w:sz w:val="26"/>
          <w:szCs w:val="26"/>
        </w:rPr>
        <w:t xml:space="preserve"> as the availability of waivers</w:t>
      </w:r>
      <w:r w:rsidR="00E477ED" w:rsidRPr="00EB755D">
        <w:rPr>
          <w:rFonts w:ascii="Times New Roman" w:hAnsi="Times New Roman" w:cs="Times New Roman"/>
          <w:sz w:val="26"/>
          <w:szCs w:val="26"/>
        </w:rPr>
        <w:t xml:space="preserve"> where requested and appropriate.  Interested persons were notified through publication in the Federal Register</w:t>
      </w:r>
      <w:r w:rsidRPr="00AC629E">
        <w:rPr>
          <w:rStyle w:val="FootnoteReference"/>
          <w:rFonts w:ascii="Times New Roman" w:hAnsi="Times New Roman" w:cs="Times New Roman"/>
          <w:sz w:val="26"/>
          <w:szCs w:val="26"/>
          <w:vertAlign w:val="superscript"/>
        </w:rPr>
        <w:footnoteReference w:id="3"/>
      </w:r>
      <w:r w:rsidR="00E477ED" w:rsidRPr="00EB755D">
        <w:rPr>
          <w:rFonts w:ascii="Times New Roman" w:hAnsi="Times New Roman" w:cs="Times New Roman"/>
          <w:sz w:val="26"/>
          <w:szCs w:val="26"/>
        </w:rPr>
        <w:t xml:space="preserve"> that they could file comments on the proposals in the NOPR, including the burden estimate.  In addition, potential commenters were specifically informed that they could file comments on the proposed collections of information and associated burden directly with OMB.</w:t>
      </w:r>
    </w:p>
    <w:p w14:paraId="23A7A832" w14:textId="77777777" w:rsidR="000A0966" w:rsidRPr="00EB755D" w:rsidRDefault="000A0966" w:rsidP="000A0966">
      <w:pPr>
        <w:spacing w:after="0" w:line="240" w:lineRule="auto"/>
        <w:rPr>
          <w:rFonts w:ascii="Times New Roman" w:hAnsi="Times New Roman" w:cs="Times New Roman"/>
          <w:sz w:val="26"/>
          <w:szCs w:val="26"/>
        </w:rPr>
      </w:pPr>
    </w:p>
    <w:p w14:paraId="71EC5403"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EXPLAIN ANY PAYMENT OR GIFTS TO RESPONDENTS</w:t>
      </w:r>
    </w:p>
    <w:p w14:paraId="125FECBB" w14:textId="77777777" w:rsidR="000A0966" w:rsidRPr="00EB755D" w:rsidRDefault="000A0966" w:rsidP="000A0966">
      <w:pPr>
        <w:spacing w:after="0" w:line="240" w:lineRule="auto"/>
        <w:rPr>
          <w:rFonts w:ascii="Times New Roman" w:hAnsi="Times New Roman" w:cs="Times New Roman"/>
          <w:sz w:val="26"/>
          <w:szCs w:val="26"/>
        </w:rPr>
      </w:pPr>
    </w:p>
    <w:p w14:paraId="05097C4F" w14:textId="587F5533"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There are no payments or gifts to respondents a</w:t>
      </w:r>
      <w:r w:rsidR="004549FF">
        <w:rPr>
          <w:rFonts w:ascii="Times New Roman" w:hAnsi="Times New Roman" w:cs="Times New Roman"/>
          <w:sz w:val="26"/>
          <w:szCs w:val="26"/>
        </w:rPr>
        <w:t>ssociated with the FERC-519 information collection</w:t>
      </w:r>
      <w:r w:rsidRPr="00EB755D">
        <w:rPr>
          <w:rFonts w:ascii="Times New Roman" w:hAnsi="Times New Roman" w:cs="Times New Roman"/>
          <w:sz w:val="26"/>
          <w:szCs w:val="26"/>
        </w:rPr>
        <w:t>.</w:t>
      </w:r>
    </w:p>
    <w:p w14:paraId="57F282EB" w14:textId="77777777" w:rsidR="000A0966" w:rsidRPr="00EB755D" w:rsidRDefault="000A0966" w:rsidP="000A0966">
      <w:pPr>
        <w:spacing w:after="0" w:line="240" w:lineRule="auto"/>
        <w:rPr>
          <w:rFonts w:ascii="Times New Roman" w:hAnsi="Times New Roman" w:cs="Times New Roman"/>
          <w:sz w:val="26"/>
          <w:szCs w:val="26"/>
        </w:rPr>
      </w:pPr>
    </w:p>
    <w:p w14:paraId="0D954F42"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DESCRIBE ANY ASSURANCE OF CONFIDENTIALITY PROVIDED TO RESPONDENTS</w:t>
      </w:r>
    </w:p>
    <w:p w14:paraId="340E614E" w14:textId="77777777" w:rsidR="000A0966" w:rsidRPr="00EB755D" w:rsidRDefault="000A0966" w:rsidP="000A0966">
      <w:pPr>
        <w:spacing w:after="0" w:line="240" w:lineRule="auto"/>
        <w:rPr>
          <w:rFonts w:ascii="Times New Roman" w:hAnsi="Times New Roman" w:cs="Times New Roman"/>
          <w:sz w:val="26"/>
          <w:szCs w:val="26"/>
        </w:rPr>
      </w:pPr>
    </w:p>
    <w:p w14:paraId="26B7CE5F" w14:textId="4ED151FD" w:rsidR="000A0966" w:rsidRPr="00EB755D" w:rsidRDefault="00673A3E"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In general, for all submittals to the Commission, filers may submit specific requests for confidential treatment to the extent permitted by law</w:t>
      </w:r>
      <w:r w:rsidR="004549FF">
        <w:rPr>
          <w:rFonts w:ascii="Times New Roman" w:hAnsi="Times New Roman" w:cs="Times New Roman"/>
          <w:sz w:val="26"/>
          <w:szCs w:val="26"/>
        </w:rPr>
        <w:t xml:space="preserve">; details are available in 18 CFR Section </w:t>
      </w:r>
      <w:r w:rsidRPr="00EB755D">
        <w:rPr>
          <w:rFonts w:ascii="Times New Roman" w:hAnsi="Times New Roman" w:cs="Times New Roman"/>
          <w:sz w:val="26"/>
          <w:szCs w:val="26"/>
        </w:rPr>
        <w:t>388.112.</w:t>
      </w:r>
      <w:r w:rsidR="000A0966" w:rsidRPr="00EB755D">
        <w:rPr>
          <w:rFonts w:ascii="Times New Roman" w:hAnsi="Times New Roman" w:cs="Times New Roman"/>
          <w:sz w:val="26"/>
          <w:szCs w:val="26"/>
        </w:rPr>
        <w:t xml:space="preserve">  The Commission will review each request for confidential treatment on a case-by-case basis.</w:t>
      </w:r>
    </w:p>
    <w:p w14:paraId="7474CE9A" w14:textId="77777777" w:rsidR="000A0966" w:rsidRPr="00EB755D" w:rsidRDefault="000A0966" w:rsidP="000A0966">
      <w:pPr>
        <w:spacing w:after="0" w:line="240" w:lineRule="auto"/>
        <w:rPr>
          <w:rFonts w:ascii="Times New Roman" w:hAnsi="Times New Roman" w:cs="Times New Roman"/>
          <w:sz w:val="26"/>
          <w:szCs w:val="26"/>
        </w:rPr>
      </w:pPr>
    </w:p>
    <w:p w14:paraId="4026DDB6"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2E145B05" w14:textId="77777777" w:rsidR="000A0966" w:rsidRPr="00EB755D" w:rsidRDefault="000A0966" w:rsidP="000A0966">
      <w:pPr>
        <w:spacing w:after="0" w:line="240" w:lineRule="auto"/>
        <w:rPr>
          <w:rFonts w:ascii="Times New Roman" w:hAnsi="Times New Roman" w:cs="Times New Roman"/>
          <w:sz w:val="26"/>
          <w:szCs w:val="26"/>
        </w:rPr>
      </w:pPr>
    </w:p>
    <w:p w14:paraId="5DF4A8BB" w14:textId="4F433B04"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There are no questions of a sensitive nature in the reporting or recordkeeping requirements</w:t>
      </w:r>
      <w:r w:rsidR="004549FF">
        <w:rPr>
          <w:rFonts w:ascii="Times New Roman" w:hAnsi="Times New Roman" w:cs="Times New Roman"/>
          <w:sz w:val="26"/>
          <w:szCs w:val="26"/>
        </w:rPr>
        <w:t xml:space="preserve"> of the FERC-519 information collection</w:t>
      </w:r>
      <w:r w:rsidRPr="00EB755D">
        <w:rPr>
          <w:rFonts w:ascii="Times New Roman" w:hAnsi="Times New Roman" w:cs="Times New Roman"/>
          <w:sz w:val="26"/>
          <w:szCs w:val="26"/>
        </w:rPr>
        <w:t>.</w:t>
      </w:r>
    </w:p>
    <w:p w14:paraId="0DF9E694" w14:textId="77777777" w:rsidR="000A0966" w:rsidRPr="00EB755D" w:rsidRDefault="000A0966" w:rsidP="000A0966">
      <w:pPr>
        <w:spacing w:after="0" w:line="240" w:lineRule="auto"/>
        <w:rPr>
          <w:rFonts w:ascii="Times New Roman" w:hAnsi="Times New Roman" w:cs="Times New Roman"/>
          <w:sz w:val="26"/>
          <w:szCs w:val="26"/>
        </w:rPr>
      </w:pPr>
    </w:p>
    <w:p w14:paraId="470F6AAC"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ESTIMATED BURDEN OF COLLECTION OF INFORMATION</w:t>
      </w:r>
    </w:p>
    <w:p w14:paraId="357C1716" w14:textId="77777777" w:rsidR="00673A3E" w:rsidRPr="00EB755D" w:rsidRDefault="00673A3E" w:rsidP="000A0966">
      <w:pPr>
        <w:pStyle w:val="FERCparanumber"/>
        <w:numPr>
          <w:ilvl w:val="0"/>
          <w:numId w:val="0"/>
        </w:numPr>
        <w:spacing w:line="240" w:lineRule="auto"/>
        <w:rPr>
          <w:szCs w:val="26"/>
        </w:rPr>
      </w:pPr>
    </w:p>
    <w:tbl>
      <w:tblPr>
        <w:tblW w:w="528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1632"/>
        <w:gridCol w:w="1531"/>
        <w:gridCol w:w="1404"/>
        <w:gridCol w:w="1342"/>
        <w:gridCol w:w="1404"/>
        <w:gridCol w:w="1692"/>
      </w:tblGrid>
      <w:tr w:rsidR="00673A3E" w:rsidRPr="00673A3E" w14:paraId="3269DC17" w14:textId="77777777" w:rsidTr="00D91C6F">
        <w:trPr>
          <w:cantSplit/>
          <w:trHeight w:val="1225"/>
        </w:trPr>
        <w:tc>
          <w:tcPr>
            <w:tcW w:w="558" w:type="pct"/>
            <w:shd w:val="clear" w:color="auto" w:fill="D9D9D9"/>
          </w:tcPr>
          <w:p w14:paraId="748E6F38" w14:textId="77777777" w:rsidR="00673A3E" w:rsidRPr="00673A3E" w:rsidRDefault="00673A3E" w:rsidP="00EB755D">
            <w:pPr>
              <w:spacing w:after="0" w:line="259" w:lineRule="auto"/>
              <w:rPr>
                <w:rFonts w:ascii="Times New Roman" w:hAnsi="Times New Roman" w:cs="Times New Roman"/>
                <w:b/>
                <w:sz w:val="26"/>
                <w:szCs w:val="26"/>
              </w:rPr>
            </w:pPr>
          </w:p>
        </w:tc>
        <w:tc>
          <w:tcPr>
            <w:tcW w:w="770" w:type="pct"/>
            <w:shd w:val="clear" w:color="auto" w:fill="D9D9D9"/>
            <w:vAlign w:val="bottom"/>
          </w:tcPr>
          <w:p w14:paraId="174DBB72"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Number of Respondents</w:t>
            </w:r>
            <w:r w:rsidRPr="00673A3E">
              <w:rPr>
                <w:rFonts w:ascii="Times New Roman" w:hAnsi="Times New Roman" w:cs="Times New Roman"/>
                <w:b/>
                <w:sz w:val="26"/>
                <w:szCs w:val="26"/>
              </w:rPr>
              <w:br/>
              <w:t>(1)</w:t>
            </w:r>
          </w:p>
        </w:tc>
        <w:tc>
          <w:tcPr>
            <w:tcW w:w="723" w:type="pct"/>
            <w:shd w:val="clear" w:color="auto" w:fill="D9D9D9"/>
            <w:vAlign w:val="bottom"/>
          </w:tcPr>
          <w:p w14:paraId="1C1CC0E2"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Annual Number of Responses per Respondent</w:t>
            </w:r>
          </w:p>
          <w:p w14:paraId="162067FC"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(2)</w:t>
            </w:r>
          </w:p>
        </w:tc>
        <w:tc>
          <w:tcPr>
            <w:tcW w:w="665" w:type="pct"/>
            <w:shd w:val="clear" w:color="auto" w:fill="D9D9D9"/>
            <w:vAlign w:val="bottom"/>
          </w:tcPr>
          <w:p w14:paraId="7441E5C4"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Total Number of Responses (1)*(2)=(3)</w:t>
            </w:r>
          </w:p>
        </w:tc>
        <w:tc>
          <w:tcPr>
            <w:tcW w:w="675" w:type="pct"/>
            <w:shd w:val="clear" w:color="auto" w:fill="D9D9D9"/>
            <w:vAlign w:val="bottom"/>
          </w:tcPr>
          <w:p w14:paraId="1F188B63"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Average Burden &amp; Cost Per Response</w:t>
            </w:r>
            <w:r w:rsidRPr="00673A3E">
              <w:rPr>
                <w:rFonts w:ascii="Times New Roman" w:hAnsi="Times New Roman" w:cs="Times New Roman"/>
                <w:b/>
                <w:sz w:val="26"/>
                <w:szCs w:val="26"/>
                <w:vertAlign w:val="superscript"/>
              </w:rPr>
              <w:footnoteReference w:id="4"/>
            </w:r>
          </w:p>
          <w:p w14:paraId="0BA8201F"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(4)</w:t>
            </w:r>
          </w:p>
        </w:tc>
        <w:tc>
          <w:tcPr>
            <w:tcW w:w="665" w:type="pct"/>
            <w:shd w:val="clear" w:color="auto" w:fill="D9D9D9"/>
            <w:vAlign w:val="bottom"/>
          </w:tcPr>
          <w:p w14:paraId="4BE4FFDB"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Total Annual Burden Hours (Total Annual Cost)</w:t>
            </w:r>
          </w:p>
          <w:p w14:paraId="2B38500C"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(3)*(4)=(5)</w:t>
            </w:r>
          </w:p>
        </w:tc>
        <w:tc>
          <w:tcPr>
            <w:tcW w:w="943" w:type="pct"/>
            <w:shd w:val="clear" w:color="auto" w:fill="D9D9D9"/>
            <w:vAlign w:val="bottom"/>
          </w:tcPr>
          <w:p w14:paraId="2A63ADE2"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Cost per Respondent</w:t>
            </w:r>
          </w:p>
          <w:p w14:paraId="4D12828E"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 xml:space="preserve"> ($)</w:t>
            </w:r>
          </w:p>
          <w:p w14:paraId="5A27580D" w14:textId="77777777" w:rsidR="00673A3E" w:rsidRPr="00673A3E" w:rsidRDefault="00673A3E" w:rsidP="00EB755D">
            <w:pPr>
              <w:spacing w:after="0" w:line="259" w:lineRule="auto"/>
              <w:rPr>
                <w:rFonts w:ascii="Times New Roman" w:hAnsi="Times New Roman" w:cs="Times New Roman"/>
                <w:b/>
                <w:sz w:val="26"/>
                <w:szCs w:val="26"/>
              </w:rPr>
            </w:pPr>
            <w:r w:rsidRPr="00673A3E">
              <w:rPr>
                <w:rFonts w:ascii="Times New Roman" w:hAnsi="Times New Roman" w:cs="Times New Roman"/>
                <w:b/>
                <w:sz w:val="26"/>
                <w:szCs w:val="26"/>
              </w:rPr>
              <w:t>(5)÷(1)</w:t>
            </w:r>
          </w:p>
        </w:tc>
      </w:tr>
      <w:tr w:rsidR="00673A3E" w:rsidRPr="00673A3E" w14:paraId="762BDEF5" w14:textId="77777777" w:rsidTr="00D91C6F">
        <w:trPr>
          <w:cantSplit/>
          <w:trHeight w:val="2177"/>
        </w:trPr>
        <w:tc>
          <w:tcPr>
            <w:tcW w:w="558" w:type="pct"/>
            <w:tcBorders>
              <w:top w:val="single" w:sz="4" w:space="0" w:color="auto"/>
              <w:left w:val="single" w:sz="4" w:space="0" w:color="auto"/>
              <w:bottom w:val="single" w:sz="4" w:space="0" w:color="auto"/>
              <w:right w:val="single" w:sz="4" w:space="0" w:color="auto"/>
            </w:tcBorders>
          </w:tcPr>
          <w:p w14:paraId="222D3161" w14:textId="77777777"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FERC-519 (FPA Section 203 Filings)</w:t>
            </w:r>
            <w:r w:rsidRPr="00673A3E">
              <w:rPr>
                <w:rFonts w:ascii="Times New Roman" w:hAnsi="Times New Roman" w:cs="Times New Roman"/>
                <w:b/>
                <w:sz w:val="26"/>
                <w:szCs w:val="26"/>
                <w:vertAlign w:val="superscript"/>
              </w:rPr>
              <w:footnoteReference w:id="5"/>
            </w:r>
          </w:p>
        </w:tc>
        <w:tc>
          <w:tcPr>
            <w:tcW w:w="770" w:type="pct"/>
            <w:tcBorders>
              <w:top w:val="single" w:sz="4" w:space="0" w:color="auto"/>
              <w:left w:val="single" w:sz="4" w:space="0" w:color="auto"/>
              <w:bottom w:val="single" w:sz="4" w:space="0" w:color="auto"/>
              <w:right w:val="single" w:sz="4" w:space="0" w:color="auto"/>
            </w:tcBorders>
            <w:vAlign w:val="bottom"/>
          </w:tcPr>
          <w:p w14:paraId="3ACC139B" w14:textId="0D988B08"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2</w:t>
            </w:r>
            <w:r w:rsidR="00A20256">
              <w:rPr>
                <w:rFonts w:ascii="Times New Roman" w:hAnsi="Times New Roman" w:cs="Times New Roman"/>
                <w:sz w:val="26"/>
                <w:szCs w:val="26"/>
              </w:rPr>
              <w:t>6</w:t>
            </w:r>
          </w:p>
        </w:tc>
        <w:tc>
          <w:tcPr>
            <w:tcW w:w="723" w:type="pct"/>
            <w:tcBorders>
              <w:top w:val="single" w:sz="4" w:space="0" w:color="auto"/>
              <w:left w:val="single" w:sz="4" w:space="0" w:color="auto"/>
              <w:bottom w:val="single" w:sz="4" w:space="0" w:color="auto"/>
              <w:right w:val="single" w:sz="4" w:space="0" w:color="auto"/>
            </w:tcBorders>
            <w:vAlign w:val="bottom"/>
          </w:tcPr>
          <w:p w14:paraId="4218F215" w14:textId="77777777"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1</w:t>
            </w:r>
          </w:p>
        </w:tc>
        <w:tc>
          <w:tcPr>
            <w:tcW w:w="665" w:type="pct"/>
            <w:tcBorders>
              <w:top w:val="single" w:sz="4" w:space="0" w:color="auto"/>
              <w:left w:val="single" w:sz="4" w:space="0" w:color="auto"/>
              <w:bottom w:val="single" w:sz="4" w:space="0" w:color="auto"/>
              <w:right w:val="single" w:sz="4" w:space="0" w:color="auto"/>
            </w:tcBorders>
            <w:vAlign w:val="bottom"/>
          </w:tcPr>
          <w:p w14:paraId="520BE220" w14:textId="7DDBA75A"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2</w:t>
            </w:r>
            <w:r w:rsidR="00A20256">
              <w:rPr>
                <w:rFonts w:ascii="Times New Roman" w:hAnsi="Times New Roman" w:cs="Times New Roman"/>
                <w:sz w:val="26"/>
                <w:szCs w:val="26"/>
              </w:rPr>
              <w:t>6</w:t>
            </w:r>
          </w:p>
        </w:tc>
        <w:tc>
          <w:tcPr>
            <w:tcW w:w="675" w:type="pct"/>
            <w:tcBorders>
              <w:top w:val="single" w:sz="4" w:space="0" w:color="auto"/>
              <w:left w:val="single" w:sz="4" w:space="0" w:color="auto"/>
              <w:bottom w:val="single" w:sz="4" w:space="0" w:color="auto"/>
              <w:right w:val="single" w:sz="4" w:space="0" w:color="auto"/>
            </w:tcBorders>
            <w:vAlign w:val="bottom"/>
          </w:tcPr>
          <w:p w14:paraId="2CEEBEF1" w14:textId="36800FD4"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1 hr</w:t>
            </w:r>
            <w:r w:rsidR="00CA4FE4">
              <w:rPr>
                <w:rFonts w:ascii="Times New Roman" w:hAnsi="Times New Roman" w:cs="Times New Roman"/>
                <w:sz w:val="26"/>
                <w:szCs w:val="26"/>
              </w:rPr>
              <w:t>.</w:t>
            </w:r>
            <w:r w:rsidRPr="00CA4FE4">
              <w:rPr>
                <w:rFonts w:ascii="Times New Roman" w:hAnsi="Times New Roman" w:cs="Times New Roman"/>
                <w:sz w:val="26"/>
                <w:szCs w:val="26"/>
                <w:vertAlign w:val="superscript"/>
              </w:rPr>
              <w:footnoteReference w:id="6"/>
            </w:r>
            <w:r w:rsidRPr="00673A3E">
              <w:rPr>
                <w:rFonts w:ascii="Times New Roman" w:hAnsi="Times New Roman" w:cs="Times New Roman"/>
                <w:sz w:val="26"/>
                <w:szCs w:val="26"/>
              </w:rPr>
              <w:t xml:space="preserve">; </w:t>
            </w:r>
          </w:p>
          <w:p w14:paraId="5E1FEACE" w14:textId="77777777"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$79.00</w:t>
            </w:r>
          </w:p>
        </w:tc>
        <w:tc>
          <w:tcPr>
            <w:tcW w:w="665" w:type="pct"/>
            <w:tcBorders>
              <w:top w:val="single" w:sz="4" w:space="0" w:color="auto"/>
              <w:left w:val="single" w:sz="4" w:space="0" w:color="auto"/>
              <w:bottom w:val="single" w:sz="4" w:space="0" w:color="auto"/>
              <w:right w:val="single" w:sz="4" w:space="0" w:color="auto"/>
            </w:tcBorders>
            <w:vAlign w:val="bottom"/>
          </w:tcPr>
          <w:p w14:paraId="097FD714" w14:textId="7414B59C" w:rsidR="00673A3E" w:rsidRPr="00673A3E" w:rsidRDefault="00673A3E" w:rsidP="00A20256">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2</w:t>
            </w:r>
            <w:r w:rsidR="00A20256">
              <w:rPr>
                <w:rFonts w:ascii="Times New Roman" w:hAnsi="Times New Roman" w:cs="Times New Roman"/>
                <w:sz w:val="26"/>
                <w:szCs w:val="26"/>
              </w:rPr>
              <w:t>6</w:t>
            </w:r>
            <w:r w:rsidRPr="00673A3E">
              <w:rPr>
                <w:rFonts w:ascii="Times New Roman" w:hAnsi="Times New Roman" w:cs="Times New Roman"/>
                <w:sz w:val="26"/>
                <w:szCs w:val="26"/>
              </w:rPr>
              <w:t xml:space="preserve"> hrs.; $</w:t>
            </w:r>
            <w:r w:rsidR="00A20256">
              <w:rPr>
                <w:rFonts w:ascii="Times New Roman" w:hAnsi="Times New Roman" w:cs="Times New Roman"/>
                <w:sz w:val="26"/>
                <w:szCs w:val="26"/>
              </w:rPr>
              <w:t>2,054</w:t>
            </w:r>
          </w:p>
        </w:tc>
        <w:tc>
          <w:tcPr>
            <w:tcW w:w="943" w:type="pct"/>
          </w:tcPr>
          <w:p w14:paraId="086ABF82" w14:textId="77777777" w:rsidR="00673A3E" w:rsidRPr="00673A3E" w:rsidRDefault="00673A3E" w:rsidP="00EB755D">
            <w:pPr>
              <w:spacing w:after="0" w:line="259" w:lineRule="auto"/>
              <w:rPr>
                <w:rFonts w:ascii="Times New Roman" w:hAnsi="Times New Roman" w:cs="Times New Roman"/>
                <w:sz w:val="26"/>
                <w:szCs w:val="26"/>
              </w:rPr>
            </w:pPr>
          </w:p>
          <w:p w14:paraId="02419C45" w14:textId="77777777" w:rsidR="00673A3E" w:rsidRPr="00673A3E" w:rsidRDefault="00673A3E" w:rsidP="00EB755D">
            <w:pPr>
              <w:spacing w:after="0" w:line="259" w:lineRule="auto"/>
              <w:rPr>
                <w:rFonts w:ascii="Times New Roman" w:hAnsi="Times New Roman" w:cs="Times New Roman"/>
                <w:sz w:val="26"/>
                <w:szCs w:val="26"/>
              </w:rPr>
            </w:pPr>
          </w:p>
          <w:p w14:paraId="2A14C5D4" w14:textId="77777777" w:rsidR="00673A3E" w:rsidRPr="00673A3E" w:rsidRDefault="00673A3E" w:rsidP="00EB755D">
            <w:pPr>
              <w:spacing w:after="0" w:line="259" w:lineRule="auto"/>
              <w:rPr>
                <w:rFonts w:ascii="Times New Roman" w:hAnsi="Times New Roman" w:cs="Times New Roman"/>
                <w:sz w:val="26"/>
                <w:szCs w:val="26"/>
              </w:rPr>
            </w:pPr>
          </w:p>
          <w:p w14:paraId="79F629C9" w14:textId="77777777" w:rsidR="00673A3E" w:rsidRPr="00673A3E" w:rsidRDefault="00673A3E" w:rsidP="00EB755D">
            <w:pPr>
              <w:spacing w:after="0" w:line="259" w:lineRule="auto"/>
              <w:rPr>
                <w:rFonts w:ascii="Times New Roman" w:hAnsi="Times New Roman" w:cs="Times New Roman"/>
                <w:sz w:val="26"/>
                <w:szCs w:val="26"/>
              </w:rPr>
            </w:pPr>
          </w:p>
          <w:p w14:paraId="73ADF7B5" w14:textId="77777777" w:rsidR="00673A3E" w:rsidRPr="00673A3E" w:rsidRDefault="00673A3E" w:rsidP="00EB755D">
            <w:pPr>
              <w:spacing w:after="0" w:line="259" w:lineRule="auto"/>
              <w:rPr>
                <w:rFonts w:ascii="Times New Roman" w:hAnsi="Times New Roman" w:cs="Times New Roman"/>
                <w:sz w:val="26"/>
                <w:szCs w:val="26"/>
              </w:rPr>
            </w:pPr>
          </w:p>
          <w:p w14:paraId="7404C5F9" w14:textId="77777777" w:rsidR="00673A3E" w:rsidRPr="00673A3E" w:rsidRDefault="00673A3E" w:rsidP="00EB755D">
            <w:pPr>
              <w:spacing w:after="0" w:line="259" w:lineRule="auto"/>
              <w:rPr>
                <w:rFonts w:ascii="Times New Roman" w:hAnsi="Times New Roman" w:cs="Times New Roman"/>
                <w:sz w:val="26"/>
                <w:szCs w:val="26"/>
              </w:rPr>
            </w:pPr>
            <w:r w:rsidRPr="00673A3E">
              <w:rPr>
                <w:rFonts w:ascii="Times New Roman" w:hAnsi="Times New Roman" w:cs="Times New Roman"/>
                <w:sz w:val="26"/>
                <w:szCs w:val="26"/>
              </w:rPr>
              <w:t>$79.00</w:t>
            </w:r>
          </w:p>
        </w:tc>
      </w:tr>
    </w:tbl>
    <w:p w14:paraId="0C1566CD" w14:textId="77777777" w:rsidR="00673A3E" w:rsidRPr="00EB755D" w:rsidRDefault="00673A3E" w:rsidP="000A0966">
      <w:pPr>
        <w:pStyle w:val="FERCparanumber"/>
        <w:numPr>
          <w:ilvl w:val="0"/>
          <w:numId w:val="0"/>
        </w:numPr>
        <w:spacing w:line="240" w:lineRule="auto"/>
        <w:rPr>
          <w:szCs w:val="26"/>
        </w:rPr>
      </w:pPr>
    </w:p>
    <w:p w14:paraId="2C157B73"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ESTIMATE OF THE TOTAL ANNUAL COST BURDEN TO RESPONDENTS</w:t>
      </w:r>
    </w:p>
    <w:p w14:paraId="4F2DAE5D" w14:textId="77777777" w:rsidR="000A0966" w:rsidRPr="00EB755D" w:rsidRDefault="000A0966" w:rsidP="000A0966">
      <w:pPr>
        <w:spacing w:after="0" w:line="240" w:lineRule="auto"/>
        <w:rPr>
          <w:rFonts w:ascii="Times New Roman" w:hAnsi="Times New Roman" w:cs="Times New Roman"/>
          <w:sz w:val="26"/>
          <w:szCs w:val="26"/>
        </w:rPr>
      </w:pPr>
    </w:p>
    <w:p w14:paraId="08538074" w14:textId="77777777" w:rsidR="003E7AC8" w:rsidRDefault="00902423" w:rsidP="00902423">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NOPR proposes no capital or start-up costs for the proposed requirements in RM</w:t>
      </w:r>
      <w:r w:rsidR="0015075F" w:rsidRPr="00EB755D">
        <w:rPr>
          <w:rFonts w:ascii="Times New Roman" w:hAnsi="Times New Roman" w:cs="Times New Roman"/>
          <w:sz w:val="26"/>
          <w:szCs w:val="26"/>
        </w:rPr>
        <w:t>19</w:t>
      </w:r>
      <w:r w:rsidRPr="00EB755D">
        <w:rPr>
          <w:rFonts w:ascii="Times New Roman" w:hAnsi="Times New Roman" w:cs="Times New Roman"/>
          <w:sz w:val="26"/>
          <w:szCs w:val="26"/>
        </w:rPr>
        <w:t xml:space="preserve">-4-000 that are not associated with the burden hours.  </w:t>
      </w:r>
    </w:p>
    <w:p w14:paraId="18D87BC0" w14:textId="77777777" w:rsidR="003E7AC8" w:rsidRDefault="003E7AC8" w:rsidP="00902423">
      <w:pPr>
        <w:spacing w:after="0" w:line="240" w:lineRule="auto"/>
        <w:rPr>
          <w:rFonts w:ascii="Times New Roman" w:hAnsi="Times New Roman" w:cs="Times New Roman"/>
          <w:sz w:val="26"/>
          <w:szCs w:val="26"/>
        </w:rPr>
      </w:pPr>
    </w:p>
    <w:p w14:paraId="2686F97B" w14:textId="45721845" w:rsidR="00902423" w:rsidRPr="00EB755D" w:rsidRDefault="00902423" w:rsidP="00902423">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All of the costs are related to burden hours and are detailed in Questions</w:t>
      </w:r>
      <w:r w:rsidR="003568F4">
        <w:rPr>
          <w:rFonts w:ascii="Times New Roman" w:hAnsi="Times New Roman" w:cs="Times New Roman"/>
          <w:sz w:val="26"/>
          <w:szCs w:val="26"/>
        </w:rPr>
        <w:t xml:space="preserve"> #</w:t>
      </w:r>
      <w:r w:rsidRPr="00EB755D">
        <w:rPr>
          <w:rFonts w:ascii="Times New Roman" w:hAnsi="Times New Roman" w:cs="Times New Roman"/>
          <w:sz w:val="26"/>
          <w:szCs w:val="26"/>
        </w:rPr>
        <w:t xml:space="preserve">12 and </w:t>
      </w:r>
      <w:r w:rsidR="003568F4">
        <w:rPr>
          <w:rFonts w:ascii="Times New Roman" w:hAnsi="Times New Roman" w:cs="Times New Roman"/>
          <w:sz w:val="26"/>
          <w:szCs w:val="26"/>
        </w:rPr>
        <w:t>#</w:t>
      </w:r>
      <w:r w:rsidRPr="00EB755D">
        <w:rPr>
          <w:rFonts w:ascii="Times New Roman" w:hAnsi="Times New Roman" w:cs="Times New Roman"/>
          <w:sz w:val="26"/>
          <w:szCs w:val="26"/>
        </w:rPr>
        <w:t>15.</w:t>
      </w:r>
    </w:p>
    <w:p w14:paraId="231DB967" w14:textId="77777777" w:rsidR="000A0966" w:rsidRPr="00EB755D" w:rsidRDefault="000A0966" w:rsidP="000A0966">
      <w:pPr>
        <w:spacing w:after="0" w:line="240" w:lineRule="auto"/>
        <w:rPr>
          <w:rFonts w:ascii="Times New Roman" w:hAnsi="Times New Roman" w:cs="Times New Roman"/>
          <w:sz w:val="26"/>
          <w:szCs w:val="26"/>
        </w:rPr>
      </w:pPr>
    </w:p>
    <w:p w14:paraId="465E7677"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ESTIMATED ANNUALIZED COST TO FEDERAL GOVERNMENT</w:t>
      </w:r>
    </w:p>
    <w:p w14:paraId="30F38919" w14:textId="77777777" w:rsidR="000A0966" w:rsidRPr="00EB755D" w:rsidRDefault="000A0966" w:rsidP="000A0966">
      <w:pPr>
        <w:spacing w:after="0" w:line="240" w:lineRule="auto"/>
        <w:rPr>
          <w:rFonts w:ascii="Times New Roman" w:hAnsi="Times New Roman" w:cs="Times New Roman"/>
          <w:sz w:val="26"/>
          <w:szCs w:val="26"/>
        </w:rPr>
      </w:pPr>
    </w:p>
    <w:p w14:paraId="09DF6412" w14:textId="4A806A4C" w:rsidR="00902423" w:rsidRPr="00EB755D" w:rsidRDefault="00902423" w:rsidP="00902423">
      <w:pPr>
        <w:spacing w:after="0" w:line="240" w:lineRule="auto"/>
        <w:rPr>
          <w:rFonts w:ascii="Times New Roman" w:hAnsi="Times New Roman" w:cs="Times New Roman"/>
          <w:sz w:val="26"/>
          <w:szCs w:val="26"/>
          <w:vertAlign w:val="superscript"/>
        </w:rPr>
      </w:pPr>
      <w:r w:rsidRPr="00EB755D">
        <w:rPr>
          <w:rFonts w:ascii="Times New Roman" w:hAnsi="Times New Roman" w:cs="Times New Roman"/>
          <w:sz w:val="26"/>
          <w:szCs w:val="26"/>
        </w:rPr>
        <w:t xml:space="preserve">The following federal costs relate only to the </w:t>
      </w:r>
      <w:r w:rsidR="004E38CD">
        <w:rPr>
          <w:rFonts w:ascii="Times New Roman" w:hAnsi="Times New Roman" w:cs="Times New Roman"/>
          <w:sz w:val="26"/>
          <w:szCs w:val="26"/>
        </w:rPr>
        <w:t>proposed revisions</w:t>
      </w:r>
      <w:r w:rsidRPr="00EB755D">
        <w:rPr>
          <w:rFonts w:ascii="Times New Roman" w:hAnsi="Times New Roman" w:cs="Times New Roman"/>
          <w:sz w:val="26"/>
          <w:szCs w:val="26"/>
        </w:rPr>
        <w:t xml:space="preserve"> in the </w:t>
      </w:r>
      <w:r w:rsidR="004E38CD">
        <w:rPr>
          <w:rFonts w:ascii="Times New Roman" w:hAnsi="Times New Roman" w:cs="Times New Roman"/>
          <w:sz w:val="26"/>
          <w:szCs w:val="26"/>
        </w:rPr>
        <w:t xml:space="preserve">RM19-4-000 </w:t>
      </w:r>
      <w:r w:rsidRPr="00EB755D">
        <w:rPr>
          <w:rFonts w:ascii="Times New Roman" w:hAnsi="Times New Roman" w:cs="Times New Roman"/>
          <w:sz w:val="26"/>
          <w:szCs w:val="26"/>
        </w:rPr>
        <w:t>NOPR.</w:t>
      </w:r>
      <w:r w:rsidRPr="00EB755D" w:rsidDel="00807E75">
        <w:rPr>
          <w:rFonts w:ascii="Times New Roman" w:hAnsi="Times New Roman" w:cs="Times New Roman"/>
          <w:sz w:val="26"/>
          <w:szCs w:val="26"/>
          <w:vertAlign w:val="superscript"/>
        </w:rPr>
        <w:t xml:space="preserve"> </w:t>
      </w:r>
    </w:p>
    <w:p w14:paraId="5A0EADCD" w14:textId="77777777" w:rsidR="000A0966" w:rsidRPr="00EB755D" w:rsidRDefault="000A0966" w:rsidP="000A0966">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A0966" w:rsidRPr="00EB755D" w14:paraId="7D48B52E" w14:textId="77777777" w:rsidTr="00764D7C">
        <w:tc>
          <w:tcPr>
            <w:tcW w:w="3182" w:type="dxa"/>
            <w:tcBorders>
              <w:top w:val="single" w:sz="4" w:space="0" w:color="auto"/>
              <w:left w:val="single" w:sz="4" w:space="0" w:color="auto"/>
              <w:bottom w:val="single" w:sz="4" w:space="0" w:color="auto"/>
              <w:right w:val="single" w:sz="4" w:space="0" w:color="auto"/>
            </w:tcBorders>
            <w:shd w:val="clear" w:color="auto" w:fill="CCCCCC"/>
          </w:tcPr>
          <w:p w14:paraId="002E7236" w14:textId="77777777" w:rsidR="000A0966" w:rsidRPr="00EB755D" w:rsidRDefault="000A0966" w:rsidP="00764D7C">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0E021D7" w14:textId="77777777" w:rsidR="000A0966" w:rsidRPr="00EB755D" w:rsidRDefault="000A0966" w:rsidP="00764D7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Federal Employee 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17EECA2" w14:textId="77777777" w:rsidR="000A0966" w:rsidRPr="00EB755D" w:rsidRDefault="000A0966" w:rsidP="00764D7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Estimated Annual Federal Cost</w:t>
            </w:r>
            <w:r w:rsidR="00902423" w:rsidRPr="00EB755D">
              <w:rPr>
                <w:rStyle w:val="FootnoteReference"/>
                <w:rFonts w:ascii="Times New Roman" w:hAnsi="Times New Roman" w:cs="Times New Roman"/>
                <w:b/>
                <w:sz w:val="26"/>
                <w:szCs w:val="26"/>
                <w:vertAlign w:val="superscript"/>
              </w:rPr>
              <w:footnoteReference w:id="7"/>
            </w:r>
          </w:p>
        </w:tc>
      </w:tr>
      <w:tr w:rsidR="000A0966" w:rsidRPr="00EB755D" w14:paraId="7D81F5A0" w14:textId="77777777" w:rsidTr="00764D7C">
        <w:tc>
          <w:tcPr>
            <w:tcW w:w="9378" w:type="dxa"/>
            <w:gridSpan w:val="3"/>
            <w:tcBorders>
              <w:top w:val="single" w:sz="4" w:space="0" w:color="auto"/>
              <w:left w:val="single" w:sz="4" w:space="0" w:color="auto"/>
              <w:bottom w:val="single" w:sz="4" w:space="0" w:color="auto"/>
              <w:right w:val="single" w:sz="4" w:space="0" w:color="auto"/>
            </w:tcBorders>
          </w:tcPr>
          <w:p w14:paraId="695BB029" w14:textId="77777777" w:rsidR="000A0966" w:rsidRPr="00EB755D" w:rsidRDefault="000A0966" w:rsidP="00764D7C">
            <w:pPr>
              <w:spacing w:after="0" w:line="240" w:lineRule="auto"/>
              <w:jc w:val="center"/>
              <w:rPr>
                <w:rFonts w:ascii="Times New Roman" w:hAnsi="Times New Roman" w:cs="Times New Roman"/>
                <w:b/>
                <w:sz w:val="26"/>
                <w:szCs w:val="26"/>
              </w:rPr>
            </w:pPr>
            <w:r w:rsidRPr="00EB755D">
              <w:rPr>
                <w:rFonts w:ascii="Times New Roman" w:hAnsi="Times New Roman" w:cs="Times New Roman"/>
                <w:b/>
                <w:sz w:val="26"/>
                <w:szCs w:val="26"/>
              </w:rPr>
              <w:t>FERC-519</w:t>
            </w:r>
          </w:p>
        </w:tc>
      </w:tr>
      <w:tr w:rsidR="000A0966" w:rsidRPr="00EB755D" w14:paraId="7252F3C7" w14:textId="77777777" w:rsidTr="00764D7C">
        <w:tc>
          <w:tcPr>
            <w:tcW w:w="3182" w:type="dxa"/>
            <w:tcBorders>
              <w:top w:val="single" w:sz="4" w:space="0" w:color="auto"/>
              <w:left w:val="single" w:sz="4" w:space="0" w:color="auto"/>
              <w:bottom w:val="single" w:sz="4" w:space="0" w:color="auto"/>
              <w:right w:val="single" w:sz="4" w:space="0" w:color="auto"/>
            </w:tcBorders>
          </w:tcPr>
          <w:p w14:paraId="7DB8E811" w14:textId="77777777" w:rsidR="000A0966" w:rsidRPr="00EB755D" w:rsidRDefault="000A0966" w:rsidP="00764D7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39ABD893" w14:textId="77777777" w:rsidR="000A0966" w:rsidRPr="00EB755D" w:rsidRDefault="000A0966" w:rsidP="00902423">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tcPr>
          <w:p w14:paraId="10A057BF"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r>
      <w:tr w:rsidR="000A0966" w:rsidRPr="00EB755D" w14:paraId="2FC82B09" w14:textId="77777777" w:rsidTr="00764D7C">
        <w:tc>
          <w:tcPr>
            <w:tcW w:w="3182" w:type="dxa"/>
            <w:tcBorders>
              <w:top w:val="single" w:sz="4" w:space="0" w:color="auto"/>
              <w:left w:val="single" w:sz="4" w:space="0" w:color="auto"/>
              <w:bottom w:val="single" w:sz="4" w:space="0" w:color="auto"/>
              <w:right w:val="single" w:sz="4" w:space="0" w:color="auto"/>
            </w:tcBorders>
          </w:tcPr>
          <w:p w14:paraId="735F1EBD" w14:textId="77777777" w:rsidR="000A0966" w:rsidRPr="00491A96" w:rsidRDefault="000A0966" w:rsidP="00764D7C">
            <w:pPr>
              <w:spacing w:after="0" w:line="240" w:lineRule="auto"/>
              <w:rPr>
                <w:rFonts w:ascii="Times New Roman" w:hAnsi="Times New Roman" w:cs="Times New Roman"/>
                <w:sz w:val="26"/>
                <w:szCs w:val="26"/>
              </w:rPr>
            </w:pPr>
            <w:r w:rsidRPr="00491A96">
              <w:rPr>
                <w:rFonts w:ascii="Times New Roman" w:hAnsi="Times New Roman" w:cs="Times New Roman"/>
                <w:sz w:val="26"/>
                <w:szCs w:val="26"/>
              </w:rPr>
              <w:t>PRA</w:t>
            </w:r>
            <w:r w:rsidR="00902423" w:rsidRPr="00491A96">
              <w:rPr>
                <w:rStyle w:val="FootnoteReference"/>
                <w:rFonts w:ascii="Times New Roman" w:hAnsi="Times New Roman" w:cs="Times New Roman"/>
                <w:sz w:val="26"/>
                <w:szCs w:val="26"/>
                <w:vertAlign w:val="superscript"/>
              </w:rPr>
              <w:footnoteReference w:id="8"/>
            </w:r>
            <w:r w:rsidRPr="00491A96">
              <w:rPr>
                <w:rFonts w:ascii="Times New Roman" w:hAnsi="Times New Roman" w:cs="Times New Roman"/>
                <w:sz w:val="26"/>
                <w:szCs w:val="26"/>
              </w:rPr>
              <w:t xml:space="preserve"> Administrative Cost (for FERC-519)</w:t>
            </w:r>
            <w:r w:rsidR="00902423" w:rsidRPr="00491A96">
              <w:rPr>
                <w:rStyle w:val="FootnoteReference"/>
                <w:rFonts w:ascii="Times New Roman" w:hAnsi="Times New Roman" w:cs="Times New Roman"/>
                <w:sz w:val="26"/>
                <w:szCs w:val="26"/>
                <w:vertAlign w:val="superscript"/>
              </w:rPr>
              <w:footnoteReference w:id="9"/>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232B25D5" w14:textId="77777777" w:rsidR="000A0966" w:rsidRPr="00491A96" w:rsidRDefault="000A0966" w:rsidP="00764D7C">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tcPr>
          <w:p w14:paraId="495728E1" w14:textId="77777777" w:rsidR="000A0966" w:rsidRPr="00491A96" w:rsidRDefault="000A0966" w:rsidP="00902423">
            <w:pPr>
              <w:spacing w:after="0" w:line="240" w:lineRule="auto"/>
              <w:jc w:val="right"/>
              <w:rPr>
                <w:rFonts w:ascii="Times New Roman" w:hAnsi="Times New Roman" w:cs="Times New Roman"/>
                <w:sz w:val="26"/>
                <w:szCs w:val="26"/>
              </w:rPr>
            </w:pPr>
            <w:r w:rsidRPr="00491A96">
              <w:rPr>
                <w:rFonts w:ascii="Times New Roman" w:hAnsi="Times New Roman" w:cs="Times New Roman"/>
                <w:sz w:val="26"/>
                <w:szCs w:val="26"/>
              </w:rPr>
              <w:t>$</w:t>
            </w:r>
            <w:r w:rsidR="00902423" w:rsidRPr="00491A96">
              <w:rPr>
                <w:rFonts w:ascii="Times New Roman" w:hAnsi="Times New Roman" w:cs="Times New Roman"/>
                <w:sz w:val="26"/>
                <w:szCs w:val="26"/>
              </w:rPr>
              <w:t>4,193</w:t>
            </w:r>
          </w:p>
        </w:tc>
      </w:tr>
      <w:tr w:rsidR="000A0966" w:rsidRPr="00EB755D" w14:paraId="09DFC195" w14:textId="77777777" w:rsidTr="00764D7C">
        <w:tc>
          <w:tcPr>
            <w:tcW w:w="3182" w:type="dxa"/>
            <w:tcBorders>
              <w:top w:val="single" w:sz="4" w:space="0" w:color="auto"/>
              <w:left w:val="single" w:sz="4" w:space="0" w:color="auto"/>
              <w:bottom w:val="single" w:sz="4" w:space="0" w:color="auto"/>
              <w:right w:val="single" w:sz="4" w:space="0" w:color="auto"/>
            </w:tcBorders>
          </w:tcPr>
          <w:p w14:paraId="2D27D64E" w14:textId="77777777" w:rsidR="000A0966" w:rsidRPr="00491A96" w:rsidRDefault="000A0966" w:rsidP="00764D7C">
            <w:pPr>
              <w:spacing w:after="0" w:line="240" w:lineRule="auto"/>
              <w:rPr>
                <w:rFonts w:ascii="Times New Roman" w:hAnsi="Times New Roman" w:cs="Times New Roman"/>
                <w:i/>
                <w:sz w:val="26"/>
                <w:szCs w:val="26"/>
              </w:rPr>
            </w:pPr>
            <w:r w:rsidRPr="00491A96">
              <w:rPr>
                <w:rFonts w:ascii="Times New Roman" w:hAnsi="Times New Roman" w:cs="Times New Roman"/>
                <w:i/>
                <w:sz w:val="26"/>
                <w:szCs w:val="26"/>
              </w:rPr>
              <w:t>Sub-Total for FERC-519</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C554699" w14:textId="77777777" w:rsidR="000A0966" w:rsidRPr="00491A96" w:rsidRDefault="000A0966" w:rsidP="00764D7C">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tcPr>
          <w:p w14:paraId="1E825ABD" w14:textId="77777777" w:rsidR="000A0966" w:rsidRPr="00491A96" w:rsidRDefault="000A0966" w:rsidP="00902423">
            <w:pPr>
              <w:spacing w:after="0" w:line="240" w:lineRule="auto"/>
              <w:jc w:val="right"/>
              <w:rPr>
                <w:rFonts w:ascii="Times New Roman" w:hAnsi="Times New Roman" w:cs="Times New Roman"/>
                <w:sz w:val="26"/>
                <w:szCs w:val="26"/>
              </w:rPr>
            </w:pPr>
            <w:r w:rsidRPr="00491A96">
              <w:rPr>
                <w:rFonts w:ascii="Times New Roman" w:hAnsi="Times New Roman" w:cs="Times New Roman"/>
                <w:sz w:val="26"/>
                <w:szCs w:val="26"/>
              </w:rPr>
              <w:t>$</w:t>
            </w:r>
            <w:r w:rsidR="00902423" w:rsidRPr="00491A96">
              <w:rPr>
                <w:rFonts w:ascii="Times New Roman" w:hAnsi="Times New Roman" w:cs="Times New Roman"/>
                <w:sz w:val="26"/>
                <w:szCs w:val="26"/>
              </w:rPr>
              <w:t>4</w:t>
            </w:r>
            <w:r w:rsidRPr="00491A96">
              <w:rPr>
                <w:rFonts w:ascii="Times New Roman" w:hAnsi="Times New Roman" w:cs="Times New Roman"/>
                <w:sz w:val="26"/>
                <w:szCs w:val="26"/>
              </w:rPr>
              <w:t>,193</w:t>
            </w:r>
          </w:p>
        </w:tc>
      </w:tr>
    </w:tbl>
    <w:p w14:paraId="68121817" w14:textId="77777777" w:rsidR="00EB755D" w:rsidRDefault="00EB755D" w:rsidP="000A0966">
      <w:pPr>
        <w:spacing w:after="0" w:line="240" w:lineRule="auto"/>
        <w:rPr>
          <w:rFonts w:ascii="Times New Roman" w:hAnsi="Times New Roman" w:cs="Times New Roman"/>
          <w:sz w:val="26"/>
          <w:szCs w:val="26"/>
        </w:rPr>
      </w:pPr>
    </w:p>
    <w:p w14:paraId="19331595" w14:textId="77777777" w:rsidR="00EB755D" w:rsidRPr="00EB755D" w:rsidRDefault="00EB755D" w:rsidP="00EB755D">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14:paraId="57CFA5D5" w14:textId="77777777" w:rsidR="00EB755D" w:rsidRPr="00EB755D" w:rsidRDefault="00EB755D" w:rsidP="00EB755D">
      <w:pPr>
        <w:spacing w:after="0" w:line="240" w:lineRule="auto"/>
        <w:rPr>
          <w:rFonts w:ascii="Times New Roman" w:hAnsi="Times New Roman" w:cs="Times New Roman"/>
          <w:sz w:val="26"/>
          <w:szCs w:val="26"/>
        </w:rPr>
      </w:pPr>
    </w:p>
    <w:p w14:paraId="5419B8C4" w14:textId="77777777" w:rsidR="00EB755D" w:rsidRPr="00EB755D" w:rsidRDefault="00EB755D" w:rsidP="00EB755D">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9D20F9E" w14:textId="77777777" w:rsidR="000A0966" w:rsidRPr="00EB755D" w:rsidRDefault="000A0966" w:rsidP="000A0966">
      <w:pPr>
        <w:spacing w:after="0" w:line="240" w:lineRule="auto"/>
        <w:rPr>
          <w:rFonts w:ascii="Times New Roman" w:hAnsi="Times New Roman" w:cs="Times New Roman"/>
          <w:sz w:val="26"/>
          <w:szCs w:val="26"/>
        </w:rPr>
      </w:pPr>
    </w:p>
    <w:p w14:paraId="0AAE0721"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REASONS FOR CHANGES IN BURDEN INCLUDING THE NEED FOR ANY INCREASE</w:t>
      </w:r>
    </w:p>
    <w:p w14:paraId="515431AA" w14:textId="77777777" w:rsidR="000A0966" w:rsidRPr="00EB755D" w:rsidRDefault="000A0966" w:rsidP="000A0966">
      <w:pPr>
        <w:pStyle w:val="ListParagraph"/>
        <w:spacing w:after="0" w:line="240" w:lineRule="auto"/>
        <w:ind w:left="360"/>
        <w:rPr>
          <w:rFonts w:ascii="Times New Roman" w:hAnsi="Times New Roman" w:cs="Times New Roman"/>
          <w:b/>
          <w:sz w:val="26"/>
          <w:szCs w:val="26"/>
        </w:rPr>
      </w:pPr>
    </w:p>
    <w:p w14:paraId="6D89292B" w14:textId="7CBD3399" w:rsidR="00EB755D" w:rsidRPr="00EB755D" w:rsidRDefault="00B52C6D" w:rsidP="00EB755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Prior to the revisions in the RM19-4-000 NOPR, the Commission estimated that 141 respondents would file “full” applications under the requirements in FPA Section 203.  Due the revisions in the NOPR, </w:t>
      </w:r>
      <w:r w:rsidR="003E7AC8" w:rsidRPr="003E7AC8">
        <w:rPr>
          <w:rFonts w:ascii="Times New Roman" w:eastAsia="Times New Roman" w:hAnsi="Times New Roman" w:cs="Times New Roman"/>
          <w:sz w:val="26"/>
          <w:szCs w:val="26"/>
        </w:rPr>
        <w:t>an estimated 26 respondents who could file full applications</w:t>
      </w:r>
      <w:r w:rsidR="00375F6B">
        <w:rPr>
          <w:rFonts w:ascii="Times New Roman" w:eastAsia="Times New Roman" w:hAnsi="Times New Roman" w:cs="Times New Roman"/>
          <w:sz w:val="26"/>
          <w:szCs w:val="26"/>
        </w:rPr>
        <w:t xml:space="preserve"> would instead file notification filings.  Each of those filers would have a drastically reduced burden per filing (from approximately 397 hours/response to 1 hour/response)</w:t>
      </w:r>
      <w:r w:rsidR="003E7AC8" w:rsidRPr="003E7AC8">
        <w:rPr>
          <w:rFonts w:ascii="Times New Roman" w:eastAsia="Times New Roman" w:hAnsi="Times New Roman" w:cs="Times New Roman"/>
          <w:sz w:val="26"/>
          <w:szCs w:val="26"/>
        </w:rPr>
        <w:t>.</w:t>
      </w:r>
    </w:p>
    <w:p w14:paraId="41FD36C1" w14:textId="77777777" w:rsidR="000A0966" w:rsidRPr="00EB755D" w:rsidRDefault="000A0966" w:rsidP="000A0966">
      <w:pPr>
        <w:spacing w:after="0" w:line="240" w:lineRule="auto"/>
        <w:rPr>
          <w:rFonts w:ascii="Times New Roman" w:hAnsi="Times New Roman" w:cs="Times New Roman"/>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726"/>
        <w:gridCol w:w="1891"/>
        <w:gridCol w:w="1665"/>
        <w:gridCol w:w="1646"/>
      </w:tblGrid>
      <w:tr w:rsidR="000A0966" w:rsidRPr="00EB755D" w14:paraId="356FF3A7" w14:textId="77777777" w:rsidTr="00F945E5">
        <w:trPr>
          <w:trHeight w:val="870"/>
        </w:trPr>
        <w:tc>
          <w:tcPr>
            <w:tcW w:w="2439" w:type="dxa"/>
            <w:shd w:val="clear" w:color="auto" w:fill="D9D9D9"/>
            <w:vAlign w:val="bottom"/>
          </w:tcPr>
          <w:p w14:paraId="2A2A65C1" w14:textId="77777777" w:rsidR="000A0966" w:rsidRPr="00EB755D" w:rsidRDefault="000A0966" w:rsidP="00764D7C">
            <w:pPr>
              <w:spacing w:after="0" w:line="240" w:lineRule="auto"/>
              <w:rPr>
                <w:rFonts w:ascii="Times New Roman" w:hAnsi="Times New Roman" w:cs="Times New Roman"/>
                <w:b/>
                <w:sz w:val="26"/>
                <w:szCs w:val="26"/>
              </w:rPr>
            </w:pPr>
          </w:p>
        </w:tc>
        <w:tc>
          <w:tcPr>
            <w:tcW w:w="1726" w:type="dxa"/>
            <w:shd w:val="clear" w:color="auto" w:fill="D9D9D9"/>
            <w:vAlign w:val="bottom"/>
          </w:tcPr>
          <w:p w14:paraId="378E5636" w14:textId="77777777" w:rsidR="000A0966" w:rsidRPr="00EB755D" w:rsidRDefault="000A0966" w:rsidP="00764D7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Total Request (rounded)</w:t>
            </w:r>
          </w:p>
        </w:tc>
        <w:tc>
          <w:tcPr>
            <w:tcW w:w="1891" w:type="dxa"/>
            <w:shd w:val="clear" w:color="auto" w:fill="D9D9D9"/>
            <w:vAlign w:val="bottom"/>
          </w:tcPr>
          <w:p w14:paraId="6A8E18D3" w14:textId="77777777" w:rsidR="000A0966" w:rsidRPr="00EB755D" w:rsidRDefault="000A0966" w:rsidP="00764D7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Previously Approved</w:t>
            </w:r>
          </w:p>
        </w:tc>
        <w:tc>
          <w:tcPr>
            <w:tcW w:w="1665" w:type="dxa"/>
            <w:shd w:val="clear" w:color="auto" w:fill="D9D9D9"/>
            <w:vAlign w:val="bottom"/>
          </w:tcPr>
          <w:p w14:paraId="685B543B" w14:textId="77777777" w:rsidR="000A0966" w:rsidRPr="00EB755D" w:rsidRDefault="000A0966" w:rsidP="00764D7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Change due to Adjustment in Estimate</w:t>
            </w:r>
          </w:p>
        </w:tc>
        <w:tc>
          <w:tcPr>
            <w:tcW w:w="1646" w:type="dxa"/>
            <w:shd w:val="clear" w:color="auto" w:fill="D9D9D9"/>
            <w:vAlign w:val="bottom"/>
          </w:tcPr>
          <w:p w14:paraId="12BB45C3" w14:textId="77777777" w:rsidR="000A0966" w:rsidRPr="00EB755D" w:rsidRDefault="000A0966" w:rsidP="00764D7C">
            <w:pPr>
              <w:spacing w:after="0" w:line="240" w:lineRule="auto"/>
              <w:rPr>
                <w:rFonts w:ascii="Times New Roman" w:hAnsi="Times New Roman" w:cs="Times New Roman"/>
                <w:b/>
                <w:sz w:val="26"/>
                <w:szCs w:val="26"/>
              </w:rPr>
            </w:pPr>
            <w:r w:rsidRPr="00EB755D">
              <w:rPr>
                <w:rFonts w:ascii="Times New Roman" w:hAnsi="Times New Roman" w:cs="Times New Roman"/>
                <w:b/>
                <w:sz w:val="26"/>
                <w:szCs w:val="26"/>
              </w:rPr>
              <w:t>Change Due to Agency Discretion (rounded)</w:t>
            </w:r>
          </w:p>
        </w:tc>
      </w:tr>
      <w:tr w:rsidR="000A0966" w:rsidRPr="00EB755D" w14:paraId="272F77D1" w14:textId="77777777" w:rsidTr="00F945E5">
        <w:trPr>
          <w:trHeight w:val="295"/>
        </w:trPr>
        <w:tc>
          <w:tcPr>
            <w:tcW w:w="2439" w:type="dxa"/>
          </w:tcPr>
          <w:p w14:paraId="4B930C06" w14:textId="77777777" w:rsidR="000A0966" w:rsidRPr="00EB755D" w:rsidRDefault="000A0966" w:rsidP="00764D7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Annual Number of Responses</w:t>
            </w:r>
          </w:p>
        </w:tc>
        <w:tc>
          <w:tcPr>
            <w:tcW w:w="1726" w:type="dxa"/>
            <w:vAlign w:val="center"/>
          </w:tcPr>
          <w:p w14:paraId="63412E4D" w14:textId="69D6A1B2" w:rsidR="000A0966" w:rsidRPr="00EB755D" w:rsidRDefault="00B52C6D" w:rsidP="00764D7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w:t>
            </w:r>
          </w:p>
        </w:tc>
        <w:tc>
          <w:tcPr>
            <w:tcW w:w="1891" w:type="dxa"/>
            <w:vAlign w:val="center"/>
          </w:tcPr>
          <w:p w14:paraId="569A1DEF" w14:textId="6A06297D" w:rsidR="000A0966" w:rsidRPr="00EB755D" w:rsidRDefault="00B52C6D" w:rsidP="00764D7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141</w:t>
            </w:r>
          </w:p>
        </w:tc>
        <w:tc>
          <w:tcPr>
            <w:tcW w:w="1665" w:type="dxa"/>
            <w:vAlign w:val="center"/>
          </w:tcPr>
          <w:p w14:paraId="717B2B1E"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646" w:type="dxa"/>
            <w:vAlign w:val="center"/>
          </w:tcPr>
          <w:p w14:paraId="1D32212D" w14:textId="09729BF8" w:rsidR="000A0966" w:rsidRPr="00EB755D" w:rsidRDefault="00B52C6D" w:rsidP="00764D7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0A0966" w:rsidRPr="00EB755D" w14:paraId="72DC3D41" w14:textId="77777777" w:rsidTr="00F945E5">
        <w:trPr>
          <w:trHeight w:val="295"/>
        </w:trPr>
        <w:tc>
          <w:tcPr>
            <w:tcW w:w="2439" w:type="dxa"/>
          </w:tcPr>
          <w:p w14:paraId="631456CE" w14:textId="77777777" w:rsidR="000A0966" w:rsidRPr="00EB755D" w:rsidRDefault="000A0966" w:rsidP="00764D7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Annual Time Burden (Hr.)</w:t>
            </w:r>
          </w:p>
        </w:tc>
        <w:tc>
          <w:tcPr>
            <w:tcW w:w="1726" w:type="dxa"/>
            <w:vAlign w:val="center"/>
          </w:tcPr>
          <w:p w14:paraId="1E52FA6C" w14:textId="0CD640BB" w:rsidR="000A0966" w:rsidRPr="00EB755D" w:rsidRDefault="00B52C6D" w:rsidP="00764D7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45,744</w:t>
            </w:r>
          </w:p>
        </w:tc>
        <w:tc>
          <w:tcPr>
            <w:tcW w:w="1891" w:type="dxa"/>
            <w:vAlign w:val="center"/>
          </w:tcPr>
          <w:p w14:paraId="705DD60D" w14:textId="693A56D6" w:rsidR="000A0966" w:rsidRPr="00EB755D" w:rsidRDefault="000A0966" w:rsidP="008559F4">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5</w:t>
            </w:r>
            <w:r w:rsidR="008559F4">
              <w:rPr>
                <w:rFonts w:ascii="Times New Roman" w:hAnsi="Times New Roman" w:cs="Times New Roman"/>
                <w:sz w:val="26"/>
                <w:szCs w:val="26"/>
              </w:rPr>
              <w:t>6,055</w:t>
            </w:r>
          </w:p>
        </w:tc>
        <w:tc>
          <w:tcPr>
            <w:tcW w:w="1665" w:type="dxa"/>
            <w:vAlign w:val="center"/>
          </w:tcPr>
          <w:p w14:paraId="5AE9A23D"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646" w:type="dxa"/>
            <w:vAlign w:val="center"/>
          </w:tcPr>
          <w:p w14:paraId="5001DF31" w14:textId="03D09A19" w:rsidR="000A0966" w:rsidRPr="00EB755D" w:rsidRDefault="00A20256" w:rsidP="008559F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B52C6D">
              <w:rPr>
                <w:rFonts w:ascii="Times New Roman" w:hAnsi="Times New Roman" w:cs="Times New Roman"/>
                <w:sz w:val="26"/>
                <w:szCs w:val="26"/>
              </w:rPr>
              <w:t>10,311</w:t>
            </w:r>
          </w:p>
        </w:tc>
      </w:tr>
      <w:tr w:rsidR="000A0966" w:rsidRPr="00EB755D" w14:paraId="28409565" w14:textId="77777777" w:rsidTr="00F945E5">
        <w:trPr>
          <w:trHeight w:val="295"/>
        </w:trPr>
        <w:tc>
          <w:tcPr>
            <w:tcW w:w="2439" w:type="dxa"/>
          </w:tcPr>
          <w:p w14:paraId="0626DA62" w14:textId="77777777" w:rsidR="000A0966" w:rsidRPr="00EB755D" w:rsidRDefault="000A0966" w:rsidP="00764D7C">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Annual Cost Burden ($)</w:t>
            </w:r>
          </w:p>
        </w:tc>
        <w:tc>
          <w:tcPr>
            <w:tcW w:w="1726" w:type="dxa"/>
            <w:vAlign w:val="center"/>
          </w:tcPr>
          <w:p w14:paraId="1B948725"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891" w:type="dxa"/>
            <w:vAlign w:val="center"/>
          </w:tcPr>
          <w:p w14:paraId="2C1149FE"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665" w:type="dxa"/>
            <w:vAlign w:val="center"/>
          </w:tcPr>
          <w:p w14:paraId="2E506DEA"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c>
          <w:tcPr>
            <w:tcW w:w="1646" w:type="dxa"/>
            <w:vAlign w:val="center"/>
          </w:tcPr>
          <w:p w14:paraId="5E957F46" w14:textId="77777777" w:rsidR="000A0966" w:rsidRPr="00EB755D" w:rsidRDefault="000A0966" w:rsidP="00764D7C">
            <w:pPr>
              <w:spacing w:after="0" w:line="240" w:lineRule="auto"/>
              <w:jc w:val="right"/>
              <w:rPr>
                <w:rFonts w:ascii="Times New Roman" w:hAnsi="Times New Roman" w:cs="Times New Roman"/>
                <w:sz w:val="26"/>
                <w:szCs w:val="26"/>
              </w:rPr>
            </w:pPr>
            <w:r w:rsidRPr="00EB755D">
              <w:rPr>
                <w:rFonts w:ascii="Times New Roman" w:hAnsi="Times New Roman" w:cs="Times New Roman"/>
                <w:sz w:val="26"/>
                <w:szCs w:val="26"/>
              </w:rPr>
              <w:t>0</w:t>
            </w:r>
          </w:p>
        </w:tc>
      </w:tr>
    </w:tbl>
    <w:p w14:paraId="50B00BEC" w14:textId="77777777" w:rsidR="000A0966" w:rsidRPr="00EB755D" w:rsidRDefault="000A0966" w:rsidP="000A0966">
      <w:pPr>
        <w:spacing w:after="0" w:line="240" w:lineRule="auto"/>
        <w:rPr>
          <w:rFonts w:ascii="Times New Roman" w:hAnsi="Times New Roman" w:cs="Times New Roman"/>
          <w:sz w:val="26"/>
          <w:szCs w:val="26"/>
        </w:rPr>
      </w:pPr>
    </w:p>
    <w:p w14:paraId="0CC63A79"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TIME SCHEDULE FOR PUBLICATION OF DATA</w:t>
      </w:r>
    </w:p>
    <w:p w14:paraId="2BBDF05A" w14:textId="77777777" w:rsidR="000A0966" w:rsidRPr="00EB755D" w:rsidRDefault="000A0966" w:rsidP="000A0966">
      <w:pPr>
        <w:spacing w:after="0" w:line="240" w:lineRule="auto"/>
        <w:rPr>
          <w:rFonts w:ascii="Times New Roman" w:hAnsi="Times New Roman" w:cs="Times New Roman"/>
          <w:sz w:val="26"/>
          <w:szCs w:val="26"/>
        </w:rPr>
      </w:pPr>
    </w:p>
    <w:p w14:paraId="30BA6F9C" w14:textId="77777777" w:rsidR="00B24634" w:rsidRPr="00EB755D" w:rsidRDefault="00B24634" w:rsidP="00B24634">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There are no publications of the information.</w:t>
      </w:r>
    </w:p>
    <w:p w14:paraId="7B586F03" w14:textId="77777777" w:rsidR="000A0966" w:rsidRPr="00EB755D" w:rsidRDefault="000A0966" w:rsidP="000A0966">
      <w:pPr>
        <w:spacing w:after="0" w:line="240" w:lineRule="auto"/>
        <w:rPr>
          <w:rFonts w:ascii="Times New Roman" w:hAnsi="Times New Roman" w:cs="Times New Roman"/>
          <w:sz w:val="26"/>
          <w:szCs w:val="26"/>
        </w:rPr>
      </w:pPr>
    </w:p>
    <w:p w14:paraId="0AA7C0E7"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DISPLAY OF EXPIRATION DATE</w:t>
      </w:r>
    </w:p>
    <w:p w14:paraId="60A0064D" w14:textId="77777777" w:rsidR="000A0966" w:rsidRPr="00EB755D" w:rsidRDefault="000A0966" w:rsidP="000A0966">
      <w:pPr>
        <w:spacing w:after="0" w:line="240" w:lineRule="auto"/>
        <w:rPr>
          <w:rFonts w:ascii="Times New Roman" w:hAnsi="Times New Roman" w:cs="Times New Roman"/>
          <w:sz w:val="26"/>
          <w:szCs w:val="26"/>
        </w:rPr>
      </w:pPr>
    </w:p>
    <w:p w14:paraId="761EB480"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 clearance information and expiration dates are available at </w:t>
      </w:r>
      <w:hyperlink r:id="rId15" w:history="1">
        <w:r w:rsidRPr="00EB755D">
          <w:rPr>
            <w:rStyle w:val="Hyperlink"/>
            <w:rFonts w:ascii="Times New Roman" w:hAnsi="Times New Roman" w:cs="Times New Roman"/>
            <w:sz w:val="26"/>
            <w:szCs w:val="26"/>
          </w:rPr>
          <w:t>http://www.ferc.gov/docs-filing/info-collections.asp</w:t>
        </w:r>
      </w:hyperlink>
      <w:r w:rsidRPr="00EB755D">
        <w:rPr>
          <w:rFonts w:ascii="Times New Roman" w:hAnsi="Times New Roman" w:cs="Times New Roman"/>
          <w:sz w:val="26"/>
          <w:szCs w:val="26"/>
        </w:rPr>
        <w:t xml:space="preserve">. </w:t>
      </w:r>
    </w:p>
    <w:p w14:paraId="12FF8E5C" w14:textId="77777777" w:rsidR="000A0966" w:rsidRPr="00EB755D" w:rsidRDefault="000A0966" w:rsidP="000A0966">
      <w:pPr>
        <w:spacing w:after="0" w:line="240" w:lineRule="auto"/>
        <w:rPr>
          <w:rFonts w:ascii="Times New Roman" w:hAnsi="Times New Roman" w:cs="Times New Roman"/>
          <w:sz w:val="26"/>
          <w:szCs w:val="26"/>
        </w:rPr>
      </w:pPr>
    </w:p>
    <w:p w14:paraId="71051CA3" w14:textId="77777777" w:rsidR="000A0966" w:rsidRPr="00EB755D" w:rsidRDefault="000A0966" w:rsidP="000A0966">
      <w:pPr>
        <w:pStyle w:val="ListParagraph"/>
        <w:numPr>
          <w:ilvl w:val="0"/>
          <w:numId w:val="1"/>
        </w:numPr>
        <w:spacing w:after="0" w:line="240" w:lineRule="auto"/>
        <w:ind w:left="360"/>
        <w:rPr>
          <w:rFonts w:ascii="Times New Roman" w:hAnsi="Times New Roman" w:cs="Times New Roman"/>
          <w:b/>
          <w:sz w:val="26"/>
          <w:szCs w:val="26"/>
        </w:rPr>
      </w:pPr>
      <w:r w:rsidRPr="00EB755D">
        <w:rPr>
          <w:rFonts w:ascii="Times New Roman" w:hAnsi="Times New Roman" w:cs="Times New Roman"/>
          <w:b/>
          <w:sz w:val="26"/>
          <w:szCs w:val="26"/>
        </w:rPr>
        <w:t>EXCEPTIONS TO THE CERTIFICATION STATEMENT</w:t>
      </w:r>
    </w:p>
    <w:p w14:paraId="6C288269" w14:textId="77777777" w:rsidR="000A0966" w:rsidRPr="00EB755D" w:rsidRDefault="000A0966" w:rsidP="000A0966">
      <w:pPr>
        <w:spacing w:after="0" w:line="240" w:lineRule="auto"/>
        <w:rPr>
          <w:rFonts w:ascii="Times New Roman" w:hAnsi="Times New Roman" w:cs="Times New Roman"/>
          <w:b/>
          <w:sz w:val="26"/>
          <w:szCs w:val="26"/>
        </w:rPr>
      </w:pPr>
    </w:p>
    <w:p w14:paraId="691FF73E" w14:textId="77777777" w:rsidR="000A0966" w:rsidRPr="00EB755D" w:rsidRDefault="000A0966" w:rsidP="000A0966">
      <w:pPr>
        <w:spacing w:after="0" w:line="240" w:lineRule="auto"/>
        <w:rPr>
          <w:rFonts w:ascii="Times New Roman" w:hAnsi="Times New Roman" w:cs="Times New Roman"/>
          <w:sz w:val="26"/>
          <w:szCs w:val="26"/>
        </w:rPr>
      </w:pPr>
      <w:r w:rsidRPr="00EB755D">
        <w:rPr>
          <w:rFonts w:ascii="Times New Roman" w:hAnsi="Times New Roman" w:cs="Times New Roman"/>
          <w:sz w:val="26"/>
          <w:szCs w:val="26"/>
        </w:rPr>
        <w:t xml:space="preserve">There are no exceptions. </w:t>
      </w:r>
    </w:p>
    <w:p w14:paraId="0A5D0488" w14:textId="77777777" w:rsidR="00332FB3" w:rsidRPr="00EB755D" w:rsidRDefault="00332FB3">
      <w:pPr>
        <w:rPr>
          <w:rFonts w:ascii="Times New Roman" w:hAnsi="Times New Roman" w:cs="Times New Roman"/>
          <w:sz w:val="26"/>
          <w:szCs w:val="26"/>
        </w:rPr>
      </w:pPr>
    </w:p>
    <w:sectPr w:rsidR="00332FB3" w:rsidRPr="00EB755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9F4EF" w14:textId="77777777" w:rsidR="007E12A7" w:rsidRDefault="007E12A7" w:rsidP="000A0966">
      <w:pPr>
        <w:spacing w:after="0" w:line="240" w:lineRule="auto"/>
      </w:pPr>
      <w:r>
        <w:separator/>
      </w:r>
    </w:p>
  </w:endnote>
  <w:endnote w:type="continuationSeparator" w:id="0">
    <w:p w14:paraId="25347705" w14:textId="77777777" w:rsidR="007E12A7" w:rsidRDefault="007E12A7" w:rsidP="000A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07517965" w14:textId="77777777" w:rsidR="00F1498C" w:rsidRDefault="002527E8">
        <w:pPr>
          <w:pStyle w:val="Footer"/>
          <w:jc w:val="right"/>
        </w:pPr>
        <w:r>
          <w:fldChar w:fldCharType="begin"/>
        </w:r>
        <w:r>
          <w:instrText xml:space="preserve"> PAGE   \* MERGEFORMAT </w:instrText>
        </w:r>
        <w:r>
          <w:fldChar w:fldCharType="separate"/>
        </w:r>
        <w:r w:rsidR="009E0553">
          <w:rPr>
            <w:noProof/>
          </w:rPr>
          <w:t>1</w:t>
        </w:r>
        <w:r>
          <w:rPr>
            <w:noProof/>
          </w:rPr>
          <w:fldChar w:fldCharType="end"/>
        </w:r>
      </w:p>
    </w:sdtContent>
  </w:sdt>
  <w:p w14:paraId="5BAABA02" w14:textId="77777777" w:rsidR="00F1498C" w:rsidRDefault="009E0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7FEF4" w14:textId="77777777" w:rsidR="007E12A7" w:rsidRDefault="007E12A7" w:rsidP="000A0966">
      <w:pPr>
        <w:spacing w:after="0" w:line="240" w:lineRule="auto"/>
      </w:pPr>
      <w:r>
        <w:separator/>
      </w:r>
    </w:p>
  </w:footnote>
  <w:footnote w:type="continuationSeparator" w:id="0">
    <w:p w14:paraId="16B38FA8" w14:textId="77777777" w:rsidR="007E12A7" w:rsidRDefault="007E12A7" w:rsidP="000A0966">
      <w:pPr>
        <w:spacing w:after="0" w:line="240" w:lineRule="auto"/>
      </w:pPr>
      <w:r>
        <w:continuationSeparator/>
      </w:r>
    </w:p>
  </w:footnote>
  <w:footnote w:id="1">
    <w:p w14:paraId="146A0D02" w14:textId="17254A37" w:rsidR="00112891" w:rsidRPr="00F945E5" w:rsidRDefault="00112891" w:rsidP="00112891">
      <w:pPr>
        <w:pStyle w:val="FootnoteText"/>
        <w:rPr>
          <w:sz w:val="26"/>
          <w:szCs w:val="26"/>
        </w:rPr>
      </w:pPr>
      <w:r w:rsidRPr="00F945E5">
        <w:rPr>
          <w:rStyle w:val="FootnoteReference"/>
          <w:sz w:val="26"/>
          <w:szCs w:val="26"/>
        </w:rPr>
        <w:footnoteRef/>
      </w:r>
      <w:r w:rsidRPr="00F945E5">
        <w:rPr>
          <w:sz w:val="26"/>
          <w:szCs w:val="26"/>
        </w:rPr>
        <w:t xml:space="preserve"> </w:t>
      </w:r>
      <w:r w:rsidRPr="00375F6B">
        <w:rPr>
          <w:sz w:val="26"/>
          <w:szCs w:val="26"/>
        </w:rPr>
        <w:t>Section 203(a)(1)(B) grants the Commission’s jurisdiction over m</w:t>
      </w:r>
      <w:r w:rsidR="00BF5035" w:rsidRPr="00375F6B">
        <w:rPr>
          <w:sz w:val="26"/>
          <w:szCs w:val="26"/>
        </w:rPr>
        <w:t>ergers and consolidations (i.e.</w:t>
      </w:r>
      <w:r w:rsidRPr="00FB6FBE">
        <w:rPr>
          <w:sz w:val="26"/>
          <w:szCs w:val="26"/>
        </w:rPr>
        <w:t xml:space="preserve"> acquisitions), as opposed to other forms of corporate dispositions.  Prior to the new legislation, there was no dollar limit associated with mergers or consolidations that would come under th</w:t>
      </w:r>
      <w:r w:rsidRPr="00375F6B">
        <w:rPr>
          <w:sz w:val="26"/>
          <w:szCs w:val="26"/>
        </w:rPr>
        <w:t>e Commission’s jurisdiction, and the new legislation addressed that by adding a $10 million threshold.</w:t>
      </w:r>
      <w:r w:rsidRPr="00F945E5">
        <w:rPr>
          <w:sz w:val="26"/>
          <w:szCs w:val="26"/>
        </w:rPr>
        <w:t xml:space="preserve">     </w:t>
      </w:r>
    </w:p>
  </w:footnote>
  <w:footnote w:id="2">
    <w:p w14:paraId="4381D24E" w14:textId="77777777" w:rsidR="00E477ED" w:rsidRPr="00375F6B" w:rsidRDefault="00E477ED" w:rsidP="00E477ED">
      <w:pPr>
        <w:pStyle w:val="FootnoteText"/>
        <w:rPr>
          <w:sz w:val="26"/>
          <w:szCs w:val="26"/>
        </w:rPr>
      </w:pPr>
      <w:r w:rsidRPr="00F945E5">
        <w:rPr>
          <w:rStyle w:val="FootnoteReference"/>
          <w:sz w:val="26"/>
          <w:szCs w:val="26"/>
        </w:rPr>
        <w:footnoteRef/>
      </w:r>
      <w:r w:rsidRPr="00F945E5">
        <w:rPr>
          <w:sz w:val="26"/>
          <w:szCs w:val="26"/>
        </w:rPr>
        <w:t xml:space="preserve"> </w:t>
      </w:r>
      <w:r w:rsidRPr="00375F6B">
        <w:rPr>
          <w:sz w:val="26"/>
          <w:szCs w:val="26"/>
        </w:rPr>
        <w:t xml:space="preserve">13 CFR 121.201.  </w:t>
      </w:r>
      <w:r w:rsidRPr="00375F6B">
        <w:rPr>
          <w:i/>
          <w:sz w:val="26"/>
          <w:szCs w:val="26"/>
        </w:rPr>
        <w:t>See also</w:t>
      </w:r>
      <w:r w:rsidRPr="00375F6B">
        <w:rPr>
          <w:sz w:val="26"/>
          <w:szCs w:val="26"/>
        </w:rPr>
        <w:t xml:space="preserve"> U.S. Small Business Administration, </w:t>
      </w:r>
      <w:r w:rsidRPr="00375F6B">
        <w:rPr>
          <w:i/>
          <w:sz w:val="26"/>
          <w:szCs w:val="26"/>
        </w:rPr>
        <w:t>Table of Small Business Size Standards Matched to North American Industry Classification System Codes</w:t>
      </w:r>
      <w:r w:rsidRPr="00375F6B">
        <w:rPr>
          <w:sz w:val="26"/>
          <w:szCs w:val="26"/>
        </w:rPr>
        <w:t xml:space="preserve"> (effective Feb. 26, 2016), https://www.sba.gov/sites/default/files/files/Size_Standards_Table.pdf. </w:t>
      </w:r>
    </w:p>
  </w:footnote>
  <w:footnote w:id="3">
    <w:p w14:paraId="1D96ECD8" w14:textId="17F37A24" w:rsidR="00AC629E" w:rsidRPr="00F945E5" w:rsidRDefault="00AC629E">
      <w:pPr>
        <w:pStyle w:val="FootnoteText"/>
        <w:rPr>
          <w:sz w:val="26"/>
          <w:szCs w:val="26"/>
        </w:rPr>
      </w:pPr>
      <w:r w:rsidRPr="00F945E5">
        <w:rPr>
          <w:rStyle w:val="FootnoteReference"/>
          <w:sz w:val="26"/>
          <w:szCs w:val="26"/>
        </w:rPr>
        <w:footnoteRef/>
      </w:r>
      <w:r w:rsidRPr="00F945E5">
        <w:rPr>
          <w:sz w:val="26"/>
          <w:szCs w:val="26"/>
        </w:rPr>
        <w:t xml:space="preserve"> 83 FR 61338 (11/29/2018)</w:t>
      </w:r>
    </w:p>
  </w:footnote>
  <w:footnote w:id="4">
    <w:p w14:paraId="666DC63C" w14:textId="77777777" w:rsidR="00673A3E" w:rsidRPr="00375F6B" w:rsidRDefault="00673A3E" w:rsidP="00673A3E">
      <w:pPr>
        <w:pStyle w:val="FootnoteText"/>
        <w:rPr>
          <w:sz w:val="26"/>
          <w:szCs w:val="26"/>
        </w:rPr>
      </w:pPr>
      <w:r w:rsidRPr="00F945E5">
        <w:rPr>
          <w:rStyle w:val="FootnoteReference"/>
          <w:sz w:val="26"/>
          <w:szCs w:val="26"/>
        </w:rPr>
        <w:footnoteRef/>
      </w:r>
      <w:r w:rsidRPr="00375F6B">
        <w:rPr>
          <w:sz w:val="26"/>
          <w:szCs w:val="26"/>
        </w:rPr>
        <w:t xml:space="preserve"> The Commission staff thinks that the average respondent for this collection is similarly situated to the Commission, in terms of salary plus benefits.  Based upon FERC’s 2018 annual average (for salary plus benefits) of $164,820,</w:t>
      </w:r>
      <w:r w:rsidRPr="00375F6B" w:rsidDel="00573AAE">
        <w:rPr>
          <w:sz w:val="26"/>
          <w:szCs w:val="26"/>
        </w:rPr>
        <w:t xml:space="preserve"> </w:t>
      </w:r>
      <w:r w:rsidRPr="00375F6B">
        <w:rPr>
          <w:sz w:val="26"/>
          <w:szCs w:val="26"/>
        </w:rPr>
        <w:t>the average hourly cost is $79/hour.</w:t>
      </w:r>
    </w:p>
  </w:footnote>
  <w:footnote w:id="5">
    <w:p w14:paraId="1C5AEC14" w14:textId="6EAFB5A0" w:rsidR="00673A3E" w:rsidRPr="00375F6B" w:rsidRDefault="00673A3E" w:rsidP="00673A3E">
      <w:pPr>
        <w:pStyle w:val="FootnoteText"/>
        <w:rPr>
          <w:sz w:val="26"/>
          <w:szCs w:val="26"/>
        </w:rPr>
      </w:pPr>
      <w:r w:rsidRPr="00F945E5">
        <w:rPr>
          <w:rStyle w:val="FootnoteReference"/>
          <w:sz w:val="26"/>
          <w:szCs w:val="26"/>
        </w:rPr>
        <w:footnoteRef/>
      </w:r>
      <w:r w:rsidRPr="00F945E5">
        <w:rPr>
          <w:sz w:val="26"/>
          <w:szCs w:val="26"/>
        </w:rPr>
        <w:t xml:space="preserve"> </w:t>
      </w:r>
      <w:r w:rsidRPr="00375F6B">
        <w:rPr>
          <w:sz w:val="26"/>
          <w:szCs w:val="26"/>
        </w:rPr>
        <w:t xml:space="preserve">Commission staff estimates that approximately </w:t>
      </w:r>
      <w:r w:rsidR="003B7B84">
        <w:rPr>
          <w:sz w:val="26"/>
          <w:szCs w:val="26"/>
        </w:rPr>
        <w:t>26 S</w:t>
      </w:r>
      <w:r w:rsidR="00A20256" w:rsidRPr="00375F6B">
        <w:rPr>
          <w:sz w:val="26"/>
          <w:szCs w:val="26"/>
        </w:rPr>
        <w:t>ection 203</w:t>
      </w:r>
      <w:r w:rsidR="003B7B84">
        <w:rPr>
          <w:sz w:val="26"/>
          <w:szCs w:val="26"/>
        </w:rPr>
        <w:t xml:space="preserve"> filings will change from full S</w:t>
      </w:r>
      <w:r w:rsidR="00A20256" w:rsidRPr="00375F6B">
        <w:rPr>
          <w:sz w:val="26"/>
          <w:szCs w:val="26"/>
        </w:rPr>
        <w:t>ection 203 filings to the notification filing described above, and will take one burden hour to complete.  The number of respondents and responses is based on Commission staff’s estimate that 13 percent of the approximately 200 section 203 filings received will be affected by the NOPR, which represents a signifi</w:t>
      </w:r>
      <w:r w:rsidR="001E58AB" w:rsidRPr="00375F6B">
        <w:rPr>
          <w:sz w:val="26"/>
          <w:szCs w:val="26"/>
        </w:rPr>
        <w:t>cant reduction in burden hours.</w:t>
      </w:r>
    </w:p>
  </w:footnote>
  <w:footnote w:id="6">
    <w:p w14:paraId="671F6D8A" w14:textId="7D62B25F" w:rsidR="00673A3E" w:rsidRPr="00375F6B" w:rsidRDefault="00673A3E" w:rsidP="00673A3E">
      <w:pPr>
        <w:pStyle w:val="FootnoteText"/>
        <w:rPr>
          <w:sz w:val="26"/>
          <w:szCs w:val="26"/>
        </w:rPr>
      </w:pPr>
      <w:r w:rsidRPr="00F945E5">
        <w:rPr>
          <w:rStyle w:val="FootnoteReference"/>
          <w:sz w:val="26"/>
          <w:szCs w:val="26"/>
        </w:rPr>
        <w:footnoteRef/>
      </w:r>
      <w:r w:rsidRPr="00375F6B">
        <w:rPr>
          <w:sz w:val="26"/>
          <w:szCs w:val="26"/>
        </w:rPr>
        <w:t xml:space="preserve"> Prior to this proposal there were 141 responses filed annually and 56,055 </w:t>
      </w:r>
      <w:r w:rsidR="003B7B84">
        <w:rPr>
          <w:sz w:val="26"/>
          <w:szCs w:val="26"/>
        </w:rPr>
        <w:t>burden hours, each filing was ~397</w:t>
      </w:r>
      <w:r w:rsidRPr="00375F6B">
        <w:rPr>
          <w:sz w:val="26"/>
          <w:szCs w:val="26"/>
        </w:rPr>
        <w:t xml:space="preserve"> hours per respondent.  With this amendment each filing is reduces to 1 hour per respondent</w:t>
      </w:r>
      <w:r w:rsidR="00240CB7">
        <w:rPr>
          <w:sz w:val="26"/>
          <w:szCs w:val="26"/>
        </w:rPr>
        <w:t xml:space="preserve"> for the 26 affected entities (i.e. the entities that now only have to file the Section 203 notification filings)</w:t>
      </w:r>
      <w:r w:rsidRPr="00375F6B">
        <w:rPr>
          <w:sz w:val="26"/>
          <w:szCs w:val="26"/>
        </w:rPr>
        <w:t>.</w:t>
      </w:r>
    </w:p>
    <w:p w14:paraId="3BBA42C4" w14:textId="77777777" w:rsidR="00673A3E" w:rsidRPr="00375F6B" w:rsidRDefault="00673A3E" w:rsidP="00673A3E">
      <w:pPr>
        <w:pStyle w:val="FootnoteText"/>
        <w:rPr>
          <w:sz w:val="26"/>
          <w:szCs w:val="26"/>
        </w:rPr>
      </w:pPr>
    </w:p>
  </w:footnote>
  <w:footnote w:id="7">
    <w:p w14:paraId="73A027CD" w14:textId="77777777" w:rsidR="00902423" w:rsidRPr="00375F6B" w:rsidRDefault="00902423">
      <w:pPr>
        <w:pStyle w:val="FootnoteText"/>
        <w:rPr>
          <w:sz w:val="26"/>
          <w:szCs w:val="26"/>
        </w:rPr>
      </w:pPr>
      <w:r w:rsidRPr="00F945E5">
        <w:rPr>
          <w:rStyle w:val="FootnoteReference"/>
          <w:sz w:val="26"/>
          <w:szCs w:val="26"/>
        </w:rPr>
        <w:footnoteRef/>
      </w:r>
      <w:r w:rsidRPr="00F945E5">
        <w:rPr>
          <w:sz w:val="26"/>
          <w:szCs w:val="26"/>
        </w:rPr>
        <w:t xml:space="preserve"> </w:t>
      </w:r>
      <w:r w:rsidRPr="00375F6B">
        <w:rPr>
          <w:sz w:val="26"/>
          <w:szCs w:val="26"/>
        </w:rPr>
        <w:t>Based on FERC’s Fiscal Year 2018 average cost per FTE (salary plus benefits) of $164,820 per year (or 2,080 work hours), rounded to $79.00 per hour.</w:t>
      </w:r>
    </w:p>
  </w:footnote>
  <w:footnote w:id="8">
    <w:p w14:paraId="6223D211" w14:textId="77777777" w:rsidR="00902423" w:rsidRPr="00375F6B" w:rsidRDefault="00902423">
      <w:pPr>
        <w:pStyle w:val="FootnoteText"/>
        <w:rPr>
          <w:sz w:val="26"/>
          <w:szCs w:val="26"/>
        </w:rPr>
      </w:pPr>
      <w:r w:rsidRPr="00375F6B">
        <w:rPr>
          <w:rStyle w:val="FootnoteReference"/>
          <w:sz w:val="26"/>
          <w:szCs w:val="26"/>
        </w:rPr>
        <w:footnoteRef/>
      </w:r>
      <w:r w:rsidRPr="00375F6B">
        <w:rPr>
          <w:sz w:val="26"/>
          <w:szCs w:val="26"/>
        </w:rPr>
        <w:t xml:space="preserve"> Paperwork Reduction Act of 1995 (PRA).</w:t>
      </w:r>
    </w:p>
  </w:footnote>
  <w:footnote w:id="9">
    <w:p w14:paraId="133EB3EA" w14:textId="49CB96F0" w:rsidR="00902423" w:rsidRPr="00375F6B" w:rsidRDefault="00902423">
      <w:pPr>
        <w:pStyle w:val="FootnoteText"/>
        <w:rPr>
          <w:sz w:val="26"/>
          <w:szCs w:val="26"/>
        </w:rPr>
      </w:pPr>
      <w:r w:rsidRPr="00375F6B">
        <w:rPr>
          <w:rStyle w:val="FootnoteReference"/>
          <w:sz w:val="26"/>
          <w:szCs w:val="26"/>
        </w:rPr>
        <w:footnoteRef/>
      </w:r>
      <w:r w:rsidRPr="00375F6B">
        <w:rPr>
          <w:sz w:val="26"/>
          <w:szCs w:val="26"/>
        </w:rPr>
        <w:t xml:space="preserve"> The PRA Administration Cost is $4,</w:t>
      </w:r>
      <w:r w:rsidR="00491A96" w:rsidRPr="00375F6B">
        <w:rPr>
          <w:sz w:val="26"/>
          <w:szCs w:val="26"/>
        </w:rPr>
        <w:t>1</w:t>
      </w:r>
      <w:r w:rsidRPr="00375F6B">
        <w:rPr>
          <w:sz w:val="26"/>
          <w:szCs w:val="26"/>
        </w:rPr>
        <w:t>93, and includes preparing supporting statements, notices, and other activities associated with PRA compliance.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A4AD5" w14:textId="77777777" w:rsidR="00B24634" w:rsidRDefault="002527E8" w:rsidP="00AD3DE5">
    <w:pPr>
      <w:pStyle w:val="Header"/>
      <w:rPr>
        <w:rFonts w:ascii="Times New Roman" w:hAnsi="Times New Roman" w:cs="Times New Roman"/>
        <w:sz w:val="24"/>
        <w:szCs w:val="24"/>
      </w:rPr>
    </w:pPr>
    <w:r w:rsidRPr="00C91306">
      <w:rPr>
        <w:rFonts w:ascii="Times New Roman" w:hAnsi="Times New Roman" w:cs="Times New Roman"/>
        <w:sz w:val="24"/>
        <w:szCs w:val="24"/>
      </w:rPr>
      <w:t>FERC-519 (OMB Control Nos.1902-0082)</w:t>
    </w:r>
  </w:p>
  <w:p w14:paraId="5E05C304" w14:textId="46B2796C" w:rsidR="00F1498C" w:rsidRDefault="00B24634" w:rsidP="00AD3DE5">
    <w:pPr>
      <w:pStyle w:val="Header"/>
      <w:rPr>
        <w:rFonts w:ascii="Times New Roman" w:hAnsi="Times New Roman" w:cs="Times New Roman"/>
        <w:sz w:val="24"/>
        <w:szCs w:val="24"/>
      </w:rPr>
    </w:pPr>
    <w:r>
      <w:rPr>
        <w:rFonts w:ascii="Times New Roman" w:hAnsi="Times New Roman" w:cs="Times New Roman"/>
        <w:sz w:val="24"/>
        <w:szCs w:val="24"/>
      </w:rPr>
      <w:t xml:space="preserve">NOPR </w:t>
    </w:r>
    <w:r w:rsidRPr="00BC7C8D">
      <w:rPr>
        <w:rFonts w:ascii="Times New Roman" w:hAnsi="Times New Roman" w:cs="Times New Roman"/>
        <w:sz w:val="24"/>
        <w:szCs w:val="24"/>
      </w:rPr>
      <w:t>(issued</w:t>
    </w:r>
    <w:r w:rsidR="008C6FBE">
      <w:rPr>
        <w:rFonts w:ascii="Times New Roman" w:hAnsi="Times New Roman" w:cs="Times New Roman"/>
        <w:sz w:val="24"/>
        <w:szCs w:val="24"/>
      </w:rPr>
      <w:t xml:space="preserve"> 11/15/</w:t>
    </w:r>
    <w:r w:rsidR="00BC7C8D">
      <w:rPr>
        <w:rFonts w:ascii="Times New Roman" w:hAnsi="Times New Roman" w:cs="Times New Roman"/>
        <w:sz w:val="24"/>
        <w:szCs w:val="24"/>
      </w:rPr>
      <w:t>2018</w:t>
    </w:r>
    <w:r w:rsidRPr="00BC7C8D">
      <w:rPr>
        <w:rFonts w:ascii="Times New Roman" w:hAnsi="Times New Roman" w:cs="Times New Roman"/>
        <w:sz w:val="24"/>
        <w:szCs w:val="24"/>
      </w:rPr>
      <w:t>)</w:t>
    </w:r>
    <w:r>
      <w:rPr>
        <w:rFonts w:ascii="Times New Roman" w:hAnsi="Times New Roman" w:cs="Times New Roman"/>
        <w:sz w:val="24"/>
        <w:szCs w:val="24"/>
      </w:rPr>
      <w:t xml:space="preserve"> </w:t>
    </w:r>
    <w:r w:rsidR="002527E8" w:rsidRPr="00C91306">
      <w:rPr>
        <w:rFonts w:ascii="Times New Roman" w:hAnsi="Times New Roman" w:cs="Times New Roman"/>
        <w:sz w:val="24"/>
        <w:szCs w:val="24"/>
      </w:rPr>
      <w:t xml:space="preserve">Docket No. </w:t>
    </w:r>
    <w:r>
      <w:rPr>
        <w:rFonts w:ascii="Times New Roman" w:hAnsi="Times New Roman" w:cs="Times New Roman"/>
        <w:sz w:val="24"/>
        <w:szCs w:val="24"/>
      </w:rPr>
      <w:t>RM-19-4-000</w:t>
    </w:r>
    <w:r w:rsidR="002527E8" w:rsidRPr="00C91306">
      <w:rPr>
        <w:rFonts w:ascii="Times New Roman" w:hAnsi="Times New Roman" w:cs="Times New Roman"/>
        <w:sz w:val="24"/>
        <w:szCs w:val="24"/>
      </w:rPr>
      <w:t xml:space="preserve"> </w:t>
    </w:r>
  </w:p>
  <w:p w14:paraId="1E17510A" w14:textId="5A33B15B" w:rsidR="00B24634" w:rsidRDefault="00635B4A" w:rsidP="00AD3DE5">
    <w:pPr>
      <w:pStyle w:val="Header"/>
      <w:rPr>
        <w:rFonts w:ascii="Times New Roman" w:hAnsi="Times New Roman" w:cs="Times New Roman"/>
        <w:sz w:val="24"/>
        <w:szCs w:val="24"/>
      </w:rPr>
    </w:pPr>
    <w:r>
      <w:rPr>
        <w:rFonts w:ascii="Times New Roman" w:hAnsi="Times New Roman" w:cs="Times New Roman"/>
        <w:sz w:val="24"/>
        <w:szCs w:val="24"/>
      </w:rPr>
      <w:t>RIN: 1902-AF56</w:t>
    </w:r>
  </w:p>
  <w:p w14:paraId="7F8CA546" w14:textId="77777777" w:rsidR="00F1498C" w:rsidRDefault="009E05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622D"/>
    <w:multiLevelType w:val="hybridMultilevel"/>
    <w:tmpl w:val="6238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17CC7"/>
    <w:multiLevelType w:val="hybridMultilevel"/>
    <w:tmpl w:val="95D6A3D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35C929B5"/>
    <w:multiLevelType w:val="hybridMultilevel"/>
    <w:tmpl w:val="A476A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4E4DD3"/>
    <w:multiLevelType w:val="hybridMultilevel"/>
    <w:tmpl w:val="024C69D0"/>
    <w:lvl w:ilvl="0" w:tplc="00BCA344">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66"/>
    <w:rsid w:val="000063F9"/>
    <w:rsid w:val="000A0966"/>
    <w:rsid w:val="000A2FC7"/>
    <w:rsid w:val="00112891"/>
    <w:rsid w:val="0015075F"/>
    <w:rsid w:val="00176B59"/>
    <w:rsid w:val="001E58AB"/>
    <w:rsid w:val="001F5D47"/>
    <w:rsid w:val="00240CB7"/>
    <w:rsid w:val="002527E8"/>
    <w:rsid w:val="002D6132"/>
    <w:rsid w:val="00332FB3"/>
    <w:rsid w:val="003568F4"/>
    <w:rsid w:val="00375F6B"/>
    <w:rsid w:val="003B7B84"/>
    <w:rsid w:val="003E7AC8"/>
    <w:rsid w:val="003F5E34"/>
    <w:rsid w:val="004203B7"/>
    <w:rsid w:val="004403C6"/>
    <w:rsid w:val="004549FF"/>
    <w:rsid w:val="00491A96"/>
    <w:rsid w:val="00492AEA"/>
    <w:rsid w:val="004B43F5"/>
    <w:rsid w:val="004E38CD"/>
    <w:rsid w:val="004F302E"/>
    <w:rsid w:val="00505669"/>
    <w:rsid w:val="005401C3"/>
    <w:rsid w:val="00635B4A"/>
    <w:rsid w:val="00642BFD"/>
    <w:rsid w:val="00673A3E"/>
    <w:rsid w:val="00681E8C"/>
    <w:rsid w:val="00700980"/>
    <w:rsid w:val="00770AF1"/>
    <w:rsid w:val="007E12A7"/>
    <w:rsid w:val="008559F4"/>
    <w:rsid w:val="008C6FBE"/>
    <w:rsid w:val="008E19E6"/>
    <w:rsid w:val="00902423"/>
    <w:rsid w:val="009366BA"/>
    <w:rsid w:val="00995BDA"/>
    <w:rsid w:val="009C1EE9"/>
    <w:rsid w:val="009E0553"/>
    <w:rsid w:val="009E64FA"/>
    <w:rsid w:val="009E7311"/>
    <w:rsid w:val="009F3A76"/>
    <w:rsid w:val="00A20256"/>
    <w:rsid w:val="00AA7213"/>
    <w:rsid w:val="00AC629E"/>
    <w:rsid w:val="00B04124"/>
    <w:rsid w:val="00B24634"/>
    <w:rsid w:val="00B247FE"/>
    <w:rsid w:val="00B52C6D"/>
    <w:rsid w:val="00B535AA"/>
    <w:rsid w:val="00BC7C8D"/>
    <w:rsid w:val="00BE5C2E"/>
    <w:rsid w:val="00BF5035"/>
    <w:rsid w:val="00C755BD"/>
    <w:rsid w:val="00C77EA0"/>
    <w:rsid w:val="00CA4FE4"/>
    <w:rsid w:val="00E04514"/>
    <w:rsid w:val="00E31EB3"/>
    <w:rsid w:val="00E477ED"/>
    <w:rsid w:val="00E479FF"/>
    <w:rsid w:val="00EB755D"/>
    <w:rsid w:val="00EE3E3D"/>
    <w:rsid w:val="00F02C76"/>
    <w:rsid w:val="00F945E5"/>
    <w:rsid w:val="00FB6FBE"/>
    <w:rsid w:val="00FD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A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966"/>
  </w:style>
  <w:style w:type="paragraph" w:styleId="Footer">
    <w:name w:val="footer"/>
    <w:basedOn w:val="Normal"/>
    <w:link w:val="FooterChar"/>
    <w:uiPriority w:val="99"/>
    <w:unhideWhenUsed/>
    <w:rsid w:val="000A0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966"/>
  </w:style>
  <w:style w:type="paragraph" w:styleId="ListParagraph">
    <w:name w:val="List Paragraph"/>
    <w:basedOn w:val="Normal"/>
    <w:uiPriority w:val="34"/>
    <w:qFormat/>
    <w:rsid w:val="000A0966"/>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0A0966"/>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0A096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A0966"/>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uiPriority w:val="99"/>
    <w:rsid w:val="000A096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0966"/>
    <w:rPr>
      <w:color w:val="0563C1" w:themeColor="hyperlink"/>
      <w:u w:val="single"/>
    </w:rPr>
  </w:style>
  <w:style w:type="paragraph" w:customStyle="1" w:styleId="FERCparanumber">
    <w:name w:val="FERC paranumber"/>
    <w:basedOn w:val="Normal"/>
    <w:link w:val="FERCparanumberChar1"/>
    <w:qFormat/>
    <w:rsid w:val="000A0966"/>
    <w:pPr>
      <w:numPr>
        <w:numId w:val="3"/>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0A0966"/>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F02C76"/>
    <w:rPr>
      <w:sz w:val="16"/>
      <w:szCs w:val="16"/>
    </w:rPr>
  </w:style>
  <w:style w:type="paragraph" w:styleId="CommentText">
    <w:name w:val="annotation text"/>
    <w:basedOn w:val="Normal"/>
    <w:link w:val="CommentTextChar"/>
    <w:uiPriority w:val="99"/>
    <w:semiHidden/>
    <w:unhideWhenUsed/>
    <w:rsid w:val="00F02C76"/>
    <w:pPr>
      <w:spacing w:line="240" w:lineRule="auto"/>
    </w:pPr>
    <w:rPr>
      <w:sz w:val="20"/>
      <w:szCs w:val="20"/>
    </w:rPr>
  </w:style>
  <w:style w:type="character" w:customStyle="1" w:styleId="CommentTextChar">
    <w:name w:val="Comment Text Char"/>
    <w:basedOn w:val="DefaultParagraphFont"/>
    <w:link w:val="CommentText"/>
    <w:uiPriority w:val="99"/>
    <w:semiHidden/>
    <w:rsid w:val="00F02C76"/>
    <w:rPr>
      <w:sz w:val="20"/>
      <w:szCs w:val="20"/>
    </w:rPr>
  </w:style>
  <w:style w:type="paragraph" w:styleId="CommentSubject">
    <w:name w:val="annotation subject"/>
    <w:basedOn w:val="CommentText"/>
    <w:next w:val="CommentText"/>
    <w:link w:val="CommentSubjectChar"/>
    <w:uiPriority w:val="99"/>
    <w:semiHidden/>
    <w:unhideWhenUsed/>
    <w:rsid w:val="00F02C76"/>
    <w:rPr>
      <w:b/>
      <w:bCs/>
    </w:rPr>
  </w:style>
  <w:style w:type="character" w:customStyle="1" w:styleId="CommentSubjectChar">
    <w:name w:val="Comment Subject Char"/>
    <w:basedOn w:val="CommentTextChar"/>
    <w:link w:val="CommentSubject"/>
    <w:uiPriority w:val="99"/>
    <w:semiHidden/>
    <w:rsid w:val="00F02C76"/>
    <w:rPr>
      <w:b/>
      <w:bCs/>
      <w:sz w:val="20"/>
      <w:szCs w:val="20"/>
    </w:rPr>
  </w:style>
  <w:style w:type="paragraph" w:styleId="BalloonText">
    <w:name w:val="Balloon Text"/>
    <w:basedOn w:val="Normal"/>
    <w:link w:val="BalloonTextChar"/>
    <w:uiPriority w:val="99"/>
    <w:semiHidden/>
    <w:unhideWhenUsed/>
    <w:rsid w:val="00F0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966"/>
  </w:style>
  <w:style w:type="paragraph" w:styleId="Footer">
    <w:name w:val="footer"/>
    <w:basedOn w:val="Normal"/>
    <w:link w:val="FooterChar"/>
    <w:uiPriority w:val="99"/>
    <w:unhideWhenUsed/>
    <w:rsid w:val="000A0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966"/>
  </w:style>
  <w:style w:type="paragraph" w:styleId="ListParagraph">
    <w:name w:val="List Paragraph"/>
    <w:basedOn w:val="Normal"/>
    <w:uiPriority w:val="34"/>
    <w:qFormat/>
    <w:rsid w:val="000A0966"/>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0A0966"/>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0A096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A0966"/>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uiPriority w:val="99"/>
    <w:rsid w:val="000A096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0966"/>
    <w:rPr>
      <w:color w:val="0563C1" w:themeColor="hyperlink"/>
      <w:u w:val="single"/>
    </w:rPr>
  </w:style>
  <w:style w:type="paragraph" w:customStyle="1" w:styleId="FERCparanumber">
    <w:name w:val="FERC paranumber"/>
    <w:basedOn w:val="Normal"/>
    <w:link w:val="FERCparanumberChar1"/>
    <w:qFormat/>
    <w:rsid w:val="000A0966"/>
    <w:pPr>
      <w:numPr>
        <w:numId w:val="3"/>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0A0966"/>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F02C76"/>
    <w:rPr>
      <w:sz w:val="16"/>
      <w:szCs w:val="16"/>
    </w:rPr>
  </w:style>
  <w:style w:type="paragraph" w:styleId="CommentText">
    <w:name w:val="annotation text"/>
    <w:basedOn w:val="Normal"/>
    <w:link w:val="CommentTextChar"/>
    <w:uiPriority w:val="99"/>
    <w:semiHidden/>
    <w:unhideWhenUsed/>
    <w:rsid w:val="00F02C76"/>
    <w:pPr>
      <w:spacing w:line="240" w:lineRule="auto"/>
    </w:pPr>
    <w:rPr>
      <w:sz w:val="20"/>
      <w:szCs w:val="20"/>
    </w:rPr>
  </w:style>
  <w:style w:type="character" w:customStyle="1" w:styleId="CommentTextChar">
    <w:name w:val="Comment Text Char"/>
    <w:basedOn w:val="DefaultParagraphFont"/>
    <w:link w:val="CommentText"/>
    <w:uiPriority w:val="99"/>
    <w:semiHidden/>
    <w:rsid w:val="00F02C76"/>
    <w:rPr>
      <w:sz w:val="20"/>
      <w:szCs w:val="20"/>
    </w:rPr>
  </w:style>
  <w:style w:type="paragraph" w:styleId="CommentSubject">
    <w:name w:val="annotation subject"/>
    <w:basedOn w:val="CommentText"/>
    <w:next w:val="CommentText"/>
    <w:link w:val="CommentSubjectChar"/>
    <w:uiPriority w:val="99"/>
    <w:semiHidden/>
    <w:unhideWhenUsed/>
    <w:rsid w:val="00F02C76"/>
    <w:rPr>
      <w:b/>
      <w:bCs/>
    </w:rPr>
  </w:style>
  <w:style w:type="character" w:customStyle="1" w:styleId="CommentSubjectChar">
    <w:name w:val="Comment Subject Char"/>
    <w:basedOn w:val="CommentTextChar"/>
    <w:link w:val="CommentSubject"/>
    <w:uiPriority w:val="99"/>
    <w:semiHidden/>
    <w:rsid w:val="00F02C76"/>
    <w:rPr>
      <w:b/>
      <w:bCs/>
      <w:sz w:val="20"/>
      <w:szCs w:val="20"/>
    </w:rPr>
  </w:style>
  <w:style w:type="paragraph" w:styleId="BalloonText">
    <w:name w:val="Balloon Text"/>
    <w:basedOn w:val="Normal"/>
    <w:link w:val="BalloonTextChar"/>
    <w:uiPriority w:val="99"/>
    <w:semiHidden/>
    <w:unhideWhenUsed/>
    <w:rsid w:val="00F0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519</_x0031__x002e__x0020_Collection_x0020_Number>
    <Date xmlns="d6eefc7d-9817-4fa6-84d5-3bc009be21b8">2018-12-04T00:00:00-05:00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RM19-4</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F97F-C347-4384-B268-ED43C6FD7FDD}">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50F00B56-0CD6-4C4A-BFD2-E950DBEF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F6146-62AB-4C77-BC3C-CB15C246379D}">
  <ds:schemaRefs>
    <ds:schemaRef ds:uri="http://schemas.microsoft.com/office/2006/metadata/customXsn"/>
  </ds:schemaRefs>
</ds:datastoreItem>
</file>

<file path=customXml/itemProps4.xml><?xml version="1.0" encoding="utf-8"?>
<ds:datastoreItem xmlns:ds="http://schemas.openxmlformats.org/officeDocument/2006/customXml" ds:itemID="{F2AB4E1B-5EAF-4034-8BE6-0CA3E6C66931}">
  <ds:schemaRefs>
    <ds:schemaRef ds:uri="Microsoft.SharePoint.Taxonomy.ContentTypeSync"/>
  </ds:schemaRefs>
</ds:datastoreItem>
</file>

<file path=customXml/itemProps5.xml><?xml version="1.0" encoding="utf-8"?>
<ds:datastoreItem xmlns:ds="http://schemas.openxmlformats.org/officeDocument/2006/customXml" ds:itemID="{D8723625-50D5-4FE2-9554-CAF95624E714}">
  <ds:schemaRefs>
    <ds:schemaRef ds:uri="http://schemas.microsoft.com/sharepoint/v3/contenttype/forms"/>
  </ds:schemaRefs>
</ds:datastoreItem>
</file>

<file path=customXml/itemProps6.xml><?xml version="1.0" encoding="utf-8"?>
<ds:datastoreItem xmlns:ds="http://schemas.openxmlformats.org/officeDocument/2006/customXml" ds:itemID="{CFD285BF-CBA0-4765-9BCA-AEA71D4D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RM19-4-000 NORP supporting statement</vt:lpstr>
    </vt:vector>
  </TitlesOfParts>
  <Company>FERC</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RM19-4-000 NORP supporting statement</dc:title>
  <dc:subject/>
  <dc:creator>Michele Chambers</dc:creator>
  <cp:keywords/>
  <dc:description/>
  <cp:lastModifiedBy>SYSTEM</cp:lastModifiedBy>
  <cp:revision>2</cp:revision>
  <dcterms:created xsi:type="dcterms:W3CDTF">2018-12-07T15:59:00Z</dcterms:created>
  <dcterms:modified xsi:type="dcterms:W3CDTF">2018-12-07T15:59:00Z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