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14EF8" w14:textId="77777777" w:rsidR="00A2604E" w:rsidRDefault="00A2604E" w:rsidP="00A2604E">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796F63BF" w14:textId="77777777" w:rsidR="00A2604E" w:rsidRDefault="00A2604E" w:rsidP="00A2604E">
      <w:pPr>
        <w:jc w:val="center"/>
      </w:pPr>
      <w:r>
        <w:t>FEDERAL ENERGY REGULATORY COMMISSION</w:t>
      </w:r>
    </w:p>
    <w:p w14:paraId="4152868E" w14:textId="77777777" w:rsidR="00A2604E" w:rsidRDefault="00A2604E" w:rsidP="00A2604E"/>
    <w:p w14:paraId="1600CC48" w14:textId="6489EC70" w:rsidR="00A2604E" w:rsidRDefault="00A2604E" w:rsidP="00A2604E">
      <w:pPr>
        <w:jc w:val="center"/>
      </w:pPr>
      <w:r w:rsidRPr="00AC750B">
        <w:t xml:space="preserve">[Docket No. </w:t>
      </w:r>
      <w:r w:rsidR="002E0351">
        <w:t>IC18-19-000</w:t>
      </w:r>
      <w:r w:rsidRPr="00AC750B">
        <w:t>]</w:t>
      </w:r>
    </w:p>
    <w:p w14:paraId="37A99FB4" w14:textId="77777777" w:rsidR="00A2604E" w:rsidRDefault="00A2604E" w:rsidP="00A2604E"/>
    <w:p w14:paraId="0160830D" w14:textId="33F86163" w:rsidR="00A2604E" w:rsidRDefault="00A2604E" w:rsidP="00A2604E">
      <w:pPr>
        <w:jc w:val="center"/>
      </w:pPr>
      <w:r>
        <w:t>COMMISSION INFORMATION COLLECTION ACTIVITIES (</w:t>
      </w:r>
      <w:r w:rsidR="0095311D">
        <w:t>FERC-725</w:t>
      </w:r>
      <w:r>
        <w:t>);</w:t>
      </w:r>
    </w:p>
    <w:p w14:paraId="6E904836" w14:textId="77777777" w:rsidR="00A2604E" w:rsidRDefault="00A2604E" w:rsidP="00A2604E">
      <w:pPr>
        <w:jc w:val="center"/>
      </w:pPr>
      <w:r>
        <w:t>COMMENT REQUEST; EXTENSION</w:t>
      </w:r>
    </w:p>
    <w:p w14:paraId="6FC67CE5" w14:textId="1157AFF8" w:rsidR="00810D18" w:rsidRDefault="00810D18" w:rsidP="00810D18"/>
    <w:p w14:paraId="08DA33D0" w14:textId="256098BB" w:rsidR="00F11631" w:rsidRDefault="006E10F4" w:rsidP="006E10F4">
      <w:pPr>
        <w:jc w:val="center"/>
      </w:pPr>
      <w:r w:rsidRPr="006E10F4">
        <w:t>(January 9, 2019)</w:t>
      </w:r>
    </w:p>
    <w:p w14:paraId="05CFF23D" w14:textId="77777777" w:rsidR="006E10F4" w:rsidRPr="006E10F4" w:rsidRDefault="006E10F4" w:rsidP="006E10F4"/>
    <w:p w14:paraId="2B06BEDA" w14:textId="77777777" w:rsidR="00A2604E" w:rsidRDefault="00A2604E" w:rsidP="00A2604E">
      <w:r w:rsidRPr="00AB4DBF">
        <w:rPr>
          <w:b/>
        </w:rPr>
        <w:t>AGENCY:</w:t>
      </w:r>
      <w:r w:rsidRPr="00AB4DBF">
        <w:t xml:space="preserve">  Federal Energy Regulatory Commission.</w:t>
      </w:r>
    </w:p>
    <w:p w14:paraId="3CD46B7D" w14:textId="77777777" w:rsidR="00A2604E" w:rsidRPr="00AB4DBF" w:rsidRDefault="00A2604E" w:rsidP="00A2604E"/>
    <w:p w14:paraId="3C2C8063" w14:textId="77777777" w:rsidR="00A2604E" w:rsidRDefault="00A2604E" w:rsidP="00A2604E">
      <w:pPr>
        <w:spacing w:line="480" w:lineRule="auto"/>
      </w:pPr>
      <w:r w:rsidRPr="00CE64F2">
        <w:rPr>
          <w:b/>
        </w:rPr>
        <w:t>ACTION:</w:t>
      </w:r>
      <w:r>
        <w:t xml:space="preserve">  Notice of information collection and request for comments.</w:t>
      </w:r>
    </w:p>
    <w:p w14:paraId="124637F9" w14:textId="205AC127" w:rsidR="00A2604E" w:rsidRDefault="00A2604E" w:rsidP="00F8646E">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 </w:t>
      </w:r>
      <w:r w:rsidR="0095311D">
        <w:t>FERC-725</w:t>
      </w:r>
      <w:r w:rsidR="002E0351" w:rsidRPr="00A713D0">
        <w:t xml:space="preserve"> </w:t>
      </w:r>
      <w:r w:rsidR="00A713D0">
        <w:t>(</w:t>
      </w:r>
      <w:r w:rsidR="0095311D" w:rsidRPr="0095311D">
        <w:t>Certification of Electric Reliability Organization; Procedures for Electric Reliability Standards</w:t>
      </w:r>
      <w:r w:rsidR="00F8646E">
        <w:t>)</w:t>
      </w:r>
      <w:r w:rsidR="00642602" w:rsidRPr="00642602">
        <w:t xml:space="preserve"> and submitting the information collection to the Office of Management and Budget (OMB) for review.  Any interested person may file comments directly with OMB and should address a copy of those comments to the Commission as </w:t>
      </w:r>
      <w:r w:rsidR="00642602" w:rsidRPr="00C81A97">
        <w:t xml:space="preserve">explained below. </w:t>
      </w:r>
      <w:r w:rsidR="00BA0FBC" w:rsidRPr="00C81A97">
        <w:t xml:space="preserve">On </w:t>
      </w:r>
      <w:r w:rsidR="0095311D" w:rsidRPr="00C81A97">
        <w:t>September 27, 2018</w:t>
      </w:r>
      <w:r w:rsidR="00BA0FBC" w:rsidRPr="00C81A97">
        <w:t>, t</w:t>
      </w:r>
      <w:r w:rsidR="00642602" w:rsidRPr="00C81A97">
        <w:t xml:space="preserve">he Commission published a Notice in the Federal Register in Docket No. </w:t>
      </w:r>
      <w:r w:rsidR="002E0351" w:rsidRPr="00C81A97">
        <w:t>IC18-19-000</w:t>
      </w:r>
      <w:r w:rsidR="00642602" w:rsidRPr="00C81A97">
        <w:t xml:space="preserve"> requesting public comments.  </w:t>
      </w:r>
      <w:r w:rsidR="00485A51" w:rsidRPr="00C81A97">
        <w:t xml:space="preserve">The </w:t>
      </w:r>
      <w:r w:rsidR="00485A51" w:rsidRPr="00A86D9E">
        <w:t xml:space="preserve">Commission received </w:t>
      </w:r>
      <w:r w:rsidR="00C81A97" w:rsidRPr="00A86D9E">
        <w:t xml:space="preserve">one </w:t>
      </w:r>
      <w:r w:rsidR="00C81A97">
        <w:t xml:space="preserve">public </w:t>
      </w:r>
      <w:r w:rsidR="00485A51" w:rsidRPr="00A86D9E">
        <w:t>comment</w:t>
      </w:r>
      <w:r w:rsidR="00C81A97" w:rsidRPr="00A86D9E">
        <w:t xml:space="preserve"> which is addressed here and in the </w:t>
      </w:r>
      <w:r w:rsidR="00023EA9">
        <w:t xml:space="preserve">related </w:t>
      </w:r>
      <w:r w:rsidR="00C81A97" w:rsidRPr="00A86D9E">
        <w:t>submittal to OMB</w:t>
      </w:r>
      <w:r w:rsidR="007C6AC2" w:rsidRPr="00A86D9E">
        <w:t>.</w:t>
      </w:r>
    </w:p>
    <w:p w14:paraId="442CCE36" w14:textId="4EBC3054" w:rsidR="007C1916" w:rsidRPr="007C1916" w:rsidRDefault="00A2604E" w:rsidP="007C1916">
      <w:pPr>
        <w:spacing w:line="480" w:lineRule="auto"/>
      </w:pPr>
      <w:r w:rsidRPr="00CE64F2">
        <w:rPr>
          <w:b/>
        </w:rPr>
        <w:t>DATES:</w:t>
      </w:r>
      <w:r>
        <w:t xml:space="preserve">  Comments on the collection of information are due </w:t>
      </w:r>
      <w:bookmarkStart w:id="1" w:name="OLE_LINK1"/>
      <w:r w:rsidR="007C1916" w:rsidRPr="007C1916">
        <w:rPr>
          <w:b/>
        </w:rPr>
        <w:t>[</w:t>
      </w:r>
      <w:r w:rsidR="007C1916" w:rsidRPr="00F11631">
        <w:rPr>
          <w:b/>
          <w:caps/>
        </w:rPr>
        <w:t xml:space="preserve">Insert Date 30 days after </w:t>
      </w:r>
      <w:r w:rsidR="00B65A09">
        <w:rPr>
          <w:b/>
          <w:caps/>
        </w:rPr>
        <w:t xml:space="preserve">date of </w:t>
      </w:r>
      <w:r w:rsidR="007C1916" w:rsidRPr="00F11631">
        <w:rPr>
          <w:b/>
          <w:caps/>
        </w:rPr>
        <w:t>publication in the Federal Register]</w:t>
      </w:r>
      <w:r w:rsidR="00B65A09" w:rsidRPr="00F11631">
        <w:rPr>
          <w:b/>
          <w:caps/>
        </w:rPr>
        <w:t>.</w:t>
      </w:r>
      <w:r w:rsidR="00B65A09" w:rsidRPr="00F11631">
        <w:rPr>
          <w:caps/>
        </w:rPr>
        <w:t xml:space="preserve">  </w:t>
      </w:r>
    </w:p>
    <w:p w14:paraId="05EFC9C8" w14:textId="2BBC2261" w:rsidR="007C1916" w:rsidRPr="007C1916" w:rsidRDefault="007C1916" w:rsidP="007C1916">
      <w:pPr>
        <w:spacing w:line="480" w:lineRule="auto"/>
      </w:pPr>
      <w:r w:rsidRPr="007C1916">
        <w:rPr>
          <w:b/>
        </w:rPr>
        <w:t>ADDRESSES:</w:t>
      </w:r>
      <w:r w:rsidRPr="007C1916">
        <w:t xml:space="preserve">  Comments filed with OMB, identified by OMB Control No. </w:t>
      </w:r>
      <w:r w:rsidR="002F24E8" w:rsidRPr="002F24E8">
        <w:t>1902-0225</w:t>
      </w:r>
      <w:r w:rsidRPr="007C1916">
        <w:t xml:space="preserve">, </w:t>
      </w:r>
      <w:r w:rsidR="001E6510">
        <w:t xml:space="preserve">should be sent via email to the </w:t>
      </w:r>
      <w:r w:rsidRPr="007C1916">
        <w:t xml:space="preserve">Office of Information and Regulatory Affairs: </w:t>
      </w:r>
      <w:hyperlink r:id="rId14" w:history="1">
        <w:r w:rsidRPr="007C1916">
          <w:rPr>
            <w:rStyle w:val="Hyperlink"/>
          </w:rPr>
          <w:t>oira_submission@omb.gov</w:t>
        </w:r>
      </w:hyperlink>
      <w:r w:rsidRPr="007C1916">
        <w:t xml:space="preserve">.  Attention: Federal Energy Regulatory Commission Desk Officer.  </w:t>
      </w:r>
    </w:p>
    <w:p w14:paraId="5B1CC12A" w14:textId="6B7FAF83" w:rsidR="007C1916" w:rsidRPr="007C1916" w:rsidRDefault="007C1916" w:rsidP="007C1916">
      <w:pPr>
        <w:spacing w:line="480" w:lineRule="auto"/>
      </w:pPr>
      <w:r w:rsidRPr="007C1916">
        <w:t xml:space="preserve">A copy of the comments should also be sent to the Commission, in Docket No. </w:t>
      </w:r>
      <w:r w:rsidR="002E0351">
        <w:t>IC18-19-000</w:t>
      </w:r>
      <w:r w:rsidRPr="007C1916">
        <w:t>, by either of the following methods:</w:t>
      </w:r>
    </w:p>
    <w:p w14:paraId="792B5B58" w14:textId="77777777" w:rsidR="007C1916" w:rsidRPr="007C1916" w:rsidRDefault="007C1916" w:rsidP="007C1916">
      <w:pPr>
        <w:numPr>
          <w:ilvl w:val="0"/>
          <w:numId w:val="2"/>
        </w:numPr>
        <w:tabs>
          <w:tab w:val="num" w:pos="1080"/>
        </w:tabs>
        <w:spacing w:line="480" w:lineRule="auto"/>
      </w:pPr>
      <w:r w:rsidRPr="007C1916">
        <w:t xml:space="preserve">eFiling at Commission’s Web Site: </w:t>
      </w:r>
      <w:hyperlink r:id="rId15" w:history="1">
        <w:r w:rsidRPr="007C1916">
          <w:rPr>
            <w:rStyle w:val="Hyperlink"/>
          </w:rPr>
          <w:t>http://www.ferc.gov/docs-filing/efiling.asp</w:t>
        </w:r>
      </w:hyperlink>
    </w:p>
    <w:p w14:paraId="0F5C3F2D" w14:textId="77777777" w:rsidR="007C1916" w:rsidRPr="007C1916" w:rsidRDefault="007C1916" w:rsidP="007C1916">
      <w:pPr>
        <w:numPr>
          <w:ilvl w:val="0"/>
          <w:numId w:val="2"/>
        </w:numPr>
        <w:tabs>
          <w:tab w:val="num" w:pos="1080"/>
        </w:tabs>
        <w:spacing w:line="480" w:lineRule="auto"/>
      </w:pPr>
      <w:r w:rsidRPr="007C1916">
        <w:t>Mail/Hand Delivery/Courier: Federal Energy Regulatory Commission, Secretary of the Commission, 888 First Street, NE, Washington, DC 20426.</w:t>
      </w:r>
    </w:p>
    <w:p w14:paraId="72FFFB84" w14:textId="40F9A49C" w:rsidR="00A2604E" w:rsidRDefault="00A2604E" w:rsidP="007C1916">
      <w:pPr>
        <w:spacing w:line="480" w:lineRule="auto"/>
      </w:pPr>
      <w:r>
        <w:rPr>
          <w:i/>
        </w:rPr>
        <w:t xml:space="preserve">Instructions: </w:t>
      </w:r>
      <w:r>
        <w:t xml:space="preserve">All submissions must be formatted and filed in accordance with submission guidelines at: </w:t>
      </w:r>
      <w:hyperlink r:id="rId16" w:history="1">
        <w:r w:rsidRPr="00866BB4">
          <w:rPr>
            <w:rStyle w:val="Hyperlink"/>
          </w:rPr>
          <w:t>http://www.ferc.gov/help/submission-guide.asp</w:t>
        </w:r>
      </w:hyperlink>
      <w:r>
        <w:t>.  For user assistance</w:t>
      </w:r>
      <w:r w:rsidR="00BF2D74">
        <w:t>,</w:t>
      </w:r>
      <w:r>
        <w:t xml:space="preserve"> contact FERC Online Support by e-mail at ferconlinesupport@ferc.gov, or by phone at:  (866) 208-3676 (toll-free), or (202) 502-8659 for TTY.</w:t>
      </w:r>
    </w:p>
    <w:p w14:paraId="6160E432" w14:textId="77777777" w:rsidR="00A2604E" w:rsidRPr="00241BFD" w:rsidRDefault="00A2604E" w:rsidP="00A2604E">
      <w:pPr>
        <w:spacing w:line="480" w:lineRule="auto"/>
      </w:pPr>
      <w:r>
        <w:rPr>
          <w:i/>
        </w:rPr>
        <w:t>Docket:</w:t>
      </w:r>
      <w:r>
        <w:t xml:space="preserve"> Users interested in receiving automatic notification of activity in this docket or in viewing/downloading comments and issuances in this docket may do so at </w:t>
      </w:r>
      <w:hyperlink r:id="rId17" w:history="1">
        <w:r w:rsidRPr="0057675D">
          <w:rPr>
            <w:rStyle w:val="Hyperlink"/>
          </w:rPr>
          <w:t>http://www.ferc.gov/docs-filing/docs-filing.asp</w:t>
        </w:r>
      </w:hyperlink>
      <w:r>
        <w:t xml:space="preserve">. </w:t>
      </w:r>
    </w:p>
    <w:bookmarkEnd w:id="1"/>
    <w:p w14:paraId="5D1F4BEC" w14:textId="1BF6A34E" w:rsidR="00A2604E" w:rsidRDefault="00A2604E" w:rsidP="00A2604E">
      <w:pPr>
        <w:spacing w:line="480" w:lineRule="auto"/>
      </w:pPr>
      <w:r w:rsidRPr="00656DF0">
        <w:rPr>
          <w:b/>
        </w:rPr>
        <w:t>FOR FURTHER INFORMATION</w:t>
      </w:r>
      <w:r w:rsidR="00B56882">
        <w:rPr>
          <w:b/>
        </w:rPr>
        <w:t xml:space="preserve"> CONTACT</w:t>
      </w:r>
      <w:r w:rsidRPr="00656DF0">
        <w:rPr>
          <w:b/>
        </w:rPr>
        <w:t>:</w:t>
      </w:r>
      <w:r>
        <w:t xml:space="preserve">  </w:t>
      </w:r>
      <w:r w:rsidRPr="007731D6">
        <w:t>Ellen Brown</w:t>
      </w:r>
      <w:r>
        <w:t xml:space="preserve"> may be reached by e-mail at </w:t>
      </w:r>
      <w:hyperlink r:id="rId18" w:history="1">
        <w:r w:rsidRPr="00006D4B">
          <w:rPr>
            <w:rStyle w:val="Hyperlink"/>
          </w:rPr>
          <w:t>DataClearance@FERC.gov</w:t>
        </w:r>
      </w:hyperlink>
      <w:r>
        <w:t>, telephone at (202) 502-8663, and fax at (202) 273-0873.</w:t>
      </w:r>
    </w:p>
    <w:p w14:paraId="6614759F" w14:textId="34FA9396" w:rsidR="00A2604E" w:rsidRPr="00853ABC" w:rsidRDefault="00A2604E" w:rsidP="00C1124F">
      <w:pPr>
        <w:tabs>
          <w:tab w:val="left" w:pos="7880"/>
        </w:tabs>
        <w:spacing w:line="480" w:lineRule="auto"/>
      </w:pPr>
      <w:r>
        <w:t xml:space="preserve"> </w:t>
      </w:r>
      <w:r w:rsidRPr="001C3703">
        <w:rPr>
          <w:b/>
        </w:rPr>
        <w:t>SUPPLEMENTARY INFORMATION:</w:t>
      </w:r>
      <w:r>
        <w:t xml:space="preserve">  </w:t>
      </w:r>
    </w:p>
    <w:p w14:paraId="1828F029" w14:textId="2145BA9D" w:rsidR="00AA4050" w:rsidRDefault="00AA4050" w:rsidP="009E5557">
      <w:pPr>
        <w:spacing w:line="480" w:lineRule="auto"/>
        <w:rPr>
          <w:i/>
        </w:rPr>
      </w:pPr>
      <w:r>
        <w:rPr>
          <w:i/>
        </w:rPr>
        <w:t xml:space="preserve">Title: </w:t>
      </w:r>
      <w:r w:rsidR="009E5557">
        <w:t>FERC–</w:t>
      </w:r>
      <w:r w:rsidR="002F24E8">
        <w:t>725</w:t>
      </w:r>
      <w:r w:rsidR="009E5557">
        <w:t xml:space="preserve">, </w:t>
      </w:r>
      <w:r w:rsidR="002F24E8" w:rsidRPr="002F24E8">
        <w:t>Certification of Electric Reliability Organization; Procedures for Electric Reliability Standards</w:t>
      </w:r>
      <w:r w:rsidR="00A8690F">
        <w:t>.</w:t>
      </w:r>
    </w:p>
    <w:p w14:paraId="75921495" w14:textId="0B14DBE0" w:rsidR="00AA4050" w:rsidRDefault="00AA4050" w:rsidP="00AA4050">
      <w:pPr>
        <w:spacing w:line="480" w:lineRule="auto"/>
      </w:pPr>
      <w:r>
        <w:rPr>
          <w:i/>
        </w:rPr>
        <w:t>OMB Control No.:</w:t>
      </w:r>
      <w:r w:rsidRPr="00F50EDA">
        <w:t xml:space="preserve"> </w:t>
      </w:r>
      <w:r w:rsidR="002F24E8" w:rsidRPr="002F24E8">
        <w:t>1902-0225</w:t>
      </w:r>
    </w:p>
    <w:p w14:paraId="002C811C" w14:textId="3A43D4C0" w:rsidR="00AA4050" w:rsidRPr="00B5364C" w:rsidRDefault="00AA4050" w:rsidP="00AA4050">
      <w:pPr>
        <w:spacing w:line="480" w:lineRule="auto"/>
      </w:pPr>
      <w:r>
        <w:rPr>
          <w:i/>
        </w:rPr>
        <w:t>Type of Request:</w:t>
      </w:r>
      <w:r>
        <w:t xml:space="preserve"> Three-year extension of the </w:t>
      </w:r>
      <w:r w:rsidR="0095311D">
        <w:t>FERC-725</w:t>
      </w:r>
      <w:r>
        <w:t xml:space="preserve"> information collection requirements with no changes to the current reporting </w:t>
      </w:r>
      <w:r w:rsidR="002F24E8">
        <w:t xml:space="preserve">and recordkeeping </w:t>
      </w:r>
      <w:r>
        <w:t xml:space="preserve">requirements. </w:t>
      </w:r>
    </w:p>
    <w:p w14:paraId="19A1FE5D" w14:textId="77777777" w:rsidR="002F24E8" w:rsidRDefault="00B01B16" w:rsidP="002F24E8">
      <w:pPr>
        <w:spacing w:line="480" w:lineRule="auto"/>
        <w:rPr>
          <w:sz w:val="24"/>
        </w:rPr>
      </w:pPr>
      <w:r>
        <w:rPr>
          <w:i/>
        </w:rPr>
        <w:t xml:space="preserve">Abstract: </w:t>
      </w:r>
      <w:r w:rsidR="001E6510">
        <w:rPr>
          <w:i/>
        </w:rPr>
        <w:t xml:space="preserve"> </w:t>
      </w:r>
      <w:r w:rsidR="002F24E8">
        <w:t>The FERC-725 contains the following information collection elements:</w:t>
      </w:r>
    </w:p>
    <w:p w14:paraId="76A7F240" w14:textId="77777777" w:rsidR="002F24E8" w:rsidRDefault="002F24E8" w:rsidP="002F24E8">
      <w:pPr>
        <w:spacing w:line="480" w:lineRule="auto"/>
      </w:pPr>
      <w:r>
        <w:rPr>
          <w:u w:val="single"/>
        </w:rPr>
        <w:t>Self Assessment and ERO (Electric Reliability Organization) Application</w:t>
      </w:r>
      <w:r>
        <w:t xml:space="preserve">:  The Commission requires the ERO to submit to FERC a performance assessment report every five years.  The next assessment is due in 2019.  Each Regional Entity submits a performance assessment report to the ERO.  </w:t>
      </w:r>
    </w:p>
    <w:p w14:paraId="2405717F" w14:textId="77777777" w:rsidR="002F24E8" w:rsidRDefault="002F24E8" w:rsidP="002F24E8">
      <w:pPr>
        <w:spacing w:line="480" w:lineRule="auto"/>
      </w:pPr>
      <w:r>
        <w:t>Submitting an application to become the ERO is also part of this collection.</w:t>
      </w:r>
      <w:bookmarkStart w:id="2" w:name="_Ref322350115"/>
      <w:r>
        <w:rPr>
          <w:b/>
          <w:vertAlign w:val="superscript"/>
        </w:rPr>
        <w:footnoteReference w:id="1"/>
      </w:r>
      <w:bookmarkEnd w:id="2"/>
      <w:r>
        <w:t xml:space="preserve"> </w:t>
      </w:r>
    </w:p>
    <w:p w14:paraId="7FDFCC81" w14:textId="77777777" w:rsidR="002F24E8" w:rsidRDefault="002F24E8" w:rsidP="002F24E8">
      <w:pPr>
        <w:spacing w:line="480" w:lineRule="auto"/>
      </w:pPr>
      <w:r>
        <w:rPr>
          <w:u w:val="single"/>
        </w:rPr>
        <w:t>Reliability Assessments</w:t>
      </w:r>
      <w:r>
        <w:t xml:space="preserve">:  18 CFR 39.11 requires the ERO to assess the reliability and adequacy of the Bulk-Power System in North America.  Subsequently, the ERO must report to the Commission on its findings.  Regional entities perform similar assessments within individual regions.  Currently the ERO submits to FERC three assessments each year: long term, winter, and summer.  In addition, the </w:t>
      </w:r>
      <w:r w:rsidRPr="00B86BF7">
        <w:t>North American Electric Reliability Corporation (NERC</w:t>
      </w:r>
      <w:r>
        <w:t>, the Commission-approved ERO</w:t>
      </w:r>
      <w:r w:rsidRPr="00B86BF7">
        <w:t xml:space="preserve">) </w:t>
      </w:r>
      <w:r>
        <w:t xml:space="preserve">also submits various other assessments as needed.   </w:t>
      </w:r>
    </w:p>
    <w:p w14:paraId="47B579FB" w14:textId="77777777" w:rsidR="002F24E8" w:rsidRDefault="002F24E8" w:rsidP="002F24E8">
      <w:pPr>
        <w:spacing w:line="480" w:lineRule="auto"/>
      </w:pPr>
      <w:r>
        <w:rPr>
          <w:u w:val="single"/>
        </w:rPr>
        <w:t>Reliability Standards Development</w:t>
      </w:r>
      <w:r>
        <w:t xml:space="preserve">:  Under section 215 of the FPA, the ERO is charged with developing Reliability Standards.  Regional Entities may also develop regional specific standards.  </w:t>
      </w:r>
    </w:p>
    <w:p w14:paraId="18157B9C" w14:textId="77777777" w:rsidR="002F24E8" w:rsidRDefault="002F24E8" w:rsidP="002F24E8">
      <w:pPr>
        <w:spacing w:line="480" w:lineRule="auto"/>
      </w:pPr>
      <w:r>
        <w:rPr>
          <w:u w:val="single"/>
        </w:rPr>
        <w:t>Reliability Compliance</w:t>
      </w:r>
      <w:r>
        <w:t>:  Reliability Standards are mandatory and enforceable upon approval by the Commission.  In addition to the specific information collection requirements contained in each standard (cleared under other information collections), there are general compliance, monitoring and enforcement information collection requirements imposed on applicable entities.  Audits, spot checks, self-certifications, exception data submittals, violation reporting, and mitigation plan confirmation are included in this area.</w:t>
      </w:r>
    </w:p>
    <w:p w14:paraId="0B33D8F5" w14:textId="77777777" w:rsidR="002F24E8" w:rsidRDefault="002F24E8" w:rsidP="002F24E8">
      <w:pPr>
        <w:spacing w:line="480" w:lineRule="auto"/>
      </w:pPr>
      <w:r>
        <w:rPr>
          <w:u w:val="single"/>
        </w:rPr>
        <w:t>Stakeholder Survey</w:t>
      </w:r>
      <w:r>
        <w:t>:  The ERO uses a stakeholder survey to solicit feedback from registered entities</w:t>
      </w:r>
      <w:r>
        <w:rPr>
          <w:rStyle w:val="FootnoteReference"/>
        </w:rPr>
        <w:footnoteReference w:id="2"/>
      </w:r>
      <w:r>
        <w:t xml:space="preserve"> in preparation for its three year and five year self-performance assessment.  The Commission assumes that the ERO will perform another survey prior to the 2019 self- assessment.</w:t>
      </w:r>
    </w:p>
    <w:p w14:paraId="5F16D4D7" w14:textId="77777777" w:rsidR="002F24E8" w:rsidRDefault="002F24E8" w:rsidP="002F24E8">
      <w:pPr>
        <w:spacing w:line="480" w:lineRule="auto"/>
      </w:pPr>
      <w:r>
        <w:rPr>
          <w:u w:val="single"/>
        </w:rPr>
        <w:t>Other Reporting</w:t>
      </w:r>
      <w:r>
        <w:t>:  This category refers to all other reporting requirements imposed on the ERO or regional entities in order to comply with the Commission’s regulations.  For example, FERC may require NERC to submit a special reliability assessment.  This category captures these types of one-time filings required of NERC or the Regions.</w:t>
      </w:r>
    </w:p>
    <w:p w14:paraId="09F031E5" w14:textId="77777777" w:rsidR="002F24E8" w:rsidRPr="003D25C9" w:rsidRDefault="002F24E8" w:rsidP="002F24E8">
      <w:pPr>
        <w:spacing w:line="480" w:lineRule="auto"/>
      </w:pPr>
      <w:r>
        <w:t xml:space="preserve">The Commission implements its responsibilities </w:t>
      </w:r>
      <w:r w:rsidRPr="003D25C9">
        <w:t>through 18 CFR Part 39.</w:t>
      </w:r>
    </w:p>
    <w:p w14:paraId="38D9AB13" w14:textId="77777777" w:rsidR="00C728C5" w:rsidRDefault="002F24E8" w:rsidP="002F24E8">
      <w:pPr>
        <w:spacing w:line="480" w:lineRule="auto"/>
        <w:rPr>
          <w:bCs/>
        </w:rPr>
      </w:pPr>
      <w:r w:rsidRPr="003D25C9">
        <w:rPr>
          <w:bCs/>
          <w:i/>
        </w:rPr>
        <w:t xml:space="preserve">Type of Respondent: </w:t>
      </w:r>
      <w:r w:rsidRPr="003D25C9">
        <w:rPr>
          <w:bCs/>
        </w:rPr>
        <w:t>Electric Reliability Organization, Regional entities, and registered entities</w:t>
      </w:r>
      <w:r w:rsidR="00C728C5">
        <w:rPr>
          <w:bCs/>
        </w:rPr>
        <w:t>.</w:t>
      </w:r>
    </w:p>
    <w:p w14:paraId="5EB6E659" w14:textId="7688B55C" w:rsidR="002F24E8" w:rsidRPr="006E10F4" w:rsidRDefault="00C728C5" w:rsidP="002F24E8">
      <w:pPr>
        <w:spacing w:line="480" w:lineRule="auto"/>
        <w:rPr>
          <w:szCs w:val="26"/>
        </w:rPr>
      </w:pPr>
      <w:r w:rsidRPr="00A86D9E">
        <w:rPr>
          <w:bCs/>
          <w:i/>
        </w:rPr>
        <w:t>Summary and Response to Public Comment</w:t>
      </w:r>
      <w:r>
        <w:rPr>
          <w:bCs/>
        </w:rPr>
        <w:t xml:space="preserve">:  </w:t>
      </w:r>
      <w:r w:rsidRPr="006E10F4">
        <w:rPr>
          <w:szCs w:val="26"/>
        </w:rPr>
        <w:t>In response to the Notice of Information Collection and Request for Comments published in the Federal Register on September 21, 2018, the Commission received one comment from Utility Services, Inc.  The comment sought clarification on certain compliance provisions contained in the Rules of Procedure of the North American Electric Reliability Corporation (NERC), which are approved by the Commission.  The comment maintained that, depending on the Commission’s answer, the information collection burden on applicable entities associated with the application of the NERC Rules of Procedure could be affected.</w:t>
      </w:r>
    </w:p>
    <w:p w14:paraId="4440C660" w14:textId="7B3BF250" w:rsidR="00C728C5" w:rsidRPr="006E10F4" w:rsidRDefault="00C728C5" w:rsidP="00A86D9E">
      <w:pPr>
        <w:spacing w:line="480" w:lineRule="auto"/>
        <w:rPr>
          <w:szCs w:val="26"/>
        </w:rPr>
      </w:pPr>
      <w:r w:rsidRPr="006E10F4">
        <w:rPr>
          <w:szCs w:val="26"/>
        </w:rPr>
        <w:t>Th</w:t>
      </w:r>
      <w:r w:rsidR="00347056" w:rsidRPr="006E10F4">
        <w:rPr>
          <w:szCs w:val="26"/>
        </w:rPr>
        <w:t>e Commission find</w:t>
      </w:r>
      <w:r w:rsidR="00C81A97" w:rsidRPr="006E10F4">
        <w:rPr>
          <w:szCs w:val="26"/>
        </w:rPr>
        <w:t>s</w:t>
      </w:r>
      <w:r w:rsidR="00347056" w:rsidRPr="006E10F4">
        <w:rPr>
          <w:szCs w:val="26"/>
        </w:rPr>
        <w:t xml:space="preserve"> th</w:t>
      </w:r>
      <w:r w:rsidRPr="006E10F4">
        <w:rPr>
          <w:szCs w:val="26"/>
        </w:rPr>
        <w:t>is proceeding is not the proper forum to request clarification regarding the scope and application of the NERC Rules of Procedure.  Such requests may be directed to NERC or, more formally, through a petition to the Commission proposing changes to the NERC Rules of Procedure.  Such a request, if filed with the Commission, would be addressed after notice and opportunity for comment and the development of a record.  By contrast, while the comment states that the request for clarification is motivated by uncertainty among applicable entities (i.e., the commenter’s unnamed clients), that assertion is unsubstantiated.  In addition, the provisions in the NERC Rules of Procedure referenced by the commenter were approved by the Commission in response to a petition filed by NERC, to which no comments were received.</w:t>
      </w:r>
    </w:p>
    <w:p w14:paraId="2A6D757B" w14:textId="77777777" w:rsidR="00C728C5" w:rsidRDefault="00C728C5" w:rsidP="002F24E8">
      <w:pPr>
        <w:spacing w:line="480" w:lineRule="auto"/>
        <w:rPr>
          <w:bCs/>
        </w:rPr>
      </w:pPr>
    </w:p>
    <w:p w14:paraId="13BE54A2" w14:textId="77777777" w:rsidR="00D42209" w:rsidRPr="006E10F4" w:rsidRDefault="00D42209" w:rsidP="00D42209">
      <w:pPr>
        <w:spacing w:line="480" w:lineRule="auto"/>
        <w:rPr>
          <w:szCs w:val="26"/>
          <w:highlight w:val="cyan"/>
        </w:rPr>
      </w:pPr>
      <w:r w:rsidRPr="004E2C78">
        <w:rPr>
          <w:i/>
        </w:rPr>
        <w:t>Estimate of Annual Burden</w:t>
      </w:r>
      <w:r w:rsidRPr="003D25C9">
        <w:rPr>
          <w:rStyle w:val="FootnoteReference"/>
          <w:i/>
        </w:rPr>
        <w:footnoteReference w:id="3"/>
      </w:r>
      <w:r w:rsidRPr="003D25C9">
        <w:t>: The Commission estimates the total annual burden and cost</w:t>
      </w:r>
      <w:r w:rsidRPr="003D25C9">
        <w:rPr>
          <w:rStyle w:val="FootnoteReference"/>
        </w:rPr>
        <w:footnoteReference w:id="4"/>
      </w:r>
      <w:r w:rsidRPr="003D25C9">
        <w:t xml:space="preserve"> for this information collection in the table below.  For hourly cost (for wages and benefits), we estimate </w:t>
      </w:r>
      <w:r w:rsidRPr="004E2C78">
        <w:rPr>
          <w:sz w:val="24"/>
        </w:rPr>
        <w:t xml:space="preserve">that 70% </w:t>
      </w:r>
      <w:r w:rsidRPr="006E10F4">
        <w:rPr>
          <w:szCs w:val="26"/>
        </w:rPr>
        <w:t>of the time is spent by Electrical Engineers (code 17-2071, at $66.90/hr.), 20% of the time is spent by Legal (code 23-0000, at $143.68/hr.), and 10% by Office and Administrative Support (code 43-0000, at $41.34/hr.).   Therefore, we use the weighted hourly cost (for wages and benefits) of $79.70 {or [(0.70) * ($66.90/hr.)] + [(0.20) * $143.68/hr.] + [(0.10) * $41.34/hr.]}.</w:t>
      </w:r>
    </w:p>
    <w:tbl>
      <w:tblPr>
        <w:tblpPr w:leftFromText="180" w:rightFromText="180" w:vertAnchor="text" w:horzAnchor="margin" w:tblpX="108" w:tblpY="229"/>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800"/>
        <w:gridCol w:w="1350"/>
        <w:gridCol w:w="1350"/>
        <w:gridCol w:w="1350"/>
        <w:gridCol w:w="1530"/>
        <w:gridCol w:w="1440"/>
      </w:tblGrid>
      <w:tr w:rsidR="00D42209" w:rsidRPr="00D6457E" w14:paraId="26518018" w14:textId="77777777" w:rsidTr="00C06CC4">
        <w:trPr>
          <w:trHeight w:val="347"/>
        </w:trPr>
        <w:tc>
          <w:tcPr>
            <w:tcW w:w="10188" w:type="dxa"/>
            <w:gridSpan w:val="7"/>
            <w:shd w:val="clear" w:color="auto" w:fill="D9D9D9"/>
            <w:vAlign w:val="bottom"/>
          </w:tcPr>
          <w:p w14:paraId="07C18680" w14:textId="79C8160D" w:rsidR="00D42209" w:rsidRPr="00D6457E" w:rsidRDefault="00D42209" w:rsidP="00C06CC4">
            <w:pPr>
              <w:jc w:val="center"/>
              <w:rPr>
                <w:b/>
                <w:sz w:val="24"/>
              </w:rPr>
            </w:pPr>
            <w:r w:rsidRPr="00D6457E">
              <w:rPr>
                <w:b/>
                <w:sz w:val="24"/>
              </w:rPr>
              <w:t>FERC-725</w:t>
            </w:r>
            <w:r w:rsidR="0054073B">
              <w:rPr>
                <w:b/>
                <w:sz w:val="24"/>
              </w:rPr>
              <w:t>,</w:t>
            </w:r>
            <w:r w:rsidR="0054073B" w:rsidRPr="0054073B">
              <w:t xml:space="preserve"> </w:t>
            </w:r>
            <w:r w:rsidR="0054073B" w:rsidRPr="0054073B">
              <w:rPr>
                <w:b/>
                <w:sz w:val="24"/>
              </w:rPr>
              <w:t>Certification of Electric Reliability Organization; Procedures for Electric Reliability Standards</w:t>
            </w:r>
          </w:p>
        </w:tc>
      </w:tr>
      <w:tr w:rsidR="00D42209" w:rsidRPr="00D6457E" w14:paraId="2AAA2EB1" w14:textId="77777777" w:rsidTr="00C06CC4">
        <w:trPr>
          <w:trHeight w:val="1250"/>
        </w:trPr>
        <w:tc>
          <w:tcPr>
            <w:tcW w:w="1368" w:type="dxa"/>
            <w:shd w:val="clear" w:color="auto" w:fill="D9D9D9"/>
            <w:vAlign w:val="bottom"/>
          </w:tcPr>
          <w:p w14:paraId="1FABD6E9" w14:textId="77777777" w:rsidR="00D42209" w:rsidRPr="00D6457E" w:rsidRDefault="00D42209" w:rsidP="00C06CC4">
            <w:pPr>
              <w:rPr>
                <w:b/>
                <w:sz w:val="24"/>
              </w:rPr>
            </w:pPr>
            <w:r w:rsidRPr="00D6457E">
              <w:rPr>
                <w:b/>
                <w:sz w:val="24"/>
              </w:rPr>
              <w:t>Type of Respondent</w:t>
            </w:r>
          </w:p>
        </w:tc>
        <w:tc>
          <w:tcPr>
            <w:tcW w:w="1800" w:type="dxa"/>
            <w:shd w:val="clear" w:color="auto" w:fill="D9D9D9"/>
            <w:vAlign w:val="bottom"/>
          </w:tcPr>
          <w:p w14:paraId="1E607958" w14:textId="77777777" w:rsidR="00D42209" w:rsidRPr="00D6457E" w:rsidRDefault="00D42209" w:rsidP="00C06CC4">
            <w:pPr>
              <w:rPr>
                <w:b/>
                <w:sz w:val="24"/>
              </w:rPr>
            </w:pPr>
            <w:r w:rsidRPr="00D6457E">
              <w:rPr>
                <w:b/>
                <w:sz w:val="24"/>
              </w:rPr>
              <w:t>Type of Reporting Requirement</w:t>
            </w:r>
          </w:p>
        </w:tc>
        <w:tc>
          <w:tcPr>
            <w:tcW w:w="1350" w:type="dxa"/>
            <w:shd w:val="clear" w:color="auto" w:fill="D9D9D9"/>
            <w:vAlign w:val="bottom"/>
          </w:tcPr>
          <w:p w14:paraId="761BF07E" w14:textId="77777777" w:rsidR="00D42209" w:rsidRPr="00D6457E" w:rsidRDefault="00D42209" w:rsidP="00C06CC4">
            <w:pPr>
              <w:jc w:val="center"/>
              <w:rPr>
                <w:b/>
                <w:sz w:val="24"/>
              </w:rPr>
            </w:pPr>
            <w:r w:rsidRPr="00D6457E">
              <w:rPr>
                <w:b/>
                <w:sz w:val="24"/>
              </w:rPr>
              <w:t>No. of Respondents</w:t>
            </w:r>
          </w:p>
          <w:p w14:paraId="28E61593" w14:textId="77777777" w:rsidR="00D42209" w:rsidRPr="00D6457E" w:rsidRDefault="00D42209" w:rsidP="00C06CC4">
            <w:pPr>
              <w:jc w:val="center"/>
              <w:rPr>
                <w:b/>
                <w:sz w:val="24"/>
              </w:rPr>
            </w:pPr>
            <w:r w:rsidRPr="00D6457E">
              <w:rPr>
                <w:b/>
                <w:sz w:val="24"/>
              </w:rPr>
              <w:t>(A)</w:t>
            </w:r>
          </w:p>
        </w:tc>
        <w:tc>
          <w:tcPr>
            <w:tcW w:w="1350" w:type="dxa"/>
            <w:shd w:val="clear" w:color="auto" w:fill="D9D9D9"/>
            <w:vAlign w:val="bottom"/>
          </w:tcPr>
          <w:p w14:paraId="1DD66F5D" w14:textId="77777777" w:rsidR="00D42209" w:rsidRPr="00D6457E" w:rsidRDefault="00D42209" w:rsidP="00C06CC4">
            <w:pPr>
              <w:jc w:val="center"/>
              <w:rPr>
                <w:b/>
                <w:sz w:val="24"/>
              </w:rPr>
            </w:pPr>
            <w:r w:rsidRPr="00D6457E">
              <w:rPr>
                <w:b/>
                <w:sz w:val="24"/>
              </w:rPr>
              <w:t>Annual No. of Responses Per Respondent</w:t>
            </w:r>
          </w:p>
          <w:p w14:paraId="467AF6C9" w14:textId="77777777" w:rsidR="00D42209" w:rsidRPr="00D6457E" w:rsidRDefault="00D42209" w:rsidP="00C06CC4">
            <w:pPr>
              <w:jc w:val="center"/>
              <w:rPr>
                <w:b/>
                <w:sz w:val="24"/>
              </w:rPr>
            </w:pPr>
            <w:r w:rsidRPr="00D6457E">
              <w:rPr>
                <w:b/>
                <w:sz w:val="24"/>
              </w:rPr>
              <w:t>(B)</w:t>
            </w:r>
            <w:r w:rsidRPr="00D6457E">
              <w:rPr>
                <w:sz w:val="24"/>
                <w:vertAlign w:val="superscript"/>
              </w:rPr>
              <w:footnoteReference w:id="5"/>
            </w:r>
          </w:p>
        </w:tc>
        <w:tc>
          <w:tcPr>
            <w:tcW w:w="1350" w:type="dxa"/>
            <w:shd w:val="clear" w:color="auto" w:fill="D9D9D9"/>
            <w:vAlign w:val="bottom"/>
          </w:tcPr>
          <w:p w14:paraId="765A591A" w14:textId="77777777" w:rsidR="00D42209" w:rsidRPr="00D6457E" w:rsidRDefault="00D42209" w:rsidP="00C06CC4">
            <w:pPr>
              <w:jc w:val="center"/>
              <w:rPr>
                <w:b/>
                <w:sz w:val="24"/>
              </w:rPr>
            </w:pPr>
            <w:r w:rsidRPr="00D6457E">
              <w:rPr>
                <w:b/>
                <w:sz w:val="24"/>
              </w:rPr>
              <w:t xml:space="preserve">Total No. of Responses </w:t>
            </w:r>
          </w:p>
          <w:p w14:paraId="031943B8" w14:textId="77777777" w:rsidR="00D42209" w:rsidRPr="00D6457E" w:rsidRDefault="00D42209" w:rsidP="00C06CC4">
            <w:pPr>
              <w:jc w:val="center"/>
              <w:rPr>
                <w:b/>
                <w:sz w:val="24"/>
              </w:rPr>
            </w:pPr>
            <w:r w:rsidRPr="00D6457E">
              <w:rPr>
                <w:b/>
                <w:sz w:val="24"/>
              </w:rPr>
              <w:t>(A)x(B)=(C)</w:t>
            </w:r>
          </w:p>
        </w:tc>
        <w:tc>
          <w:tcPr>
            <w:tcW w:w="1530" w:type="dxa"/>
            <w:shd w:val="clear" w:color="auto" w:fill="D9D9D9"/>
            <w:vAlign w:val="bottom"/>
          </w:tcPr>
          <w:p w14:paraId="7B479453" w14:textId="77777777" w:rsidR="00D42209" w:rsidRPr="00D6457E" w:rsidRDefault="00D42209" w:rsidP="00C06CC4">
            <w:pPr>
              <w:jc w:val="center"/>
              <w:rPr>
                <w:b/>
                <w:sz w:val="24"/>
              </w:rPr>
            </w:pPr>
            <w:r w:rsidRPr="00D6457E">
              <w:rPr>
                <w:b/>
                <w:sz w:val="24"/>
              </w:rPr>
              <w:t>Average Burden Hours &amp; Cost ($) per Response (rounded)</w:t>
            </w:r>
          </w:p>
          <w:p w14:paraId="041233FD" w14:textId="77777777" w:rsidR="00D42209" w:rsidRPr="00D6457E" w:rsidRDefault="00D42209" w:rsidP="00C06CC4">
            <w:pPr>
              <w:jc w:val="center"/>
              <w:rPr>
                <w:b/>
                <w:sz w:val="24"/>
              </w:rPr>
            </w:pPr>
            <w:r w:rsidRPr="00D6457E">
              <w:rPr>
                <w:b/>
                <w:sz w:val="24"/>
              </w:rPr>
              <w:t>(D)</w:t>
            </w:r>
          </w:p>
        </w:tc>
        <w:tc>
          <w:tcPr>
            <w:tcW w:w="1440" w:type="dxa"/>
            <w:shd w:val="clear" w:color="auto" w:fill="D9D9D9"/>
            <w:vAlign w:val="bottom"/>
          </w:tcPr>
          <w:p w14:paraId="49611074" w14:textId="77777777" w:rsidR="00D42209" w:rsidRPr="00D6457E" w:rsidRDefault="00D42209" w:rsidP="00C06CC4">
            <w:pPr>
              <w:jc w:val="center"/>
              <w:rPr>
                <w:b/>
                <w:sz w:val="24"/>
              </w:rPr>
            </w:pPr>
            <w:r w:rsidRPr="00D6457E">
              <w:rPr>
                <w:b/>
                <w:sz w:val="24"/>
              </w:rPr>
              <w:t>Estimated Total Annual Burden Hrs. &amp; Cost ($) (rounded)</w:t>
            </w:r>
          </w:p>
          <w:p w14:paraId="2BC11E0A" w14:textId="77777777" w:rsidR="00D42209" w:rsidRPr="00D6457E" w:rsidRDefault="00D42209" w:rsidP="00C06CC4">
            <w:pPr>
              <w:jc w:val="center"/>
              <w:rPr>
                <w:b/>
                <w:sz w:val="24"/>
              </w:rPr>
            </w:pPr>
            <w:r w:rsidRPr="00D6457E">
              <w:rPr>
                <w:b/>
                <w:sz w:val="24"/>
              </w:rPr>
              <w:t>(C)x(D)</w:t>
            </w:r>
          </w:p>
        </w:tc>
      </w:tr>
      <w:tr w:rsidR="00D42209" w:rsidRPr="00D6457E" w14:paraId="4F72B4CF" w14:textId="77777777" w:rsidTr="00C06CC4">
        <w:trPr>
          <w:trHeight w:val="252"/>
        </w:trPr>
        <w:tc>
          <w:tcPr>
            <w:tcW w:w="1368" w:type="dxa"/>
            <w:vMerge w:val="restart"/>
          </w:tcPr>
          <w:p w14:paraId="5DCDF399" w14:textId="77777777" w:rsidR="00D42209" w:rsidRPr="00D6457E" w:rsidRDefault="00D42209" w:rsidP="00C06CC4">
            <w:pPr>
              <w:rPr>
                <w:sz w:val="24"/>
              </w:rPr>
            </w:pPr>
            <w:r w:rsidRPr="00D6457E">
              <w:rPr>
                <w:sz w:val="24"/>
              </w:rPr>
              <w:t>Electric Reliability Organization (ERO)</w:t>
            </w:r>
            <w:r w:rsidRPr="00D6457E" w:rsidDel="0028362A">
              <w:rPr>
                <w:sz w:val="24"/>
                <w:vertAlign w:val="superscript"/>
              </w:rPr>
              <w:t xml:space="preserve"> </w:t>
            </w:r>
          </w:p>
        </w:tc>
        <w:tc>
          <w:tcPr>
            <w:tcW w:w="1800" w:type="dxa"/>
          </w:tcPr>
          <w:p w14:paraId="4107105F" w14:textId="77777777" w:rsidR="00D42209" w:rsidRPr="00D6457E" w:rsidRDefault="00D42209" w:rsidP="00C06CC4">
            <w:pPr>
              <w:rPr>
                <w:sz w:val="24"/>
              </w:rPr>
            </w:pPr>
            <w:r w:rsidRPr="00D6457E">
              <w:rPr>
                <w:sz w:val="24"/>
              </w:rPr>
              <w:t>Self-Assessment</w:t>
            </w:r>
          </w:p>
        </w:tc>
        <w:tc>
          <w:tcPr>
            <w:tcW w:w="1350" w:type="dxa"/>
            <w:vMerge w:val="restart"/>
            <w:vAlign w:val="bottom"/>
          </w:tcPr>
          <w:p w14:paraId="470BD38B" w14:textId="77777777" w:rsidR="00D42209" w:rsidRPr="00D6457E" w:rsidRDefault="00D42209" w:rsidP="00CD37C7">
            <w:pPr>
              <w:jc w:val="right"/>
              <w:rPr>
                <w:sz w:val="24"/>
              </w:rPr>
            </w:pPr>
            <w:r w:rsidRPr="00D6457E">
              <w:rPr>
                <w:sz w:val="24"/>
              </w:rPr>
              <w:t>1</w:t>
            </w:r>
          </w:p>
        </w:tc>
        <w:tc>
          <w:tcPr>
            <w:tcW w:w="1350" w:type="dxa"/>
            <w:shd w:val="clear" w:color="auto" w:fill="auto"/>
            <w:vAlign w:val="bottom"/>
          </w:tcPr>
          <w:p w14:paraId="2BBF5CD4" w14:textId="77777777" w:rsidR="00D42209" w:rsidRPr="00D6457E" w:rsidRDefault="00D42209" w:rsidP="00CD37C7">
            <w:pPr>
              <w:jc w:val="right"/>
              <w:rPr>
                <w:sz w:val="24"/>
              </w:rPr>
            </w:pPr>
            <w:r w:rsidRPr="00D6457E">
              <w:rPr>
                <w:sz w:val="24"/>
              </w:rPr>
              <w:t>.2</w:t>
            </w:r>
          </w:p>
        </w:tc>
        <w:tc>
          <w:tcPr>
            <w:tcW w:w="1350" w:type="dxa"/>
            <w:shd w:val="clear" w:color="auto" w:fill="auto"/>
            <w:vAlign w:val="bottom"/>
          </w:tcPr>
          <w:p w14:paraId="675908FB" w14:textId="77777777" w:rsidR="00D42209" w:rsidRPr="00D6457E" w:rsidRDefault="00D42209" w:rsidP="00CD37C7">
            <w:pPr>
              <w:jc w:val="right"/>
              <w:rPr>
                <w:sz w:val="24"/>
              </w:rPr>
            </w:pPr>
            <w:r w:rsidRPr="00D6457E">
              <w:rPr>
                <w:sz w:val="24"/>
              </w:rPr>
              <w:t>.2</w:t>
            </w:r>
          </w:p>
        </w:tc>
        <w:tc>
          <w:tcPr>
            <w:tcW w:w="1530" w:type="dxa"/>
            <w:shd w:val="clear" w:color="auto" w:fill="auto"/>
            <w:vAlign w:val="bottom"/>
          </w:tcPr>
          <w:p w14:paraId="5DBA6876" w14:textId="77777777" w:rsidR="00D42209" w:rsidRPr="00D6457E" w:rsidRDefault="00D42209" w:rsidP="00CD37C7">
            <w:pPr>
              <w:jc w:val="right"/>
              <w:rPr>
                <w:sz w:val="24"/>
              </w:rPr>
            </w:pPr>
            <w:r w:rsidRPr="00D6457E">
              <w:rPr>
                <w:sz w:val="24"/>
              </w:rPr>
              <w:t>4,160 hrs.; $331,552</w:t>
            </w:r>
          </w:p>
        </w:tc>
        <w:tc>
          <w:tcPr>
            <w:tcW w:w="1440" w:type="dxa"/>
            <w:shd w:val="clear" w:color="auto" w:fill="auto"/>
            <w:vAlign w:val="bottom"/>
          </w:tcPr>
          <w:p w14:paraId="53466A8E" w14:textId="77777777" w:rsidR="00D42209" w:rsidRPr="00D6457E" w:rsidRDefault="00D42209" w:rsidP="00CD37C7">
            <w:pPr>
              <w:jc w:val="right"/>
              <w:rPr>
                <w:sz w:val="24"/>
              </w:rPr>
            </w:pPr>
            <w:r w:rsidRPr="00D6457E">
              <w:rPr>
                <w:sz w:val="24"/>
              </w:rPr>
              <w:t>832 hrs.; $66,310</w:t>
            </w:r>
          </w:p>
        </w:tc>
      </w:tr>
      <w:tr w:rsidR="00D42209" w:rsidRPr="00D6457E" w14:paraId="6DC971DE" w14:textId="77777777" w:rsidTr="00C06CC4">
        <w:trPr>
          <w:trHeight w:val="251"/>
        </w:trPr>
        <w:tc>
          <w:tcPr>
            <w:tcW w:w="1368" w:type="dxa"/>
            <w:vMerge/>
          </w:tcPr>
          <w:p w14:paraId="7E8F4043" w14:textId="77777777" w:rsidR="00D42209" w:rsidRPr="00D6457E" w:rsidRDefault="00D42209" w:rsidP="00C06CC4">
            <w:pPr>
              <w:rPr>
                <w:sz w:val="24"/>
              </w:rPr>
            </w:pPr>
          </w:p>
        </w:tc>
        <w:tc>
          <w:tcPr>
            <w:tcW w:w="1800" w:type="dxa"/>
          </w:tcPr>
          <w:p w14:paraId="58A14D17" w14:textId="77777777" w:rsidR="00D42209" w:rsidRPr="00D6457E" w:rsidRDefault="00D42209" w:rsidP="00C06CC4">
            <w:pPr>
              <w:rPr>
                <w:sz w:val="24"/>
              </w:rPr>
            </w:pPr>
            <w:r w:rsidRPr="00D6457E">
              <w:rPr>
                <w:sz w:val="24"/>
              </w:rPr>
              <w:t>Reliability Assessments</w:t>
            </w:r>
          </w:p>
        </w:tc>
        <w:tc>
          <w:tcPr>
            <w:tcW w:w="1350" w:type="dxa"/>
            <w:vMerge/>
            <w:vAlign w:val="bottom"/>
          </w:tcPr>
          <w:p w14:paraId="3F1743D9" w14:textId="77777777" w:rsidR="00D42209" w:rsidRPr="00D6457E" w:rsidRDefault="00D42209" w:rsidP="00CD37C7">
            <w:pPr>
              <w:jc w:val="right"/>
              <w:rPr>
                <w:sz w:val="24"/>
              </w:rPr>
            </w:pPr>
          </w:p>
        </w:tc>
        <w:tc>
          <w:tcPr>
            <w:tcW w:w="1350" w:type="dxa"/>
            <w:tcBorders>
              <w:bottom w:val="single" w:sz="4" w:space="0" w:color="auto"/>
            </w:tcBorders>
            <w:shd w:val="clear" w:color="auto" w:fill="auto"/>
            <w:vAlign w:val="bottom"/>
          </w:tcPr>
          <w:p w14:paraId="7A92A329" w14:textId="77777777" w:rsidR="00D42209" w:rsidRPr="00D6457E" w:rsidRDefault="00D42209" w:rsidP="00CD37C7">
            <w:pPr>
              <w:jc w:val="right"/>
              <w:rPr>
                <w:sz w:val="24"/>
              </w:rPr>
            </w:pPr>
            <w:r w:rsidRPr="00D6457E">
              <w:rPr>
                <w:sz w:val="24"/>
              </w:rPr>
              <w:t>5.5</w:t>
            </w:r>
          </w:p>
        </w:tc>
        <w:tc>
          <w:tcPr>
            <w:tcW w:w="1350" w:type="dxa"/>
            <w:tcBorders>
              <w:bottom w:val="single" w:sz="4" w:space="0" w:color="auto"/>
            </w:tcBorders>
            <w:shd w:val="clear" w:color="auto" w:fill="auto"/>
            <w:vAlign w:val="bottom"/>
          </w:tcPr>
          <w:p w14:paraId="668A5919" w14:textId="77777777" w:rsidR="00D42209" w:rsidRPr="00D6457E" w:rsidRDefault="00D42209" w:rsidP="00CD37C7">
            <w:pPr>
              <w:jc w:val="right"/>
              <w:rPr>
                <w:sz w:val="24"/>
              </w:rPr>
            </w:pPr>
            <w:r w:rsidRPr="00D6457E">
              <w:rPr>
                <w:sz w:val="24"/>
              </w:rPr>
              <w:t>5.5</w:t>
            </w:r>
          </w:p>
        </w:tc>
        <w:tc>
          <w:tcPr>
            <w:tcW w:w="1530" w:type="dxa"/>
            <w:tcBorders>
              <w:bottom w:val="single" w:sz="4" w:space="0" w:color="auto"/>
            </w:tcBorders>
            <w:shd w:val="clear" w:color="auto" w:fill="auto"/>
            <w:vAlign w:val="bottom"/>
          </w:tcPr>
          <w:p w14:paraId="64890200" w14:textId="77777777" w:rsidR="00D42209" w:rsidRPr="00D6457E" w:rsidRDefault="00D42209" w:rsidP="00CD37C7">
            <w:pPr>
              <w:jc w:val="right"/>
              <w:rPr>
                <w:sz w:val="24"/>
              </w:rPr>
            </w:pPr>
            <w:r w:rsidRPr="00D6457E">
              <w:rPr>
                <w:sz w:val="24"/>
              </w:rPr>
              <w:t>15,600 hrs.; $1,243,320</w:t>
            </w:r>
          </w:p>
        </w:tc>
        <w:tc>
          <w:tcPr>
            <w:tcW w:w="1440" w:type="dxa"/>
            <w:shd w:val="clear" w:color="auto" w:fill="auto"/>
            <w:vAlign w:val="bottom"/>
          </w:tcPr>
          <w:p w14:paraId="771EA5BE" w14:textId="77777777" w:rsidR="00D42209" w:rsidRPr="00D6457E" w:rsidRDefault="00D42209" w:rsidP="00CD37C7">
            <w:pPr>
              <w:jc w:val="right"/>
              <w:rPr>
                <w:sz w:val="24"/>
              </w:rPr>
            </w:pPr>
            <w:r w:rsidRPr="00D6457E">
              <w:rPr>
                <w:sz w:val="24"/>
              </w:rPr>
              <w:t>85,800 hrs.; $6,838,260</w:t>
            </w:r>
          </w:p>
        </w:tc>
      </w:tr>
      <w:tr w:rsidR="00D42209" w:rsidRPr="00D6457E" w14:paraId="5AA97F5B" w14:textId="77777777" w:rsidTr="00C06CC4">
        <w:trPr>
          <w:trHeight w:val="251"/>
        </w:trPr>
        <w:tc>
          <w:tcPr>
            <w:tcW w:w="1368" w:type="dxa"/>
            <w:vMerge/>
          </w:tcPr>
          <w:p w14:paraId="642237A0" w14:textId="77777777" w:rsidR="00D42209" w:rsidRPr="00D6457E" w:rsidRDefault="00D42209" w:rsidP="00C06CC4">
            <w:pPr>
              <w:rPr>
                <w:sz w:val="24"/>
              </w:rPr>
            </w:pPr>
          </w:p>
        </w:tc>
        <w:tc>
          <w:tcPr>
            <w:tcW w:w="1800" w:type="dxa"/>
          </w:tcPr>
          <w:p w14:paraId="0FBCD736" w14:textId="77777777" w:rsidR="00D42209" w:rsidRPr="00D6457E" w:rsidRDefault="00D42209" w:rsidP="00C06CC4">
            <w:pPr>
              <w:rPr>
                <w:sz w:val="24"/>
              </w:rPr>
            </w:pPr>
            <w:r w:rsidRPr="00D6457E">
              <w:rPr>
                <w:sz w:val="24"/>
              </w:rPr>
              <w:t>Reliability Compliance</w:t>
            </w:r>
          </w:p>
        </w:tc>
        <w:tc>
          <w:tcPr>
            <w:tcW w:w="1350" w:type="dxa"/>
            <w:vMerge/>
            <w:vAlign w:val="bottom"/>
          </w:tcPr>
          <w:p w14:paraId="5A98DD2D" w14:textId="77777777" w:rsidR="00D42209" w:rsidRPr="00D6457E" w:rsidRDefault="00D42209" w:rsidP="00CD37C7">
            <w:pPr>
              <w:jc w:val="right"/>
              <w:rPr>
                <w:sz w:val="24"/>
              </w:rPr>
            </w:pPr>
          </w:p>
        </w:tc>
        <w:tc>
          <w:tcPr>
            <w:tcW w:w="1350" w:type="dxa"/>
            <w:shd w:val="clear" w:color="auto" w:fill="auto"/>
            <w:vAlign w:val="bottom"/>
          </w:tcPr>
          <w:p w14:paraId="3569E7C8" w14:textId="77777777" w:rsidR="00D42209" w:rsidRPr="00D6457E" w:rsidRDefault="00D42209" w:rsidP="00CD37C7">
            <w:pPr>
              <w:jc w:val="right"/>
              <w:rPr>
                <w:sz w:val="24"/>
              </w:rPr>
            </w:pPr>
            <w:r w:rsidRPr="00D6457E">
              <w:rPr>
                <w:sz w:val="24"/>
              </w:rPr>
              <w:t>2</w:t>
            </w:r>
          </w:p>
        </w:tc>
        <w:tc>
          <w:tcPr>
            <w:tcW w:w="1350" w:type="dxa"/>
            <w:shd w:val="clear" w:color="auto" w:fill="auto"/>
            <w:vAlign w:val="bottom"/>
          </w:tcPr>
          <w:p w14:paraId="3AEDB4BB" w14:textId="77777777" w:rsidR="00D42209" w:rsidRPr="00D6457E" w:rsidRDefault="00D42209" w:rsidP="00CD37C7">
            <w:pPr>
              <w:jc w:val="right"/>
              <w:rPr>
                <w:sz w:val="24"/>
              </w:rPr>
            </w:pPr>
            <w:r w:rsidRPr="00D6457E">
              <w:rPr>
                <w:sz w:val="24"/>
              </w:rPr>
              <w:t>2</w:t>
            </w:r>
          </w:p>
        </w:tc>
        <w:tc>
          <w:tcPr>
            <w:tcW w:w="1530" w:type="dxa"/>
            <w:shd w:val="clear" w:color="auto" w:fill="auto"/>
            <w:vAlign w:val="bottom"/>
          </w:tcPr>
          <w:p w14:paraId="4C3B31F0" w14:textId="77777777" w:rsidR="00D42209" w:rsidRPr="00D6457E" w:rsidRDefault="00D42209" w:rsidP="00CD37C7">
            <w:pPr>
              <w:jc w:val="right"/>
              <w:rPr>
                <w:sz w:val="24"/>
              </w:rPr>
            </w:pPr>
            <w:r w:rsidRPr="00D6457E">
              <w:rPr>
                <w:sz w:val="24"/>
              </w:rPr>
              <w:t>20,280 hrs.; $1,616,316</w:t>
            </w:r>
          </w:p>
        </w:tc>
        <w:tc>
          <w:tcPr>
            <w:tcW w:w="1440" w:type="dxa"/>
            <w:shd w:val="clear" w:color="auto" w:fill="auto"/>
            <w:vAlign w:val="bottom"/>
          </w:tcPr>
          <w:p w14:paraId="15F7B362" w14:textId="77777777" w:rsidR="00D42209" w:rsidRPr="00D6457E" w:rsidRDefault="00D42209" w:rsidP="00CD37C7">
            <w:pPr>
              <w:jc w:val="right"/>
              <w:rPr>
                <w:sz w:val="24"/>
              </w:rPr>
            </w:pPr>
            <w:r w:rsidRPr="00D6457E">
              <w:rPr>
                <w:sz w:val="24"/>
              </w:rPr>
              <w:t>40,560 hrs.; $</w:t>
            </w:r>
            <w:r>
              <w:rPr>
                <w:sz w:val="24"/>
              </w:rPr>
              <w:t>3,232,632</w:t>
            </w:r>
          </w:p>
        </w:tc>
      </w:tr>
      <w:tr w:rsidR="00D42209" w:rsidRPr="00D6457E" w14:paraId="3B6699CA" w14:textId="77777777" w:rsidTr="00C06CC4">
        <w:trPr>
          <w:trHeight w:val="410"/>
        </w:trPr>
        <w:tc>
          <w:tcPr>
            <w:tcW w:w="1368" w:type="dxa"/>
            <w:vMerge/>
          </w:tcPr>
          <w:p w14:paraId="3387AE36" w14:textId="77777777" w:rsidR="00D42209" w:rsidRPr="00D6457E" w:rsidRDefault="00D42209" w:rsidP="00C06CC4">
            <w:pPr>
              <w:rPr>
                <w:sz w:val="24"/>
              </w:rPr>
            </w:pPr>
          </w:p>
        </w:tc>
        <w:tc>
          <w:tcPr>
            <w:tcW w:w="1800" w:type="dxa"/>
          </w:tcPr>
          <w:p w14:paraId="77331386" w14:textId="77777777" w:rsidR="00D42209" w:rsidRPr="00D6457E" w:rsidRDefault="00D42209" w:rsidP="00C06CC4">
            <w:pPr>
              <w:rPr>
                <w:sz w:val="24"/>
              </w:rPr>
            </w:pPr>
            <w:r w:rsidRPr="00D6457E">
              <w:rPr>
                <w:sz w:val="24"/>
              </w:rPr>
              <w:t>Standards Development</w:t>
            </w:r>
          </w:p>
        </w:tc>
        <w:tc>
          <w:tcPr>
            <w:tcW w:w="1350" w:type="dxa"/>
            <w:vMerge/>
            <w:vAlign w:val="bottom"/>
          </w:tcPr>
          <w:p w14:paraId="7D80E793" w14:textId="77777777" w:rsidR="00D42209" w:rsidRPr="00D6457E" w:rsidRDefault="00D42209" w:rsidP="00CD37C7">
            <w:pPr>
              <w:jc w:val="right"/>
              <w:rPr>
                <w:sz w:val="24"/>
              </w:rPr>
            </w:pPr>
          </w:p>
        </w:tc>
        <w:tc>
          <w:tcPr>
            <w:tcW w:w="1350" w:type="dxa"/>
            <w:shd w:val="clear" w:color="auto" w:fill="auto"/>
            <w:vAlign w:val="bottom"/>
          </w:tcPr>
          <w:p w14:paraId="5540E1D2" w14:textId="77777777" w:rsidR="00D42209" w:rsidRPr="00D6457E" w:rsidRDefault="00D42209" w:rsidP="00CD37C7">
            <w:pPr>
              <w:jc w:val="right"/>
              <w:rPr>
                <w:sz w:val="24"/>
              </w:rPr>
            </w:pPr>
            <w:r w:rsidRPr="00D6457E">
              <w:rPr>
                <w:sz w:val="24"/>
              </w:rPr>
              <w:t>1</w:t>
            </w:r>
          </w:p>
        </w:tc>
        <w:tc>
          <w:tcPr>
            <w:tcW w:w="1350" w:type="dxa"/>
            <w:shd w:val="clear" w:color="auto" w:fill="auto"/>
            <w:vAlign w:val="bottom"/>
          </w:tcPr>
          <w:p w14:paraId="35241306" w14:textId="77777777" w:rsidR="00D42209" w:rsidRPr="00D6457E" w:rsidRDefault="00D42209" w:rsidP="00CD37C7">
            <w:pPr>
              <w:jc w:val="right"/>
              <w:rPr>
                <w:sz w:val="24"/>
              </w:rPr>
            </w:pPr>
            <w:r w:rsidRPr="00D6457E">
              <w:rPr>
                <w:sz w:val="24"/>
              </w:rPr>
              <w:t>1</w:t>
            </w:r>
          </w:p>
        </w:tc>
        <w:tc>
          <w:tcPr>
            <w:tcW w:w="1530" w:type="dxa"/>
            <w:shd w:val="clear" w:color="auto" w:fill="auto"/>
            <w:vAlign w:val="bottom"/>
          </w:tcPr>
          <w:p w14:paraId="43FAAFEF" w14:textId="77777777" w:rsidR="00D42209" w:rsidRPr="00D6457E" w:rsidRDefault="00D42209" w:rsidP="00CD37C7">
            <w:pPr>
              <w:jc w:val="right"/>
              <w:rPr>
                <w:sz w:val="24"/>
              </w:rPr>
            </w:pPr>
            <w:r w:rsidRPr="00D6457E">
              <w:rPr>
                <w:sz w:val="24"/>
              </w:rPr>
              <w:t>21,840 hrs.; $1,740,648</w:t>
            </w:r>
          </w:p>
        </w:tc>
        <w:tc>
          <w:tcPr>
            <w:tcW w:w="1440" w:type="dxa"/>
            <w:shd w:val="clear" w:color="auto" w:fill="auto"/>
            <w:vAlign w:val="bottom"/>
          </w:tcPr>
          <w:p w14:paraId="033C4D1A" w14:textId="77777777" w:rsidR="00D42209" w:rsidRPr="00D6457E" w:rsidRDefault="00D42209" w:rsidP="00CD37C7">
            <w:pPr>
              <w:jc w:val="right"/>
              <w:rPr>
                <w:sz w:val="24"/>
              </w:rPr>
            </w:pPr>
            <w:r w:rsidRPr="00D6457E">
              <w:rPr>
                <w:sz w:val="24"/>
              </w:rPr>
              <w:t>21,840 hrs.; $1,740,648</w:t>
            </w:r>
          </w:p>
        </w:tc>
      </w:tr>
      <w:tr w:rsidR="00D42209" w:rsidRPr="00D6457E" w14:paraId="3BB739E8" w14:textId="77777777" w:rsidTr="00C06CC4">
        <w:trPr>
          <w:trHeight w:val="255"/>
        </w:trPr>
        <w:tc>
          <w:tcPr>
            <w:tcW w:w="1368" w:type="dxa"/>
            <w:vMerge/>
            <w:tcBorders>
              <w:bottom w:val="single" w:sz="4" w:space="0" w:color="auto"/>
            </w:tcBorders>
          </w:tcPr>
          <w:p w14:paraId="6A26AED4" w14:textId="77777777" w:rsidR="00D42209" w:rsidRPr="00D6457E" w:rsidRDefault="00D42209" w:rsidP="00C06CC4">
            <w:pPr>
              <w:rPr>
                <w:sz w:val="24"/>
              </w:rPr>
            </w:pPr>
          </w:p>
        </w:tc>
        <w:tc>
          <w:tcPr>
            <w:tcW w:w="1800" w:type="dxa"/>
            <w:tcBorders>
              <w:bottom w:val="single" w:sz="4" w:space="0" w:color="auto"/>
            </w:tcBorders>
          </w:tcPr>
          <w:p w14:paraId="690DE0B1" w14:textId="77777777" w:rsidR="00D42209" w:rsidRPr="00D6457E" w:rsidRDefault="00D42209" w:rsidP="00C06CC4">
            <w:pPr>
              <w:rPr>
                <w:sz w:val="24"/>
              </w:rPr>
            </w:pPr>
            <w:r w:rsidRPr="00D6457E">
              <w:rPr>
                <w:sz w:val="24"/>
              </w:rPr>
              <w:t>Other Reporting</w:t>
            </w:r>
          </w:p>
        </w:tc>
        <w:tc>
          <w:tcPr>
            <w:tcW w:w="1350" w:type="dxa"/>
            <w:vMerge/>
            <w:tcBorders>
              <w:bottom w:val="single" w:sz="4" w:space="0" w:color="auto"/>
            </w:tcBorders>
            <w:vAlign w:val="bottom"/>
          </w:tcPr>
          <w:p w14:paraId="5471D2CC" w14:textId="77777777" w:rsidR="00D42209" w:rsidRPr="00D6457E" w:rsidRDefault="00D42209" w:rsidP="00CD37C7">
            <w:pPr>
              <w:jc w:val="right"/>
              <w:rPr>
                <w:sz w:val="24"/>
              </w:rPr>
            </w:pPr>
          </w:p>
        </w:tc>
        <w:tc>
          <w:tcPr>
            <w:tcW w:w="1350" w:type="dxa"/>
            <w:tcBorders>
              <w:bottom w:val="single" w:sz="4" w:space="0" w:color="auto"/>
            </w:tcBorders>
            <w:shd w:val="clear" w:color="auto" w:fill="auto"/>
            <w:vAlign w:val="bottom"/>
          </w:tcPr>
          <w:p w14:paraId="2DB0B68D" w14:textId="77777777" w:rsidR="00D42209" w:rsidRPr="00D6457E" w:rsidRDefault="00D42209" w:rsidP="00CD37C7">
            <w:pPr>
              <w:jc w:val="right"/>
              <w:rPr>
                <w:sz w:val="24"/>
              </w:rPr>
            </w:pPr>
            <w:r w:rsidRPr="00D6457E">
              <w:rPr>
                <w:sz w:val="24"/>
              </w:rPr>
              <w:t>1</w:t>
            </w:r>
          </w:p>
        </w:tc>
        <w:tc>
          <w:tcPr>
            <w:tcW w:w="1350" w:type="dxa"/>
            <w:tcBorders>
              <w:bottom w:val="single" w:sz="4" w:space="0" w:color="auto"/>
            </w:tcBorders>
            <w:shd w:val="clear" w:color="auto" w:fill="auto"/>
            <w:vAlign w:val="bottom"/>
          </w:tcPr>
          <w:p w14:paraId="6F57FBE9" w14:textId="77777777" w:rsidR="00D42209" w:rsidRPr="00D6457E" w:rsidRDefault="00D42209" w:rsidP="00CD37C7">
            <w:pPr>
              <w:jc w:val="right"/>
              <w:rPr>
                <w:sz w:val="24"/>
              </w:rPr>
            </w:pPr>
            <w:r w:rsidRPr="00D6457E">
              <w:rPr>
                <w:sz w:val="24"/>
              </w:rPr>
              <w:t>1</w:t>
            </w:r>
          </w:p>
        </w:tc>
        <w:tc>
          <w:tcPr>
            <w:tcW w:w="1530" w:type="dxa"/>
            <w:tcBorders>
              <w:bottom w:val="single" w:sz="4" w:space="0" w:color="auto"/>
            </w:tcBorders>
            <w:shd w:val="clear" w:color="auto" w:fill="auto"/>
            <w:vAlign w:val="bottom"/>
          </w:tcPr>
          <w:p w14:paraId="1D681ECB" w14:textId="77777777" w:rsidR="00D42209" w:rsidRPr="00D6457E" w:rsidRDefault="00D42209" w:rsidP="00CD37C7">
            <w:pPr>
              <w:jc w:val="right"/>
              <w:rPr>
                <w:sz w:val="24"/>
              </w:rPr>
            </w:pPr>
            <w:r w:rsidRPr="00D6457E">
              <w:rPr>
                <w:sz w:val="24"/>
              </w:rPr>
              <w:t>2,080 hrs.;  $165,776</w:t>
            </w:r>
          </w:p>
        </w:tc>
        <w:tc>
          <w:tcPr>
            <w:tcW w:w="1440" w:type="dxa"/>
            <w:tcBorders>
              <w:bottom w:val="single" w:sz="4" w:space="0" w:color="auto"/>
            </w:tcBorders>
            <w:shd w:val="clear" w:color="auto" w:fill="auto"/>
            <w:vAlign w:val="bottom"/>
          </w:tcPr>
          <w:p w14:paraId="3E72230B" w14:textId="77777777" w:rsidR="00D42209" w:rsidRPr="00D6457E" w:rsidRDefault="00D42209" w:rsidP="00CD37C7">
            <w:pPr>
              <w:jc w:val="right"/>
              <w:rPr>
                <w:sz w:val="24"/>
              </w:rPr>
            </w:pPr>
            <w:r w:rsidRPr="00D6457E">
              <w:rPr>
                <w:sz w:val="24"/>
              </w:rPr>
              <w:t>2,080 hrs.; $165,776</w:t>
            </w:r>
          </w:p>
        </w:tc>
      </w:tr>
      <w:tr w:rsidR="00D42209" w:rsidRPr="00D6457E" w14:paraId="0DAAF76B" w14:textId="77777777" w:rsidTr="00C06CC4">
        <w:trPr>
          <w:trHeight w:val="255"/>
        </w:trPr>
        <w:tc>
          <w:tcPr>
            <w:tcW w:w="3168" w:type="dxa"/>
            <w:gridSpan w:val="2"/>
            <w:shd w:val="clear" w:color="auto" w:fill="auto"/>
          </w:tcPr>
          <w:p w14:paraId="7F355C1C" w14:textId="77777777" w:rsidR="00D42209" w:rsidRPr="00D6457E" w:rsidRDefault="00D42209" w:rsidP="00C06CC4">
            <w:pPr>
              <w:jc w:val="center"/>
              <w:rPr>
                <w:sz w:val="24"/>
              </w:rPr>
            </w:pPr>
            <w:r w:rsidRPr="00D6457E">
              <w:rPr>
                <w:i/>
                <w:sz w:val="24"/>
              </w:rPr>
              <w:t>ERO, Sub-Total</w:t>
            </w:r>
          </w:p>
        </w:tc>
        <w:tc>
          <w:tcPr>
            <w:tcW w:w="1350" w:type="dxa"/>
            <w:shd w:val="clear" w:color="auto" w:fill="auto"/>
            <w:vAlign w:val="bottom"/>
          </w:tcPr>
          <w:p w14:paraId="3D1B8E6A" w14:textId="77777777" w:rsidR="00D42209" w:rsidRPr="00D6457E" w:rsidRDefault="00D42209" w:rsidP="00CD37C7">
            <w:pPr>
              <w:jc w:val="right"/>
              <w:rPr>
                <w:sz w:val="24"/>
              </w:rPr>
            </w:pPr>
          </w:p>
        </w:tc>
        <w:tc>
          <w:tcPr>
            <w:tcW w:w="1350" w:type="dxa"/>
            <w:shd w:val="clear" w:color="auto" w:fill="auto"/>
            <w:vAlign w:val="bottom"/>
          </w:tcPr>
          <w:p w14:paraId="6533563E" w14:textId="77777777" w:rsidR="00D42209" w:rsidRPr="00D6457E" w:rsidRDefault="00D42209" w:rsidP="00CD37C7">
            <w:pPr>
              <w:jc w:val="right"/>
              <w:rPr>
                <w:sz w:val="24"/>
              </w:rPr>
            </w:pPr>
          </w:p>
        </w:tc>
        <w:tc>
          <w:tcPr>
            <w:tcW w:w="1350" w:type="dxa"/>
            <w:shd w:val="clear" w:color="auto" w:fill="auto"/>
            <w:vAlign w:val="bottom"/>
          </w:tcPr>
          <w:p w14:paraId="7D806B47" w14:textId="77777777" w:rsidR="00D42209" w:rsidRPr="00D6457E" w:rsidRDefault="00D42209" w:rsidP="00CD37C7">
            <w:pPr>
              <w:jc w:val="right"/>
              <w:rPr>
                <w:sz w:val="24"/>
              </w:rPr>
            </w:pPr>
          </w:p>
        </w:tc>
        <w:tc>
          <w:tcPr>
            <w:tcW w:w="1530" w:type="dxa"/>
            <w:shd w:val="clear" w:color="auto" w:fill="auto"/>
            <w:vAlign w:val="bottom"/>
          </w:tcPr>
          <w:p w14:paraId="42A06C11" w14:textId="77777777" w:rsidR="00D42209" w:rsidRPr="00D6457E" w:rsidRDefault="00D42209" w:rsidP="00CD37C7">
            <w:pPr>
              <w:jc w:val="right"/>
              <w:rPr>
                <w:sz w:val="24"/>
              </w:rPr>
            </w:pPr>
          </w:p>
        </w:tc>
        <w:tc>
          <w:tcPr>
            <w:tcW w:w="1440" w:type="dxa"/>
            <w:shd w:val="clear" w:color="auto" w:fill="auto"/>
            <w:vAlign w:val="bottom"/>
          </w:tcPr>
          <w:p w14:paraId="1F5EA9F6" w14:textId="77777777" w:rsidR="00D42209" w:rsidRPr="00D6457E" w:rsidRDefault="00D42209" w:rsidP="00CD37C7">
            <w:pPr>
              <w:jc w:val="right"/>
              <w:rPr>
                <w:i/>
                <w:sz w:val="24"/>
              </w:rPr>
            </w:pPr>
            <w:r w:rsidRPr="00D6457E">
              <w:rPr>
                <w:i/>
                <w:sz w:val="24"/>
              </w:rPr>
              <w:t>151,112 hrs.; $12,</w:t>
            </w:r>
            <w:r>
              <w:rPr>
                <w:i/>
                <w:sz w:val="24"/>
              </w:rPr>
              <w:t>043,626</w:t>
            </w:r>
          </w:p>
        </w:tc>
      </w:tr>
      <w:tr w:rsidR="00D42209" w:rsidRPr="00D6457E" w14:paraId="7D21D833" w14:textId="77777777" w:rsidTr="00C06CC4">
        <w:trPr>
          <w:trHeight w:val="129"/>
        </w:trPr>
        <w:tc>
          <w:tcPr>
            <w:tcW w:w="1368" w:type="dxa"/>
            <w:vMerge w:val="restart"/>
          </w:tcPr>
          <w:p w14:paraId="72E28E6C" w14:textId="77777777" w:rsidR="00D42209" w:rsidRPr="00D6457E" w:rsidRDefault="00D42209" w:rsidP="00C06CC4">
            <w:pPr>
              <w:rPr>
                <w:sz w:val="24"/>
              </w:rPr>
            </w:pPr>
            <w:r w:rsidRPr="00D6457E">
              <w:rPr>
                <w:sz w:val="24"/>
              </w:rPr>
              <w:t>Regional Entities</w:t>
            </w:r>
          </w:p>
        </w:tc>
        <w:tc>
          <w:tcPr>
            <w:tcW w:w="1800" w:type="dxa"/>
          </w:tcPr>
          <w:p w14:paraId="787EBB2B" w14:textId="77777777" w:rsidR="00D42209" w:rsidRPr="00D6457E" w:rsidRDefault="00D42209" w:rsidP="00C06CC4">
            <w:pPr>
              <w:rPr>
                <w:sz w:val="24"/>
              </w:rPr>
            </w:pPr>
            <w:r w:rsidRPr="00D6457E">
              <w:rPr>
                <w:sz w:val="24"/>
              </w:rPr>
              <w:t>Self-Assessment</w:t>
            </w:r>
          </w:p>
        </w:tc>
        <w:tc>
          <w:tcPr>
            <w:tcW w:w="1350" w:type="dxa"/>
            <w:vMerge w:val="restart"/>
            <w:vAlign w:val="bottom"/>
          </w:tcPr>
          <w:p w14:paraId="30DF5D3A" w14:textId="77777777" w:rsidR="00D42209" w:rsidRPr="00D6457E" w:rsidRDefault="00D42209" w:rsidP="00CD37C7">
            <w:pPr>
              <w:jc w:val="right"/>
              <w:rPr>
                <w:sz w:val="24"/>
              </w:rPr>
            </w:pPr>
            <w:r w:rsidRPr="00D6457E">
              <w:rPr>
                <w:sz w:val="24"/>
              </w:rPr>
              <w:t>7</w:t>
            </w:r>
          </w:p>
        </w:tc>
        <w:tc>
          <w:tcPr>
            <w:tcW w:w="1350" w:type="dxa"/>
            <w:tcBorders>
              <w:bottom w:val="single" w:sz="4" w:space="0" w:color="auto"/>
            </w:tcBorders>
            <w:shd w:val="clear" w:color="auto" w:fill="auto"/>
            <w:vAlign w:val="bottom"/>
          </w:tcPr>
          <w:p w14:paraId="0408569C" w14:textId="77777777" w:rsidR="00D42209" w:rsidRPr="00D6457E" w:rsidRDefault="00D42209" w:rsidP="00CD37C7">
            <w:pPr>
              <w:jc w:val="right"/>
              <w:rPr>
                <w:sz w:val="24"/>
              </w:rPr>
            </w:pPr>
            <w:r w:rsidRPr="00D6457E">
              <w:rPr>
                <w:sz w:val="24"/>
              </w:rPr>
              <w:t>.2</w:t>
            </w:r>
          </w:p>
        </w:tc>
        <w:tc>
          <w:tcPr>
            <w:tcW w:w="1350" w:type="dxa"/>
            <w:tcBorders>
              <w:bottom w:val="single" w:sz="4" w:space="0" w:color="auto"/>
            </w:tcBorders>
            <w:shd w:val="clear" w:color="auto" w:fill="auto"/>
            <w:vAlign w:val="bottom"/>
          </w:tcPr>
          <w:p w14:paraId="4EEF5EA9" w14:textId="77777777" w:rsidR="00D42209" w:rsidRPr="00D6457E" w:rsidRDefault="00D42209" w:rsidP="00CD37C7">
            <w:pPr>
              <w:jc w:val="right"/>
              <w:rPr>
                <w:sz w:val="24"/>
              </w:rPr>
            </w:pPr>
            <w:r w:rsidRPr="00D6457E">
              <w:rPr>
                <w:sz w:val="24"/>
              </w:rPr>
              <w:t>1.4</w:t>
            </w:r>
          </w:p>
        </w:tc>
        <w:tc>
          <w:tcPr>
            <w:tcW w:w="1530" w:type="dxa"/>
            <w:tcBorders>
              <w:bottom w:val="single" w:sz="4" w:space="0" w:color="auto"/>
            </w:tcBorders>
            <w:shd w:val="clear" w:color="auto" w:fill="auto"/>
            <w:vAlign w:val="bottom"/>
          </w:tcPr>
          <w:p w14:paraId="500F57E1" w14:textId="77777777" w:rsidR="00D42209" w:rsidRPr="00D6457E" w:rsidRDefault="00D42209" w:rsidP="00CD37C7">
            <w:pPr>
              <w:jc w:val="right"/>
              <w:rPr>
                <w:sz w:val="24"/>
              </w:rPr>
            </w:pPr>
            <w:r w:rsidRPr="00D6457E">
              <w:rPr>
                <w:sz w:val="24"/>
              </w:rPr>
              <w:t>4,160 hrs.; $331,552</w:t>
            </w:r>
          </w:p>
        </w:tc>
        <w:tc>
          <w:tcPr>
            <w:tcW w:w="1440" w:type="dxa"/>
            <w:shd w:val="clear" w:color="auto" w:fill="auto"/>
            <w:vAlign w:val="bottom"/>
          </w:tcPr>
          <w:p w14:paraId="77AB2E73" w14:textId="77777777" w:rsidR="00D42209" w:rsidRPr="00D6457E" w:rsidRDefault="00D42209" w:rsidP="00CD37C7">
            <w:pPr>
              <w:jc w:val="right"/>
              <w:rPr>
                <w:sz w:val="24"/>
              </w:rPr>
            </w:pPr>
            <w:r w:rsidRPr="00D6457E">
              <w:rPr>
                <w:sz w:val="24"/>
              </w:rPr>
              <w:t>5,824 hrs.; $464,173</w:t>
            </w:r>
          </w:p>
        </w:tc>
      </w:tr>
      <w:tr w:rsidR="00D42209" w:rsidRPr="00D6457E" w14:paraId="11935A57" w14:textId="77777777" w:rsidTr="00C06CC4">
        <w:trPr>
          <w:trHeight w:val="127"/>
        </w:trPr>
        <w:tc>
          <w:tcPr>
            <w:tcW w:w="1368" w:type="dxa"/>
            <w:vMerge/>
          </w:tcPr>
          <w:p w14:paraId="1670286C" w14:textId="77777777" w:rsidR="00D42209" w:rsidRPr="00D6457E" w:rsidRDefault="00D42209" w:rsidP="00C06CC4">
            <w:pPr>
              <w:rPr>
                <w:sz w:val="24"/>
              </w:rPr>
            </w:pPr>
          </w:p>
        </w:tc>
        <w:tc>
          <w:tcPr>
            <w:tcW w:w="1800" w:type="dxa"/>
          </w:tcPr>
          <w:p w14:paraId="67CB6F81" w14:textId="77777777" w:rsidR="00D42209" w:rsidRPr="00D6457E" w:rsidRDefault="00D42209" w:rsidP="00C06CC4">
            <w:pPr>
              <w:rPr>
                <w:sz w:val="24"/>
              </w:rPr>
            </w:pPr>
            <w:r w:rsidRPr="00D6457E">
              <w:rPr>
                <w:sz w:val="24"/>
              </w:rPr>
              <w:t>Reliability Assessments</w:t>
            </w:r>
          </w:p>
        </w:tc>
        <w:tc>
          <w:tcPr>
            <w:tcW w:w="1350" w:type="dxa"/>
            <w:vMerge/>
            <w:vAlign w:val="bottom"/>
          </w:tcPr>
          <w:p w14:paraId="02819184" w14:textId="77777777" w:rsidR="00D42209" w:rsidRPr="00D6457E" w:rsidRDefault="00D42209" w:rsidP="00CD37C7">
            <w:pPr>
              <w:jc w:val="right"/>
              <w:rPr>
                <w:sz w:val="24"/>
              </w:rPr>
            </w:pPr>
          </w:p>
        </w:tc>
        <w:tc>
          <w:tcPr>
            <w:tcW w:w="1350" w:type="dxa"/>
            <w:shd w:val="clear" w:color="auto" w:fill="auto"/>
            <w:vAlign w:val="bottom"/>
          </w:tcPr>
          <w:p w14:paraId="3FB82CC6" w14:textId="77777777" w:rsidR="00D42209" w:rsidRPr="00D6457E" w:rsidRDefault="00D42209" w:rsidP="00CD37C7">
            <w:pPr>
              <w:jc w:val="right"/>
              <w:rPr>
                <w:sz w:val="24"/>
              </w:rPr>
            </w:pPr>
            <w:r w:rsidRPr="00D6457E">
              <w:rPr>
                <w:sz w:val="24"/>
              </w:rPr>
              <w:t>1</w:t>
            </w:r>
          </w:p>
        </w:tc>
        <w:tc>
          <w:tcPr>
            <w:tcW w:w="1350" w:type="dxa"/>
            <w:shd w:val="clear" w:color="auto" w:fill="auto"/>
            <w:vAlign w:val="bottom"/>
          </w:tcPr>
          <w:p w14:paraId="179A8E23" w14:textId="77777777" w:rsidR="00D42209" w:rsidRPr="00D6457E" w:rsidRDefault="00D42209" w:rsidP="00CD37C7">
            <w:pPr>
              <w:jc w:val="right"/>
              <w:rPr>
                <w:sz w:val="24"/>
              </w:rPr>
            </w:pPr>
            <w:r w:rsidRPr="00D6457E">
              <w:rPr>
                <w:sz w:val="24"/>
              </w:rPr>
              <w:t>7</w:t>
            </w:r>
          </w:p>
        </w:tc>
        <w:tc>
          <w:tcPr>
            <w:tcW w:w="1530" w:type="dxa"/>
            <w:shd w:val="clear" w:color="auto" w:fill="auto"/>
            <w:vAlign w:val="bottom"/>
          </w:tcPr>
          <w:p w14:paraId="1F4B95E8" w14:textId="77777777" w:rsidR="00D42209" w:rsidRPr="00D6457E" w:rsidRDefault="00D42209" w:rsidP="00CD37C7">
            <w:pPr>
              <w:jc w:val="right"/>
              <w:rPr>
                <w:sz w:val="24"/>
              </w:rPr>
            </w:pPr>
            <w:r w:rsidRPr="00D6457E">
              <w:rPr>
                <w:sz w:val="24"/>
              </w:rPr>
              <w:t>15,600 hrs.; $1,243,320</w:t>
            </w:r>
          </w:p>
        </w:tc>
        <w:tc>
          <w:tcPr>
            <w:tcW w:w="1440" w:type="dxa"/>
            <w:shd w:val="clear" w:color="auto" w:fill="auto"/>
            <w:vAlign w:val="bottom"/>
          </w:tcPr>
          <w:p w14:paraId="31C299CF" w14:textId="77777777" w:rsidR="00D42209" w:rsidRPr="00D6457E" w:rsidRDefault="00D42209" w:rsidP="00CD37C7">
            <w:pPr>
              <w:jc w:val="right"/>
              <w:rPr>
                <w:sz w:val="24"/>
              </w:rPr>
            </w:pPr>
            <w:r w:rsidRPr="00D6457E">
              <w:rPr>
                <w:sz w:val="24"/>
              </w:rPr>
              <w:t>109,200 hrs.; $8,703,240</w:t>
            </w:r>
          </w:p>
        </w:tc>
      </w:tr>
      <w:tr w:rsidR="00D42209" w:rsidRPr="00D6457E" w14:paraId="4EB14A0F" w14:textId="77777777" w:rsidTr="00C06CC4">
        <w:trPr>
          <w:trHeight w:val="127"/>
        </w:trPr>
        <w:tc>
          <w:tcPr>
            <w:tcW w:w="1368" w:type="dxa"/>
            <w:vMerge/>
          </w:tcPr>
          <w:p w14:paraId="5CFD81A9" w14:textId="77777777" w:rsidR="00D42209" w:rsidRPr="00D6457E" w:rsidRDefault="00D42209" w:rsidP="00C06CC4">
            <w:pPr>
              <w:rPr>
                <w:sz w:val="24"/>
              </w:rPr>
            </w:pPr>
          </w:p>
        </w:tc>
        <w:tc>
          <w:tcPr>
            <w:tcW w:w="1800" w:type="dxa"/>
          </w:tcPr>
          <w:p w14:paraId="04642A3B" w14:textId="77777777" w:rsidR="00D42209" w:rsidRPr="00D6457E" w:rsidRDefault="00D42209" w:rsidP="00C06CC4">
            <w:pPr>
              <w:rPr>
                <w:sz w:val="24"/>
              </w:rPr>
            </w:pPr>
            <w:r w:rsidRPr="00D6457E">
              <w:rPr>
                <w:sz w:val="24"/>
              </w:rPr>
              <w:t>Reliability Compliance</w:t>
            </w:r>
          </w:p>
        </w:tc>
        <w:tc>
          <w:tcPr>
            <w:tcW w:w="1350" w:type="dxa"/>
            <w:vMerge/>
            <w:vAlign w:val="bottom"/>
          </w:tcPr>
          <w:p w14:paraId="11B4DA40" w14:textId="77777777" w:rsidR="00D42209" w:rsidRPr="00D6457E" w:rsidRDefault="00D42209" w:rsidP="00CD37C7">
            <w:pPr>
              <w:jc w:val="right"/>
              <w:rPr>
                <w:sz w:val="24"/>
              </w:rPr>
            </w:pPr>
          </w:p>
        </w:tc>
        <w:tc>
          <w:tcPr>
            <w:tcW w:w="1350" w:type="dxa"/>
            <w:shd w:val="clear" w:color="auto" w:fill="auto"/>
            <w:vAlign w:val="bottom"/>
          </w:tcPr>
          <w:p w14:paraId="6225814B" w14:textId="77777777" w:rsidR="00D42209" w:rsidRPr="00D6457E" w:rsidRDefault="00D42209" w:rsidP="00CD37C7">
            <w:pPr>
              <w:jc w:val="right"/>
              <w:rPr>
                <w:sz w:val="24"/>
              </w:rPr>
            </w:pPr>
            <w:r w:rsidRPr="00D6457E">
              <w:rPr>
                <w:sz w:val="24"/>
              </w:rPr>
              <w:t>1</w:t>
            </w:r>
          </w:p>
        </w:tc>
        <w:tc>
          <w:tcPr>
            <w:tcW w:w="1350" w:type="dxa"/>
            <w:shd w:val="clear" w:color="auto" w:fill="auto"/>
            <w:vAlign w:val="bottom"/>
          </w:tcPr>
          <w:p w14:paraId="53DE155A" w14:textId="77777777" w:rsidR="00D42209" w:rsidRPr="00D6457E" w:rsidRDefault="00D42209" w:rsidP="00CD37C7">
            <w:pPr>
              <w:jc w:val="right"/>
              <w:rPr>
                <w:sz w:val="24"/>
              </w:rPr>
            </w:pPr>
            <w:r w:rsidRPr="00D6457E">
              <w:rPr>
                <w:sz w:val="24"/>
              </w:rPr>
              <w:t>7</w:t>
            </w:r>
          </w:p>
        </w:tc>
        <w:tc>
          <w:tcPr>
            <w:tcW w:w="1530" w:type="dxa"/>
            <w:shd w:val="clear" w:color="auto" w:fill="auto"/>
            <w:vAlign w:val="bottom"/>
          </w:tcPr>
          <w:p w14:paraId="09E6083F" w14:textId="77777777" w:rsidR="00D42209" w:rsidRPr="00D6457E" w:rsidRDefault="00D42209" w:rsidP="00CD37C7">
            <w:pPr>
              <w:jc w:val="right"/>
              <w:rPr>
                <w:sz w:val="24"/>
              </w:rPr>
            </w:pPr>
            <w:r w:rsidRPr="00D6457E">
              <w:rPr>
                <w:sz w:val="24"/>
              </w:rPr>
              <w:t>37,440 hrs.;</w:t>
            </w:r>
            <w:r>
              <w:rPr>
                <w:sz w:val="24"/>
              </w:rPr>
              <w:t xml:space="preserve"> </w:t>
            </w:r>
            <w:r w:rsidRPr="00D6457E">
              <w:rPr>
                <w:sz w:val="24"/>
              </w:rPr>
              <w:t>$2,983,968</w:t>
            </w:r>
          </w:p>
        </w:tc>
        <w:tc>
          <w:tcPr>
            <w:tcW w:w="1440" w:type="dxa"/>
            <w:shd w:val="clear" w:color="auto" w:fill="auto"/>
            <w:vAlign w:val="bottom"/>
          </w:tcPr>
          <w:p w14:paraId="58D7179A" w14:textId="77777777" w:rsidR="00D42209" w:rsidRPr="00D6457E" w:rsidRDefault="00D42209" w:rsidP="00CD37C7">
            <w:pPr>
              <w:jc w:val="right"/>
              <w:rPr>
                <w:sz w:val="24"/>
              </w:rPr>
            </w:pPr>
            <w:r w:rsidRPr="00D6457E">
              <w:rPr>
                <w:sz w:val="24"/>
              </w:rPr>
              <w:t>262,080 hrs.; $20,887,776</w:t>
            </w:r>
          </w:p>
        </w:tc>
      </w:tr>
      <w:tr w:rsidR="00D42209" w:rsidRPr="00D6457E" w14:paraId="63991200" w14:textId="77777777" w:rsidTr="00C06CC4">
        <w:trPr>
          <w:trHeight w:val="255"/>
        </w:trPr>
        <w:tc>
          <w:tcPr>
            <w:tcW w:w="1368" w:type="dxa"/>
            <w:vMerge/>
          </w:tcPr>
          <w:p w14:paraId="0272F67F" w14:textId="77777777" w:rsidR="00D42209" w:rsidRPr="00D6457E" w:rsidRDefault="00D42209" w:rsidP="00C06CC4">
            <w:pPr>
              <w:rPr>
                <w:sz w:val="24"/>
              </w:rPr>
            </w:pPr>
          </w:p>
        </w:tc>
        <w:tc>
          <w:tcPr>
            <w:tcW w:w="1800" w:type="dxa"/>
          </w:tcPr>
          <w:p w14:paraId="0F671FD6" w14:textId="77777777" w:rsidR="00D42209" w:rsidRPr="00D6457E" w:rsidRDefault="00D42209" w:rsidP="00C06CC4">
            <w:pPr>
              <w:rPr>
                <w:sz w:val="24"/>
              </w:rPr>
            </w:pPr>
            <w:r w:rsidRPr="00D6457E">
              <w:rPr>
                <w:sz w:val="24"/>
              </w:rPr>
              <w:t>Standards Development</w:t>
            </w:r>
          </w:p>
        </w:tc>
        <w:tc>
          <w:tcPr>
            <w:tcW w:w="1350" w:type="dxa"/>
            <w:vMerge/>
            <w:vAlign w:val="bottom"/>
          </w:tcPr>
          <w:p w14:paraId="023D02FB" w14:textId="77777777" w:rsidR="00D42209" w:rsidRPr="00D6457E" w:rsidRDefault="00D42209" w:rsidP="00CD37C7">
            <w:pPr>
              <w:jc w:val="right"/>
              <w:rPr>
                <w:sz w:val="24"/>
              </w:rPr>
            </w:pPr>
          </w:p>
        </w:tc>
        <w:tc>
          <w:tcPr>
            <w:tcW w:w="1350" w:type="dxa"/>
            <w:shd w:val="clear" w:color="auto" w:fill="auto"/>
            <w:vAlign w:val="bottom"/>
          </w:tcPr>
          <w:p w14:paraId="79A7FE11" w14:textId="77777777" w:rsidR="00D42209" w:rsidRPr="00D6457E" w:rsidRDefault="00D42209" w:rsidP="00CD37C7">
            <w:pPr>
              <w:jc w:val="right"/>
              <w:rPr>
                <w:sz w:val="24"/>
              </w:rPr>
            </w:pPr>
            <w:r w:rsidRPr="00D6457E">
              <w:rPr>
                <w:sz w:val="24"/>
              </w:rPr>
              <w:t>1</w:t>
            </w:r>
          </w:p>
        </w:tc>
        <w:tc>
          <w:tcPr>
            <w:tcW w:w="1350" w:type="dxa"/>
            <w:shd w:val="clear" w:color="auto" w:fill="auto"/>
            <w:vAlign w:val="bottom"/>
          </w:tcPr>
          <w:p w14:paraId="3CCADCCC" w14:textId="77777777" w:rsidR="00D42209" w:rsidRPr="00D6457E" w:rsidRDefault="00D42209" w:rsidP="00CD37C7">
            <w:pPr>
              <w:jc w:val="right"/>
              <w:rPr>
                <w:sz w:val="24"/>
              </w:rPr>
            </w:pPr>
            <w:r w:rsidRPr="00D6457E">
              <w:rPr>
                <w:sz w:val="24"/>
              </w:rPr>
              <w:t>7</w:t>
            </w:r>
          </w:p>
        </w:tc>
        <w:tc>
          <w:tcPr>
            <w:tcW w:w="1530" w:type="dxa"/>
            <w:shd w:val="clear" w:color="auto" w:fill="auto"/>
            <w:vAlign w:val="bottom"/>
          </w:tcPr>
          <w:p w14:paraId="4D854A03" w14:textId="77777777" w:rsidR="00D42209" w:rsidRPr="00D6457E" w:rsidRDefault="00D42209" w:rsidP="00CD37C7">
            <w:pPr>
              <w:jc w:val="right"/>
              <w:rPr>
                <w:sz w:val="24"/>
              </w:rPr>
            </w:pPr>
            <w:r w:rsidRPr="00D6457E">
              <w:rPr>
                <w:sz w:val="24"/>
              </w:rPr>
              <w:t>2,340 hrs.; $186,498</w:t>
            </w:r>
          </w:p>
        </w:tc>
        <w:tc>
          <w:tcPr>
            <w:tcW w:w="1440" w:type="dxa"/>
            <w:shd w:val="clear" w:color="auto" w:fill="auto"/>
            <w:vAlign w:val="bottom"/>
          </w:tcPr>
          <w:p w14:paraId="0D752F02" w14:textId="77777777" w:rsidR="00D42209" w:rsidRPr="00D6457E" w:rsidRDefault="00D42209" w:rsidP="00CD37C7">
            <w:pPr>
              <w:jc w:val="right"/>
              <w:rPr>
                <w:sz w:val="24"/>
              </w:rPr>
            </w:pPr>
            <w:r w:rsidRPr="00D6457E">
              <w:rPr>
                <w:sz w:val="24"/>
              </w:rPr>
              <w:t>16,380 hrs.; $1,305,486</w:t>
            </w:r>
          </w:p>
        </w:tc>
      </w:tr>
      <w:tr w:rsidR="00D42209" w:rsidRPr="00D6457E" w14:paraId="17DF331C" w14:textId="77777777" w:rsidTr="00C06CC4">
        <w:trPr>
          <w:trHeight w:val="255"/>
        </w:trPr>
        <w:tc>
          <w:tcPr>
            <w:tcW w:w="1368" w:type="dxa"/>
            <w:vMerge/>
            <w:tcBorders>
              <w:bottom w:val="single" w:sz="4" w:space="0" w:color="auto"/>
            </w:tcBorders>
          </w:tcPr>
          <w:p w14:paraId="025485A3" w14:textId="77777777" w:rsidR="00D42209" w:rsidRPr="00D6457E" w:rsidRDefault="00D42209" w:rsidP="00C06CC4">
            <w:pPr>
              <w:rPr>
                <w:sz w:val="24"/>
              </w:rPr>
            </w:pPr>
          </w:p>
        </w:tc>
        <w:tc>
          <w:tcPr>
            <w:tcW w:w="1800" w:type="dxa"/>
            <w:tcBorders>
              <w:bottom w:val="single" w:sz="4" w:space="0" w:color="auto"/>
            </w:tcBorders>
          </w:tcPr>
          <w:p w14:paraId="7F976673" w14:textId="77777777" w:rsidR="00D42209" w:rsidRPr="00D6457E" w:rsidRDefault="00D42209" w:rsidP="00C06CC4">
            <w:pPr>
              <w:rPr>
                <w:sz w:val="24"/>
              </w:rPr>
            </w:pPr>
            <w:r w:rsidRPr="00D6457E">
              <w:rPr>
                <w:sz w:val="24"/>
              </w:rPr>
              <w:t>Other Reporting</w:t>
            </w:r>
          </w:p>
        </w:tc>
        <w:tc>
          <w:tcPr>
            <w:tcW w:w="1350" w:type="dxa"/>
            <w:vMerge/>
            <w:tcBorders>
              <w:bottom w:val="single" w:sz="4" w:space="0" w:color="auto"/>
            </w:tcBorders>
            <w:vAlign w:val="bottom"/>
          </w:tcPr>
          <w:p w14:paraId="6E42385F" w14:textId="77777777" w:rsidR="00D42209" w:rsidRPr="00D6457E" w:rsidRDefault="00D42209" w:rsidP="00CD37C7">
            <w:pPr>
              <w:jc w:val="right"/>
              <w:rPr>
                <w:sz w:val="24"/>
              </w:rPr>
            </w:pPr>
          </w:p>
        </w:tc>
        <w:tc>
          <w:tcPr>
            <w:tcW w:w="1350" w:type="dxa"/>
            <w:tcBorders>
              <w:bottom w:val="single" w:sz="4" w:space="0" w:color="auto"/>
            </w:tcBorders>
            <w:shd w:val="clear" w:color="auto" w:fill="auto"/>
            <w:vAlign w:val="bottom"/>
          </w:tcPr>
          <w:p w14:paraId="7D798952" w14:textId="77777777" w:rsidR="00D42209" w:rsidRPr="00D6457E" w:rsidRDefault="00D42209" w:rsidP="00CD37C7">
            <w:pPr>
              <w:jc w:val="right"/>
              <w:rPr>
                <w:sz w:val="24"/>
              </w:rPr>
            </w:pPr>
            <w:r w:rsidRPr="00D6457E">
              <w:rPr>
                <w:sz w:val="24"/>
              </w:rPr>
              <w:t>1</w:t>
            </w:r>
          </w:p>
        </w:tc>
        <w:tc>
          <w:tcPr>
            <w:tcW w:w="1350" w:type="dxa"/>
            <w:tcBorders>
              <w:bottom w:val="single" w:sz="4" w:space="0" w:color="auto"/>
            </w:tcBorders>
            <w:shd w:val="clear" w:color="auto" w:fill="auto"/>
            <w:vAlign w:val="bottom"/>
          </w:tcPr>
          <w:p w14:paraId="3A9615E3" w14:textId="77777777" w:rsidR="00D42209" w:rsidRPr="00D6457E" w:rsidRDefault="00D42209" w:rsidP="00CD37C7">
            <w:pPr>
              <w:jc w:val="right"/>
              <w:rPr>
                <w:sz w:val="24"/>
              </w:rPr>
            </w:pPr>
            <w:r w:rsidRPr="00D6457E">
              <w:rPr>
                <w:sz w:val="24"/>
              </w:rPr>
              <w:t>7</w:t>
            </w:r>
          </w:p>
        </w:tc>
        <w:tc>
          <w:tcPr>
            <w:tcW w:w="1530" w:type="dxa"/>
            <w:tcBorders>
              <w:bottom w:val="single" w:sz="4" w:space="0" w:color="auto"/>
            </w:tcBorders>
            <w:shd w:val="clear" w:color="auto" w:fill="auto"/>
            <w:vAlign w:val="bottom"/>
          </w:tcPr>
          <w:p w14:paraId="2AD26C20" w14:textId="77777777" w:rsidR="00D42209" w:rsidRPr="00D6457E" w:rsidRDefault="00D42209" w:rsidP="00CD37C7">
            <w:pPr>
              <w:jc w:val="right"/>
              <w:rPr>
                <w:sz w:val="24"/>
              </w:rPr>
            </w:pPr>
            <w:r w:rsidRPr="00D6457E">
              <w:rPr>
                <w:sz w:val="24"/>
              </w:rPr>
              <w:t>1,040 hrs.; $82,888</w:t>
            </w:r>
          </w:p>
        </w:tc>
        <w:tc>
          <w:tcPr>
            <w:tcW w:w="1440" w:type="dxa"/>
            <w:tcBorders>
              <w:bottom w:val="single" w:sz="4" w:space="0" w:color="auto"/>
            </w:tcBorders>
            <w:shd w:val="clear" w:color="auto" w:fill="auto"/>
            <w:vAlign w:val="bottom"/>
          </w:tcPr>
          <w:p w14:paraId="658AC61D" w14:textId="77777777" w:rsidR="00D42209" w:rsidRPr="00D6457E" w:rsidRDefault="00D42209" w:rsidP="00CD37C7">
            <w:pPr>
              <w:jc w:val="right"/>
              <w:rPr>
                <w:sz w:val="24"/>
              </w:rPr>
            </w:pPr>
            <w:r w:rsidRPr="00D6457E">
              <w:rPr>
                <w:sz w:val="24"/>
              </w:rPr>
              <w:t>7,280 hrs.; $580,216</w:t>
            </w:r>
          </w:p>
        </w:tc>
      </w:tr>
      <w:tr w:rsidR="00D42209" w:rsidRPr="00D6457E" w14:paraId="078A540F" w14:textId="77777777" w:rsidTr="00C06CC4">
        <w:trPr>
          <w:trHeight w:val="255"/>
        </w:trPr>
        <w:tc>
          <w:tcPr>
            <w:tcW w:w="3168" w:type="dxa"/>
            <w:gridSpan w:val="2"/>
            <w:shd w:val="clear" w:color="auto" w:fill="auto"/>
          </w:tcPr>
          <w:p w14:paraId="68B87437" w14:textId="77777777" w:rsidR="00D42209" w:rsidRPr="00D6457E" w:rsidRDefault="00D42209" w:rsidP="00C06CC4">
            <w:pPr>
              <w:jc w:val="center"/>
              <w:rPr>
                <w:sz w:val="24"/>
              </w:rPr>
            </w:pPr>
            <w:r w:rsidRPr="00D6457E">
              <w:rPr>
                <w:i/>
                <w:sz w:val="24"/>
              </w:rPr>
              <w:t>Regional Entities, Sub-Total</w:t>
            </w:r>
          </w:p>
        </w:tc>
        <w:tc>
          <w:tcPr>
            <w:tcW w:w="1350" w:type="dxa"/>
            <w:shd w:val="clear" w:color="auto" w:fill="auto"/>
            <w:vAlign w:val="bottom"/>
          </w:tcPr>
          <w:p w14:paraId="074F40EB" w14:textId="77777777" w:rsidR="00D42209" w:rsidRPr="00D6457E" w:rsidRDefault="00D42209" w:rsidP="00CD37C7">
            <w:pPr>
              <w:jc w:val="right"/>
              <w:rPr>
                <w:sz w:val="24"/>
              </w:rPr>
            </w:pPr>
          </w:p>
        </w:tc>
        <w:tc>
          <w:tcPr>
            <w:tcW w:w="1350" w:type="dxa"/>
            <w:shd w:val="clear" w:color="auto" w:fill="auto"/>
            <w:vAlign w:val="bottom"/>
          </w:tcPr>
          <w:p w14:paraId="067A302C" w14:textId="77777777" w:rsidR="00D42209" w:rsidRPr="00D6457E" w:rsidRDefault="00D42209" w:rsidP="00CD37C7">
            <w:pPr>
              <w:jc w:val="right"/>
              <w:rPr>
                <w:sz w:val="24"/>
              </w:rPr>
            </w:pPr>
          </w:p>
        </w:tc>
        <w:tc>
          <w:tcPr>
            <w:tcW w:w="1350" w:type="dxa"/>
            <w:shd w:val="clear" w:color="auto" w:fill="auto"/>
            <w:vAlign w:val="bottom"/>
          </w:tcPr>
          <w:p w14:paraId="1896AF53" w14:textId="77777777" w:rsidR="00D42209" w:rsidRPr="00D6457E" w:rsidRDefault="00D42209" w:rsidP="00CD37C7">
            <w:pPr>
              <w:jc w:val="right"/>
              <w:rPr>
                <w:sz w:val="24"/>
              </w:rPr>
            </w:pPr>
          </w:p>
        </w:tc>
        <w:tc>
          <w:tcPr>
            <w:tcW w:w="1530" w:type="dxa"/>
            <w:shd w:val="clear" w:color="auto" w:fill="auto"/>
            <w:vAlign w:val="bottom"/>
          </w:tcPr>
          <w:p w14:paraId="67D0C47D" w14:textId="77777777" w:rsidR="00D42209" w:rsidRPr="00D6457E" w:rsidRDefault="00D42209" w:rsidP="00CD37C7">
            <w:pPr>
              <w:jc w:val="right"/>
              <w:rPr>
                <w:sz w:val="24"/>
              </w:rPr>
            </w:pPr>
          </w:p>
        </w:tc>
        <w:tc>
          <w:tcPr>
            <w:tcW w:w="1440" w:type="dxa"/>
            <w:shd w:val="clear" w:color="auto" w:fill="auto"/>
            <w:vAlign w:val="bottom"/>
          </w:tcPr>
          <w:p w14:paraId="4F0ED83C" w14:textId="6680726F" w:rsidR="00D42209" w:rsidRPr="00D6457E" w:rsidRDefault="00D42209" w:rsidP="00CD37C7">
            <w:pPr>
              <w:jc w:val="right"/>
              <w:rPr>
                <w:sz w:val="24"/>
              </w:rPr>
            </w:pPr>
            <w:r w:rsidRPr="00D6457E">
              <w:rPr>
                <w:i/>
                <w:sz w:val="24"/>
              </w:rPr>
              <w:t>400,764</w:t>
            </w:r>
            <w:r w:rsidR="00E77B33">
              <w:rPr>
                <w:i/>
                <w:sz w:val="24"/>
              </w:rPr>
              <w:t xml:space="preserve"> </w:t>
            </w:r>
            <w:r w:rsidRPr="00D6457E">
              <w:rPr>
                <w:i/>
                <w:sz w:val="24"/>
              </w:rPr>
              <w:t>hrs.; $31,940,891</w:t>
            </w:r>
          </w:p>
        </w:tc>
      </w:tr>
      <w:tr w:rsidR="00D42209" w:rsidRPr="005A3F56" w14:paraId="6CBED04D" w14:textId="77777777" w:rsidTr="00C06CC4">
        <w:trPr>
          <w:trHeight w:val="170"/>
        </w:trPr>
        <w:tc>
          <w:tcPr>
            <w:tcW w:w="1368" w:type="dxa"/>
            <w:vMerge w:val="restart"/>
          </w:tcPr>
          <w:p w14:paraId="60C78A41" w14:textId="77777777" w:rsidR="00D42209" w:rsidRPr="00D6457E" w:rsidRDefault="00D42209" w:rsidP="00C06CC4">
            <w:pPr>
              <w:jc w:val="center"/>
              <w:rPr>
                <w:sz w:val="24"/>
              </w:rPr>
            </w:pPr>
            <w:r w:rsidRPr="00D6457E">
              <w:rPr>
                <w:sz w:val="24"/>
              </w:rPr>
              <w:t>Registered Entities</w:t>
            </w:r>
          </w:p>
        </w:tc>
        <w:tc>
          <w:tcPr>
            <w:tcW w:w="1800" w:type="dxa"/>
          </w:tcPr>
          <w:p w14:paraId="620FD267" w14:textId="77777777" w:rsidR="00D42209" w:rsidRPr="00D6457E" w:rsidRDefault="00D42209" w:rsidP="00C06CC4">
            <w:pPr>
              <w:jc w:val="center"/>
              <w:rPr>
                <w:sz w:val="24"/>
              </w:rPr>
            </w:pPr>
            <w:r w:rsidRPr="00D6457E">
              <w:rPr>
                <w:sz w:val="24"/>
              </w:rPr>
              <w:t>Stakeholder Survey</w:t>
            </w:r>
          </w:p>
        </w:tc>
        <w:tc>
          <w:tcPr>
            <w:tcW w:w="1350" w:type="dxa"/>
            <w:vMerge w:val="restart"/>
            <w:vAlign w:val="bottom"/>
          </w:tcPr>
          <w:p w14:paraId="14079DC0" w14:textId="77777777" w:rsidR="00D42209" w:rsidRPr="00D6457E" w:rsidRDefault="00D42209" w:rsidP="00CD37C7">
            <w:pPr>
              <w:jc w:val="right"/>
              <w:rPr>
                <w:sz w:val="24"/>
              </w:rPr>
            </w:pPr>
            <w:r w:rsidRPr="00D6457E">
              <w:rPr>
                <w:sz w:val="24"/>
              </w:rPr>
              <w:t>estimated 1,409</w:t>
            </w:r>
          </w:p>
        </w:tc>
        <w:tc>
          <w:tcPr>
            <w:tcW w:w="1350" w:type="dxa"/>
            <w:tcBorders>
              <w:bottom w:val="single" w:sz="4" w:space="0" w:color="auto"/>
            </w:tcBorders>
            <w:shd w:val="clear" w:color="auto" w:fill="auto"/>
            <w:vAlign w:val="bottom"/>
          </w:tcPr>
          <w:p w14:paraId="033B8A8C" w14:textId="77777777" w:rsidR="00D42209" w:rsidRPr="00D6457E" w:rsidRDefault="00D42209" w:rsidP="00CD37C7">
            <w:pPr>
              <w:jc w:val="right"/>
              <w:rPr>
                <w:sz w:val="24"/>
              </w:rPr>
            </w:pPr>
            <w:r w:rsidRPr="00D6457E">
              <w:rPr>
                <w:sz w:val="24"/>
              </w:rPr>
              <w:t>.2</w:t>
            </w:r>
          </w:p>
        </w:tc>
        <w:tc>
          <w:tcPr>
            <w:tcW w:w="1350" w:type="dxa"/>
            <w:tcBorders>
              <w:bottom w:val="single" w:sz="4" w:space="0" w:color="auto"/>
            </w:tcBorders>
            <w:shd w:val="clear" w:color="auto" w:fill="auto"/>
            <w:vAlign w:val="bottom"/>
          </w:tcPr>
          <w:p w14:paraId="1E3ECE64" w14:textId="77777777" w:rsidR="00D42209" w:rsidRPr="0040718A" w:rsidRDefault="00D42209" w:rsidP="00CD37C7">
            <w:pPr>
              <w:jc w:val="right"/>
              <w:rPr>
                <w:sz w:val="24"/>
              </w:rPr>
            </w:pPr>
            <w:r w:rsidRPr="0040718A">
              <w:rPr>
                <w:sz w:val="24"/>
              </w:rPr>
              <w:t>281.8</w:t>
            </w:r>
          </w:p>
        </w:tc>
        <w:tc>
          <w:tcPr>
            <w:tcW w:w="1530" w:type="dxa"/>
            <w:tcBorders>
              <w:bottom w:val="single" w:sz="4" w:space="0" w:color="auto"/>
            </w:tcBorders>
            <w:shd w:val="clear" w:color="auto" w:fill="auto"/>
            <w:vAlign w:val="bottom"/>
          </w:tcPr>
          <w:p w14:paraId="6A808847" w14:textId="77777777" w:rsidR="00D42209" w:rsidRPr="0040718A" w:rsidRDefault="00D42209" w:rsidP="00CD37C7">
            <w:pPr>
              <w:jc w:val="right"/>
              <w:rPr>
                <w:sz w:val="24"/>
              </w:rPr>
            </w:pPr>
            <w:r w:rsidRPr="0040718A">
              <w:rPr>
                <w:sz w:val="24"/>
              </w:rPr>
              <w:t>8 hrs.; $637.60</w:t>
            </w:r>
          </w:p>
        </w:tc>
        <w:tc>
          <w:tcPr>
            <w:tcW w:w="1440" w:type="dxa"/>
            <w:shd w:val="clear" w:color="auto" w:fill="auto"/>
            <w:vAlign w:val="bottom"/>
          </w:tcPr>
          <w:p w14:paraId="5FF8F43E" w14:textId="77777777" w:rsidR="00D42209" w:rsidRPr="0040718A" w:rsidRDefault="00D42209" w:rsidP="00CD37C7">
            <w:pPr>
              <w:jc w:val="right"/>
              <w:rPr>
                <w:sz w:val="24"/>
              </w:rPr>
            </w:pPr>
            <w:r w:rsidRPr="0040718A">
              <w:rPr>
                <w:sz w:val="24"/>
              </w:rPr>
              <w:t>2,254 hrs.; $179,676</w:t>
            </w:r>
          </w:p>
        </w:tc>
      </w:tr>
      <w:tr w:rsidR="00D42209" w:rsidRPr="00D6457E" w14:paraId="1547A877" w14:textId="77777777" w:rsidTr="00C06CC4">
        <w:trPr>
          <w:trHeight w:val="170"/>
        </w:trPr>
        <w:tc>
          <w:tcPr>
            <w:tcW w:w="1368" w:type="dxa"/>
            <w:vMerge/>
            <w:tcBorders>
              <w:bottom w:val="single" w:sz="4" w:space="0" w:color="auto"/>
            </w:tcBorders>
          </w:tcPr>
          <w:p w14:paraId="6F4A1BBF" w14:textId="77777777" w:rsidR="00D42209" w:rsidRPr="00D6457E" w:rsidRDefault="00D42209" w:rsidP="00C06CC4">
            <w:pPr>
              <w:rPr>
                <w:sz w:val="24"/>
              </w:rPr>
            </w:pPr>
          </w:p>
        </w:tc>
        <w:tc>
          <w:tcPr>
            <w:tcW w:w="1800" w:type="dxa"/>
            <w:tcBorders>
              <w:bottom w:val="single" w:sz="4" w:space="0" w:color="auto"/>
            </w:tcBorders>
          </w:tcPr>
          <w:p w14:paraId="09175F4F" w14:textId="77777777" w:rsidR="00D42209" w:rsidRPr="00D6457E" w:rsidRDefault="00D42209" w:rsidP="00C06CC4">
            <w:pPr>
              <w:jc w:val="center"/>
              <w:rPr>
                <w:sz w:val="24"/>
              </w:rPr>
            </w:pPr>
            <w:r w:rsidRPr="00D6457E">
              <w:rPr>
                <w:sz w:val="24"/>
              </w:rPr>
              <w:t>Reliability Compliance</w:t>
            </w:r>
          </w:p>
        </w:tc>
        <w:tc>
          <w:tcPr>
            <w:tcW w:w="1350" w:type="dxa"/>
            <w:vMerge/>
            <w:tcBorders>
              <w:bottom w:val="single" w:sz="4" w:space="0" w:color="auto"/>
            </w:tcBorders>
            <w:vAlign w:val="bottom"/>
          </w:tcPr>
          <w:p w14:paraId="60B002FC" w14:textId="77777777" w:rsidR="00D42209" w:rsidRPr="00D6457E" w:rsidRDefault="00D42209" w:rsidP="00CD37C7">
            <w:pPr>
              <w:jc w:val="right"/>
              <w:rPr>
                <w:sz w:val="24"/>
              </w:rPr>
            </w:pPr>
          </w:p>
        </w:tc>
        <w:tc>
          <w:tcPr>
            <w:tcW w:w="1350" w:type="dxa"/>
            <w:tcBorders>
              <w:bottom w:val="single" w:sz="4" w:space="0" w:color="auto"/>
            </w:tcBorders>
            <w:shd w:val="clear" w:color="auto" w:fill="auto"/>
            <w:vAlign w:val="bottom"/>
          </w:tcPr>
          <w:p w14:paraId="5B6F5A9B" w14:textId="77777777" w:rsidR="00D42209" w:rsidRPr="00D6457E" w:rsidRDefault="00D42209" w:rsidP="00CD37C7">
            <w:pPr>
              <w:jc w:val="right"/>
              <w:rPr>
                <w:sz w:val="24"/>
              </w:rPr>
            </w:pPr>
            <w:r w:rsidRPr="00D6457E">
              <w:rPr>
                <w:sz w:val="24"/>
              </w:rPr>
              <w:t>1</w:t>
            </w:r>
          </w:p>
        </w:tc>
        <w:tc>
          <w:tcPr>
            <w:tcW w:w="1350" w:type="dxa"/>
            <w:tcBorders>
              <w:bottom w:val="single" w:sz="4" w:space="0" w:color="auto"/>
            </w:tcBorders>
            <w:shd w:val="clear" w:color="auto" w:fill="auto"/>
            <w:vAlign w:val="bottom"/>
          </w:tcPr>
          <w:p w14:paraId="59F3DD13" w14:textId="77777777" w:rsidR="00D42209" w:rsidRPr="00D6457E" w:rsidRDefault="00D42209" w:rsidP="00CD37C7">
            <w:pPr>
              <w:jc w:val="right"/>
              <w:rPr>
                <w:sz w:val="24"/>
              </w:rPr>
            </w:pPr>
            <w:r w:rsidRPr="00D6457E">
              <w:rPr>
                <w:sz w:val="24"/>
              </w:rPr>
              <w:t>1,409</w:t>
            </w:r>
          </w:p>
        </w:tc>
        <w:tc>
          <w:tcPr>
            <w:tcW w:w="1530" w:type="dxa"/>
            <w:tcBorders>
              <w:bottom w:val="single" w:sz="4" w:space="0" w:color="auto"/>
            </w:tcBorders>
            <w:shd w:val="clear" w:color="auto" w:fill="auto"/>
            <w:vAlign w:val="bottom"/>
          </w:tcPr>
          <w:p w14:paraId="7B7509E6" w14:textId="77777777" w:rsidR="00D42209" w:rsidRPr="00D6457E" w:rsidRDefault="00D42209" w:rsidP="00CD37C7">
            <w:pPr>
              <w:jc w:val="right"/>
              <w:rPr>
                <w:sz w:val="24"/>
              </w:rPr>
            </w:pPr>
            <w:r w:rsidRPr="00D6457E">
              <w:rPr>
                <w:sz w:val="24"/>
              </w:rPr>
              <w:t>400 hrs.; $31,880</w:t>
            </w:r>
          </w:p>
        </w:tc>
        <w:tc>
          <w:tcPr>
            <w:tcW w:w="1440" w:type="dxa"/>
            <w:tcBorders>
              <w:bottom w:val="single" w:sz="4" w:space="0" w:color="auto"/>
            </w:tcBorders>
            <w:shd w:val="clear" w:color="auto" w:fill="auto"/>
            <w:vAlign w:val="bottom"/>
          </w:tcPr>
          <w:p w14:paraId="5409C140" w14:textId="77777777" w:rsidR="00D42209" w:rsidRPr="0040718A" w:rsidRDefault="00D42209" w:rsidP="00CD37C7">
            <w:pPr>
              <w:jc w:val="right"/>
              <w:rPr>
                <w:sz w:val="24"/>
              </w:rPr>
            </w:pPr>
            <w:r w:rsidRPr="0040718A">
              <w:rPr>
                <w:sz w:val="24"/>
              </w:rPr>
              <w:t>563,600 hrs.; $44,918,920</w:t>
            </w:r>
          </w:p>
        </w:tc>
      </w:tr>
      <w:tr w:rsidR="00D42209" w:rsidRPr="005A3F56" w14:paraId="27A2DACD" w14:textId="77777777" w:rsidTr="00C06CC4">
        <w:trPr>
          <w:trHeight w:val="170"/>
        </w:trPr>
        <w:tc>
          <w:tcPr>
            <w:tcW w:w="3168" w:type="dxa"/>
            <w:gridSpan w:val="2"/>
            <w:shd w:val="clear" w:color="auto" w:fill="auto"/>
          </w:tcPr>
          <w:p w14:paraId="7916AC80" w14:textId="77777777" w:rsidR="00D42209" w:rsidRPr="00D6457E" w:rsidRDefault="00D42209" w:rsidP="00C06CC4">
            <w:pPr>
              <w:rPr>
                <w:sz w:val="24"/>
              </w:rPr>
            </w:pPr>
            <w:r w:rsidRPr="00D6457E">
              <w:rPr>
                <w:i/>
                <w:sz w:val="24"/>
              </w:rPr>
              <w:t>Registered Entities, Sub-Total</w:t>
            </w:r>
          </w:p>
        </w:tc>
        <w:tc>
          <w:tcPr>
            <w:tcW w:w="1350" w:type="dxa"/>
            <w:tcBorders>
              <w:bottom w:val="single" w:sz="4" w:space="0" w:color="auto"/>
            </w:tcBorders>
            <w:shd w:val="clear" w:color="auto" w:fill="auto"/>
            <w:vAlign w:val="bottom"/>
          </w:tcPr>
          <w:p w14:paraId="75E4B171" w14:textId="77777777" w:rsidR="00D42209" w:rsidRPr="00D6457E" w:rsidRDefault="00D42209" w:rsidP="00CD37C7">
            <w:pPr>
              <w:jc w:val="right"/>
              <w:rPr>
                <w:sz w:val="24"/>
              </w:rPr>
            </w:pPr>
          </w:p>
        </w:tc>
        <w:tc>
          <w:tcPr>
            <w:tcW w:w="1350" w:type="dxa"/>
            <w:tcBorders>
              <w:bottom w:val="single" w:sz="4" w:space="0" w:color="auto"/>
            </w:tcBorders>
            <w:shd w:val="clear" w:color="auto" w:fill="auto"/>
            <w:vAlign w:val="bottom"/>
          </w:tcPr>
          <w:p w14:paraId="6178417F" w14:textId="77777777" w:rsidR="00D42209" w:rsidRPr="00D6457E" w:rsidRDefault="00D42209" w:rsidP="00CD37C7">
            <w:pPr>
              <w:jc w:val="right"/>
              <w:rPr>
                <w:sz w:val="24"/>
              </w:rPr>
            </w:pPr>
          </w:p>
        </w:tc>
        <w:tc>
          <w:tcPr>
            <w:tcW w:w="1350" w:type="dxa"/>
            <w:tcBorders>
              <w:bottom w:val="single" w:sz="4" w:space="0" w:color="auto"/>
            </w:tcBorders>
            <w:shd w:val="clear" w:color="auto" w:fill="auto"/>
            <w:vAlign w:val="bottom"/>
          </w:tcPr>
          <w:p w14:paraId="5D75924E" w14:textId="77777777" w:rsidR="00D42209" w:rsidRPr="00D6457E" w:rsidRDefault="00D42209" w:rsidP="00CD37C7">
            <w:pPr>
              <w:jc w:val="right"/>
              <w:rPr>
                <w:sz w:val="24"/>
              </w:rPr>
            </w:pPr>
          </w:p>
        </w:tc>
        <w:tc>
          <w:tcPr>
            <w:tcW w:w="1530" w:type="dxa"/>
            <w:tcBorders>
              <w:bottom w:val="single" w:sz="4" w:space="0" w:color="auto"/>
            </w:tcBorders>
            <w:shd w:val="clear" w:color="auto" w:fill="auto"/>
            <w:vAlign w:val="bottom"/>
          </w:tcPr>
          <w:p w14:paraId="027AAD21" w14:textId="77777777" w:rsidR="00D42209" w:rsidRPr="00D6457E" w:rsidRDefault="00D42209" w:rsidP="00CD37C7">
            <w:pPr>
              <w:jc w:val="right"/>
              <w:rPr>
                <w:sz w:val="24"/>
              </w:rPr>
            </w:pPr>
          </w:p>
        </w:tc>
        <w:tc>
          <w:tcPr>
            <w:tcW w:w="1440" w:type="dxa"/>
            <w:shd w:val="clear" w:color="auto" w:fill="auto"/>
            <w:vAlign w:val="bottom"/>
          </w:tcPr>
          <w:p w14:paraId="375088F4" w14:textId="77777777" w:rsidR="00D42209" w:rsidRPr="0040718A" w:rsidRDefault="00D42209" w:rsidP="00CD37C7">
            <w:pPr>
              <w:jc w:val="right"/>
              <w:rPr>
                <w:sz w:val="24"/>
              </w:rPr>
            </w:pPr>
            <w:r w:rsidRPr="0040718A">
              <w:rPr>
                <w:i/>
                <w:sz w:val="24"/>
              </w:rPr>
              <w:t>565,854</w:t>
            </w:r>
            <w:r w:rsidRPr="0040718A">
              <w:rPr>
                <w:i/>
                <w:sz w:val="20"/>
                <w:szCs w:val="20"/>
              </w:rPr>
              <w:t xml:space="preserve"> </w:t>
            </w:r>
            <w:r w:rsidRPr="0040718A">
              <w:rPr>
                <w:i/>
                <w:sz w:val="24"/>
              </w:rPr>
              <w:t>hrs.; $45,098,596</w:t>
            </w:r>
          </w:p>
        </w:tc>
      </w:tr>
      <w:tr w:rsidR="00D42209" w:rsidRPr="005A3F56" w14:paraId="70219D78" w14:textId="77777777" w:rsidTr="00A86D9E">
        <w:trPr>
          <w:trHeight w:val="158"/>
        </w:trPr>
        <w:tc>
          <w:tcPr>
            <w:tcW w:w="1368" w:type="dxa"/>
          </w:tcPr>
          <w:p w14:paraId="2DB0B301" w14:textId="77777777" w:rsidR="00D42209" w:rsidRPr="00D6457E" w:rsidRDefault="00D42209" w:rsidP="00A86D9E">
            <w:pPr>
              <w:rPr>
                <w:b/>
                <w:sz w:val="24"/>
              </w:rPr>
            </w:pPr>
            <w:r w:rsidRPr="00D6457E">
              <w:rPr>
                <w:b/>
                <w:sz w:val="24"/>
              </w:rPr>
              <w:t>Total Burden Hrs. and Cost</w:t>
            </w:r>
          </w:p>
        </w:tc>
        <w:tc>
          <w:tcPr>
            <w:tcW w:w="1800" w:type="dxa"/>
            <w:shd w:val="clear" w:color="auto" w:fill="D9D9D9"/>
          </w:tcPr>
          <w:p w14:paraId="6ED0009B" w14:textId="77777777" w:rsidR="00D42209" w:rsidRPr="00D6457E" w:rsidRDefault="00D42209" w:rsidP="00C06CC4">
            <w:pPr>
              <w:jc w:val="center"/>
              <w:rPr>
                <w:b/>
                <w:sz w:val="24"/>
              </w:rPr>
            </w:pPr>
          </w:p>
        </w:tc>
        <w:tc>
          <w:tcPr>
            <w:tcW w:w="1350" w:type="dxa"/>
            <w:shd w:val="clear" w:color="auto" w:fill="D9D9D9"/>
          </w:tcPr>
          <w:p w14:paraId="3CB432F2" w14:textId="77777777" w:rsidR="00D42209" w:rsidRPr="00D6457E" w:rsidRDefault="00D42209" w:rsidP="00CD37C7">
            <w:pPr>
              <w:jc w:val="right"/>
              <w:rPr>
                <w:sz w:val="24"/>
              </w:rPr>
            </w:pPr>
          </w:p>
        </w:tc>
        <w:tc>
          <w:tcPr>
            <w:tcW w:w="1350" w:type="dxa"/>
            <w:shd w:val="clear" w:color="auto" w:fill="D9D9D9"/>
          </w:tcPr>
          <w:p w14:paraId="68133279" w14:textId="77777777" w:rsidR="00D42209" w:rsidRPr="00D6457E" w:rsidRDefault="00D42209" w:rsidP="00CD37C7">
            <w:pPr>
              <w:jc w:val="right"/>
              <w:rPr>
                <w:sz w:val="24"/>
              </w:rPr>
            </w:pPr>
          </w:p>
        </w:tc>
        <w:tc>
          <w:tcPr>
            <w:tcW w:w="1350" w:type="dxa"/>
            <w:shd w:val="clear" w:color="auto" w:fill="D9D9D9"/>
          </w:tcPr>
          <w:p w14:paraId="43842D84" w14:textId="77777777" w:rsidR="00D42209" w:rsidRPr="00D6457E" w:rsidRDefault="00D42209" w:rsidP="00CD37C7">
            <w:pPr>
              <w:jc w:val="right"/>
              <w:rPr>
                <w:sz w:val="24"/>
              </w:rPr>
            </w:pPr>
          </w:p>
        </w:tc>
        <w:tc>
          <w:tcPr>
            <w:tcW w:w="1530" w:type="dxa"/>
            <w:shd w:val="clear" w:color="auto" w:fill="D9D9D9"/>
          </w:tcPr>
          <w:p w14:paraId="40D2E776" w14:textId="77777777" w:rsidR="00D42209" w:rsidRPr="00D6457E" w:rsidRDefault="00D42209" w:rsidP="00CD37C7">
            <w:pPr>
              <w:jc w:val="right"/>
              <w:rPr>
                <w:sz w:val="24"/>
              </w:rPr>
            </w:pPr>
          </w:p>
        </w:tc>
        <w:tc>
          <w:tcPr>
            <w:tcW w:w="1440" w:type="dxa"/>
            <w:vAlign w:val="bottom"/>
          </w:tcPr>
          <w:p w14:paraId="760670C8" w14:textId="77777777" w:rsidR="00D42209" w:rsidRPr="003A3189" w:rsidRDefault="00D42209" w:rsidP="00CD37C7">
            <w:pPr>
              <w:jc w:val="right"/>
              <w:rPr>
                <w:sz w:val="24"/>
              </w:rPr>
            </w:pPr>
            <w:r w:rsidRPr="003A3189">
              <w:rPr>
                <w:sz w:val="24"/>
              </w:rPr>
              <w:t>1,117,730 hrs.; $89,083,113</w:t>
            </w:r>
          </w:p>
        </w:tc>
      </w:tr>
    </w:tbl>
    <w:p w14:paraId="54A2E553" w14:textId="77777777" w:rsidR="00D42209" w:rsidRDefault="00D42209" w:rsidP="00D42209">
      <w:pPr>
        <w:spacing w:after="160" w:line="259" w:lineRule="auto"/>
      </w:pPr>
    </w:p>
    <w:p w14:paraId="08448E2D" w14:textId="77777777" w:rsidR="00D42209" w:rsidRDefault="00D42209" w:rsidP="00D42209">
      <w:pPr>
        <w:spacing w:line="480" w:lineRule="auto"/>
        <w:rPr>
          <w:szCs w:val="26"/>
        </w:rPr>
      </w:pPr>
      <w:r>
        <w:rPr>
          <w:szCs w:val="26"/>
        </w:rPr>
        <w:t>As indicated in the table, there was a decrease from eight to seven in the number of Regional Entities because the Southwest Power Pool dissolved in 2018.  Other changes from previous estimates are based on new data in the proposed NERC 2019 Business Plan and Budget to reflect changes in the number of FTEs (full-time equivalent employees) working in applicable areas.  Reviewing the NERC Compliance database, we determined the number of unique U.S. entities is 1,409 (compared to the previous value of 1,446).  Lastly, in several instances, the amount of time an FTE devotes to a given function may have been increased or decreased.</w:t>
      </w:r>
    </w:p>
    <w:p w14:paraId="6ED19215" w14:textId="17CF66AB" w:rsidR="00AE1F12" w:rsidRDefault="00AE1F12" w:rsidP="00AE1F12">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0652AB31" w14:textId="22B910EF" w:rsidR="00853ABC" w:rsidRDefault="00853ABC" w:rsidP="00F11631"/>
    <w:p w14:paraId="30CB5833" w14:textId="0631D1DE" w:rsidR="00F11631" w:rsidRDefault="00F11631" w:rsidP="00F11631"/>
    <w:p w14:paraId="404CF2E0" w14:textId="2140C280" w:rsidR="00F11631" w:rsidRDefault="00F11631" w:rsidP="00F11631"/>
    <w:p w14:paraId="4C726916" w14:textId="1A9A703B" w:rsidR="00F11631" w:rsidRDefault="00F11631" w:rsidP="00F11631"/>
    <w:p w14:paraId="31D03E6F" w14:textId="3773D723" w:rsidR="00F11631" w:rsidRPr="00F11631" w:rsidRDefault="00F11631" w:rsidP="00F11631">
      <w:pPr>
        <w:ind w:firstLine="2174"/>
        <w:jc w:val="center"/>
      </w:pPr>
      <w:r w:rsidRPr="00F11631">
        <w:t>Kimberly D. Bose,</w:t>
      </w:r>
    </w:p>
    <w:p w14:paraId="279D1D3C" w14:textId="72111C19" w:rsidR="00F11631" w:rsidRPr="00F11631" w:rsidRDefault="00F11631" w:rsidP="00F11631">
      <w:pPr>
        <w:ind w:firstLine="2174"/>
        <w:jc w:val="center"/>
      </w:pPr>
      <w:r w:rsidRPr="00F11631">
        <w:t>Secretary.</w:t>
      </w:r>
    </w:p>
    <w:p w14:paraId="647D348B" w14:textId="77777777" w:rsidR="00F11631" w:rsidRDefault="00F11631" w:rsidP="00F11631"/>
    <w:sectPr w:rsidR="00F11631" w:rsidSect="00BF2D74">
      <w:head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736C4" w14:textId="77777777" w:rsidR="005F726F" w:rsidRDefault="005F726F" w:rsidP="00B01B16">
      <w:r>
        <w:separator/>
      </w:r>
    </w:p>
  </w:endnote>
  <w:endnote w:type="continuationSeparator" w:id="0">
    <w:p w14:paraId="3293A662" w14:textId="77777777" w:rsidR="005F726F" w:rsidRDefault="005F726F"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E7BC5" w14:textId="77777777" w:rsidR="005F726F" w:rsidRDefault="005F726F" w:rsidP="00B01B16">
      <w:r>
        <w:separator/>
      </w:r>
    </w:p>
  </w:footnote>
  <w:footnote w:type="continuationSeparator" w:id="0">
    <w:p w14:paraId="78E6B14B" w14:textId="77777777" w:rsidR="005F726F" w:rsidRDefault="005F726F" w:rsidP="00B01B16">
      <w:r>
        <w:continuationSeparator/>
      </w:r>
    </w:p>
  </w:footnote>
  <w:footnote w:id="1">
    <w:p w14:paraId="29AFBB1A" w14:textId="77777777" w:rsidR="002F24E8" w:rsidRPr="00B970FF" w:rsidRDefault="002F24E8" w:rsidP="002F24E8">
      <w:pPr>
        <w:pStyle w:val="FootnoteText"/>
        <w:rPr>
          <w:sz w:val="26"/>
          <w:szCs w:val="26"/>
        </w:rPr>
      </w:pPr>
      <w:r w:rsidRPr="00B970FF">
        <w:rPr>
          <w:rStyle w:val="FootnoteReference"/>
        </w:rPr>
        <w:footnoteRef/>
      </w:r>
      <w:r w:rsidRPr="00B970FF">
        <w:rPr>
          <w:sz w:val="26"/>
          <w:szCs w:val="26"/>
        </w:rPr>
        <w:t xml:space="preserve"> The Commission does not expect any new ERO applications to be submitted in </w:t>
      </w:r>
      <w:r w:rsidRPr="004E2C78">
        <w:rPr>
          <w:sz w:val="26"/>
          <w:szCs w:val="26"/>
        </w:rPr>
        <w:t>the next five years</w:t>
      </w:r>
      <w:r w:rsidRPr="00B970FF">
        <w:rPr>
          <w:sz w:val="26"/>
          <w:szCs w:val="26"/>
        </w:rPr>
        <w:t xml:space="preserve"> and is not including any burden for this requirement in the burden estimate.  FERC still seeks to renew the regulations pertaining to a new ERO application under this renewal but is expecting the burden to be zero for the foreseeable future.  18 CFR 39.3 contains the regulation pertaining to ERO applications.  </w:t>
      </w:r>
    </w:p>
  </w:footnote>
  <w:footnote w:id="2">
    <w:p w14:paraId="55A994F5" w14:textId="77777777" w:rsidR="002F24E8" w:rsidRPr="00B970FF" w:rsidRDefault="002F24E8" w:rsidP="002F24E8">
      <w:pPr>
        <w:pStyle w:val="FootnoteText"/>
        <w:rPr>
          <w:sz w:val="26"/>
          <w:szCs w:val="26"/>
        </w:rPr>
      </w:pPr>
      <w:r w:rsidRPr="00B970FF">
        <w:rPr>
          <w:rStyle w:val="FootnoteReference"/>
        </w:rPr>
        <w:footnoteRef/>
      </w:r>
      <w:r w:rsidRPr="00B970FF">
        <w:rPr>
          <w:sz w:val="26"/>
          <w:szCs w:val="26"/>
        </w:rPr>
        <w:t xml:space="preserve"> A “registered entity” is an entity that is registered with the ERO.  All Bulk-Power System owners, operators and users are required to register with the ERO.  Registration is the basis for determining the Reliability Standards with which an entity must comply.  See </w:t>
      </w:r>
      <w:hyperlink r:id="rId1" w:history="1">
        <w:r w:rsidRPr="00B970FF">
          <w:rPr>
            <w:rStyle w:val="Hyperlink"/>
            <w:sz w:val="26"/>
            <w:szCs w:val="26"/>
          </w:rPr>
          <w:t>http://www.nerc.com/page.php?cid=3%7C25</w:t>
        </w:r>
      </w:hyperlink>
      <w:r w:rsidRPr="00B970FF">
        <w:rPr>
          <w:sz w:val="26"/>
          <w:szCs w:val="26"/>
        </w:rPr>
        <w:t xml:space="preserve"> for more details.</w:t>
      </w:r>
    </w:p>
  </w:footnote>
  <w:footnote w:id="3">
    <w:p w14:paraId="490F12D6" w14:textId="77777777" w:rsidR="00D42209" w:rsidRPr="008E145A" w:rsidRDefault="00D42209" w:rsidP="00D42209">
      <w:pPr>
        <w:pStyle w:val="FootnoteText"/>
        <w:rPr>
          <w:sz w:val="26"/>
          <w:szCs w:val="26"/>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is</w:t>
      </w:r>
      <w:r w:rsidRPr="006536D8">
        <w:rPr>
          <w:sz w:val="26"/>
          <w:szCs w:val="26"/>
        </w:rPr>
        <w:t xml:space="preserve"> the total time, effort, or financial resources expended by persons to generate, maintain, retain, or disclose or provide information to or for a Federal agency. For further explanation of what is included in the information collection burden, refer to Title 5 Code of Feder</w:t>
      </w:r>
      <w:r w:rsidRPr="008E145A">
        <w:rPr>
          <w:sz w:val="26"/>
          <w:szCs w:val="26"/>
        </w:rPr>
        <w:t>al Regulations 1320.3.</w:t>
      </w:r>
    </w:p>
  </w:footnote>
  <w:footnote w:id="4">
    <w:p w14:paraId="62528850" w14:textId="77777777" w:rsidR="00D42209" w:rsidRDefault="00D42209" w:rsidP="00D42209">
      <w:pPr>
        <w:pStyle w:val="FootnoteText"/>
      </w:pPr>
      <w:r w:rsidRPr="008E145A">
        <w:rPr>
          <w:rStyle w:val="FootnoteReference"/>
        </w:rPr>
        <w:footnoteRef/>
      </w:r>
      <w:r w:rsidRPr="008E145A">
        <w:rPr>
          <w:sz w:val="26"/>
          <w:szCs w:val="26"/>
        </w:rPr>
        <w:t xml:space="preserve">  Costs (for wages and benefits) are based on wage figures from the Bureau of Labor Statistics (BLS) for </w:t>
      </w:r>
      <w:r w:rsidRPr="004E2C78">
        <w:rPr>
          <w:sz w:val="26"/>
          <w:szCs w:val="26"/>
        </w:rPr>
        <w:t>May 2017 (</w:t>
      </w:r>
      <w:r w:rsidRPr="008E145A">
        <w:rPr>
          <w:sz w:val="26"/>
          <w:szCs w:val="26"/>
        </w:rPr>
        <w:t xml:space="preserve">at </w:t>
      </w:r>
      <w:hyperlink r:id="rId2" w:history="1">
        <w:r w:rsidRPr="008E145A">
          <w:rPr>
            <w:rStyle w:val="Hyperlink"/>
            <w:sz w:val="26"/>
            <w:szCs w:val="26"/>
          </w:rPr>
          <w:t>https://www.bls.gov/oes/current/naics2_22.htm</w:t>
        </w:r>
      </w:hyperlink>
      <w:r w:rsidRPr="008E145A">
        <w:rPr>
          <w:sz w:val="26"/>
          <w:szCs w:val="26"/>
        </w:rPr>
        <w:t>) and benefits information (</w:t>
      </w:r>
      <w:r>
        <w:rPr>
          <w:sz w:val="26"/>
          <w:szCs w:val="26"/>
        </w:rPr>
        <w:t xml:space="preserve">at </w:t>
      </w:r>
      <w:hyperlink r:id="rId3" w:history="1">
        <w:r w:rsidRPr="008E145A">
          <w:rPr>
            <w:rStyle w:val="Hyperlink"/>
            <w:sz w:val="26"/>
            <w:szCs w:val="26"/>
          </w:rPr>
          <w:t>https://www.bls.gov/news.release/ecec.nr0.htm</w:t>
        </w:r>
      </w:hyperlink>
      <w:r>
        <w:rPr>
          <w:rStyle w:val="Hyperlink"/>
          <w:sz w:val="26"/>
          <w:szCs w:val="26"/>
        </w:rPr>
        <w:t>)</w:t>
      </w:r>
      <w:r w:rsidRPr="008E145A">
        <w:rPr>
          <w:sz w:val="26"/>
          <w:szCs w:val="26"/>
        </w:rPr>
        <w:t xml:space="preserve"> </w:t>
      </w:r>
      <w:r w:rsidRPr="008E145A">
        <w:rPr>
          <w:strike/>
          <w:sz w:val="26"/>
          <w:szCs w:val="26"/>
        </w:rPr>
        <w:t>.</w:t>
      </w:r>
    </w:p>
  </w:footnote>
  <w:footnote w:id="5">
    <w:p w14:paraId="13444679" w14:textId="77777777" w:rsidR="00D42209" w:rsidRPr="00530876" w:rsidRDefault="00D42209" w:rsidP="00D42209">
      <w:pPr>
        <w:pStyle w:val="FootnoteText"/>
        <w:rPr>
          <w:sz w:val="26"/>
          <w:szCs w:val="26"/>
        </w:rPr>
      </w:pPr>
      <w:r w:rsidRPr="00530876">
        <w:rPr>
          <w:rStyle w:val="FootnoteReference"/>
        </w:rPr>
        <w:footnoteRef/>
      </w:r>
      <w:r w:rsidRPr="00530876">
        <w:rPr>
          <w:sz w:val="26"/>
          <w:szCs w:val="26"/>
        </w:rPr>
        <w:t xml:space="preserve"> In instances where the number of responses per respondent is “1</w:t>
      </w:r>
      <w:r>
        <w:rPr>
          <w:sz w:val="26"/>
          <w:szCs w:val="26"/>
        </w:rPr>
        <w:t>,</w:t>
      </w:r>
      <w:r w:rsidRPr="00530876">
        <w:rPr>
          <w:sz w:val="26"/>
          <w:szCs w:val="26"/>
        </w:rPr>
        <w:t xml:space="preserve">” the Commission </w:t>
      </w:r>
      <w:r>
        <w:rPr>
          <w:sz w:val="26"/>
          <w:szCs w:val="26"/>
        </w:rPr>
        <w:t>Staff thinks</w:t>
      </w:r>
      <w:r w:rsidRPr="00530876">
        <w:rPr>
          <w:sz w:val="26"/>
          <w:szCs w:val="26"/>
        </w:rPr>
        <w:t xml:space="preserve"> that </w:t>
      </w:r>
      <w:r>
        <w:rPr>
          <w:sz w:val="26"/>
          <w:szCs w:val="26"/>
        </w:rPr>
        <w:t xml:space="preserve">the </w:t>
      </w:r>
      <w:r w:rsidRPr="00530876">
        <w:rPr>
          <w:sz w:val="26"/>
          <w:szCs w:val="26"/>
        </w:rPr>
        <w:t xml:space="preserve">actual number of responses varies and cannot be estimated </w:t>
      </w:r>
      <w:r>
        <w:rPr>
          <w:sz w:val="26"/>
          <w:szCs w:val="26"/>
        </w:rPr>
        <w:t>accurately</w:t>
      </w:r>
      <w:r w:rsidRPr="00530876">
        <w:rPr>
          <w:sz w:val="26"/>
          <w:szCs w:val="2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0597F" w14:textId="442BB503" w:rsidR="00810D18" w:rsidRDefault="00810D18" w:rsidP="00810D18">
    <w:pPr>
      <w:pStyle w:val="Header"/>
    </w:pPr>
    <w:r>
      <w:t xml:space="preserve">Docket No. </w:t>
    </w:r>
    <w:r w:rsidR="002E0351">
      <w:t>IC18-19-000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E17FF">
          <w:rPr>
            <w:noProof/>
          </w:rPr>
          <w:t>8</w:t>
        </w:r>
        <w:r>
          <w:rPr>
            <w:noProof/>
          </w:rPr>
          <w:fldChar w:fldCharType="end"/>
        </w:r>
      </w:sdtContent>
    </w:sdt>
  </w:p>
  <w:p w14:paraId="10170C13" w14:textId="76D2DB34" w:rsidR="00BF2D74" w:rsidRDefault="00BF2D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16"/>
    <w:rsid w:val="000122E1"/>
    <w:rsid w:val="00023EA9"/>
    <w:rsid w:val="000241AE"/>
    <w:rsid w:val="000459B6"/>
    <w:rsid w:val="00056C5D"/>
    <w:rsid w:val="00062427"/>
    <w:rsid w:val="000A0250"/>
    <w:rsid w:val="000A7E68"/>
    <w:rsid w:val="000E17FF"/>
    <w:rsid w:val="000E2568"/>
    <w:rsid w:val="0015578A"/>
    <w:rsid w:val="00156BBB"/>
    <w:rsid w:val="001600DF"/>
    <w:rsid w:val="00171725"/>
    <w:rsid w:val="00181BF7"/>
    <w:rsid w:val="001A6AD6"/>
    <w:rsid w:val="001B78B8"/>
    <w:rsid w:val="001E6510"/>
    <w:rsid w:val="00224BF2"/>
    <w:rsid w:val="0027452E"/>
    <w:rsid w:val="00293D56"/>
    <w:rsid w:val="002B7AA8"/>
    <w:rsid w:val="002D5237"/>
    <w:rsid w:val="002E0351"/>
    <w:rsid w:val="002F24E8"/>
    <w:rsid w:val="002F697A"/>
    <w:rsid w:val="003060F0"/>
    <w:rsid w:val="00311D90"/>
    <w:rsid w:val="003149BC"/>
    <w:rsid w:val="0034195C"/>
    <w:rsid w:val="00347056"/>
    <w:rsid w:val="00361371"/>
    <w:rsid w:val="00363638"/>
    <w:rsid w:val="003673EC"/>
    <w:rsid w:val="00376525"/>
    <w:rsid w:val="003960E0"/>
    <w:rsid w:val="003A1A72"/>
    <w:rsid w:val="003A3189"/>
    <w:rsid w:val="003C3E7A"/>
    <w:rsid w:val="003C7BC3"/>
    <w:rsid w:val="003E44AD"/>
    <w:rsid w:val="0040718A"/>
    <w:rsid w:val="00443282"/>
    <w:rsid w:val="0045734B"/>
    <w:rsid w:val="004759C4"/>
    <w:rsid w:val="00485A51"/>
    <w:rsid w:val="0049480F"/>
    <w:rsid w:val="004C70C8"/>
    <w:rsid w:val="004C77EF"/>
    <w:rsid w:val="004D27A2"/>
    <w:rsid w:val="004D7C47"/>
    <w:rsid w:val="004F26DA"/>
    <w:rsid w:val="00513DA8"/>
    <w:rsid w:val="00514B50"/>
    <w:rsid w:val="00516493"/>
    <w:rsid w:val="0054073B"/>
    <w:rsid w:val="0054746C"/>
    <w:rsid w:val="00585F73"/>
    <w:rsid w:val="005A0148"/>
    <w:rsid w:val="005A2F24"/>
    <w:rsid w:val="005A3F56"/>
    <w:rsid w:val="005B4DA4"/>
    <w:rsid w:val="005C6D4E"/>
    <w:rsid w:val="005D16A1"/>
    <w:rsid w:val="005E6D8A"/>
    <w:rsid w:val="005F3DAA"/>
    <w:rsid w:val="005F726F"/>
    <w:rsid w:val="006128A5"/>
    <w:rsid w:val="006144F3"/>
    <w:rsid w:val="00634374"/>
    <w:rsid w:val="00637F43"/>
    <w:rsid w:val="00642602"/>
    <w:rsid w:val="00644A1B"/>
    <w:rsid w:val="00650FA1"/>
    <w:rsid w:val="006536D8"/>
    <w:rsid w:val="00654BA4"/>
    <w:rsid w:val="00680D78"/>
    <w:rsid w:val="00695E65"/>
    <w:rsid w:val="006963BC"/>
    <w:rsid w:val="006A34AE"/>
    <w:rsid w:val="006A423E"/>
    <w:rsid w:val="006C6B0C"/>
    <w:rsid w:val="006E10F4"/>
    <w:rsid w:val="006E75AA"/>
    <w:rsid w:val="006E7CBB"/>
    <w:rsid w:val="00714F57"/>
    <w:rsid w:val="00727C5E"/>
    <w:rsid w:val="00741C80"/>
    <w:rsid w:val="0075009F"/>
    <w:rsid w:val="00782ACA"/>
    <w:rsid w:val="007B588C"/>
    <w:rsid w:val="007C1916"/>
    <w:rsid w:val="007C6AC2"/>
    <w:rsid w:val="007C729C"/>
    <w:rsid w:val="00803CA2"/>
    <w:rsid w:val="00807CAC"/>
    <w:rsid w:val="00810D18"/>
    <w:rsid w:val="008115BF"/>
    <w:rsid w:val="00812B30"/>
    <w:rsid w:val="00824D81"/>
    <w:rsid w:val="00836DF9"/>
    <w:rsid w:val="00853ABC"/>
    <w:rsid w:val="00881405"/>
    <w:rsid w:val="0089069F"/>
    <w:rsid w:val="00895DA2"/>
    <w:rsid w:val="00897359"/>
    <w:rsid w:val="008A020E"/>
    <w:rsid w:val="008B6E06"/>
    <w:rsid w:val="008C572B"/>
    <w:rsid w:val="008D25B7"/>
    <w:rsid w:val="008D300A"/>
    <w:rsid w:val="008D5479"/>
    <w:rsid w:val="008E0DF5"/>
    <w:rsid w:val="008E3273"/>
    <w:rsid w:val="009179E9"/>
    <w:rsid w:val="00937284"/>
    <w:rsid w:val="00940C0F"/>
    <w:rsid w:val="0095311D"/>
    <w:rsid w:val="00954CCB"/>
    <w:rsid w:val="009744C8"/>
    <w:rsid w:val="00981886"/>
    <w:rsid w:val="00990FEC"/>
    <w:rsid w:val="009A1B08"/>
    <w:rsid w:val="009A6E91"/>
    <w:rsid w:val="009B4450"/>
    <w:rsid w:val="009C25C4"/>
    <w:rsid w:val="009C4A13"/>
    <w:rsid w:val="009E5557"/>
    <w:rsid w:val="009E66F8"/>
    <w:rsid w:val="009F7DE3"/>
    <w:rsid w:val="00A038F9"/>
    <w:rsid w:val="00A2604E"/>
    <w:rsid w:val="00A43A4A"/>
    <w:rsid w:val="00A507F0"/>
    <w:rsid w:val="00A54EFC"/>
    <w:rsid w:val="00A664DF"/>
    <w:rsid w:val="00A713D0"/>
    <w:rsid w:val="00A72814"/>
    <w:rsid w:val="00A759B3"/>
    <w:rsid w:val="00A82A29"/>
    <w:rsid w:val="00A8690F"/>
    <w:rsid w:val="00A86D9E"/>
    <w:rsid w:val="00AA4050"/>
    <w:rsid w:val="00AA516A"/>
    <w:rsid w:val="00AA5B0E"/>
    <w:rsid w:val="00AC750B"/>
    <w:rsid w:val="00AC77B8"/>
    <w:rsid w:val="00AD4128"/>
    <w:rsid w:val="00AE1F12"/>
    <w:rsid w:val="00AE3A78"/>
    <w:rsid w:val="00AE4155"/>
    <w:rsid w:val="00AE4B7C"/>
    <w:rsid w:val="00AF349B"/>
    <w:rsid w:val="00B01B16"/>
    <w:rsid w:val="00B22DCB"/>
    <w:rsid w:val="00B447D7"/>
    <w:rsid w:val="00B46F03"/>
    <w:rsid w:val="00B5066A"/>
    <w:rsid w:val="00B56882"/>
    <w:rsid w:val="00B65A09"/>
    <w:rsid w:val="00B76A1F"/>
    <w:rsid w:val="00B82F8C"/>
    <w:rsid w:val="00BA0FBC"/>
    <w:rsid w:val="00BA5479"/>
    <w:rsid w:val="00BB7D82"/>
    <w:rsid w:val="00BC200B"/>
    <w:rsid w:val="00BD74AE"/>
    <w:rsid w:val="00BE3FE7"/>
    <w:rsid w:val="00BF29D8"/>
    <w:rsid w:val="00BF2D74"/>
    <w:rsid w:val="00BF38BC"/>
    <w:rsid w:val="00BF4CC8"/>
    <w:rsid w:val="00C1124F"/>
    <w:rsid w:val="00C37BFF"/>
    <w:rsid w:val="00C51458"/>
    <w:rsid w:val="00C53580"/>
    <w:rsid w:val="00C55838"/>
    <w:rsid w:val="00C728C5"/>
    <w:rsid w:val="00C77EF7"/>
    <w:rsid w:val="00C81A97"/>
    <w:rsid w:val="00C820F1"/>
    <w:rsid w:val="00C91512"/>
    <w:rsid w:val="00CA6636"/>
    <w:rsid w:val="00CA6D76"/>
    <w:rsid w:val="00CD37C7"/>
    <w:rsid w:val="00CD57EB"/>
    <w:rsid w:val="00CD5C97"/>
    <w:rsid w:val="00CD786C"/>
    <w:rsid w:val="00CE3598"/>
    <w:rsid w:val="00CF4753"/>
    <w:rsid w:val="00CF71E0"/>
    <w:rsid w:val="00D0083B"/>
    <w:rsid w:val="00D42209"/>
    <w:rsid w:val="00D44183"/>
    <w:rsid w:val="00D9761F"/>
    <w:rsid w:val="00DA529F"/>
    <w:rsid w:val="00DC5017"/>
    <w:rsid w:val="00DD2ED3"/>
    <w:rsid w:val="00DD7F1B"/>
    <w:rsid w:val="00E024B6"/>
    <w:rsid w:val="00E13A02"/>
    <w:rsid w:val="00E34382"/>
    <w:rsid w:val="00E41DB9"/>
    <w:rsid w:val="00E762BB"/>
    <w:rsid w:val="00E77B33"/>
    <w:rsid w:val="00E8661B"/>
    <w:rsid w:val="00EA689F"/>
    <w:rsid w:val="00EF2866"/>
    <w:rsid w:val="00EF33BE"/>
    <w:rsid w:val="00F0383C"/>
    <w:rsid w:val="00F11631"/>
    <w:rsid w:val="00F24AB0"/>
    <w:rsid w:val="00F309CB"/>
    <w:rsid w:val="00F44A0E"/>
    <w:rsid w:val="00F8646E"/>
    <w:rsid w:val="00F9675E"/>
    <w:rsid w:val="00FC3F00"/>
    <w:rsid w:val="00FE4B8E"/>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C23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DataClearance@FERC.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ferc.gov/docs-filing/docs-filing.asp" TargetMode="External"/><Relationship Id="rId2" Type="http://schemas.openxmlformats.org/officeDocument/2006/relationships/customXml" Target="../customXml/item2.xml"/><Relationship Id="rId16" Type="http://schemas.openxmlformats.org/officeDocument/2006/relationships/hyperlink" Target="http://www.ferc.gov/help/submission-guide.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docs-filing/efiling.asp"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oira_submission@omb.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ecec.nr0.htm" TargetMode="External"/><Relationship Id="rId2" Type="http://schemas.openxmlformats.org/officeDocument/2006/relationships/hyperlink" Target="https://www.bls.gov/oes/current/naics2_22.htm" TargetMode="External"/><Relationship Id="rId1" Type="http://schemas.openxmlformats.org/officeDocument/2006/relationships/hyperlink" Target="http://www.nerc.com/page.php?cid=3%7C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30-Day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725</_x0031__x002e__x0020_Collection_x0020_Number>
    <Date xmlns="d6eefc7d-9817-4fa6-84d5-3bc009be21b8">2019-01-09T00:00:00-05:00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IC18-19</_x0031__x002e__x0020_Docket_x0020_Number>
    <_x0033__x002e__x0020_Collection_x0020_Number xmlns="d6eefc7d-9817-4fa6-84d5-3bc009be21b8"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1DD4-8130-4FE7-964C-24C804F058DC}">
  <ds:schemaRefs>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purl.org/dc/terms/"/>
    <ds:schemaRef ds:uri="d6eefc7d-9817-4fa6-84d5-3bc009be21b8"/>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3.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4.xml><?xml version="1.0" encoding="utf-8"?>
<ds:datastoreItem xmlns:ds="http://schemas.openxmlformats.org/officeDocument/2006/customXml" ds:itemID="{3290C592-74B5-47C9-B538-E1B4C6ADA037}">
  <ds:schemaRefs>
    <ds:schemaRef ds:uri="http://schemas.microsoft.com/office/2006/metadata/customXsn"/>
  </ds:schemaRefs>
</ds:datastoreItem>
</file>

<file path=customXml/itemProps5.xml><?xml version="1.0" encoding="utf-8"?>
<ds:datastoreItem xmlns:ds="http://schemas.openxmlformats.org/officeDocument/2006/customXml" ds:itemID="{DC262EDE-236A-48C0-AF40-7EDBB948F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69F2AA8-EE87-4EF9-95F0-F74AA2BEE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1583</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10591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cp:lastPrinted>2016-12-20T13:40:00Z</cp:lastPrinted>
  <dcterms:created xsi:type="dcterms:W3CDTF">2019-01-09T20:48:00Z</dcterms:created>
  <dcterms:modified xsi:type="dcterms:W3CDTF">2019-01-09T20:48:00Z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