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noProof/>
        </w:rPr>
        <w:id w:val="37707067"/>
        <w:docPartObj>
          <w:docPartGallery w:val="Cover Pages"/>
        </w:docPartObj>
      </w:sdtPr>
      <w:sdtEndPr>
        <w:rPr>
          <w:noProof w:val="0"/>
        </w:rPr>
      </w:sdtEndPr>
      <w:sdtContent>
        <w:p w14:paraId="533DBB1B" w14:textId="77777777" w:rsidR="00D001E4" w:rsidRDefault="00711414">
          <w:pPr>
            <w:rPr>
              <w:noProof/>
            </w:rPr>
          </w:pPr>
          <w:r>
            <w:rPr>
              <w:noProof/>
            </w:rPr>
            <mc:AlternateContent>
              <mc:Choice Requires="wps">
                <w:drawing>
                  <wp:anchor distT="0" distB="0" distL="114300" distR="114300" simplePos="0" relativeHeight="251676672" behindDoc="1" locked="0" layoutInCell="1" allowOverlap="1" wp14:anchorId="462E1373" wp14:editId="70ACFB57">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8059C6" id="Rectangle 27" o:spid="_x0000_s1026"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fillcolor="#0c95d3" stroked="f" strokecolor="#f2f2f2 [3041]" strokeweight="3pt">
                    <v:shadow color="#50191f [1608]" opacity=".5" offset="1pt"/>
                    <w10:wrap type="through"/>
                  </v:rect>
                </w:pict>
              </mc:Fallback>
            </mc:AlternateContent>
          </w:r>
          <w:r w:rsidR="00C00590">
            <w:rPr>
              <w:noProof/>
            </w:rPr>
            <w:drawing>
              <wp:anchor distT="0" distB="0" distL="114300" distR="114300" simplePos="0" relativeHeight="251675647" behindDoc="0" locked="0" layoutInCell="1" allowOverlap="1" wp14:anchorId="37332D45" wp14:editId="415C82DD">
                <wp:simplePos x="0" y="0"/>
                <wp:positionH relativeFrom="column">
                  <wp:posOffset>6350</wp:posOffset>
                </wp:positionH>
                <wp:positionV relativeFrom="paragraph">
                  <wp:posOffset>50800</wp:posOffset>
                </wp:positionV>
                <wp:extent cx="3175000" cy="609600"/>
                <wp:effectExtent l="19050" t="0" r="6350" b="0"/>
                <wp:wrapThrough wrapText="bothSides">
                  <wp:wrapPolygon edited="0">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a_logo_tagline.png"/>
                        <pic:cNvPicPr/>
                      </pic:nvPicPr>
                      <pic:blipFill>
                        <a:blip r:embed="rId10"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78720" behindDoc="0" locked="0" layoutInCell="1" allowOverlap="1" wp14:anchorId="1515271D" wp14:editId="678A3A4E">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7E8E9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74D06EC" id="_x0000_t32" coordsize="21600,21600" o:spt="32" o:oned="t" path="m,l21600,21600e" filled="f">
                    <v:path arrowok="t" fillok="f" o:connecttype="none"/>
                    <o:lock v:ext="edit" shapetype="t"/>
                  </v:shapetype>
                  <v:shape id="AutoShape 28" o:spid="_x0000_s1026" type="#_x0000_t32" style="position:absolute;margin-left:-35.5pt;margin-top:66pt;width:540pt;height: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I1IQIAADwEAAAOAAAAZHJzL2Uyb0RvYy54bWysU8GO2jAQvVfqP1i+s0loYENEWKEEetl2&#10;kXb7AcZ2EquJbdmGgKr+e8eGILa9VFUvzjgz8+bNzPPy6dR36MiNFUoWOHmIMeKSKiZkU+Bvb9tJ&#10;hpF1RDLSKckLfOYWP60+flgOOudT1aqOcYMARNp80AVundN5FFna8p7YB6W5BGetTE8cXE0TMUMG&#10;QO+7aBrH82hQhmmjKLcW/lYXJ14F/Lrm1L3UteUOdQUGbi6cJpx7f0arJckbQ3Qr6JUG+QcWPRES&#10;it6gKuIIOhjxB1QvqFFW1e6Bqj5SdS0oDz1AN0n8WzevLdE89ALDsfo2Jvv/YOnX484gwQoMi5Kk&#10;hxWtD06Fymia+fkM2uYQVsqd8R3Sk3zVz4p+t0iqsiWy4SH67awhOfEZ0bsUf7EaquyHL4pBDIEC&#10;YVin2vQeEsaATmEn59tO+MkhCj/n2SyLY1gdHX0RycdEbaz7zFWPvFFg6wwRTetKJSVsXpkklCHH&#10;Z+s8LZKPCb6qVFvRdUEAnURDgRez6SwkWNUJ5p0+zJpmX3YGHQlI6HGTbRbr0CN47sOMOkgWwFpO&#10;2OZqOyK6iw3FO+nxoDGgc7UuGvmxiBcAnKWTdDrfTNK4qibrbZlO5tvkcVZ9qsqySn56akmat4Ix&#10;Lj27Ua9J+nd6uL6ci9Juir2NIXqPHuYFZMdvIB0265d5kcVesfPOjBsHiYbg63Pyb+D+Dvb9o1/9&#10;AgAA//8DAFBLAwQUAAYACAAAACEAyuPhL90AAAAMAQAADwAAAGRycy9kb3ducmV2LnhtbExPXUvD&#10;QBB8F/wPxwq+tXetqDXmUiQg+NUHq+DrNncmIXd7MXdt4r93C4K+zewMszP5evJOHOwQ20AaFnMF&#10;wlIVTEu1hve3+9kKRExIBl0gq+HbRlgXpyc5ZiaM9GoP21QLDqGYoYYmpT6TMlaN9RjnobfE2mcY&#10;PCamQy3NgCOHeyeXSl1Jjy3xhwZ7Wza26rZ7r+GLLldlWT9sRvPy9Pz4oTp0m07r87Pp7hZEslP6&#10;M8OxPleHgjvtwp5MFE7D7HrBWxILF0sGR4dSN4x2vydZ5PL/iOIHAAD//wMAUEsBAi0AFAAGAAgA&#10;AAAhALaDOJL+AAAA4QEAABMAAAAAAAAAAAAAAAAAAAAAAFtDb250ZW50X1R5cGVzXS54bWxQSwEC&#10;LQAUAAYACAAAACEAOP0h/9YAAACUAQAACwAAAAAAAAAAAAAAAAAvAQAAX3JlbHMvLnJlbHNQSwEC&#10;LQAUAAYACAAAACEAupOCNSECAAA8BAAADgAAAAAAAAAAAAAAAAAuAgAAZHJzL2Uyb0RvYy54bWxQ&#10;SwECLQAUAAYACAAAACEAyuPhL90AAAAMAQAADwAAAAAAAAAAAAAAAAB7BAAAZHJzL2Rvd25yZXYu&#10;eG1sUEsFBgAAAAAEAAQA8wAAAIUFAAAAAA==&#10;" strokecolor="#7e8e9a">
                    <w10:wrap type="square" anchorx="margin" anchory="margin"/>
                  </v:shape>
                </w:pict>
              </mc:Fallback>
            </mc:AlternateContent>
          </w:r>
        </w:p>
        <w:p w14:paraId="023FEF2D" w14:textId="77777777" w:rsidR="00041909" w:rsidRDefault="001F3A8F" w:rsidP="00D928FD">
          <w:pPr>
            <w:ind w:left="1080"/>
          </w:pPr>
          <w:r>
            <w:rPr>
              <w:noProof/>
            </w:rPr>
            <w:softHyphen/>
          </w:r>
          <w:r>
            <w:rPr>
              <w:noProof/>
            </w:rPr>
            <w:softHyphen/>
          </w:r>
          <w:r>
            <w:rPr>
              <w:noProof/>
            </w:rPr>
            <w:softHyphen/>
          </w:r>
        </w:p>
      </w:sdtContent>
    </w:sdt>
    <w:p w14:paraId="69C74831" w14:textId="77777777" w:rsidR="00D928FD" w:rsidRDefault="00D928FD" w:rsidP="00D928FD"/>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14:paraId="1D297E82" w14:textId="02BA8547" w:rsidR="00711414" w:rsidRDefault="005F7869" w:rsidP="00E52FE1">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Survey Clearance Standard Remittance Advice for Payment of Fees (NWPA-830G)</w:t>
          </w:r>
        </w:p>
      </w:sdtContent>
    </w:sdt>
    <w:p w14:paraId="5BE711A0" w14:textId="3B790C9C" w:rsidR="0059212D" w:rsidRPr="00EE2CAF" w:rsidRDefault="00EE2CAF" w:rsidP="00EE2CAF">
      <w:pPr>
        <w:pStyle w:val="Heading1"/>
      </w:pPr>
      <w:bookmarkStart w:id="1" w:name="_Toc520713817"/>
      <w:r w:rsidRPr="00EE2CAF">
        <w:t>Part A: Justification</w:t>
      </w:r>
      <w:bookmarkEnd w:id="1"/>
    </w:p>
    <w:p w14:paraId="4A9BFD24" w14:textId="6B670A08" w:rsidR="00711414" w:rsidRPr="00711414" w:rsidRDefault="00B311B4" w:rsidP="00D928FD">
      <w:pPr>
        <w:rPr>
          <w:b/>
          <w:sz w:val="36"/>
          <w:szCs w:val="36"/>
        </w:rPr>
      </w:pPr>
      <w:r>
        <w:rPr>
          <w:noProof/>
        </w:rPr>
        <mc:AlternateContent>
          <mc:Choice Requires="wps">
            <w:drawing>
              <wp:anchor distT="0" distB="0" distL="114300" distR="114300" simplePos="0" relativeHeight="251693056" behindDoc="0" locked="0" layoutInCell="1" allowOverlap="1" wp14:anchorId="3CEBBA12" wp14:editId="39CDD136">
                <wp:simplePos x="0" y="0"/>
                <wp:positionH relativeFrom="margin">
                  <wp:posOffset>0</wp:posOffset>
                </wp:positionH>
                <wp:positionV relativeFrom="margin">
                  <wp:posOffset>3219450</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94B89" w14:textId="6EF535D2" w:rsidR="00CD6663" w:rsidRPr="0059212D" w:rsidRDefault="00CD6663" w:rsidP="00FB6BF3">
                            <w:pPr>
                              <w:rPr>
                                <w:i/>
                                <w:sz w:val="28"/>
                                <w:szCs w:val="28"/>
                              </w:rPr>
                            </w:pPr>
                            <w:r w:rsidRPr="0059212D">
                              <w:rPr>
                                <w:i/>
                                <w:sz w:val="28"/>
                                <w:szCs w:val="28"/>
                              </w:rPr>
                              <w:t xml:space="preserve">Form </w:t>
                            </w:r>
                            <w:r w:rsidRPr="00E52FE1">
                              <w:rPr>
                                <w:i/>
                                <w:sz w:val="28"/>
                                <w:szCs w:val="28"/>
                              </w:rPr>
                              <w:t>NWPA-830G</w:t>
                            </w:r>
                            <w:r w:rsidRPr="0059212D">
                              <w:rPr>
                                <w:i/>
                                <w:sz w:val="28"/>
                                <w:szCs w:val="28"/>
                              </w:rPr>
                              <w:t xml:space="preserve">, </w:t>
                            </w:r>
                            <w:r w:rsidRPr="00E52FE1">
                              <w:rPr>
                                <w:i/>
                                <w:sz w:val="28"/>
                                <w:szCs w:val="28"/>
                              </w:rPr>
                              <w:t>Standard Remittance Advice for Payment of Fees</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0;margin-top:253.5pt;width:474pt;height:26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L9Y&#10;+M3eAAAACQEAAA8AAABkcnMvZG93bnJldi54bWxMj8FOwzAQRO9I/IO1SNyoXSi0TeNUCKkHioqg&#10;7Qc48RJHxOsQu034e5YT3GY1o9k3+Xr0rThjH5tAGqYTBQKpCrahWsPxsLlZgIjJkDVtINTwjRHW&#10;xeVFbjIbBnrH8z7VgksoZkaDS6nLpIyVQ2/iJHRI7H2E3pvEZ19L25uBy30rb5V6kN40xB+c6fDJ&#10;YfW5P3kNu83ry/Ny3B5K02yH8PV2d3QDaX19NT6uQCQc018YfvEZHQpmKsOJbBStBh6SNNyrOQu2&#10;l7MFi5JzajZVIItc/l9Q/AAAAP//AwBQSwECLQAUAAYACAAAACEAtoM4kv4AAADhAQAAEwAAAAAA&#10;AAAAAAAAAAAAAAAAW0NvbnRlbnRfVHlwZXNdLnhtbFBLAQItABQABgAIAAAAIQA4/SH/1gAAAJQB&#10;AAALAAAAAAAAAAAAAAAAAC8BAABfcmVscy8ucmVsc1BLAQItABQABgAIAAAAIQA7LrjEtQIAALgF&#10;AAAOAAAAAAAAAAAAAAAAAC4CAABkcnMvZTJvRG9jLnhtbFBLAQItABQABgAIAAAAIQC/WPjN3gAA&#10;AAkBAAAPAAAAAAAAAAAAAAAAAA8FAABkcnMvZG93bnJldi54bWxQSwUGAAAAAAQABADzAAAAGgYA&#10;AAAA&#10;" filled="f" stroked="f">
                <v:textbox inset="0">
                  <w:txbxContent>
                    <w:p w14:paraId="24894B89" w14:textId="6EF535D2" w:rsidR="00CD6663" w:rsidRPr="0059212D" w:rsidRDefault="00CD6663" w:rsidP="00FB6BF3">
                      <w:pPr>
                        <w:rPr>
                          <w:i/>
                          <w:sz w:val="28"/>
                          <w:szCs w:val="28"/>
                        </w:rPr>
                      </w:pPr>
                      <w:r w:rsidRPr="0059212D">
                        <w:rPr>
                          <w:i/>
                          <w:sz w:val="28"/>
                          <w:szCs w:val="28"/>
                        </w:rPr>
                        <w:t xml:space="preserve">Form </w:t>
                      </w:r>
                      <w:r w:rsidRPr="00E52FE1">
                        <w:rPr>
                          <w:i/>
                          <w:sz w:val="28"/>
                          <w:szCs w:val="28"/>
                        </w:rPr>
                        <w:t>NWPA-830G</w:t>
                      </w:r>
                      <w:r w:rsidRPr="0059212D">
                        <w:rPr>
                          <w:i/>
                          <w:sz w:val="28"/>
                          <w:szCs w:val="28"/>
                        </w:rPr>
                        <w:t xml:space="preserve">, </w:t>
                      </w:r>
                      <w:r w:rsidRPr="00E52FE1">
                        <w:rPr>
                          <w:i/>
                          <w:sz w:val="28"/>
                          <w:szCs w:val="28"/>
                        </w:rPr>
                        <w:t>Standard Remittance Advice for Payment of Fees</w:t>
                      </w:r>
                    </w:p>
                  </w:txbxContent>
                </v:textbox>
                <w10:wrap type="square" anchorx="margin" anchory="margin"/>
              </v:shape>
            </w:pict>
          </mc:Fallback>
        </mc:AlternateContent>
      </w:r>
      <w:r w:rsidR="00711414" w:rsidRPr="00711414">
        <w:rPr>
          <w:rFonts w:ascii="Times New Roman" w:hAnsi="Times New Roman" w:cs="Times New Roman"/>
          <w:b/>
          <w:sz w:val="36"/>
          <w:szCs w:val="36"/>
        </w:rPr>
        <w:t>OMB No. 190</w:t>
      </w:r>
      <w:r>
        <w:rPr>
          <w:rFonts w:ascii="Times New Roman" w:hAnsi="Times New Roman" w:cs="Times New Roman"/>
          <w:b/>
          <w:sz w:val="36"/>
          <w:szCs w:val="36"/>
        </w:rPr>
        <w:t>1-0260</w:t>
      </w:r>
    </w:p>
    <w:p w14:paraId="5D4B3BFF" w14:textId="1C999C39" w:rsidR="001F3A8F" w:rsidRPr="00711414" w:rsidRDefault="008A414F" w:rsidP="00711414">
      <w:pPr>
        <w:rPr>
          <w:i/>
          <w:sz w:val="28"/>
          <w:szCs w:val="28"/>
        </w:rPr>
      </w:pPr>
      <w:r>
        <w:rPr>
          <w:noProof/>
        </w:rPr>
        <mc:AlternateContent>
          <mc:Choice Requires="wps">
            <w:drawing>
              <wp:anchor distT="0" distB="0" distL="114300" distR="114300" simplePos="0" relativeHeight="251689984" behindDoc="1" locked="0" layoutInCell="1" allowOverlap="1" wp14:anchorId="186B5EBB" wp14:editId="64E1E0CC">
                <wp:simplePos x="0" y="0"/>
                <wp:positionH relativeFrom="column">
                  <wp:posOffset>-374650</wp:posOffset>
                </wp:positionH>
                <wp:positionV relativeFrom="paragraph">
                  <wp:posOffset>4425315</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AFE587" id="Rectangle 34" o:spid="_x0000_s1026" style="position:absolute;margin-left:-29.5pt;margin-top:348.45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F4z&#10;j4fhAAAADAEAAA8AAABkcnMvZG93bnJldi54bWxMj8FqwzAQRO+F/oPYQm+JlEDcyLUcSsAUiik0&#10;be8ba2M7tSTbUhL376ucmuPsDLNvss1kOnam0bfOKljMBTCyldOtrRV8fRazNTAf0GrsnCUFv+Rh&#10;k9/fZZhqd7EfdN6FmsUS61NU0ITQp5z7qiGDfu56stE7uNFgiHKsuR7xEstNx5dCJNxga+OHBnva&#10;NlT97E5GwfBavm2L9nsojys5TFi8YylJqceH6eUZWKAp/Ifhih/RIY9Me3ey2rNOwWwl45agIJGJ&#10;BHZNiOUinvYKnkSyBp5n/HZE/gcAAP//AwBQSwECLQAUAAYACAAAACEAtoM4kv4AAADhAQAAEwAA&#10;AAAAAAAAAAAAAAAAAAAAW0NvbnRlbnRfVHlwZXNdLnhtbFBLAQItABQABgAIAAAAIQA4/SH/1gAA&#10;AJQBAAALAAAAAAAAAAAAAAAAAC8BAABfcmVscy8ucmVsc1BLAQItABQABgAIAAAAIQAgvoSzJwMA&#10;ALsGAAAOAAAAAAAAAAAAAAAAAC4CAABkcnMvZTJvRG9jLnhtbFBLAQItABQABgAIAAAAIQBeM4+H&#10;4QAAAAwBAAAPAAAAAAAAAAAAAAAAAIEFAABkcnMvZG93bnJldi54bWxQSwUGAAAAAAQABADzAAAA&#10;jwYAAAAA&#10;" fillcolor="#0c95d3" stroked="f" strokecolor="#f2f2f2 [3041]" strokeweight="3pt">
                <v:shadow color="#50191f [1608]" opacity=".5" offset="1pt"/>
                <w10:wrap type="through"/>
              </v:rect>
            </w:pict>
          </mc:Fallback>
        </mc:AlternateContent>
      </w:r>
      <w:r w:rsidR="005A6B03">
        <w:rPr>
          <w:noProof/>
          <w:color w:val="A6A6A6" w:themeColor="background1" w:themeShade="A6"/>
        </w:rPr>
        <mc:AlternateContent>
          <mc:Choice Requires="wps">
            <w:drawing>
              <wp:anchor distT="0" distB="0" distL="114300" distR="114300" simplePos="0" relativeHeight="251692032" behindDoc="0" locked="0" layoutInCell="1" allowOverlap="1" wp14:anchorId="14DAB8C7" wp14:editId="25EF60B1">
                <wp:simplePos x="0" y="0"/>
                <wp:positionH relativeFrom="margin">
                  <wp:posOffset>3270250</wp:posOffset>
                </wp:positionH>
                <wp:positionV relativeFrom="margin">
                  <wp:posOffset>7931414</wp:posOffset>
                </wp:positionV>
                <wp:extent cx="2717800" cy="609600"/>
                <wp:effectExtent l="0" t="0" r="0"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9FBF4" w14:textId="77777777" w:rsidR="00CD6663" w:rsidRPr="008F4CBD" w:rsidRDefault="00CD6663"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B039847" w14:textId="77777777" w:rsidR="00CD6663" w:rsidRPr="008F4CBD" w:rsidRDefault="00CD6663"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7" type="#_x0000_t202" style="position:absolute;margin-left:257.5pt;margin-top:624.5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Ttw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x8DUAzJJ5I6tHYLCS&#10;QDDgIsw9EBqpvmM0wAzJsP62o4ph1L4X8AvswHECmc0jOCh3SEJC4LA5v6GiBJgMG4wmcWWmIbXr&#10;Fd824GX6c0LewK+puSP0U0SHvwYzwuV1mGd2CJ2fndXT1F3+AgAA//8DAFBLAwQUAAYACAAAACEA&#10;sYEu1t8AAAANAQAADwAAAGRycy9kb3ducmV2LnhtbExPQU7DMBC8I/EHa5G4UadNikiIUyGkHigC&#10;QdsHbGITR8TrELtN+D3LCW4zO6PZmXIzu16czRg6TwqWiwSEocbrjloFx8P25g5EiEgae09GwbcJ&#10;sKkuL0ostJ/o3Zz3sRUcQqFABTbGoZAyNNY4DAs/GGLtw48OI9OxlXrEicNdL1dJcisddsQfLA7m&#10;0Zrmc39yCl62r89P+bw71NjtJv/1lh7tREpdX80P9yCimeOfGX7rc3WouFPtT6SD6BWsl2veEllY&#10;ZTkjtuRZyqDmU5qxKKtS/l9R/QAAAP//AwBQSwECLQAUAAYACAAAACEAtoM4kv4AAADhAQAAEwAA&#10;AAAAAAAAAAAAAAAAAAAAW0NvbnRlbnRfVHlwZXNdLnhtbFBLAQItABQABgAIAAAAIQA4/SH/1gAA&#10;AJQBAAALAAAAAAAAAAAAAAAAAC8BAABfcmVscy8ucmVsc1BLAQItABQABgAIAAAAIQDuz+ETtwIA&#10;AL0FAAAOAAAAAAAAAAAAAAAAAC4CAABkcnMvZTJvRG9jLnhtbFBLAQItABQABgAIAAAAIQCxgS7W&#10;3wAAAA0BAAAPAAAAAAAAAAAAAAAAABEFAABkcnMvZG93bnJldi54bWxQSwUGAAAAAAQABADzAAAA&#10;HQYAAAAA&#10;" filled="f" stroked="f">
                <v:textbox inset="0">
                  <w:txbxContent>
                    <w:p w14:paraId="25B9FBF4" w14:textId="77777777" w:rsidR="00CD6663" w:rsidRPr="008F4CBD" w:rsidRDefault="00CD6663" w:rsidP="002556F3">
                      <w:pPr>
                        <w:spacing w:after="0"/>
                        <w:jc w:val="right"/>
                        <w:rPr>
                          <w:color w:val="808080" w:themeColor="background1" w:themeShade="80"/>
                          <w:kern w:val="24"/>
                          <w:sz w:val="20"/>
                        </w:rPr>
                      </w:pPr>
                      <w:r w:rsidRPr="008F4CBD">
                        <w:rPr>
                          <w:color w:val="808080" w:themeColor="background1" w:themeShade="80"/>
                          <w:kern w:val="24"/>
                          <w:sz w:val="20"/>
                        </w:rPr>
                        <w:t>U.S. Department of Energy</w:t>
                      </w:r>
                    </w:p>
                    <w:p w14:paraId="6B039847" w14:textId="77777777" w:rsidR="00CD6663" w:rsidRPr="008F4CBD" w:rsidRDefault="00CD6663" w:rsidP="002556F3">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5A6B03">
        <w:rPr>
          <w:noProof/>
          <w:color w:val="A6A6A6" w:themeColor="background1" w:themeShade="A6"/>
        </w:rPr>
        <mc:AlternateContent>
          <mc:Choice Requires="wps">
            <w:drawing>
              <wp:anchor distT="0" distB="0" distL="114300" distR="114300" simplePos="0" relativeHeight="251691008" behindDoc="0" locked="0" layoutInCell="1" allowOverlap="1" wp14:anchorId="10A4CE9C" wp14:editId="1D96E461">
                <wp:simplePos x="0" y="0"/>
                <wp:positionH relativeFrom="margin">
                  <wp:posOffset>0</wp:posOffset>
                </wp:positionH>
                <wp:positionV relativeFrom="margin">
                  <wp:posOffset>7931414</wp:posOffset>
                </wp:positionV>
                <wp:extent cx="2717800" cy="609600"/>
                <wp:effectExtent l="0" t="0" r="635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3082F" w14:textId="77777777" w:rsidR="00CD6663" w:rsidRPr="008F4CBD" w:rsidRDefault="00CD6663"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7EDBFA6" w14:textId="77777777" w:rsidR="00CD6663" w:rsidRPr="008F4CBD" w:rsidRDefault="00CD6663"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0;margin-top:624.5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dtAIAALkFAAAOAAAAZHJzL2Uyb0RvYy54bWysVFtv2yAUfp+0/4B4d3ypc7FVp2rieJrU&#10;XaR2P4DYOEbD4AGJ3U377zvgJE1bTZq28YAOh8N3bh/n+mZoOTpQpZkUGQ4nAUZUlLJiYpfhLw+F&#10;t8BIGyIqwqWgGX6kGt8s37657ruURrKRvKIKAYjQad9luDGmS31flw1tiZ7Ijgq4rKVqiYGj2vmV&#10;Ij2gt9yPgmDm91JVnZIl1Rq0+XiJlw6/rmlpPtW1pgbxDENsxu3K7Vu7+8trku4U6RpWHsMgfxFF&#10;S5gAp2eonBiC9oq9gmpZqaSWtZmUsvVlXbOSuhwgmzB4kc19QzrqcoHi6O5cJv3/YMuPh88KsSrD&#10;EUaCtNCiBzoYtJIDupra8vSdTsHqvgM7M4Ae2uxS1d2dLL9qJOS6IWJHb5WSfUNJBeGF9qV/8XTE&#10;0RZk23+QFfgheyMd0FCr1tYOqoEAHdr0eG6NjaUEZTQP54sArkq4mwXJDGTrgqSn153S5h2VLbJC&#10;hhW03qGTw502o+nJxDoTsmCcg56kXDxTAOaoAd/w1N7ZKFw3fyRBsllsFrEXR7ONFwd57t0W69ib&#10;FeF8ml/l63Ue/rR+wzhtWFVRYd2cmBXGf9a5I8dHTpy5pSVnlYWzIWm12665QgcCzC7cOhbkwsx/&#10;HoarF+TyIqUwioNVlHjFbDH34iKeesk8WHhBmKygznES58XzlO6YoP+eEuoznEyj6Uim3+YWuPU6&#10;N5K2zMDs4KzNMFADljUiqaXgRlRONoTxUb4ohQ3/qRTQ7lOjHWEtR0e2mmE7HL8GgFkyb2X1CAxW&#10;EggGXIS5B0Ij1XeMepghGdbf9kRRjPh7Ab/ADhwnxNN5BAd10m4vtUSUAJFhg9Eors04oPadYrsG&#10;PIz/Tchb+DE1c2R+iub4z2A+uJyOs8wOoMuzs3qauMtfAAAA//8DAFBLAwQUAAYACAAAACEA19Ol&#10;7N4AAAAKAQAADwAAAGRycy9kb3ducmV2LnhtbExPwUrDQBS8C/7D8gRvdmOM0sZsSgnxIIiQVKHH&#10;bfaZhGbfhuymjX/v86S3eTPDvJlsu9hBnHHyvSMF96sIBFLjTE+tgo/9y90ahA+ajB4coYJv9LDN&#10;r68ynRp3oQrPdWgFh5BPtYIuhDGV0jcdWu1XbkRi7ctNVgc+p1aaSV843A4yjqInaXVP/KHTIxYd&#10;Nqd6tgoOcdmWy3u1+6TXt2o5lcW+mGulbm+W3TOIgEv4M8Nvfa4OOXc6upmMF4MCHhKYjZMNI9aT&#10;eM3gyNRD8hiBzDP5f0L+AwAA//8DAFBLAQItABQABgAIAAAAIQC2gziS/gAAAOEBAAATAAAAAAAA&#10;AAAAAAAAAAAAAABbQ29udGVudF9UeXBlc10ueG1sUEsBAi0AFAAGAAgAAAAhADj9If/WAAAAlAEA&#10;AAsAAAAAAAAAAAAAAAAALwEAAF9yZWxzLy5yZWxzUEsBAi0AFAAGAAgAAAAhAGeP4920AgAAuQUA&#10;AA4AAAAAAAAAAAAAAAAALgIAAGRycy9lMm9Eb2MueG1sUEsBAi0AFAAGAAgAAAAhANfTpezeAAAA&#10;CgEAAA8AAAAAAAAAAAAAAAAADgUAAGRycy9kb3ducmV2LnhtbFBLBQYAAAAABAAEAPMAAAAZBgAA&#10;AAA=&#10;" filled="f" stroked="f">
                <v:textbox inset="0,,0">
                  <w:txbxContent>
                    <w:p w14:paraId="41D3082F" w14:textId="77777777" w:rsidR="00CD6663" w:rsidRPr="008F4CBD" w:rsidRDefault="00CD6663" w:rsidP="00D300F4">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14:paraId="57EDBFA6" w14:textId="77777777" w:rsidR="00CD6663" w:rsidRPr="008F4CBD" w:rsidRDefault="00CD6663" w:rsidP="002556F3">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anchorx="margin" anchory="margin"/>
              </v:shape>
            </w:pict>
          </mc:Fallback>
        </mc:AlternateContent>
      </w:r>
      <w:r w:rsidR="00EE2CAF">
        <w:rPr>
          <w:noProof/>
        </w:rPr>
        <mc:AlternateContent>
          <mc:Choice Requires="wps">
            <w:drawing>
              <wp:anchor distT="0" distB="0" distL="114300" distR="114300" simplePos="0" relativeHeight="251681792" behindDoc="0" locked="0" layoutInCell="1" allowOverlap="1" wp14:anchorId="40C42F6F" wp14:editId="4C0AF62C">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FD911" w14:textId="0B29016B" w:rsidR="00CD6663" w:rsidRPr="009818F9" w:rsidRDefault="009E2C86">
                            <w:pPr>
                              <w:rPr>
                                <w:color w:val="A6A6A6" w:themeColor="background1" w:themeShade="A6"/>
                                <w:sz w:val="36"/>
                              </w:rPr>
                            </w:pPr>
                            <w:r>
                              <w:rPr>
                                <w:color w:val="A6A6A6" w:themeColor="background1" w:themeShade="A6"/>
                                <w:sz w:val="36"/>
                              </w:rPr>
                              <w:t xml:space="preserve">October </w:t>
                            </w:r>
                            <w:r w:rsidR="00CD6663">
                              <w:rPr>
                                <w:color w:val="A6A6A6" w:themeColor="background1" w:themeShade="A6"/>
                                <w:sz w:val="36"/>
                              </w:rPr>
                              <w:t>201</w:t>
                            </w:r>
                            <w:r w:rsidR="00C62AB1">
                              <w:rPr>
                                <w:color w:val="A6A6A6" w:themeColor="background1" w:themeShade="A6"/>
                                <w:sz w:val="36"/>
                              </w:rPr>
                              <w:t>8</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9" type="#_x0000_t202"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HduAIAAL0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HBSNAWKHpkg0F3ckAT156+0wl4PXTgZwY4B5pdqbq7l8VXjYRc1VRs2a1Ssq8ZLSG90DbWP7tq&#10;CdGJtiCb/oMsIQ7dGemAhkq1tnfQDQToQNPTiRqbSwGH0WQ+JwRMBdhIPI+CqQtBk+PtTmnzjskW&#10;2UWKFVDv0On+XhubDU2OLjaYkDlvGkd/Iy4OwHE8gdhw1dpsFo7NH3EQrxfrBfFINFt7JMgy7zZf&#10;EW+Wh/NpNslWqyz8aeOGJKl5WTJhwxyVFZI/Y+6g8VETJ21p2fDSwtmUtNpuVo1CewrKzt13aMiZ&#10;m3+ZhmsC1PKipDAiwV0Ue/lsMfdITqZePA8WXhDGd/EsIDHJ8suS7rlg/14S6lMcT6PpKKbf1ha4&#10;73VtNGm5gdnR8DbFi5MTTawE16J01BrKm3F91gqb/nMrgO4j0U6wVqOjWs2wGdzTmNjoVr8bWT6B&#10;gpUEgYEWYe7BopbqO0Y9zJAU6287qhhGzXsBr8AOHLcgUxAsRspt4tAJeXNuoaIAmBQbjMblyoxD&#10;atcpvq0hyvHN3cKrybkT9HNGh7cGM8LVdZhndgid753X89Rd/gI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j4aHduAIA&#10;AL0FAAAOAAAAAAAAAAAAAAAAAC4CAABkcnMvZTJvRG9jLnhtbFBLAQItABQABgAIAAAAIQDnmLVA&#10;3gAAAAwBAAAPAAAAAAAAAAAAAAAAABIFAABkcnMvZG93bnJldi54bWxQSwUGAAAAAAQABADzAAAA&#10;HQYAAAAA&#10;" filled="f" stroked="f">
                <v:textbox style="mso-fit-shape-to-text:t" inset="0">
                  <w:txbxContent>
                    <w:p w14:paraId="6B3FD911" w14:textId="0B29016B" w:rsidR="00CD6663" w:rsidRPr="009818F9" w:rsidRDefault="009E2C86">
                      <w:pPr>
                        <w:rPr>
                          <w:color w:val="A6A6A6" w:themeColor="background1" w:themeShade="A6"/>
                          <w:sz w:val="36"/>
                        </w:rPr>
                      </w:pPr>
                      <w:r>
                        <w:rPr>
                          <w:color w:val="A6A6A6" w:themeColor="background1" w:themeShade="A6"/>
                          <w:sz w:val="36"/>
                        </w:rPr>
                        <w:t xml:space="preserve">October </w:t>
                      </w:r>
                      <w:r w:rsidR="00CD6663">
                        <w:rPr>
                          <w:color w:val="A6A6A6" w:themeColor="background1" w:themeShade="A6"/>
                          <w:sz w:val="36"/>
                        </w:rPr>
                        <w:t>201</w:t>
                      </w:r>
                      <w:r w:rsidR="00C62AB1">
                        <w:rPr>
                          <w:color w:val="A6A6A6" w:themeColor="background1" w:themeShade="A6"/>
                          <w:sz w:val="36"/>
                        </w:rPr>
                        <w:t>8</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anchorId="1B188264" wp14:editId="164EFA1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F42D" w14:textId="77777777" w:rsidR="00CD6663" w:rsidRPr="00AA3D91" w:rsidRDefault="00CD6663" w:rsidP="00D001E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4tuw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XIsQ82snoC&#10;BisJBAMuwtyDQyPVD4wGmCEZ1t93VDGM2g8CusAOHHcgs3kEF+UuSUgIXDaXEipKgMnwBqPpuDLT&#10;kNr1im8bsDL1nJC30DU1d4S27TV5dOg1mBEursM8s0Po8u60zlN3+RsAAP//AwBQSwMEFAAGAAgA&#10;AAAhAIlfJPHeAAAADAEAAA8AAABkcnMvZG93bnJldi54bWxMj1FLxDAQhN8F/0NYwRe5SxpESm16&#10;iKCgqOCdPyDXrG25ZFOatBf/vemTPu7MMPtNvUvOsgWnMHhSUGwFMKTWm4E6BV+Hp00JLERNRltP&#10;qOAHA+yay4taV8af6ROXfexYLqFQaQV9jGPFeWh7dDps/YiUvW8/OR3zOXXcTPqcy53lUog77vRA&#10;+UOvR3zssT3tZ6cgzcZ+3KT55fRaHrgNy1vx/B6Uur5KD/fAIqb4F4YVP6NDk5mOfiYTmFWwKWTe&#10;ErMhyltga0KIVToqkFJI4E3N/49ofgEAAP//AwBQSwECLQAUAAYACAAAACEAtoM4kv4AAADhAQAA&#10;EwAAAAAAAAAAAAAAAAAAAAAAW0NvbnRlbnRfVHlwZXNdLnhtbFBLAQItABQABgAIAAAAIQA4/SH/&#10;1gAAAJQBAAALAAAAAAAAAAAAAAAAAC8BAABfcmVscy8ucmVsc1BLAQItABQABgAIAAAAIQBIjl4t&#10;uwIAAL0FAAAOAAAAAAAAAAAAAAAAAC4CAABkcnMvZTJvRG9jLnhtbFBLAQItABQABgAIAAAAIQCJ&#10;XyTx3gAAAAwBAAAPAAAAAAAAAAAAAAAAABUFAABkcnMvZG93bnJldi54bWxQSwUGAAAAAAQABADz&#10;AAAAIAYAAAAA&#10;" filled="f" stroked="f">
                <v:textbox inset="0">
                  <w:txbxContent>
                    <w:p w14:paraId="7B6CF42D" w14:textId="77777777" w:rsidR="00CD6663" w:rsidRPr="00AA3D91" w:rsidRDefault="00CD6663" w:rsidP="00D001E4">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anchorId="6EDC1971" wp14:editId="0CC8F7E5">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11" cstate="print"/>
                    <a:srcRect/>
                    <a:stretch>
                      <a:fillRect/>
                    </a:stretch>
                  </pic:blipFill>
                  <pic:spPr>
                    <a:xfrm>
                      <a:off x="0" y="0"/>
                      <a:ext cx="6343650" cy="647700"/>
                    </a:xfrm>
                    <a:prstGeom prst="rect">
                      <a:avLst/>
                    </a:prstGeom>
                  </pic:spPr>
                </pic:pic>
              </a:graphicData>
            </a:graphic>
          </wp:anchor>
        </w:drawing>
      </w:r>
      <w:r w:rsidR="001F3A8F">
        <w:br w:type="page"/>
      </w:r>
    </w:p>
    <w:p w14:paraId="2A499163" w14:textId="77777777" w:rsidR="00755C3D" w:rsidRDefault="00755C3D" w:rsidP="00D928FD">
      <w:pPr>
        <w:sectPr w:rsidR="00755C3D" w:rsidSect="001F3A8F">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14:paraId="635B3E15" w14:textId="77777777" w:rsidR="0059212D" w:rsidRDefault="0059212D" w:rsidP="00EE2CAF">
          <w:pPr>
            <w:pStyle w:val="TOCHeading"/>
          </w:pPr>
          <w:r>
            <w:t>Table of Contents</w:t>
          </w:r>
        </w:p>
        <w:p w14:paraId="41CC6EE1" w14:textId="77777777" w:rsidR="00A02929" w:rsidRDefault="0059212D">
          <w:pPr>
            <w:pStyle w:val="TOC1"/>
            <w:rPr>
              <w:rFonts w:eastAsiaTheme="minorEastAsia"/>
              <w:noProof/>
              <w:color w:val="auto"/>
            </w:rPr>
          </w:pPr>
          <w:r>
            <w:fldChar w:fldCharType="begin"/>
          </w:r>
          <w:r>
            <w:instrText xml:space="preserve"> TOC \o "1-3" \h \z \u </w:instrText>
          </w:r>
          <w:r>
            <w:fldChar w:fldCharType="separate"/>
          </w:r>
          <w:hyperlink w:anchor="_Toc520713817" w:history="1">
            <w:r w:rsidR="00A02929" w:rsidRPr="008B2941">
              <w:rPr>
                <w:rStyle w:val="Hyperlink"/>
                <w:noProof/>
              </w:rPr>
              <w:t>Part A: Justification</w:t>
            </w:r>
            <w:r w:rsidR="00A02929">
              <w:rPr>
                <w:noProof/>
                <w:webHidden/>
              </w:rPr>
              <w:tab/>
            </w:r>
            <w:r w:rsidR="00A02929">
              <w:rPr>
                <w:noProof/>
                <w:webHidden/>
              </w:rPr>
              <w:fldChar w:fldCharType="begin"/>
            </w:r>
            <w:r w:rsidR="00A02929">
              <w:rPr>
                <w:noProof/>
                <w:webHidden/>
              </w:rPr>
              <w:instrText xml:space="preserve"> PAGEREF _Toc520713817 \h </w:instrText>
            </w:r>
            <w:r w:rsidR="00A02929">
              <w:rPr>
                <w:noProof/>
                <w:webHidden/>
              </w:rPr>
            </w:r>
            <w:r w:rsidR="00A02929">
              <w:rPr>
                <w:noProof/>
                <w:webHidden/>
              </w:rPr>
              <w:fldChar w:fldCharType="separate"/>
            </w:r>
            <w:r w:rsidR="00A02929">
              <w:rPr>
                <w:noProof/>
                <w:webHidden/>
              </w:rPr>
              <w:t>i</w:t>
            </w:r>
            <w:r w:rsidR="00A02929">
              <w:rPr>
                <w:noProof/>
                <w:webHidden/>
              </w:rPr>
              <w:fldChar w:fldCharType="end"/>
            </w:r>
          </w:hyperlink>
        </w:p>
        <w:p w14:paraId="5AC676A4" w14:textId="77777777" w:rsidR="00A02929" w:rsidRDefault="00F75103">
          <w:pPr>
            <w:pStyle w:val="TOC2"/>
            <w:rPr>
              <w:rFonts w:eastAsiaTheme="minorEastAsia"/>
              <w:noProof/>
              <w:color w:val="auto"/>
            </w:rPr>
          </w:pPr>
          <w:hyperlink w:anchor="_Toc520713818" w:history="1">
            <w:r w:rsidR="00A02929" w:rsidRPr="008B2941">
              <w:rPr>
                <w:rStyle w:val="Hyperlink"/>
                <w:noProof/>
              </w:rPr>
              <w:t>Introduction</w:t>
            </w:r>
            <w:r w:rsidR="00A02929">
              <w:rPr>
                <w:noProof/>
                <w:webHidden/>
              </w:rPr>
              <w:tab/>
            </w:r>
            <w:r w:rsidR="00A02929">
              <w:rPr>
                <w:noProof/>
                <w:webHidden/>
              </w:rPr>
              <w:fldChar w:fldCharType="begin"/>
            </w:r>
            <w:r w:rsidR="00A02929">
              <w:rPr>
                <w:noProof/>
                <w:webHidden/>
              </w:rPr>
              <w:instrText xml:space="preserve"> PAGEREF _Toc520713818 \h </w:instrText>
            </w:r>
            <w:r w:rsidR="00A02929">
              <w:rPr>
                <w:noProof/>
                <w:webHidden/>
              </w:rPr>
            </w:r>
            <w:r w:rsidR="00A02929">
              <w:rPr>
                <w:noProof/>
                <w:webHidden/>
              </w:rPr>
              <w:fldChar w:fldCharType="separate"/>
            </w:r>
            <w:r w:rsidR="00A02929">
              <w:rPr>
                <w:noProof/>
                <w:webHidden/>
              </w:rPr>
              <w:t>2</w:t>
            </w:r>
            <w:r w:rsidR="00A02929">
              <w:rPr>
                <w:noProof/>
                <w:webHidden/>
              </w:rPr>
              <w:fldChar w:fldCharType="end"/>
            </w:r>
          </w:hyperlink>
        </w:p>
        <w:p w14:paraId="0AC267AB" w14:textId="77777777" w:rsidR="00A02929" w:rsidRDefault="00F75103">
          <w:pPr>
            <w:pStyle w:val="TOC2"/>
            <w:rPr>
              <w:rFonts w:eastAsiaTheme="minorEastAsia"/>
              <w:noProof/>
              <w:color w:val="auto"/>
            </w:rPr>
          </w:pPr>
          <w:hyperlink w:anchor="_Toc520713819" w:history="1">
            <w:r w:rsidR="00A02929" w:rsidRPr="008B2941">
              <w:rPr>
                <w:rStyle w:val="Hyperlink"/>
                <w:noProof/>
              </w:rPr>
              <w:t>A.1. Legal Justification</w:t>
            </w:r>
            <w:r w:rsidR="00A02929">
              <w:rPr>
                <w:noProof/>
                <w:webHidden/>
              </w:rPr>
              <w:tab/>
            </w:r>
            <w:r w:rsidR="00A02929">
              <w:rPr>
                <w:noProof/>
                <w:webHidden/>
              </w:rPr>
              <w:fldChar w:fldCharType="begin"/>
            </w:r>
            <w:r w:rsidR="00A02929">
              <w:rPr>
                <w:noProof/>
                <w:webHidden/>
              </w:rPr>
              <w:instrText xml:space="preserve"> PAGEREF _Toc520713819 \h </w:instrText>
            </w:r>
            <w:r w:rsidR="00A02929">
              <w:rPr>
                <w:noProof/>
                <w:webHidden/>
              </w:rPr>
            </w:r>
            <w:r w:rsidR="00A02929">
              <w:rPr>
                <w:noProof/>
                <w:webHidden/>
              </w:rPr>
              <w:fldChar w:fldCharType="separate"/>
            </w:r>
            <w:r w:rsidR="00A02929">
              <w:rPr>
                <w:noProof/>
                <w:webHidden/>
              </w:rPr>
              <w:t>3</w:t>
            </w:r>
            <w:r w:rsidR="00A02929">
              <w:rPr>
                <w:noProof/>
                <w:webHidden/>
              </w:rPr>
              <w:fldChar w:fldCharType="end"/>
            </w:r>
          </w:hyperlink>
        </w:p>
        <w:p w14:paraId="5F0FC8C9" w14:textId="77777777" w:rsidR="00A02929" w:rsidRDefault="00F75103">
          <w:pPr>
            <w:pStyle w:val="TOC2"/>
            <w:rPr>
              <w:rFonts w:eastAsiaTheme="minorEastAsia"/>
              <w:noProof/>
              <w:color w:val="auto"/>
            </w:rPr>
          </w:pPr>
          <w:hyperlink w:anchor="_Toc520713820" w:history="1">
            <w:r w:rsidR="00A02929" w:rsidRPr="008B2941">
              <w:rPr>
                <w:rStyle w:val="Hyperlink"/>
                <w:noProof/>
              </w:rPr>
              <w:t>A.2. Needs and Uses of Data</w:t>
            </w:r>
            <w:r w:rsidR="00A02929">
              <w:rPr>
                <w:noProof/>
                <w:webHidden/>
              </w:rPr>
              <w:tab/>
            </w:r>
            <w:r w:rsidR="00A02929">
              <w:rPr>
                <w:noProof/>
                <w:webHidden/>
              </w:rPr>
              <w:fldChar w:fldCharType="begin"/>
            </w:r>
            <w:r w:rsidR="00A02929">
              <w:rPr>
                <w:noProof/>
                <w:webHidden/>
              </w:rPr>
              <w:instrText xml:space="preserve"> PAGEREF _Toc520713820 \h </w:instrText>
            </w:r>
            <w:r w:rsidR="00A02929">
              <w:rPr>
                <w:noProof/>
                <w:webHidden/>
              </w:rPr>
            </w:r>
            <w:r w:rsidR="00A02929">
              <w:rPr>
                <w:noProof/>
                <w:webHidden/>
              </w:rPr>
              <w:fldChar w:fldCharType="separate"/>
            </w:r>
            <w:r w:rsidR="00A02929">
              <w:rPr>
                <w:noProof/>
                <w:webHidden/>
              </w:rPr>
              <w:t>6</w:t>
            </w:r>
            <w:r w:rsidR="00A02929">
              <w:rPr>
                <w:noProof/>
                <w:webHidden/>
              </w:rPr>
              <w:fldChar w:fldCharType="end"/>
            </w:r>
          </w:hyperlink>
        </w:p>
        <w:p w14:paraId="7B96B3AA" w14:textId="77777777" w:rsidR="00A02929" w:rsidRDefault="00F75103">
          <w:pPr>
            <w:pStyle w:val="TOC2"/>
            <w:rPr>
              <w:rFonts w:eastAsiaTheme="minorEastAsia"/>
              <w:noProof/>
              <w:color w:val="auto"/>
            </w:rPr>
          </w:pPr>
          <w:hyperlink w:anchor="_Toc520713821" w:history="1">
            <w:r w:rsidR="00A02929" w:rsidRPr="008B2941">
              <w:rPr>
                <w:rStyle w:val="Hyperlink"/>
                <w:noProof/>
              </w:rPr>
              <w:t>A.3. Use of Technology</w:t>
            </w:r>
            <w:r w:rsidR="00A02929">
              <w:rPr>
                <w:noProof/>
                <w:webHidden/>
              </w:rPr>
              <w:tab/>
            </w:r>
            <w:r w:rsidR="00A02929">
              <w:rPr>
                <w:noProof/>
                <w:webHidden/>
              </w:rPr>
              <w:fldChar w:fldCharType="begin"/>
            </w:r>
            <w:r w:rsidR="00A02929">
              <w:rPr>
                <w:noProof/>
                <w:webHidden/>
              </w:rPr>
              <w:instrText xml:space="preserve"> PAGEREF _Toc520713821 \h </w:instrText>
            </w:r>
            <w:r w:rsidR="00A02929">
              <w:rPr>
                <w:noProof/>
                <w:webHidden/>
              </w:rPr>
            </w:r>
            <w:r w:rsidR="00A02929">
              <w:rPr>
                <w:noProof/>
                <w:webHidden/>
              </w:rPr>
              <w:fldChar w:fldCharType="separate"/>
            </w:r>
            <w:r w:rsidR="00A02929">
              <w:rPr>
                <w:noProof/>
                <w:webHidden/>
              </w:rPr>
              <w:t>6</w:t>
            </w:r>
            <w:r w:rsidR="00A02929">
              <w:rPr>
                <w:noProof/>
                <w:webHidden/>
              </w:rPr>
              <w:fldChar w:fldCharType="end"/>
            </w:r>
          </w:hyperlink>
        </w:p>
        <w:p w14:paraId="5F776922" w14:textId="77777777" w:rsidR="00A02929" w:rsidRDefault="00F75103">
          <w:pPr>
            <w:pStyle w:val="TOC2"/>
            <w:rPr>
              <w:rFonts w:eastAsiaTheme="minorEastAsia"/>
              <w:noProof/>
              <w:color w:val="auto"/>
            </w:rPr>
          </w:pPr>
          <w:hyperlink w:anchor="_Toc520713822" w:history="1">
            <w:r w:rsidR="00A02929" w:rsidRPr="008B2941">
              <w:rPr>
                <w:rStyle w:val="Hyperlink"/>
                <w:noProof/>
              </w:rPr>
              <w:t>A.4. Efforts to Identify Duplication</w:t>
            </w:r>
            <w:r w:rsidR="00A02929">
              <w:rPr>
                <w:noProof/>
                <w:webHidden/>
              </w:rPr>
              <w:tab/>
            </w:r>
            <w:r w:rsidR="00A02929">
              <w:rPr>
                <w:noProof/>
                <w:webHidden/>
              </w:rPr>
              <w:fldChar w:fldCharType="begin"/>
            </w:r>
            <w:r w:rsidR="00A02929">
              <w:rPr>
                <w:noProof/>
                <w:webHidden/>
              </w:rPr>
              <w:instrText xml:space="preserve"> PAGEREF _Toc520713822 \h </w:instrText>
            </w:r>
            <w:r w:rsidR="00A02929">
              <w:rPr>
                <w:noProof/>
                <w:webHidden/>
              </w:rPr>
            </w:r>
            <w:r w:rsidR="00A02929">
              <w:rPr>
                <w:noProof/>
                <w:webHidden/>
              </w:rPr>
              <w:fldChar w:fldCharType="separate"/>
            </w:r>
            <w:r w:rsidR="00A02929">
              <w:rPr>
                <w:noProof/>
                <w:webHidden/>
              </w:rPr>
              <w:t>6</w:t>
            </w:r>
            <w:r w:rsidR="00A02929">
              <w:rPr>
                <w:noProof/>
                <w:webHidden/>
              </w:rPr>
              <w:fldChar w:fldCharType="end"/>
            </w:r>
          </w:hyperlink>
        </w:p>
        <w:p w14:paraId="0309183E" w14:textId="77777777" w:rsidR="00A02929" w:rsidRDefault="00F75103">
          <w:pPr>
            <w:pStyle w:val="TOC2"/>
            <w:rPr>
              <w:rFonts w:eastAsiaTheme="minorEastAsia"/>
              <w:noProof/>
              <w:color w:val="auto"/>
            </w:rPr>
          </w:pPr>
          <w:hyperlink w:anchor="_Toc520713823" w:history="1">
            <w:r w:rsidR="00A02929" w:rsidRPr="008B2941">
              <w:rPr>
                <w:rStyle w:val="Hyperlink"/>
                <w:noProof/>
              </w:rPr>
              <w:t>A.5. Provisions for Reducing Burden on Small Businesses</w:t>
            </w:r>
            <w:r w:rsidR="00A02929">
              <w:rPr>
                <w:noProof/>
                <w:webHidden/>
              </w:rPr>
              <w:tab/>
            </w:r>
            <w:r w:rsidR="00A02929">
              <w:rPr>
                <w:noProof/>
                <w:webHidden/>
              </w:rPr>
              <w:fldChar w:fldCharType="begin"/>
            </w:r>
            <w:r w:rsidR="00A02929">
              <w:rPr>
                <w:noProof/>
                <w:webHidden/>
              </w:rPr>
              <w:instrText xml:space="preserve"> PAGEREF _Toc520713823 \h </w:instrText>
            </w:r>
            <w:r w:rsidR="00A02929">
              <w:rPr>
                <w:noProof/>
                <w:webHidden/>
              </w:rPr>
            </w:r>
            <w:r w:rsidR="00A02929">
              <w:rPr>
                <w:noProof/>
                <w:webHidden/>
              </w:rPr>
              <w:fldChar w:fldCharType="separate"/>
            </w:r>
            <w:r w:rsidR="00A02929">
              <w:rPr>
                <w:noProof/>
                <w:webHidden/>
              </w:rPr>
              <w:t>7</w:t>
            </w:r>
            <w:r w:rsidR="00A02929">
              <w:rPr>
                <w:noProof/>
                <w:webHidden/>
              </w:rPr>
              <w:fldChar w:fldCharType="end"/>
            </w:r>
          </w:hyperlink>
        </w:p>
        <w:p w14:paraId="0EF3C2AA" w14:textId="77777777" w:rsidR="00A02929" w:rsidRDefault="00F75103">
          <w:pPr>
            <w:pStyle w:val="TOC2"/>
            <w:rPr>
              <w:rFonts w:eastAsiaTheme="minorEastAsia"/>
              <w:noProof/>
              <w:color w:val="auto"/>
            </w:rPr>
          </w:pPr>
          <w:hyperlink w:anchor="_Toc520713824" w:history="1">
            <w:r w:rsidR="00A02929" w:rsidRPr="008B2941">
              <w:rPr>
                <w:rStyle w:val="Hyperlink"/>
                <w:noProof/>
              </w:rPr>
              <w:t>A.6. Consequences of Less-Frequent Reporting</w:t>
            </w:r>
            <w:r w:rsidR="00A02929">
              <w:rPr>
                <w:noProof/>
                <w:webHidden/>
              </w:rPr>
              <w:tab/>
            </w:r>
            <w:r w:rsidR="00A02929">
              <w:rPr>
                <w:noProof/>
                <w:webHidden/>
              </w:rPr>
              <w:fldChar w:fldCharType="begin"/>
            </w:r>
            <w:r w:rsidR="00A02929">
              <w:rPr>
                <w:noProof/>
                <w:webHidden/>
              </w:rPr>
              <w:instrText xml:space="preserve"> PAGEREF _Toc520713824 \h </w:instrText>
            </w:r>
            <w:r w:rsidR="00A02929">
              <w:rPr>
                <w:noProof/>
                <w:webHidden/>
              </w:rPr>
            </w:r>
            <w:r w:rsidR="00A02929">
              <w:rPr>
                <w:noProof/>
                <w:webHidden/>
              </w:rPr>
              <w:fldChar w:fldCharType="separate"/>
            </w:r>
            <w:r w:rsidR="00A02929">
              <w:rPr>
                <w:noProof/>
                <w:webHidden/>
              </w:rPr>
              <w:t>7</w:t>
            </w:r>
            <w:r w:rsidR="00A02929">
              <w:rPr>
                <w:noProof/>
                <w:webHidden/>
              </w:rPr>
              <w:fldChar w:fldCharType="end"/>
            </w:r>
          </w:hyperlink>
        </w:p>
        <w:p w14:paraId="387FB9D2" w14:textId="77777777" w:rsidR="00A02929" w:rsidRDefault="00F75103">
          <w:pPr>
            <w:pStyle w:val="TOC2"/>
            <w:rPr>
              <w:rFonts w:eastAsiaTheme="minorEastAsia"/>
              <w:noProof/>
              <w:color w:val="auto"/>
            </w:rPr>
          </w:pPr>
          <w:hyperlink w:anchor="_Toc520713825" w:history="1">
            <w:r w:rsidR="00A02929" w:rsidRPr="008B2941">
              <w:rPr>
                <w:rStyle w:val="Hyperlink"/>
                <w:noProof/>
              </w:rPr>
              <w:t>A.7. Compliance with 5 CFR 1320.5</w:t>
            </w:r>
            <w:r w:rsidR="00A02929">
              <w:rPr>
                <w:noProof/>
                <w:webHidden/>
              </w:rPr>
              <w:tab/>
            </w:r>
            <w:r w:rsidR="00A02929">
              <w:rPr>
                <w:noProof/>
                <w:webHidden/>
              </w:rPr>
              <w:fldChar w:fldCharType="begin"/>
            </w:r>
            <w:r w:rsidR="00A02929">
              <w:rPr>
                <w:noProof/>
                <w:webHidden/>
              </w:rPr>
              <w:instrText xml:space="preserve"> PAGEREF _Toc520713825 \h </w:instrText>
            </w:r>
            <w:r w:rsidR="00A02929">
              <w:rPr>
                <w:noProof/>
                <w:webHidden/>
              </w:rPr>
            </w:r>
            <w:r w:rsidR="00A02929">
              <w:rPr>
                <w:noProof/>
                <w:webHidden/>
              </w:rPr>
              <w:fldChar w:fldCharType="separate"/>
            </w:r>
            <w:r w:rsidR="00A02929">
              <w:rPr>
                <w:noProof/>
                <w:webHidden/>
              </w:rPr>
              <w:t>7</w:t>
            </w:r>
            <w:r w:rsidR="00A02929">
              <w:rPr>
                <w:noProof/>
                <w:webHidden/>
              </w:rPr>
              <w:fldChar w:fldCharType="end"/>
            </w:r>
          </w:hyperlink>
        </w:p>
        <w:p w14:paraId="17087167" w14:textId="77777777" w:rsidR="00A02929" w:rsidRDefault="00F75103">
          <w:pPr>
            <w:pStyle w:val="TOC2"/>
            <w:rPr>
              <w:rFonts w:eastAsiaTheme="minorEastAsia"/>
              <w:noProof/>
              <w:color w:val="auto"/>
            </w:rPr>
          </w:pPr>
          <w:hyperlink w:anchor="_Toc520713826" w:history="1">
            <w:r w:rsidR="00A02929" w:rsidRPr="008B2941">
              <w:rPr>
                <w:rStyle w:val="Hyperlink"/>
                <w:noProof/>
              </w:rPr>
              <w:t>A.8. Summary of Consultations Outside of the Agency</w:t>
            </w:r>
            <w:r w:rsidR="00A02929">
              <w:rPr>
                <w:noProof/>
                <w:webHidden/>
              </w:rPr>
              <w:tab/>
            </w:r>
            <w:r w:rsidR="00A02929">
              <w:rPr>
                <w:noProof/>
                <w:webHidden/>
              </w:rPr>
              <w:fldChar w:fldCharType="begin"/>
            </w:r>
            <w:r w:rsidR="00A02929">
              <w:rPr>
                <w:noProof/>
                <w:webHidden/>
              </w:rPr>
              <w:instrText xml:space="preserve"> PAGEREF _Toc520713826 \h </w:instrText>
            </w:r>
            <w:r w:rsidR="00A02929">
              <w:rPr>
                <w:noProof/>
                <w:webHidden/>
              </w:rPr>
            </w:r>
            <w:r w:rsidR="00A02929">
              <w:rPr>
                <w:noProof/>
                <w:webHidden/>
              </w:rPr>
              <w:fldChar w:fldCharType="separate"/>
            </w:r>
            <w:r w:rsidR="00A02929">
              <w:rPr>
                <w:noProof/>
                <w:webHidden/>
              </w:rPr>
              <w:t>7</w:t>
            </w:r>
            <w:r w:rsidR="00A02929">
              <w:rPr>
                <w:noProof/>
                <w:webHidden/>
              </w:rPr>
              <w:fldChar w:fldCharType="end"/>
            </w:r>
          </w:hyperlink>
        </w:p>
        <w:p w14:paraId="39F3342A" w14:textId="77777777" w:rsidR="00A02929" w:rsidRDefault="00F75103">
          <w:pPr>
            <w:pStyle w:val="TOC2"/>
            <w:rPr>
              <w:rFonts w:eastAsiaTheme="minorEastAsia"/>
              <w:noProof/>
              <w:color w:val="auto"/>
            </w:rPr>
          </w:pPr>
          <w:hyperlink w:anchor="_Toc520713827" w:history="1">
            <w:r w:rsidR="00A02929" w:rsidRPr="008B2941">
              <w:rPr>
                <w:rStyle w:val="Hyperlink"/>
                <w:noProof/>
              </w:rPr>
              <w:t>A.9. Payments or Gifts to Respondents</w:t>
            </w:r>
            <w:r w:rsidR="00A02929">
              <w:rPr>
                <w:noProof/>
                <w:webHidden/>
              </w:rPr>
              <w:tab/>
            </w:r>
            <w:r w:rsidR="00A02929">
              <w:rPr>
                <w:noProof/>
                <w:webHidden/>
              </w:rPr>
              <w:fldChar w:fldCharType="begin"/>
            </w:r>
            <w:r w:rsidR="00A02929">
              <w:rPr>
                <w:noProof/>
                <w:webHidden/>
              </w:rPr>
              <w:instrText xml:space="preserve"> PAGEREF _Toc520713827 \h </w:instrText>
            </w:r>
            <w:r w:rsidR="00A02929">
              <w:rPr>
                <w:noProof/>
                <w:webHidden/>
              </w:rPr>
            </w:r>
            <w:r w:rsidR="00A02929">
              <w:rPr>
                <w:noProof/>
                <w:webHidden/>
              </w:rPr>
              <w:fldChar w:fldCharType="separate"/>
            </w:r>
            <w:r w:rsidR="00A02929">
              <w:rPr>
                <w:noProof/>
                <w:webHidden/>
              </w:rPr>
              <w:t>7</w:t>
            </w:r>
            <w:r w:rsidR="00A02929">
              <w:rPr>
                <w:noProof/>
                <w:webHidden/>
              </w:rPr>
              <w:fldChar w:fldCharType="end"/>
            </w:r>
          </w:hyperlink>
        </w:p>
        <w:p w14:paraId="42250E7E" w14:textId="77777777" w:rsidR="00A02929" w:rsidRDefault="00F75103">
          <w:pPr>
            <w:pStyle w:val="TOC2"/>
            <w:rPr>
              <w:rFonts w:eastAsiaTheme="minorEastAsia"/>
              <w:noProof/>
              <w:color w:val="auto"/>
            </w:rPr>
          </w:pPr>
          <w:hyperlink w:anchor="_Toc520713828" w:history="1">
            <w:r w:rsidR="00A02929" w:rsidRPr="008B2941">
              <w:rPr>
                <w:rStyle w:val="Hyperlink"/>
                <w:noProof/>
              </w:rPr>
              <w:t>A.10. Provisions for Protection of Information</w:t>
            </w:r>
            <w:r w:rsidR="00A02929">
              <w:rPr>
                <w:noProof/>
                <w:webHidden/>
              </w:rPr>
              <w:tab/>
            </w:r>
            <w:r w:rsidR="00A02929">
              <w:rPr>
                <w:noProof/>
                <w:webHidden/>
              </w:rPr>
              <w:fldChar w:fldCharType="begin"/>
            </w:r>
            <w:r w:rsidR="00A02929">
              <w:rPr>
                <w:noProof/>
                <w:webHidden/>
              </w:rPr>
              <w:instrText xml:space="preserve"> PAGEREF _Toc520713828 \h </w:instrText>
            </w:r>
            <w:r w:rsidR="00A02929">
              <w:rPr>
                <w:noProof/>
                <w:webHidden/>
              </w:rPr>
            </w:r>
            <w:r w:rsidR="00A02929">
              <w:rPr>
                <w:noProof/>
                <w:webHidden/>
              </w:rPr>
              <w:fldChar w:fldCharType="separate"/>
            </w:r>
            <w:r w:rsidR="00A02929">
              <w:rPr>
                <w:noProof/>
                <w:webHidden/>
              </w:rPr>
              <w:t>7</w:t>
            </w:r>
            <w:r w:rsidR="00A02929">
              <w:rPr>
                <w:noProof/>
                <w:webHidden/>
              </w:rPr>
              <w:fldChar w:fldCharType="end"/>
            </w:r>
          </w:hyperlink>
        </w:p>
        <w:p w14:paraId="22A9CC72" w14:textId="77777777" w:rsidR="00A02929" w:rsidRDefault="00F75103">
          <w:pPr>
            <w:pStyle w:val="TOC2"/>
            <w:rPr>
              <w:rFonts w:eastAsiaTheme="minorEastAsia"/>
              <w:noProof/>
              <w:color w:val="auto"/>
            </w:rPr>
          </w:pPr>
          <w:hyperlink w:anchor="_Toc520713829" w:history="1">
            <w:r w:rsidR="00A02929" w:rsidRPr="008B2941">
              <w:rPr>
                <w:rStyle w:val="Hyperlink"/>
                <w:noProof/>
              </w:rPr>
              <w:t>A.11. Justification for Sensitive Questions</w:t>
            </w:r>
            <w:r w:rsidR="00A02929">
              <w:rPr>
                <w:noProof/>
                <w:webHidden/>
              </w:rPr>
              <w:tab/>
            </w:r>
            <w:r w:rsidR="00A02929">
              <w:rPr>
                <w:noProof/>
                <w:webHidden/>
              </w:rPr>
              <w:fldChar w:fldCharType="begin"/>
            </w:r>
            <w:r w:rsidR="00A02929">
              <w:rPr>
                <w:noProof/>
                <w:webHidden/>
              </w:rPr>
              <w:instrText xml:space="preserve"> PAGEREF _Toc520713829 \h </w:instrText>
            </w:r>
            <w:r w:rsidR="00A02929">
              <w:rPr>
                <w:noProof/>
                <w:webHidden/>
              </w:rPr>
            </w:r>
            <w:r w:rsidR="00A02929">
              <w:rPr>
                <w:noProof/>
                <w:webHidden/>
              </w:rPr>
              <w:fldChar w:fldCharType="separate"/>
            </w:r>
            <w:r w:rsidR="00A02929">
              <w:rPr>
                <w:noProof/>
                <w:webHidden/>
              </w:rPr>
              <w:t>8</w:t>
            </w:r>
            <w:r w:rsidR="00A02929">
              <w:rPr>
                <w:noProof/>
                <w:webHidden/>
              </w:rPr>
              <w:fldChar w:fldCharType="end"/>
            </w:r>
          </w:hyperlink>
        </w:p>
        <w:p w14:paraId="6714EEA1" w14:textId="77777777" w:rsidR="00A02929" w:rsidRDefault="00F75103">
          <w:pPr>
            <w:pStyle w:val="TOC2"/>
            <w:rPr>
              <w:rFonts w:eastAsiaTheme="minorEastAsia"/>
              <w:noProof/>
              <w:color w:val="auto"/>
            </w:rPr>
          </w:pPr>
          <w:hyperlink w:anchor="_Toc520713830" w:history="1">
            <w:r w:rsidR="00A02929" w:rsidRPr="008B2941">
              <w:rPr>
                <w:rStyle w:val="Hyperlink"/>
                <w:noProof/>
              </w:rPr>
              <w:t>A.12. Estimate of Respondent Burden Hours and Cost</w:t>
            </w:r>
            <w:r w:rsidR="00A02929">
              <w:rPr>
                <w:noProof/>
                <w:webHidden/>
              </w:rPr>
              <w:tab/>
            </w:r>
            <w:r w:rsidR="00A02929">
              <w:rPr>
                <w:noProof/>
                <w:webHidden/>
              </w:rPr>
              <w:fldChar w:fldCharType="begin"/>
            </w:r>
            <w:r w:rsidR="00A02929">
              <w:rPr>
                <w:noProof/>
                <w:webHidden/>
              </w:rPr>
              <w:instrText xml:space="preserve"> PAGEREF _Toc520713830 \h </w:instrText>
            </w:r>
            <w:r w:rsidR="00A02929">
              <w:rPr>
                <w:noProof/>
                <w:webHidden/>
              </w:rPr>
            </w:r>
            <w:r w:rsidR="00A02929">
              <w:rPr>
                <w:noProof/>
                <w:webHidden/>
              </w:rPr>
              <w:fldChar w:fldCharType="separate"/>
            </w:r>
            <w:r w:rsidR="00A02929">
              <w:rPr>
                <w:noProof/>
                <w:webHidden/>
              </w:rPr>
              <w:t>8</w:t>
            </w:r>
            <w:r w:rsidR="00A02929">
              <w:rPr>
                <w:noProof/>
                <w:webHidden/>
              </w:rPr>
              <w:fldChar w:fldCharType="end"/>
            </w:r>
          </w:hyperlink>
        </w:p>
        <w:p w14:paraId="29137FB0" w14:textId="77777777" w:rsidR="00A02929" w:rsidRDefault="00F75103">
          <w:pPr>
            <w:pStyle w:val="TOC2"/>
            <w:rPr>
              <w:rFonts w:eastAsiaTheme="minorEastAsia"/>
              <w:noProof/>
              <w:color w:val="auto"/>
            </w:rPr>
          </w:pPr>
          <w:hyperlink w:anchor="_Toc520713831" w:history="1">
            <w:r w:rsidR="00A02929" w:rsidRPr="008B2941">
              <w:rPr>
                <w:rStyle w:val="Hyperlink"/>
                <w:noProof/>
              </w:rPr>
              <w:t>A.13. Annual Cost to the Federal Government</w:t>
            </w:r>
            <w:r w:rsidR="00A02929">
              <w:rPr>
                <w:noProof/>
                <w:webHidden/>
              </w:rPr>
              <w:tab/>
            </w:r>
            <w:r w:rsidR="00A02929">
              <w:rPr>
                <w:noProof/>
                <w:webHidden/>
              </w:rPr>
              <w:fldChar w:fldCharType="begin"/>
            </w:r>
            <w:r w:rsidR="00A02929">
              <w:rPr>
                <w:noProof/>
                <w:webHidden/>
              </w:rPr>
              <w:instrText xml:space="preserve"> PAGEREF _Toc520713831 \h </w:instrText>
            </w:r>
            <w:r w:rsidR="00A02929">
              <w:rPr>
                <w:noProof/>
                <w:webHidden/>
              </w:rPr>
            </w:r>
            <w:r w:rsidR="00A02929">
              <w:rPr>
                <w:noProof/>
                <w:webHidden/>
              </w:rPr>
              <w:fldChar w:fldCharType="separate"/>
            </w:r>
            <w:r w:rsidR="00A02929">
              <w:rPr>
                <w:noProof/>
                <w:webHidden/>
              </w:rPr>
              <w:t>9</w:t>
            </w:r>
            <w:r w:rsidR="00A02929">
              <w:rPr>
                <w:noProof/>
                <w:webHidden/>
              </w:rPr>
              <w:fldChar w:fldCharType="end"/>
            </w:r>
          </w:hyperlink>
        </w:p>
        <w:p w14:paraId="6C165DAC" w14:textId="77777777" w:rsidR="00A02929" w:rsidRDefault="00F75103">
          <w:pPr>
            <w:pStyle w:val="TOC2"/>
            <w:rPr>
              <w:rFonts w:eastAsiaTheme="minorEastAsia"/>
              <w:noProof/>
              <w:color w:val="auto"/>
            </w:rPr>
          </w:pPr>
          <w:hyperlink w:anchor="_Toc520713832" w:history="1">
            <w:r w:rsidR="00A02929" w:rsidRPr="008B2941">
              <w:rPr>
                <w:rStyle w:val="Hyperlink"/>
                <w:noProof/>
              </w:rPr>
              <w:t>A.14. Changes in Burden</w:t>
            </w:r>
            <w:r w:rsidR="00A02929">
              <w:rPr>
                <w:noProof/>
                <w:webHidden/>
              </w:rPr>
              <w:tab/>
            </w:r>
            <w:r w:rsidR="00A02929">
              <w:rPr>
                <w:noProof/>
                <w:webHidden/>
              </w:rPr>
              <w:fldChar w:fldCharType="begin"/>
            </w:r>
            <w:r w:rsidR="00A02929">
              <w:rPr>
                <w:noProof/>
                <w:webHidden/>
              </w:rPr>
              <w:instrText xml:space="preserve"> PAGEREF _Toc520713832 \h </w:instrText>
            </w:r>
            <w:r w:rsidR="00A02929">
              <w:rPr>
                <w:noProof/>
                <w:webHidden/>
              </w:rPr>
            </w:r>
            <w:r w:rsidR="00A02929">
              <w:rPr>
                <w:noProof/>
                <w:webHidden/>
              </w:rPr>
              <w:fldChar w:fldCharType="separate"/>
            </w:r>
            <w:r w:rsidR="00A02929">
              <w:rPr>
                <w:noProof/>
                <w:webHidden/>
              </w:rPr>
              <w:t>10</w:t>
            </w:r>
            <w:r w:rsidR="00A02929">
              <w:rPr>
                <w:noProof/>
                <w:webHidden/>
              </w:rPr>
              <w:fldChar w:fldCharType="end"/>
            </w:r>
          </w:hyperlink>
        </w:p>
        <w:p w14:paraId="31148E6A" w14:textId="77777777" w:rsidR="00A02929" w:rsidRDefault="00F75103">
          <w:pPr>
            <w:pStyle w:val="TOC2"/>
            <w:rPr>
              <w:rFonts w:eastAsiaTheme="minorEastAsia"/>
              <w:noProof/>
              <w:color w:val="auto"/>
            </w:rPr>
          </w:pPr>
          <w:hyperlink w:anchor="_Toc520713833" w:history="1">
            <w:r w:rsidR="00A02929" w:rsidRPr="008B2941">
              <w:rPr>
                <w:rStyle w:val="Hyperlink"/>
                <w:noProof/>
              </w:rPr>
              <w:t>A.15. Reasons for Changes in Burden</w:t>
            </w:r>
            <w:r w:rsidR="00A02929">
              <w:rPr>
                <w:noProof/>
                <w:webHidden/>
              </w:rPr>
              <w:tab/>
            </w:r>
            <w:r w:rsidR="00A02929">
              <w:rPr>
                <w:noProof/>
                <w:webHidden/>
              </w:rPr>
              <w:fldChar w:fldCharType="begin"/>
            </w:r>
            <w:r w:rsidR="00A02929">
              <w:rPr>
                <w:noProof/>
                <w:webHidden/>
              </w:rPr>
              <w:instrText xml:space="preserve"> PAGEREF _Toc520713833 \h </w:instrText>
            </w:r>
            <w:r w:rsidR="00A02929">
              <w:rPr>
                <w:noProof/>
                <w:webHidden/>
              </w:rPr>
            </w:r>
            <w:r w:rsidR="00A02929">
              <w:rPr>
                <w:noProof/>
                <w:webHidden/>
              </w:rPr>
              <w:fldChar w:fldCharType="separate"/>
            </w:r>
            <w:r w:rsidR="00A02929">
              <w:rPr>
                <w:noProof/>
                <w:webHidden/>
              </w:rPr>
              <w:t>11</w:t>
            </w:r>
            <w:r w:rsidR="00A02929">
              <w:rPr>
                <w:noProof/>
                <w:webHidden/>
              </w:rPr>
              <w:fldChar w:fldCharType="end"/>
            </w:r>
          </w:hyperlink>
        </w:p>
        <w:p w14:paraId="7CA846F4" w14:textId="77777777" w:rsidR="00A02929" w:rsidRDefault="00F75103">
          <w:pPr>
            <w:pStyle w:val="TOC2"/>
            <w:rPr>
              <w:rFonts w:eastAsiaTheme="minorEastAsia"/>
              <w:noProof/>
              <w:color w:val="auto"/>
            </w:rPr>
          </w:pPr>
          <w:hyperlink w:anchor="_Toc520713834" w:history="1">
            <w:r w:rsidR="00A02929" w:rsidRPr="008B2941">
              <w:rPr>
                <w:rStyle w:val="Hyperlink"/>
                <w:noProof/>
              </w:rPr>
              <w:t>A.16. Collection, Tabulation, and Publication Plans</w:t>
            </w:r>
            <w:r w:rsidR="00A02929">
              <w:rPr>
                <w:noProof/>
                <w:webHidden/>
              </w:rPr>
              <w:tab/>
            </w:r>
            <w:r w:rsidR="00A02929">
              <w:rPr>
                <w:noProof/>
                <w:webHidden/>
              </w:rPr>
              <w:fldChar w:fldCharType="begin"/>
            </w:r>
            <w:r w:rsidR="00A02929">
              <w:rPr>
                <w:noProof/>
                <w:webHidden/>
              </w:rPr>
              <w:instrText xml:space="preserve"> PAGEREF _Toc520713834 \h </w:instrText>
            </w:r>
            <w:r w:rsidR="00A02929">
              <w:rPr>
                <w:noProof/>
                <w:webHidden/>
              </w:rPr>
            </w:r>
            <w:r w:rsidR="00A02929">
              <w:rPr>
                <w:noProof/>
                <w:webHidden/>
              </w:rPr>
              <w:fldChar w:fldCharType="separate"/>
            </w:r>
            <w:r w:rsidR="00A02929">
              <w:rPr>
                <w:noProof/>
                <w:webHidden/>
              </w:rPr>
              <w:t>11</w:t>
            </w:r>
            <w:r w:rsidR="00A02929">
              <w:rPr>
                <w:noProof/>
                <w:webHidden/>
              </w:rPr>
              <w:fldChar w:fldCharType="end"/>
            </w:r>
          </w:hyperlink>
        </w:p>
        <w:p w14:paraId="5EB705A9" w14:textId="77777777" w:rsidR="00A02929" w:rsidRDefault="00F75103">
          <w:pPr>
            <w:pStyle w:val="TOC2"/>
            <w:rPr>
              <w:rFonts w:eastAsiaTheme="minorEastAsia"/>
              <w:noProof/>
              <w:color w:val="auto"/>
            </w:rPr>
          </w:pPr>
          <w:hyperlink w:anchor="_Toc520713835" w:history="1">
            <w:r w:rsidR="00A02929" w:rsidRPr="008B2941">
              <w:rPr>
                <w:rStyle w:val="Hyperlink"/>
                <w:noProof/>
              </w:rPr>
              <w:t>A.17. OMB Number and Expiration Date</w:t>
            </w:r>
            <w:r w:rsidR="00A02929">
              <w:rPr>
                <w:noProof/>
                <w:webHidden/>
              </w:rPr>
              <w:tab/>
            </w:r>
            <w:r w:rsidR="00A02929">
              <w:rPr>
                <w:noProof/>
                <w:webHidden/>
              </w:rPr>
              <w:fldChar w:fldCharType="begin"/>
            </w:r>
            <w:r w:rsidR="00A02929">
              <w:rPr>
                <w:noProof/>
                <w:webHidden/>
              </w:rPr>
              <w:instrText xml:space="preserve"> PAGEREF _Toc520713835 \h </w:instrText>
            </w:r>
            <w:r w:rsidR="00A02929">
              <w:rPr>
                <w:noProof/>
                <w:webHidden/>
              </w:rPr>
            </w:r>
            <w:r w:rsidR="00A02929">
              <w:rPr>
                <w:noProof/>
                <w:webHidden/>
              </w:rPr>
              <w:fldChar w:fldCharType="separate"/>
            </w:r>
            <w:r w:rsidR="00A02929">
              <w:rPr>
                <w:noProof/>
                <w:webHidden/>
              </w:rPr>
              <w:t>11</w:t>
            </w:r>
            <w:r w:rsidR="00A02929">
              <w:rPr>
                <w:noProof/>
                <w:webHidden/>
              </w:rPr>
              <w:fldChar w:fldCharType="end"/>
            </w:r>
          </w:hyperlink>
        </w:p>
        <w:p w14:paraId="2E610A86" w14:textId="77777777" w:rsidR="00A02929" w:rsidRDefault="00F75103">
          <w:pPr>
            <w:pStyle w:val="TOC2"/>
            <w:rPr>
              <w:rFonts w:eastAsiaTheme="minorEastAsia"/>
              <w:noProof/>
              <w:color w:val="auto"/>
            </w:rPr>
          </w:pPr>
          <w:hyperlink w:anchor="_Toc520713836" w:history="1">
            <w:r w:rsidR="00A02929" w:rsidRPr="008B2941">
              <w:rPr>
                <w:rStyle w:val="Hyperlink"/>
                <w:noProof/>
              </w:rPr>
              <w:t>A.18. Certification Statement</w:t>
            </w:r>
            <w:r w:rsidR="00A02929">
              <w:rPr>
                <w:noProof/>
                <w:webHidden/>
              </w:rPr>
              <w:tab/>
            </w:r>
            <w:r w:rsidR="00A02929">
              <w:rPr>
                <w:noProof/>
                <w:webHidden/>
              </w:rPr>
              <w:fldChar w:fldCharType="begin"/>
            </w:r>
            <w:r w:rsidR="00A02929">
              <w:rPr>
                <w:noProof/>
                <w:webHidden/>
              </w:rPr>
              <w:instrText xml:space="preserve"> PAGEREF _Toc520713836 \h </w:instrText>
            </w:r>
            <w:r w:rsidR="00A02929">
              <w:rPr>
                <w:noProof/>
                <w:webHidden/>
              </w:rPr>
            </w:r>
            <w:r w:rsidR="00A02929">
              <w:rPr>
                <w:noProof/>
                <w:webHidden/>
              </w:rPr>
              <w:fldChar w:fldCharType="separate"/>
            </w:r>
            <w:r w:rsidR="00A02929">
              <w:rPr>
                <w:noProof/>
                <w:webHidden/>
              </w:rPr>
              <w:t>11</w:t>
            </w:r>
            <w:r w:rsidR="00A02929">
              <w:rPr>
                <w:noProof/>
                <w:webHidden/>
              </w:rPr>
              <w:fldChar w:fldCharType="end"/>
            </w:r>
          </w:hyperlink>
        </w:p>
        <w:p w14:paraId="336EA724" w14:textId="77777777" w:rsidR="0059212D" w:rsidRDefault="0059212D">
          <w:r>
            <w:rPr>
              <w:b/>
              <w:bCs/>
              <w:noProof/>
            </w:rPr>
            <w:fldChar w:fldCharType="end"/>
          </w:r>
        </w:p>
      </w:sdtContent>
    </w:sdt>
    <w:p w14:paraId="370EE93E" w14:textId="77777777" w:rsidR="001F3A8F" w:rsidRDefault="001F3A8F" w:rsidP="00D928FD"/>
    <w:p w14:paraId="5216CF35" w14:textId="77777777" w:rsidR="00D928FD" w:rsidRDefault="00D928FD" w:rsidP="00D928FD">
      <w:pPr>
        <w:sectPr w:rsidR="00D928FD" w:rsidSect="00725453">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14:paraId="5017FC5E" w14:textId="77777777" w:rsidR="00933D5D" w:rsidRDefault="00933D5D" w:rsidP="00836D62">
      <w:pPr>
        <w:spacing w:line="240" w:lineRule="auto"/>
      </w:pPr>
    </w:p>
    <w:p w14:paraId="4339935D" w14:textId="77777777" w:rsidR="00933D5D" w:rsidRDefault="00933D5D" w:rsidP="00933D5D">
      <w:pPr>
        <w:tabs>
          <w:tab w:val="left" w:pos="7365"/>
        </w:tabs>
      </w:pPr>
      <w:r>
        <w:tab/>
      </w:r>
    </w:p>
    <w:p w14:paraId="12D7423C" w14:textId="77777777" w:rsidR="00041909" w:rsidRPr="00933D5D" w:rsidRDefault="00933D5D" w:rsidP="00933D5D">
      <w:pPr>
        <w:tabs>
          <w:tab w:val="left" w:pos="7365"/>
        </w:tabs>
        <w:sectPr w:rsidR="00041909" w:rsidRPr="00933D5D" w:rsidSect="00725453">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tab/>
      </w:r>
    </w:p>
    <w:p w14:paraId="198AEBE9" w14:textId="77777777" w:rsidR="008C734C" w:rsidRDefault="008C734C" w:rsidP="0095178E">
      <w:pPr>
        <w:pStyle w:val="Heading2"/>
      </w:pPr>
      <w:bookmarkStart w:id="2" w:name="_Toc520713818"/>
      <w:r>
        <w:t>Introdu</w:t>
      </w:r>
      <w:r w:rsidR="00844524">
        <w:t>ction</w:t>
      </w:r>
      <w:bookmarkEnd w:id="2"/>
    </w:p>
    <w:p w14:paraId="03ECABB1" w14:textId="441C0A8F" w:rsidR="00E52FE1" w:rsidRPr="00DD4CED" w:rsidRDefault="00844524" w:rsidP="00E52FE1">
      <w:r w:rsidRPr="00DD4CED">
        <w:t>The U.S. Energy Information Administration (EIA) is the statistical and analytical agency within the U.S. Department of Energy (DOE).</w:t>
      </w:r>
      <w:r w:rsidR="007144E2" w:rsidRPr="00DD4CED">
        <w:t xml:space="preserve"> </w:t>
      </w:r>
      <w:r w:rsidRPr="00DD4CED">
        <w:t>It collects, analyzes, and disseminates independent and impartial energy information to promote sound policymaking, efficient markets, and public understanding regarding energy and its interaction with the economy and the environment.</w:t>
      </w:r>
      <w:r w:rsidR="007144E2" w:rsidRPr="00DD4CED">
        <w:t xml:space="preserve"> </w:t>
      </w:r>
    </w:p>
    <w:p w14:paraId="2983490B" w14:textId="42E56D40" w:rsidR="00E52FE1" w:rsidRPr="0082602A" w:rsidRDefault="00395BFD" w:rsidP="00395BFD">
      <w:r w:rsidRPr="00602065">
        <w:t>EIA requests a three-year extension, with</w:t>
      </w:r>
      <w:r w:rsidR="00B06DAB">
        <w:t>out</w:t>
      </w:r>
      <w:r w:rsidRPr="00602065">
        <w:t xml:space="preserve"> changes</w:t>
      </w:r>
      <w:r w:rsidRPr="00602065">
        <w:rPr>
          <w:b/>
        </w:rPr>
        <w:t>,</w:t>
      </w:r>
      <w:r w:rsidRPr="00602065">
        <w:t xml:space="preserve"> from the Office </w:t>
      </w:r>
      <w:r>
        <w:t>of Management and Budget (OMB) for</w:t>
      </w:r>
      <w:r w:rsidRPr="00602065">
        <w:t xml:space="preserve"> </w:t>
      </w:r>
      <w:r w:rsidR="00E52FE1" w:rsidRPr="0082602A">
        <w:t>Form NWPA-830G</w:t>
      </w:r>
      <w:r w:rsidR="00003FF7">
        <w:t>,</w:t>
      </w:r>
      <w:r w:rsidR="00AF7B88">
        <w:t xml:space="preserve"> </w:t>
      </w:r>
      <w:r w:rsidR="00003FF7" w:rsidRPr="00DD4CED">
        <w:rPr>
          <w:i/>
        </w:rPr>
        <w:t xml:space="preserve">Standard Contract for Disposal of Spent Nuclear Fuel and/or High-Level Radioactive Waste - Appendix G and Annex A to Appendix G. </w:t>
      </w:r>
      <w:r w:rsidR="00E52FE1" w:rsidRPr="0082602A">
        <w:t xml:space="preserve">The Nuclear Waste Policy Act of 1982 (42 U.S.C. </w:t>
      </w:r>
      <w:r w:rsidR="00AF7B88">
        <w:t>§</w:t>
      </w:r>
      <w:r w:rsidR="00E52FE1" w:rsidRPr="0082602A">
        <w:t>10101 et seq.) required that the U.S. Department of Energy enter into Standard Contracts with all generators or owners of spent nuclear fuel and high-level radioactive waste of domestic origin.</w:t>
      </w:r>
      <w:r w:rsidR="00AF7B88">
        <w:t xml:space="preserve"> </w:t>
      </w:r>
      <w:r w:rsidR="00E52FE1" w:rsidRPr="0082602A">
        <w:t xml:space="preserve">Form NWPA-830G, including Annex A to Appendix G, is an </w:t>
      </w:r>
      <w:r w:rsidR="004E7BDF">
        <w:t>a</w:t>
      </w:r>
      <w:r w:rsidR="00E52FE1" w:rsidRPr="0082602A">
        <w:t xml:space="preserve">ppendix to </w:t>
      </w:r>
      <w:r w:rsidR="00682714">
        <w:t xml:space="preserve">the </w:t>
      </w:r>
      <w:r w:rsidR="00E52FE1" w:rsidRPr="0082602A">
        <w:t>Standard Contract for Disposal of Spent Nuclear Fuel and/or High-level Radioactive Waste. Appendix G and Annex A to Appendix G are commonly referred to as Remittance Advice</w:t>
      </w:r>
      <w:r w:rsidR="00285D3A">
        <w:t xml:space="preserve"> (RA)</w:t>
      </w:r>
      <w:r w:rsidR="00E52FE1" w:rsidRPr="0082602A">
        <w:t xml:space="preserve"> forms. </w:t>
      </w:r>
      <w:r w:rsidR="0088009B">
        <w:t>The</w:t>
      </w:r>
      <w:r w:rsidR="00003FF7" w:rsidRPr="00DD4CED">
        <w:t xml:space="preserve">se forms </w:t>
      </w:r>
      <w:r w:rsidR="0088009B" w:rsidRPr="00DD4CED">
        <w:t xml:space="preserve">must be submitted to </w:t>
      </w:r>
      <w:r w:rsidR="00003FF7" w:rsidRPr="00DD4CED">
        <w:t xml:space="preserve">DOE </w:t>
      </w:r>
      <w:r w:rsidR="0088009B" w:rsidRPr="00DD4CED">
        <w:t xml:space="preserve">quarterly by generators and owners of spent nuclear fuel who signed the Standard Contract </w:t>
      </w:r>
      <w:r w:rsidR="00003FF7" w:rsidRPr="00DD4CED">
        <w:t>concerning payments into the Nuclear Waste Fund of ongoing fees for spent nuclear fuel disposal.</w:t>
      </w:r>
    </w:p>
    <w:p w14:paraId="2C96029F" w14:textId="769D1121" w:rsidR="00E52FE1" w:rsidRPr="0082602A" w:rsidRDefault="00E52FE1" w:rsidP="00E52FE1">
      <w:r w:rsidRPr="0082602A">
        <w:t>The information collection proposed in this supporting statement has been reviewed in light of applicable information quality guidelines.</w:t>
      </w:r>
      <w:r w:rsidR="007144E2" w:rsidRPr="0082602A">
        <w:t xml:space="preserve"> </w:t>
      </w:r>
      <w:r w:rsidRPr="0082602A">
        <w:t xml:space="preserve">It has been determined that the information will be collected, maintained, and used in a manner consistent with OMB, DOE, and </w:t>
      </w:r>
      <w:r w:rsidR="0088009B">
        <w:t xml:space="preserve">EIA </w:t>
      </w:r>
      <w:r w:rsidRPr="0082602A">
        <w:t xml:space="preserve">information quality guidelines. </w:t>
      </w:r>
    </w:p>
    <w:p w14:paraId="11EF5D3A" w14:textId="374F2C2B" w:rsidR="00E52FE1" w:rsidRPr="0082602A" w:rsidRDefault="00E52FE1" w:rsidP="00E52FE1">
      <w:r w:rsidRPr="0082602A">
        <w:t xml:space="preserve">Form NWPA-830G, is a mandatory form </w:t>
      </w:r>
      <w:r w:rsidR="00D915E5">
        <w:t xml:space="preserve">that serves </w:t>
      </w:r>
      <w:r w:rsidRPr="0082602A">
        <w:t xml:space="preserve">as the source document for entries into DOE accounting records to transmit data from purchasers to DOE concerning payment of the Spent Nuclear Fuel Disposal Fee into the Nuclear Waste Fund. Appendix G </w:t>
      </w:r>
      <w:r w:rsidR="0088009B">
        <w:t xml:space="preserve">collects </w:t>
      </w:r>
      <w:r w:rsidR="0088009B" w:rsidRPr="0082602A">
        <w:t>payment</w:t>
      </w:r>
      <w:r w:rsidRPr="0082602A">
        <w:t xml:space="preserve"> data based on a utility’s net electricity generated and sold.</w:t>
      </w:r>
      <w:r w:rsidR="007144E2" w:rsidRPr="0082602A">
        <w:t xml:space="preserve"> </w:t>
      </w:r>
      <w:r w:rsidRPr="0082602A">
        <w:t xml:space="preserve">Data collected include the net electricity generated and sold </w:t>
      </w:r>
      <w:r w:rsidR="0088009B">
        <w:t>(</w:t>
      </w:r>
      <w:r w:rsidRPr="0082602A">
        <w:t>in megawatt hours</w:t>
      </w:r>
      <w:r w:rsidR="0088009B">
        <w:t>)</w:t>
      </w:r>
      <w:r w:rsidRPr="0082602A">
        <w:t xml:space="preserve">, the fee rate, and the total fee. The form also includes </w:t>
      </w:r>
      <w:r w:rsidR="0088009B" w:rsidRPr="0082602A">
        <w:t>supplementary</w:t>
      </w:r>
      <w:r w:rsidRPr="0082602A">
        <w:t xml:space="preserve"> data including adjustments from previous</w:t>
      </w:r>
      <w:r w:rsidR="00535F35">
        <w:t>ly submitted</w:t>
      </w:r>
      <w:r w:rsidRPr="0082602A">
        <w:t xml:space="preserve"> quarter</w:t>
      </w:r>
      <w:r w:rsidR="00535F35">
        <w:t>ly data</w:t>
      </w:r>
      <w:r w:rsidRPr="0082602A">
        <w:t>, interest, and credits.</w:t>
      </w:r>
    </w:p>
    <w:p w14:paraId="26D83288" w14:textId="23F10819" w:rsidR="00E52FE1" w:rsidRPr="0082602A" w:rsidRDefault="00E52FE1" w:rsidP="00E52FE1">
      <w:r w:rsidRPr="0082602A">
        <w:t>In November 2013, a federal appeals court ruled that DOE cease collection of the Spent Nuclear Fuel Disposal Fee.</w:t>
      </w:r>
      <w:r w:rsidR="007144E2" w:rsidRPr="0082602A">
        <w:t xml:space="preserve"> </w:t>
      </w:r>
      <w:r w:rsidRPr="0082602A">
        <w:t>DOE determined that, effective May 16, 2014, the fee is 0.0 Mi</w:t>
      </w:r>
      <w:r w:rsidR="00EF3F21">
        <w:t>l</w:t>
      </w:r>
      <w:r w:rsidRPr="0082602A">
        <w:t>l</w:t>
      </w:r>
      <w:r w:rsidR="00EF3F21">
        <w:rPr>
          <w:rStyle w:val="FootnoteReference"/>
        </w:rPr>
        <w:footnoteReference w:id="1"/>
      </w:r>
      <w:r w:rsidRPr="0082602A">
        <w:t xml:space="preserve"> per kilowatt-hour, reducing to zero the quarterly fees </w:t>
      </w:r>
      <w:r w:rsidR="00D915E5">
        <w:t xml:space="preserve">paid by </w:t>
      </w:r>
      <w:r w:rsidRPr="0082602A">
        <w:t>domestic generators of nuclear electricity</w:t>
      </w:r>
      <w:r w:rsidR="00E93892">
        <w:t xml:space="preserve"> and owners of spent nuclear fuel</w:t>
      </w:r>
      <w:r w:rsidRPr="0082602A">
        <w:t>.</w:t>
      </w:r>
      <w:r w:rsidR="00EF3F21">
        <w:t xml:space="preserve"> </w:t>
      </w:r>
      <w:r w:rsidRPr="0082602A">
        <w:t>Electricity generated and sold prior to May 16, 2014 remains subject to the current fee of 1.0 Mil</w:t>
      </w:r>
      <w:r w:rsidR="00E31F5C">
        <w:t>l</w:t>
      </w:r>
      <w:r w:rsidRPr="0082602A">
        <w:t xml:space="preserve"> per kilowatt-hour. In a letter dated May 12, 2014, DOE, through its </w:t>
      </w:r>
      <w:r w:rsidR="00DA5883">
        <w:t>O</w:t>
      </w:r>
      <w:r w:rsidR="00DA5883" w:rsidRPr="00390CB6">
        <w:t>ffice of Standard Contract Management, Office of the General Counsel (GC),</w:t>
      </w:r>
      <w:r w:rsidRPr="0082602A">
        <w:t xml:space="preserve"> informed signatories to the Standard Contract that they must continue to submit quarterly net electricity generation data on Appendix G.</w:t>
      </w:r>
      <w:r w:rsidR="007144E2" w:rsidRPr="0082602A">
        <w:t xml:space="preserve"> </w:t>
      </w:r>
      <w:r w:rsidRPr="0082602A">
        <w:t xml:space="preserve">Furthermore, GC directed EIA to continue </w:t>
      </w:r>
      <w:r w:rsidR="00BB6DB8" w:rsidRPr="0082602A">
        <w:t xml:space="preserve">collection and verification </w:t>
      </w:r>
      <w:r w:rsidR="00BB6DB8">
        <w:t>o</w:t>
      </w:r>
      <w:r w:rsidRPr="0082602A">
        <w:t>f net electricity generation data and estimation of the spent nuclear fuel disposal fees that would otherwise accrue from this generation.</w:t>
      </w:r>
    </w:p>
    <w:p w14:paraId="4F174CEE" w14:textId="50E759F1" w:rsidR="00E52FE1" w:rsidRPr="0082602A" w:rsidRDefault="00BB6DB8" w:rsidP="00E52FE1">
      <w:r>
        <w:t>I</w:t>
      </w:r>
      <w:r w:rsidR="00E52FE1" w:rsidRPr="0082602A">
        <w:t>f a</w:t>
      </w:r>
      <w:r w:rsidR="00454E45">
        <w:t xml:space="preserve"> disposal </w:t>
      </w:r>
      <w:r w:rsidR="00E52FE1" w:rsidRPr="0082602A">
        <w:t>fee</w:t>
      </w:r>
      <w:r w:rsidR="00E93892">
        <w:t>,</w:t>
      </w:r>
      <w:r w:rsidR="00E52FE1" w:rsidRPr="0082602A">
        <w:t xml:space="preserve"> based on the electricity generated and sold, is </w:t>
      </w:r>
      <w:r w:rsidR="00DA5883">
        <w:t>increased</w:t>
      </w:r>
      <w:r w:rsidR="00E52FE1" w:rsidRPr="0082602A">
        <w:t>, EIA will document fees paid, as recorded on the Remittance Advice forms with data maintained on the DOE Office of Finance and Accounting’s (CF-11) Consolidated Accounting and Investment System (CAIS).</w:t>
      </w:r>
      <w:r w:rsidR="007144E2" w:rsidRPr="0082602A">
        <w:t xml:space="preserve"> </w:t>
      </w:r>
    </w:p>
    <w:p w14:paraId="4BEF2D86" w14:textId="106213A9" w:rsidR="00E52FE1" w:rsidRPr="0082602A" w:rsidRDefault="00E52FE1" w:rsidP="00E52FE1">
      <w:r w:rsidRPr="0082602A">
        <w:t xml:space="preserve">Annex A to Appendix G </w:t>
      </w:r>
      <w:r w:rsidR="00454E45">
        <w:t>provides</w:t>
      </w:r>
      <w:r w:rsidRPr="0082602A">
        <w:t xml:space="preserve"> the data necessary to calculate the amount of net electricity generated and sold</w:t>
      </w:r>
      <w:r w:rsidR="00474E03">
        <w:t xml:space="preserve"> upon</w:t>
      </w:r>
      <w:r w:rsidRPr="0082602A">
        <w:t xml:space="preserve"> which the </w:t>
      </w:r>
      <w:r w:rsidR="00454E45">
        <w:t>S</w:t>
      </w:r>
      <w:r w:rsidRPr="0082602A">
        <w:t xml:space="preserve">pent </w:t>
      </w:r>
      <w:r w:rsidR="00454E45">
        <w:t>N</w:t>
      </w:r>
      <w:r w:rsidRPr="0082602A">
        <w:t xml:space="preserve">uclear </w:t>
      </w:r>
      <w:r w:rsidR="00454E45">
        <w:t>F</w:t>
      </w:r>
      <w:r w:rsidRPr="0082602A">
        <w:t xml:space="preserve">uel </w:t>
      </w:r>
      <w:r w:rsidR="00454E45">
        <w:t>D</w:t>
      </w:r>
      <w:r w:rsidRPr="0082602A">
        <w:t xml:space="preserve">isposal </w:t>
      </w:r>
      <w:r w:rsidR="00454E45">
        <w:t>F</w:t>
      </w:r>
      <w:r w:rsidRPr="0082602A">
        <w:t>ees are based (whether using the former fee</w:t>
      </w:r>
      <w:r w:rsidR="007144E2" w:rsidRPr="0082602A">
        <w:t xml:space="preserve"> </w:t>
      </w:r>
      <w:r w:rsidRPr="0082602A">
        <w:t>rate of 1.0 Mil</w:t>
      </w:r>
      <w:r w:rsidR="00E31F5C">
        <w:t>l</w:t>
      </w:r>
      <w:r w:rsidRPr="0082602A">
        <w:t xml:space="preserve"> per kilowatt-hour or </w:t>
      </w:r>
      <w:r w:rsidR="00E93892">
        <w:t xml:space="preserve">the </w:t>
      </w:r>
      <w:r w:rsidRPr="0082602A">
        <w:t>current fee rate of 0.0 Mil</w:t>
      </w:r>
      <w:r w:rsidR="00E31F5C">
        <w:t>l</w:t>
      </w:r>
      <w:r w:rsidRPr="0082602A">
        <w:t xml:space="preserve"> per kilowatt-hour).</w:t>
      </w:r>
      <w:r w:rsidR="007144E2" w:rsidRPr="0082602A">
        <w:t xml:space="preserve"> </w:t>
      </w:r>
      <w:r w:rsidRPr="0082602A">
        <w:t>Purchasers report gross electricity generated and energy losses resulting in “net electricity generated.”</w:t>
      </w:r>
      <w:r w:rsidR="007144E2" w:rsidRPr="0082602A">
        <w:t xml:space="preserve"> </w:t>
      </w:r>
      <w:r w:rsidRPr="0082602A">
        <w:t xml:space="preserve">Energy losses include nuclear station use and offsets for pumped storage. To report “net electricity generated and sold,” purchasers </w:t>
      </w:r>
      <w:r w:rsidR="00454E45">
        <w:t>estimate</w:t>
      </w:r>
      <w:r w:rsidRPr="0082602A">
        <w:t xml:space="preserve"> factors</w:t>
      </w:r>
      <w:r w:rsidR="00454E45">
        <w:t xml:space="preserve"> </w:t>
      </w:r>
      <w:r w:rsidRPr="0082602A">
        <w:t>to calculate the “sold” portion.</w:t>
      </w:r>
      <w:r w:rsidR="007144E2" w:rsidRPr="0082602A">
        <w:t xml:space="preserve"> </w:t>
      </w:r>
      <w:r w:rsidRPr="0082602A">
        <w:t xml:space="preserve">These factors are based on a utility’s sales to ultimate consumers and sales for resale, a utility-level </w:t>
      </w:r>
      <w:r w:rsidR="00454E45" w:rsidRPr="0082602A">
        <w:t>element</w:t>
      </w:r>
      <w:r w:rsidRPr="0082602A">
        <w:t xml:space="preserve"> for retail energy losses, and a national-level factor for resale energy losses. Adjustment factor data are calculated for each individual owner of a nuclear plant and weighted by that owner’s share of the plant.</w:t>
      </w:r>
      <w:r w:rsidR="007144E2" w:rsidRPr="0082602A">
        <w:t xml:space="preserve"> </w:t>
      </w:r>
    </w:p>
    <w:p w14:paraId="216B541A" w14:textId="2513ED33" w:rsidR="00A41763" w:rsidRPr="00A41763" w:rsidRDefault="00E52FE1" w:rsidP="00A41763">
      <w:r w:rsidRPr="0082602A">
        <w:t xml:space="preserve">Form NWPA-830G </w:t>
      </w:r>
      <w:r w:rsidRPr="000213C8">
        <w:rPr>
          <w:i/>
        </w:rPr>
        <w:t>Appendix G - Standard Remittance Advice for Payment of Fees</w:t>
      </w:r>
      <w:r w:rsidRPr="0082602A">
        <w:t>, was previously referred to as Form NWPA-830R.</w:t>
      </w:r>
      <w:r w:rsidR="007144E2" w:rsidRPr="0082602A">
        <w:t xml:space="preserve"> </w:t>
      </w:r>
      <w:r w:rsidRPr="0082602A">
        <w:t xml:space="preserve">Form NWPA-830R covered all </w:t>
      </w:r>
      <w:r w:rsidR="00E93892">
        <w:t>a</w:t>
      </w:r>
      <w:r w:rsidRPr="0082602A">
        <w:t>ppendices to the Standard Contract.</w:t>
      </w:r>
      <w:r w:rsidR="007144E2" w:rsidRPr="0082602A">
        <w:t xml:space="preserve"> </w:t>
      </w:r>
      <w:r w:rsidRPr="0082602A">
        <w:t xml:space="preserve">The data on Appendix A were collected </w:t>
      </w:r>
      <w:r w:rsidR="00E93892">
        <w:t xml:space="preserve">once </w:t>
      </w:r>
      <w:r w:rsidRPr="0082602A">
        <w:t>in 1983 when the contracts were signed.</w:t>
      </w:r>
      <w:r w:rsidR="007144E2" w:rsidRPr="0082602A">
        <w:t xml:space="preserve"> </w:t>
      </w:r>
      <w:r w:rsidRPr="0082602A">
        <w:t xml:space="preserve">Appendix B, collected data on a one-time fee based on spent nuclear fuel discharged or in the reactor core as of April 6, 1983, is no longer used; those data are now collected </w:t>
      </w:r>
      <w:r w:rsidR="000213C8">
        <w:t>by</w:t>
      </w:r>
      <w:r w:rsidRPr="0082602A">
        <w:t xml:space="preserve"> Form GC-859 </w:t>
      </w:r>
      <w:r w:rsidRPr="005C6B89">
        <w:rPr>
          <w:i/>
        </w:rPr>
        <w:t>Nuclear Fuel Data</w:t>
      </w:r>
      <w:r w:rsidRPr="0082602A">
        <w:t>. The data on Appendices C, D, and F are all dependent on the availability of a federal facility to accept spent nuclear fuel</w:t>
      </w:r>
      <w:r w:rsidR="00257A73">
        <w:t>,</w:t>
      </w:r>
      <w:r w:rsidRPr="0082602A">
        <w:t xml:space="preserve"> and are therefore not part of this survey clearance. Appendix E contained a series of definitions and specifications and collected</w:t>
      </w:r>
      <w:r w:rsidR="00257A73">
        <w:t xml:space="preserve"> no data from respondents</w:t>
      </w:r>
      <w:r w:rsidRPr="0082602A">
        <w:t>.</w:t>
      </w:r>
    </w:p>
    <w:p w14:paraId="2D861BF3" w14:textId="77777777" w:rsidR="008C734C" w:rsidRDefault="008C734C" w:rsidP="0095178E">
      <w:pPr>
        <w:pStyle w:val="Heading2"/>
      </w:pPr>
      <w:bookmarkStart w:id="3" w:name="_Toc520713819"/>
      <w:r>
        <w:t>A.1. Legal Justification</w:t>
      </w:r>
      <w:bookmarkEnd w:id="3"/>
    </w:p>
    <w:p w14:paraId="650698FC" w14:textId="77777777" w:rsidR="00AF4D1C" w:rsidRPr="00BA6C32" w:rsidRDefault="00AF4D1C" w:rsidP="00AF4D1C">
      <w:r w:rsidRPr="00C55074">
        <w:t>The authority for this mandatory data collection is provided by the following provisions:</w:t>
      </w:r>
      <w:r w:rsidRPr="00BA6C32">
        <w:rPr>
          <w:b/>
          <w:bCs/>
        </w:rPr>
        <w:t xml:space="preserve"> </w:t>
      </w:r>
    </w:p>
    <w:p w14:paraId="4927DD1B" w14:textId="77777777" w:rsidR="00AF4D1C" w:rsidRPr="00416BE3" w:rsidRDefault="00AF4D1C" w:rsidP="00AF4D1C">
      <w:pPr>
        <w:pStyle w:val="ListParagraph"/>
        <w:numPr>
          <w:ilvl w:val="0"/>
          <w:numId w:val="49"/>
        </w:numPr>
        <w:spacing w:before="120" w:after="120" w:line="240" w:lineRule="auto"/>
        <w:contextualSpacing w:val="0"/>
      </w:pPr>
      <w:r w:rsidRPr="00DD4CED">
        <w:t>15 U.S.C. §772(b)</w:t>
      </w:r>
      <w:r w:rsidRPr="001E4762">
        <w:t xml:space="preserve"> </w:t>
      </w:r>
      <w:r w:rsidRPr="00416BE3">
        <w:t>states:</w:t>
      </w:r>
    </w:p>
    <w:p w14:paraId="195A3252" w14:textId="77777777" w:rsidR="00AF4D1C" w:rsidRPr="004D4B61" w:rsidRDefault="00AF4D1C" w:rsidP="00AF4D1C">
      <w:pPr>
        <w:ind w:left="1080"/>
      </w:pPr>
      <w:r w:rsidRPr="004D4B61">
        <w:t xml:space="preserve">"All persons owning or operating facilities or business premises who are engaged in any phase of energy supply or major energy consumption shall make available to the </w:t>
      </w:r>
      <w:r>
        <w:t>Administrator</w:t>
      </w:r>
      <w:r w:rsidRPr="004D4B61">
        <w:t xml:space="preserve"> such information and periodic reports, records, documents, and other data, relating to the purposes of this Act, including full identification of all data and projections as to source, time and methodology of development; as the </w:t>
      </w:r>
      <w:r>
        <w:t>Administrator</w:t>
      </w:r>
      <w:r w:rsidRPr="004D4B61">
        <w:t xml:space="preserve"> may prescribe by regulation or order as necessary or appropriate for the proper exercise of functions under this </w:t>
      </w:r>
      <w:r>
        <w:t>chapter</w:t>
      </w:r>
      <w:r w:rsidRPr="004D4B61">
        <w:t>."</w:t>
      </w:r>
    </w:p>
    <w:p w14:paraId="344941A4" w14:textId="77777777" w:rsidR="00AF4D1C" w:rsidRDefault="00AF4D1C" w:rsidP="00AF4D1C">
      <w:pPr>
        <w:pStyle w:val="ListParagraph"/>
        <w:numPr>
          <w:ilvl w:val="0"/>
          <w:numId w:val="49"/>
        </w:numPr>
        <w:spacing w:before="120" w:after="120" w:line="240" w:lineRule="auto"/>
        <w:contextualSpacing w:val="0"/>
      </w:pPr>
      <w:r w:rsidRPr="00DD4CED">
        <w:t>15 U.S.C. §764(b)</w:t>
      </w:r>
      <w:r w:rsidRPr="004D4B61">
        <w:t xml:space="preserve"> states that to the extent authorized by </w:t>
      </w:r>
      <w:r>
        <w:t>subs</w:t>
      </w:r>
      <w:r w:rsidRPr="004D4B61">
        <w:t>ection</w:t>
      </w:r>
      <w:r>
        <w:t xml:space="preserve"> </w:t>
      </w:r>
      <w:r w:rsidRPr="004D4B61">
        <w:t xml:space="preserve">(a), the </w:t>
      </w:r>
      <w:r>
        <w:t>Administrator</w:t>
      </w:r>
      <w:r w:rsidRPr="004D4B61">
        <w:t xml:space="preserve"> shall:</w:t>
      </w:r>
    </w:p>
    <w:p w14:paraId="7967FFD9" w14:textId="77777777" w:rsidR="00AF4D1C" w:rsidRDefault="00AF4D1C" w:rsidP="00AF4D1C">
      <w:pPr>
        <w:ind w:left="1080"/>
      </w:pPr>
      <w:r>
        <w:t xml:space="preserve">(1) </w:t>
      </w:r>
      <w:r w:rsidRPr="004207A5">
        <w:t>advise the President and the Congress with respect to the establishment of a comprehensive national energy policy in relation to the energy matters for which the Administration has responsibility, and, in coordination with the Secretary of State, the integration of domestic and foreign policies relatin</w:t>
      </w:r>
      <w:r>
        <w:t>g to energy resource management;</w:t>
      </w:r>
    </w:p>
    <w:p w14:paraId="25CF2EC8" w14:textId="77777777" w:rsidR="00AF4D1C" w:rsidRDefault="00AF4D1C" w:rsidP="00AF4D1C">
      <w:pPr>
        <w:ind w:left="1080"/>
      </w:pPr>
      <w:r w:rsidRPr="004D4B61">
        <w:t xml:space="preserve">(2) </w:t>
      </w:r>
      <w:r>
        <w:t>a</w:t>
      </w:r>
      <w:r w:rsidRPr="004D4B61">
        <w:t>ssess the adequacy of energy resources to meet demands in the immediate and longer range future for all sectors of the economy</w:t>
      </w:r>
      <w:r>
        <w:t xml:space="preserve"> and for the general public;</w:t>
      </w:r>
    </w:p>
    <w:p w14:paraId="18426761" w14:textId="77777777" w:rsidR="00AF4D1C" w:rsidRPr="004D4B61" w:rsidRDefault="00AF4D1C" w:rsidP="00AF4D1C">
      <w:pPr>
        <w:ind w:left="1080"/>
      </w:pPr>
      <w:r>
        <w:t xml:space="preserve">(3) </w:t>
      </w:r>
      <w:r w:rsidRPr="004207A5">
        <w:t>develop effective arrangements for the participation of State and local governments in the resolution of energy problems;</w:t>
      </w:r>
    </w:p>
    <w:p w14:paraId="4684BAF8" w14:textId="77777777" w:rsidR="00AF4D1C" w:rsidRPr="004D4B61" w:rsidRDefault="00AF4D1C" w:rsidP="00AF4D1C">
      <w:pPr>
        <w:ind w:left="1080"/>
      </w:pPr>
      <w:r w:rsidRPr="004D4B61">
        <w:t>(4) develop plans and programs for dealing with energy production shortages; …</w:t>
      </w:r>
    </w:p>
    <w:p w14:paraId="6D05A7EA" w14:textId="77777777" w:rsidR="00AF4D1C" w:rsidRPr="004D4B61" w:rsidRDefault="00AF4D1C" w:rsidP="00AF4D1C">
      <w:pPr>
        <w:ind w:left="1080"/>
      </w:pPr>
      <w:r w:rsidRPr="004D4B61">
        <w:t>(5) promote stability in energy prices to the consumer, promote free and open competition in all aspects of the energy field, prevent unreasonable profits within the various segments of the energy industry, and promote free enterprise;</w:t>
      </w:r>
    </w:p>
    <w:p w14:paraId="0D07A476" w14:textId="77777777" w:rsidR="00AF4D1C" w:rsidRPr="004D4B61" w:rsidRDefault="00AF4D1C" w:rsidP="00AF4D1C">
      <w:pPr>
        <w:ind w:left="1080"/>
      </w:pPr>
      <w:r w:rsidRPr="004D4B61">
        <w:t>(6) assure that energy programs are designed and implemented in a fair and efficient manner so as to minimize hardship and inequity while assuring that the priority needs of the Nation are met;</w:t>
      </w:r>
    </w:p>
    <w:p w14:paraId="793CFE6F" w14:textId="77777777" w:rsidR="00AF4D1C" w:rsidRPr="004D4B61" w:rsidRDefault="00AF4D1C" w:rsidP="00AF4D1C">
      <w:pPr>
        <w:ind w:left="1080"/>
      </w:pPr>
      <w:r w:rsidRPr="004D4B61">
        <w:t>(9) collect, evaluate, assemble, and analyze energy information on reserves, production, demand, and related economic data;</w:t>
      </w:r>
      <w:r>
        <w:t xml:space="preserve"> </w:t>
      </w:r>
    </w:p>
    <w:p w14:paraId="33F9D1AD" w14:textId="77777777" w:rsidR="00AF4D1C" w:rsidRDefault="00AF4D1C" w:rsidP="00AF4D1C">
      <w:pPr>
        <w:ind w:left="1080"/>
      </w:pPr>
      <w:r w:rsidRPr="004D4B61">
        <w:t>(12) perform such other functions as may be prescribed by law."</w:t>
      </w:r>
    </w:p>
    <w:p w14:paraId="11ED9C50" w14:textId="77777777" w:rsidR="00AF4D1C" w:rsidRPr="004D4B61" w:rsidRDefault="00AF4D1C" w:rsidP="00AF4D1C">
      <w:pPr>
        <w:pStyle w:val="ListParagraph"/>
        <w:numPr>
          <w:ilvl w:val="0"/>
          <w:numId w:val="49"/>
        </w:numPr>
        <w:spacing w:before="120" w:after="120" w:line="240" w:lineRule="auto"/>
        <w:contextualSpacing w:val="0"/>
      </w:pPr>
      <w:r w:rsidRPr="004D4B61">
        <w:t xml:space="preserve">As the authority for invoking </w:t>
      </w:r>
      <w:r>
        <w:t xml:space="preserve">subsection </w:t>
      </w:r>
      <w:r w:rsidRPr="004D4B61">
        <w:t xml:space="preserve">(b), above, </w:t>
      </w:r>
      <w:r w:rsidRPr="00DD4CED">
        <w:t>15 U.S.C. §764(a)</w:t>
      </w:r>
      <w:r w:rsidRPr="00697882">
        <w:t xml:space="preserve"> </w:t>
      </w:r>
      <w:r w:rsidRPr="004D4B61">
        <w:t>states:</w:t>
      </w:r>
    </w:p>
    <w:p w14:paraId="639260F5" w14:textId="77777777" w:rsidR="00AF4D1C" w:rsidRPr="004D4B61" w:rsidRDefault="00AF4D1C" w:rsidP="00AF4D1C">
      <w:pPr>
        <w:pStyle w:val="ListParagraph"/>
        <w:numPr>
          <w:ilvl w:val="1"/>
          <w:numId w:val="49"/>
        </w:numPr>
        <w:spacing w:before="120" w:after="120" w:line="240" w:lineRule="auto"/>
        <w:contextualSpacing w:val="0"/>
      </w:pPr>
      <w:r w:rsidRPr="004D4B61">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r>
        <w:t>-</w:t>
      </w:r>
    </w:p>
    <w:p w14:paraId="019E842E" w14:textId="77777777" w:rsidR="00AF4D1C" w:rsidRPr="004D4B61" w:rsidRDefault="00AF4D1C" w:rsidP="00AF4D1C">
      <w:pPr>
        <w:ind w:left="1980"/>
      </w:pPr>
      <w:r>
        <w:t xml:space="preserve">(1) </w:t>
      </w:r>
      <w:r w:rsidRPr="004D4B61">
        <w:t xml:space="preserve">specifically transferred to or vested in him by or pursuant to this </w:t>
      </w:r>
      <w:r>
        <w:t>chapter;</w:t>
      </w:r>
    </w:p>
    <w:p w14:paraId="39417EC6" w14:textId="77777777" w:rsidR="00AF4D1C" w:rsidRPr="004D4B61" w:rsidRDefault="00AF4D1C" w:rsidP="00AF4D1C">
      <w:pPr>
        <w:ind w:left="1980"/>
      </w:pPr>
      <w:r>
        <w:t xml:space="preserve">(3) </w:t>
      </w:r>
      <w:r w:rsidRPr="004D4B61">
        <w:t xml:space="preserve">otherwise specifically vested in the </w:t>
      </w:r>
      <w:r>
        <w:t>Administrator</w:t>
      </w:r>
      <w:r w:rsidRPr="004D4B61">
        <w:t xml:space="preserve"> by the Congress."</w:t>
      </w:r>
    </w:p>
    <w:p w14:paraId="20A95643" w14:textId="77777777" w:rsidR="00AF4D1C" w:rsidRPr="004D4B61" w:rsidRDefault="00AF4D1C" w:rsidP="00AF4D1C">
      <w:pPr>
        <w:pStyle w:val="ListParagraph"/>
        <w:numPr>
          <w:ilvl w:val="0"/>
          <w:numId w:val="49"/>
        </w:numPr>
        <w:spacing w:before="120" w:after="120" w:line="240" w:lineRule="auto"/>
        <w:contextualSpacing w:val="0"/>
      </w:pPr>
      <w:r w:rsidRPr="00003535">
        <w:t xml:space="preserve">Additional authority for this information collection is provided </w:t>
      </w:r>
      <w:r w:rsidRPr="00697882">
        <w:t xml:space="preserve">by </w:t>
      </w:r>
      <w:r w:rsidRPr="00DD4CED">
        <w:t>15 U.S.C. §790(a)</w:t>
      </w:r>
      <w:r w:rsidRPr="00003535">
        <w:t xml:space="preserve"> which states</w:t>
      </w:r>
      <w:r>
        <w:t>;</w:t>
      </w:r>
    </w:p>
    <w:p w14:paraId="1B5F0F99" w14:textId="77777777" w:rsidR="00AF4D1C" w:rsidRDefault="00AF4D1C" w:rsidP="00AF4D1C">
      <w:pPr>
        <w:pStyle w:val="ListParagraph"/>
        <w:numPr>
          <w:ilvl w:val="1"/>
          <w:numId w:val="49"/>
        </w:numPr>
        <w:spacing w:before="120" w:after="120" w:line="240" w:lineRule="auto"/>
        <w:contextualSpacing w:val="0"/>
      </w:pPr>
      <w:r w:rsidRPr="004D4B61">
        <w:t>“</w:t>
      </w:r>
      <w:r>
        <w:t xml:space="preserve">It shall be the duty of the Director to </w:t>
      </w:r>
      <w:r w:rsidRPr="004D4B61">
        <w:t>establish a National Energy Inf</w:t>
      </w:r>
      <w:r>
        <w:t xml:space="preserve">ormation System… [which] shall </w:t>
      </w:r>
      <w:r w:rsidRPr="004D4B61">
        <w:t>contain such information as is required to provide a description of and facilitate analysis of energy supply and consumption</w:t>
      </w:r>
      <w:r>
        <w:t xml:space="preserve"> within and affecting the United States on the basis of such geographic areas and economic sectors as may be appropriate… to meet adequately the needs of…”</w:t>
      </w:r>
    </w:p>
    <w:p w14:paraId="28E63075" w14:textId="77777777" w:rsidR="00AF4D1C" w:rsidRDefault="00AF4D1C" w:rsidP="00AF4D1C">
      <w:pPr>
        <w:ind w:left="1980"/>
      </w:pPr>
      <w:r>
        <w:t>(1) the Department of Energy in carrying out its lawful functions;</w:t>
      </w:r>
    </w:p>
    <w:p w14:paraId="21DDC41C" w14:textId="77777777" w:rsidR="00AF4D1C" w:rsidRDefault="00AF4D1C" w:rsidP="00AF4D1C">
      <w:pPr>
        <w:ind w:left="1980"/>
      </w:pPr>
      <w:r>
        <w:t>(2) the Congress;</w:t>
      </w:r>
    </w:p>
    <w:p w14:paraId="53B92436" w14:textId="77777777" w:rsidR="00AF4D1C" w:rsidRDefault="00AF4D1C" w:rsidP="00AF4D1C">
      <w:pPr>
        <w:ind w:left="1980"/>
      </w:pPr>
      <w:r>
        <w:t>(3) other officers and employees of the United States in whom have been vested, or to whom have been delegated energy-related policy decision-making responsibilities;</w:t>
      </w:r>
    </w:p>
    <w:p w14:paraId="00AF14BF" w14:textId="77777777" w:rsidR="00AF4D1C" w:rsidRPr="004D4B61" w:rsidRDefault="00AF4D1C" w:rsidP="00AF4D1C">
      <w:pPr>
        <w:ind w:left="1980"/>
      </w:pPr>
      <w:r>
        <w:t>(4) the States to the extent required by the Natural Gas Act [15 U.S.C. §717 et seq.] and the Federal Power Act [16 U.S.C. §791a et seq.].</w:t>
      </w:r>
    </w:p>
    <w:p w14:paraId="57BB90CB" w14:textId="77777777" w:rsidR="00AF4D1C" w:rsidRPr="004D4B61" w:rsidRDefault="00AF4D1C" w:rsidP="00AF4D1C">
      <w:pPr>
        <w:pStyle w:val="ListParagraph"/>
        <w:numPr>
          <w:ilvl w:val="1"/>
          <w:numId w:val="49"/>
        </w:numPr>
        <w:spacing w:before="120" w:after="120" w:line="240" w:lineRule="auto"/>
        <w:contextualSpacing w:val="0"/>
      </w:pPr>
      <w:r w:rsidRPr="004D4B61">
        <w:t>"</w:t>
      </w:r>
      <w:r>
        <w:t xml:space="preserve">At a minimum, </w:t>
      </w:r>
      <w:r w:rsidRPr="004D4B61">
        <w:t>the System shall contain such energy information as is necessary to carry out the Administration's statistical a</w:t>
      </w:r>
      <w:r>
        <w:t xml:space="preserve">nd forecasting activities, and shall include… </w:t>
      </w:r>
      <w:r w:rsidRPr="004D4B61">
        <w:t>such energy information as is required to</w:t>
      </w:r>
      <w:r>
        <w:t xml:space="preserve"> define and permit analysis of;</w:t>
      </w:r>
    </w:p>
    <w:p w14:paraId="51AE986F" w14:textId="77777777" w:rsidR="00AF4D1C" w:rsidRPr="004D4B61" w:rsidRDefault="00AF4D1C" w:rsidP="00AF4D1C">
      <w:pPr>
        <w:ind w:left="1980"/>
      </w:pPr>
      <w:r>
        <w:t xml:space="preserve">(1) </w:t>
      </w:r>
      <w:r w:rsidRPr="004D4B61">
        <w:t>the institutional structure of the energy supply system including patterns of ownership and control of mineral fuel and non-mineral energy resources and the production, distribution, and marketing of mineral fuels and electricity;</w:t>
      </w:r>
    </w:p>
    <w:p w14:paraId="321AB3B7" w14:textId="77777777" w:rsidR="00AF4D1C" w:rsidRPr="004D4B61" w:rsidRDefault="00AF4D1C" w:rsidP="00AF4D1C">
      <w:pPr>
        <w:ind w:left="1980"/>
      </w:pPr>
      <w:r>
        <w:t xml:space="preserve">(2) the </w:t>
      </w:r>
      <w:r w:rsidRPr="004D4B61">
        <w:t xml:space="preserve">consumption of mineral fuels, non-mineral energy resources, and electricity by such classes, sectors, and regions as may be appropriate for the purposes of this </w:t>
      </w:r>
      <w:r>
        <w:t>chapter</w:t>
      </w:r>
      <w:r w:rsidRPr="004D4B61">
        <w:t>;</w:t>
      </w:r>
    </w:p>
    <w:p w14:paraId="456D41B5" w14:textId="77777777" w:rsidR="00AF4D1C" w:rsidRDefault="00AF4D1C" w:rsidP="00AF4D1C">
      <w:pPr>
        <w:ind w:left="1980"/>
      </w:pPr>
      <w:r>
        <w:t>(5) i</w:t>
      </w:r>
      <w:r w:rsidRPr="004D4B61">
        <w:t>ndustrial, labor, and regional impacts of changes in patterns of</w:t>
      </w:r>
      <w:r>
        <w:t xml:space="preserve"> energy supply and consumption;</w:t>
      </w:r>
    </w:p>
    <w:p w14:paraId="0B7E8883" w14:textId="77777777" w:rsidR="00AF4D1C" w:rsidRDefault="00AF4D1C" w:rsidP="00AF4D1C">
      <w:pPr>
        <w:ind w:left="1980"/>
      </w:pPr>
      <w:r>
        <w:t>(6) international aspects, economic and otherwise, of the evolving energy situation; and</w:t>
      </w:r>
    </w:p>
    <w:p w14:paraId="3A81AB1D" w14:textId="1B8E3DF8" w:rsidR="00AF4D1C" w:rsidRDefault="00AF4D1C" w:rsidP="00AF4D1C">
      <w:pPr>
        <w:ind w:left="1980"/>
      </w:pPr>
      <w:r>
        <w:t>(7) long-term relationships between energy supply and consumption in the United States and world communities.”</w:t>
      </w:r>
    </w:p>
    <w:p w14:paraId="2DFC1D98" w14:textId="79478335" w:rsidR="00E52FE1" w:rsidRPr="00AF4D1C" w:rsidRDefault="00C031B2" w:rsidP="0082602A">
      <w:pPr>
        <w:pStyle w:val="ListParagraph"/>
        <w:numPr>
          <w:ilvl w:val="0"/>
          <w:numId w:val="49"/>
        </w:numPr>
      </w:pPr>
      <w:r>
        <w:t>A</w:t>
      </w:r>
      <w:r w:rsidRPr="00C55074">
        <w:t>uthority for the specific collection of nuclear fuel data comes from the Nuclear Waste Policy Act (NWPA) of 1982</w:t>
      </w:r>
      <w:r>
        <w:t xml:space="preserve">, </w:t>
      </w:r>
      <w:r w:rsidRPr="00C55074">
        <w:t>Public Law 97-425</w:t>
      </w:r>
      <w:r>
        <w:t xml:space="preserve">, as codified in </w:t>
      </w:r>
      <w:r w:rsidRPr="00DD4CED">
        <w:t>42 U.S.C. §10222 (a)(1)</w:t>
      </w:r>
      <w:r w:rsidRPr="00C55074">
        <w:t xml:space="preserve"> states:</w:t>
      </w:r>
      <w:r w:rsidR="005F7869">
        <w:t xml:space="preserve"> </w:t>
      </w:r>
    </w:p>
    <w:p w14:paraId="3C081993" w14:textId="77777777" w:rsidR="00E52FE1" w:rsidRPr="0082602A" w:rsidRDefault="00E52FE1" w:rsidP="00DD4CED">
      <w:pPr>
        <w:ind w:left="720"/>
      </w:pPr>
      <w:r w:rsidRPr="0082602A">
        <w:t>(</w:t>
      </w:r>
      <w:r w:rsidR="00705C9B">
        <w:t xml:space="preserve">a) </w:t>
      </w:r>
      <w:r w:rsidRPr="0082602A">
        <w:t>CONTRACTS (1)...The Secretary is authorized to enter into contracts with any person who generates or holds title to high-level radioactive waste, or spent nuclear fuel, of domestic origin for the acceptance of title, subsequent transportation, and disposal of such waste or spent fuel. Such contracts shall provide for payment to the Secretary of fees...; (2) For electricity generated by a civilian nuclear power reactor and sold on or after the date 90 days after the date of enactment of this Act, the fee under paragraph (1) shall be equal to 1.0 mil per kilowatt-hour; (4)…The Secretary shall establish procedures for the collection and payment of the fees established by paragraph (2) … The Secretary shall annually review the amount of the fees established by paragraph (2) ….</w:t>
      </w:r>
    </w:p>
    <w:p w14:paraId="66F8A5B4" w14:textId="18C3E4BE" w:rsidR="00E52FE1" w:rsidRPr="00697882" w:rsidRDefault="00E52FE1" w:rsidP="00DD4CED">
      <w:pPr>
        <w:ind w:left="720"/>
      </w:pPr>
      <w:r w:rsidRPr="0082602A">
        <w:rPr>
          <w:bCs/>
        </w:rPr>
        <w:t xml:space="preserve">(c) </w:t>
      </w:r>
      <w:r w:rsidRPr="00697882">
        <w:t>ESTABLISHMENT OF NUCLEAR WASTE FUND - There hereby is established in the Treasury of the United States a separate fund, to be known as the Nuclear Waste Fund.</w:t>
      </w:r>
      <w:r w:rsidR="007144E2" w:rsidRPr="00697882">
        <w:t xml:space="preserve"> </w:t>
      </w:r>
      <w:r w:rsidRPr="00697882">
        <w:t>The Waste Fund shall consist of--</w:t>
      </w:r>
    </w:p>
    <w:p w14:paraId="6BF9D948" w14:textId="42B9406E" w:rsidR="00E52FE1" w:rsidRPr="00697882" w:rsidRDefault="00E52FE1" w:rsidP="00DD4CED">
      <w:pPr>
        <w:ind w:left="1440"/>
      </w:pPr>
      <w:r w:rsidRPr="00697882">
        <w:t>(1)</w:t>
      </w:r>
      <w:r w:rsidR="007144E2" w:rsidRPr="00697882">
        <w:t xml:space="preserve"> </w:t>
      </w:r>
      <w:r w:rsidRPr="00697882">
        <w:t>all receipts, proceeds, and recoveries realized by the Secretary under subsections (a), (b), (e), which shall be disposed in the Waste Fund immediately upon their realization…</w:t>
      </w:r>
    </w:p>
    <w:p w14:paraId="778C1AAC" w14:textId="77777777" w:rsidR="00697882" w:rsidRDefault="00697882" w:rsidP="00DD4CED"/>
    <w:p w14:paraId="1D1E698D" w14:textId="6E3D3914" w:rsidR="00E52FE1" w:rsidRPr="0082602A" w:rsidRDefault="00E52FE1" w:rsidP="00DD4CED">
      <w:r w:rsidRPr="0082602A">
        <w:t xml:space="preserve">The Standard Contract for Disposal of Spent Nuclear Fuel and/or High-level Radioactive Waste can be viewed </w:t>
      </w:r>
      <w:r w:rsidR="00257A73">
        <w:t>at</w:t>
      </w:r>
      <w:r w:rsidRPr="0082602A">
        <w:t>:</w:t>
      </w:r>
    </w:p>
    <w:p w14:paraId="5C6FCE28" w14:textId="77777777" w:rsidR="00AC272F" w:rsidRDefault="00F75103">
      <w:pPr>
        <w:ind w:left="1008"/>
        <w:rPr>
          <w:bCs/>
        </w:rPr>
      </w:pPr>
      <w:hyperlink r:id="rId16" w:history="1">
        <w:r w:rsidR="00E52FE1" w:rsidRPr="0082602A">
          <w:rPr>
            <w:rStyle w:val="Hyperlink"/>
          </w:rPr>
          <w:t>http://energy.gov/sites/prod/files/gcprod/documents/New_Standard_Contract.pdf</w:t>
        </w:r>
      </w:hyperlink>
    </w:p>
    <w:p w14:paraId="410234FB" w14:textId="77777777" w:rsidR="008C734C" w:rsidRPr="00A41763" w:rsidRDefault="008C734C" w:rsidP="00AC272F"/>
    <w:p w14:paraId="72A735C7" w14:textId="77777777" w:rsidR="008C734C" w:rsidRDefault="008C734C" w:rsidP="0095178E">
      <w:pPr>
        <w:pStyle w:val="Heading2"/>
      </w:pPr>
      <w:bookmarkStart w:id="4" w:name="_Toc520713820"/>
      <w:r>
        <w:t>A.2. Needs and Uses of Data</w:t>
      </w:r>
      <w:bookmarkEnd w:id="4"/>
    </w:p>
    <w:p w14:paraId="13C70C28" w14:textId="3DC3AF00" w:rsidR="005A6B03" w:rsidRDefault="005A6B03" w:rsidP="005A6B03">
      <w:r>
        <w:t>Form NWPA-830G</w:t>
      </w:r>
      <w:r w:rsidR="000213C8">
        <w:t>,</w:t>
      </w:r>
      <w:r>
        <w:t xml:space="preserve"> including Annex A to Appendix G, is a quarterly form submitted by all generators or owners of spent nuclear fuel and high-level radioactive waste of domestic origin (purchasers).</w:t>
      </w:r>
      <w:r w:rsidR="007144E2">
        <w:t xml:space="preserve"> </w:t>
      </w:r>
      <w:r>
        <w:t xml:space="preserve">These purchasers signed </w:t>
      </w:r>
      <w:r w:rsidR="004D51A0">
        <w:t>the</w:t>
      </w:r>
      <w:r>
        <w:t xml:space="preserve"> Standard Contract with the DOE requiring them to pay fees into the Nuclear Waste Fund.</w:t>
      </w:r>
      <w:r w:rsidR="007144E2">
        <w:t xml:space="preserve"> </w:t>
      </w:r>
      <w:r>
        <w:t>Form NWPA-830G is Appendix G to the Standard Contract.</w:t>
      </w:r>
    </w:p>
    <w:p w14:paraId="562A0D8E" w14:textId="4DBAC2AA" w:rsidR="005A6B03" w:rsidRDefault="005A6B03" w:rsidP="005A6B03">
      <w:r>
        <w:t xml:space="preserve">Appendix G collects information on net electric power generation and serves as the basis for DOE to </w:t>
      </w:r>
      <w:r w:rsidR="004D51A0">
        <w:t xml:space="preserve">determine </w:t>
      </w:r>
      <w:r>
        <w:t>the payment of fees into the Nuclear Waste Fund.</w:t>
      </w:r>
      <w:r w:rsidR="007144E2">
        <w:t xml:space="preserve"> </w:t>
      </w:r>
      <w:r>
        <w:t>The data are used by DOE’s Office of the Chief Financial Officer, Energy Finance and Accounting Service Center to verify the amounts of these payments.</w:t>
      </w:r>
      <w:r w:rsidR="007144E2">
        <w:t xml:space="preserve"> </w:t>
      </w:r>
      <w:r>
        <w:t>Appendix G data provide</w:t>
      </w:r>
      <w:r w:rsidR="004D51A0">
        <w:t>s</w:t>
      </w:r>
      <w:r>
        <w:t xml:space="preserve"> a</w:t>
      </w:r>
      <w:r w:rsidR="004D51A0">
        <w:t xml:space="preserve">n </w:t>
      </w:r>
      <w:r>
        <w:t xml:space="preserve">audit trail of all payments made </w:t>
      </w:r>
      <w:r w:rsidR="004D51A0">
        <w:t>by purchase</w:t>
      </w:r>
      <w:r w:rsidR="007C1DC4">
        <w:t>rs</w:t>
      </w:r>
      <w:r w:rsidR="004D51A0">
        <w:t xml:space="preserve"> </w:t>
      </w:r>
      <w:r>
        <w:t>into the Nuclear Waste Fund.</w:t>
      </w:r>
    </w:p>
    <w:p w14:paraId="71088B19" w14:textId="318C6A69" w:rsidR="00C7322D" w:rsidRPr="0095178E" w:rsidRDefault="005A6B03" w:rsidP="00390CB6">
      <w:pPr>
        <w:pStyle w:val="CommentText"/>
      </w:pPr>
      <w:r w:rsidRPr="00390CB6">
        <w:rPr>
          <w:rFonts w:asciiTheme="minorHAnsi" w:eastAsiaTheme="minorHAnsi" w:hAnsiTheme="minorHAnsi" w:cstheme="minorBidi"/>
          <w:snapToGrid/>
          <w:sz w:val="22"/>
          <w:szCs w:val="22"/>
        </w:rPr>
        <w:t xml:space="preserve">Annex A to Appendix G </w:t>
      </w:r>
      <w:r w:rsidR="004D51A0" w:rsidRPr="00390CB6">
        <w:rPr>
          <w:rFonts w:asciiTheme="minorHAnsi" w:eastAsiaTheme="minorHAnsi" w:hAnsiTheme="minorHAnsi" w:cstheme="minorBidi"/>
          <w:snapToGrid/>
          <w:sz w:val="22"/>
          <w:szCs w:val="22"/>
        </w:rPr>
        <w:t>collects</w:t>
      </w:r>
      <w:r w:rsidR="00FA50DE" w:rsidRPr="00390CB6">
        <w:rPr>
          <w:rFonts w:asciiTheme="minorHAnsi" w:eastAsiaTheme="minorHAnsi" w:hAnsiTheme="minorHAnsi" w:cstheme="minorBidi"/>
          <w:snapToGrid/>
          <w:sz w:val="22"/>
          <w:szCs w:val="22"/>
        </w:rPr>
        <w:t xml:space="preserve"> </w:t>
      </w:r>
      <w:r w:rsidRPr="00390CB6">
        <w:rPr>
          <w:rFonts w:asciiTheme="minorHAnsi" w:eastAsiaTheme="minorHAnsi" w:hAnsiTheme="minorHAnsi" w:cstheme="minorBidi"/>
          <w:snapToGrid/>
          <w:sz w:val="22"/>
          <w:szCs w:val="22"/>
        </w:rPr>
        <w:t>data on the amount of net electricity generated and sold</w:t>
      </w:r>
      <w:r w:rsidR="00474E03">
        <w:rPr>
          <w:rFonts w:asciiTheme="minorHAnsi" w:eastAsiaTheme="minorHAnsi" w:hAnsiTheme="minorHAnsi" w:cstheme="minorBidi"/>
          <w:snapToGrid/>
          <w:sz w:val="22"/>
          <w:szCs w:val="22"/>
        </w:rPr>
        <w:t xml:space="preserve"> upon</w:t>
      </w:r>
      <w:r w:rsidRPr="00390CB6">
        <w:rPr>
          <w:rFonts w:asciiTheme="minorHAnsi" w:eastAsiaTheme="minorHAnsi" w:hAnsiTheme="minorHAnsi" w:cstheme="minorBidi"/>
          <w:snapToGrid/>
          <w:sz w:val="22"/>
          <w:szCs w:val="22"/>
        </w:rPr>
        <w:t xml:space="preserve"> which the fees are based.</w:t>
      </w:r>
      <w:r w:rsidR="007144E2" w:rsidRPr="00390CB6">
        <w:rPr>
          <w:rFonts w:asciiTheme="minorHAnsi" w:eastAsiaTheme="minorHAnsi" w:hAnsiTheme="minorHAnsi" w:cstheme="minorBidi"/>
          <w:snapToGrid/>
          <w:sz w:val="22"/>
          <w:szCs w:val="22"/>
        </w:rPr>
        <w:t xml:space="preserve"> </w:t>
      </w:r>
      <w:r w:rsidR="00697882" w:rsidRPr="00390CB6">
        <w:rPr>
          <w:rFonts w:asciiTheme="minorHAnsi" w:eastAsiaTheme="minorHAnsi" w:hAnsiTheme="minorHAnsi" w:cstheme="minorBidi"/>
          <w:snapToGrid/>
          <w:sz w:val="22"/>
          <w:szCs w:val="22"/>
        </w:rPr>
        <w:t>The Office of Standard Contract Management, EIA, and the Office of Nuclear Energy use data from the Annex A to Appendix G form</w:t>
      </w:r>
      <w:r w:rsidRPr="00390CB6">
        <w:rPr>
          <w:rFonts w:asciiTheme="minorHAnsi" w:eastAsiaTheme="minorHAnsi" w:hAnsiTheme="minorHAnsi" w:cstheme="minorBidi"/>
          <w:snapToGrid/>
          <w:sz w:val="22"/>
          <w:szCs w:val="22"/>
        </w:rPr>
        <w:t>.</w:t>
      </w:r>
      <w:r w:rsidR="007144E2" w:rsidRPr="00390CB6">
        <w:rPr>
          <w:rFonts w:asciiTheme="minorHAnsi" w:eastAsiaTheme="minorHAnsi" w:hAnsiTheme="minorHAnsi" w:cstheme="minorBidi"/>
          <w:snapToGrid/>
          <w:sz w:val="22"/>
          <w:szCs w:val="22"/>
        </w:rPr>
        <w:t xml:space="preserve"> </w:t>
      </w:r>
      <w:r w:rsidR="00697882" w:rsidRPr="00390CB6">
        <w:rPr>
          <w:rFonts w:asciiTheme="minorHAnsi" w:eastAsiaTheme="minorHAnsi" w:hAnsiTheme="minorHAnsi" w:cstheme="minorBidi"/>
          <w:snapToGrid/>
          <w:sz w:val="22"/>
          <w:szCs w:val="22"/>
        </w:rPr>
        <w:t>The Office of Standard Contract Management use fee payment data in a number of internal reports, including Fee Adequacy reports and Total System Life Cycle Cost reports</w:t>
      </w:r>
      <w:r w:rsidRPr="00390CB6">
        <w:rPr>
          <w:rFonts w:asciiTheme="minorHAnsi" w:eastAsiaTheme="minorHAnsi" w:hAnsiTheme="minorHAnsi" w:cstheme="minorBidi"/>
          <w:snapToGrid/>
          <w:sz w:val="22"/>
          <w:szCs w:val="22"/>
        </w:rPr>
        <w:t>.</w:t>
      </w:r>
      <w:r w:rsidR="007144E2" w:rsidRPr="00390CB6">
        <w:rPr>
          <w:rFonts w:asciiTheme="minorHAnsi" w:eastAsiaTheme="minorHAnsi" w:hAnsiTheme="minorHAnsi" w:cstheme="minorBidi"/>
          <w:snapToGrid/>
          <w:sz w:val="22"/>
          <w:szCs w:val="22"/>
        </w:rPr>
        <w:t xml:space="preserve"> </w:t>
      </w:r>
      <w:r w:rsidR="00950091">
        <w:rPr>
          <w:rFonts w:asciiTheme="minorHAnsi" w:eastAsiaTheme="minorHAnsi" w:hAnsiTheme="minorHAnsi" w:cstheme="minorBidi"/>
          <w:snapToGrid/>
          <w:sz w:val="22"/>
          <w:szCs w:val="22"/>
        </w:rPr>
        <w:t>EIA uses the n</w:t>
      </w:r>
      <w:r w:rsidRPr="00390CB6">
        <w:rPr>
          <w:rFonts w:asciiTheme="minorHAnsi" w:eastAsiaTheme="minorHAnsi" w:hAnsiTheme="minorHAnsi" w:cstheme="minorBidi"/>
          <w:snapToGrid/>
          <w:sz w:val="22"/>
          <w:szCs w:val="22"/>
        </w:rPr>
        <w:t xml:space="preserve">et electricity </w:t>
      </w:r>
      <w:r w:rsidR="00FA50DE" w:rsidRPr="00390CB6">
        <w:rPr>
          <w:rFonts w:asciiTheme="minorHAnsi" w:eastAsiaTheme="minorHAnsi" w:hAnsiTheme="minorHAnsi" w:cstheme="minorBidi"/>
          <w:snapToGrid/>
          <w:sz w:val="22"/>
          <w:szCs w:val="22"/>
        </w:rPr>
        <w:t xml:space="preserve">generation </w:t>
      </w:r>
      <w:r w:rsidRPr="00390CB6">
        <w:rPr>
          <w:rFonts w:asciiTheme="minorHAnsi" w:eastAsiaTheme="minorHAnsi" w:hAnsiTheme="minorHAnsi" w:cstheme="minorBidi"/>
          <w:snapToGrid/>
          <w:sz w:val="22"/>
          <w:szCs w:val="22"/>
        </w:rPr>
        <w:t xml:space="preserve">data reported on Annex A to Appendix G to verify consistency with data reported on other surveys, </w:t>
      </w:r>
      <w:r w:rsidR="00DD4CED" w:rsidRPr="00390CB6">
        <w:rPr>
          <w:rFonts w:asciiTheme="minorHAnsi" w:eastAsiaTheme="minorHAnsi" w:hAnsiTheme="minorHAnsi" w:cstheme="minorBidi"/>
          <w:snapToGrid/>
          <w:sz w:val="22"/>
          <w:szCs w:val="22"/>
        </w:rPr>
        <w:t>EIA-861 and EIA-923</w:t>
      </w:r>
      <w:r w:rsidR="00950091">
        <w:rPr>
          <w:rFonts w:asciiTheme="minorHAnsi" w:eastAsiaTheme="minorHAnsi" w:hAnsiTheme="minorHAnsi" w:cstheme="minorBidi"/>
          <w:snapToGrid/>
          <w:sz w:val="22"/>
          <w:szCs w:val="22"/>
        </w:rPr>
        <w:t>, and a</w:t>
      </w:r>
      <w:r w:rsidR="00DD4CED" w:rsidRPr="00390CB6">
        <w:rPr>
          <w:rFonts w:asciiTheme="minorHAnsi" w:eastAsiaTheme="minorHAnsi" w:hAnsiTheme="minorHAnsi" w:cstheme="minorBidi"/>
          <w:snapToGrid/>
          <w:sz w:val="22"/>
          <w:szCs w:val="22"/>
        </w:rPr>
        <w:t>lso NRC’s MORP (Nuclear Regulatory Commission’s Monthly Operating Report) data received from INL. (Idaho National Labs). The 923, 861 and MORP data are the primary cross check sources</w:t>
      </w:r>
      <w:r w:rsidR="0095178E">
        <w:rPr>
          <w:rFonts w:asciiTheme="minorHAnsi" w:eastAsiaTheme="minorHAnsi" w:hAnsiTheme="minorHAnsi" w:cstheme="minorBidi"/>
          <w:snapToGrid/>
          <w:sz w:val="22"/>
          <w:szCs w:val="22"/>
        </w:rPr>
        <w:t xml:space="preserve"> </w:t>
      </w:r>
      <w:r w:rsidRPr="0095178E">
        <w:rPr>
          <w:rFonts w:asciiTheme="minorHAnsi" w:eastAsiaTheme="minorHAnsi" w:hAnsiTheme="minorHAnsi" w:cstheme="minorBidi"/>
          <w:snapToGrid/>
          <w:sz w:val="22"/>
          <w:szCs w:val="22"/>
        </w:rPr>
        <w:t>as a source of energy loss and pumped storage data that may not be available on other surveys.</w:t>
      </w:r>
      <w:r w:rsidR="007144E2" w:rsidRPr="0095178E">
        <w:rPr>
          <w:rFonts w:asciiTheme="minorHAnsi" w:eastAsiaTheme="minorHAnsi" w:hAnsiTheme="minorHAnsi" w:cstheme="minorBidi"/>
          <w:snapToGrid/>
          <w:sz w:val="22"/>
          <w:szCs w:val="22"/>
        </w:rPr>
        <w:t xml:space="preserve"> </w:t>
      </w:r>
      <w:r w:rsidRPr="0095178E">
        <w:rPr>
          <w:rFonts w:asciiTheme="minorHAnsi" w:eastAsiaTheme="minorHAnsi" w:hAnsiTheme="minorHAnsi" w:cstheme="minorBidi"/>
          <w:snapToGrid/>
          <w:sz w:val="22"/>
          <w:szCs w:val="22"/>
        </w:rPr>
        <w:t>The requirement to check for data consistency across sources for net electricity generation is discussed in the Final Rule on the Standard Contract for Disposal of Spent Nuclear Fuel and/or High-Level Radioactive Waste, 56 F</w:t>
      </w:r>
      <w:r w:rsidR="00910BCA" w:rsidRPr="0095178E">
        <w:rPr>
          <w:rFonts w:asciiTheme="minorHAnsi" w:eastAsiaTheme="minorHAnsi" w:hAnsiTheme="minorHAnsi" w:cstheme="minorBidi"/>
          <w:snapToGrid/>
          <w:sz w:val="22"/>
          <w:szCs w:val="22"/>
        </w:rPr>
        <w:t xml:space="preserve">ed. </w:t>
      </w:r>
      <w:r w:rsidRPr="0095178E">
        <w:rPr>
          <w:rFonts w:asciiTheme="minorHAnsi" w:eastAsiaTheme="minorHAnsi" w:hAnsiTheme="minorHAnsi" w:cstheme="minorBidi"/>
          <w:snapToGrid/>
          <w:sz w:val="22"/>
          <w:szCs w:val="22"/>
        </w:rPr>
        <w:t>R</w:t>
      </w:r>
      <w:r w:rsidR="00910BCA" w:rsidRPr="0095178E">
        <w:rPr>
          <w:rFonts w:asciiTheme="minorHAnsi" w:eastAsiaTheme="minorHAnsi" w:hAnsiTheme="minorHAnsi" w:cstheme="minorBidi"/>
          <w:snapToGrid/>
          <w:sz w:val="22"/>
          <w:szCs w:val="22"/>
        </w:rPr>
        <w:t>eg.</w:t>
      </w:r>
      <w:r w:rsidRPr="0095178E">
        <w:rPr>
          <w:rFonts w:asciiTheme="minorHAnsi" w:eastAsiaTheme="minorHAnsi" w:hAnsiTheme="minorHAnsi" w:cstheme="minorBidi"/>
          <w:snapToGrid/>
          <w:sz w:val="22"/>
          <w:szCs w:val="22"/>
        </w:rPr>
        <w:t xml:space="preserve"> 67648 (December 31, 1991) and the Management Plan for EIA’s support activities to the Nuclear Waste Policy Act Project Office (NWPAPO), dated September 16, 1983.</w:t>
      </w:r>
      <w:r w:rsidR="005F7869" w:rsidRPr="0095178E">
        <w:rPr>
          <w:rFonts w:asciiTheme="minorHAnsi" w:eastAsiaTheme="minorHAnsi" w:hAnsiTheme="minorHAnsi" w:cstheme="minorBidi"/>
          <w:snapToGrid/>
          <w:sz w:val="22"/>
          <w:szCs w:val="22"/>
        </w:rPr>
        <w:t xml:space="preserve"> </w:t>
      </w:r>
      <w:r w:rsidRPr="0095178E">
        <w:rPr>
          <w:rFonts w:asciiTheme="minorHAnsi" w:eastAsiaTheme="minorHAnsi" w:hAnsiTheme="minorHAnsi" w:cstheme="minorBidi"/>
          <w:snapToGrid/>
          <w:sz w:val="22"/>
          <w:szCs w:val="22"/>
        </w:rPr>
        <w:t>Adjustment factor data are used to determine energy losses and the distribution of electricity sales between sales for resale and sales to ultimate consumers.</w:t>
      </w:r>
      <w:r w:rsidR="007144E2" w:rsidRPr="0095178E">
        <w:rPr>
          <w:rFonts w:asciiTheme="minorHAnsi" w:eastAsiaTheme="minorHAnsi" w:hAnsiTheme="minorHAnsi" w:cstheme="minorBidi"/>
          <w:snapToGrid/>
          <w:sz w:val="22"/>
          <w:szCs w:val="22"/>
        </w:rPr>
        <w:t xml:space="preserve"> </w:t>
      </w:r>
      <w:r w:rsidRPr="0095178E">
        <w:rPr>
          <w:rFonts w:asciiTheme="minorHAnsi" w:eastAsiaTheme="minorHAnsi" w:hAnsiTheme="minorHAnsi" w:cstheme="minorBidi"/>
          <w:snapToGrid/>
          <w:sz w:val="22"/>
          <w:szCs w:val="22"/>
        </w:rPr>
        <w:t>Data from the Appendix G and Annex A to Appendix G forms are not made available to users outside of DOE.</w:t>
      </w:r>
    </w:p>
    <w:p w14:paraId="5990933C" w14:textId="77777777" w:rsidR="008C734C" w:rsidRDefault="008C734C">
      <w:pPr>
        <w:pStyle w:val="Heading2"/>
      </w:pPr>
      <w:bookmarkStart w:id="5" w:name="_Toc520713821"/>
      <w:r>
        <w:t>A.</w:t>
      </w:r>
      <w:r w:rsidR="00A41763" w:rsidRPr="00A41763">
        <w:t xml:space="preserve">3. </w:t>
      </w:r>
      <w:r>
        <w:t>Use of Technology</w:t>
      </w:r>
      <w:bookmarkEnd w:id="5"/>
    </w:p>
    <w:p w14:paraId="1A6D392B" w14:textId="12FB3350" w:rsidR="005A6B03" w:rsidRDefault="005A6B03" w:rsidP="005A6B03">
      <w:r>
        <w:t xml:space="preserve">EIA </w:t>
      </w:r>
      <w:r w:rsidR="00320297">
        <w:t xml:space="preserve">uses </w:t>
      </w:r>
      <w:r>
        <w:t>information technology to improve reporting options.</w:t>
      </w:r>
      <w:r w:rsidR="007144E2">
        <w:t xml:space="preserve"> </w:t>
      </w:r>
      <w:r>
        <w:t>Beginning in 1999, DOE distributed an automated software package, the Remittance Advice Reporting System (RAPS), to the NWPA-830G respondents to reduce reporting burden.</w:t>
      </w:r>
      <w:r w:rsidR="007144E2">
        <w:t xml:space="preserve"> </w:t>
      </w:r>
      <w:r>
        <w:t>This computer-based system required respondents to enter only those data that changed from quarter to quarter, and provided computer-generated Remittance Advice forms in lieu of the four-part Appendix G and Annex A to Appendix G forms, which had previously been supplied as paper forms.</w:t>
      </w:r>
    </w:p>
    <w:p w14:paraId="3561DFD6" w14:textId="72DB174E" w:rsidR="00C7322D" w:rsidRDefault="005A6B03" w:rsidP="0082602A">
      <w:r>
        <w:t xml:space="preserve">In mid-2013, DOE replaced RAPS with an online fillable PDF version of the Remittance Advice forms. </w:t>
      </w:r>
      <w:r w:rsidR="00320297">
        <w:t>R</w:t>
      </w:r>
      <w:r>
        <w:t>espondents may continue to use the RAPS software</w:t>
      </w:r>
      <w:r w:rsidR="00950091">
        <w:t>;</w:t>
      </w:r>
      <w:r>
        <w:t xml:space="preserve"> </w:t>
      </w:r>
      <w:r w:rsidR="00320297">
        <w:t xml:space="preserve">however </w:t>
      </w:r>
      <w:r>
        <w:t>they are responsible for ensuring that all data and calculations are correct. Completed Remittance Advice forms must be printed, signed, and returned to DOE in accordance with the provisions of the Standard Contract.</w:t>
      </w:r>
    </w:p>
    <w:p w14:paraId="5926CAE3" w14:textId="77777777" w:rsidR="008C734C" w:rsidRDefault="008C734C" w:rsidP="0095178E">
      <w:pPr>
        <w:pStyle w:val="Heading2"/>
      </w:pPr>
      <w:bookmarkStart w:id="6" w:name="_Toc520713822"/>
      <w:r>
        <w:t>A.</w:t>
      </w:r>
      <w:r w:rsidR="00A41763" w:rsidRPr="00A41763">
        <w:t xml:space="preserve">4. </w:t>
      </w:r>
      <w:r>
        <w:t>Efforts to Identify Duplication</w:t>
      </w:r>
      <w:bookmarkEnd w:id="6"/>
    </w:p>
    <w:p w14:paraId="40424E64" w14:textId="6D241E4B" w:rsidR="005A6B03" w:rsidRDefault="005A6B03" w:rsidP="005A6B03">
      <w:r>
        <w:t>As part of a continuing effort to avoid duplication, EIA routinely reviews and evaluates information from a variety of sources, including other federal agencies, industry trade associations, state governments, and commercial information services to identify instances of duplication.</w:t>
      </w:r>
    </w:p>
    <w:p w14:paraId="2F3A6390" w14:textId="5A1A1162" w:rsidR="00C7322D" w:rsidRDefault="005A6B03" w:rsidP="0082602A">
      <w:r>
        <w:t>Monthly and annual net electricity data are collected on other EIA surveys, including Form EIA-860</w:t>
      </w:r>
      <w:r w:rsidR="000213C8">
        <w:t xml:space="preserve"> </w:t>
      </w:r>
      <w:r w:rsidRPr="0082602A">
        <w:rPr>
          <w:i/>
        </w:rPr>
        <w:t>Annual Electric Generator Report</w:t>
      </w:r>
      <w:r>
        <w:t xml:space="preserve">, Form EIA-860M </w:t>
      </w:r>
      <w:r w:rsidRPr="0082602A">
        <w:rPr>
          <w:i/>
        </w:rPr>
        <w:t>Monthly Update to the Annual Electricity Generator Report</w:t>
      </w:r>
      <w:r>
        <w:t>, and Form EIA-923</w:t>
      </w:r>
      <w:r w:rsidR="000213C8">
        <w:t xml:space="preserve"> </w:t>
      </w:r>
      <w:r w:rsidRPr="0082602A">
        <w:rPr>
          <w:i/>
        </w:rPr>
        <w:t>Power Plant Operations Report</w:t>
      </w:r>
      <w:r>
        <w:t xml:space="preserve"> (with both monthly and annual collections). However, Form NWPA-830G</w:t>
      </w:r>
      <w:r w:rsidR="000213C8">
        <w:t xml:space="preserve"> </w:t>
      </w:r>
      <w:r w:rsidRPr="0082602A">
        <w:rPr>
          <w:i/>
        </w:rPr>
        <w:t>Appendix G - Standard Remittance Advice for Payment of Fees</w:t>
      </w:r>
      <w:r>
        <w:t xml:space="preserve">, including Annex A to Appendix G, is the only source of quarterly net electricity </w:t>
      </w:r>
      <w:r w:rsidR="00CB1AB8">
        <w:t xml:space="preserve">generation </w:t>
      </w:r>
      <w:r>
        <w:t>data</w:t>
      </w:r>
      <w:r w:rsidR="000213C8">
        <w:t xml:space="preserve"> by </w:t>
      </w:r>
      <w:r w:rsidR="00AD272B">
        <w:t xml:space="preserve">commercial </w:t>
      </w:r>
      <w:r w:rsidR="000213C8">
        <w:t xml:space="preserve">nuclear </w:t>
      </w:r>
      <w:r w:rsidR="00AD272B">
        <w:t>reactors</w:t>
      </w:r>
      <w:r>
        <w:t>.</w:t>
      </w:r>
      <w:r w:rsidR="007144E2">
        <w:t xml:space="preserve"> </w:t>
      </w:r>
      <w:r w:rsidR="006F3B60">
        <w:t>Additionally, o</w:t>
      </w:r>
      <w:r w:rsidR="00050D92">
        <w:t xml:space="preserve">ther </w:t>
      </w:r>
      <w:r w:rsidR="006F3B60">
        <w:t xml:space="preserve">surveys collect information on </w:t>
      </w:r>
      <w:r>
        <w:t>energy losses, station electricity use, pumped storage losses, and energy furnished without</w:t>
      </w:r>
      <w:r w:rsidR="00674E48">
        <w:t>,</w:t>
      </w:r>
      <w:r>
        <w:t xml:space="preserve"> charge </w:t>
      </w:r>
      <w:r w:rsidR="00050D92">
        <w:t xml:space="preserve">differently than what is reported </w:t>
      </w:r>
      <w:r>
        <w:t>on Form NWPA-830G.</w:t>
      </w:r>
      <w:r w:rsidR="007144E2">
        <w:t xml:space="preserve"> </w:t>
      </w:r>
      <w:r w:rsidR="00050D92">
        <w:t>This</w:t>
      </w:r>
      <w:r>
        <w:t xml:space="preserve"> quarterly data </w:t>
      </w:r>
      <w:r w:rsidR="00CD6663">
        <w:t xml:space="preserve">is a </w:t>
      </w:r>
      <w:r>
        <w:t>complete audit trail of fee payment data.</w:t>
      </w:r>
      <w:r w:rsidR="007144E2">
        <w:t xml:space="preserve"> </w:t>
      </w:r>
      <w:r>
        <w:t>Because fee data are primarily used by DOE’s Energy Finance and Accounting Service Center and the Office of Standard Contract Management, it is imperative that all data are available on a single form. U.S. nuclear electricity generation capacity and spent fuel storage data are available from the Nuclear Regulatory Commission (NRC); however, NRC data do</w:t>
      </w:r>
      <w:r w:rsidR="00674E48">
        <w:t xml:space="preserve">es </w:t>
      </w:r>
      <w:r>
        <w:t xml:space="preserve">not include </w:t>
      </w:r>
      <w:r w:rsidR="00674E48">
        <w:t>information</w:t>
      </w:r>
      <w:r>
        <w:t xml:space="preserve"> to determine the amount of net electricity generated and sold, which </w:t>
      </w:r>
      <w:r w:rsidR="00950091">
        <w:t xml:space="preserve">is the basis for </w:t>
      </w:r>
      <w:r>
        <w:t xml:space="preserve">fees paid into the Nuclear Waste Fund . </w:t>
      </w:r>
    </w:p>
    <w:p w14:paraId="3A50ACC6" w14:textId="77777777" w:rsidR="008C734C" w:rsidRDefault="008C734C" w:rsidP="0095178E">
      <w:pPr>
        <w:pStyle w:val="Heading2"/>
      </w:pPr>
      <w:bookmarkStart w:id="7" w:name="_Toc520713823"/>
      <w:r>
        <w:t>A.</w:t>
      </w:r>
      <w:r w:rsidR="00A41763" w:rsidRPr="00A41763">
        <w:t xml:space="preserve">5. </w:t>
      </w:r>
      <w:r w:rsidRPr="008C734C">
        <w:t>Provisions for Reducing Burden on Small Businesses</w:t>
      </w:r>
      <w:bookmarkEnd w:id="7"/>
      <w:r w:rsidRPr="008C734C">
        <w:t xml:space="preserve"> </w:t>
      </w:r>
    </w:p>
    <w:p w14:paraId="729A17AC" w14:textId="6251337C" w:rsidR="00C7322D" w:rsidRDefault="005A6B03" w:rsidP="0082602A">
      <w:pPr>
        <w:spacing w:before="120"/>
      </w:pPr>
      <w:r w:rsidRPr="00AE62EF">
        <w:t>This collection of information does not involve small businesses or other small entities.</w:t>
      </w:r>
      <w:r w:rsidR="007144E2">
        <w:t xml:space="preserve"> </w:t>
      </w:r>
      <w:r w:rsidRPr="00AE62EF">
        <w:t>All respondents are major commercial utilities or operating companies</w:t>
      </w:r>
      <w:r>
        <w:t>.</w:t>
      </w:r>
    </w:p>
    <w:p w14:paraId="395011E9" w14:textId="77777777" w:rsidR="008C734C" w:rsidRDefault="008C734C" w:rsidP="0095178E">
      <w:pPr>
        <w:pStyle w:val="Heading2"/>
      </w:pPr>
      <w:bookmarkStart w:id="8" w:name="_Toc520713824"/>
      <w:r>
        <w:t>A.</w:t>
      </w:r>
      <w:r w:rsidR="00A41763" w:rsidRPr="00A41763">
        <w:t xml:space="preserve">6. </w:t>
      </w:r>
      <w:r w:rsidRPr="008C734C">
        <w:t>Consequences of Less-Frequent Reporting</w:t>
      </w:r>
      <w:bookmarkEnd w:id="8"/>
    </w:p>
    <w:p w14:paraId="5CEAE001" w14:textId="13A0B946" w:rsidR="00C7322D" w:rsidRDefault="005A6B03" w:rsidP="0082602A">
      <w:r w:rsidRPr="00B55846">
        <w:t xml:space="preserve">Form </w:t>
      </w:r>
      <w:r>
        <w:t>NWPA-830G, including</w:t>
      </w:r>
      <w:r w:rsidRPr="00B55846">
        <w:t xml:space="preserve"> Annex A to Appendix G</w:t>
      </w:r>
      <w:r>
        <w:t>,</w:t>
      </w:r>
      <w:r w:rsidRPr="00B55846">
        <w:t xml:space="preserve"> are required </w:t>
      </w:r>
      <w:r>
        <w:t xml:space="preserve">to be submitted </w:t>
      </w:r>
      <w:r w:rsidRPr="00B55846">
        <w:t>quarterly</w:t>
      </w:r>
      <w:r>
        <w:t xml:space="preserve"> per the Standard Contract.</w:t>
      </w:r>
      <w:r w:rsidR="007144E2">
        <w:t xml:space="preserve"> </w:t>
      </w:r>
      <w:r>
        <w:t xml:space="preserve">Prior to the fee reduction, this helped </w:t>
      </w:r>
      <w:r w:rsidRPr="00B55846">
        <w:t xml:space="preserve">ensure the accuracy of the </w:t>
      </w:r>
      <w:r>
        <w:t xml:space="preserve">mandated </w:t>
      </w:r>
      <w:r w:rsidRPr="00B55846">
        <w:t>fees and minimize</w:t>
      </w:r>
      <w:r>
        <w:t>d</w:t>
      </w:r>
      <w:r w:rsidRPr="00B55846">
        <w:t xml:space="preserve"> interest payments when errors </w:t>
      </w:r>
      <w:r>
        <w:t>were</w:t>
      </w:r>
      <w:r w:rsidRPr="00B55846">
        <w:t xml:space="preserve"> made. </w:t>
      </w:r>
      <w:r>
        <w:t xml:space="preserve">DOE requires continued quarterly </w:t>
      </w:r>
      <w:r w:rsidRPr="00010ADF">
        <w:t xml:space="preserve">collection </w:t>
      </w:r>
      <w:r>
        <w:t xml:space="preserve">to </w:t>
      </w:r>
      <w:r w:rsidRPr="00010ADF">
        <w:t>verif</w:t>
      </w:r>
      <w:r>
        <w:t>y</w:t>
      </w:r>
      <w:r w:rsidRPr="00010ADF">
        <w:t xml:space="preserve"> net electricity generation data and estimat</w:t>
      </w:r>
      <w:r>
        <w:t>es</w:t>
      </w:r>
      <w:r w:rsidRPr="00010ADF">
        <w:t xml:space="preserve"> of the spent nuclear fuel disposal fees that would otherwise accrue from this generation</w:t>
      </w:r>
      <w:r>
        <w:t>.</w:t>
      </w:r>
    </w:p>
    <w:p w14:paraId="42D6C0B1" w14:textId="2C160322" w:rsidR="008C734C" w:rsidRDefault="008C734C" w:rsidP="0095178E">
      <w:pPr>
        <w:pStyle w:val="Heading2"/>
      </w:pPr>
      <w:bookmarkStart w:id="9" w:name="_Toc520713825"/>
      <w:r>
        <w:t>A.</w:t>
      </w:r>
      <w:r w:rsidR="00A41763" w:rsidRPr="00A41763">
        <w:t xml:space="preserve">7. </w:t>
      </w:r>
      <w:r w:rsidRPr="008C734C">
        <w:t>Compliance with 5 CFR 1320.5</w:t>
      </w:r>
      <w:bookmarkEnd w:id="9"/>
    </w:p>
    <w:p w14:paraId="1461F4C2" w14:textId="579DA2DB" w:rsidR="00C7322D" w:rsidRDefault="005A6B03" w:rsidP="0082602A">
      <w:pPr>
        <w:spacing w:before="120"/>
      </w:pPr>
      <w:r w:rsidRPr="00CE3E6E">
        <w:t>There are no</w:t>
      </w:r>
      <w:r>
        <w:t>t any</w:t>
      </w:r>
      <w:r w:rsidRPr="00CE3E6E">
        <w:t xml:space="preserve"> special circumstances for the</w:t>
      </w:r>
      <w:r>
        <w:t xml:space="preserve"> NWPA-830G data</w:t>
      </w:r>
      <w:r w:rsidRPr="00CE3E6E">
        <w:t xml:space="preserve"> collection.</w:t>
      </w:r>
    </w:p>
    <w:p w14:paraId="0E2E840B" w14:textId="77777777" w:rsidR="008C734C" w:rsidRDefault="008C734C" w:rsidP="0095178E">
      <w:pPr>
        <w:pStyle w:val="Heading2"/>
      </w:pPr>
      <w:bookmarkStart w:id="10" w:name="_Toc520713826"/>
      <w:r>
        <w:t>A.</w:t>
      </w:r>
      <w:r w:rsidR="00A41763" w:rsidRPr="00A41763">
        <w:t xml:space="preserve">8. </w:t>
      </w:r>
      <w:r w:rsidRPr="008C734C">
        <w:t>Summary of Consultations Outside of the Agency</w:t>
      </w:r>
      <w:bookmarkEnd w:id="10"/>
    </w:p>
    <w:p w14:paraId="551D17F5" w14:textId="59D0423C" w:rsidR="00C7322D" w:rsidRDefault="00073790" w:rsidP="00DD4CED">
      <w:pPr>
        <w:spacing w:before="120"/>
      </w:pPr>
      <w:r>
        <w:t xml:space="preserve">On April 24, 2018, EIA published a 60-day </w:t>
      </w:r>
      <w:r w:rsidR="005A6B03" w:rsidRPr="00262BC2">
        <w:t>Federal Register</w:t>
      </w:r>
      <w:r w:rsidR="005A6B03" w:rsidRPr="00B55846">
        <w:t xml:space="preserve"> notice</w:t>
      </w:r>
      <w:r>
        <w:t xml:space="preserve"> in Volume 83, Number </w:t>
      </w:r>
      <w:r w:rsidR="00534601">
        <w:t>79</w:t>
      </w:r>
      <w:r w:rsidR="005A6B03" w:rsidRPr="00B55846">
        <w:t xml:space="preserve"> giving the public an opportunity to comment on the proposed three-year extension to Form </w:t>
      </w:r>
      <w:r w:rsidR="005A6B03">
        <w:t>NWPA-830G,</w:t>
      </w:r>
      <w:r w:rsidR="005A6B03" w:rsidRPr="00D113DC">
        <w:t xml:space="preserve"> </w:t>
      </w:r>
      <w:r w:rsidR="005A6B03" w:rsidRPr="00B55846">
        <w:t xml:space="preserve">including Annex A </w:t>
      </w:r>
      <w:r w:rsidR="005A6B03">
        <w:t>to</w:t>
      </w:r>
      <w:r w:rsidR="005A6B03" w:rsidRPr="00B55846">
        <w:t xml:space="preserve"> Appendix G.</w:t>
      </w:r>
      <w:r w:rsidR="007144E2">
        <w:t xml:space="preserve"> </w:t>
      </w:r>
      <w:r w:rsidR="005A6B03" w:rsidRPr="00B55846">
        <w:t xml:space="preserve">EIA received </w:t>
      </w:r>
      <w:r w:rsidR="00534601">
        <w:t>no</w:t>
      </w:r>
      <w:r w:rsidR="00534601" w:rsidRPr="00B55846">
        <w:t xml:space="preserve"> </w:t>
      </w:r>
      <w:r w:rsidR="005A6B03" w:rsidRPr="00B55846">
        <w:t xml:space="preserve">comments to the </w:t>
      </w:r>
      <w:r w:rsidR="005A6B03" w:rsidRPr="00262BC2">
        <w:t>Federal Register</w:t>
      </w:r>
      <w:r w:rsidR="005A6B03" w:rsidRPr="00B55846">
        <w:t xml:space="preserve"> notice</w:t>
      </w:r>
      <w:r w:rsidR="005A6B03" w:rsidRPr="00B1558B">
        <w:t>.</w:t>
      </w:r>
      <w:r w:rsidR="00DB56A0">
        <w:t xml:space="preserve"> This opportunity for comment </w:t>
      </w:r>
      <w:r w:rsidR="00DB550C">
        <w:t xml:space="preserve">is part of </w:t>
      </w:r>
      <w:r w:rsidR="00DB56A0">
        <w:t xml:space="preserve">the second OMB clearance following a letter sent on May 12, 2014 by Office of Standard Contract Management, Office of General Counsel </w:t>
      </w:r>
      <w:r w:rsidR="00DB550C" w:rsidRPr="0082602A">
        <w:t>with all generators or owners of spent nuclear fuel and high-level radioactive waste of domestic origin</w:t>
      </w:r>
      <w:r w:rsidR="00DB550C">
        <w:t xml:space="preserve"> </w:t>
      </w:r>
      <w:r w:rsidR="00DB56A0">
        <w:t xml:space="preserve">requesting that </w:t>
      </w:r>
      <w:r w:rsidR="00DB550C">
        <w:t>they continue to submit Appendix G – Standard Remittance Advice for Payment of Fees in accordance with their existing quarterly payment schedule utilizing the fee rate of 0.0 mill per kilowatt hour of electricity generated and sold.</w:t>
      </w:r>
      <w:r w:rsidR="005F7869">
        <w:t xml:space="preserve"> </w:t>
      </w:r>
      <w:r w:rsidR="00DB550C">
        <w:t>The opportunity was also given within the letter, along with appropriate contact information, to submit questions on the matter.</w:t>
      </w:r>
    </w:p>
    <w:p w14:paraId="4809E5A7" w14:textId="77777777" w:rsidR="008C734C" w:rsidRDefault="008C734C" w:rsidP="0095178E">
      <w:pPr>
        <w:pStyle w:val="Heading2"/>
      </w:pPr>
      <w:bookmarkStart w:id="11" w:name="_Toc520713827"/>
      <w:r>
        <w:t>A.</w:t>
      </w:r>
      <w:r w:rsidR="00A41763" w:rsidRPr="00A41763">
        <w:t xml:space="preserve">9. </w:t>
      </w:r>
      <w:r w:rsidRPr="008C734C">
        <w:t>Payments or Gifts to Respondents</w:t>
      </w:r>
      <w:bookmarkEnd w:id="11"/>
      <w:r w:rsidRPr="008C734C">
        <w:t xml:space="preserve"> </w:t>
      </w:r>
    </w:p>
    <w:p w14:paraId="3EBC11F5" w14:textId="77777777" w:rsidR="005A6B03" w:rsidRPr="00F709A9" w:rsidRDefault="005A6B03" w:rsidP="005A6B0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rPr>
          <w:u w:val="single"/>
        </w:rPr>
      </w:pPr>
      <w:r w:rsidRPr="00B55846">
        <w:t>There are no provisions for payments to respondents</w:t>
      </w:r>
      <w:r>
        <w:t>.</w:t>
      </w:r>
    </w:p>
    <w:p w14:paraId="5009B91F" w14:textId="77777777" w:rsidR="00C7322D" w:rsidRDefault="00C7322D" w:rsidP="0082602A"/>
    <w:p w14:paraId="291533CC" w14:textId="77777777" w:rsidR="008C734C" w:rsidRDefault="008C734C" w:rsidP="0095178E">
      <w:pPr>
        <w:pStyle w:val="Heading2"/>
      </w:pPr>
      <w:bookmarkStart w:id="12" w:name="_Toc520713828"/>
      <w:r>
        <w:t>A.</w:t>
      </w:r>
      <w:r w:rsidR="00A41763" w:rsidRPr="00A41763">
        <w:t xml:space="preserve">10. </w:t>
      </w:r>
      <w:r w:rsidRPr="008C734C">
        <w:t>Provisions for Protection of Information</w:t>
      </w:r>
      <w:bookmarkEnd w:id="12"/>
      <w:r w:rsidRPr="008C734C">
        <w:t xml:space="preserve"> </w:t>
      </w:r>
    </w:p>
    <w:p w14:paraId="2D70DEDE" w14:textId="26D9CC8F" w:rsidR="005A6B03" w:rsidRPr="00B55846" w:rsidRDefault="005A6B03" w:rsidP="005A6B03">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bookmarkStart w:id="13" w:name="OLE_LINK7"/>
      <w:bookmarkStart w:id="14" w:name="OLE_LINK8"/>
      <w:r w:rsidRPr="00B55846">
        <w:t>The information is collected under the Standard Contract for Disposal of Spent Nuclear Fuel and/or High-Level Radioactive Waste.</w:t>
      </w:r>
      <w:r w:rsidR="007144E2">
        <w:t xml:space="preserve"> </w:t>
      </w:r>
      <w:r w:rsidRPr="00B55846">
        <w:t xml:space="preserve">In accordance with the terms of </w:t>
      </w:r>
      <w:r w:rsidR="00674E48">
        <w:t>the Standard C</w:t>
      </w:r>
      <w:r w:rsidRPr="00B55846">
        <w:t xml:space="preserve">ontract, companies are allowed to mark any data </w:t>
      </w:r>
      <w:r w:rsidR="00CD6663">
        <w:t xml:space="preserve">reported </w:t>
      </w:r>
      <w:r w:rsidRPr="00B55846">
        <w:t>under the contract as</w:t>
      </w:r>
      <w:r>
        <w:t xml:space="preserve"> “proprietary data”</w:t>
      </w:r>
      <w:r w:rsidR="007144E2">
        <w:t xml:space="preserve"> </w:t>
      </w:r>
      <w:r w:rsidR="00674E48">
        <w:t>(</w:t>
      </w:r>
      <w:r w:rsidRPr="00B55846">
        <w:t xml:space="preserve">See 10 C.F.R. 961.11, Article XXI </w:t>
      </w:r>
      <w:r w:rsidR="00674E48">
        <w:t>–</w:t>
      </w:r>
      <w:r w:rsidRPr="00B55846">
        <w:t xml:space="preserve"> Rights in Technical Data</w:t>
      </w:r>
      <w:r w:rsidR="00674E48">
        <w:t>)</w:t>
      </w:r>
      <w:r w:rsidRPr="00B55846">
        <w:t>.</w:t>
      </w:r>
      <w:r w:rsidR="007144E2">
        <w:t xml:space="preserve"> </w:t>
      </w:r>
      <w:r w:rsidRPr="00B55846">
        <w:t xml:space="preserve">Although a large part of the information furnished is publicly available, this information is not typically published by </w:t>
      </w:r>
      <w:r>
        <w:t>DOE</w:t>
      </w:r>
      <w:r w:rsidRPr="00B55846">
        <w:t>.</w:t>
      </w:r>
      <w:r w:rsidR="007144E2">
        <w:t xml:space="preserve"> </w:t>
      </w:r>
      <w:r w:rsidRPr="00B55846">
        <w:t xml:space="preserve">If a request for the information is received, to the extent that information is not in the public domain or has been marked as </w:t>
      </w:r>
      <w:r>
        <w:t>“proprietary data,”</w:t>
      </w:r>
      <w:r w:rsidRPr="00B55846">
        <w:t xml:space="preserve"> the procedures listed below will be followed.</w:t>
      </w:r>
      <w:r w:rsidR="007144E2">
        <w:t xml:space="preserve"> </w:t>
      </w:r>
    </w:p>
    <w:p w14:paraId="5E22C89B" w14:textId="77777777" w:rsidR="005A6B03" w:rsidRPr="00B55846" w:rsidRDefault="005A6B03" w:rsidP="005A6B03">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pPr>
      <w:r>
        <w:t>The information reported on Form NWPA-830G will be protected and not disclosed to the public to the extent that it satisfies the criteria for exemption under the Freedom of Information Act (FOIA), 5 U.S.C. §552, DOE regulations implementing the FOIA, 10 C.F.R. §1004.11, and the Trade Secrets Act, 18 U.S.C. §1905.</w:t>
      </w:r>
    </w:p>
    <w:p w14:paraId="7776D9F7" w14:textId="77777777" w:rsidR="005A6B03" w:rsidRPr="00B55846" w:rsidRDefault="005A6B03" w:rsidP="005A6B03">
      <w:pPr>
        <w:pStyle w:val="BodyTextIndent"/>
        <w:ind w:left="0"/>
      </w:pPr>
      <w:r>
        <w:t>The Federal Energy Administration Act requires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5AC8F531" w14:textId="40336971" w:rsidR="00C7322D" w:rsidRDefault="005A6B03" w:rsidP="0082602A">
      <w:r>
        <w:t xml:space="preserve">EIA </w:t>
      </w:r>
      <w:r w:rsidR="00CD6663">
        <w:t>has agreed</w:t>
      </w:r>
      <w:r>
        <w:t xml:space="preserve"> to provide company-specific information to DOE’s Office of Standard Contract Management. The data are used for administrative, regulatory, and adjudicatory purposes only. Disclosure limitation procedures are not applied to the statistical data derived from this survey’s information. The agreement requires that the information is protected and not disclosed to the public as set forth above</w:t>
      </w:r>
      <w:r w:rsidRPr="00D22F4C">
        <w:rPr>
          <w:color w:val="000000"/>
        </w:rPr>
        <w:t>.</w:t>
      </w:r>
      <w:bookmarkEnd w:id="13"/>
      <w:bookmarkEnd w:id="14"/>
    </w:p>
    <w:p w14:paraId="314B056F" w14:textId="77777777" w:rsidR="00F056C3" w:rsidRDefault="00F056C3" w:rsidP="0095178E">
      <w:pPr>
        <w:pStyle w:val="Heading2"/>
      </w:pPr>
      <w:bookmarkStart w:id="15" w:name="_Toc520713829"/>
      <w:r>
        <w:t>A.</w:t>
      </w:r>
      <w:r w:rsidR="00A41763" w:rsidRPr="00A41763">
        <w:t xml:space="preserve">11. </w:t>
      </w:r>
      <w:r w:rsidRPr="00F056C3">
        <w:t>Justification for Sensitive Questions</w:t>
      </w:r>
      <w:bookmarkEnd w:id="15"/>
      <w:r w:rsidRPr="00F056C3">
        <w:t xml:space="preserve"> </w:t>
      </w:r>
    </w:p>
    <w:p w14:paraId="6352E8DD" w14:textId="643A394F" w:rsidR="00F056C3" w:rsidRDefault="005A6B03" w:rsidP="00DD4CED">
      <w:pPr>
        <w:spacing w:before="120"/>
      </w:pPr>
      <w:r w:rsidRPr="00B55846">
        <w:t>There are no questions of a sensitive nature in these data collections</w:t>
      </w:r>
      <w:r>
        <w:t>.</w:t>
      </w:r>
    </w:p>
    <w:p w14:paraId="7EBC631D" w14:textId="77777777" w:rsidR="00F056C3" w:rsidRDefault="00F056C3" w:rsidP="0095178E">
      <w:pPr>
        <w:pStyle w:val="Heading2"/>
      </w:pPr>
      <w:bookmarkStart w:id="16" w:name="_Toc520713830"/>
      <w:r>
        <w:t>A.</w:t>
      </w:r>
      <w:r w:rsidR="00A41763" w:rsidRPr="00A41763">
        <w:t xml:space="preserve">12. </w:t>
      </w:r>
      <w:r w:rsidRPr="00F056C3">
        <w:t>Estimate of Respondent Burden Hours and Cost</w:t>
      </w:r>
      <w:bookmarkEnd w:id="16"/>
      <w:r w:rsidRPr="00F056C3">
        <w:t xml:space="preserve"> </w:t>
      </w:r>
    </w:p>
    <w:p w14:paraId="1C3340E7" w14:textId="4B89D2C8" w:rsidR="00C7322D" w:rsidRDefault="00C7322D" w:rsidP="00C7322D">
      <w:pPr>
        <w:spacing w:before="120"/>
      </w:pPr>
      <w:r w:rsidRPr="00A32CCA">
        <w:t xml:space="preserve">The estimate of respondent burden for </w:t>
      </w:r>
      <w:r>
        <w:t>F</w:t>
      </w:r>
      <w:r w:rsidRPr="00A32CCA">
        <w:t xml:space="preserve">orm </w:t>
      </w:r>
      <w:r w:rsidRPr="002F10EA">
        <w:t>NWPA-830G</w:t>
      </w:r>
      <w:r w:rsidR="00EC4726">
        <w:t xml:space="preserve"> </w:t>
      </w:r>
      <w:r w:rsidRPr="0082602A">
        <w:rPr>
          <w:i/>
        </w:rPr>
        <w:t>Appendix G - Standard Remittance Advice for Payment of Fees</w:t>
      </w:r>
      <w:r>
        <w:t xml:space="preserve">, including </w:t>
      </w:r>
      <w:r w:rsidRPr="00B55846">
        <w:t>Annex A</w:t>
      </w:r>
      <w:r>
        <w:t xml:space="preserve"> to Appendix G, is</w:t>
      </w:r>
      <w:r w:rsidRPr="00A32CCA">
        <w:t xml:space="preserve"> listed in </w:t>
      </w:r>
      <w:r>
        <w:t>Table A1.</w:t>
      </w:r>
      <w:r w:rsidR="007144E2">
        <w:t xml:space="preserve"> </w:t>
      </w:r>
      <w:r w:rsidRPr="00A32CCA">
        <w:t xml:space="preserve">The overall annual respondent burden is estimated to be </w:t>
      </w:r>
      <w:r>
        <w:t>1,980</w:t>
      </w:r>
      <w:r w:rsidRPr="00A32CCA">
        <w:t xml:space="preserve"> hours</w:t>
      </w:r>
      <w:r>
        <w:t>.</w:t>
      </w:r>
      <w:r w:rsidR="007144E2">
        <w:rPr>
          <w:color w:val="FF0000"/>
        </w:rPr>
        <w:t xml:space="preserve"> </w:t>
      </w:r>
      <w:r>
        <w:t xml:space="preserve">The costs to respondents for the burden hours are estimated to </w:t>
      </w:r>
      <w:r w:rsidRPr="00F31A0A">
        <w:rPr>
          <w:szCs w:val="24"/>
        </w:rPr>
        <w:t>be $</w:t>
      </w:r>
      <w:r w:rsidR="00534601" w:rsidRPr="00086ADB">
        <w:rPr>
          <w:szCs w:val="24"/>
        </w:rPr>
        <w:t>14</w:t>
      </w:r>
      <w:r w:rsidR="00534601">
        <w:rPr>
          <w:szCs w:val="24"/>
        </w:rPr>
        <w:t>9</w:t>
      </w:r>
      <w:r w:rsidRPr="00086ADB">
        <w:rPr>
          <w:szCs w:val="24"/>
        </w:rPr>
        <w:t>,</w:t>
      </w:r>
      <w:r w:rsidR="00534601" w:rsidRPr="00086ADB">
        <w:rPr>
          <w:szCs w:val="24"/>
        </w:rPr>
        <w:t>8</w:t>
      </w:r>
      <w:r w:rsidR="00534601">
        <w:rPr>
          <w:szCs w:val="24"/>
        </w:rPr>
        <w:t>66</w:t>
      </w:r>
      <w:r w:rsidR="00534601" w:rsidRPr="00086ADB">
        <w:rPr>
          <w:szCs w:val="24"/>
        </w:rPr>
        <w:t xml:space="preserve"> </w:t>
      </w:r>
      <w:r w:rsidRPr="003F6F19">
        <w:rPr>
          <w:szCs w:val="24"/>
        </w:rPr>
        <w:t>(</w:t>
      </w:r>
      <w:r w:rsidRPr="002E766B">
        <w:rPr>
          <w:szCs w:val="24"/>
        </w:rPr>
        <w:t>$</w:t>
      </w:r>
      <w:r w:rsidR="00534601" w:rsidRPr="002E766B">
        <w:rPr>
          <w:szCs w:val="24"/>
        </w:rPr>
        <w:t>7</w:t>
      </w:r>
      <w:r w:rsidR="00534601">
        <w:rPr>
          <w:szCs w:val="24"/>
        </w:rPr>
        <w:t>5</w:t>
      </w:r>
      <w:r w:rsidRPr="002E766B">
        <w:rPr>
          <w:szCs w:val="24"/>
        </w:rPr>
        <w:t>.</w:t>
      </w:r>
      <w:r w:rsidR="00534601">
        <w:rPr>
          <w:szCs w:val="24"/>
        </w:rPr>
        <w:t xml:space="preserve">69 </w:t>
      </w:r>
      <w:r w:rsidRPr="003F6F19">
        <w:rPr>
          <w:szCs w:val="24"/>
        </w:rPr>
        <w:t xml:space="preserve">per hour x </w:t>
      </w:r>
      <w:r w:rsidRPr="00086ADB">
        <w:rPr>
          <w:szCs w:val="24"/>
        </w:rPr>
        <w:t>1</w:t>
      </w:r>
      <w:r>
        <w:rPr>
          <w:szCs w:val="24"/>
        </w:rPr>
        <w:t>,</w:t>
      </w:r>
      <w:r w:rsidRPr="00086ADB">
        <w:rPr>
          <w:szCs w:val="24"/>
        </w:rPr>
        <w:t>980</w:t>
      </w:r>
      <w:r w:rsidRPr="003F6F19">
        <w:rPr>
          <w:szCs w:val="24"/>
        </w:rPr>
        <w:t xml:space="preserve"> hours)</w:t>
      </w:r>
      <w:r>
        <w:t>.</w:t>
      </w:r>
      <w:r w:rsidR="007144E2">
        <w:t xml:space="preserve"> </w:t>
      </w:r>
      <w:r w:rsidRPr="0009331A">
        <w:t>An average cost per hour of $</w:t>
      </w:r>
      <w:r w:rsidR="00534601" w:rsidRPr="002E766B">
        <w:rPr>
          <w:szCs w:val="24"/>
        </w:rPr>
        <w:t>7</w:t>
      </w:r>
      <w:r w:rsidR="00534601">
        <w:rPr>
          <w:szCs w:val="24"/>
        </w:rPr>
        <w:t>5</w:t>
      </w:r>
      <w:r w:rsidR="00534601" w:rsidRPr="002E766B">
        <w:rPr>
          <w:szCs w:val="24"/>
        </w:rPr>
        <w:t>.</w:t>
      </w:r>
      <w:r w:rsidR="00534601">
        <w:rPr>
          <w:szCs w:val="24"/>
        </w:rPr>
        <w:t xml:space="preserve">69 </w:t>
      </w:r>
      <w:r w:rsidR="00B55C0C" w:rsidRPr="0009331A">
        <w:t>is</w:t>
      </w:r>
      <w:r w:rsidRPr="0009331A">
        <w:t xml:space="preserve"> used because that is the average loaded (salary plus benefits) cost for an EIA employee</w:t>
      </w:r>
      <w:r>
        <w:t xml:space="preserve"> </w:t>
      </w:r>
      <w:r w:rsidRPr="00B55846">
        <w:t>assigned to data survey work</w:t>
      </w:r>
      <w:r>
        <w:t xml:space="preserve"> at the time of this writing</w:t>
      </w:r>
      <w:r w:rsidRPr="0009331A">
        <w:t>.</w:t>
      </w:r>
      <w:r w:rsidR="007144E2">
        <w:t xml:space="preserve"> </w:t>
      </w:r>
      <w:r w:rsidRPr="0009331A">
        <w:t>EIA assumes that the survey respondent workforce completing surveys for EIA is comparable with the EIA workforce.</w:t>
      </w:r>
    </w:p>
    <w:bookmarkStart w:id="17" w:name="_MON_1539789608"/>
    <w:bookmarkEnd w:id="17"/>
    <w:p w14:paraId="6F80D408" w14:textId="463C2FB4" w:rsidR="00F056C3" w:rsidRDefault="00DB48BA" w:rsidP="00A41763">
      <w:pPr>
        <w:rPr>
          <w:b/>
          <w:bCs/>
        </w:rPr>
      </w:pPr>
      <w:r>
        <w:rPr>
          <w:b/>
          <w:bCs/>
        </w:rPr>
        <w:object w:dxaOrig="9090" w:dyaOrig="1590" w14:anchorId="011AB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15pt;height:86.95pt" o:ole="">
            <v:imagedata r:id="rId17" o:title=""/>
          </v:shape>
          <o:OLEObject Type="Embed" ProgID="Excel.Sheet.12" ShapeID="_x0000_i1025" DrawAspect="Content" ObjectID="_1601361894" r:id="rId18"/>
        </w:object>
      </w:r>
    </w:p>
    <w:p w14:paraId="3C533024" w14:textId="31D8D902" w:rsidR="00C7322D" w:rsidRDefault="00C7322D" w:rsidP="00C7322D">
      <w:pPr>
        <w:spacing w:after="120"/>
      </w:pPr>
      <w:r>
        <w:t>The estimated burden of five hours per response</w:t>
      </w:r>
      <w:r w:rsidR="00DB70CE">
        <w:t xml:space="preserve"> estimate </w:t>
      </w:r>
      <w:r>
        <w:t xml:space="preserve">represents both the </w:t>
      </w:r>
      <w:r w:rsidRPr="0082602A">
        <w:rPr>
          <w:i/>
        </w:rPr>
        <w:t>Appendix G - Standard Remittance Advice for Payment of Fees</w:t>
      </w:r>
      <w:r>
        <w:t xml:space="preserve"> and the Annex A to Appendix G.</w:t>
      </w:r>
    </w:p>
    <w:p w14:paraId="3D2FC5C5" w14:textId="77777777" w:rsidR="00F056C3" w:rsidRDefault="00F056C3" w:rsidP="0095178E">
      <w:pPr>
        <w:pStyle w:val="Heading2"/>
      </w:pPr>
      <w:bookmarkStart w:id="18" w:name="_Toc520713831"/>
      <w:r>
        <w:t>A.</w:t>
      </w:r>
      <w:r w:rsidR="00A41763" w:rsidRPr="00A41763">
        <w:t xml:space="preserve">13. </w:t>
      </w:r>
      <w:r w:rsidRPr="00F056C3">
        <w:t>Annual Cost to the Federal Government</w:t>
      </w:r>
      <w:bookmarkEnd w:id="18"/>
    </w:p>
    <w:p w14:paraId="6FADFFC0" w14:textId="32D1D0AC" w:rsidR="00DD4CED" w:rsidRPr="00390CB6" w:rsidRDefault="00C7322D" w:rsidP="00DD4CED">
      <w:pPr>
        <w:pStyle w:val="CommentText"/>
        <w:rPr>
          <w:rFonts w:asciiTheme="minorHAnsi" w:eastAsiaTheme="minorHAnsi" w:hAnsiTheme="minorHAnsi" w:cstheme="minorBidi"/>
          <w:snapToGrid/>
          <w:sz w:val="22"/>
          <w:szCs w:val="22"/>
        </w:rPr>
      </w:pPr>
      <w:r w:rsidRPr="00390CB6">
        <w:rPr>
          <w:rFonts w:asciiTheme="minorHAnsi" w:eastAsiaTheme="minorHAnsi" w:hAnsiTheme="minorHAnsi" w:cstheme="minorBidi"/>
          <w:snapToGrid/>
          <w:sz w:val="22"/>
          <w:szCs w:val="22"/>
        </w:rPr>
        <w:t>The estimated annual cost to the Federal Government for Form NWPA-830G, including Annex A to Appendix G, is $</w:t>
      </w:r>
      <w:r w:rsidR="00857234" w:rsidRPr="00390CB6">
        <w:rPr>
          <w:rFonts w:asciiTheme="minorHAnsi" w:eastAsiaTheme="minorHAnsi" w:hAnsiTheme="minorHAnsi" w:cstheme="minorBidi"/>
          <w:snapToGrid/>
          <w:sz w:val="22"/>
          <w:szCs w:val="22"/>
        </w:rPr>
        <w:t>236,722</w:t>
      </w:r>
      <w:r w:rsidRPr="00390CB6">
        <w:rPr>
          <w:rFonts w:asciiTheme="minorHAnsi" w:eastAsiaTheme="minorHAnsi" w:hAnsiTheme="minorHAnsi" w:cstheme="minorBidi"/>
          <w:snapToGrid/>
          <w:sz w:val="22"/>
          <w:szCs w:val="22"/>
        </w:rPr>
        <w:t>.</w:t>
      </w:r>
      <w:r w:rsidR="005F7869">
        <w:rPr>
          <w:rFonts w:asciiTheme="minorHAnsi" w:eastAsiaTheme="minorHAnsi" w:hAnsiTheme="minorHAnsi" w:cstheme="minorBidi"/>
          <w:snapToGrid/>
          <w:sz w:val="22"/>
          <w:szCs w:val="22"/>
        </w:rPr>
        <w:t xml:space="preserve"> </w:t>
      </w:r>
      <w:r w:rsidRPr="00390CB6">
        <w:rPr>
          <w:rFonts w:asciiTheme="minorHAnsi" w:eastAsiaTheme="minorHAnsi" w:hAnsiTheme="minorHAnsi" w:cstheme="minorBidi"/>
          <w:snapToGrid/>
          <w:sz w:val="22"/>
          <w:szCs w:val="22"/>
        </w:rPr>
        <w:t>This total represents the approximate share of costs for activities related specifically to Form NWPA-830G, funding for which is grouped with the N</w:t>
      </w:r>
      <w:r w:rsidR="00A717B1" w:rsidRPr="00390CB6">
        <w:rPr>
          <w:rFonts w:asciiTheme="minorHAnsi" w:eastAsiaTheme="minorHAnsi" w:hAnsiTheme="minorHAnsi" w:cstheme="minorBidi"/>
          <w:snapToGrid/>
          <w:sz w:val="22"/>
          <w:szCs w:val="22"/>
        </w:rPr>
        <w:t>uclear Waste Fund</w:t>
      </w:r>
      <w:r w:rsidRPr="00390CB6">
        <w:rPr>
          <w:rFonts w:asciiTheme="minorHAnsi" w:eastAsiaTheme="minorHAnsi" w:hAnsiTheme="minorHAnsi" w:cstheme="minorBidi"/>
          <w:snapToGrid/>
          <w:sz w:val="22"/>
          <w:szCs w:val="22"/>
        </w:rPr>
        <w:t xml:space="preserve"> Projections and Nuclear-Fuel Data Survey Operations.</w:t>
      </w:r>
      <w:r w:rsidR="007144E2" w:rsidRPr="00390CB6">
        <w:rPr>
          <w:rFonts w:asciiTheme="minorHAnsi" w:eastAsiaTheme="minorHAnsi" w:hAnsiTheme="minorHAnsi" w:cstheme="minorBidi"/>
          <w:snapToGrid/>
          <w:sz w:val="22"/>
          <w:szCs w:val="22"/>
        </w:rPr>
        <w:t xml:space="preserve"> </w:t>
      </w:r>
      <w:r w:rsidRPr="00390CB6">
        <w:rPr>
          <w:rFonts w:asciiTheme="minorHAnsi" w:eastAsiaTheme="minorHAnsi" w:hAnsiTheme="minorHAnsi" w:cstheme="minorBidi"/>
          <w:snapToGrid/>
          <w:sz w:val="22"/>
          <w:szCs w:val="22"/>
        </w:rPr>
        <w:t>Combined funding is $</w:t>
      </w:r>
      <w:r w:rsidR="00857234" w:rsidRPr="00390CB6">
        <w:rPr>
          <w:rFonts w:asciiTheme="minorHAnsi" w:eastAsiaTheme="minorHAnsi" w:hAnsiTheme="minorHAnsi" w:cstheme="minorBidi"/>
          <w:snapToGrid/>
          <w:sz w:val="22"/>
          <w:szCs w:val="22"/>
        </w:rPr>
        <w:t>789,074</w:t>
      </w:r>
      <w:r w:rsidRPr="00390CB6">
        <w:rPr>
          <w:rFonts w:asciiTheme="minorHAnsi" w:eastAsiaTheme="minorHAnsi" w:hAnsiTheme="minorHAnsi" w:cstheme="minorBidi"/>
          <w:snapToGrid/>
          <w:sz w:val="22"/>
          <w:szCs w:val="22"/>
        </w:rPr>
        <w:t>, which includes the cost of one EIA employee at $</w:t>
      </w:r>
      <w:r w:rsidR="00857234" w:rsidRPr="00390CB6">
        <w:rPr>
          <w:rFonts w:asciiTheme="minorHAnsi" w:eastAsiaTheme="minorHAnsi" w:hAnsiTheme="minorHAnsi" w:cstheme="minorBidi"/>
          <w:snapToGrid/>
          <w:sz w:val="22"/>
          <w:szCs w:val="22"/>
        </w:rPr>
        <w:t>179,355</w:t>
      </w:r>
      <w:r w:rsidRPr="00390CB6">
        <w:rPr>
          <w:rFonts w:asciiTheme="minorHAnsi" w:eastAsiaTheme="minorHAnsi" w:hAnsiTheme="minorHAnsi" w:cstheme="minorBidi"/>
          <w:snapToGrid/>
          <w:sz w:val="22"/>
          <w:szCs w:val="22"/>
        </w:rPr>
        <w:t xml:space="preserve"> and $609,719 in contractor costs.</w:t>
      </w:r>
      <w:r w:rsidR="005F7869">
        <w:rPr>
          <w:rFonts w:asciiTheme="minorHAnsi" w:eastAsiaTheme="minorHAnsi" w:hAnsiTheme="minorHAnsi" w:cstheme="minorBidi"/>
          <w:snapToGrid/>
          <w:sz w:val="22"/>
          <w:szCs w:val="22"/>
        </w:rPr>
        <w:t xml:space="preserve"> EIA allocates 30% of the combined funding from the </w:t>
      </w:r>
      <w:r w:rsidR="005F7869" w:rsidRPr="006D0BC2">
        <w:rPr>
          <w:rFonts w:asciiTheme="minorHAnsi" w:eastAsiaTheme="minorHAnsi" w:hAnsiTheme="minorHAnsi" w:cstheme="minorBidi"/>
          <w:snapToGrid/>
          <w:sz w:val="22"/>
          <w:szCs w:val="22"/>
        </w:rPr>
        <w:t>Nuclear Waste Fund Projections and Nuclear-Fuel Data Survey Operations</w:t>
      </w:r>
      <w:r w:rsidR="005F7869">
        <w:rPr>
          <w:rFonts w:asciiTheme="minorHAnsi" w:eastAsiaTheme="minorHAnsi" w:hAnsiTheme="minorHAnsi" w:cstheme="minorBidi"/>
          <w:snapToGrid/>
          <w:sz w:val="22"/>
          <w:szCs w:val="22"/>
        </w:rPr>
        <w:t xml:space="preserve"> for Form NWPA-830G.</w:t>
      </w:r>
      <w:r w:rsidR="007144E2" w:rsidRPr="00390CB6">
        <w:rPr>
          <w:rFonts w:asciiTheme="minorHAnsi" w:eastAsiaTheme="minorHAnsi" w:hAnsiTheme="minorHAnsi" w:cstheme="minorBidi"/>
          <w:snapToGrid/>
          <w:sz w:val="22"/>
          <w:szCs w:val="22"/>
        </w:rPr>
        <w:t xml:space="preserve"> </w:t>
      </w:r>
      <w:r w:rsidRPr="00390CB6">
        <w:rPr>
          <w:rFonts w:asciiTheme="minorHAnsi" w:eastAsiaTheme="minorHAnsi" w:hAnsiTheme="minorHAnsi" w:cstheme="minorBidi"/>
          <w:snapToGrid/>
          <w:sz w:val="22"/>
          <w:szCs w:val="22"/>
        </w:rPr>
        <w:t>The cost figures include (1) Development and Maintenance Costs, (2) Collection Costs, (3) Processing Costs, (4) Analysis Costs, (5) Publication Costs, and (6) Other Costs.</w:t>
      </w:r>
      <w:r w:rsidR="00DD4CED" w:rsidRPr="00390CB6">
        <w:rPr>
          <w:rFonts w:asciiTheme="minorHAnsi" w:eastAsiaTheme="minorHAnsi" w:hAnsiTheme="minorHAnsi" w:cstheme="minorBidi"/>
          <w:snapToGrid/>
          <w:sz w:val="22"/>
          <w:szCs w:val="22"/>
        </w:rPr>
        <w:t xml:space="preserve"> </w:t>
      </w:r>
    </w:p>
    <w:p w14:paraId="0A7461D8" w14:textId="6BD6ED6A" w:rsidR="00DD4CED" w:rsidRDefault="00DD4CED" w:rsidP="00DD4CED">
      <w:pPr>
        <w:pStyle w:val="CommentText"/>
        <w:rPr>
          <w:rFonts w:asciiTheme="minorHAnsi" w:eastAsiaTheme="minorHAnsi" w:hAnsiTheme="minorHAnsi" w:cstheme="minorBidi"/>
          <w:snapToGrid/>
          <w:sz w:val="22"/>
          <w:szCs w:val="22"/>
        </w:rPr>
      </w:pPr>
      <w:r w:rsidRPr="00390CB6">
        <w:rPr>
          <w:rFonts w:asciiTheme="minorHAnsi" w:eastAsiaTheme="minorHAnsi" w:hAnsiTheme="minorHAnsi" w:cstheme="minorBidi"/>
          <w:snapToGrid/>
          <w:sz w:val="22"/>
          <w:szCs w:val="22"/>
        </w:rPr>
        <w:t xml:space="preserve">It includes the fund for one FTE at the rate of $179,355 as identified in the 2018 Service Agreement between EIA and DOE. </w:t>
      </w:r>
      <w:r w:rsidR="005F7869">
        <w:rPr>
          <w:rFonts w:asciiTheme="minorHAnsi" w:eastAsiaTheme="minorHAnsi" w:hAnsiTheme="minorHAnsi" w:cstheme="minorBidi"/>
          <w:snapToGrid/>
          <w:sz w:val="22"/>
          <w:szCs w:val="22"/>
        </w:rPr>
        <w:t>It a</w:t>
      </w:r>
      <w:r w:rsidRPr="00390CB6">
        <w:rPr>
          <w:rFonts w:asciiTheme="minorHAnsi" w:eastAsiaTheme="minorHAnsi" w:hAnsiTheme="minorHAnsi" w:cstheme="minorBidi"/>
          <w:snapToGrid/>
          <w:sz w:val="22"/>
          <w:szCs w:val="22"/>
        </w:rPr>
        <w:t xml:space="preserve">lso considers the contractor cost of $609,719 which is the annual average of the final two years of the contract between Z and EIA. </w:t>
      </w:r>
    </w:p>
    <w:p w14:paraId="04C2D111" w14:textId="3519B4CB" w:rsidR="005F7869" w:rsidRDefault="005F7869" w:rsidP="005F7869">
      <w:pPr>
        <w:rPr>
          <w:color w:val="1F497D"/>
        </w:rPr>
      </w:pPr>
      <w:r>
        <w:rPr>
          <w:color w:val="1F497D"/>
        </w:rPr>
        <w:t>Total Annual EIA Employee Cost = 30% x $179,355 = $53,807</w:t>
      </w:r>
    </w:p>
    <w:p w14:paraId="40DB31BF" w14:textId="03C3CFD4" w:rsidR="005F7869" w:rsidRDefault="005F7869" w:rsidP="005F7869">
      <w:pPr>
        <w:rPr>
          <w:color w:val="1F497D"/>
        </w:rPr>
      </w:pPr>
      <w:r>
        <w:rPr>
          <w:color w:val="1F497D"/>
        </w:rPr>
        <w:t>Total Annual Contractor Employee(s) Cost = 30% x $609,719 = $182,916</w:t>
      </w:r>
    </w:p>
    <w:tbl>
      <w:tblPr>
        <w:tblW w:w="9470" w:type="dxa"/>
        <w:tblCellMar>
          <w:left w:w="0" w:type="dxa"/>
          <w:right w:w="0" w:type="dxa"/>
        </w:tblCellMar>
        <w:tblLook w:val="04A0" w:firstRow="1" w:lastRow="0" w:firstColumn="1" w:lastColumn="0" w:noHBand="0" w:noVBand="1"/>
      </w:tblPr>
      <w:tblGrid>
        <w:gridCol w:w="4274"/>
        <w:gridCol w:w="1914"/>
        <w:gridCol w:w="1914"/>
        <w:gridCol w:w="1368"/>
      </w:tblGrid>
      <w:tr w:rsidR="005F7869" w14:paraId="0815F395" w14:textId="77777777" w:rsidTr="00390CB6">
        <w:trPr>
          <w:trHeight w:val="268"/>
        </w:trPr>
        <w:tc>
          <w:tcPr>
            <w:tcW w:w="947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15D840" w14:textId="77777777" w:rsidR="005F7869" w:rsidRPr="0095178E" w:rsidRDefault="005F7869" w:rsidP="0095178E">
            <w:pPr>
              <w:pStyle w:val="Heading2"/>
              <w:rPr>
                <w:rFonts w:ascii="Calibri" w:hAnsi="Calibri"/>
                <w:szCs w:val="28"/>
              </w:rPr>
            </w:pPr>
            <w:r w:rsidRPr="0095178E">
              <w:t xml:space="preserve">Table A2 Contractor Costs (Annual) </w:t>
            </w:r>
          </w:p>
        </w:tc>
      </w:tr>
      <w:tr w:rsidR="005F7869" w14:paraId="4D603A33" w14:textId="77777777" w:rsidTr="00390CB6">
        <w:trPr>
          <w:trHeight w:val="324"/>
        </w:trPr>
        <w:tc>
          <w:tcPr>
            <w:tcW w:w="4274" w:type="dxa"/>
            <w:tcBorders>
              <w:top w:val="nil"/>
              <w:left w:val="single" w:sz="8" w:space="0" w:color="auto"/>
              <w:bottom w:val="single" w:sz="8" w:space="0" w:color="auto"/>
              <w:right w:val="single" w:sz="8" w:space="0" w:color="auto"/>
            </w:tcBorders>
            <w:shd w:val="clear" w:color="auto" w:fill="0080BD"/>
            <w:noWrap/>
            <w:tcMar>
              <w:top w:w="0" w:type="dxa"/>
              <w:left w:w="108" w:type="dxa"/>
              <w:bottom w:w="0" w:type="dxa"/>
              <w:right w:w="108" w:type="dxa"/>
            </w:tcMar>
            <w:vAlign w:val="center"/>
            <w:hideMark/>
          </w:tcPr>
          <w:p w14:paraId="4D2E56EC" w14:textId="77777777" w:rsidR="005F7869" w:rsidRDefault="005F7869">
            <w:pPr>
              <w:rPr>
                <w:rFonts w:ascii="Calibri" w:hAnsi="Calibri"/>
                <w:b/>
                <w:bCs/>
                <w:color w:val="000000"/>
                <w:lang w:eastAsia="ja-JP"/>
              </w:rPr>
            </w:pPr>
            <w:r>
              <w:rPr>
                <w:b/>
                <w:bCs/>
                <w:color w:val="000000"/>
              </w:rPr>
              <w:t>Activity</w:t>
            </w:r>
          </w:p>
        </w:tc>
        <w:tc>
          <w:tcPr>
            <w:tcW w:w="1914" w:type="dxa"/>
            <w:tcBorders>
              <w:top w:val="nil"/>
              <w:left w:val="nil"/>
              <w:bottom w:val="single" w:sz="8" w:space="0" w:color="auto"/>
              <w:right w:val="single" w:sz="8" w:space="0" w:color="auto"/>
            </w:tcBorders>
            <w:shd w:val="clear" w:color="auto" w:fill="0080BD"/>
            <w:noWrap/>
            <w:tcMar>
              <w:top w:w="0" w:type="dxa"/>
              <w:left w:w="108" w:type="dxa"/>
              <w:bottom w:w="0" w:type="dxa"/>
              <w:right w:w="108" w:type="dxa"/>
            </w:tcMar>
            <w:vAlign w:val="center"/>
            <w:hideMark/>
          </w:tcPr>
          <w:p w14:paraId="05C973A1" w14:textId="77777777" w:rsidR="005F7869" w:rsidRDefault="005F7869">
            <w:pPr>
              <w:jc w:val="center"/>
              <w:rPr>
                <w:b/>
                <w:bCs/>
                <w:color w:val="000000"/>
              </w:rPr>
            </w:pPr>
            <w:r>
              <w:rPr>
                <w:b/>
                <w:bCs/>
                <w:color w:val="000000"/>
              </w:rPr>
              <w:t>Labor hours</w:t>
            </w:r>
          </w:p>
        </w:tc>
        <w:tc>
          <w:tcPr>
            <w:tcW w:w="1914" w:type="dxa"/>
            <w:tcBorders>
              <w:top w:val="nil"/>
              <w:left w:val="nil"/>
              <w:bottom w:val="single" w:sz="8" w:space="0" w:color="auto"/>
              <w:right w:val="single" w:sz="8" w:space="0" w:color="auto"/>
            </w:tcBorders>
            <w:shd w:val="clear" w:color="auto" w:fill="0080BD"/>
            <w:noWrap/>
            <w:tcMar>
              <w:top w:w="0" w:type="dxa"/>
              <w:left w:w="108" w:type="dxa"/>
              <w:bottom w:w="0" w:type="dxa"/>
              <w:right w:w="108" w:type="dxa"/>
            </w:tcMar>
            <w:vAlign w:val="center"/>
            <w:hideMark/>
          </w:tcPr>
          <w:p w14:paraId="1C659D70" w14:textId="77777777" w:rsidR="005F7869" w:rsidRDefault="005F7869">
            <w:pPr>
              <w:jc w:val="center"/>
              <w:rPr>
                <w:b/>
                <w:bCs/>
                <w:color w:val="000000"/>
              </w:rPr>
            </w:pPr>
            <w:r>
              <w:rPr>
                <w:b/>
                <w:bCs/>
                <w:color w:val="000000"/>
              </w:rPr>
              <w:t>Cost</w:t>
            </w:r>
          </w:p>
        </w:tc>
        <w:tc>
          <w:tcPr>
            <w:tcW w:w="1367" w:type="dxa"/>
            <w:tcBorders>
              <w:top w:val="nil"/>
              <w:left w:val="nil"/>
              <w:bottom w:val="single" w:sz="8" w:space="0" w:color="auto"/>
              <w:right w:val="single" w:sz="8" w:space="0" w:color="auto"/>
            </w:tcBorders>
            <w:shd w:val="clear" w:color="auto" w:fill="0080BD"/>
            <w:noWrap/>
            <w:tcMar>
              <w:top w:w="0" w:type="dxa"/>
              <w:left w:w="108" w:type="dxa"/>
              <w:bottom w:w="0" w:type="dxa"/>
              <w:right w:w="108" w:type="dxa"/>
            </w:tcMar>
            <w:vAlign w:val="center"/>
            <w:hideMark/>
          </w:tcPr>
          <w:p w14:paraId="0155A324" w14:textId="77777777" w:rsidR="005F7869" w:rsidRDefault="005F7869">
            <w:pPr>
              <w:jc w:val="center"/>
              <w:rPr>
                <w:b/>
                <w:bCs/>
                <w:color w:val="000000"/>
              </w:rPr>
            </w:pPr>
            <w:r>
              <w:rPr>
                <w:b/>
                <w:bCs/>
                <w:color w:val="000000"/>
              </w:rPr>
              <w:t>% of time</w:t>
            </w:r>
          </w:p>
        </w:tc>
      </w:tr>
      <w:tr w:rsidR="005F7869" w14:paraId="277FC00C" w14:textId="77777777" w:rsidTr="00390CB6">
        <w:trPr>
          <w:trHeight w:val="249"/>
        </w:trPr>
        <w:tc>
          <w:tcPr>
            <w:tcW w:w="42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A5911D" w14:textId="77777777" w:rsidR="005F7869" w:rsidRDefault="005F7869">
            <w:pPr>
              <w:rPr>
                <w:color w:val="000000"/>
                <w:lang w:eastAsia="ja-JP"/>
              </w:rPr>
            </w:pPr>
            <w:r>
              <w:rPr>
                <w:color w:val="000000"/>
              </w:rPr>
              <w:t>Survey frame and maintenance</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BD01FF" w14:textId="77777777" w:rsidR="005F7869" w:rsidRDefault="005F7869">
            <w:pPr>
              <w:jc w:val="center"/>
              <w:rPr>
                <w:color w:val="000000"/>
              </w:rPr>
            </w:pPr>
            <w:r>
              <w:rPr>
                <w:color w:val="000000"/>
              </w:rPr>
              <w:t>106</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023BE0" w14:textId="77777777" w:rsidR="005F7869" w:rsidRDefault="005F7869">
            <w:pPr>
              <w:jc w:val="center"/>
              <w:rPr>
                <w:color w:val="000000"/>
                <w:lang w:eastAsia="ja-JP"/>
              </w:rPr>
            </w:pPr>
            <w:r>
              <w:rPr>
                <w:color w:val="000000"/>
              </w:rPr>
              <w:t xml:space="preserve">$9,146 </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BFC89C" w14:textId="77777777" w:rsidR="005F7869" w:rsidRDefault="005F7869">
            <w:pPr>
              <w:jc w:val="center"/>
              <w:rPr>
                <w:color w:val="000000"/>
              </w:rPr>
            </w:pPr>
            <w:r>
              <w:rPr>
                <w:color w:val="000000"/>
              </w:rPr>
              <w:t>5%</w:t>
            </w:r>
          </w:p>
        </w:tc>
      </w:tr>
      <w:tr w:rsidR="005F7869" w14:paraId="67A90D35" w14:textId="77777777" w:rsidTr="00390CB6">
        <w:trPr>
          <w:trHeight w:val="249"/>
        </w:trPr>
        <w:tc>
          <w:tcPr>
            <w:tcW w:w="42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F748C0" w14:textId="77777777" w:rsidR="005F7869" w:rsidRDefault="005F7869">
            <w:pPr>
              <w:rPr>
                <w:color w:val="000000"/>
              </w:rPr>
            </w:pPr>
            <w:r>
              <w:rPr>
                <w:color w:val="000000"/>
              </w:rPr>
              <w:t xml:space="preserve">Data collection and processing </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AED707" w14:textId="77777777" w:rsidR="005F7869" w:rsidRDefault="005F7869">
            <w:pPr>
              <w:jc w:val="center"/>
              <w:rPr>
                <w:color w:val="000000"/>
              </w:rPr>
            </w:pPr>
            <w:r>
              <w:rPr>
                <w:color w:val="000000"/>
              </w:rPr>
              <w:t>573</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7BE2F5" w14:textId="77777777" w:rsidR="005F7869" w:rsidRDefault="005F7869">
            <w:pPr>
              <w:jc w:val="center"/>
              <w:rPr>
                <w:color w:val="000000"/>
              </w:rPr>
            </w:pPr>
            <w:r>
              <w:rPr>
                <w:color w:val="000000"/>
              </w:rPr>
              <w:t xml:space="preserve">$49,387 </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BED2C8" w14:textId="77777777" w:rsidR="005F7869" w:rsidRDefault="005F7869">
            <w:pPr>
              <w:jc w:val="center"/>
              <w:rPr>
                <w:color w:val="000000"/>
              </w:rPr>
            </w:pPr>
            <w:r>
              <w:rPr>
                <w:color w:val="000000"/>
              </w:rPr>
              <w:t>27%</w:t>
            </w:r>
          </w:p>
        </w:tc>
      </w:tr>
      <w:tr w:rsidR="005F7869" w14:paraId="71AD49AA" w14:textId="77777777" w:rsidTr="00390CB6">
        <w:trPr>
          <w:trHeight w:val="249"/>
        </w:trPr>
        <w:tc>
          <w:tcPr>
            <w:tcW w:w="42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6CA031" w14:textId="77777777" w:rsidR="005F7869" w:rsidRDefault="005F7869">
            <w:pPr>
              <w:rPr>
                <w:color w:val="000000"/>
              </w:rPr>
            </w:pPr>
            <w:r>
              <w:rPr>
                <w:color w:val="000000"/>
              </w:rPr>
              <w:t>Data analysis</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4A4DE4" w14:textId="0AC0AE65" w:rsidR="005F7869" w:rsidRDefault="005F7869">
            <w:pPr>
              <w:jc w:val="center"/>
              <w:rPr>
                <w:color w:val="000000"/>
              </w:rPr>
            </w:pPr>
            <w:r>
              <w:rPr>
                <w:color w:val="000000"/>
              </w:rPr>
              <w:t>1</w:t>
            </w:r>
            <w:r w:rsidR="009A3266">
              <w:rPr>
                <w:color w:val="000000"/>
              </w:rPr>
              <w:t>,</w:t>
            </w:r>
            <w:r>
              <w:rPr>
                <w:color w:val="000000"/>
              </w:rPr>
              <w:t>168</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9B18B7" w14:textId="77777777" w:rsidR="005F7869" w:rsidRDefault="005F7869">
            <w:pPr>
              <w:jc w:val="center"/>
              <w:rPr>
                <w:color w:val="000000"/>
              </w:rPr>
            </w:pPr>
            <w:r>
              <w:rPr>
                <w:color w:val="000000"/>
              </w:rPr>
              <w:t xml:space="preserve">$100,604 </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100C1B" w14:textId="77777777" w:rsidR="005F7869" w:rsidRDefault="005F7869">
            <w:pPr>
              <w:jc w:val="center"/>
              <w:rPr>
                <w:color w:val="000000"/>
              </w:rPr>
            </w:pPr>
            <w:r>
              <w:rPr>
                <w:color w:val="000000"/>
              </w:rPr>
              <w:t>55%</w:t>
            </w:r>
          </w:p>
        </w:tc>
      </w:tr>
      <w:tr w:rsidR="005F7869" w14:paraId="61D5EAE0" w14:textId="77777777" w:rsidTr="00390CB6">
        <w:trPr>
          <w:trHeight w:val="249"/>
        </w:trPr>
        <w:tc>
          <w:tcPr>
            <w:tcW w:w="42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EFE124" w14:textId="77777777" w:rsidR="005F7869" w:rsidRDefault="005F7869">
            <w:pPr>
              <w:rPr>
                <w:color w:val="000000"/>
              </w:rPr>
            </w:pPr>
            <w:r>
              <w:rPr>
                <w:color w:val="000000"/>
              </w:rPr>
              <w:t xml:space="preserve">Data systems maintenance and contract management </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9CE896" w14:textId="77777777" w:rsidR="005F7869" w:rsidRDefault="005F7869">
            <w:pPr>
              <w:jc w:val="center"/>
              <w:rPr>
                <w:color w:val="000000"/>
              </w:rPr>
            </w:pPr>
            <w:r>
              <w:rPr>
                <w:color w:val="000000"/>
              </w:rPr>
              <w:t>276</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939969" w14:textId="77777777" w:rsidR="005F7869" w:rsidRDefault="005F7869">
            <w:pPr>
              <w:jc w:val="center"/>
              <w:rPr>
                <w:color w:val="000000"/>
              </w:rPr>
            </w:pPr>
            <w:r>
              <w:rPr>
                <w:color w:val="000000"/>
              </w:rPr>
              <w:t xml:space="preserve">$23,779 </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711F98" w14:textId="77777777" w:rsidR="005F7869" w:rsidRDefault="005F7869">
            <w:pPr>
              <w:jc w:val="center"/>
              <w:rPr>
                <w:color w:val="000000"/>
              </w:rPr>
            </w:pPr>
            <w:r>
              <w:rPr>
                <w:color w:val="000000"/>
              </w:rPr>
              <w:t>13%</w:t>
            </w:r>
          </w:p>
        </w:tc>
      </w:tr>
      <w:tr w:rsidR="005F7869" w14:paraId="1EA8921E" w14:textId="77777777" w:rsidTr="00390CB6">
        <w:trPr>
          <w:trHeight w:val="249"/>
        </w:trPr>
        <w:tc>
          <w:tcPr>
            <w:tcW w:w="427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A07980" w14:textId="77777777" w:rsidR="005F7869" w:rsidRDefault="005F7869">
            <w:pPr>
              <w:rPr>
                <w:b/>
                <w:bCs/>
                <w:color w:val="000000"/>
              </w:rPr>
            </w:pPr>
            <w:r>
              <w:rPr>
                <w:b/>
                <w:bCs/>
                <w:color w:val="000000"/>
              </w:rPr>
              <w:t>Total Annual Cost</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621372" w14:textId="1CEF0846" w:rsidR="005F7869" w:rsidRDefault="005F7869">
            <w:pPr>
              <w:jc w:val="center"/>
              <w:rPr>
                <w:b/>
                <w:bCs/>
                <w:color w:val="000000"/>
              </w:rPr>
            </w:pPr>
            <w:r>
              <w:rPr>
                <w:b/>
                <w:bCs/>
                <w:color w:val="000000"/>
              </w:rPr>
              <w:t>2</w:t>
            </w:r>
            <w:r w:rsidR="009A3266">
              <w:rPr>
                <w:b/>
                <w:bCs/>
                <w:color w:val="000000"/>
              </w:rPr>
              <w:t>,</w:t>
            </w:r>
            <w:r>
              <w:rPr>
                <w:b/>
                <w:bCs/>
                <w:color w:val="000000"/>
              </w:rPr>
              <w:t>123</w:t>
            </w:r>
          </w:p>
        </w:tc>
        <w:tc>
          <w:tcPr>
            <w:tcW w:w="191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90BE21" w14:textId="77777777" w:rsidR="005F7869" w:rsidRDefault="005F7869">
            <w:pPr>
              <w:jc w:val="center"/>
              <w:rPr>
                <w:b/>
                <w:bCs/>
                <w:color w:val="000000"/>
              </w:rPr>
            </w:pPr>
            <w:r>
              <w:rPr>
                <w:b/>
                <w:bCs/>
                <w:color w:val="000000"/>
              </w:rPr>
              <w:t xml:space="preserve">$182,916 </w:t>
            </w:r>
          </w:p>
        </w:tc>
        <w:tc>
          <w:tcPr>
            <w:tcW w:w="13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DAB6ED" w14:textId="77777777" w:rsidR="005F7869" w:rsidRDefault="005F7869">
            <w:pPr>
              <w:jc w:val="center"/>
              <w:rPr>
                <w:b/>
                <w:bCs/>
                <w:color w:val="000000"/>
              </w:rPr>
            </w:pPr>
            <w:r>
              <w:rPr>
                <w:b/>
                <w:bCs/>
                <w:color w:val="000000"/>
              </w:rPr>
              <w:t>100%</w:t>
            </w:r>
          </w:p>
        </w:tc>
      </w:tr>
    </w:tbl>
    <w:p w14:paraId="43FA5194" w14:textId="77777777" w:rsidR="005F7869" w:rsidRDefault="005F7869" w:rsidP="005F7869">
      <w:pPr>
        <w:rPr>
          <w:rFonts w:ascii="Calibri" w:eastAsia="MS PGothic" w:hAnsi="Calibri" w:cs="MS PGothic"/>
          <w:color w:val="1F497D"/>
        </w:rPr>
      </w:pPr>
    </w:p>
    <w:tbl>
      <w:tblPr>
        <w:tblW w:w="9350" w:type="dxa"/>
        <w:tblCellMar>
          <w:left w:w="0" w:type="dxa"/>
          <w:right w:w="0" w:type="dxa"/>
        </w:tblCellMar>
        <w:tblLook w:val="04A0" w:firstRow="1" w:lastRow="0" w:firstColumn="1" w:lastColumn="0" w:noHBand="0" w:noVBand="1"/>
      </w:tblPr>
      <w:tblGrid>
        <w:gridCol w:w="4220"/>
        <w:gridCol w:w="1890"/>
        <w:gridCol w:w="1890"/>
        <w:gridCol w:w="1350"/>
      </w:tblGrid>
      <w:tr w:rsidR="005F7869" w14:paraId="4757E34E" w14:textId="77777777" w:rsidTr="00390CB6">
        <w:trPr>
          <w:trHeight w:val="255"/>
        </w:trPr>
        <w:tc>
          <w:tcPr>
            <w:tcW w:w="935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187BF2" w14:textId="77777777" w:rsidR="005F7869" w:rsidRDefault="005F7869" w:rsidP="0095178E">
            <w:pPr>
              <w:pStyle w:val="Heading2"/>
              <w:rPr>
                <w:rFonts w:ascii="Calibri" w:hAnsi="Calibri"/>
                <w:color w:val="000000"/>
                <w:szCs w:val="28"/>
              </w:rPr>
            </w:pPr>
            <w:r>
              <w:t>Table A3 Federal Employee Costs (Annual)</w:t>
            </w:r>
          </w:p>
        </w:tc>
      </w:tr>
      <w:tr w:rsidR="005F7869" w14:paraId="306CEA86" w14:textId="77777777" w:rsidTr="00390CB6">
        <w:trPr>
          <w:trHeight w:val="255"/>
        </w:trPr>
        <w:tc>
          <w:tcPr>
            <w:tcW w:w="4220" w:type="dxa"/>
            <w:tcBorders>
              <w:top w:val="nil"/>
              <w:left w:val="single" w:sz="8" w:space="0" w:color="auto"/>
              <w:bottom w:val="single" w:sz="8" w:space="0" w:color="auto"/>
              <w:right w:val="single" w:sz="8" w:space="0" w:color="auto"/>
            </w:tcBorders>
            <w:shd w:val="clear" w:color="auto" w:fill="0080BD"/>
            <w:noWrap/>
            <w:tcMar>
              <w:top w:w="0" w:type="dxa"/>
              <w:left w:w="108" w:type="dxa"/>
              <w:bottom w:w="0" w:type="dxa"/>
              <w:right w:w="108" w:type="dxa"/>
            </w:tcMar>
            <w:vAlign w:val="center"/>
            <w:hideMark/>
          </w:tcPr>
          <w:p w14:paraId="11B812DC" w14:textId="77777777" w:rsidR="005F7869" w:rsidRDefault="005F7869">
            <w:pPr>
              <w:rPr>
                <w:rFonts w:ascii="Calibri" w:hAnsi="Calibri"/>
                <w:b/>
                <w:bCs/>
                <w:color w:val="000000"/>
                <w:lang w:eastAsia="ja-JP"/>
              </w:rPr>
            </w:pPr>
            <w:r>
              <w:rPr>
                <w:b/>
                <w:bCs/>
                <w:color w:val="000000"/>
              </w:rPr>
              <w:t>Activity</w:t>
            </w:r>
          </w:p>
        </w:tc>
        <w:tc>
          <w:tcPr>
            <w:tcW w:w="1890" w:type="dxa"/>
            <w:tcBorders>
              <w:top w:val="nil"/>
              <w:left w:val="nil"/>
              <w:bottom w:val="single" w:sz="8" w:space="0" w:color="auto"/>
              <w:right w:val="single" w:sz="8" w:space="0" w:color="auto"/>
            </w:tcBorders>
            <w:shd w:val="clear" w:color="auto" w:fill="0080BD"/>
            <w:noWrap/>
            <w:tcMar>
              <w:top w:w="0" w:type="dxa"/>
              <w:left w:w="108" w:type="dxa"/>
              <w:bottom w:w="0" w:type="dxa"/>
              <w:right w:w="108" w:type="dxa"/>
            </w:tcMar>
            <w:vAlign w:val="center"/>
            <w:hideMark/>
          </w:tcPr>
          <w:p w14:paraId="5DB84E7F" w14:textId="77777777" w:rsidR="005F7869" w:rsidRDefault="005F7869">
            <w:pPr>
              <w:jc w:val="center"/>
              <w:rPr>
                <w:b/>
                <w:bCs/>
                <w:color w:val="000000"/>
              </w:rPr>
            </w:pPr>
            <w:r>
              <w:rPr>
                <w:b/>
                <w:bCs/>
                <w:color w:val="000000"/>
              </w:rPr>
              <w:t>Labor hours</w:t>
            </w:r>
          </w:p>
        </w:tc>
        <w:tc>
          <w:tcPr>
            <w:tcW w:w="1890" w:type="dxa"/>
            <w:tcBorders>
              <w:top w:val="nil"/>
              <w:left w:val="nil"/>
              <w:bottom w:val="single" w:sz="8" w:space="0" w:color="auto"/>
              <w:right w:val="single" w:sz="8" w:space="0" w:color="auto"/>
            </w:tcBorders>
            <w:shd w:val="clear" w:color="auto" w:fill="0080BD"/>
            <w:noWrap/>
            <w:tcMar>
              <w:top w:w="0" w:type="dxa"/>
              <w:left w:w="108" w:type="dxa"/>
              <w:bottom w:w="0" w:type="dxa"/>
              <w:right w:w="108" w:type="dxa"/>
            </w:tcMar>
            <w:vAlign w:val="center"/>
            <w:hideMark/>
          </w:tcPr>
          <w:p w14:paraId="02A85068" w14:textId="77777777" w:rsidR="005F7869" w:rsidRDefault="005F7869">
            <w:pPr>
              <w:jc w:val="center"/>
              <w:rPr>
                <w:b/>
                <w:bCs/>
                <w:color w:val="000000"/>
              </w:rPr>
            </w:pPr>
            <w:r>
              <w:rPr>
                <w:b/>
                <w:bCs/>
                <w:color w:val="000000"/>
              </w:rPr>
              <w:t>Cost</w:t>
            </w:r>
          </w:p>
        </w:tc>
        <w:tc>
          <w:tcPr>
            <w:tcW w:w="1350" w:type="dxa"/>
            <w:tcBorders>
              <w:top w:val="nil"/>
              <w:left w:val="nil"/>
              <w:bottom w:val="single" w:sz="8" w:space="0" w:color="auto"/>
              <w:right w:val="single" w:sz="8" w:space="0" w:color="auto"/>
            </w:tcBorders>
            <w:shd w:val="clear" w:color="auto" w:fill="0080BD"/>
            <w:noWrap/>
            <w:tcMar>
              <w:top w:w="0" w:type="dxa"/>
              <w:left w:w="108" w:type="dxa"/>
              <w:bottom w:w="0" w:type="dxa"/>
              <w:right w:w="108" w:type="dxa"/>
            </w:tcMar>
            <w:vAlign w:val="center"/>
            <w:hideMark/>
          </w:tcPr>
          <w:p w14:paraId="0E215956" w14:textId="77777777" w:rsidR="005F7869" w:rsidRDefault="005F7869">
            <w:pPr>
              <w:jc w:val="center"/>
              <w:rPr>
                <w:b/>
                <w:bCs/>
                <w:color w:val="000000"/>
              </w:rPr>
            </w:pPr>
            <w:r>
              <w:rPr>
                <w:b/>
                <w:bCs/>
                <w:color w:val="000000"/>
              </w:rPr>
              <w:t>% of time</w:t>
            </w:r>
          </w:p>
        </w:tc>
      </w:tr>
      <w:tr w:rsidR="005F7869" w14:paraId="0ADB6621" w14:textId="77777777" w:rsidTr="00390CB6">
        <w:trPr>
          <w:trHeight w:val="255"/>
        </w:trPr>
        <w:tc>
          <w:tcPr>
            <w:tcW w:w="4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6DDC96" w14:textId="77777777" w:rsidR="005F7869" w:rsidRDefault="005F7869">
            <w:pPr>
              <w:rPr>
                <w:color w:val="000000"/>
                <w:lang w:eastAsia="ja-JP"/>
              </w:rPr>
            </w:pPr>
            <w:r>
              <w:rPr>
                <w:color w:val="000000"/>
              </w:rPr>
              <w:t>Survey frame and maintenance</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B45263" w14:textId="77777777" w:rsidR="005F7869" w:rsidRDefault="005F7869">
            <w:pPr>
              <w:jc w:val="center"/>
              <w:rPr>
                <w:color w:val="000000"/>
              </w:rPr>
            </w:pPr>
            <w:r>
              <w:rPr>
                <w:color w:val="000000"/>
              </w:rPr>
              <w:t>31</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C98F62" w14:textId="77777777" w:rsidR="005F7869" w:rsidRDefault="005F7869">
            <w:pPr>
              <w:jc w:val="center"/>
              <w:rPr>
                <w:color w:val="000000"/>
                <w:lang w:eastAsia="ja-JP"/>
              </w:rPr>
            </w:pPr>
            <w:r>
              <w:rPr>
                <w:color w:val="000000"/>
              </w:rPr>
              <w:t xml:space="preserve">$2,690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98E8044" w14:textId="77777777" w:rsidR="005F7869" w:rsidRDefault="005F7869">
            <w:pPr>
              <w:jc w:val="center"/>
              <w:rPr>
                <w:color w:val="000000"/>
              </w:rPr>
            </w:pPr>
            <w:r>
              <w:rPr>
                <w:color w:val="000000"/>
              </w:rPr>
              <w:t>5%</w:t>
            </w:r>
          </w:p>
        </w:tc>
      </w:tr>
      <w:tr w:rsidR="005F7869" w14:paraId="27B0472A" w14:textId="77777777" w:rsidTr="00390CB6">
        <w:trPr>
          <w:trHeight w:val="255"/>
        </w:trPr>
        <w:tc>
          <w:tcPr>
            <w:tcW w:w="4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E9C706" w14:textId="77777777" w:rsidR="005F7869" w:rsidRDefault="005F7869">
            <w:pPr>
              <w:rPr>
                <w:color w:val="000000"/>
              </w:rPr>
            </w:pPr>
            <w:r>
              <w:rPr>
                <w:color w:val="000000"/>
              </w:rPr>
              <w:t>Data collection and processing (QA)</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84EC26" w14:textId="3639A192" w:rsidR="005F7869" w:rsidRDefault="00476D3F" w:rsidP="00476D3F">
            <w:pPr>
              <w:jc w:val="center"/>
              <w:rPr>
                <w:color w:val="000000"/>
              </w:rPr>
            </w:pPr>
            <w:r>
              <w:rPr>
                <w:color w:val="000000"/>
              </w:rPr>
              <w:t>169</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6445C6" w14:textId="77777777" w:rsidR="005F7869" w:rsidRDefault="005F7869">
            <w:pPr>
              <w:jc w:val="center"/>
              <w:rPr>
                <w:color w:val="000000"/>
              </w:rPr>
            </w:pPr>
            <w:r>
              <w:rPr>
                <w:color w:val="000000"/>
              </w:rPr>
              <w:t xml:space="preserve">$14,528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D579D8" w14:textId="77777777" w:rsidR="005F7869" w:rsidRDefault="005F7869">
            <w:pPr>
              <w:jc w:val="center"/>
              <w:rPr>
                <w:color w:val="000000"/>
              </w:rPr>
            </w:pPr>
            <w:r>
              <w:rPr>
                <w:color w:val="000000"/>
              </w:rPr>
              <w:t>27%</w:t>
            </w:r>
          </w:p>
        </w:tc>
      </w:tr>
      <w:tr w:rsidR="005F7869" w14:paraId="5C205C38" w14:textId="77777777" w:rsidTr="00390CB6">
        <w:trPr>
          <w:trHeight w:val="255"/>
        </w:trPr>
        <w:tc>
          <w:tcPr>
            <w:tcW w:w="4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0A6CBC2" w14:textId="77777777" w:rsidR="005F7869" w:rsidRDefault="005F7869">
            <w:pPr>
              <w:rPr>
                <w:color w:val="000000"/>
              </w:rPr>
            </w:pPr>
            <w:r>
              <w:rPr>
                <w:color w:val="000000"/>
              </w:rPr>
              <w:t>Data analysis</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E39F7B" w14:textId="77777777" w:rsidR="005F7869" w:rsidRDefault="005F7869">
            <w:pPr>
              <w:jc w:val="center"/>
              <w:rPr>
                <w:color w:val="000000"/>
              </w:rPr>
            </w:pPr>
            <w:r>
              <w:rPr>
                <w:color w:val="000000"/>
              </w:rPr>
              <w:t>343</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69E887" w14:textId="77777777" w:rsidR="005F7869" w:rsidRDefault="005F7869">
            <w:pPr>
              <w:jc w:val="center"/>
              <w:rPr>
                <w:color w:val="000000"/>
              </w:rPr>
            </w:pPr>
            <w:r>
              <w:rPr>
                <w:color w:val="000000"/>
              </w:rPr>
              <w:t xml:space="preserve">$29,594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0A81C0" w14:textId="77777777" w:rsidR="005F7869" w:rsidRDefault="005F7869">
            <w:pPr>
              <w:jc w:val="center"/>
              <w:rPr>
                <w:color w:val="000000"/>
              </w:rPr>
            </w:pPr>
            <w:r>
              <w:rPr>
                <w:color w:val="000000"/>
              </w:rPr>
              <w:t>55%</w:t>
            </w:r>
          </w:p>
        </w:tc>
      </w:tr>
      <w:tr w:rsidR="005F7869" w14:paraId="5BFF4937" w14:textId="77777777" w:rsidTr="00390CB6">
        <w:trPr>
          <w:trHeight w:val="255"/>
        </w:trPr>
        <w:tc>
          <w:tcPr>
            <w:tcW w:w="4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7EB665" w14:textId="77777777" w:rsidR="005F7869" w:rsidRDefault="005F7869">
            <w:pPr>
              <w:rPr>
                <w:color w:val="000000"/>
              </w:rPr>
            </w:pPr>
            <w:r>
              <w:rPr>
                <w:color w:val="000000"/>
              </w:rPr>
              <w:t>Data systems maintenance and contract management</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2829AA" w14:textId="77777777" w:rsidR="005F7869" w:rsidRDefault="005F7869">
            <w:pPr>
              <w:jc w:val="center"/>
              <w:rPr>
                <w:color w:val="000000"/>
              </w:rPr>
            </w:pPr>
            <w:r>
              <w:rPr>
                <w:color w:val="000000"/>
              </w:rPr>
              <w:t>81</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D34AF5" w14:textId="77777777" w:rsidR="005F7869" w:rsidRDefault="005F7869">
            <w:pPr>
              <w:jc w:val="center"/>
              <w:rPr>
                <w:color w:val="000000"/>
              </w:rPr>
            </w:pPr>
            <w:r>
              <w:rPr>
                <w:color w:val="000000"/>
              </w:rPr>
              <w:t xml:space="preserve">$6,995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EF5792" w14:textId="77777777" w:rsidR="005F7869" w:rsidRDefault="005F7869">
            <w:pPr>
              <w:jc w:val="center"/>
              <w:rPr>
                <w:color w:val="000000"/>
              </w:rPr>
            </w:pPr>
            <w:r>
              <w:rPr>
                <w:color w:val="000000"/>
              </w:rPr>
              <w:t>13%</w:t>
            </w:r>
          </w:p>
        </w:tc>
      </w:tr>
      <w:tr w:rsidR="005F7869" w14:paraId="403B871E" w14:textId="77777777" w:rsidTr="00390CB6">
        <w:trPr>
          <w:trHeight w:val="255"/>
        </w:trPr>
        <w:tc>
          <w:tcPr>
            <w:tcW w:w="422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A8A044" w14:textId="77777777" w:rsidR="005F7869" w:rsidRDefault="005F7869">
            <w:pPr>
              <w:rPr>
                <w:b/>
                <w:bCs/>
                <w:color w:val="000000"/>
              </w:rPr>
            </w:pPr>
            <w:r>
              <w:rPr>
                <w:b/>
                <w:bCs/>
                <w:color w:val="000000"/>
              </w:rPr>
              <w:t>Total Annual Cost</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193003" w14:textId="77777777" w:rsidR="005F7869" w:rsidRDefault="005F7869">
            <w:pPr>
              <w:jc w:val="center"/>
              <w:rPr>
                <w:b/>
                <w:bCs/>
                <w:color w:val="000000"/>
              </w:rPr>
            </w:pPr>
            <w:r>
              <w:rPr>
                <w:b/>
                <w:bCs/>
                <w:color w:val="000000"/>
              </w:rPr>
              <w:t>624</w:t>
            </w:r>
          </w:p>
        </w:tc>
        <w:tc>
          <w:tcPr>
            <w:tcW w:w="189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53BEBA" w14:textId="77777777" w:rsidR="005F7869" w:rsidRDefault="005F7869">
            <w:pPr>
              <w:jc w:val="center"/>
              <w:rPr>
                <w:b/>
                <w:bCs/>
                <w:color w:val="000000"/>
              </w:rPr>
            </w:pPr>
            <w:r>
              <w:rPr>
                <w:b/>
                <w:bCs/>
                <w:color w:val="000000"/>
              </w:rPr>
              <w:t xml:space="preserve">$53,807 </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C8C507" w14:textId="77777777" w:rsidR="005F7869" w:rsidRDefault="005F7869">
            <w:pPr>
              <w:jc w:val="center"/>
              <w:rPr>
                <w:b/>
                <w:bCs/>
                <w:color w:val="000000"/>
              </w:rPr>
            </w:pPr>
            <w:r>
              <w:rPr>
                <w:b/>
                <w:bCs/>
                <w:color w:val="000000"/>
              </w:rPr>
              <w:t>100%</w:t>
            </w:r>
          </w:p>
        </w:tc>
      </w:tr>
    </w:tbl>
    <w:p w14:paraId="1177C83D" w14:textId="77777777" w:rsidR="0003045B" w:rsidRDefault="0003045B" w:rsidP="0095178E">
      <w:pPr>
        <w:pStyle w:val="Heading2"/>
        <w:sectPr w:rsidR="0003045B" w:rsidSect="00DD0E56">
          <w:footerReference w:type="default" r:id="rId19"/>
          <w:pgSz w:w="12240" w:h="15840"/>
          <w:pgMar w:top="1440" w:right="1440" w:bottom="1440" w:left="1440" w:header="720" w:footer="720" w:gutter="0"/>
          <w:cols w:space="720"/>
          <w:docGrid w:linePitch="360"/>
        </w:sectPr>
      </w:pPr>
    </w:p>
    <w:p w14:paraId="04BAEBEF" w14:textId="70809F9A" w:rsidR="00F056C3" w:rsidRDefault="00F056C3" w:rsidP="0095178E">
      <w:pPr>
        <w:pStyle w:val="Heading2"/>
      </w:pPr>
      <w:bookmarkStart w:id="19" w:name="_Toc520713832"/>
      <w:r>
        <w:t>A.</w:t>
      </w:r>
      <w:r w:rsidR="00A41763" w:rsidRPr="00A41763">
        <w:t xml:space="preserve">14. </w:t>
      </w:r>
      <w:r w:rsidRPr="00F056C3">
        <w:t>Changes in Burden</w:t>
      </w:r>
      <w:bookmarkEnd w:id="19"/>
      <w:r w:rsidRPr="00F056C3">
        <w:t xml:space="preserve"> </w:t>
      </w:r>
    </w:p>
    <w:p w14:paraId="65EBC8B3" w14:textId="00EECCEC" w:rsidR="0003045B" w:rsidRPr="0026677D" w:rsidRDefault="0003045B" w:rsidP="0003045B">
      <w:pPr>
        <w:rPr>
          <w:iCs/>
        </w:rPr>
      </w:pPr>
      <w:r w:rsidRPr="00602065">
        <w:rPr>
          <w:bCs/>
        </w:rPr>
        <w:t>The estimated change in annual burden is a reduction of</w:t>
      </w:r>
      <w:r w:rsidR="00395BFD">
        <w:rPr>
          <w:bCs/>
        </w:rPr>
        <w:t xml:space="preserve"> 20</w:t>
      </w:r>
      <w:r w:rsidRPr="00602065">
        <w:rPr>
          <w:bCs/>
        </w:rPr>
        <w:t xml:space="preserve"> hours as shown in Table 3 below</w:t>
      </w:r>
      <w:r w:rsidRPr="00602065">
        <w:rPr>
          <w:i/>
          <w:iCs/>
        </w:rPr>
        <w:t>.</w:t>
      </w:r>
    </w:p>
    <w:bookmarkStart w:id="20" w:name="_MON_1566376226"/>
    <w:bookmarkEnd w:id="20"/>
    <w:p w14:paraId="3B9CA639" w14:textId="47B4FEEA" w:rsidR="00F056C3" w:rsidRDefault="002024F8" w:rsidP="00933D5D">
      <w:pPr>
        <w:ind w:left="-720" w:right="-720"/>
        <w:rPr>
          <w:b/>
          <w:bCs/>
        </w:rPr>
      </w:pPr>
      <w:r>
        <w:rPr>
          <w:b/>
          <w:bCs/>
        </w:rPr>
        <w:object w:dxaOrig="15423" w:dyaOrig="1786" w14:anchorId="78EEE8E9">
          <v:shape id="_x0000_i1026" type="#_x0000_t75" style="width:737.2pt;height:96pt" o:ole="">
            <v:imagedata r:id="rId20" o:title=""/>
          </v:shape>
          <o:OLEObject Type="Embed" ProgID="Excel.Sheet.12" ShapeID="_x0000_i1026" DrawAspect="Content" ObjectID="_1601361895" r:id="rId21"/>
        </w:object>
      </w:r>
    </w:p>
    <w:p w14:paraId="03A1B28D" w14:textId="77777777" w:rsidR="00812C91" w:rsidRDefault="00812C91" w:rsidP="00933D5D">
      <w:pPr>
        <w:ind w:left="-720" w:right="-720"/>
        <w:rPr>
          <w:b/>
          <w:bCs/>
        </w:rPr>
      </w:pPr>
    </w:p>
    <w:p w14:paraId="6D4B7687" w14:textId="77777777" w:rsidR="0091409C" w:rsidRDefault="0091409C">
      <w:pPr>
        <w:pStyle w:val="Heading2"/>
        <w:sectPr w:rsidR="0091409C" w:rsidSect="0003045B">
          <w:pgSz w:w="15840" w:h="12240" w:orient="landscape"/>
          <w:pgMar w:top="1440" w:right="1440" w:bottom="1440" w:left="1440" w:header="720" w:footer="720" w:gutter="0"/>
          <w:cols w:space="720"/>
          <w:docGrid w:linePitch="360"/>
        </w:sectPr>
      </w:pPr>
    </w:p>
    <w:p w14:paraId="030F18CD" w14:textId="3B499837" w:rsidR="006D42EC" w:rsidRDefault="00F056C3">
      <w:pPr>
        <w:pStyle w:val="Heading2"/>
      </w:pPr>
      <w:bookmarkStart w:id="21" w:name="_Toc520713833"/>
      <w:r>
        <w:t>A.</w:t>
      </w:r>
      <w:r w:rsidR="00A41763" w:rsidRPr="00A41763">
        <w:t xml:space="preserve">15. </w:t>
      </w:r>
      <w:r w:rsidR="006D42EC">
        <w:t>Reasons for Changes in Burden</w:t>
      </w:r>
      <w:bookmarkEnd w:id="21"/>
    </w:p>
    <w:p w14:paraId="51BBB4B7" w14:textId="08475BF8" w:rsidR="0003045B" w:rsidRPr="005F7869" w:rsidRDefault="0003045B" w:rsidP="0003045B">
      <w:pPr>
        <w:spacing w:before="120"/>
      </w:pPr>
      <w:r>
        <w:rPr>
          <w:lang w:val="en-CA"/>
        </w:rPr>
        <w:t xml:space="preserve">The </w:t>
      </w:r>
      <w:r w:rsidR="00C7322D">
        <w:rPr>
          <w:lang w:val="en-CA"/>
        </w:rPr>
        <w:t>reduction</w:t>
      </w:r>
      <w:r>
        <w:rPr>
          <w:lang w:val="en-CA"/>
        </w:rPr>
        <w:t xml:space="preserve"> of </w:t>
      </w:r>
      <w:r w:rsidR="00395BFD">
        <w:rPr>
          <w:lang w:val="en-CA"/>
        </w:rPr>
        <w:t>20</w:t>
      </w:r>
      <w:r>
        <w:rPr>
          <w:lang w:val="en-CA"/>
        </w:rPr>
        <w:t xml:space="preserve"> annual burden hours </w:t>
      </w:r>
      <w:r w:rsidRPr="00B55846">
        <w:rPr>
          <w:lang w:val="en-CA"/>
        </w:rPr>
        <w:t xml:space="preserve">for </w:t>
      </w:r>
      <w:r w:rsidRPr="00B55846">
        <w:t xml:space="preserve">Form </w:t>
      </w:r>
      <w:r>
        <w:t>NWPA-830G</w:t>
      </w:r>
      <w:r w:rsidR="00C7322D" w:rsidRPr="00B55846">
        <w:rPr>
          <w:lang w:val="en-CA"/>
        </w:rPr>
        <w:t xml:space="preserve"> </w:t>
      </w:r>
      <w:r w:rsidR="008F2FDB">
        <w:t xml:space="preserve">results from </w:t>
      </w:r>
      <w:r>
        <w:t>a reduction of respondents from 100 respondents to 99 respondents</w:t>
      </w:r>
      <w:r>
        <w:rPr>
          <w:szCs w:val="24"/>
        </w:rPr>
        <w:t xml:space="preserve">. </w:t>
      </w:r>
      <w:r w:rsidR="008F2FDB">
        <w:rPr>
          <w:szCs w:val="24"/>
        </w:rPr>
        <w:t xml:space="preserve">This </w:t>
      </w:r>
      <w:r w:rsidR="009A3266">
        <w:rPr>
          <w:szCs w:val="24"/>
        </w:rPr>
        <w:t xml:space="preserve">one </w:t>
      </w:r>
      <w:r w:rsidR="008F2FDB">
        <w:rPr>
          <w:szCs w:val="24"/>
        </w:rPr>
        <w:t xml:space="preserve">respondent’s single </w:t>
      </w:r>
      <w:r w:rsidR="00191EC4" w:rsidRPr="00397FC1">
        <w:rPr>
          <w:iCs/>
        </w:rPr>
        <w:t xml:space="preserve">reactor permanently </w:t>
      </w:r>
      <w:r w:rsidR="00191EC4" w:rsidRPr="005F7869">
        <w:t xml:space="preserve">shut down </w:t>
      </w:r>
      <w:r w:rsidR="00DD4CED" w:rsidRPr="00390CB6">
        <w:t xml:space="preserve">on 10/24/2016 </w:t>
      </w:r>
      <w:r w:rsidR="00191EC4" w:rsidRPr="005F7869">
        <w:t>and is no longer required to pay fees into the Nuclear Waste Fund.</w:t>
      </w:r>
    </w:p>
    <w:p w14:paraId="75371868" w14:textId="5F9AE4BF" w:rsidR="00C7322D" w:rsidRDefault="00C7322D" w:rsidP="00C7322D">
      <w:pPr>
        <w:spacing w:before="120"/>
        <w:rPr>
          <w:szCs w:val="24"/>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008A7E5F" w:rsidRPr="00812C91" w14:paraId="4E9B9195" w14:textId="77777777" w:rsidTr="00545C0F">
        <w:trPr>
          <w:trHeight w:val="360"/>
          <w:jc w:val="center"/>
        </w:trPr>
        <w:tc>
          <w:tcPr>
            <w:tcW w:w="9360" w:type="dxa"/>
            <w:gridSpan w:val="5"/>
            <w:tcBorders>
              <w:top w:val="nil"/>
              <w:left w:val="nil"/>
              <w:bottom w:val="nil"/>
              <w:right w:val="nil"/>
            </w:tcBorders>
            <w:shd w:val="clear" w:color="auto" w:fill="auto"/>
            <w:noWrap/>
            <w:vAlign w:val="bottom"/>
            <w:hideMark/>
          </w:tcPr>
          <w:p w14:paraId="5DB046DE" w14:textId="5446662D" w:rsidR="008A7E5F" w:rsidRPr="00812C91" w:rsidRDefault="008A7E5F" w:rsidP="0003045B">
            <w:pPr>
              <w:spacing w:after="0" w:line="240" w:lineRule="auto"/>
              <w:jc w:val="center"/>
              <w:rPr>
                <w:rFonts w:ascii="Arial" w:eastAsia="Times New Roman" w:hAnsi="Arial" w:cs="Arial"/>
                <w:b/>
                <w:color w:val="0070C0"/>
                <w:sz w:val="28"/>
                <w:szCs w:val="28"/>
              </w:rPr>
            </w:pPr>
            <w:r>
              <w:br w:type="page"/>
            </w:r>
            <w:r w:rsidRPr="00812C91">
              <w:rPr>
                <w:rFonts w:ascii="Arial" w:eastAsia="Times New Roman" w:hAnsi="Arial" w:cs="Arial"/>
                <w:b/>
                <w:color w:val="0070C0"/>
                <w:sz w:val="28"/>
                <w:szCs w:val="28"/>
              </w:rPr>
              <w:t xml:space="preserve">Table </w:t>
            </w:r>
            <w:r w:rsidR="0003045B" w:rsidRPr="00812C91">
              <w:rPr>
                <w:rFonts w:ascii="Arial" w:eastAsia="Times New Roman" w:hAnsi="Arial" w:cs="Arial"/>
                <w:b/>
                <w:color w:val="0070C0"/>
                <w:sz w:val="28"/>
                <w:szCs w:val="28"/>
              </w:rPr>
              <w:t>A</w:t>
            </w:r>
            <w:r w:rsidR="0003045B">
              <w:rPr>
                <w:rFonts w:ascii="Arial" w:eastAsia="Times New Roman" w:hAnsi="Arial" w:cs="Arial"/>
                <w:b/>
                <w:color w:val="0070C0"/>
                <w:sz w:val="28"/>
                <w:szCs w:val="28"/>
              </w:rPr>
              <w:t>4</w:t>
            </w:r>
            <w:r w:rsidRPr="00812C91">
              <w:rPr>
                <w:rFonts w:ascii="Arial" w:eastAsia="Times New Roman" w:hAnsi="Arial" w:cs="Arial"/>
                <w:b/>
                <w:color w:val="0070C0"/>
                <w:sz w:val="28"/>
                <w:szCs w:val="28"/>
              </w:rPr>
              <w:t>. ICR Summary of Burden</w:t>
            </w:r>
          </w:p>
        </w:tc>
      </w:tr>
      <w:tr w:rsidR="00545C0F" w:rsidRPr="00812C91" w14:paraId="05A03AD5" w14:textId="77777777" w:rsidTr="002024F8">
        <w:trPr>
          <w:trHeight w:val="510"/>
          <w:jc w:val="center"/>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12CE04A" w14:textId="77777777" w:rsidR="008A7E5F" w:rsidRPr="00812C91" w:rsidRDefault="008A7E5F" w:rsidP="00AF4D1C">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14:paraId="71A54495" w14:textId="77777777" w:rsidR="008A7E5F" w:rsidRPr="00812C91" w:rsidRDefault="008A7E5F" w:rsidP="00AF4D1C">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14:paraId="6C44EFD4" w14:textId="77777777" w:rsidR="008A7E5F" w:rsidRPr="00812C91" w:rsidRDefault="008A7E5F" w:rsidP="00AF4D1C">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14:paraId="2BB180D8" w14:textId="77777777" w:rsidR="008A7E5F" w:rsidRPr="00812C91" w:rsidRDefault="008A7E5F" w:rsidP="00AF4D1C">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1872" w:type="dxa"/>
            <w:tcBorders>
              <w:top w:val="single" w:sz="4" w:space="0" w:color="auto"/>
              <w:left w:val="nil"/>
              <w:bottom w:val="single" w:sz="4" w:space="0" w:color="auto"/>
              <w:right w:val="single" w:sz="4" w:space="0" w:color="auto"/>
            </w:tcBorders>
            <w:shd w:val="clear" w:color="000000" w:fill="00B0F0"/>
            <w:vAlign w:val="center"/>
            <w:hideMark/>
          </w:tcPr>
          <w:p w14:paraId="53A89670" w14:textId="77777777" w:rsidR="008A7E5F" w:rsidRPr="00812C91" w:rsidRDefault="008A7E5F" w:rsidP="00AF4D1C">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rsidR="002024F8" w:rsidRPr="00812C91" w14:paraId="0E7A5BA6" w14:textId="77777777" w:rsidTr="002024F8">
        <w:trPr>
          <w:trHeight w:val="440"/>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14:paraId="6EFD9F52" w14:textId="77777777" w:rsidR="002024F8" w:rsidRPr="00812C91" w:rsidRDefault="002024F8" w:rsidP="002024F8">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Annual Number of Responses</w:t>
            </w:r>
          </w:p>
        </w:tc>
        <w:tc>
          <w:tcPr>
            <w:tcW w:w="1872" w:type="dxa"/>
            <w:tcBorders>
              <w:top w:val="nil"/>
              <w:left w:val="nil"/>
              <w:bottom w:val="single" w:sz="4" w:space="0" w:color="auto"/>
              <w:right w:val="single" w:sz="4" w:space="0" w:color="auto"/>
            </w:tcBorders>
            <w:shd w:val="clear" w:color="auto" w:fill="auto"/>
            <w:vAlign w:val="center"/>
            <w:hideMark/>
          </w:tcPr>
          <w:p w14:paraId="12D5F17F" w14:textId="59679493" w:rsidR="002024F8" w:rsidRPr="00812C91" w:rsidRDefault="002024F8" w:rsidP="002024F8">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396</w:t>
            </w:r>
          </w:p>
        </w:tc>
        <w:tc>
          <w:tcPr>
            <w:tcW w:w="1872" w:type="dxa"/>
            <w:tcBorders>
              <w:top w:val="nil"/>
              <w:left w:val="nil"/>
              <w:bottom w:val="single" w:sz="4" w:space="0" w:color="auto"/>
              <w:right w:val="single" w:sz="4" w:space="0" w:color="auto"/>
            </w:tcBorders>
            <w:shd w:val="clear" w:color="auto" w:fill="auto"/>
            <w:vAlign w:val="center"/>
          </w:tcPr>
          <w:p w14:paraId="349E4D69" w14:textId="2EAC4097" w:rsidR="002024F8" w:rsidRPr="00812C91" w:rsidRDefault="002024F8" w:rsidP="002024F8">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14:paraId="380C786E" w14:textId="255C5FCB" w:rsidR="002024F8" w:rsidRPr="00812C91" w:rsidRDefault="002024F8" w:rsidP="002024F8">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-4</w:t>
            </w:r>
          </w:p>
        </w:tc>
        <w:tc>
          <w:tcPr>
            <w:tcW w:w="1872" w:type="dxa"/>
            <w:tcBorders>
              <w:top w:val="nil"/>
              <w:left w:val="nil"/>
              <w:bottom w:val="single" w:sz="4" w:space="0" w:color="auto"/>
              <w:right w:val="single" w:sz="4" w:space="0" w:color="auto"/>
            </w:tcBorders>
            <w:shd w:val="clear" w:color="auto" w:fill="auto"/>
            <w:vAlign w:val="center"/>
            <w:hideMark/>
          </w:tcPr>
          <w:p w14:paraId="5174F225" w14:textId="77777777" w:rsidR="002024F8" w:rsidRPr="00812C91" w:rsidRDefault="002024F8" w:rsidP="002024F8">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400</w:t>
            </w:r>
          </w:p>
        </w:tc>
      </w:tr>
      <w:tr w:rsidR="002024F8" w:rsidRPr="00812C91" w14:paraId="5AF71FC3" w14:textId="77777777" w:rsidTr="002024F8">
        <w:trPr>
          <w:trHeight w:val="525"/>
          <w:jc w:val="center"/>
        </w:trPr>
        <w:tc>
          <w:tcPr>
            <w:tcW w:w="1872" w:type="dxa"/>
            <w:tcBorders>
              <w:top w:val="nil"/>
              <w:left w:val="single" w:sz="4" w:space="0" w:color="auto"/>
              <w:bottom w:val="single" w:sz="4" w:space="0" w:color="auto"/>
              <w:right w:val="single" w:sz="4" w:space="0" w:color="auto"/>
            </w:tcBorders>
            <w:shd w:val="clear" w:color="auto" w:fill="auto"/>
            <w:vAlign w:val="center"/>
            <w:hideMark/>
          </w:tcPr>
          <w:p w14:paraId="071A997E" w14:textId="77777777" w:rsidR="002024F8" w:rsidRPr="00812C91" w:rsidRDefault="002024F8" w:rsidP="002024F8">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Annual Time Burden (Hr)</w:t>
            </w:r>
          </w:p>
        </w:tc>
        <w:tc>
          <w:tcPr>
            <w:tcW w:w="1872" w:type="dxa"/>
            <w:tcBorders>
              <w:top w:val="nil"/>
              <w:left w:val="nil"/>
              <w:bottom w:val="single" w:sz="4" w:space="0" w:color="auto"/>
              <w:right w:val="single" w:sz="4" w:space="0" w:color="auto"/>
            </w:tcBorders>
            <w:shd w:val="clear" w:color="auto" w:fill="auto"/>
            <w:vAlign w:val="center"/>
            <w:hideMark/>
          </w:tcPr>
          <w:p w14:paraId="227F345E" w14:textId="75BBA0BE" w:rsidR="002024F8" w:rsidRPr="00812C91" w:rsidRDefault="002024F8" w:rsidP="002024F8">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1,980</w:t>
            </w:r>
          </w:p>
        </w:tc>
        <w:tc>
          <w:tcPr>
            <w:tcW w:w="1872" w:type="dxa"/>
            <w:tcBorders>
              <w:top w:val="nil"/>
              <w:left w:val="nil"/>
              <w:bottom w:val="single" w:sz="4" w:space="0" w:color="auto"/>
              <w:right w:val="single" w:sz="4" w:space="0" w:color="auto"/>
            </w:tcBorders>
            <w:shd w:val="clear" w:color="auto" w:fill="auto"/>
            <w:vAlign w:val="center"/>
          </w:tcPr>
          <w:p w14:paraId="0508B977" w14:textId="2136A02C" w:rsidR="002024F8" w:rsidRPr="00812C91" w:rsidRDefault="002024F8" w:rsidP="002024F8">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0</w:t>
            </w:r>
          </w:p>
        </w:tc>
        <w:tc>
          <w:tcPr>
            <w:tcW w:w="1872" w:type="dxa"/>
            <w:tcBorders>
              <w:top w:val="nil"/>
              <w:left w:val="nil"/>
              <w:bottom w:val="single" w:sz="4" w:space="0" w:color="auto"/>
              <w:right w:val="single" w:sz="4" w:space="0" w:color="auto"/>
            </w:tcBorders>
            <w:shd w:val="clear" w:color="auto" w:fill="auto"/>
            <w:vAlign w:val="center"/>
            <w:hideMark/>
          </w:tcPr>
          <w:p w14:paraId="3ABFD05D" w14:textId="4ADD810A" w:rsidR="002024F8" w:rsidRPr="00812C91" w:rsidRDefault="002024F8" w:rsidP="002024F8">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-20</w:t>
            </w:r>
          </w:p>
        </w:tc>
        <w:tc>
          <w:tcPr>
            <w:tcW w:w="1872" w:type="dxa"/>
            <w:tcBorders>
              <w:top w:val="nil"/>
              <w:left w:val="nil"/>
              <w:bottom w:val="single" w:sz="4" w:space="0" w:color="auto"/>
              <w:right w:val="single" w:sz="4" w:space="0" w:color="auto"/>
            </w:tcBorders>
            <w:shd w:val="clear" w:color="auto" w:fill="auto"/>
            <w:vAlign w:val="center"/>
            <w:hideMark/>
          </w:tcPr>
          <w:p w14:paraId="6BA95A39" w14:textId="77777777" w:rsidR="002024F8" w:rsidRPr="00812C91" w:rsidRDefault="002024F8" w:rsidP="002024F8">
            <w:pPr>
              <w:spacing w:after="0" w:line="240" w:lineRule="auto"/>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Pr>
                <w:rFonts w:ascii="Calibri" w:eastAsia="Times New Roman" w:hAnsi="Calibri" w:cs="Arial"/>
                <w:color w:val="576170"/>
                <w:sz w:val="20"/>
                <w:szCs w:val="20"/>
              </w:rPr>
              <w:t>2,000</w:t>
            </w:r>
          </w:p>
        </w:tc>
      </w:tr>
    </w:tbl>
    <w:p w14:paraId="558A5AC6" w14:textId="77777777" w:rsidR="005515CD" w:rsidRPr="00A41763" w:rsidRDefault="005515CD" w:rsidP="00A41763"/>
    <w:p w14:paraId="37C93D17" w14:textId="77777777" w:rsidR="00F056C3" w:rsidRDefault="00F056C3" w:rsidP="0095178E">
      <w:pPr>
        <w:pStyle w:val="Heading2"/>
      </w:pPr>
      <w:bookmarkStart w:id="22" w:name="_Toc520713834"/>
      <w:r>
        <w:t>A.</w:t>
      </w:r>
      <w:r w:rsidR="00A41763" w:rsidRPr="00A41763">
        <w:t xml:space="preserve">16. </w:t>
      </w:r>
      <w:r w:rsidRPr="00F056C3">
        <w:t>Collection, Tabulation, and Publication Plans</w:t>
      </w:r>
      <w:bookmarkEnd w:id="22"/>
      <w:r w:rsidRPr="00F056C3">
        <w:t xml:space="preserve"> </w:t>
      </w:r>
    </w:p>
    <w:p w14:paraId="3E39690E" w14:textId="2BCAB0AE" w:rsidR="00C7322D" w:rsidRPr="00B3329A" w:rsidRDefault="00C7322D" w:rsidP="00C7322D">
      <w:pPr>
        <w:spacing w:before="120" w:after="0"/>
      </w:pPr>
      <w:r w:rsidRPr="00B55846">
        <w:t xml:space="preserve">Form </w:t>
      </w:r>
      <w:r>
        <w:t>NWPA-830G</w:t>
      </w:r>
      <w:r w:rsidR="00EF31F0">
        <w:t xml:space="preserve"> </w:t>
      </w:r>
      <w:r w:rsidRPr="0082602A">
        <w:rPr>
          <w:i/>
        </w:rPr>
        <w:t>Appendix G - Standard Remittance Advice for Payment of Fees</w:t>
      </w:r>
      <w:r>
        <w:t xml:space="preserve">, including Annex A to Appendix G, </w:t>
      </w:r>
      <w:r w:rsidRPr="00B55846">
        <w:t>is filed quarterly covering assigned three-month periods.</w:t>
      </w:r>
      <w:r w:rsidR="007144E2">
        <w:t xml:space="preserve"> </w:t>
      </w:r>
      <w:r w:rsidRPr="00B55846">
        <w:t>The form is due no later than the last business day of the month following an assigned three-month period.</w:t>
      </w:r>
      <w:r w:rsidR="007144E2">
        <w:t xml:space="preserve"> </w:t>
      </w:r>
      <w:r w:rsidRPr="00B55846">
        <w:t>The data in these collections will not be published</w:t>
      </w:r>
      <w:r>
        <w:t xml:space="preserve">. </w:t>
      </w:r>
    </w:p>
    <w:p w14:paraId="4AC6D4BA" w14:textId="77777777" w:rsidR="00F056C3" w:rsidRPr="00A41763" w:rsidRDefault="00F056C3" w:rsidP="00A41763"/>
    <w:p w14:paraId="48DBD0BE" w14:textId="77777777" w:rsidR="00F056C3" w:rsidRDefault="00F056C3" w:rsidP="0095178E">
      <w:pPr>
        <w:pStyle w:val="Heading2"/>
      </w:pPr>
      <w:bookmarkStart w:id="23" w:name="_Toc520713835"/>
      <w:r>
        <w:t>A.</w:t>
      </w:r>
      <w:r w:rsidR="00A41763" w:rsidRPr="00A41763">
        <w:t xml:space="preserve">17. </w:t>
      </w:r>
      <w:r w:rsidRPr="00F056C3">
        <w:t>OMB Number and Expiration Date</w:t>
      </w:r>
      <w:bookmarkEnd w:id="23"/>
      <w:r w:rsidRPr="00F056C3">
        <w:t xml:space="preserve"> </w:t>
      </w:r>
    </w:p>
    <w:p w14:paraId="33E3D574" w14:textId="7390048D" w:rsidR="00C7322D" w:rsidRPr="0070041A" w:rsidRDefault="00C7322D" w:rsidP="00C7322D">
      <w:pPr>
        <w:spacing w:before="120"/>
      </w:pPr>
      <w:r>
        <w:t>The OMB Number (</w:t>
      </w:r>
      <w:r w:rsidR="001B7D40">
        <w:t>1901-0260</w:t>
      </w:r>
      <w:r w:rsidRPr="00014C93">
        <w:t>) and expiration date will be displayed on all the data collection forms and instructions.</w:t>
      </w:r>
    </w:p>
    <w:p w14:paraId="6CA83D9E" w14:textId="77777777" w:rsidR="00F056C3" w:rsidRDefault="00F056C3" w:rsidP="00A41763">
      <w:pPr>
        <w:rPr>
          <w:b/>
          <w:bCs/>
        </w:rPr>
      </w:pPr>
    </w:p>
    <w:p w14:paraId="0D50D914" w14:textId="77777777" w:rsidR="00F056C3" w:rsidRDefault="00F056C3" w:rsidP="0095178E">
      <w:pPr>
        <w:pStyle w:val="Heading2"/>
      </w:pPr>
      <w:bookmarkStart w:id="24" w:name="_Toc520713836"/>
      <w:r>
        <w:t>A.</w:t>
      </w:r>
      <w:r w:rsidR="00A41763" w:rsidRPr="00A41763">
        <w:t xml:space="preserve">18. </w:t>
      </w:r>
      <w:r w:rsidRPr="00F056C3">
        <w:t>Certification Statement</w:t>
      </w:r>
      <w:bookmarkEnd w:id="24"/>
      <w:r w:rsidRPr="00F056C3">
        <w:t xml:space="preserve"> </w:t>
      </w:r>
    </w:p>
    <w:p w14:paraId="3B90C562" w14:textId="77777777" w:rsidR="0003045B" w:rsidRPr="00602065" w:rsidRDefault="0003045B" w:rsidP="0003045B">
      <w:r w:rsidRPr="00602065">
        <w:t>There are no exceptions to the certification statement identified in Item 19, "Certification for Paperwork Reduction Act Submissions," of OMB Form 83-I. This information collection request complies with 5 CFR 1320.9</w:t>
      </w:r>
      <w:r>
        <w:t>.</w:t>
      </w:r>
    </w:p>
    <w:p w14:paraId="4EB6642E" w14:textId="768FA657" w:rsidR="00A41763" w:rsidRPr="00D541CE" w:rsidRDefault="00A41763" w:rsidP="0003045B"/>
    <w:sectPr w:rsidR="00A41763" w:rsidRPr="00D541CE"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E1FB8" w14:textId="77777777" w:rsidR="00CD6663" w:rsidRDefault="00CD6663" w:rsidP="00536CE1">
      <w:pPr>
        <w:spacing w:after="0" w:line="240" w:lineRule="auto"/>
      </w:pPr>
      <w:r>
        <w:separator/>
      </w:r>
    </w:p>
  </w:endnote>
  <w:endnote w:type="continuationSeparator" w:id="0">
    <w:p w14:paraId="7BC405EE" w14:textId="77777777" w:rsidR="00CD6663" w:rsidRDefault="00CD666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BAA52" w14:textId="75D12415" w:rsidR="00CD6663" w:rsidRPr="001F3A8F" w:rsidRDefault="00CD6663" w:rsidP="00616E46">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 Standard Remittance Advice for Payment of Fees (NWPA-830G)</w:t>
        </w:r>
      </w:sdtContent>
    </w:sdt>
    <w:r>
      <w:t xml:space="preserve"> </w:t>
    </w:r>
    <w:r>
      <w:tab/>
      <w:t xml:space="preserve"> </w:t>
    </w:r>
    <w:r>
      <w:fldChar w:fldCharType="begin"/>
    </w:r>
    <w:r>
      <w:instrText xml:space="preserve"> PAGE   \* MERGEFORMAT </w:instrText>
    </w:r>
    <w:r>
      <w:fldChar w:fldCharType="separate"/>
    </w:r>
    <w:r w:rsidR="002024F8">
      <w:rPr>
        <w:noProof/>
      </w:rPr>
      <w:t>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86CAC" w14:textId="586BB3B1" w:rsidR="00CD6663" w:rsidRDefault="00F75103" w:rsidP="00760677">
    <w:pPr>
      <w:pStyle w:val="Footer"/>
    </w:pPr>
    <w:sdt>
      <w:sdtPr>
        <w:id w:val="272451101"/>
        <w:docPartObj>
          <w:docPartGallery w:val="Page Numbers (Bottom of Page)"/>
          <w:docPartUnique/>
        </w:docPartObj>
      </w:sdtPr>
      <w:sdtEndPr/>
      <w:sdtContent>
        <w:r w:rsidR="00CD6663" w:rsidRPr="00CB180D">
          <w:t>U.S. Energy Information Administration</w:t>
        </w:r>
        <w:r w:rsidR="00CD6663">
          <w:t xml:space="preserve"> </w:t>
        </w:r>
        <w:r w:rsidR="00CD6663" w:rsidRPr="00CB180D">
          <w:t>|</w:t>
        </w:r>
        <w:r w:rsidR="00CD6663">
          <w:t xml:space="preserve">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CD6663">
              <w:t>Improving the Quality and Scope of EIA Data</w:t>
            </w:r>
          </w:sdtContent>
        </w:sdt>
        <w:r w:rsidR="00CD6663" w:rsidRPr="00CB180D">
          <w:tab/>
        </w:r>
      </w:sdtContent>
    </w:sdt>
    <w:r w:rsidR="00CD6663" w:rsidRPr="00760677">
      <w:t xml:space="preserve"> </w:t>
    </w:r>
    <w:r w:rsidR="00CD6663">
      <w:fldChar w:fldCharType="begin"/>
    </w:r>
    <w:r w:rsidR="00CD6663">
      <w:instrText xml:space="preserve"> PAGE   \* MERGEFORMAT </w:instrText>
    </w:r>
    <w:r w:rsidR="00CD6663">
      <w:fldChar w:fldCharType="separate"/>
    </w:r>
    <w:r w:rsidR="00CD6663">
      <w:rPr>
        <w:noProof/>
      </w:rPr>
      <w:t>i</w:t>
    </w:r>
    <w:r w:rsidR="00CD6663">
      <w:rPr>
        <w:noProof/>
      </w:rPr>
      <w:fldChar w:fldCharType="end"/>
    </w:r>
  </w:p>
  <w:p w14:paraId="76FDEE61" w14:textId="77777777" w:rsidR="00CD6663" w:rsidRDefault="00CD66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680C5" w14:textId="0B68F3E0" w:rsidR="00CD6663" w:rsidRDefault="00F75103" w:rsidP="00760677">
    <w:pPr>
      <w:pStyle w:val="Footer"/>
    </w:pPr>
    <w:sdt>
      <w:sdtPr>
        <w:id w:val="-22715443"/>
        <w:docPartObj>
          <w:docPartGallery w:val="Page Numbers (Bottom of Page)"/>
          <w:docPartUnique/>
        </w:docPartObj>
      </w:sdtPr>
      <w:sdtEndPr/>
      <w:sdtContent>
        <w:r w:rsidR="00CD6663" w:rsidRPr="00CB180D">
          <w:t>U.S. Energy Information Administration</w:t>
        </w:r>
        <w:r w:rsidR="00CD6663">
          <w:t xml:space="preserve"> </w:t>
        </w:r>
        <w:r w:rsidR="00CD6663" w:rsidRPr="00CB180D">
          <w:t>|</w:t>
        </w:r>
        <w:r w:rsidR="00CD6663">
          <w:t xml:space="preserve">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CD6663">
              <w:t>Improving the Quality and Scope of EIA Data</w:t>
            </w:r>
          </w:sdtContent>
        </w:sdt>
        <w:r w:rsidR="00CD6663" w:rsidRPr="00CB180D">
          <w:tab/>
        </w:r>
      </w:sdtContent>
    </w:sdt>
    <w:r w:rsidR="00CD6663" w:rsidRPr="00760677">
      <w:t xml:space="preserve"> </w:t>
    </w:r>
    <w:r w:rsidR="00CD6663">
      <w:fldChar w:fldCharType="begin"/>
    </w:r>
    <w:r w:rsidR="00CD6663">
      <w:instrText xml:space="preserve"> PAGE   \* MERGEFORMAT </w:instrText>
    </w:r>
    <w:r w:rsidR="00CD6663">
      <w:fldChar w:fldCharType="separate"/>
    </w:r>
    <w:r w:rsidR="00CD6663">
      <w:rPr>
        <w:noProof/>
      </w:rPr>
      <w:t>ii</w:t>
    </w:r>
    <w:r w:rsidR="00CD6663">
      <w:rPr>
        <w:noProof/>
      </w:rPr>
      <w:fldChar w:fldCharType="end"/>
    </w:r>
  </w:p>
  <w:p w14:paraId="1486C1F6" w14:textId="77777777" w:rsidR="00CD6663" w:rsidRDefault="00CD6663"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36AA" w14:textId="23C0DC9C" w:rsidR="00CD6663" w:rsidRPr="001F3A8F" w:rsidRDefault="00CD6663" w:rsidP="00616E46">
    <w:pPr>
      <w:pStyle w:val="Footer"/>
      <w:tabs>
        <w:tab w:val="clear" w:pos="9720"/>
        <w:tab w:val="left" w:pos="8655"/>
      </w:tabs>
    </w:pPr>
    <w:r w:rsidRPr="00CB180D">
      <w:t>U.S. Energy Information Administration</w:t>
    </w:r>
    <w:r>
      <w:t xml:space="preserve"> </w:t>
    </w:r>
    <w:r w:rsidRPr="00CB180D">
      <w:t>|</w:t>
    </w:r>
    <w:r>
      <w:t xml:space="preserve"> </w:t>
    </w:r>
    <w:sdt>
      <w:sdtPr>
        <w:alias w:val="Title"/>
        <w:tag w:val=""/>
        <w:id w:val="-979455446"/>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Survey Clearance Standard Remittance Advice for Payment of Fees (NWPA-830G)</w:t>
        </w:r>
      </w:sdtContent>
    </w:sdt>
    <w:r>
      <w:t xml:space="preserve"> </w:t>
    </w:r>
    <w:r>
      <w:tab/>
      <w:t xml:space="preserve"> </w:t>
    </w:r>
    <w:r>
      <w:fldChar w:fldCharType="begin"/>
    </w:r>
    <w:r>
      <w:instrText xml:space="preserve"> PAGE   \* MERGEFORMAT </w:instrText>
    </w:r>
    <w:r>
      <w:fldChar w:fldCharType="separate"/>
    </w:r>
    <w:r w:rsidR="002024F8">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F819C" w14:textId="77777777" w:rsidR="00CD6663" w:rsidRDefault="00CD6663" w:rsidP="00536CE1">
      <w:pPr>
        <w:spacing w:after="0" w:line="240" w:lineRule="auto"/>
      </w:pPr>
      <w:r>
        <w:separator/>
      </w:r>
    </w:p>
  </w:footnote>
  <w:footnote w:type="continuationSeparator" w:id="0">
    <w:p w14:paraId="36B81183" w14:textId="77777777" w:rsidR="00CD6663" w:rsidRDefault="00CD6663" w:rsidP="00536CE1">
      <w:pPr>
        <w:spacing w:after="0" w:line="240" w:lineRule="auto"/>
      </w:pPr>
      <w:r>
        <w:continuationSeparator/>
      </w:r>
    </w:p>
  </w:footnote>
  <w:footnote w:id="1">
    <w:p w14:paraId="57815645" w14:textId="6842BA72" w:rsidR="00CD6663" w:rsidRDefault="00CD6663">
      <w:pPr>
        <w:pStyle w:val="FootnoteText"/>
      </w:pPr>
      <w:r>
        <w:rPr>
          <w:rStyle w:val="FootnoteReference"/>
        </w:rPr>
        <w:footnoteRef/>
      </w:r>
      <w:r>
        <w:t xml:space="preserve"> Mill: A monetary cost and billing unit used by utilities; it is equal to 1/1000</w:t>
      </w:r>
      <w:r w:rsidRPr="0082602A">
        <w:rPr>
          <w:vertAlign w:val="superscript"/>
        </w:rPr>
        <w:t>th</w:t>
      </w:r>
      <w:r>
        <w:t xml:space="preserve"> of the U.S. dollar (equivalent to 1/10 of 1 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84836" w14:textId="77777777" w:rsidR="00CD6663" w:rsidRDefault="00CD6663" w:rsidP="00725453">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0B223D81"/>
    <w:multiLevelType w:val="hybridMultilevel"/>
    <w:tmpl w:val="AA587FA2"/>
    <w:lvl w:ilvl="0" w:tplc="EAD0D4A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7F1DC7"/>
    <w:multiLevelType w:val="hybridMultilevel"/>
    <w:tmpl w:val="D6AAE860"/>
    <w:lvl w:ilvl="0" w:tplc="53E8588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2"/>
  </w:num>
  <w:num w:numId="14">
    <w:abstractNumId w:val="15"/>
  </w:num>
  <w:num w:numId="15">
    <w:abstractNumId w:val="17"/>
  </w:num>
  <w:num w:numId="16">
    <w:abstractNumId w:val="10"/>
  </w:num>
  <w:num w:numId="17">
    <w:abstractNumId w:val="10"/>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9"/>
  </w:num>
  <w:num w:numId="27">
    <w:abstractNumId w:val="10"/>
  </w:num>
  <w:num w:numId="28">
    <w:abstractNumId w:val="19"/>
  </w:num>
  <w:num w:numId="29">
    <w:abstractNumId w:val="19"/>
  </w:num>
  <w:num w:numId="30">
    <w:abstractNumId w:val="19"/>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9"/>
  </w:num>
  <w:num w:numId="40">
    <w:abstractNumId w:val="19"/>
  </w:num>
  <w:num w:numId="41">
    <w:abstractNumId w:val="19"/>
  </w:num>
  <w:num w:numId="42">
    <w:abstractNumId w:val="12"/>
  </w:num>
  <w:num w:numId="43">
    <w:abstractNumId w:val="12"/>
  </w:num>
  <w:num w:numId="44">
    <w:abstractNumId w:val="12"/>
  </w:num>
  <w:num w:numId="45">
    <w:abstractNumId w:val="12"/>
  </w:num>
  <w:num w:numId="46">
    <w:abstractNumId w:val="11"/>
  </w:num>
  <w:num w:numId="47">
    <w:abstractNumId w:val="20"/>
  </w:num>
  <w:num w:numId="48">
    <w:abstractNumId w:val="20"/>
  </w:num>
  <w:num w:numId="49">
    <w:abstractNumId w:val="13"/>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8294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Q0sDQysTA2MAeyDZR0lIJTi4sz8/NACsxqAfwmNawsAAAA"/>
  </w:docVars>
  <w:rsids>
    <w:rsidRoot w:val="00A41763"/>
    <w:rsid w:val="0000019D"/>
    <w:rsid w:val="0000364C"/>
    <w:rsid w:val="00003FF7"/>
    <w:rsid w:val="00004135"/>
    <w:rsid w:val="000041A1"/>
    <w:rsid w:val="000053BB"/>
    <w:rsid w:val="00011B3F"/>
    <w:rsid w:val="00013373"/>
    <w:rsid w:val="000142E5"/>
    <w:rsid w:val="00015DA7"/>
    <w:rsid w:val="000213C8"/>
    <w:rsid w:val="000248CE"/>
    <w:rsid w:val="00024E1E"/>
    <w:rsid w:val="00027D6A"/>
    <w:rsid w:val="0003045B"/>
    <w:rsid w:val="00034146"/>
    <w:rsid w:val="00034A4B"/>
    <w:rsid w:val="00041909"/>
    <w:rsid w:val="00046593"/>
    <w:rsid w:val="00047C08"/>
    <w:rsid w:val="00050D92"/>
    <w:rsid w:val="00052180"/>
    <w:rsid w:val="0005401F"/>
    <w:rsid w:val="00055769"/>
    <w:rsid w:val="00056EC3"/>
    <w:rsid w:val="00062CFE"/>
    <w:rsid w:val="0007129A"/>
    <w:rsid w:val="00073790"/>
    <w:rsid w:val="000831C4"/>
    <w:rsid w:val="000844CA"/>
    <w:rsid w:val="000B0FD9"/>
    <w:rsid w:val="000B3FBE"/>
    <w:rsid w:val="000C28E1"/>
    <w:rsid w:val="000C5311"/>
    <w:rsid w:val="000D6365"/>
    <w:rsid w:val="000E6B5B"/>
    <w:rsid w:val="000F040A"/>
    <w:rsid w:val="001034E8"/>
    <w:rsid w:val="00112A69"/>
    <w:rsid w:val="0011541D"/>
    <w:rsid w:val="00132F4A"/>
    <w:rsid w:val="0014387C"/>
    <w:rsid w:val="00147C97"/>
    <w:rsid w:val="00154192"/>
    <w:rsid w:val="00160BC8"/>
    <w:rsid w:val="00167425"/>
    <w:rsid w:val="001807A3"/>
    <w:rsid w:val="00191EC4"/>
    <w:rsid w:val="001947D5"/>
    <w:rsid w:val="001A11CD"/>
    <w:rsid w:val="001A6E1E"/>
    <w:rsid w:val="001B0E69"/>
    <w:rsid w:val="001B6585"/>
    <w:rsid w:val="001B7D40"/>
    <w:rsid w:val="001D03A8"/>
    <w:rsid w:val="001F06C4"/>
    <w:rsid w:val="001F3A8F"/>
    <w:rsid w:val="002008B4"/>
    <w:rsid w:val="00201F24"/>
    <w:rsid w:val="002024F8"/>
    <w:rsid w:val="002127CE"/>
    <w:rsid w:val="00215842"/>
    <w:rsid w:val="002207DF"/>
    <w:rsid w:val="00221AC2"/>
    <w:rsid w:val="002242BF"/>
    <w:rsid w:val="00227E4B"/>
    <w:rsid w:val="0023015A"/>
    <w:rsid w:val="0023708A"/>
    <w:rsid w:val="0025022D"/>
    <w:rsid w:val="002530BB"/>
    <w:rsid w:val="002556F3"/>
    <w:rsid w:val="00257A73"/>
    <w:rsid w:val="00260EDF"/>
    <w:rsid w:val="00264148"/>
    <w:rsid w:val="00274179"/>
    <w:rsid w:val="00285D3A"/>
    <w:rsid w:val="002B0FD2"/>
    <w:rsid w:val="002B6648"/>
    <w:rsid w:val="002C378C"/>
    <w:rsid w:val="002E3FD5"/>
    <w:rsid w:val="002E7A38"/>
    <w:rsid w:val="00306516"/>
    <w:rsid w:val="00320297"/>
    <w:rsid w:val="0032550D"/>
    <w:rsid w:val="003258A2"/>
    <w:rsid w:val="003469CB"/>
    <w:rsid w:val="00350C8B"/>
    <w:rsid w:val="00363331"/>
    <w:rsid w:val="00371E14"/>
    <w:rsid w:val="00373208"/>
    <w:rsid w:val="00383DB3"/>
    <w:rsid w:val="003854B2"/>
    <w:rsid w:val="00385AE6"/>
    <w:rsid w:val="00387C8D"/>
    <w:rsid w:val="00390CB6"/>
    <w:rsid w:val="00392DD0"/>
    <w:rsid w:val="00395BFD"/>
    <w:rsid w:val="00396BCB"/>
    <w:rsid w:val="00397825"/>
    <w:rsid w:val="003A1073"/>
    <w:rsid w:val="003A10F3"/>
    <w:rsid w:val="003A3906"/>
    <w:rsid w:val="003A785E"/>
    <w:rsid w:val="003B03A4"/>
    <w:rsid w:val="003C03EA"/>
    <w:rsid w:val="003C5F5C"/>
    <w:rsid w:val="003C690C"/>
    <w:rsid w:val="003E40FA"/>
    <w:rsid w:val="003F24ED"/>
    <w:rsid w:val="003F529E"/>
    <w:rsid w:val="00401931"/>
    <w:rsid w:val="00405BE3"/>
    <w:rsid w:val="00426481"/>
    <w:rsid w:val="00432966"/>
    <w:rsid w:val="00434744"/>
    <w:rsid w:val="00454E45"/>
    <w:rsid w:val="0045608E"/>
    <w:rsid w:val="0045662F"/>
    <w:rsid w:val="0046172C"/>
    <w:rsid w:val="00466959"/>
    <w:rsid w:val="00474E03"/>
    <w:rsid w:val="00476D3F"/>
    <w:rsid w:val="0047784B"/>
    <w:rsid w:val="004946F0"/>
    <w:rsid w:val="0049620C"/>
    <w:rsid w:val="00497C2A"/>
    <w:rsid w:val="004B1075"/>
    <w:rsid w:val="004B4291"/>
    <w:rsid w:val="004C277B"/>
    <w:rsid w:val="004D05FB"/>
    <w:rsid w:val="004D29C7"/>
    <w:rsid w:val="004D4006"/>
    <w:rsid w:val="004D51A0"/>
    <w:rsid w:val="004E7BDF"/>
    <w:rsid w:val="00504119"/>
    <w:rsid w:val="005065CF"/>
    <w:rsid w:val="00506BB4"/>
    <w:rsid w:val="0050705F"/>
    <w:rsid w:val="005170D3"/>
    <w:rsid w:val="0052493A"/>
    <w:rsid w:val="00525E8A"/>
    <w:rsid w:val="0052783E"/>
    <w:rsid w:val="00534601"/>
    <w:rsid w:val="00535CAF"/>
    <w:rsid w:val="00535F35"/>
    <w:rsid w:val="00536054"/>
    <w:rsid w:val="0053654B"/>
    <w:rsid w:val="00536CE1"/>
    <w:rsid w:val="0054180D"/>
    <w:rsid w:val="00545C0F"/>
    <w:rsid w:val="00547B53"/>
    <w:rsid w:val="005515CD"/>
    <w:rsid w:val="00571D8F"/>
    <w:rsid w:val="0057367D"/>
    <w:rsid w:val="00585BE3"/>
    <w:rsid w:val="0059212D"/>
    <w:rsid w:val="005A6B03"/>
    <w:rsid w:val="005B2B58"/>
    <w:rsid w:val="005C00FA"/>
    <w:rsid w:val="005C2D89"/>
    <w:rsid w:val="005C485B"/>
    <w:rsid w:val="005C6B89"/>
    <w:rsid w:val="005C6CD3"/>
    <w:rsid w:val="005D39D7"/>
    <w:rsid w:val="005D5956"/>
    <w:rsid w:val="005D6F63"/>
    <w:rsid w:val="005F4848"/>
    <w:rsid w:val="005F7869"/>
    <w:rsid w:val="00616E46"/>
    <w:rsid w:val="0062008C"/>
    <w:rsid w:val="00620797"/>
    <w:rsid w:val="00626494"/>
    <w:rsid w:val="00641DE2"/>
    <w:rsid w:val="00643384"/>
    <w:rsid w:val="0065406F"/>
    <w:rsid w:val="00663EC4"/>
    <w:rsid w:val="006722C1"/>
    <w:rsid w:val="00674E48"/>
    <w:rsid w:val="00677C5F"/>
    <w:rsid w:val="00682714"/>
    <w:rsid w:val="00687C86"/>
    <w:rsid w:val="00697882"/>
    <w:rsid w:val="006A0BC7"/>
    <w:rsid w:val="006C0062"/>
    <w:rsid w:val="006C097E"/>
    <w:rsid w:val="006C2DC3"/>
    <w:rsid w:val="006D0439"/>
    <w:rsid w:val="006D42EC"/>
    <w:rsid w:val="006E68C5"/>
    <w:rsid w:val="006F3B60"/>
    <w:rsid w:val="00704B7D"/>
    <w:rsid w:val="00705C15"/>
    <w:rsid w:val="00705C9B"/>
    <w:rsid w:val="00711414"/>
    <w:rsid w:val="007144E2"/>
    <w:rsid w:val="00725453"/>
    <w:rsid w:val="00730DA0"/>
    <w:rsid w:val="00737591"/>
    <w:rsid w:val="007438F2"/>
    <w:rsid w:val="00755C3D"/>
    <w:rsid w:val="007576EF"/>
    <w:rsid w:val="00757CC5"/>
    <w:rsid w:val="00760677"/>
    <w:rsid w:val="00761C12"/>
    <w:rsid w:val="007658BA"/>
    <w:rsid w:val="00775E5E"/>
    <w:rsid w:val="00776CF4"/>
    <w:rsid w:val="00784F89"/>
    <w:rsid w:val="00786336"/>
    <w:rsid w:val="0079271C"/>
    <w:rsid w:val="007A0E7F"/>
    <w:rsid w:val="007A4378"/>
    <w:rsid w:val="007A6EB6"/>
    <w:rsid w:val="007C1DC4"/>
    <w:rsid w:val="007C5CE9"/>
    <w:rsid w:val="007D39CC"/>
    <w:rsid w:val="007D6AAF"/>
    <w:rsid w:val="007E29F8"/>
    <w:rsid w:val="007E5A11"/>
    <w:rsid w:val="007E73E6"/>
    <w:rsid w:val="007F1954"/>
    <w:rsid w:val="007F21D7"/>
    <w:rsid w:val="008057F8"/>
    <w:rsid w:val="00811910"/>
    <w:rsid w:val="00812C91"/>
    <w:rsid w:val="008213F9"/>
    <w:rsid w:val="0082602A"/>
    <w:rsid w:val="008307E1"/>
    <w:rsid w:val="00836D62"/>
    <w:rsid w:val="00844524"/>
    <w:rsid w:val="00857234"/>
    <w:rsid w:val="00867160"/>
    <w:rsid w:val="0087205B"/>
    <w:rsid w:val="00874FB8"/>
    <w:rsid w:val="0088009B"/>
    <w:rsid w:val="00895669"/>
    <w:rsid w:val="00897946"/>
    <w:rsid w:val="008A3276"/>
    <w:rsid w:val="008A3447"/>
    <w:rsid w:val="008A414F"/>
    <w:rsid w:val="008A755D"/>
    <w:rsid w:val="008A7E5F"/>
    <w:rsid w:val="008C734C"/>
    <w:rsid w:val="008E4BF2"/>
    <w:rsid w:val="008F2FDB"/>
    <w:rsid w:val="008F4CBD"/>
    <w:rsid w:val="009017AD"/>
    <w:rsid w:val="00901BED"/>
    <w:rsid w:val="00905735"/>
    <w:rsid w:val="00910BCA"/>
    <w:rsid w:val="009131B9"/>
    <w:rsid w:val="0091409C"/>
    <w:rsid w:val="00915211"/>
    <w:rsid w:val="00933D5D"/>
    <w:rsid w:val="00935805"/>
    <w:rsid w:val="009368F3"/>
    <w:rsid w:val="00941A08"/>
    <w:rsid w:val="00947C42"/>
    <w:rsid w:val="00950091"/>
    <w:rsid w:val="00950489"/>
    <w:rsid w:val="0095178E"/>
    <w:rsid w:val="00957DE9"/>
    <w:rsid w:val="009616F7"/>
    <w:rsid w:val="00965A44"/>
    <w:rsid w:val="00967D7C"/>
    <w:rsid w:val="009757AD"/>
    <w:rsid w:val="00977AB1"/>
    <w:rsid w:val="00980B6A"/>
    <w:rsid w:val="009818F9"/>
    <w:rsid w:val="0098618F"/>
    <w:rsid w:val="00987C32"/>
    <w:rsid w:val="00991646"/>
    <w:rsid w:val="0099448B"/>
    <w:rsid w:val="00997347"/>
    <w:rsid w:val="0099736B"/>
    <w:rsid w:val="009A306B"/>
    <w:rsid w:val="009A3266"/>
    <w:rsid w:val="009B19CE"/>
    <w:rsid w:val="009C202F"/>
    <w:rsid w:val="009C77F7"/>
    <w:rsid w:val="009E2C86"/>
    <w:rsid w:val="009E5ABC"/>
    <w:rsid w:val="009E5B9C"/>
    <w:rsid w:val="009F4ED1"/>
    <w:rsid w:val="00A00D71"/>
    <w:rsid w:val="00A00EDF"/>
    <w:rsid w:val="00A02929"/>
    <w:rsid w:val="00A261E6"/>
    <w:rsid w:val="00A26A17"/>
    <w:rsid w:val="00A30169"/>
    <w:rsid w:val="00A312A3"/>
    <w:rsid w:val="00A33D9F"/>
    <w:rsid w:val="00A37229"/>
    <w:rsid w:val="00A41763"/>
    <w:rsid w:val="00A418C9"/>
    <w:rsid w:val="00A717B1"/>
    <w:rsid w:val="00A72AA8"/>
    <w:rsid w:val="00A74C9B"/>
    <w:rsid w:val="00A90F78"/>
    <w:rsid w:val="00A93478"/>
    <w:rsid w:val="00A97FE7"/>
    <w:rsid w:val="00AA3FD0"/>
    <w:rsid w:val="00AA46CA"/>
    <w:rsid w:val="00AA7EFA"/>
    <w:rsid w:val="00AB61B3"/>
    <w:rsid w:val="00AC272F"/>
    <w:rsid w:val="00AC323A"/>
    <w:rsid w:val="00AC3287"/>
    <w:rsid w:val="00AD272B"/>
    <w:rsid w:val="00AD2D66"/>
    <w:rsid w:val="00AD6357"/>
    <w:rsid w:val="00AD7F81"/>
    <w:rsid w:val="00AE4CA9"/>
    <w:rsid w:val="00AF367D"/>
    <w:rsid w:val="00AF45FD"/>
    <w:rsid w:val="00AF4D1C"/>
    <w:rsid w:val="00AF7B88"/>
    <w:rsid w:val="00B06DAB"/>
    <w:rsid w:val="00B2386E"/>
    <w:rsid w:val="00B311B4"/>
    <w:rsid w:val="00B35E2A"/>
    <w:rsid w:val="00B4263D"/>
    <w:rsid w:val="00B55C0C"/>
    <w:rsid w:val="00B56F49"/>
    <w:rsid w:val="00B63442"/>
    <w:rsid w:val="00B7442A"/>
    <w:rsid w:val="00B97002"/>
    <w:rsid w:val="00BB2F70"/>
    <w:rsid w:val="00BB6CF4"/>
    <w:rsid w:val="00BB6DB8"/>
    <w:rsid w:val="00BC14C3"/>
    <w:rsid w:val="00BC1ABE"/>
    <w:rsid w:val="00BD1645"/>
    <w:rsid w:val="00BD2F20"/>
    <w:rsid w:val="00BD4F62"/>
    <w:rsid w:val="00BE4AFD"/>
    <w:rsid w:val="00C00590"/>
    <w:rsid w:val="00C00D4E"/>
    <w:rsid w:val="00C031B2"/>
    <w:rsid w:val="00C04647"/>
    <w:rsid w:val="00C058CF"/>
    <w:rsid w:val="00C12551"/>
    <w:rsid w:val="00C211CD"/>
    <w:rsid w:val="00C25328"/>
    <w:rsid w:val="00C3744D"/>
    <w:rsid w:val="00C43A84"/>
    <w:rsid w:val="00C62AB1"/>
    <w:rsid w:val="00C64137"/>
    <w:rsid w:val="00C658E4"/>
    <w:rsid w:val="00C7266E"/>
    <w:rsid w:val="00C7322D"/>
    <w:rsid w:val="00C76C66"/>
    <w:rsid w:val="00C82DF9"/>
    <w:rsid w:val="00C87190"/>
    <w:rsid w:val="00CA1564"/>
    <w:rsid w:val="00CA7C8A"/>
    <w:rsid w:val="00CB1AB8"/>
    <w:rsid w:val="00CB44E8"/>
    <w:rsid w:val="00CB7978"/>
    <w:rsid w:val="00CC1D12"/>
    <w:rsid w:val="00CD6663"/>
    <w:rsid w:val="00CE42E9"/>
    <w:rsid w:val="00D001E4"/>
    <w:rsid w:val="00D00AA8"/>
    <w:rsid w:val="00D024C4"/>
    <w:rsid w:val="00D02778"/>
    <w:rsid w:val="00D13E84"/>
    <w:rsid w:val="00D16050"/>
    <w:rsid w:val="00D300F4"/>
    <w:rsid w:val="00D3344B"/>
    <w:rsid w:val="00D40175"/>
    <w:rsid w:val="00D4145A"/>
    <w:rsid w:val="00D541CE"/>
    <w:rsid w:val="00D55243"/>
    <w:rsid w:val="00D62D10"/>
    <w:rsid w:val="00D62F90"/>
    <w:rsid w:val="00D63E74"/>
    <w:rsid w:val="00D656CA"/>
    <w:rsid w:val="00D715C4"/>
    <w:rsid w:val="00D8128B"/>
    <w:rsid w:val="00D915E5"/>
    <w:rsid w:val="00D928FD"/>
    <w:rsid w:val="00DA5883"/>
    <w:rsid w:val="00DB48BA"/>
    <w:rsid w:val="00DB550C"/>
    <w:rsid w:val="00DB56A0"/>
    <w:rsid w:val="00DB70CE"/>
    <w:rsid w:val="00DC79E3"/>
    <w:rsid w:val="00DD0C1F"/>
    <w:rsid w:val="00DD0E56"/>
    <w:rsid w:val="00DD4CED"/>
    <w:rsid w:val="00DD51E1"/>
    <w:rsid w:val="00DE2D54"/>
    <w:rsid w:val="00E02BB0"/>
    <w:rsid w:val="00E03CE6"/>
    <w:rsid w:val="00E06AF5"/>
    <w:rsid w:val="00E11D9F"/>
    <w:rsid w:val="00E13716"/>
    <w:rsid w:val="00E20AFD"/>
    <w:rsid w:val="00E266FF"/>
    <w:rsid w:val="00E27661"/>
    <w:rsid w:val="00E31F5C"/>
    <w:rsid w:val="00E47DB3"/>
    <w:rsid w:val="00E509A9"/>
    <w:rsid w:val="00E51F8B"/>
    <w:rsid w:val="00E5242A"/>
    <w:rsid w:val="00E52FE1"/>
    <w:rsid w:val="00E53398"/>
    <w:rsid w:val="00E66AE2"/>
    <w:rsid w:val="00E7428D"/>
    <w:rsid w:val="00E74DA4"/>
    <w:rsid w:val="00E81B89"/>
    <w:rsid w:val="00E91432"/>
    <w:rsid w:val="00E91B5A"/>
    <w:rsid w:val="00E93892"/>
    <w:rsid w:val="00EC4726"/>
    <w:rsid w:val="00EC6B47"/>
    <w:rsid w:val="00ED05AC"/>
    <w:rsid w:val="00ED6E45"/>
    <w:rsid w:val="00EE2CAF"/>
    <w:rsid w:val="00EE43E4"/>
    <w:rsid w:val="00EE4A2C"/>
    <w:rsid w:val="00EF31F0"/>
    <w:rsid w:val="00EF3F21"/>
    <w:rsid w:val="00F001EA"/>
    <w:rsid w:val="00F056C3"/>
    <w:rsid w:val="00F16B90"/>
    <w:rsid w:val="00F34F19"/>
    <w:rsid w:val="00F44A21"/>
    <w:rsid w:val="00F575F0"/>
    <w:rsid w:val="00F6664C"/>
    <w:rsid w:val="00F750E7"/>
    <w:rsid w:val="00F75103"/>
    <w:rsid w:val="00F80AF1"/>
    <w:rsid w:val="00F8298C"/>
    <w:rsid w:val="00F90242"/>
    <w:rsid w:val="00F90245"/>
    <w:rsid w:val="00F920D9"/>
    <w:rsid w:val="00F94781"/>
    <w:rsid w:val="00F950B6"/>
    <w:rsid w:val="00FA50DE"/>
    <w:rsid w:val="00FA5388"/>
    <w:rsid w:val="00FB015E"/>
    <w:rsid w:val="00FB08E3"/>
    <w:rsid w:val="00FB6BF3"/>
    <w:rsid w:val="00FD397B"/>
    <w:rsid w:val="00FD4B01"/>
    <w:rsid w:val="00FD52F2"/>
    <w:rsid w:val="00FD7CDC"/>
    <w:rsid w:val="00FE58E0"/>
    <w:rsid w:val="00FE74D0"/>
    <w:rsid w:val="00FF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fill="f" fillcolor="white" stroke="f">
      <v:fill color="white" on="f"/>
      <v:stroke on="f"/>
    </o:shapedefaults>
    <o:shapelayout v:ext="edit">
      <o:idmap v:ext="edit" data="1"/>
    </o:shapelayout>
  </w:shapeDefaults>
  <w:decimalSymbol w:val="."/>
  <w:listSeparator w:val=","/>
  <w14:docId w14:val="690E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95178E"/>
    <w:pPr>
      <w:keepNext/>
      <w:keepLines/>
      <w:spacing w:before="200" w:after="0"/>
      <w:outlineLvl w:val="1"/>
    </w:pPr>
    <w:rPr>
      <w:rFonts w:eastAsiaTheme="majorEastAsia" w:cstheme="majorBidi"/>
      <w:b/>
      <w:color w:val="1396D8"/>
      <w:sz w:val="24"/>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95178E"/>
    <w:rPr>
      <w:rFonts w:eastAsiaTheme="majorEastAsia" w:cstheme="majorBidi"/>
      <w:b/>
      <w:color w:val="1396D8"/>
      <w:sz w:val="24"/>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uiPriority w:val="99"/>
    <w:semiHidden/>
    <w:unhideWhenUsed/>
    <w:locked/>
    <w:rsid w:val="005A6B03"/>
    <w:pPr>
      <w:spacing w:after="120"/>
      <w:ind w:left="360"/>
    </w:pPr>
  </w:style>
  <w:style w:type="character" w:customStyle="1" w:styleId="BodyTextIndentChar">
    <w:name w:val="Body Text Indent Char"/>
    <w:basedOn w:val="DefaultParagraphFont"/>
    <w:link w:val="BodyTextIndent"/>
    <w:uiPriority w:val="99"/>
    <w:semiHidden/>
    <w:rsid w:val="005A6B03"/>
  </w:style>
  <w:style w:type="character" w:styleId="CommentReference">
    <w:name w:val="annotation reference"/>
    <w:basedOn w:val="DefaultParagraphFont"/>
    <w:uiPriority w:val="99"/>
    <w:locked/>
    <w:rsid w:val="00C7322D"/>
    <w:rPr>
      <w:sz w:val="16"/>
      <w:szCs w:val="16"/>
    </w:rPr>
  </w:style>
  <w:style w:type="paragraph" w:styleId="CommentText">
    <w:name w:val="annotation text"/>
    <w:basedOn w:val="Normal"/>
    <w:link w:val="CommentTextChar"/>
    <w:uiPriority w:val="99"/>
    <w:locked/>
    <w:rsid w:val="00C7322D"/>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C7322D"/>
    <w:rPr>
      <w:rFonts w:ascii="Times New Roman" w:eastAsia="Times New Roman" w:hAnsi="Times New Roman" w:cs="Times New Roman"/>
      <w:snapToGrid w:val="0"/>
      <w:sz w:val="20"/>
      <w:szCs w:val="20"/>
    </w:rPr>
  </w:style>
  <w:style w:type="character" w:styleId="FollowedHyperlink">
    <w:name w:val="FollowedHyperlink"/>
    <w:basedOn w:val="DefaultParagraphFont"/>
    <w:uiPriority w:val="99"/>
    <w:semiHidden/>
    <w:unhideWhenUsed/>
    <w:locked/>
    <w:rsid w:val="00DB48BA"/>
    <w:rPr>
      <w:color w:val="5D9732" w:themeColor="followedHyperlink"/>
      <w:u w:val="single"/>
    </w:rPr>
  </w:style>
  <w:style w:type="paragraph" w:styleId="CommentSubject">
    <w:name w:val="annotation subject"/>
    <w:basedOn w:val="CommentText"/>
    <w:next w:val="CommentText"/>
    <w:link w:val="CommentSubjectChar"/>
    <w:uiPriority w:val="99"/>
    <w:semiHidden/>
    <w:unhideWhenUsed/>
    <w:locked/>
    <w:rsid w:val="00147C97"/>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47C97"/>
    <w:rPr>
      <w:rFonts w:ascii="Times New Roman" w:eastAsia="Times New Roman" w:hAnsi="Times New Roman" w:cs="Times New Roman"/>
      <w:b/>
      <w:bCs/>
      <w:snapToGrid/>
      <w:sz w:val="20"/>
      <w:szCs w:val="20"/>
    </w:rPr>
  </w:style>
  <w:style w:type="paragraph" w:styleId="Revision">
    <w:name w:val="Revision"/>
    <w:hidden/>
    <w:uiPriority w:val="99"/>
    <w:semiHidden/>
    <w:rsid w:val="00D1605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1" w:unhideWhenUsed="0" w:qFormat="1"/>
    <w:lsdException w:name="heading 2" w:locked="0" w:uiPriority="1" w:qFormat="1"/>
    <w:lsdException w:name="heading 3" w:locked="0" w:uiPriority="1" w:qFormat="1"/>
    <w:lsdException w:name="heading 4" w:locked="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0" w:uiPriority="39" w:qFormat="1"/>
    <w:lsdException w:name="toc 2" w:locked="0" w:uiPriority="39" w:qFormat="1"/>
    <w:lsdException w:name="toc 3" w:locked="0" w:uiPriority="39" w:qFormat="1"/>
    <w:lsdException w:name="toc 4" w:locked="0" w:uiPriority="39" w:qFormat="1"/>
    <w:lsdException w:name="toc 5" w:uiPriority="39"/>
    <w:lsdException w:name="toc 6" w:uiPriority="39"/>
    <w:lsdException w:name="toc 7" w:uiPriority="39"/>
    <w:lsdException w:name="toc 8" w:uiPriority="39"/>
    <w:lsdException w:name="toc 9" w:uiPriority="39"/>
    <w:lsdException w:name="footnote text" w:locked="0" w:uiPriority="7" w:qFormat="1"/>
    <w:lsdException w:name="header" w:locked="0" w:qFormat="1"/>
    <w:lsdException w:name="footer" w:locked="0" w:qFormat="1"/>
    <w:lsdException w:name="caption" w:locked="0" w:uiPriority="3" w:qFormat="1"/>
    <w:lsdException w:name="table of figures" w:locked="0"/>
    <w:lsdException w:name="footnote reference" w:locked="0" w:uiPriority="8"/>
    <w:lsdException w:name="Title" w:semiHidden="0" w:uiPriority="10" w:unhideWhenUsed="0" w:qFormat="1"/>
    <w:lsdException w:name="Default Paragraph Font" w:locked="0" w:uiPriority="1"/>
    <w:lsdException w:name="Subtitle" w:uiPriority="11" w:unhideWhenUsed="0"/>
    <w:lsdException w:name="Date" w:qFormat="1"/>
    <w:lsdException w:name="Body Text First Indent" w:qFormat="1"/>
    <w:lsdException w:name="Note Heading" w:uiPriority="13" w:qFormat="1"/>
    <w:lsdException w:name="Body Text Indent 3" w:qFormat="1"/>
    <w:lsdException w:name="Hyperlink" w:locked="0" w:qFormat="1"/>
    <w:lsdException w:name="Strong" w:semiHidden="0" w:uiPriority="22" w:unhideWhenUsed="0" w:qFormat="1"/>
    <w:lsdException w:name="Emphasis" w:locked="0" w:semiHidden="0" w:uiPriority="5"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14"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95178E"/>
    <w:pPr>
      <w:keepNext/>
      <w:keepLines/>
      <w:spacing w:before="200" w:after="0"/>
      <w:outlineLvl w:val="1"/>
    </w:pPr>
    <w:rPr>
      <w:rFonts w:eastAsiaTheme="majorEastAsia" w:cstheme="majorBidi"/>
      <w:b/>
      <w:color w:val="1396D8"/>
      <w:sz w:val="24"/>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95178E"/>
    <w:rPr>
      <w:rFonts w:eastAsiaTheme="majorEastAsia" w:cstheme="majorBidi"/>
      <w:b/>
      <w:color w:val="1396D8"/>
      <w:sz w:val="24"/>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BodyTextIndent">
    <w:name w:val="Body Text Indent"/>
    <w:basedOn w:val="Normal"/>
    <w:link w:val="BodyTextIndentChar"/>
    <w:uiPriority w:val="99"/>
    <w:semiHidden/>
    <w:unhideWhenUsed/>
    <w:locked/>
    <w:rsid w:val="005A6B03"/>
    <w:pPr>
      <w:spacing w:after="120"/>
      <w:ind w:left="360"/>
    </w:pPr>
  </w:style>
  <w:style w:type="character" w:customStyle="1" w:styleId="BodyTextIndentChar">
    <w:name w:val="Body Text Indent Char"/>
    <w:basedOn w:val="DefaultParagraphFont"/>
    <w:link w:val="BodyTextIndent"/>
    <w:uiPriority w:val="99"/>
    <w:semiHidden/>
    <w:rsid w:val="005A6B03"/>
  </w:style>
  <w:style w:type="character" w:styleId="CommentReference">
    <w:name w:val="annotation reference"/>
    <w:basedOn w:val="DefaultParagraphFont"/>
    <w:uiPriority w:val="99"/>
    <w:locked/>
    <w:rsid w:val="00C7322D"/>
    <w:rPr>
      <w:sz w:val="16"/>
      <w:szCs w:val="16"/>
    </w:rPr>
  </w:style>
  <w:style w:type="paragraph" w:styleId="CommentText">
    <w:name w:val="annotation text"/>
    <w:basedOn w:val="Normal"/>
    <w:link w:val="CommentTextChar"/>
    <w:uiPriority w:val="99"/>
    <w:locked/>
    <w:rsid w:val="00C7322D"/>
    <w:pPr>
      <w:widowControl w:val="0"/>
      <w:spacing w:before="100" w:beforeAutospacing="1" w:after="100" w:afterAutospacing="1" w:line="240" w:lineRule="auto"/>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C7322D"/>
    <w:rPr>
      <w:rFonts w:ascii="Times New Roman" w:eastAsia="Times New Roman" w:hAnsi="Times New Roman" w:cs="Times New Roman"/>
      <w:snapToGrid w:val="0"/>
      <w:sz w:val="20"/>
      <w:szCs w:val="20"/>
    </w:rPr>
  </w:style>
  <w:style w:type="character" w:styleId="FollowedHyperlink">
    <w:name w:val="FollowedHyperlink"/>
    <w:basedOn w:val="DefaultParagraphFont"/>
    <w:uiPriority w:val="99"/>
    <w:semiHidden/>
    <w:unhideWhenUsed/>
    <w:locked/>
    <w:rsid w:val="00DB48BA"/>
    <w:rPr>
      <w:color w:val="5D9732" w:themeColor="followedHyperlink"/>
      <w:u w:val="single"/>
    </w:rPr>
  </w:style>
  <w:style w:type="paragraph" w:styleId="CommentSubject">
    <w:name w:val="annotation subject"/>
    <w:basedOn w:val="CommentText"/>
    <w:next w:val="CommentText"/>
    <w:link w:val="CommentSubjectChar"/>
    <w:uiPriority w:val="99"/>
    <w:semiHidden/>
    <w:unhideWhenUsed/>
    <w:locked/>
    <w:rsid w:val="00147C97"/>
    <w:pPr>
      <w:widowControl/>
      <w:spacing w:before="0" w:beforeAutospacing="0" w:after="200" w:afterAutospacing="0"/>
      <w:jc w:val="left"/>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47C97"/>
    <w:rPr>
      <w:rFonts w:ascii="Times New Roman" w:eastAsia="Times New Roman" w:hAnsi="Times New Roman" w:cs="Times New Roman"/>
      <w:b/>
      <w:bCs/>
      <w:snapToGrid/>
      <w:sz w:val="20"/>
      <w:szCs w:val="20"/>
    </w:rPr>
  </w:style>
  <w:style w:type="paragraph" w:styleId="Revision">
    <w:name w:val="Revision"/>
    <w:hidden/>
    <w:uiPriority w:val="99"/>
    <w:semiHidden/>
    <w:rsid w:val="00D1605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07574">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5960634">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4371477">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03545333">
      <w:bodyDiv w:val="1"/>
      <w:marLeft w:val="0"/>
      <w:marRight w:val="0"/>
      <w:marTop w:val="0"/>
      <w:marBottom w:val="0"/>
      <w:divBdr>
        <w:top w:val="none" w:sz="0" w:space="0" w:color="auto"/>
        <w:left w:val="none" w:sz="0" w:space="0" w:color="auto"/>
        <w:bottom w:val="none" w:sz="0" w:space="0" w:color="auto"/>
        <w:right w:val="none" w:sz="0" w:space="0" w:color="auto"/>
      </w:divBdr>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10442098">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91983762">
      <w:bodyDiv w:val="1"/>
      <w:marLeft w:val="0"/>
      <w:marRight w:val="0"/>
      <w:marTop w:val="0"/>
      <w:marBottom w:val="0"/>
      <w:divBdr>
        <w:top w:val="none" w:sz="0" w:space="0" w:color="auto"/>
        <w:left w:val="none" w:sz="0" w:space="0" w:color="auto"/>
        <w:bottom w:val="none" w:sz="0" w:space="0" w:color="auto"/>
        <w:right w:val="none" w:sz="0" w:space="0" w:color="auto"/>
      </w:divBdr>
    </w:div>
    <w:div w:id="1130440993">
      <w:bodyDiv w:val="1"/>
      <w:marLeft w:val="0"/>
      <w:marRight w:val="0"/>
      <w:marTop w:val="0"/>
      <w:marBottom w:val="0"/>
      <w:divBdr>
        <w:top w:val="none" w:sz="0" w:space="0" w:color="auto"/>
        <w:left w:val="none" w:sz="0" w:space="0" w:color="auto"/>
        <w:bottom w:val="none" w:sz="0" w:space="0" w:color="auto"/>
        <w:right w:val="none" w:sz="0" w:space="0" w:color="auto"/>
      </w:divBdr>
    </w:div>
    <w:div w:id="1134446606">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293484727">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4586419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package" Target="embeddings/Microsoft_Excel_Worksheet1.xlsx"/><Relationship Id="rId3" Type="http://schemas.openxmlformats.org/officeDocument/2006/relationships/numbering" Target="numbering.xml"/><Relationship Id="rId21" Type="http://schemas.openxmlformats.org/officeDocument/2006/relationships/package" Target="embeddings/Microsoft_Excel_Worksheet2.xlsx"/><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energy.gov/sites/prod/files/gcprod/documents/New_Standard_Contract.pdf"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8D"/>
    <w:rsid w:val="000457E4"/>
    <w:rsid w:val="00132977"/>
    <w:rsid w:val="00217B3D"/>
    <w:rsid w:val="003D59B6"/>
    <w:rsid w:val="00545DF1"/>
    <w:rsid w:val="006A2025"/>
    <w:rsid w:val="0097548D"/>
    <w:rsid w:val="009E75B6"/>
    <w:rsid w:val="00D17918"/>
    <w:rsid w:val="00F2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995F54-09EA-467C-95F4-906AD5C9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3993</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Survey Clearance Standard Remittance Advice for Payment of Fees (NWPA-830G)</vt:lpstr>
    </vt:vector>
  </TitlesOfParts>
  <Company/>
  <LinksUpToDate>false</LinksUpToDate>
  <CharactersWithSpaces>26706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Survey Clearance Standard Remittance Advice for Payment of Fees (NWPA-830G)</dc:title>
  <dc:subject>Improving the Quality and Scope of EIA Data</dc:subject>
  <dc:creator>Stroud, Lawrence</dc:creator>
  <cp:keywords/>
  <dc:description/>
  <cp:lastModifiedBy>SYSTEM</cp:lastModifiedBy>
  <cp:revision>2</cp:revision>
  <cp:lastPrinted>2011-12-12T20:42:00Z</cp:lastPrinted>
  <dcterms:created xsi:type="dcterms:W3CDTF">2018-10-18T13:58:00Z</dcterms:created>
  <dcterms:modified xsi:type="dcterms:W3CDTF">2018-10-18T13:58:00Z</dcterms:modified>
</cp:coreProperties>
</file>