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560268" w14:textId="77777777" w:rsidR="00067742" w:rsidRPr="00F530C8" w:rsidRDefault="00067742" w:rsidP="005A26D5">
      <w:pPr>
        <w:jc w:val="center"/>
        <w:rPr>
          <w:rFonts w:asciiTheme="minorHAnsi" w:hAnsiTheme="minorHAnsi"/>
          <w:sz w:val="22"/>
          <w:szCs w:val="22"/>
        </w:rPr>
      </w:pPr>
      <w:bookmarkStart w:id="0" w:name="_GoBack"/>
      <w:bookmarkEnd w:id="0"/>
      <w:r w:rsidRPr="00F530C8">
        <w:rPr>
          <w:rFonts w:asciiTheme="minorHAnsi" w:hAnsiTheme="minorHAnsi"/>
          <w:b/>
          <w:bCs/>
          <w:sz w:val="22"/>
          <w:szCs w:val="22"/>
        </w:rPr>
        <w:t>SUPPORTING STATEMENT</w:t>
      </w:r>
    </w:p>
    <w:p w14:paraId="2168C39E" w14:textId="1F4E6A23" w:rsidR="00F530C8" w:rsidRDefault="00F530C8" w:rsidP="005A26D5">
      <w:pPr>
        <w:jc w:val="center"/>
        <w:rPr>
          <w:rFonts w:asciiTheme="minorHAnsi" w:hAnsiTheme="minorHAnsi"/>
          <w:b/>
          <w:sz w:val="22"/>
          <w:szCs w:val="22"/>
        </w:rPr>
      </w:pPr>
      <w:r w:rsidRPr="00F530C8">
        <w:rPr>
          <w:rFonts w:asciiTheme="minorHAnsi" w:hAnsiTheme="minorHAnsi"/>
          <w:b/>
          <w:sz w:val="22"/>
          <w:szCs w:val="22"/>
        </w:rPr>
        <w:t>Internal Revenue Service</w:t>
      </w:r>
    </w:p>
    <w:p w14:paraId="1FAE7ABD" w14:textId="77777777" w:rsidR="00456902" w:rsidRDefault="00456902" w:rsidP="005A26D5">
      <w:pPr>
        <w:jc w:val="center"/>
        <w:rPr>
          <w:rFonts w:asciiTheme="minorHAnsi" w:hAnsiTheme="minorHAnsi"/>
          <w:b/>
          <w:sz w:val="22"/>
          <w:szCs w:val="22"/>
        </w:rPr>
      </w:pPr>
      <w:r w:rsidRPr="00456902">
        <w:rPr>
          <w:rFonts w:asciiTheme="minorHAnsi" w:hAnsiTheme="minorHAnsi"/>
          <w:b/>
          <w:sz w:val="22"/>
          <w:szCs w:val="22"/>
        </w:rPr>
        <w:t>Conclusive Presumption of Worthlessness of Debts Held by Banks</w:t>
      </w:r>
    </w:p>
    <w:p w14:paraId="49A6720D" w14:textId="23E83E65" w:rsidR="00F530C8" w:rsidRDefault="00AC3089" w:rsidP="005A26D5">
      <w:pPr>
        <w:jc w:val="center"/>
        <w:rPr>
          <w:rFonts w:asciiTheme="minorHAnsi" w:hAnsiTheme="minorHAnsi"/>
          <w:b/>
          <w:sz w:val="22"/>
          <w:szCs w:val="22"/>
        </w:rPr>
      </w:pPr>
      <w:r>
        <w:rPr>
          <w:rFonts w:asciiTheme="minorHAnsi" w:hAnsiTheme="minorHAnsi"/>
          <w:b/>
          <w:sz w:val="22"/>
          <w:szCs w:val="22"/>
        </w:rPr>
        <w:t>TD 8396</w:t>
      </w:r>
    </w:p>
    <w:p w14:paraId="3E17B6EC" w14:textId="702D380F" w:rsidR="002174CE" w:rsidRPr="00F530C8" w:rsidRDefault="00D97FA8" w:rsidP="005A26D5">
      <w:pPr>
        <w:jc w:val="center"/>
        <w:rPr>
          <w:rFonts w:asciiTheme="minorHAnsi" w:hAnsiTheme="minorHAnsi"/>
          <w:b/>
          <w:sz w:val="22"/>
          <w:szCs w:val="22"/>
        </w:rPr>
      </w:pPr>
      <w:r>
        <w:rPr>
          <w:rFonts w:asciiTheme="minorHAnsi" w:hAnsiTheme="minorHAnsi"/>
          <w:b/>
          <w:sz w:val="22"/>
          <w:szCs w:val="22"/>
        </w:rPr>
        <w:t>O</w:t>
      </w:r>
      <w:r w:rsidR="002174CE" w:rsidRPr="00F530C8">
        <w:rPr>
          <w:rFonts w:asciiTheme="minorHAnsi" w:hAnsiTheme="minorHAnsi"/>
          <w:b/>
          <w:sz w:val="22"/>
          <w:szCs w:val="22"/>
        </w:rPr>
        <w:t>MB No. 1545-</w:t>
      </w:r>
      <w:r w:rsidR="00AC3089">
        <w:rPr>
          <w:rFonts w:asciiTheme="minorHAnsi" w:hAnsiTheme="minorHAnsi"/>
          <w:b/>
          <w:sz w:val="22"/>
          <w:szCs w:val="22"/>
        </w:rPr>
        <w:t>1254</w:t>
      </w:r>
    </w:p>
    <w:p w14:paraId="2F767DF5" w14:textId="77777777" w:rsidR="00067742" w:rsidRPr="00F530C8" w:rsidRDefault="00067742" w:rsidP="00C076C8">
      <w:pPr>
        <w:tabs>
          <w:tab w:val="left" w:pos="720"/>
        </w:tabs>
        <w:ind w:left="720" w:right="-72" w:hanging="720"/>
        <w:rPr>
          <w:rFonts w:asciiTheme="minorHAnsi" w:hAnsiTheme="minorHAnsi"/>
          <w:sz w:val="22"/>
          <w:szCs w:val="22"/>
        </w:rPr>
      </w:pPr>
    </w:p>
    <w:p w14:paraId="6FCADB92"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CIRCUMSTANCES NECESSITATING COLLECTION OF INFORMATION</w:t>
      </w:r>
    </w:p>
    <w:p w14:paraId="54565963" w14:textId="77777777" w:rsidR="00067742" w:rsidRPr="00F530C8" w:rsidRDefault="00067742" w:rsidP="00C076C8">
      <w:pPr>
        <w:tabs>
          <w:tab w:val="left" w:pos="720"/>
        </w:tabs>
        <w:ind w:left="720" w:right="-72" w:hanging="720"/>
        <w:rPr>
          <w:rFonts w:asciiTheme="minorHAnsi" w:hAnsiTheme="minorHAnsi"/>
          <w:sz w:val="22"/>
          <w:szCs w:val="22"/>
        </w:rPr>
      </w:pPr>
    </w:p>
    <w:p w14:paraId="5DFB89FE" w14:textId="55B86B8A" w:rsidR="00D97FA8" w:rsidRPr="00D97FA8" w:rsidRDefault="00C076C8" w:rsidP="00D97FA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456902" w:rsidRPr="00456902">
        <w:rPr>
          <w:rFonts w:asciiTheme="minorHAnsi" w:hAnsiTheme="minorHAnsi"/>
          <w:sz w:val="22"/>
          <w:szCs w:val="22"/>
        </w:rPr>
        <w:t>Section 1.166-2(d)(3) of this regulation allows a bank to elect to determine the worthlessness of debts by using a method of accounting that conforms worthlessness for tax purposes to worthlessness for regulatory purposes.  An election under this regulation is treated as a change in accounting method and may be voided by the Commissioner under limited circumstances or may be revoked by the bank, but only with the consent of the Commissioner.  The regulation requires the filing of Form 3115 by banks that elect to determine worthlessness of debts using these provisions.</w:t>
      </w:r>
      <w:r w:rsidR="003515C9">
        <w:rPr>
          <w:rFonts w:asciiTheme="minorHAnsi" w:hAnsiTheme="minorHAnsi"/>
          <w:sz w:val="22"/>
          <w:szCs w:val="22"/>
        </w:rPr>
        <w:t xml:space="preserve"> </w:t>
      </w:r>
      <w:r w:rsidR="00A80FAD">
        <w:rPr>
          <w:rFonts w:asciiTheme="minorHAnsi" w:hAnsiTheme="minorHAnsi"/>
          <w:sz w:val="22"/>
          <w:szCs w:val="22"/>
        </w:rPr>
        <w:t xml:space="preserve">Additionally, </w:t>
      </w:r>
      <w:r w:rsidR="003515C9" w:rsidRPr="003515C9">
        <w:rPr>
          <w:rFonts w:asciiTheme="minorHAnsi" w:hAnsiTheme="minorHAnsi"/>
          <w:sz w:val="22"/>
          <w:szCs w:val="22"/>
        </w:rPr>
        <w:t>section 1.166-2(d)(3)(iii)(B) is a reporting requirement that is for a new bank that elects the conformity method of accounting when it adopts it overall method of accounting for bad debts.  These banks would not be changing their method of accounting.  Accordingly, in lieu of making the election on a Form 3115, these banks are required to attach a statement to their income tax return.</w:t>
      </w:r>
      <w:r w:rsidR="00D44199">
        <w:rPr>
          <w:rFonts w:asciiTheme="minorHAnsi" w:hAnsiTheme="minorHAnsi"/>
          <w:sz w:val="22"/>
          <w:szCs w:val="22"/>
        </w:rPr>
        <w:t xml:space="preserve"> </w:t>
      </w:r>
      <w:r w:rsidR="00D44199" w:rsidRPr="00D44199">
        <w:rPr>
          <w:rFonts w:asciiTheme="minorHAnsi" w:hAnsiTheme="minorHAnsi"/>
          <w:sz w:val="22"/>
          <w:szCs w:val="22"/>
        </w:rPr>
        <w:t xml:space="preserve">The reporting requirement applies to all banks, as defined in Code section 581 including foreign banks and Farm Credit System institutions, that make an election under these regulations.  </w:t>
      </w:r>
    </w:p>
    <w:p w14:paraId="70EE4AE6" w14:textId="1D1D3400" w:rsidR="00067742" w:rsidRPr="00F530C8" w:rsidRDefault="00067742"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 xml:space="preserve"> </w:t>
      </w:r>
    </w:p>
    <w:p w14:paraId="00BC4EF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USE OF DATA</w:t>
      </w:r>
      <w:r w:rsidRPr="00F530C8">
        <w:rPr>
          <w:rFonts w:asciiTheme="minorHAnsi" w:hAnsiTheme="minorHAnsi"/>
          <w:b/>
          <w:bCs/>
          <w:sz w:val="22"/>
          <w:szCs w:val="22"/>
        </w:rPr>
        <w:t xml:space="preserve"> </w:t>
      </w:r>
    </w:p>
    <w:p w14:paraId="532E4BD8" w14:textId="77777777" w:rsidR="00067742" w:rsidRPr="00F530C8" w:rsidRDefault="00067742" w:rsidP="00C076C8">
      <w:pPr>
        <w:tabs>
          <w:tab w:val="left" w:pos="720"/>
        </w:tabs>
        <w:ind w:left="720" w:right="-72" w:hanging="720"/>
        <w:rPr>
          <w:rFonts w:asciiTheme="minorHAnsi" w:hAnsiTheme="minorHAnsi"/>
          <w:sz w:val="22"/>
          <w:szCs w:val="22"/>
        </w:rPr>
      </w:pPr>
    </w:p>
    <w:p w14:paraId="6C8BF35A" w14:textId="4D43FBE3" w:rsidR="00F841ED" w:rsidRPr="00F530C8" w:rsidRDefault="00C076C8" w:rsidP="00C076C8">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r w:rsidR="00D44199" w:rsidRPr="00D44199">
        <w:rPr>
          <w:rFonts w:asciiTheme="minorHAnsi" w:hAnsiTheme="minorHAnsi"/>
          <w:sz w:val="22"/>
          <w:szCs w:val="22"/>
        </w:rPr>
        <w:t xml:space="preserve">The bank reports its election by filing a Form 3115 (Application for Change in Accounting Method) with its timely filed return for the first year in which it makes the election and consent is automatically granted.  Thereafter, the form must be filed with the National Office.  </w:t>
      </w:r>
      <w:r w:rsidR="00D44199">
        <w:rPr>
          <w:rFonts w:asciiTheme="minorHAnsi" w:hAnsiTheme="minorHAnsi"/>
          <w:sz w:val="22"/>
          <w:szCs w:val="22"/>
        </w:rPr>
        <w:t xml:space="preserve">The information </w:t>
      </w:r>
      <w:r w:rsidR="00D44199" w:rsidRPr="00D44199">
        <w:rPr>
          <w:rFonts w:asciiTheme="minorHAnsi" w:hAnsiTheme="minorHAnsi"/>
          <w:sz w:val="22"/>
          <w:szCs w:val="22"/>
        </w:rPr>
        <w:t xml:space="preserve">is used by IRS to verify compliance with sections </w:t>
      </w:r>
      <w:r w:rsidR="00D44199">
        <w:rPr>
          <w:rFonts w:asciiTheme="minorHAnsi" w:hAnsiTheme="minorHAnsi"/>
          <w:sz w:val="22"/>
          <w:szCs w:val="22"/>
        </w:rPr>
        <w:t>166</w:t>
      </w:r>
      <w:r w:rsidR="00D44199" w:rsidRPr="00D44199">
        <w:rPr>
          <w:rFonts w:asciiTheme="minorHAnsi" w:hAnsiTheme="minorHAnsi"/>
          <w:sz w:val="22"/>
          <w:szCs w:val="22"/>
        </w:rPr>
        <w:t xml:space="preserve"> of the Internal Revenue Code.</w:t>
      </w:r>
    </w:p>
    <w:p w14:paraId="2639E48C" w14:textId="77777777" w:rsidR="00067742" w:rsidRPr="00F530C8" w:rsidRDefault="00067742" w:rsidP="00C076C8">
      <w:pPr>
        <w:tabs>
          <w:tab w:val="left" w:pos="720"/>
        </w:tabs>
        <w:ind w:left="720" w:right="-72" w:hanging="720"/>
        <w:rPr>
          <w:rFonts w:asciiTheme="minorHAnsi" w:hAnsiTheme="minorHAnsi"/>
          <w:b/>
          <w:sz w:val="22"/>
          <w:szCs w:val="22"/>
        </w:rPr>
      </w:pPr>
    </w:p>
    <w:p w14:paraId="16019B5D" w14:textId="77777777" w:rsidR="00067742" w:rsidRPr="00F530C8" w:rsidRDefault="00067742" w:rsidP="002174CE">
      <w:pPr>
        <w:numPr>
          <w:ilvl w:val="0"/>
          <w:numId w:val="4"/>
        </w:numPr>
        <w:tabs>
          <w:tab w:val="left" w:pos="720"/>
        </w:tabs>
        <w:ind w:right="-72" w:hanging="720"/>
        <w:rPr>
          <w:rFonts w:asciiTheme="minorHAnsi" w:hAnsiTheme="minorHAnsi"/>
          <w:b/>
          <w:sz w:val="22"/>
          <w:szCs w:val="22"/>
        </w:rPr>
      </w:pPr>
      <w:r w:rsidRPr="00B27BA4">
        <w:rPr>
          <w:rFonts w:asciiTheme="minorHAnsi" w:hAnsiTheme="minorHAnsi"/>
          <w:b/>
          <w:bCs/>
          <w:sz w:val="22"/>
          <w:szCs w:val="22"/>
          <w:u w:val="single"/>
        </w:rPr>
        <w:t>USE OF</w:t>
      </w:r>
      <w:r w:rsidRPr="00F530C8">
        <w:rPr>
          <w:rFonts w:asciiTheme="minorHAnsi" w:hAnsiTheme="minorHAnsi"/>
          <w:b/>
          <w:bCs/>
          <w:sz w:val="22"/>
          <w:szCs w:val="22"/>
          <w:u w:val="single"/>
        </w:rPr>
        <w:t xml:space="preserve"> IMPROVED INFORMATION TECHNOLOGY TO REDUCE BURDEN</w:t>
      </w:r>
    </w:p>
    <w:p w14:paraId="3A7C5492" w14:textId="77777777" w:rsidR="00A432BF" w:rsidRPr="00A432BF" w:rsidRDefault="00C076C8" w:rsidP="00A432BF">
      <w:pPr>
        <w:tabs>
          <w:tab w:val="left" w:pos="720"/>
        </w:tabs>
        <w:ind w:left="720" w:right="-72" w:hanging="720"/>
        <w:rPr>
          <w:rFonts w:asciiTheme="minorHAnsi" w:hAnsiTheme="minorHAnsi"/>
          <w:sz w:val="22"/>
          <w:szCs w:val="22"/>
        </w:rPr>
      </w:pPr>
      <w:r w:rsidRPr="00F530C8">
        <w:rPr>
          <w:rFonts w:asciiTheme="minorHAnsi" w:hAnsiTheme="minorHAnsi"/>
          <w:sz w:val="22"/>
          <w:szCs w:val="22"/>
        </w:rPr>
        <w:tab/>
      </w:r>
    </w:p>
    <w:p w14:paraId="5A1819C0" w14:textId="0C0891C9" w:rsidR="0052649F" w:rsidRDefault="00A432BF" w:rsidP="0052649F">
      <w:pPr>
        <w:tabs>
          <w:tab w:val="left" w:pos="720"/>
        </w:tabs>
        <w:ind w:left="720" w:right="-72" w:hanging="720"/>
        <w:rPr>
          <w:rFonts w:asciiTheme="minorHAnsi" w:hAnsiTheme="minorHAnsi"/>
          <w:sz w:val="22"/>
          <w:szCs w:val="22"/>
        </w:rPr>
      </w:pPr>
      <w:r w:rsidRPr="00A432BF">
        <w:rPr>
          <w:rFonts w:asciiTheme="minorHAnsi" w:hAnsiTheme="minorHAnsi"/>
          <w:sz w:val="22"/>
          <w:szCs w:val="22"/>
        </w:rPr>
        <w:tab/>
        <w:t>IRS Publications, Regulations, Notices and Letters are to be electronically enabled on an as practicable basis in accordance with the IRS Reform and Restructuring Act of 1998</w:t>
      </w:r>
      <w:r w:rsidR="008E079F">
        <w:rPr>
          <w:rFonts w:asciiTheme="minorHAnsi" w:hAnsiTheme="minorHAnsi"/>
          <w:sz w:val="22"/>
          <w:szCs w:val="22"/>
        </w:rPr>
        <w:t xml:space="preserve">. </w:t>
      </w:r>
      <w:r w:rsidR="0052649F" w:rsidRPr="00D86C4B">
        <w:rPr>
          <w:rFonts w:asciiTheme="minorHAnsi" w:hAnsiTheme="minorHAnsi"/>
          <w:sz w:val="22"/>
          <w:szCs w:val="22"/>
        </w:rPr>
        <w:t>There are no plans to provide electronic filing because electronic filing is not appropriate for the collection of information in this submission.</w:t>
      </w:r>
      <w:r w:rsidR="0052649F">
        <w:rPr>
          <w:rFonts w:asciiTheme="minorHAnsi" w:hAnsiTheme="minorHAnsi"/>
          <w:sz w:val="22"/>
          <w:szCs w:val="22"/>
        </w:rPr>
        <w:t xml:space="preserve">   </w:t>
      </w:r>
    </w:p>
    <w:p w14:paraId="69A0C3F2" w14:textId="77777777" w:rsidR="0052649F" w:rsidRPr="00F530C8" w:rsidRDefault="0052649F" w:rsidP="0052649F">
      <w:pPr>
        <w:tabs>
          <w:tab w:val="left" w:pos="720"/>
        </w:tabs>
        <w:ind w:left="720" w:right="-72" w:hanging="720"/>
        <w:rPr>
          <w:rFonts w:asciiTheme="minorHAnsi" w:hAnsiTheme="minorHAnsi"/>
          <w:sz w:val="22"/>
          <w:szCs w:val="22"/>
        </w:rPr>
      </w:pPr>
    </w:p>
    <w:p w14:paraId="5E994E27"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EFFORTS TO IDENTIFY DUPLICATION</w:t>
      </w:r>
    </w:p>
    <w:p w14:paraId="3A581160" w14:textId="77777777" w:rsidR="00067742" w:rsidRPr="00F530C8" w:rsidRDefault="00067742" w:rsidP="00C076C8">
      <w:pPr>
        <w:tabs>
          <w:tab w:val="left" w:pos="720"/>
        </w:tabs>
        <w:ind w:left="720" w:right="-72" w:hanging="720"/>
        <w:rPr>
          <w:rFonts w:asciiTheme="minorHAnsi" w:hAnsiTheme="minorHAnsi"/>
          <w:sz w:val="22"/>
          <w:szCs w:val="22"/>
        </w:rPr>
      </w:pPr>
    </w:p>
    <w:p w14:paraId="5AEEA7E9" w14:textId="77777777" w:rsidR="00D44FBE" w:rsidRPr="009A6027" w:rsidRDefault="00D44FBE" w:rsidP="00D44FBE">
      <w:pPr>
        <w:ind w:left="720"/>
        <w:rPr>
          <w:rFonts w:asciiTheme="minorHAnsi" w:hAnsiTheme="minorHAnsi"/>
          <w:iCs/>
          <w:sz w:val="22"/>
          <w:szCs w:val="22"/>
        </w:rPr>
      </w:pPr>
      <w:r>
        <w:rPr>
          <w:rFonts w:asciiTheme="minorHAnsi" w:hAnsiTheme="minorHAnsi"/>
          <w:iCs/>
          <w:sz w:val="22"/>
          <w:szCs w:val="22"/>
        </w:rPr>
        <w:t>The information obtained th</w:t>
      </w:r>
      <w:r w:rsidRPr="009A6027">
        <w:rPr>
          <w:rFonts w:asciiTheme="minorHAnsi" w:hAnsiTheme="minorHAnsi"/>
          <w:iCs/>
          <w:sz w:val="22"/>
          <w:szCs w:val="22"/>
        </w:rPr>
        <w:t>rough this collection is unique and is not already available for use or adaptation from another source.</w:t>
      </w:r>
    </w:p>
    <w:p w14:paraId="10AC7016" w14:textId="77777777" w:rsidR="00D44FBE" w:rsidRPr="00F530C8" w:rsidRDefault="00D44FBE" w:rsidP="00D44FBE">
      <w:pPr>
        <w:tabs>
          <w:tab w:val="left" w:pos="720"/>
        </w:tabs>
        <w:ind w:left="720" w:right="-72" w:hanging="720"/>
        <w:rPr>
          <w:rFonts w:asciiTheme="minorHAnsi" w:hAnsiTheme="minorHAnsi"/>
          <w:sz w:val="22"/>
          <w:szCs w:val="22"/>
        </w:rPr>
      </w:pPr>
    </w:p>
    <w:p w14:paraId="0E101CFD"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t>METHODS TO MINIMIZE BURDEN ON SMALL BUSINESSES OR OTHER</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SMALL ENTITIES</w:t>
      </w:r>
    </w:p>
    <w:p w14:paraId="1B34CF88" w14:textId="77777777" w:rsidR="00067742" w:rsidRPr="00F530C8" w:rsidRDefault="00067742" w:rsidP="00C076C8">
      <w:pPr>
        <w:tabs>
          <w:tab w:val="left" w:pos="720"/>
        </w:tabs>
        <w:ind w:left="720" w:right="-72" w:hanging="720"/>
        <w:rPr>
          <w:rFonts w:asciiTheme="minorHAnsi" w:hAnsiTheme="minorHAnsi"/>
          <w:sz w:val="22"/>
          <w:szCs w:val="22"/>
        </w:rPr>
      </w:pPr>
    </w:p>
    <w:p w14:paraId="540A6208" w14:textId="7847D877" w:rsidR="00421E3F" w:rsidRDefault="00D97FA8" w:rsidP="00BE07D3">
      <w:pPr>
        <w:ind w:left="720"/>
        <w:rPr>
          <w:rFonts w:asciiTheme="minorHAnsi" w:hAnsiTheme="minorHAnsi"/>
          <w:sz w:val="22"/>
          <w:szCs w:val="22"/>
        </w:rPr>
      </w:pPr>
      <w:r>
        <w:rPr>
          <w:rFonts w:asciiTheme="minorHAnsi" w:hAnsiTheme="minorHAnsi"/>
          <w:sz w:val="22"/>
          <w:szCs w:val="22"/>
        </w:rPr>
        <w:t>T</w:t>
      </w:r>
      <w:r w:rsidR="00D23A01">
        <w:rPr>
          <w:rFonts w:asciiTheme="minorHAnsi" w:hAnsiTheme="minorHAnsi"/>
          <w:sz w:val="22"/>
          <w:szCs w:val="22"/>
        </w:rPr>
        <w:t>here</w:t>
      </w:r>
      <w:r>
        <w:rPr>
          <w:rFonts w:asciiTheme="minorHAnsi" w:hAnsiTheme="minorHAnsi"/>
          <w:sz w:val="22"/>
          <w:szCs w:val="22"/>
        </w:rPr>
        <w:t xml:space="preserve"> are no </w:t>
      </w:r>
      <w:r w:rsidR="00D23A01">
        <w:rPr>
          <w:rFonts w:asciiTheme="minorHAnsi" w:hAnsiTheme="minorHAnsi"/>
          <w:sz w:val="22"/>
          <w:szCs w:val="22"/>
        </w:rPr>
        <w:t>small businesses or other small entities</w:t>
      </w:r>
      <w:r>
        <w:rPr>
          <w:rFonts w:asciiTheme="minorHAnsi" w:hAnsiTheme="minorHAnsi"/>
          <w:sz w:val="22"/>
          <w:szCs w:val="22"/>
        </w:rPr>
        <w:t xml:space="preserve"> affected by this form.   </w:t>
      </w:r>
      <w:r w:rsidR="00D23A01">
        <w:rPr>
          <w:rFonts w:asciiTheme="minorHAnsi" w:hAnsiTheme="minorHAnsi"/>
          <w:sz w:val="22"/>
          <w:szCs w:val="22"/>
        </w:rPr>
        <w:t xml:space="preserve"> </w:t>
      </w:r>
    </w:p>
    <w:p w14:paraId="77484470" w14:textId="66624493" w:rsidR="0052649F" w:rsidRDefault="0052649F" w:rsidP="00BE07D3">
      <w:pPr>
        <w:ind w:left="720"/>
        <w:rPr>
          <w:rFonts w:asciiTheme="minorHAnsi" w:hAnsiTheme="minorHAnsi"/>
          <w:sz w:val="22"/>
          <w:szCs w:val="22"/>
        </w:rPr>
      </w:pPr>
    </w:p>
    <w:p w14:paraId="62EDA6C6" w14:textId="773BDD44" w:rsidR="0052649F" w:rsidRDefault="0052649F" w:rsidP="00BE07D3">
      <w:pPr>
        <w:ind w:left="720"/>
        <w:rPr>
          <w:rFonts w:asciiTheme="minorHAnsi" w:hAnsiTheme="minorHAnsi"/>
          <w:sz w:val="22"/>
          <w:szCs w:val="22"/>
        </w:rPr>
      </w:pPr>
    </w:p>
    <w:p w14:paraId="4EA47183" w14:textId="77777777" w:rsidR="0052649F" w:rsidRPr="00F530C8" w:rsidRDefault="0052649F" w:rsidP="00BE07D3">
      <w:pPr>
        <w:ind w:left="720"/>
        <w:rPr>
          <w:rFonts w:asciiTheme="minorHAnsi" w:hAnsiTheme="minorHAnsi"/>
          <w:sz w:val="22"/>
          <w:szCs w:val="22"/>
        </w:rPr>
      </w:pPr>
    </w:p>
    <w:p w14:paraId="2D5FADA4" w14:textId="77777777" w:rsidR="00067742" w:rsidRPr="00F530C8" w:rsidRDefault="00067742" w:rsidP="00C076C8">
      <w:pPr>
        <w:tabs>
          <w:tab w:val="left" w:pos="720"/>
        </w:tabs>
        <w:ind w:left="720" w:right="-72" w:hanging="720"/>
        <w:rPr>
          <w:rFonts w:asciiTheme="minorHAnsi" w:hAnsiTheme="minorHAnsi"/>
          <w:sz w:val="22"/>
          <w:szCs w:val="22"/>
        </w:rPr>
      </w:pPr>
    </w:p>
    <w:p w14:paraId="4A953329" w14:textId="77777777" w:rsidR="00067742" w:rsidRPr="00F530C8" w:rsidRDefault="00067742" w:rsidP="00C076C8">
      <w:pPr>
        <w:numPr>
          <w:ilvl w:val="0"/>
          <w:numId w:val="4"/>
        </w:numPr>
        <w:tabs>
          <w:tab w:val="left" w:pos="720"/>
        </w:tabs>
        <w:ind w:right="-72" w:hanging="720"/>
        <w:rPr>
          <w:rFonts w:asciiTheme="minorHAnsi" w:hAnsiTheme="minorHAnsi"/>
          <w:sz w:val="22"/>
          <w:szCs w:val="22"/>
        </w:rPr>
      </w:pPr>
      <w:r w:rsidRPr="00F530C8">
        <w:rPr>
          <w:rFonts w:asciiTheme="minorHAnsi" w:hAnsiTheme="minorHAnsi"/>
          <w:b/>
          <w:bCs/>
          <w:sz w:val="22"/>
          <w:szCs w:val="22"/>
          <w:u w:val="single"/>
        </w:rPr>
        <w:lastRenderedPageBreak/>
        <w:t xml:space="preserve">CONSEQUENCES OF LESS FREQUENT COLLECTION ON FEDERAL PROGRAMS </w:t>
      </w:r>
      <w:r w:rsidR="005A26D5" w:rsidRPr="00F530C8">
        <w:rPr>
          <w:rFonts w:asciiTheme="minorHAnsi" w:hAnsiTheme="minorHAnsi"/>
          <w:b/>
          <w:bCs/>
          <w:sz w:val="22"/>
          <w:szCs w:val="22"/>
          <w:u w:val="single"/>
        </w:rPr>
        <w:t>O</w:t>
      </w:r>
      <w:r w:rsidRPr="00F530C8">
        <w:rPr>
          <w:rFonts w:asciiTheme="minorHAnsi" w:hAnsiTheme="minorHAnsi"/>
          <w:b/>
          <w:bCs/>
          <w:sz w:val="22"/>
          <w:szCs w:val="22"/>
          <w:u w:val="single"/>
        </w:rPr>
        <w:t>R POLICY ACTIVITIES</w:t>
      </w:r>
    </w:p>
    <w:p w14:paraId="58D889C7" w14:textId="77777777" w:rsidR="00067742" w:rsidRPr="00F530C8" w:rsidRDefault="00067742" w:rsidP="00C076C8">
      <w:pPr>
        <w:tabs>
          <w:tab w:val="left" w:pos="720"/>
        </w:tabs>
        <w:ind w:left="720" w:right="-72" w:hanging="720"/>
        <w:rPr>
          <w:rFonts w:asciiTheme="minorHAnsi" w:hAnsiTheme="minorHAnsi"/>
          <w:sz w:val="22"/>
          <w:szCs w:val="22"/>
        </w:rPr>
      </w:pPr>
    </w:p>
    <w:p w14:paraId="062A87FD" w14:textId="0D208A1C" w:rsidR="00421E3F" w:rsidRPr="00F530C8" w:rsidRDefault="00D44FBE" w:rsidP="00BE07D3">
      <w:pPr>
        <w:tabs>
          <w:tab w:val="left" w:pos="720"/>
        </w:tabs>
        <w:ind w:left="720" w:right="-72"/>
        <w:rPr>
          <w:rFonts w:asciiTheme="minorHAnsi" w:hAnsiTheme="minorHAnsi"/>
          <w:sz w:val="22"/>
          <w:szCs w:val="22"/>
        </w:rPr>
      </w:pPr>
      <w:r w:rsidRPr="00D44FBE">
        <w:rPr>
          <w:rFonts w:asciiTheme="minorHAnsi" w:hAnsiTheme="minorHAnsi"/>
          <w:sz w:val="22"/>
          <w:szCs w:val="22"/>
        </w:rPr>
        <w:t xml:space="preserve">A less frequent collection will not enable the IRS </w:t>
      </w:r>
      <w:r w:rsidR="002157B5">
        <w:rPr>
          <w:rFonts w:asciiTheme="minorHAnsi" w:hAnsiTheme="minorHAnsi"/>
          <w:sz w:val="22"/>
          <w:szCs w:val="22"/>
        </w:rPr>
        <w:t xml:space="preserve">to </w:t>
      </w:r>
      <w:r w:rsidRPr="00D44FBE">
        <w:rPr>
          <w:rFonts w:asciiTheme="minorHAnsi" w:hAnsiTheme="minorHAnsi"/>
          <w:sz w:val="22"/>
          <w:szCs w:val="22"/>
        </w:rPr>
        <w:t xml:space="preserve">meet its mission by verifying the foreign tax credits are being computed properly and in accordance with Internal Revenue Code </w:t>
      </w:r>
      <w:r w:rsidR="00D96486">
        <w:rPr>
          <w:rFonts w:asciiTheme="minorHAnsi" w:hAnsiTheme="minorHAnsi"/>
          <w:sz w:val="22"/>
          <w:szCs w:val="22"/>
        </w:rPr>
        <w:t>and will hinder the IRS from meeting its mission</w:t>
      </w:r>
      <w:r>
        <w:rPr>
          <w:rFonts w:asciiTheme="minorHAnsi" w:hAnsiTheme="minorHAnsi"/>
          <w:sz w:val="22"/>
          <w:szCs w:val="22"/>
        </w:rPr>
        <w:t>.</w:t>
      </w:r>
    </w:p>
    <w:p w14:paraId="28AFAF95" w14:textId="77777777" w:rsidR="00067742" w:rsidRPr="00F530C8" w:rsidRDefault="00067742" w:rsidP="00C076C8">
      <w:pPr>
        <w:tabs>
          <w:tab w:val="left" w:pos="720"/>
        </w:tabs>
        <w:ind w:left="720" w:right="-72" w:hanging="720"/>
        <w:rPr>
          <w:rFonts w:asciiTheme="minorHAnsi" w:hAnsiTheme="minorHAnsi"/>
          <w:sz w:val="22"/>
          <w:szCs w:val="22"/>
        </w:rPr>
      </w:pPr>
    </w:p>
    <w:p w14:paraId="76EFA338"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F530C8">
        <w:rPr>
          <w:rFonts w:asciiTheme="minorHAnsi" w:hAnsiTheme="minorHAnsi"/>
          <w:b/>
          <w:bCs/>
          <w:sz w:val="22"/>
          <w:szCs w:val="22"/>
          <w:u w:val="single"/>
        </w:rPr>
        <w:t>SPECIAL CIRCUMSTANCES REQUIRING DATA COLLECTION TO BE</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INCONSISTENT WITH GUIDELINES IN 5 CFR 1320.5(d)(2)</w:t>
      </w:r>
    </w:p>
    <w:p w14:paraId="62558F1B" w14:textId="77777777" w:rsidR="00067742" w:rsidRPr="00F530C8" w:rsidRDefault="00067742" w:rsidP="00C076C8">
      <w:pPr>
        <w:tabs>
          <w:tab w:val="left" w:pos="720"/>
        </w:tabs>
        <w:ind w:left="720" w:right="-72" w:hanging="720"/>
        <w:rPr>
          <w:rFonts w:asciiTheme="minorHAnsi" w:hAnsiTheme="minorHAnsi"/>
          <w:sz w:val="22"/>
          <w:szCs w:val="22"/>
        </w:rPr>
      </w:pPr>
    </w:p>
    <w:p w14:paraId="317BA3E3" w14:textId="078772CF" w:rsidR="008F75D5" w:rsidRPr="00F530C8" w:rsidRDefault="00421E3F" w:rsidP="00421E3F">
      <w:pPr>
        <w:ind w:left="720"/>
        <w:jc w:val="both"/>
        <w:rPr>
          <w:rFonts w:asciiTheme="minorHAnsi" w:hAnsiTheme="minorHAnsi"/>
          <w:b/>
          <w:bCs/>
          <w:sz w:val="22"/>
          <w:szCs w:val="22"/>
        </w:rPr>
      </w:pPr>
      <w:r w:rsidRPr="00F530C8">
        <w:rPr>
          <w:rFonts w:asciiTheme="minorHAnsi" w:hAnsiTheme="minorHAnsi"/>
          <w:sz w:val="22"/>
          <w:szCs w:val="22"/>
        </w:rPr>
        <w:t>There are no special circumstances requiring data collection to be inconsistent with Guidelines in 5 CFR 1320.5(d)(2).</w:t>
      </w:r>
    </w:p>
    <w:p w14:paraId="06B03FD2" w14:textId="77777777" w:rsidR="00067742" w:rsidRPr="00F530C8" w:rsidRDefault="00067742" w:rsidP="00C076C8">
      <w:pPr>
        <w:tabs>
          <w:tab w:val="left" w:pos="720"/>
        </w:tabs>
        <w:ind w:left="720" w:right="-72" w:hanging="720"/>
        <w:rPr>
          <w:rFonts w:asciiTheme="minorHAnsi" w:hAnsiTheme="minorHAnsi"/>
          <w:b/>
          <w:bCs/>
          <w:sz w:val="22"/>
          <w:szCs w:val="22"/>
        </w:rPr>
      </w:pPr>
    </w:p>
    <w:p w14:paraId="079E61F5" w14:textId="77777777" w:rsidR="00067742" w:rsidRPr="00F530C8" w:rsidRDefault="00067742" w:rsidP="00C076C8">
      <w:pPr>
        <w:numPr>
          <w:ilvl w:val="0"/>
          <w:numId w:val="4"/>
        </w:numPr>
        <w:tabs>
          <w:tab w:val="left" w:pos="720"/>
        </w:tabs>
        <w:ind w:right="-72" w:hanging="720"/>
        <w:rPr>
          <w:rFonts w:asciiTheme="minorHAnsi" w:hAnsiTheme="minorHAnsi"/>
          <w:b/>
          <w:bCs/>
          <w:sz w:val="22"/>
          <w:szCs w:val="22"/>
        </w:rPr>
      </w:pPr>
      <w:r w:rsidRPr="00B63CC1">
        <w:rPr>
          <w:rFonts w:asciiTheme="minorHAnsi" w:hAnsiTheme="minorHAnsi"/>
          <w:b/>
          <w:bCs/>
          <w:sz w:val="22"/>
          <w:szCs w:val="22"/>
          <w:u w:val="single"/>
        </w:rPr>
        <w:t>CONSUL</w:t>
      </w:r>
      <w:r w:rsidRPr="0052649F">
        <w:rPr>
          <w:rFonts w:asciiTheme="minorHAnsi" w:hAnsiTheme="minorHAnsi"/>
          <w:b/>
          <w:bCs/>
          <w:sz w:val="22"/>
          <w:szCs w:val="22"/>
          <w:u w:val="single"/>
        </w:rPr>
        <w:t>TATION</w:t>
      </w:r>
      <w:r w:rsidRPr="00F530C8">
        <w:rPr>
          <w:rFonts w:asciiTheme="minorHAnsi" w:hAnsiTheme="minorHAnsi"/>
          <w:b/>
          <w:bCs/>
          <w:sz w:val="22"/>
          <w:szCs w:val="22"/>
          <w:u w:val="single"/>
        </w:rPr>
        <w:t xml:space="preserve"> WITH INDIVIDUALS OUTSIDE OF THE AGENCY ON</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AVAILABILITY OF DATA, FREQUENCY OF COLLECTION, CLARITY</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OF INSTRUCTIONS AND FORMS, AND DATA ELEMENTS</w:t>
      </w:r>
    </w:p>
    <w:p w14:paraId="6220B6EA" w14:textId="77777777" w:rsidR="00067742" w:rsidRPr="00F530C8" w:rsidRDefault="00067742" w:rsidP="00C076C8">
      <w:pPr>
        <w:tabs>
          <w:tab w:val="left" w:pos="720"/>
        </w:tabs>
        <w:ind w:left="720" w:right="-72" w:hanging="720"/>
        <w:rPr>
          <w:rFonts w:asciiTheme="minorHAnsi" w:hAnsiTheme="minorHAnsi"/>
          <w:sz w:val="22"/>
          <w:szCs w:val="22"/>
        </w:rPr>
      </w:pPr>
    </w:p>
    <w:p w14:paraId="397222C6" w14:textId="01DD6072"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 xml:space="preserve">In response to the </w:t>
      </w:r>
      <w:r w:rsidRPr="00ED18D6">
        <w:rPr>
          <w:rFonts w:asciiTheme="minorHAnsi" w:hAnsiTheme="minorHAnsi"/>
          <w:sz w:val="22"/>
          <w:szCs w:val="22"/>
        </w:rPr>
        <w:t>Federal Register</w:t>
      </w:r>
      <w:r w:rsidRPr="00F530C8">
        <w:rPr>
          <w:rFonts w:asciiTheme="minorHAnsi" w:hAnsiTheme="minorHAnsi"/>
          <w:b/>
          <w:bCs/>
          <w:sz w:val="22"/>
          <w:szCs w:val="22"/>
        </w:rPr>
        <w:t xml:space="preserve"> </w:t>
      </w:r>
      <w:r w:rsidR="002174CE" w:rsidRPr="00F530C8">
        <w:rPr>
          <w:rFonts w:asciiTheme="minorHAnsi" w:hAnsiTheme="minorHAnsi"/>
          <w:bCs/>
          <w:sz w:val="22"/>
          <w:szCs w:val="22"/>
        </w:rPr>
        <w:t>n</w:t>
      </w:r>
      <w:r w:rsidRPr="00F530C8">
        <w:rPr>
          <w:rFonts w:asciiTheme="minorHAnsi" w:hAnsiTheme="minorHAnsi"/>
          <w:bCs/>
          <w:sz w:val="22"/>
          <w:szCs w:val="22"/>
        </w:rPr>
        <w:t>otice</w:t>
      </w:r>
      <w:r w:rsidRPr="00F530C8">
        <w:rPr>
          <w:rFonts w:asciiTheme="minorHAnsi" w:hAnsiTheme="minorHAnsi"/>
          <w:sz w:val="22"/>
          <w:szCs w:val="22"/>
        </w:rPr>
        <w:t xml:space="preserve"> dated </w:t>
      </w:r>
      <w:r w:rsidR="00B63CC1">
        <w:rPr>
          <w:rFonts w:asciiTheme="minorHAnsi" w:hAnsiTheme="minorHAnsi"/>
          <w:sz w:val="22"/>
          <w:szCs w:val="22"/>
        </w:rPr>
        <w:t xml:space="preserve">October </w:t>
      </w:r>
      <w:r w:rsidR="00AC046A">
        <w:rPr>
          <w:rFonts w:asciiTheme="minorHAnsi" w:hAnsiTheme="minorHAnsi"/>
          <w:sz w:val="22"/>
          <w:szCs w:val="22"/>
        </w:rPr>
        <w:t>1,</w:t>
      </w:r>
      <w:r w:rsidR="00010B11">
        <w:rPr>
          <w:rFonts w:asciiTheme="minorHAnsi" w:hAnsiTheme="minorHAnsi"/>
          <w:sz w:val="22"/>
          <w:szCs w:val="22"/>
        </w:rPr>
        <w:t xml:space="preserve"> 2018 (83 FR </w:t>
      </w:r>
      <w:r w:rsidR="00AC046A">
        <w:rPr>
          <w:rFonts w:asciiTheme="minorHAnsi" w:hAnsiTheme="minorHAnsi"/>
          <w:sz w:val="22"/>
          <w:szCs w:val="22"/>
        </w:rPr>
        <w:t>4</w:t>
      </w:r>
      <w:r w:rsidR="00B63CC1">
        <w:rPr>
          <w:rFonts w:asciiTheme="minorHAnsi" w:hAnsiTheme="minorHAnsi"/>
          <w:sz w:val="22"/>
          <w:szCs w:val="22"/>
        </w:rPr>
        <w:t>9453</w:t>
      </w:r>
      <w:r w:rsidR="00EF0BCE" w:rsidRPr="00ED18D6">
        <w:rPr>
          <w:rFonts w:asciiTheme="minorHAnsi" w:hAnsiTheme="minorHAnsi"/>
          <w:sz w:val="22"/>
          <w:szCs w:val="22"/>
        </w:rPr>
        <w:t>)</w:t>
      </w:r>
      <w:r w:rsidRPr="00ED18D6">
        <w:rPr>
          <w:rFonts w:asciiTheme="minorHAnsi" w:hAnsiTheme="minorHAnsi"/>
          <w:sz w:val="22"/>
          <w:szCs w:val="22"/>
        </w:rPr>
        <w:t>,</w:t>
      </w:r>
      <w:r w:rsidRPr="00F530C8">
        <w:rPr>
          <w:rFonts w:asciiTheme="minorHAnsi" w:hAnsiTheme="minorHAnsi"/>
          <w:sz w:val="22"/>
          <w:szCs w:val="22"/>
        </w:rPr>
        <w:t xml:space="preserve"> we received no comments during the comment period </w:t>
      </w:r>
      <w:r w:rsidR="001334D5">
        <w:rPr>
          <w:rFonts w:asciiTheme="minorHAnsi" w:hAnsiTheme="minorHAnsi"/>
          <w:sz w:val="22"/>
          <w:szCs w:val="22"/>
        </w:rPr>
        <w:t xml:space="preserve">for these revenue procedures. </w:t>
      </w:r>
      <w:r w:rsidRPr="00F530C8">
        <w:rPr>
          <w:rFonts w:asciiTheme="minorHAnsi" w:hAnsiTheme="minorHAnsi"/>
          <w:sz w:val="22"/>
          <w:szCs w:val="22"/>
        </w:rPr>
        <w:t xml:space="preserve">   </w:t>
      </w:r>
    </w:p>
    <w:p w14:paraId="6AACD520" w14:textId="77777777" w:rsidR="00067742" w:rsidRPr="00F530C8" w:rsidRDefault="00067742" w:rsidP="00C076C8">
      <w:pPr>
        <w:tabs>
          <w:tab w:val="left" w:pos="720"/>
        </w:tabs>
        <w:ind w:left="720" w:hanging="720"/>
        <w:rPr>
          <w:rFonts w:asciiTheme="minorHAnsi" w:hAnsiTheme="minorHAnsi"/>
          <w:b/>
          <w:sz w:val="22"/>
          <w:szCs w:val="22"/>
        </w:rPr>
      </w:pPr>
    </w:p>
    <w:p w14:paraId="03792C9B"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EXPLANATION OF DECISION TO PROVIDE ANY PAYMENT OR GIFT TO</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RESPONDENTS</w:t>
      </w:r>
    </w:p>
    <w:p w14:paraId="5AB0F313" w14:textId="77777777" w:rsidR="00067742" w:rsidRPr="00F530C8" w:rsidRDefault="00067742" w:rsidP="00C076C8">
      <w:pPr>
        <w:tabs>
          <w:tab w:val="left" w:pos="720"/>
        </w:tabs>
        <w:ind w:left="720" w:hanging="720"/>
        <w:rPr>
          <w:rFonts w:asciiTheme="minorHAnsi" w:hAnsiTheme="minorHAnsi"/>
          <w:b/>
          <w:sz w:val="22"/>
          <w:szCs w:val="22"/>
        </w:rPr>
      </w:pPr>
    </w:p>
    <w:p w14:paraId="516A05A7" w14:textId="77777777" w:rsidR="00421E3F" w:rsidRPr="00F530C8" w:rsidRDefault="00421E3F" w:rsidP="00421E3F">
      <w:pPr>
        <w:ind w:firstLine="720"/>
        <w:rPr>
          <w:rFonts w:asciiTheme="minorHAnsi" w:hAnsiTheme="minorHAnsi"/>
          <w:sz w:val="22"/>
          <w:szCs w:val="22"/>
        </w:rPr>
      </w:pPr>
      <w:r w:rsidRPr="00F530C8">
        <w:rPr>
          <w:rFonts w:asciiTheme="minorHAnsi" w:hAnsiTheme="minorHAnsi"/>
          <w:sz w:val="22"/>
          <w:szCs w:val="22"/>
        </w:rPr>
        <w:t>No payment or gift has been provided to any respondents.</w:t>
      </w:r>
    </w:p>
    <w:p w14:paraId="6B67CB21" w14:textId="77777777" w:rsidR="00067742" w:rsidRPr="00F530C8" w:rsidRDefault="00067742" w:rsidP="00C076C8">
      <w:pPr>
        <w:tabs>
          <w:tab w:val="left" w:pos="720"/>
        </w:tabs>
        <w:ind w:left="720" w:hanging="720"/>
        <w:rPr>
          <w:rFonts w:asciiTheme="minorHAnsi" w:hAnsiTheme="minorHAnsi"/>
          <w:sz w:val="22"/>
          <w:szCs w:val="22"/>
        </w:rPr>
      </w:pPr>
    </w:p>
    <w:p w14:paraId="07E8ADAC"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ASSURANCE OF CONFIDENTIALITY OF RESPONSES</w:t>
      </w:r>
    </w:p>
    <w:p w14:paraId="045B5C8E" w14:textId="77777777" w:rsidR="00067742" w:rsidRPr="00F530C8" w:rsidRDefault="00067742" w:rsidP="00C076C8">
      <w:pPr>
        <w:tabs>
          <w:tab w:val="left" w:pos="720"/>
        </w:tabs>
        <w:ind w:left="720" w:hanging="720"/>
        <w:rPr>
          <w:rFonts w:asciiTheme="minorHAnsi" w:hAnsiTheme="minorHAnsi"/>
          <w:sz w:val="22"/>
          <w:szCs w:val="22"/>
        </w:rPr>
      </w:pPr>
    </w:p>
    <w:p w14:paraId="3FFA687C" w14:textId="2BB12EC8"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Generally, tax returns and tax return information are confidential as required by 26 USC 6103.</w:t>
      </w:r>
    </w:p>
    <w:p w14:paraId="04874008" w14:textId="77777777" w:rsidR="00067742" w:rsidRPr="00F530C8" w:rsidRDefault="002174CE" w:rsidP="00C076C8">
      <w:pPr>
        <w:tabs>
          <w:tab w:val="left" w:pos="720"/>
        </w:tabs>
        <w:ind w:left="720" w:hanging="720"/>
        <w:rPr>
          <w:rFonts w:asciiTheme="minorHAnsi" w:hAnsiTheme="minorHAnsi"/>
          <w:sz w:val="22"/>
          <w:szCs w:val="22"/>
        </w:rPr>
      </w:pPr>
      <w:r w:rsidRPr="00F530C8">
        <w:rPr>
          <w:rFonts w:asciiTheme="minorHAnsi" w:hAnsiTheme="minorHAnsi"/>
          <w:sz w:val="22"/>
          <w:szCs w:val="22"/>
        </w:rPr>
        <w:t xml:space="preserve"> </w:t>
      </w:r>
    </w:p>
    <w:p w14:paraId="53B0245C" w14:textId="77777777" w:rsidR="00067742" w:rsidRPr="00F530C8" w:rsidRDefault="00067742" w:rsidP="00C076C8">
      <w:pPr>
        <w:numPr>
          <w:ilvl w:val="0"/>
          <w:numId w:val="4"/>
        </w:numPr>
        <w:tabs>
          <w:tab w:val="left" w:pos="720"/>
        </w:tabs>
        <w:ind w:hanging="720"/>
        <w:rPr>
          <w:rFonts w:asciiTheme="minorHAnsi" w:hAnsiTheme="minorHAnsi"/>
          <w:b/>
          <w:bCs/>
          <w:sz w:val="22"/>
          <w:szCs w:val="22"/>
          <w:u w:val="single"/>
        </w:rPr>
      </w:pPr>
      <w:r w:rsidRPr="00F530C8">
        <w:rPr>
          <w:rFonts w:asciiTheme="minorHAnsi" w:hAnsiTheme="minorHAnsi"/>
          <w:b/>
          <w:bCs/>
          <w:sz w:val="22"/>
          <w:szCs w:val="22"/>
          <w:u w:val="single"/>
        </w:rPr>
        <w:t>JUSTIFICATION OF SENSITIVE QUESTIONS</w:t>
      </w:r>
    </w:p>
    <w:p w14:paraId="276FB2C4" w14:textId="77777777" w:rsidR="00067742" w:rsidRPr="00F530C8" w:rsidRDefault="00067742" w:rsidP="00C076C8">
      <w:pPr>
        <w:tabs>
          <w:tab w:val="left" w:pos="720"/>
        </w:tabs>
        <w:ind w:left="720" w:hanging="720"/>
        <w:rPr>
          <w:rFonts w:asciiTheme="minorHAnsi" w:hAnsiTheme="minorHAnsi"/>
          <w:sz w:val="22"/>
          <w:szCs w:val="22"/>
          <w:u w:val="single"/>
        </w:rPr>
      </w:pPr>
    </w:p>
    <w:p w14:paraId="73CD4CA2" w14:textId="0ED917DA" w:rsidR="00AC046A" w:rsidRDefault="00AC046A" w:rsidP="00AC046A">
      <w:pPr>
        <w:ind w:left="720"/>
        <w:rPr>
          <w:rFonts w:asciiTheme="minorHAnsi" w:hAnsiTheme="minorHAnsi"/>
          <w:sz w:val="22"/>
          <w:szCs w:val="22"/>
        </w:rPr>
      </w:pPr>
      <w:r w:rsidRPr="00AC046A">
        <w:rPr>
          <w:rFonts w:asciiTheme="minorHAnsi" w:hAnsiTheme="minorHAnsi"/>
          <w:sz w:val="22"/>
          <w:szCs w:val="22"/>
        </w:rPr>
        <w:t>A privacy impact assessment (PIA) has been conducted for information collected under this request as part of the</w:t>
      </w:r>
      <w:r w:rsidR="0052649F" w:rsidRPr="0052649F">
        <w:t xml:space="preserve"> </w:t>
      </w:r>
      <w:r w:rsidR="0052649F" w:rsidRPr="0052649F">
        <w:rPr>
          <w:rFonts w:asciiTheme="minorHAnsi" w:hAnsiTheme="minorHAnsi"/>
          <w:sz w:val="22"/>
          <w:szCs w:val="22"/>
        </w:rPr>
        <w:t>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(CADE) Individual Master File; IRS 24.046 - CADE Business Master File (BMF);IRS 34.037 - IRS Audit Trail and Security Records System. The Internal Revenue Service PIA’s can be found at</w:t>
      </w:r>
      <w:r w:rsidRPr="00AC046A">
        <w:rPr>
          <w:rFonts w:asciiTheme="minorHAnsi" w:hAnsiTheme="minorHAnsi"/>
          <w:sz w:val="22"/>
          <w:szCs w:val="22"/>
        </w:rPr>
        <w:t xml:space="preserve">.  The Department of Treasury PIAs can be found at </w:t>
      </w:r>
    </w:p>
    <w:p w14:paraId="72C343D6" w14:textId="00FE1867" w:rsidR="00C515A5" w:rsidRPr="00C515A5" w:rsidRDefault="00D65CCD" w:rsidP="00C515A5">
      <w:pPr>
        <w:ind w:left="720"/>
        <w:jc w:val="both"/>
        <w:rPr>
          <w:rFonts w:ascii="Times New Roman" w:hAnsi="Times New Roman"/>
          <w:bCs/>
        </w:rPr>
      </w:pPr>
      <w:hyperlink r:id="rId8" w:history="1">
        <w:r w:rsidR="00C515A5" w:rsidRPr="0036726D">
          <w:rPr>
            <w:rStyle w:val="Hyperlink"/>
            <w:rFonts w:ascii="Times New Roman" w:hAnsi="Times New Roman"/>
          </w:rPr>
          <w:t>https://www.treasury.gov/privacy/PIAs/Pages/default.aspx</w:t>
        </w:r>
      </w:hyperlink>
      <w:r w:rsidR="00C515A5" w:rsidRPr="00C515A5">
        <w:rPr>
          <w:rFonts w:ascii="Times New Roman" w:hAnsi="Times New Roman"/>
          <w:bCs/>
        </w:rPr>
        <w:t xml:space="preserve"> .</w:t>
      </w:r>
    </w:p>
    <w:p w14:paraId="2601C96E" w14:textId="77777777" w:rsidR="00AC046A" w:rsidRPr="00AC046A" w:rsidRDefault="00AC046A" w:rsidP="00AC046A">
      <w:pPr>
        <w:ind w:left="720"/>
        <w:rPr>
          <w:rFonts w:asciiTheme="minorHAnsi" w:hAnsiTheme="minorHAnsi"/>
          <w:sz w:val="22"/>
          <w:szCs w:val="22"/>
        </w:rPr>
      </w:pPr>
    </w:p>
    <w:p w14:paraId="0329DEC6" w14:textId="711FBE2B" w:rsidR="00791E96" w:rsidRDefault="00AC046A" w:rsidP="00AC046A">
      <w:pPr>
        <w:ind w:left="720"/>
        <w:rPr>
          <w:rFonts w:asciiTheme="minorHAnsi" w:hAnsiTheme="minorHAnsi"/>
          <w:sz w:val="22"/>
          <w:szCs w:val="22"/>
        </w:rPr>
      </w:pPr>
      <w:r w:rsidRPr="00AC046A">
        <w:rPr>
          <w:rFonts w:asciiTheme="minorHAnsi" w:hAnsi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14:paraId="69CF7559" w14:textId="74A9C4F1" w:rsidR="0052649F" w:rsidRDefault="0052649F" w:rsidP="00AC046A">
      <w:pPr>
        <w:ind w:left="720"/>
        <w:rPr>
          <w:rFonts w:asciiTheme="minorHAnsi" w:hAnsiTheme="minorHAnsi"/>
          <w:sz w:val="22"/>
          <w:szCs w:val="22"/>
        </w:rPr>
      </w:pPr>
    </w:p>
    <w:p w14:paraId="2FF53E20" w14:textId="5E956875" w:rsidR="0052649F" w:rsidRDefault="0052649F" w:rsidP="00AC046A">
      <w:pPr>
        <w:ind w:left="720"/>
        <w:rPr>
          <w:rFonts w:asciiTheme="minorHAnsi" w:hAnsiTheme="minorHAnsi"/>
          <w:sz w:val="22"/>
          <w:szCs w:val="22"/>
        </w:rPr>
      </w:pPr>
    </w:p>
    <w:p w14:paraId="24D548FE" w14:textId="25AC482C" w:rsidR="0052649F" w:rsidRDefault="0052649F" w:rsidP="00AC046A">
      <w:pPr>
        <w:ind w:left="720"/>
        <w:rPr>
          <w:rFonts w:asciiTheme="minorHAnsi" w:hAnsiTheme="minorHAnsi"/>
          <w:sz w:val="22"/>
          <w:szCs w:val="22"/>
        </w:rPr>
      </w:pPr>
    </w:p>
    <w:p w14:paraId="5D598B70" w14:textId="7231B02D" w:rsidR="0052649F" w:rsidRDefault="0052649F" w:rsidP="00AC046A">
      <w:pPr>
        <w:ind w:left="720"/>
        <w:rPr>
          <w:rFonts w:asciiTheme="minorHAnsi" w:hAnsiTheme="minorHAnsi"/>
          <w:sz w:val="22"/>
          <w:szCs w:val="22"/>
        </w:rPr>
      </w:pPr>
    </w:p>
    <w:p w14:paraId="774091B3" w14:textId="26DA52E6" w:rsidR="0052649F" w:rsidRDefault="0052649F" w:rsidP="00AC046A">
      <w:pPr>
        <w:ind w:left="720"/>
        <w:rPr>
          <w:rFonts w:asciiTheme="minorHAnsi" w:hAnsiTheme="minorHAnsi"/>
          <w:sz w:val="22"/>
          <w:szCs w:val="22"/>
        </w:rPr>
      </w:pPr>
    </w:p>
    <w:p w14:paraId="20AAFFE6" w14:textId="77777777" w:rsidR="0052649F" w:rsidRPr="00F530C8" w:rsidRDefault="0052649F" w:rsidP="00AC046A">
      <w:pPr>
        <w:ind w:left="720"/>
        <w:rPr>
          <w:rFonts w:asciiTheme="minorHAnsi" w:hAnsiTheme="minorHAnsi"/>
          <w:sz w:val="22"/>
          <w:szCs w:val="22"/>
        </w:rPr>
      </w:pPr>
    </w:p>
    <w:p w14:paraId="78541609" w14:textId="77777777" w:rsidR="002174CE" w:rsidRPr="00F530C8" w:rsidRDefault="002174CE" w:rsidP="00C076C8">
      <w:pPr>
        <w:tabs>
          <w:tab w:val="left" w:pos="720"/>
        </w:tabs>
        <w:ind w:left="720" w:hanging="720"/>
        <w:rPr>
          <w:rFonts w:asciiTheme="minorHAnsi" w:hAnsiTheme="minorHAnsi"/>
          <w:sz w:val="22"/>
          <w:szCs w:val="22"/>
        </w:rPr>
      </w:pPr>
    </w:p>
    <w:p w14:paraId="4CDE5BBF" w14:textId="31CAA0B7" w:rsidR="00067742" w:rsidRDefault="00067742" w:rsidP="00C076C8">
      <w:pPr>
        <w:numPr>
          <w:ilvl w:val="0"/>
          <w:numId w:val="4"/>
        </w:numPr>
        <w:tabs>
          <w:tab w:val="left" w:pos="720"/>
        </w:tabs>
        <w:ind w:hanging="720"/>
        <w:rPr>
          <w:rFonts w:asciiTheme="minorHAnsi" w:hAnsiTheme="minorHAnsi"/>
          <w:b/>
          <w:bCs/>
          <w:sz w:val="22"/>
          <w:szCs w:val="22"/>
          <w:u w:val="single"/>
        </w:rPr>
      </w:pPr>
      <w:r w:rsidRPr="00C515A5">
        <w:rPr>
          <w:rFonts w:asciiTheme="minorHAnsi" w:hAnsiTheme="minorHAnsi"/>
          <w:b/>
          <w:bCs/>
          <w:sz w:val="22"/>
          <w:szCs w:val="22"/>
          <w:u w:val="single"/>
        </w:rPr>
        <w:t>ESTIMATED BURDEN OF INFORMATION</w:t>
      </w:r>
      <w:r w:rsidRPr="00F530C8">
        <w:rPr>
          <w:rFonts w:asciiTheme="minorHAnsi" w:hAnsiTheme="minorHAnsi"/>
          <w:b/>
          <w:bCs/>
          <w:sz w:val="22"/>
          <w:szCs w:val="22"/>
          <w:u w:val="single"/>
        </w:rPr>
        <w:t xml:space="preserve"> COLLECTION</w:t>
      </w:r>
    </w:p>
    <w:p w14:paraId="45846964" w14:textId="5D8B17B0" w:rsidR="0052649F" w:rsidRDefault="0052649F" w:rsidP="0052649F">
      <w:pPr>
        <w:tabs>
          <w:tab w:val="left" w:pos="720"/>
        </w:tabs>
        <w:rPr>
          <w:rFonts w:asciiTheme="minorHAnsi" w:hAnsiTheme="minorHAnsi"/>
          <w:b/>
          <w:bCs/>
          <w:sz w:val="22"/>
          <w:szCs w:val="22"/>
          <w:u w:val="single"/>
        </w:rPr>
      </w:pPr>
    </w:p>
    <w:p w14:paraId="5DA88352" w14:textId="37A3A6B2" w:rsidR="0052649F" w:rsidRPr="0052649F" w:rsidRDefault="0052649F" w:rsidP="0052649F">
      <w:pPr>
        <w:ind w:left="720"/>
        <w:jc w:val="both"/>
        <w:rPr>
          <w:rFonts w:asciiTheme="minorHAnsi" w:hAnsiTheme="minorHAnsi"/>
          <w:sz w:val="22"/>
          <w:szCs w:val="22"/>
        </w:rPr>
      </w:pPr>
      <w:r w:rsidRPr="0052649F">
        <w:rPr>
          <w:rFonts w:asciiTheme="minorHAnsi" w:hAnsiTheme="minorHAnsi"/>
          <w:sz w:val="22"/>
          <w:szCs w:val="22"/>
        </w:rPr>
        <w:t>The burden estimation was arrived at after consultation with representatives of the Office of the Comptroller of the Currency, the Office of Thrift Supervision, the Federal Deposit Insurance Corporation and the Federal Reserve as to the number of potential respondents.</w:t>
      </w:r>
    </w:p>
    <w:p w14:paraId="24C2C0C6" w14:textId="77777777" w:rsidR="0052649F" w:rsidRPr="0052649F" w:rsidRDefault="0052649F" w:rsidP="0052649F">
      <w:pPr>
        <w:jc w:val="both"/>
        <w:rPr>
          <w:rFonts w:asciiTheme="minorHAnsi" w:hAnsiTheme="minorHAnsi"/>
          <w:sz w:val="22"/>
          <w:szCs w:val="22"/>
        </w:rPr>
      </w:pPr>
    </w:p>
    <w:p w14:paraId="5E6A398E" w14:textId="77777777" w:rsidR="0052649F" w:rsidRPr="0052649F" w:rsidRDefault="0052649F" w:rsidP="0052649F">
      <w:pPr>
        <w:ind w:left="720"/>
        <w:jc w:val="both"/>
        <w:rPr>
          <w:rFonts w:asciiTheme="minorHAnsi" w:hAnsiTheme="minorHAnsi"/>
          <w:sz w:val="22"/>
          <w:szCs w:val="22"/>
        </w:rPr>
      </w:pPr>
      <w:r w:rsidRPr="0052649F">
        <w:rPr>
          <w:rFonts w:asciiTheme="minorHAnsi" w:hAnsiTheme="minorHAnsi"/>
          <w:sz w:val="22"/>
          <w:szCs w:val="22"/>
        </w:rPr>
        <w:t>Section 1.166-2(d)(3) allows a bank to elect to conform its determination of worthlessness of bad debts for tax purposes with its determination of worthlessness for regulatory purposes, and establish a conclusive presumption of worthlessness.</w:t>
      </w:r>
    </w:p>
    <w:p w14:paraId="2C2EDD52" w14:textId="77777777" w:rsidR="0052649F" w:rsidRPr="0052649F" w:rsidRDefault="0052649F" w:rsidP="0052649F">
      <w:pPr>
        <w:jc w:val="both"/>
        <w:rPr>
          <w:rFonts w:asciiTheme="minorHAnsi" w:hAnsiTheme="minorHAnsi"/>
          <w:sz w:val="22"/>
          <w:szCs w:val="22"/>
        </w:rPr>
      </w:pPr>
    </w:p>
    <w:p w14:paraId="1CED5960" w14:textId="77777777" w:rsidR="0052649F" w:rsidRPr="0052649F" w:rsidRDefault="0052649F" w:rsidP="0052649F">
      <w:pPr>
        <w:ind w:left="720"/>
        <w:jc w:val="both"/>
        <w:rPr>
          <w:rFonts w:asciiTheme="minorHAnsi" w:hAnsiTheme="minorHAnsi"/>
          <w:sz w:val="22"/>
          <w:szCs w:val="22"/>
        </w:rPr>
      </w:pPr>
      <w:r w:rsidRPr="0052649F">
        <w:rPr>
          <w:rFonts w:asciiTheme="minorHAnsi" w:hAnsiTheme="minorHAnsi"/>
          <w:sz w:val="22"/>
          <w:szCs w:val="22"/>
        </w:rPr>
        <w:t>The final regulations provide that consent is requested by filing a Form 3115.  The burden for this requirement, however, will be reflected in the burden of Form 3115 itself.</w:t>
      </w:r>
    </w:p>
    <w:p w14:paraId="588A6F65" w14:textId="77777777" w:rsidR="0052649F" w:rsidRPr="0052649F" w:rsidRDefault="0052649F" w:rsidP="0052649F">
      <w:pPr>
        <w:jc w:val="both"/>
        <w:rPr>
          <w:rFonts w:asciiTheme="minorHAnsi" w:hAnsiTheme="minorHAnsi"/>
          <w:sz w:val="22"/>
          <w:szCs w:val="22"/>
        </w:rPr>
      </w:pPr>
    </w:p>
    <w:p w14:paraId="51E06662" w14:textId="77777777" w:rsidR="0052649F" w:rsidRPr="0052649F" w:rsidRDefault="0052649F" w:rsidP="0052649F">
      <w:pPr>
        <w:jc w:val="both"/>
        <w:rPr>
          <w:rFonts w:asciiTheme="minorHAnsi" w:hAnsiTheme="minorHAnsi"/>
          <w:sz w:val="22"/>
          <w:szCs w:val="22"/>
        </w:rPr>
        <w:sectPr w:rsidR="0052649F" w:rsidRPr="0052649F">
          <w:type w:val="continuous"/>
          <w:pgSz w:w="12240" w:h="15840"/>
          <w:pgMar w:top="1440" w:right="1440" w:bottom="1440" w:left="1440" w:header="1440" w:footer="1440" w:gutter="0"/>
          <w:cols w:space="720"/>
          <w:noEndnote/>
        </w:sectPr>
      </w:pPr>
    </w:p>
    <w:p w14:paraId="28C49EA3" w14:textId="77777777" w:rsidR="0052649F" w:rsidRPr="0052649F" w:rsidRDefault="0052649F" w:rsidP="0052649F">
      <w:pPr>
        <w:ind w:left="720"/>
        <w:jc w:val="both"/>
        <w:rPr>
          <w:rFonts w:asciiTheme="minorHAnsi" w:hAnsiTheme="minorHAnsi"/>
          <w:sz w:val="22"/>
          <w:szCs w:val="22"/>
        </w:rPr>
      </w:pPr>
      <w:r w:rsidRPr="0052649F">
        <w:rPr>
          <w:rFonts w:asciiTheme="minorHAnsi" w:hAnsiTheme="minorHAnsi"/>
          <w:sz w:val="22"/>
          <w:szCs w:val="22"/>
        </w:rPr>
        <w:t xml:space="preserve">Additionally, section 1.166-2(d)(3)(iii)(B) is a reporting requirement that is for a new bank that elects the conformity method of accounting when it adopts it overall method of accounting for bad debts.  These banks would not be changing their method of accounting.  Accordingly, </w:t>
      </w:r>
      <w:bookmarkStart w:id="1" w:name="_Hlk528007828"/>
      <w:r w:rsidRPr="0052649F">
        <w:rPr>
          <w:rFonts w:asciiTheme="minorHAnsi" w:hAnsiTheme="minorHAnsi"/>
          <w:sz w:val="22"/>
          <w:szCs w:val="22"/>
        </w:rPr>
        <w:t>in lieu of making the election on a Form 3115, these banks are required to attach a statement to their income tax return.</w:t>
      </w:r>
    </w:p>
    <w:bookmarkEnd w:id="1"/>
    <w:p w14:paraId="1A068F4F" w14:textId="77777777" w:rsidR="0052649F" w:rsidRPr="0052649F" w:rsidRDefault="0052649F" w:rsidP="0052649F">
      <w:pPr>
        <w:jc w:val="both"/>
        <w:rPr>
          <w:rFonts w:asciiTheme="minorHAnsi" w:hAnsiTheme="minorHAnsi"/>
          <w:sz w:val="22"/>
          <w:szCs w:val="22"/>
        </w:rPr>
      </w:pPr>
    </w:p>
    <w:p w14:paraId="08B4971B" w14:textId="77777777" w:rsidR="0052649F" w:rsidRPr="0052649F" w:rsidRDefault="0052649F" w:rsidP="0052649F">
      <w:pPr>
        <w:ind w:left="720"/>
        <w:jc w:val="both"/>
        <w:rPr>
          <w:rFonts w:asciiTheme="minorHAnsi" w:hAnsiTheme="minorHAnsi"/>
          <w:sz w:val="22"/>
          <w:szCs w:val="22"/>
        </w:rPr>
      </w:pPr>
      <w:r w:rsidRPr="0052649F">
        <w:rPr>
          <w:rFonts w:asciiTheme="minorHAnsi" w:hAnsiTheme="minorHAnsi"/>
          <w:sz w:val="22"/>
          <w:szCs w:val="22"/>
        </w:rPr>
        <w:t>We estimate that this requirement will affect 200 respondents and that it will take them .25 hour each to complete the requirement.  The estimated total burden for new banks adopting this method is 50 hours.</w:t>
      </w:r>
    </w:p>
    <w:p w14:paraId="13158C47" w14:textId="77777777" w:rsidR="0052649F" w:rsidRPr="0052649F" w:rsidRDefault="0052649F" w:rsidP="0052649F">
      <w:pPr>
        <w:jc w:val="both"/>
        <w:rPr>
          <w:rFonts w:asciiTheme="minorHAnsi" w:hAnsiTheme="minorHAnsi"/>
          <w:sz w:val="22"/>
          <w:szCs w:val="22"/>
        </w:rPr>
      </w:pPr>
    </w:p>
    <w:p w14:paraId="3CB32C60" w14:textId="77777777" w:rsidR="0052649F" w:rsidRPr="0052649F" w:rsidRDefault="0052649F" w:rsidP="0052649F">
      <w:pPr>
        <w:ind w:left="720"/>
        <w:jc w:val="both"/>
        <w:rPr>
          <w:rFonts w:asciiTheme="minorHAnsi" w:hAnsiTheme="minorHAnsi"/>
          <w:sz w:val="22"/>
          <w:szCs w:val="22"/>
        </w:rPr>
      </w:pPr>
      <w:r w:rsidRPr="0052649F">
        <w:rPr>
          <w:rFonts w:asciiTheme="minorHAnsi" w:hAnsiTheme="minorHAnsi"/>
          <w:sz w:val="22"/>
          <w:szCs w:val="22"/>
        </w:rPr>
        <w:t>Furthermore, section 1.166-2(d)(3)(iv)(B) of the final regulations provides procedures for retroactive automatic revocation of an election in certain circumstances.  If a bank’s election is subject to this automatic revocation, the bank is required to file amended returns for taxable years affected by the revocation.  The burden for this new requirement will be reflected on Form 1120X.</w:t>
      </w:r>
    </w:p>
    <w:p w14:paraId="40BA3BA3" w14:textId="77777777" w:rsidR="0052649F" w:rsidRPr="0052649F" w:rsidRDefault="0052649F" w:rsidP="0052649F">
      <w:pPr>
        <w:jc w:val="both"/>
        <w:rPr>
          <w:rFonts w:asciiTheme="minorHAnsi" w:hAnsiTheme="minorHAnsi"/>
          <w:sz w:val="22"/>
          <w:szCs w:val="22"/>
        </w:rPr>
      </w:pPr>
      <w:r w:rsidRPr="0052649F">
        <w:rPr>
          <w:rFonts w:asciiTheme="minorHAnsi" w:hAnsiTheme="minorHAnsi"/>
          <w:sz w:val="22"/>
          <w:szCs w:val="22"/>
        </w:rPr>
        <w:t xml:space="preserve"> </w:t>
      </w:r>
    </w:p>
    <w:p w14:paraId="438EB11C" w14:textId="77777777" w:rsidR="0052649F" w:rsidRPr="0052649F" w:rsidRDefault="0052649F" w:rsidP="0052649F">
      <w:pPr>
        <w:ind w:left="720"/>
        <w:jc w:val="both"/>
        <w:rPr>
          <w:rFonts w:asciiTheme="minorHAnsi" w:hAnsiTheme="minorHAnsi"/>
          <w:sz w:val="22"/>
          <w:szCs w:val="22"/>
        </w:rPr>
      </w:pPr>
      <w:r w:rsidRPr="0052649F">
        <w:rPr>
          <w:rFonts w:asciiTheme="minorHAnsi" w:hAnsiTheme="minorHAnsi"/>
          <w:sz w:val="22"/>
          <w:szCs w:val="22"/>
        </w:rPr>
        <w:t>Estimates of annualized cost to respondents for the hour burdens shown above are not available at this time.</w:t>
      </w:r>
    </w:p>
    <w:p w14:paraId="22F051B1" w14:textId="787403C1" w:rsidR="003E560A" w:rsidRPr="003E560A" w:rsidRDefault="00F841ED" w:rsidP="00F841ED">
      <w:pPr>
        <w:tabs>
          <w:tab w:val="left" w:pos="720"/>
        </w:tabs>
        <w:ind w:left="720"/>
        <w:rPr>
          <w:rFonts w:asciiTheme="minorHAnsi" w:hAnsiTheme="minorHAnsi"/>
          <w:b/>
          <w:bCs/>
          <w:sz w:val="22"/>
          <w:szCs w:val="22"/>
        </w:rPr>
      </w:pPr>
      <w:r w:rsidRPr="00F841ED">
        <w:rPr>
          <w:rFonts w:asciiTheme="minorHAnsi" w:hAnsiTheme="minorHAnsi"/>
          <w:bCs/>
          <w:sz w:val="22"/>
          <w:szCs w:val="22"/>
        </w:rPr>
        <w:t xml:space="preserve"> </w:t>
      </w:r>
      <w:r w:rsidR="00CA7758">
        <w:rPr>
          <w:rFonts w:asciiTheme="minorHAnsi" w:hAnsiTheme="minorHAnsi"/>
          <w:bCs/>
          <w:sz w:val="22"/>
          <w:szCs w:val="22"/>
        </w:rPr>
        <w:t xml:space="preserve"> </w:t>
      </w:r>
      <w:r w:rsidR="003E560A">
        <w:rPr>
          <w:rFonts w:asciiTheme="minorHAnsi" w:hAnsiTheme="minorHAnsi"/>
          <w:bCs/>
          <w:sz w:val="22"/>
          <w:szCs w:val="22"/>
        </w:rPr>
        <w:t xml:space="preserve"> </w:t>
      </w:r>
      <w:r w:rsidR="003E560A">
        <w:rPr>
          <w:rFonts w:asciiTheme="minorHAnsi" w:hAnsiTheme="minorHAnsi"/>
          <w:b/>
          <w:bCs/>
          <w:sz w:val="22"/>
          <w:szCs w:val="22"/>
        </w:rPr>
        <w:t xml:space="preserve"> </w:t>
      </w:r>
    </w:p>
    <w:p w14:paraId="085FBC13" w14:textId="77777777" w:rsidR="00067742" w:rsidRPr="00C076C8" w:rsidRDefault="00067742" w:rsidP="00791E96">
      <w:pPr>
        <w:tabs>
          <w:tab w:val="left" w:pos="720"/>
          <w:tab w:val="center" w:pos="3240"/>
          <w:tab w:val="center" w:pos="5400"/>
          <w:tab w:val="center" w:pos="7470"/>
        </w:tabs>
        <w:rPr>
          <w:rFonts w:ascii="Times New Roman" w:hAnsi="Times New Roman"/>
        </w:rPr>
      </w:pPr>
    </w:p>
    <w:tbl>
      <w:tblPr>
        <w:tblW w:w="8360" w:type="dxa"/>
        <w:tblInd w:w="603" w:type="dxa"/>
        <w:tblLayout w:type="fixed"/>
        <w:tblLook w:val="04A0" w:firstRow="1" w:lastRow="0" w:firstColumn="1" w:lastColumn="0" w:noHBand="0" w:noVBand="1"/>
      </w:tblPr>
      <w:tblGrid>
        <w:gridCol w:w="1235"/>
        <w:gridCol w:w="2033"/>
        <w:gridCol w:w="1151"/>
        <w:gridCol w:w="1116"/>
        <w:gridCol w:w="957"/>
        <w:gridCol w:w="950"/>
        <w:gridCol w:w="918"/>
      </w:tblGrid>
      <w:tr w:rsidR="00791E96" w:rsidRPr="00643CFB" w14:paraId="76DE414A"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BEE710" w14:textId="77777777" w:rsidR="00643CFB" w:rsidRPr="00643CFB" w:rsidRDefault="00791E96" w:rsidP="00791E96">
            <w:pPr>
              <w:widowControl/>
              <w:autoSpaceDE/>
              <w:autoSpaceDN/>
              <w:adjustRightInd/>
              <w:jc w:val="center"/>
              <w:rPr>
                <w:rFonts w:ascii="Arial Narrow" w:hAnsi="Arial Narrow"/>
                <w:b/>
                <w:color w:val="000000"/>
                <w:sz w:val="18"/>
                <w:szCs w:val="18"/>
              </w:rPr>
            </w:pPr>
            <w:r>
              <w:rPr>
                <w:rFonts w:ascii="Arial Narrow" w:hAnsi="Arial Narrow"/>
                <w:b/>
                <w:color w:val="000000"/>
                <w:sz w:val="18"/>
                <w:szCs w:val="18"/>
              </w:rPr>
              <w:t>Authority</w:t>
            </w:r>
          </w:p>
        </w:tc>
        <w:tc>
          <w:tcPr>
            <w:tcW w:w="2033" w:type="dxa"/>
            <w:tcBorders>
              <w:top w:val="single" w:sz="4" w:space="0" w:color="auto"/>
              <w:left w:val="nil"/>
              <w:bottom w:val="single" w:sz="4" w:space="0" w:color="auto"/>
              <w:right w:val="single" w:sz="4" w:space="0" w:color="auto"/>
            </w:tcBorders>
            <w:shd w:val="clear" w:color="auto" w:fill="auto"/>
            <w:vAlign w:val="bottom"/>
            <w:hideMark/>
          </w:tcPr>
          <w:p w14:paraId="45B33990"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Description</w:t>
            </w:r>
          </w:p>
        </w:tc>
        <w:tc>
          <w:tcPr>
            <w:tcW w:w="1151" w:type="dxa"/>
            <w:tcBorders>
              <w:top w:val="single" w:sz="4" w:space="0" w:color="auto"/>
              <w:left w:val="nil"/>
              <w:bottom w:val="single" w:sz="4" w:space="0" w:color="auto"/>
              <w:right w:val="single" w:sz="4" w:space="0" w:color="auto"/>
            </w:tcBorders>
            <w:shd w:val="clear" w:color="auto" w:fill="auto"/>
            <w:vAlign w:val="bottom"/>
            <w:hideMark/>
          </w:tcPr>
          <w:p w14:paraId="07B4209C"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Respondents</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14:paraId="2453A53D"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Responses Per Respondent</w:t>
            </w:r>
          </w:p>
        </w:tc>
        <w:tc>
          <w:tcPr>
            <w:tcW w:w="957" w:type="dxa"/>
            <w:tcBorders>
              <w:top w:val="single" w:sz="4" w:space="0" w:color="auto"/>
              <w:left w:val="nil"/>
              <w:bottom w:val="single" w:sz="4" w:space="0" w:color="auto"/>
              <w:right w:val="single" w:sz="4" w:space="0" w:color="auto"/>
            </w:tcBorders>
            <w:shd w:val="clear" w:color="auto" w:fill="auto"/>
            <w:vAlign w:val="bottom"/>
            <w:hideMark/>
          </w:tcPr>
          <w:p w14:paraId="37F6E137"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 Annual Responses</w:t>
            </w:r>
          </w:p>
        </w:tc>
        <w:tc>
          <w:tcPr>
            <w:tcW w:w="950" w:type="dxa"/>
            <w:tcBorders>
              <w:top w:val="single" w:sz="4" w:space="0" w:color="auto"/>
              <w:left w:val="nil"/>
              <w:bottom w:val="single" w:sz="4" w:space="0" w:color="auto"/>
              <w:right w:val="single" w:sz="4" w:space="0" w:color="auto"/>
            </w:tcBorders>
            <w:shd w:val="clear" w:color="auto" w:fill="auto"/>
            <w:vAlign w:val="bottom"/>
            <w:hideMark/>
          </w:tcPr>
          <w:p w14:paraId="152ABC79"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Hours Per Response</w:t>
            </w:r>
          </w:p>
        </w:tc>
        <w:tc>
          <w:tcPr>
            <w:tcW w:w="918" w:type="dxa"/>
            <w:tcBorders>
              <w:top w:val="single" w:sz="4" w:space="0" w:color="auto"/>
              <w:left w:val="nil"/>
              <w:bottom w:val="single" w:sz="4" w:space="0" w:color="auto"/>
              <w:right w:val="single" w:sz="4" w:space="0" w:color="auto"/>
            </w:tcBorders>
            <w:shd w:val="clear" w:color="auto" w:fill="auto"/>
            <w:vAlign w:val="bottom"/>
            <w:hideMark/>
          </w:tcPr>
          <w:p w14:paraId="238D17FE" w14:textId="77777777" w:rsidR="00643CFB" w:rsidRPr="00643CFB" w:rsidRDefault="00643CFB" w:rsidP="00791E96">
            <w:pPr>
              <w:widowControl/>
              <w:autoSpaceDE/>
              <w:autoSpaceDN/>
              <w:adjustRightInd/>
              <w:jc w:val="center"/>
              <w:rPr>
                <w:rFonts w:ascii="Arial Narrow" w:hAnsi="Arial Narrow"/>
                <w:b/>
                <w:color w:val="000000"/>
                <w:sz w:val="18"/>
                <w:szCs w:val="18"/>
              </w:rPr>
            </w:pPr>
            <w:r w:rsidRPr="00643CFB">
              <w:rPr>
                <w:rFonts w:ascii="Arial Narrow" w:hAnsi="Arial Narrow"/>
                <w:b/>
                <w:color w:val="000000"/>
                <w:sz w:val="18"/>
                <w:szCs w:val="18"/>
              </w:rPr>
              <w:t>Total Burden</w:t>
            </w:r>
          </w:p>
        </w:tc>
      </w:tr>
      <w:tr w:rsidR="00643CFB" w:rsidRPr="00643CFB" w14:paraId="6818FC54"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477BA1CD" w14:textId="1481917C" w:rsidR="00643CFB" w:rsidRPr="00643CFB" w:rsidRDefault="0052649F" w:rsidP="00643CFB">
            <w:pPr>
              <w:widowControl/>
              <w:autoSpaceDE/>
              <w:autoSpaceDN/>
              <w:adjustRightInd/>
              <w:jc w:val="center"/>
              <w:rPr>
                <w:rFonts w:ascii="Arial Narrow" w:hAnsi="Arial Narrow"/>
                <w:color w:val="000000"/>
                <w:sz w:val="18"/>
                <w:szCs w:val="18"/>
              </w:rPr>
            </w:pPr>
            <w:r w:rsidRPr="0052649F">
              <w:rPr>
                <w:rFonts w:ascii="Arial Narrow" w:hAnsi="Arial Narrow"/>
                <w:color w:val="000000"/>
                <w:sz w:val="18"/>
                <w:szCs w:val="18"/>
              </w:rPr>
              <w:t xml:space="preserve">Section 1.166-2(d)(3) </w:t>
            </w:r>
            <w:r w:rsidR="00F841ED">
              <w:rPr>
                <w:rFonts w:ascii="Arial Narrow" w:hAnsi="Arial Narrow"/>
                <w:color w:val="000000"/>
                <w:sz w:val="18"/>
                <w:szCs w:val="18"/>
              </w:rPr>
              <w:t xml:space="preserve"> </w:t>
            </w:r>
          </w:p>
        </w:tc>
        <w:tc>
          <w:tcPr>
            <w:tcW w:w="2033" w:type="dxa"/>
            <w:tcBorders>
              <w:top w:val="single" w:sz="4" w:space="0" w:color="auto"/>
              <w:left w:val="nil"/>
              <w:bottom w:val="single" w:sz="4" w:space="0" w:color="auto"/>
              <w:right w:val="single" w:sz="4" w:space="0" w:color="auto"/>
            </w:tcBorders>
            <w:shd w:val="clear" w:color="auto" w:fill="auto"/>
            <w:vAlign w:val="center"/>
          </w:tcPr>
          <w:p w14:paraId="6CFB214B" w14:textId="30CABB94" w:rsidR="00643CFB" w:rsidRPr="00643CFB" w:rsidRDefault="0052649F" w:rsidP="00643CFB">
            <w:pPr>
              <w:widowControl/>
              <w:autoSpaceDE/>
              <w:autoSpaceDN/>
              <w:adjustRightInd/>
              <w:jc w:val="center"/>
              <w:rPr>
                <w:rFonts w:ascii="Arial Narrow" w:hAnsi="Arial Narrow"/>
                <w:color w:val="000000"/>
                <w:sz w:val="18"/>
                <w:szCs w:val="18"/>
              </w:rPr>
            </w:pPr>
            <w:r w:rsidRPr="0052649F">
              <w:rPr>
                <w:rFonts w:ascii="Arial Narrow" w:hAnsi="Arial Narrow"/>
                <w:color w:val="000000"/>
                <w:sz w:val="18"/>
                <w:szCs w:val="18"/>
              </w:rPr>
              <w:t>in lieu of making the election on a Form 3115, these banks are required to attach a statement to their income tax return.</w:t>
            </w:r>
          </w:p>
        </w:tc>
        <w:tc>
          <w:tcPr>
            <w:tcW w:w="1151" w:type="dxa"/>
            <w:tcBorders>
              <w:top w:val="single" w:sz="4" w:space="0" w:color="auto"/>
              <w:left w:val="nil"/>
              <w:bottom w:val="single" w:sz="4" w:space="0" w:color="auto"/>
              <w:right w:val="single" w:sz="4" w:space="0" w:color="auto"/>
            </w:tcBorders>
            <w:shd w:val="clear" w:color="auto" w:fill="auto"/>
            <w:vAlign w:val="center"/>
          </w:tcPr>
          <w:p w14:paraId="793922B1" w14:textId="0F940CEA" w:rsidR="00643CFB" w:rsidRPr="00643CFB" w:rsidRDefault="0052649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FF4E873" w14:textId="022C13EA" w:rsidR="00643CFB" w:rsidRPr="00643CFB" w:rsidRDefault="00F841ED"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1</w:t>
            </w:r>
          </w:p>
        </w:tc>
        <w:tc>
          <w:tcPr>
            <w:tcW w:w="957" w:type="dxa"/>
            <w:tcBorders>
              <w:top w:val="single" w:sz="4" w:space="0" w:color="auto"/>
              <w:left w:val="nil"/>
              <w:bottom w:val="single" w:sz="4" w:space="0" w:color="auto"/>
              <w:right w:val="single" w:sz="4" w:space="0" w:color="auto"/>
            </w:tcBorders>
            <w:shd w:val="clear" w:color="auto" w:fill="auto"/>
            <w:vAlign w:val="center"/>
          </w:tcPr>
          <w:p w14:paraId="118638E8" w14:textId="71FDA381" w:rsidR="00643CFB" w:rsidRPr="00643CFB" w:rsidRDefault="0052649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200</w:t>
            </w:r>
          </w:p>
        </w:tc>
        <w:tc>
          <w:tcPr>
            <w:tcW w:w="950" w:type="dxa"/>
            <w:tcBorders>
              <w:top w:val="single" w:sz="4" w:space="0" w:color="auto"/>
              <w:left w:val="nil"/>
              <w:bottom w:val="single" w:sz="4" w:space="0" w:color="auto"/>
              <w:right w:val="single" w:sz="4" w:space="0" w:color="auto"/>
            </w:tcBorders>
            <w:shd w:val="clear" w:color="auto" w:fill="auto"/>
            <w:vAlign w:val="center"/>
          </w:tcPr>
          <w:p w14:paraId="6541C770" w14:textId="414D8C93" w:rsidR="00643CFB" w:rsidRPr="00643CFB" w:rsidRDefault="0052649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.25</w:t>
            </w:r>
          </w:p>
        </w:tc>
        <w:tc>
          <w:tcPr>
            <w:tcW w:w="918" w:type="dxa"/>
            <w:tcBorders>
              <w:top w:val="single" w:sz="4" w:space="0" w:color="auto"/>
              <w:left w:val="nil"/>
              <w:bottom w:val="single" w:sz="4" w:space="0" w:color="auto"/>
              <w:right w:val="single" w:sz="4" w:space="0" w:color="auto"/>
            </w:tcBorders>
            <w:shd w:val="clear" w:color="auto" w:fill="auto"/>
            <w:vAlign w:val="center"/>
          </w:tcPr>
          <w:p w14:paraId="278D0581" w14:textId="4F1DA475" w:rsidR="00643CFB" w:rsidRPr="00643CFB" w:rsidRDefault="0052649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 h</w:t>
            </w:r>
            <w:r w:rsidR="00F841ED">
              <w:rPr>
                <w:rFonts w:ascii="Arial Narrow" w:hAnsi="Arial Narrow"/>
                <w:color w:val="000000"/>
                <w:sz w:val="18"/>
                <w:szCs w:val="18"/>
              </w:rPr>
              <w:t>ours</w:t>
            </w:r>
          </w:p>
        </w:tc>
      </w:tr>
      <w:tr w:rsidR="00F841ED" w:rsidRPr="00643CFB" w14:paraId="63818276" w14:textId="77777777" w:rsidTr="00791E96">
        <w:trPr>
          <w:trHeight w:val="792"/>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tcPr>
          <w:p w14:paraId="276C5AF3" w14:textId="79E04C1D" w:rsidR="00F841ED" w:rsidRPr="00F841ED" w:rsidRDefault="00F841ED" w:rsidP="00643CFB">
            <w:pPr>
              <w:widowControl/>
              <w:autoSpaceDE/>
              <w:autoSpaceDN/>
              <w:adjustRightInd/>
              <w:jc w:val="center"/>
              <w:rPr>
                <w:rFonts w:ascii="Arial Narrow" w:hAnsi="Arial Narrow"/>
                <w:b/>
                <w:color w:val="000000"/>
                <w:sz w:val="18"/>
                <w:szCs w:val="18"/>
              </w:rPr>
            </w:pPr>
            <w:r w:rsidRPr="00F841ED">
              <w:rPr>
                <w:rFonts w:ascii="Arial Narrow" w:hAnsi="Arial Narrow"/>
                <w:b/>
                <w:color w:val="000000"/>
                <w:sz w:val="18"/>
                <w:szCs w:val="18"/>
              </w:rPr>
              <w:t>TOTAL</w:t>
            </w:r>
          </w:p>
        </w:tc>
        <w:tc>
          <w:tcPr>
            <w:tcW w:w="2033" w:type="dxa"/>
            <w:tcBorders>
              <w:top w:val="single" w:sz="4" w:space="0" w:color="auto"/>
              <w:left w:val="nil"/>
              <w:bottom w:val="single" w:sz="4" w:space="0" w:color="auto"/>
              <w:right w:val="single" w:sz="4" w:space="0" w:color="auto"/>
            </w:tcBorders>
            <w:shd w:val="clear" w:color="auto" w:fill="auto"/>
            <w:vAlign w:val="center"/>
          </w:tcPr>
          <w:p w14:paraId="02E9E809" w14:textId="77777777" w:rsidR="00F841ED" w:rsidRPr="00F841ED" w:rsidRDefault="00F841ED" w:rsidP="00643CFB">
            <w:pPr>
              <w:widowControl/>
              <w:autoSpaceDE/>
              <w:autoSpaceDN/>
              <w:adjustRightInd/>
              <w:jc w:val="center"/>
              <w:rPr>
                <w:rFonts w:ascii="Arial Narrow" w:hAnsi="Arial Narrow"/>
                <w:color w:val="000000"/>
                <w:sz w:val="18"/>
                <w:szCs w:val="18"/>
              </w:rPr>
            </w:pPr>
          </w:p>
        </w:tc>
        <w:tc>
          <w:tcPr>
            <w:tcW w:w="1151" w:type="dxa"/>
            <w:tcBorders>
              <w:top w:val="single" w:sz="4" w:space="0" w:color="auto"/>
              <w:left w:val="nil"/>
              <w:bottom w:val="single" w:sz="4" w:space="0" w:color="auto"/>
              <w:right w:val="single" w:sz="4" w:space="0" w:color="auto"/>
            </w:tcBorders>
            <w:shd w:val="clear" w:color="auto" w:fill="auto"/>
            <w:vAlign w:val="center"/>
          </w:tcPr>
          <w:p w14:paraId="627746E2" w14:textId="203C435C" w:rsidR="00F841ED" w:rsidRDefault="0052649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200</w:t>
            </w:r>
          </w:p>
        </w:tc>
        <w:tc>
          <w:tcPr>
            <w:tcW w:w="1116" w:type="dxa"/>
            <w:tcBorders>
              <w:top w:val="single" w:sz="4" w:space="0" w:color="auto"/>
              <w:left w:val="nil"/>
              <w:bottom w:val="single" w:sz="4" w:space="0" w:color="auto"/>
              <w:right w:val="single" w:sz="4" w:space="0" w:color="auto"/>
            </w:tcBorders>
            <w:shd w:val="clear" w:color="auto" w:fill="auto"/>
            <w:vAlign w:val="center"/>
          </w:tcPr>
          <w:p w14:paraId="14E72CFD" w14:textId="77777777" w:rsidR="00F841ED" w:rsidRDefault="00F841ED" w:rsidP="00643CFB">
            <w:pPr>
              <w:widowControl/>
              <w:autoSpaceDE/>
              <w:autoSpaceDN/>
              <w:adjustRightInd/>
              <w:jc w:val="center"/>
              <w:rPr>
                <w:rFonts w:ascii="Arial Narrow" w:hAnsi="Arial Narrow"/>
                <w:color w:val="000000"/>
                <w:sz w:val="18"/>
                <w:szCs w:val="18"/>
              </w:rPr>
            </w:pPr>
          </w:p>
        </w:tc>
        <w:tc>
          <w:tcPr>
            <w:tcW w:w="957" w:type="dxa"/>
            <w:tcBorders>
              <w:top w:val="single" w:sz="4" w:space="0" w:color="auto"/>
              <w:left w:val="nil"/>
              <w:bottom w:val="single" w:sz="4" w:space="0" w:color="auto"/>
              <w:right w:val="single" w:sz="4" w:space="0" w:color="auto"/>
            </w:tcBorders>
            <w:shd w:val="clear" w:color="auto" w:fill="auto"/>
            <w:vAlign w:val="center"/>
          </w:tcPr>
          <w:p w14:paraId="03B5AB13" w14:textId="1381096D" w:rsidR="00F841ED" w:rsidRDefault="0052649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200</w:t>
            </w:r>
          </w:p>
        </w:tc>
        <w:tc>
          <w:tcPr>
            <w:tcW w:w="950" w:type="dxa"/>
            <w:tcBorders>
              <w:top w:val="single" w:sz="4" w:space="0" w:color="auto"/>
              <w:left w:val="nil"/>
              <w:bottom w:val="single" w:sz="4" w:space="0" w:color="auto"/>
              <w:right w:val="single" w:sz="4" w:space="0" w:color="auto"/>
            </w:tcBorders>
            <w:shd w:val="clear" w:color="auto" w:fill="auto"/>
            <w:vAlign w:val="center"/>
          </w:tcPr>
          <w:p w14:paraId="6B709E1D" w14:textId="77777777" w:rsidR="00F841ED" w:rsidRDefault="00F841ED" w:rsidP="00643CFB">
            <w:pPr>
              <w:widowControl/>
              <w:autoSpaceDE/>
              <w:autoSpaceDN/>
              <w:adjustRightInd/>
              <w:jc w:val="center"/>
              <w:rPr>
                <w:rFonts w:ascii="Arial Narrow" w:hAnsi="Arial Narrow"/>
                <w:color w:val="000000"/>
                <w:sz w:val="18"/>
                <w:szCs w:val="18"/>
              </w:rPr>
            </w:pPr>
          </w:p>
        </w:tc>
        <w:tc>
          <w:tcPr>
            <w:tcW w:w="918" w:type="dxa"/>
            <w:tcBorders>
              <w:top w:val="single" w:sz="4" w:space="0" w:color="auto"/>
              <w:left w:val="nil"/>
              <w:bottom w:val="single" w:sz="4" w:space="0" w:color="auto"/>
              <w:right w:val="single" w:sz="4" w:space="0" w:color="auto"/>
            </w:tcBorders>
            <w:shd w:val="clear" w:color="auto" w:fill="auto"/>
            <w:vAlign w:val="center"/>
          </w:tcPr>
          <w:p w14:paraId="5A6EB0CD" w14:textId="2C787BC8" w:rsidR="00F841ED" w:rsidRDefault="0052649F" w:rsidP="00643CFB">
            <w:pPr>
              <w:widowControl/>
              <w:autoSpaceDE/>
              <w:autoSpaceDN/>
              <w:adjustRightInd/>
              <w:jc w:val="center"/>
              <w:rPr>
                <w:rFonts w:ascii="Arial Narrow" w:hAnsi="Arial Narrow"/>
                <w:color w:val="000000"/>
                <w:sz w:val="18"/>
                <w:szCs w:val="18"/>
              </w:rPr>
            </w:pPr>
            <w:r>
              <w:rPr>
                <w:rFonts w:ascii="Arial Narrow" w:hAnsi="Arial Narrow"/>
                <w:color w:val="000000"/>
                <w:sz w:val="18"/>
                <w:szCs w:val="18"/>
              </w:rPr>
              <w:t>50</w:t>
            </w:r>
            <w:r w:rsidR="008C739B">
              <w:rPr>
                <w:rFonts w:ascii="Arial Narrow" w:hAnsi="Arial Narrow"/>
                <w:color w:val="000000"/>
                <w:sz w:val="18"/>
                <w:szCs w:val="18"/>
              </w:rPr>
              <w:t xml:space="preserve"> hours</w:t>
            </w:r>
          </w:p>
        </w:tc>
      </w:tr>
    </w:tbl>
    <w:p w14:paraId="525F80EC" w14:textId="77777777" w:rsidR="00067742" w:rsidRPr="00F530C8" w:rsidRDefault="00067742" w:rsidP="00C076C8">
      <w:pPr>
        <w:tabs>
          <w:tab w:val="left" w:pos="720"/>
        </w:tabs>
        <w:ind w:left="720" w:hanging="720"/>
        <w:rPr>
          <w:rFonts w:asciiTheme="minorHAnsi" w:hAnsiTheme="minorHAnsi"/>
          <w:b/>
          <w:bCs/>
          <w:sz w:val="22"/>
          <w:szCs w:val="22"/>
        </w:rPr>
      </w:pPr>
    </w:p>
    <w:p w14:paraId="34E1C3CA" w14:textId="20CE78B7" w:rsidR="00067742" w:rsidRPr="00F530C8" w:rsidRDefault="00067742" w:rsidP="00C076C8">
      <w:pPr>
        <w:numPr>
          <w:ilvl w:val="0"/>
          <w:numId w:val="4"/>
        </w:numPr>
        <w:tabs>
          <w:tab w:val="left" w:pos="720"/>
        </w:tabs>
        <w:ind w:hanging="720"/>
        <w:rPr>
          <w:rFonts w:asciiTheme="minorHAnsi" w:hAnsiTheme="minorHAnsi"/>
          <w:b/>
          <w:bCs/>
          <w:sz w:val="22"/>
          <w:szCs w:val="22"/>
        </w:rPr>
      </w:pPr>
      <w:r w:rsidRPr="008F75D5">
        <w:rPr>
          <w:rFonts w:asciiTheme="minorHAnsi" w:hAnsiTheme="minorHAnsi"/>
          <w:b/>
          <w:bCs/>
          <w:sz w:val="22"/>
          <w:szCs w:val="22"/>
          <w:u w:val="single"/>
        </w:rPr>
        <w:t>ESTIMATED</w:t>
      </w:r>
      <w:r w:rsidRPr="00F530C8">
        <w:rPr>
          <w:rFonts w:asciiTheme="minorHAnsi" w:hAnsiTheme="minorHAnsi"/>
          <w:b/>
          <w:bCs/>
          <w:sz w:val="22"/>
          <w:szCs w:val="22"/>
          <w:u w:val="single"/>
        </w:rPr>
        <w:t xml:space="preserve"> TOTAL ANNUAL COST BURDEN TO RESPONDENTS</w:t>
      </w:r>
    </w:p>
    <w:p w14:paraId="5420DEFE" w14:textId="77777777" w:rsidR="00067742" w:rsidRPr="00F530C8" w:rsidRDefault="00067742" w:rsidP="00C076C8">
      <w:pPr>
        <w:tabs>
          <w:tab w:val="left" w:pos="720"/>
        </w:tabs>
        <w:ind w:left="720" w:hanging="720"/>
        <w:rPr>
          <w:rFonts w:asciiTheme="minorHAnsi" w:hAnsiTheme="minorHAnsi"/>
          <w:sz w:val="22"/>
          <w:szCs w:val="22"/>
        </w:rPr>
      </w:pPr>
      <w:bookmarkStart w:id="2" w:name="_Hlk524897593"/>
    </w:p>
    <w:p w14:paraId="0C17A279" w14:textId="4730187C" w:rsidR="00421E3F" w:rsidRPr="00F530C8" w:rsidRDefault="008F75D5" w:rsidP="008F75D5">
      <w:pPr>
        <w:widowControl/>
        <w:tabs>
          <w:tab w:val="left" w:pos="720"/>
        </w:tabs>
        <w:autoSpaceDE/>
        <w:autoSpaceDN/>
        <w:adjustRightInd/>
        <w:ind w:left="720"/>
        <w:rPr>
          <w:rFonts w:asciiTheme="minorHAnsi" w:hAnsiTheme="minorHAnsi"/>
          <w:sz w:val="22"/>
          <w:szCs w:val="22"/>
        </w:rPr>
      </w:pPr>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bookmarkEnd w:id="2"/>
    <w:p w14:paraId="01C0BA87" w14:textId="77777777" w:rsidR="00067742" w:rsidRPr="00F530C8" w:rsidRDefault="00067742" w:rsidP="00ED18D6">
      <w:pPr>
        <w:tabs>
          <w:tab w:val="left" w:pos="-1440"/>
          <w:tab w:val="left" w:pos="720"/>
        </w:tabs>
        <w:ind w:left="720" w:hanging="720"/>
        <w:rPr>
          <w:rFonts w:asciiTheme="minorHAnsi" w:hAnsiTheme="minorHAnsi"/>
          <w:sz w:val="22"/>
          <w:szCs w:val="22"/>
        </w:rPr>
      </w:pPr>
    </w:p>
    <w:p w14:paraId="59C073DB" w14:textId="2A124A9E" w:rsidR="00067742" w:rsidRPr="00B27BA4" w:rsidRDefault="00067742" w:rsidP="00C076C8">
      <w:pPr>
        <w:numPr>
          <w:ilvl w:val="0"/>
          <w:numId w:val="4"/>
        </w:numPr>
        <w:tabs>
          <w:tab w:val="left" w:pos="720"/>
        </w:tabs>
        <w:ind w:hanging="720"/>
        <w:rPr>
          <w:rFonts w:asciiTheme="minorHAnsi" w:hAnsiTheme="minorHAnsi"/>
          <w:b/>
          <w:bCs/>
          <w:sz w:val="22"/>
          <w:szCs w:val="22"/>
        </w:rPr>
      </w:pPr>
      <w:r w:rsidRPr="00C515A5">
        <w:rPr>
          <w:rFonts w:asciiTheme="minorHAnsi" w:hAnsiTheme="minorHAnsi"/>
          <w:b/>
          <w:bCs/>
          <w:sz w:val="22"/>
          <w:szCs w:val="22"/>
          <w:u w:val="single"/>
        </w:rPr>
        <w:t>ESTIMATED A</w:t>
      </w:r>
      <w:r w:rsidRPr="00B27BA4">
        <w:rPr>
          <w:rFonts w:asciiTheme="minorHAnsi" w:hAnsiTheme="minorHAnsi"/>
          <w:b/>
          <w:bCs/>
          <w:sz w:val="22"/>
          <w:szCs w:val="22"/>
          <w:u w:val="single"/>
        </w:rPr>
        <w:t>NNUALIZED</w:t>
      </w:r>
      <w:r w:rsidRPr="00F530C8">
        <w:rPr>
          <w:rFonts w:asciiTheme="minorHAnsi" w:hAnsiTheme="minorHAnsi"/>
          <w:b/>
          <w:bCs/>
          <w:sz w:val="22"/>
          <w:szCs w:val="22"/>
          <w:u w:val="single"/>
        </w:rPr>
        <w:t xml:space="preserve"> COST TO THE FEDERAL GOVERNMENT</w:t>
      </w:r>
    </w:p>
    <w:p w14:paraId="1AC55D40" w14:textId="78D0D7AB" w:rsidR="00B27BA4" w:rsidRDefault="00B27BA4" w:rsidP="00B27BA4">
      <w:pPr>
        <w:tabs>
          <w:tab w:val="left" w:pos="720"/>
        </w:tabs>
        <w:rPr>
          <w:rFonts w:asciiTheme="minorHAnsi" w:hAnsiTheme="minorHAnsi"/>
          <w:b/>
          <w:bCs/>
          <w:sz w:val="22"/>
          <w:szCs w:val="22"/>
          <w:u w:val="single"/>
        </w:rPr>
      </w:pPr>
    </w:p>
    <w:p w14:paraId="3E9BE76D" w14:textId="77777777" w:rsidR="00F35F9C" w:rsidRPr="00F530C8" w:rsidRDefault="00F35F9C" w:rsidP="00F35F9C">
      <w:pPr>
        <w:widowControl/>
        <w:tabs>
          <w:tab w:val="left" w:pos="720"/>
        </w:tabs>
        <w:autoSpaceDE/>
        <w:autoSpaceDN/>
        <w:adjustRightInd/>
        <w:ind w:left="720"/>
        <w:rPr>
          <w:rFonts w:asciiTheme="minorHAnsi" w:hAnsiTheme="minorHAnsi"/>
          <w:sz w:val="22"/>
          <w:szCs w:val="22"/>
        </w:rPr>
      </w:pPr>
      <w:bookmarkStart w:id="3" w:name="_Hlk523834409"/>
      <w:r>
        <w:rPr>
          <w:rFonts w:asciiTheme="minorHAnsi" w:eastAsiaTheme="minorHAnsi" w:hAnsiTheme="minorHAnsi" w:cstheme="minorBidi"/>
          <w:sz w:val="22"/>
          <w:szCs w:val="22"/>
        </w:rPr>
        <w:t>T</w:t>
      </w:r>
      <w:r w:rsidRPr="008F75D5">
        <w:rPr>
          <w:rFonts w:asciiTheme="minorHAnsi" w:eastAsiaTheme="minorHAnsi" w:hAnsiTheme="minorHAnsi" w:cstheme="minorBidi"/>
          <w:sz w:val="22"/>
          <w:szCs w:val="22"/>
        </w:rPr>
        <w:t xml:space="preserve">o ensure more accuracy and consistency across its information collections, IRS is currently in </w:t>
      </w:r>
      <w:r>
        <w:rPr>
          <w:rFonts w:asciiTheme="minorHAnsi" w:eastAsiaTheme="minorHAnsi" w:hAnsiTheme="minorHAnsi" w:cstheme="minorBidi"/>
          <w:sz w:val="22"/>
          <w:szCs w:val="22"/>
        </w:rPr>
        <w:t xml:space="preserve">  </w:t>
      </w:r>
      <w:r w:rsidRPr="008F75D5">
        <w:rPr>
          <w:rFonts w:asciiTheme="minorHAnsi" w:eastAsiaTheme="minorHAnsi" w:hAnsiTheme="minorHAnsi" w:cstheme="minorBidi"/>
          <w:sz w:val="22"/>
          <w:szCs w:val="22"/>
        </w:rPr>
        <w:t xml:space="preserve">the process of revising the methodology it uses to estimate burden and costs. Once this methodology is complete, IRS will update this information collection to reflect a more precise estimate of burden and costs.   </w:t>
      </w:r>
    </w:p>
    <w:p w14:paraId="436F6E2E" w14:textId="77777777" w:rsidR="00C515A5" w:rsidRDefault="00C515A5" w:rsidP="00C515A5">
      <w:pPr>
        <w:ind w:left="360"/>
        <w:rPr>
          <w:rFonts w:asciiTheme="minorHAnsi" w:hAnsiTheme="minorHAnsi"/>
          <w:sz w:val="22"/>
          <w:szCs w:val="22"/>
        </w:rPr>
      </w:pPr>
    </w:p>
    <w:bookmarkEnd w:id="3"/>
    <w:p w14:paraId="03958D5B" w14:textId="77777777" w:rsidR="00067742" w:rsidRPr="00F530C8" w:rsidRDefault="00067742" w:rsidP="002174CE">
      <w:pPr>
        <w:numPr>
          <w:ilvl w:val="0"/>
          <w:numId w:val="4"/>
        </w:numPr>
        <w:tabs>
          <w:tab w:val="left" w:pos="720"/>
        </w:tabs>
        <w:ind w:hanging="720"/>
        <w:rPr>
          <w:rFonts w:asciiTheme="minorHAnsi" w:hAnsiTheme="minorHAnsi"/>
          <w:b/>
          <w:sz w:val="22"/>
          <w:szCs w:val="22"/>
        </w:rPr>
      </w:pPr>
      <w:r w:rsidRPr="00B27BA4">
        <w:rPr>
          <w:rFonts w:asciiTheme="minorHAnsi" w:hAnsiTheme="minorHAnsi"/>
          <w:b/>
          <w:bCs/>
          <w:sz w:val="22"/>
          <w:szCs w:val="22"/>
          <w:u w:val="single"/>
        </w:rPr>
        <w:t>REAS</w:t>
      </w:r>
      <w:r w:rsidRPr="00F530C8">
        <w:rPr>
          <w:rFonts w:asciiTheme="minorHAnsi" w:hAnsiTheme="minorHAnsi"/>
          <w:b/>
          <w:bCs/>
          <w:sz w:val="22"/>
          <w:szCs w:val="22"/>
          <w:u w:val="single"/>
        </w:rPr>
        <w:t>ONS FOR CHANGE IN BURDEN</w:t>
      </w:r>
    </w:p>
    <w:p w14:paraId="1B5C9F46" w14:textId="77777777" w:rsidR="00067742" w:rsidRPr="00F530C8" w:rsidRDefault="00067742" w:rsidP="00C076C8">
      <w:pPr>
        <w:tabs>
          <w:tab w:val="left" w:pos="720"/>
        </w:tabs>
        <w:ind w:left="720" w:hanging="720"/>
        <w:rPr>
          <w:rFonts w:asciiTheme="minorHAnsi" w:hAnsiTheme="minorHAnsi"/>
          <w:b/>
          <w:sz w:val="22"/>
          <w:szCs w:val="22"/>
        </w:rPr>
      </w:pPr>
    </w:p>
    <w:p w14:paraId="36AC9D77" w14:textId="7CBCCB43" w:rsidR="00C33A48" w:rsidRDefault="00F841ED" w:rsidP="00085A09">
      <w:pPr>
        <w:tabs>
          <w:tab w:val="left" w:pos="720"/>
        </w:tabs>
        <w:ind w:left="720"/>
        <w:rPr>
          <w:rFonts w:asciiTheme="minorHAnsi" w:hAnsiTheme="minorHAnsi"/>
          <w:sz w:val="22"/>
          <w:szCs w:val="22"/>
        </w:rPr>
      </w:pPr>
      <w:r w:rsidRPr="00F841ED">
        <w:rPr>
          <w:rFonts w:asciiTheme="minorHAnsi" w:hAnsiTheme="minorHAnsi"/>
          <w:sz w:val="22"/>
          <w:szCs w:val="22"/>
        </w:rPr>
        <w:t>There is no change in the paperwork burden previously approved by OMB</w:t>
      </w:r>
      <w:r>
        <w:rPr>
          <w:rFonts w:asciiTheme="minorHAnsi" w:hAnsiTheme="minorHAnsi"/>
          <w:sz w:val="22"/>
          <w:szCs w:val="22"/>
        </w:rPr>
        <w:t>.</w:t>
      </w:r>
    </w:p>
    <w:p w14:paraId="71CED72D" w14:textId="77777777" w:rsidR="00F841ED" w:rsidRDefault="00F841ED" w:rsidP="00085A09">
      <w:pPr>
        <w:tabs>
          <w:tab w:val="left" w:pos="720"/>
        </w:tabs>
        <w:ind w:left="720"/>
        <w:rPr>
          <w:rFonts w:asciiTheme="minorHAnsi" w:hAnsiTheme="minorHAnsi"/>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31"/>
        <w:gridCol w:w="1430"/>
        <w:gridCol w:w="1430"/>
        <w:gridCol w:w="1430"/>
        <w:gridCol w:w="1430"/>
        <w:gridCol w:w="953"/>
        <w:gridCol w:w="1430"/>
      </w:tblGrid>
      <w:tr w:rsidR="00C33A48" w:rsidRPr="00C33A48" w14:paraId="6639EA6C" w14:textId="77777777">
        <w:tc>
          <w:tcPr>
            <w:tcW w:w="750" w:type="pct"/>
            <w:tcBorders>
              <w:top w:val="outset" w:sz="6" w:space="0" w:color="auto"/>
              <w:left w:val="outset" w:sz="6" w:space="0" w:color="auto"/>
              <w:bottom w:val="outset" w:sz="6" w:space="0" w:color="auto"/>
              <w:right w:val="outset" w:sz="6" w:space="0" w:color="auto"/>
            </w:tcBorders>
            <w:vAlign w:val="center"/>
            <w:hideMark/>
          </w:tcPr>
          <w:p w14:paraId="64532F1D"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 </w:t>
            </w:r>
          </w:p>
        </w:tc>
        <w:tc>
          <w:tcPr>
            <w:tcW w:w="750" w:type="pct"/>
            <w:tcBorders>
              <w:top w:val="outset" w:sz="6" w:space="0" w:color="auto"/>
              <w:left w:val="outset" w:sz="6" w:space="0" w:color="auto"/>
              <w:bottom w:val="outset" w:sz="6" w:space="0" w:color="auto"/>
              <w:right w:val="outset" w:sz="6" w:space="0" w:color="auto"/>
            </w:tcBorders>
            <w:vAlign w:val="center"/>
            <w:hideMark/>
          </w:tcPr>
          <w:p w14:paraId="664352DC"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Requested</w:t>
            </w:r>
          </w:p>
        </w:tc>
        <w:tc>
          <w:tcPr>
            <w:tcW w:w="750" w:type="pct"/>
            <w:tcBorders>
              <w:top w:val="outset" w:sz="6" w:space="0" w:color="auto"/>
              <w:left w:val="outset" w:sz="6" w:space="0" w:color="auto"/>
              <w:bottom w:val="outset" w:sz="6" w:space="0" w:color="auto"/>
              <w:right w:val="outset" w:sz="6" w:space="0" w:color="auto"/>
            </w:tcBorders>
            <w:vAlign w:val="center"/>
            <w:hideMark/>
          </w:tcPr>
          <w:p w14:paraId="3FCEAE45"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New Statute</w:t>
            </w:r>
          </w:p>
        </w:tc>
        <w:tc>
          <w:tcPr>
            <w:tcW w:w="750" w:type="pct"/>
            <w:tcBorders>
              <w:top w:val="outset" w:sz="6" w:space="0" w:color="auto"/>
              <w:left w:val="outset" w:sz="6" w:space="0" w:color="auto"/>
              <w:bottom w:val="outset" w:sz="6" w:space="0" w:color="auto"/>
              <w:right w:val="outset" w:sz="6" w:space="0" w:color="auto"/>
            </w:tcBorders>
            <w:vAlign w:val="center"/>
            <w:hideMark/>
          </w:tcPr>
          <w:p w14:paraId="77005991"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Program Change Due to Agency Discretion</w:t>
            </w:r>
          </w:p>
        </w:tc>
        <w:tc>
          <w:tcPr>
            <w:tcW w:w="750" w:type="pct"/>
            <w:tcBorders>
              <w:top w:val="outset" w:sz="6" w:space="0" w:color="auto"/>
              <w:left w:val="outset" w:sz="6" w:space="0" w:color="auto"/>
              <w:bottom w:val="outset" w:sz="6" w:space="0" w:color="auto"/>
              <w:right w:val="outset" w:sz="6" w:space="0" w:color="auto"/>
            </w:tcBorders>
            <w:vAlign w:val="center"/>
            <w:hideMark/>
          </w:tcPr>
          <w:p w14:paraId="6378FAF9"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Adjustment in Agency Estimate</w:t>
            </w:r>
          </w:p>
        </w:tc>
        <w:tc>
          <w:tcPr>
            <w:tcW w:w="500" w:type="pct"/>
            <w:tcBorders>
              <w:top w:val="outset" w:sz="6" w:space="0" w:color="auto"/>
              <w:left w:val="outset" w:sz="6" w:space="0" w:color="auto"/>
              <w:bottom w:val="outset" w:sz="6" w:space="0" w:color="auto"/>
              <w:right w:val="outset" w:sz="6" w:space="0" w:color="auto"/>
            </w:tcBorders>
            <w:vAlign w:val="center"/>
            <w:hideMark/>
          </w:tcPr>
          <w:p w14:paraId="3341007E"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Change Due to Potential Violation of the PRA</w:t>
            </w:r>
          </w:p>
        </w:tc>
        <w:tc>
          <w:tcPr>
            <w:tcW w:w="750" w:type="pct"/>
            <w:tcBorders>
              <w:top w:val="outset" w:sz="6" w:space="0" w:color="auto"/>
              <w:left w:val="outset" w:sz="6" w:space="0" w:color="auto"/>
              <w:bottom w:val="outset" w:sz="6" w:space="0" w:color="auto"/>
              <w:right w:val="outset" w:sz="6" w:space="0" w:color="auto"/>
            </w:tcBorders>
            <w:vAlign w:val="center"/>
            <w:hideMark/>
          </w:tcPr>
          <w:p w14:paraId="5FBCBA0A" w14:textId="77777777" w:rsidR="00C33A48" w:rsidRPr="00C33A48" w:rsidRDefault="00C33A48" w:rsidP="00C33A48">
            <w:pPr>
              <w:widowControl/>
              <w:autoSpaceDE/>
              <w:autoSpaceDN/>
              <w:adjustRightInd/>
              <w:jc w:val="center"/>
              <w:rPr>
                <w:rFonts w:asciiTheme="minorHAnsi" w:hAnsiTheme="minorHAnsi" w:cs="Arial"/>
                <w:b/>
                <w:bCs/>
                <w:color w:val="000000"/>
                <w:sz w:val="20"/>
                <w:szCs w:val="20"/>
              </w:rPr>
            </w:pPr>
            <w:r w:rsidRPr="00C33A48">
              <w:rPr>
                <w:rFonts w:asciiTheme="minorHAnsi" w:hAnsiTheme="minorHAnsi" w:cs="Arial"/>
                <w:b/>
                <w:bCs/>
                <w:color w:val="000000"/>
                <w:sz w:val="20"/>
                <w:szCs w:val="20"/>
              </w:rPr>
              <w:t>Previously Approved</w:t>
            </w:r>
          </w:p>
        </w:tc>
      </w:tr>
      <w:tr w:rsidR="00C33A48" w:rsidRPr="00C33A48" w14:paraId="4622625A" w14:textId="77777777" w:rsidTr="00EA42E4">
        <w:trPr>
          <w:trHeight w:val="546"/>
        </w:trPr>
        <w:tc>
          <w:tcPr>
            <w:tcW w:w="750" w:type="pct"/>
            <w:tcBorders>
              <w:top w:val="outset" w:sz="6" w:space="0" w:color="auto"/>
              <w:left w:val="outset" w:sz="6" w:space="0" w:color="auto"/>
              <w:bottom w:val="outset" w:sz="6" w:space="0" w:color="auto"/>
              <w:right w:val="outset" w:sz="6" w:space="0" w:color="auto"/>
            </w:tcBorders>
            <w:hideMark/>
          </w:tcPr>
          <w:p w14:paraId="56E3147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Annual Number of Responses for this IC</w:t>
            </w:r>
          </w:p>
        </w:tc>
        <w:tc>
          <w:tcPr>
            <w:tcW w:w="750" w:type="pct"/>
            <w:tcBorders>
              <w:top w:val="outset" w:sz="6" w:space="0" w:color="auto"/>
              <w:left w:val="outset" w:sz="6" w:space="0" w:color="auto"/>
              <w:bottom w:val="outset" w:sz="6" w:space="0" w:color="auto"/>
              <w:right w:val="outset" w:sz="6" w:space="0" w:color="auto"/>
            </w:tcBorders>
          </w:tcPr>
          <w:p w14:paraId="6093F968" w14:textId="13C0ED90" w:rsidR="00C33A48" w:rsidRPr="00C33A48" w:rsidRDefault="0052649F"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20</w:t>
            </w:r>
            <w:r w:rsidR="008C739B">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7D3FA20"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0A2F7452"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98E2755"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500" w:type="pct"/>
            <w:tcBorders>
              <w:top w:val="outset" w:sz="6" w:space="0" w:color="auto"/>
              <w:left w:val="outset" w:sz="6" w:space="0" w:color="auto"/>
              <w:bottom w:val="outset" w:sz="6" w:space="0" w:color="auto"/>
              <w:right w:val="outset" w:sz="6" w:space="0" w:color="auto"/>
            </w:tcBorders>
            <w:hideMark/>
          </w:tcPr>
          <w:p w14:paraId="3D87D4E6"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1EFF6069" w14:textId="2C242F9C" w:rsidR="00C33A48" w:rsidRPr="00C33A48" w:rsidRDefault="0052649F"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200</w:t>
            </w:r>
          </w:p>
        </w:tc>
      </w:tr>
      <w:tr w:rsidR="00C33A48" w:rsidRPr="00C33A48" w14:paraId="440E179E" w14:textId="77777777" w:rsidTr="00EA42E4">
        <w:tc>
          <w:tcPr>
            <w:tcW w:w="750" w:type="pct"/>
            <w:tcBorders>
              <w:top w:val="outset" w:sz="6" w:space="0" w:color="auto"/>
              <w:left w:val="outset" w:sz="6" w:space="0" w:color="auto"/>
              <w:bottom w:val="outset" w:sz="6" w:space="0" w:color="auto"/>
              <w:right w:val="outset" w:sz="6" w:space="0" w:color="auto"/>
            </w:tcBorders>
          </w:tcPr>
          <w:p w14:paraId="3023F81A" w14:textId="6C0E4DFE" w:rsidR="00C33A48" w:rsidRPr="00C33A48" w:rsidRDefault="008C739B" w:rsidP="00C33A48">
            <w:pPr>
              <w:widowControl/>
              <w:autoSpaceDE/>
              <w:autoSpaceDN/>
              <w:adjustRightInd/>
              <w:rPr>
                <w:rFonts w:asciiTheme="minorHAnsi" w:hAnsiTheme="minorHAnsi" w:cs="Arial"/>
                <w:color w:val="000000"/>
                <w:sz w:val="20"/>
                <w:szCs w:val="20"/>
              </w:rPr>
            </w:pPr>
            <w:r w:rsidRPr="008C739B">
              <w:rPr>
                <w:rFonts w:asciiTheme="minorHAnsi" w:hAnsiTheme="minorHAnsi" w:cs="Arial"/>
                <w:color w:val="000000"/>
                <w:sz w:val="20"/>
                <w:szCs w:val="20"/>
              </w:rPr>
              <w:t>Annual Time Burden (Hr)</w:t>
            </w:r>
          </w:p>
        </w:tc>
        <w:tc>
          <w:tcPr>
            <w:tcW w:w="750" w:type="pct"/>
            <w:tcBorders>
              <w:top w:val="outset" w:sz="6" w:space="0" w:color="auto"/>
              <w:left w:val="outset" w:sz="6" w:space="0" w:color="auto"/>
              <w:bottom w:val="outset" w:sz="6" w:space="0" w:color="auto"/>
              <w:right w:val="outset" w:sz="6" w:space="0" w:color="auto"/>
            </w:tcBorders>
          </w:tcPr>
          <w:p w14:paraId="6EF1DC60" w14:textId="37B3D14B" w:rsidR="00C33A48" w:rsidRPr="00C33A48" w:rsidRDefault="0052649F"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50</w:t>
            </w:r>
          </w:p>
        </w:tc>
        <w:tc>
          <w:tcPr>
            <w:tcW w:w="750" w:type="pct"/>
            <w:tcBorders>
              <w:top w:val="outset" w:sz="6" w:space="0" w:color="auto"/>
              <w:left w:val="outset" w:sz="6" w:space="0" w:color="auto"/>
              <w:bottom w:val="outset" w:sz="6" w:space="0" w:color="auto"/>
              <w:right w:val="outset" w:sz="6" w:space="0" w:color="auto"/>
            </w:tcBorders>
            <w:hideMark/>
          </w:tcPr>
          <w:p w14:paraId="4FA05466" w14:textId="001B3836" w:rsidR="00C33A48" w:rsidRPr="00C33A48" w:rsidRDefault="00B27BA4"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54D29AE7"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hideMark/>
          </w:tcPr>
          <w:p w14:paraId="2E8D858F"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500" w:type="pct"/>
            <w:tcBorders>
              <w:top w:val="outset" w:sz="6" w:space="0" w:color="auto"/>
              <w:left w:val="outset" w:sz="6" w:space="0" w:color="auto"/>
              <w:bottom w:val="outset" w:sz="6" w:space="0" w:color="auto"/>
              <w:right w:val="outset" w:sz="6" w:space="0" w:color="auto"/>
            </w:tcBorders>
            <w:hideMark/>
          </w:tcPr>
          <w:p w14:paraId="0649792C" w14:textId="77777777" w:rsidR="00C33A48" w:rsidRPr="00C33A48" w:rsidRDefault="00C33A48" w:rsidP="00C33A48">
            <w:pPr>
              <w:widowControl/>
              <w:autoSpaceDE/>
              <w:autoSpaceDN/>
              <w:adjustRightInd/>
              <w:rPr>
                <w:rFonts w:asciiTheme="minorHAnsi" w:hAnsiTheme="minorHAnsi" w:cs="Arial"/>
                <w:color w:val="000000"/>
                <w:sz w:val="20"/>
                <w:szCs w:val="20"/>
              </w:rPr>
            </w:pPr>
            <w:r w:rsidRPr="00C33A48">
              <w:rPr>
                <w:rFonts w:asciiTheme="minorHAnsi" w:hAnsiTheme="minorHAnsi" w:cs="Arial"/>
                <w:color w:val="000000"/>
                <w:sz w:val="20"/>
                <w:szCs w:val="20"/>
              </w:rPr>
              <w:t>0</w:t>
            </w:r>
          </w:p>
        </w:tc>
        <w:tc>
          <w:tcPr>
            <w:tcW w:w="750" w:type="pct"/>
            <w:tcBorders>
              <w:top w:val="outset" w:sz="6" w:space="0" w:color="auto"/>
              <w:left w:val="outset" w:sz="6" w:space="0" w:color="auto"/>
              <w:bottom w:val="outset" w:sz="6" w:space="0" w:color="auto"/>
              <w:right w:val="outset" w:sz="6" w:space="0" w:color="auto"/>
            </w:tcBorders>
          </w:tcPr>
          <w:p w14:paraId="4BBA45A1" w14:textId="172CF32F" w:rsidR="00C33A48" w:rsidRPr="00C33A48" w:rsidRDefault="0052649F" w:rsidP="00C33A48">
            <w:pPr>
              <w:widowControl/>
              <w:autoSpaceDE/>
              <w:autoSpaceDN/>
              <w:adjustRightInd/>
              <w:rPr>
                <w:rFonts w:asciiTheme="minorHAnsi" w:hAnsiTheme="minorHAnsi" w:cs="Arial"/>
                <w:color w:val="000000"/>
                <w:sz w:val="20"/>
                <w:szCs w:val="20"/>
              </w:rPr>
            </w:pPr>
            <w:r>
              <w:rPr>
                <w:rFonts w:asciiTheme="minorHAnsi" w:hAnsiTheme="minorHAnsi" w:cs="Arial"/>
                <w:color w:val="000000"/>
                <w:sz w:val="20"/>
                <w:szCs w:val="20"/>
              </w:rPr>
              <w:t>50</w:t>
            </w:r>
          </w:p>
        </w:tc>
      </w:tr>
    </w:tbl>
    <w:p w14:paraId="4B56F148" w14:textId="1BC38406" w:rsidR="00C076C8" w:rsidRPr="00C33A48" w:rsidRDefault="005C1464" w:rsidP="00085A09">
      <w:pPr>
        <w:tabs>
          <w:tab w:val="left" w:pos="720"/>
        </w:tabs>
        <w:ind w:left="720"/>
        <w:rPr>
          <w:rFonts w:asciiTheme="minorHAnsi" w:hAnsiTheme="minorHAnsi"/>
          <w:sz w:val="20"/>
          <w:szCs w:val="20"/>
        </w:rPr>
      </w:pPr>
      <w:r w:rsidRPr="00C33A48">
        <w:rPr>
          <w:rFonts w:asciiTheme="minorHAnsi" w:hAnsiTheme="minorHAnsi"/>
          <w:sz w:val="20"/>
          <w:szCs w:val="20"/>
        </w:rPr>
        <w:t xml:space="preserve">   </w:t>
      </w:r>
    </w:p>
    <w:p w14:paraId="620406BA" w14:textId="77777777" w:rsidR="00C33A48" w:rsidRPr="00C33A48" w:rsidRDefault="00C33A48" w:rsidP="00C076C8">
      <w:pPr>
        <w:tabs>
          <w:tab w:val="left" w:pos="720"/>
        </w:tabs>
        <w:ind w:left="720" w:hanging="720"/>
        <w:rPr>
          <w:rFonts w:asciiTheme="minorHAnsi" w:hAnsiTheme="minorHAnsi"/>
          <w:b/>
          <w:sz w:val="20"/>
          <w:szCs w:val="20"/>
        </w:rPr>
      </w:pPr>
    </w:p>
    <w:p w14:paraId="1DA3DBDC" w14:textId="77777777" w:rsidR="00067742" w:rsidRPr="00F530C8" w:rsidRDefault="00067742" w:rsidP="00C076C8">
      <w:pPr>
        <w:numPr>
          <w:ilvl w:val="0"/>
          <w:numId w:val="4"/>
        </w:numPr>
        <w:tabs>
          <w:tab w:val="left" w:pos="720"/>
        </w:tabs>
        <w:ind w:hanging="720"/>
        <w:rPr>
          <w:rFonts w:asciiTheme="minorHAnsi" w:hAnsiTheme="minorHAnsi"/>
          <w:b/>
          <w:sz w:val="22"/>
          <w:szCs w:val="22"/>
        </w:rPr>
      </w:pPr>
      <w:r w:rsidRPr="00F530C8">
        <w:rPr>
          <w:rFonts w:asciiTheme="minorHAnsi" w:hAnsiTheme="minorHAnsi"/>
          <w:b/>
          <w:bCs/>
          <w:sz w:val="22"/>
          <w:szCs w:val="22"/>
          <w:u w:val="single"/>
        </w:rPr>
        <w:t>PLANS FOR TABULATION, STATISTICAL ANALYSIS AND PUBLICATION</w:t>
      </w:r>
    </w:p>
    <w:p w14:paraId="32364809" w14:textId="77777777" w:rsidR="00067742" w:rsidRPr="00F530C8" w:rsidRDefault="00067742" w:rsidP="00C076C8">
      <w:pPr>
        <w:tabs>
          <w:tab w:val="left" w:pos="720"/>
        </w:tabs>
        <w:ind w:left="720" w:hanging="720"/>
        <w:rPr>
          <w:rFonts w:asciiTheme="minorHAnsi" w:hAnsiTheme="minorHAnsi"/>
          <w:b/>
          <w:sz w:val="22"/>
          <w:szCs w:val="22"/>
        </w:rPr>
      </w:pPr>
    </w:p>
    <w:p w14:paraId="67765530" w14:textId="56A52C16" w:rsidR="00421E3F" w:rsidRPr="00F530C8" w:rsidRDefault="00421E3F" w:rsidP="00421E3F">
      <w:pPr>
        <w:spacing w:line="228" w:lineRule="auto"/>
        <w:ind w:firstLine="720"/>
        <w:rPr>
          <w:rFonts w:asciiTheme="minorHAnsi" w:hAnsiTheme="minorHAnsi"/>
          <w:sz w:val="22"/>
          <w:szCs w:val="22"/>
        </w:rPr>
      </w:pPr>
      <w:r w:rsidRPr="00F530C8">
        <w:rPr>
          <w:rFonts w:asciiTheme="minorHAnsi" w:hAnsiTheme="minorHAnsi"/>
          <w:sz w:val="22"/>
          <w:szCs w:val="22"/>
        </w:rPr>
        <w:t>There are no plans for tabulation, statistical analysis</w:t>
      </w:r>
      <w:r w:rsidR="005C1464">
        <w:rPr>
          <w:rFonts w:asciiTheme="minorHAnsi" w:hAnsiTheme="minorHAnsi"/>
          <w:sz w:val="22"/>
          <w:szCs w:val="22"/>
        </w:rPr>
        <w:t>,</w:t>
      </w:r>
      <w:r w:rsidRPr="00F530C8">
        <w:rPr>
          <w:rFonts w:asciiTheme="minorHAnsi" w:hAnsiTheme="minorHAnsi"/>
          <w:sz w:val="22"/>
          <w:szCs w:val="22"/>
        </w:rPr>
        <w:t xml:space="preserve"> and publication.</w:t>
      </w:r>
    </w:p>
    <w:p w14:paraId="41AEFD10" w14:textId="77777777" w:rsidR="005C0C47" w:rsidRPr="00ED18D6" w:rsidRDefault="005C0C47" w:rsidP="00ED18D6">
      <w:pPr>
        <w:spacing w:line="228" w:lineRule="auto"/>
        <w:ind w:firstLine="720"/>
        <w:rPr>
          <w:rFonts w:asciiTheme="minorHAnsi" w:hAnsiTheme="minorHAnsi"/>
          <w:sz w:val="22"/>
          <w:szCs w:val="22"/>
        </w:rPr>
      </w:pPr>
    </w:p>
    <w:p w14:paraId="712F147E" w14:textId="77777777" w:rsidR="00067742" w:rsidRPr="00F530C8" w:rsidRDefault="00067742" w:rsidP="00C076C8">
      <w:pPr>
        <w:numPr>
          <w:ilvl w:val="0"/>
          <w:numId w:val="4"/>
        </w:numPr>
        <w:tabs>
          <w:tab w:val="left" w:pos="720"/>
        </w:tabs>
        <w:ind w:hanging="720"/>
        <w:rPr>
          <w:rFonts w:asciiTheme="minorHAnsi" w:hAnsiTheme="minorHAnsi"/>
          <w:b/>
          <w:bCs/>
          <w:sz w:val="22"/>
          <w:szCs w:val="22"/>
        </w:rPr>
      </w:pPr>
      <w:r w:rsidRPr="00F530C8">
        <w:rPr>
          <w:rFonts w:asciiTheme="minorHAnsi" w:hAnsiTheme="minorHAnsi"/>
          <w:b/>
          <w:bCs/>
          <w:sz w:val="22"/>
          <w:szCs w:val="22"/>
          <w:u w:val="single"/>
        </w:rPr>
        <w:t>REASONS WHY DISPLAYING THE OMB EXPIRATION DATE IS</w:t>
      </w:r>
      <w:r w:rsidR="00C076C8" w:rsidRPr="00F530C8">
        <w:rPr>
          <w:rFonts w:asciiTheme="minorHAnsi" w:hAnsiTheme="minorHAnsi"/>
          <w:b/>
          <w:bCs/>
          <w:sz w:val="22"/>
          <w:szCs w:val="22"/>
          <w:u w:val="single"/>
        </w:rPr>
        <w:t xml:space="preserve"> </w:t>
      </w:r>
      <w:r w:rsidRPr="00F530C8">
        <w:rPr>
          <w:rFonts w:asciiTheme="minorHAnsi" w:hAnsiTheme="minorHAnsi"/>
          <w:b/>
          <w:bCs/>
          <w:sz w:val="22"/>
          <w:szCs w:val="22"/>
          <w:u w:val="single"/>
        </w:rPr>
        <w:t>INAPPROPRIATE</w:t>
      </w:r>
    </w:p>
    <w:p w14:paraId="36322321" w14:textId="77777777" w:rsidR="00067742" w:rsidRPr="00F530C8" w:rsidRDefault="00067742" w:rsidP="00C076C8">
      <w:pPr>
        <w:tabs>
          <w:tab w:val="left" w:pos="720"/>
        </w:tabs>
        <w:ind w:left="720" w:hanging="720"/>
        <w:rPr>
          <w:rFonts w:asciiTheme="minorHAnsi" w:hAnsiTheme="minorHAnsi"/>
          <w:sz w:val="22"/>
          <w:szCs w:val="22"/>
        </w:rPr>
      </w:pPr>
    </w:p>
    <w:p w14:paraId="3C7A7E7B" w14:textId="711DBD32" w:rsidR="00421E3F" w:rsidRPr="00F530C8" w:rsidRDefault="00421E3F" w:rsidP="00085A09">
      <w:pPr>
        <w:tabs>
          <w:tab w:val="num" w:pos="720"/>
        </w:tabs>
        <w:ind w:left="720"/>
        <w:rPr>
          <w:rFonts w:asciiTheme="minorHAnsi" w:hAnsiTheme="minorHAnsi"/>
          <w:sz w:val="22"/>
          <w:szCs w:val="22"/>
        </w:rPr>
      </w:pPr>
      <w:r w:rsidRPr="00F530C8">
        <w:rPr>
          <w:rFonts w:asciiTheme="minorHAnsi" w:hAnsiTheme="minorHAnsi"/>
          <w:sz w:val="22"/>
          <w:szCs w:val="22"/>
        </w:rPr>
        <w:t>We believe that displaying the OMB expiration date is inappropriate because it would cause confusion by leading taxpayers to believe that the form sunsets as of the expiration date.  Taxpayers may not be aware that the IRS intends to request renewal of the OMB approval and obtain a new expiration date before the old one expires.</w:t>
      </w:r>
    </w:p>
    <w:p w14:paraId="42531830" w14:textId="77777777" w:rsidR="00067742" w:rsidRPr="00F530C8" w:rsidRDefault="00067742" w:rsidP="00C076C8">
      <w:pPr>
        <w:tabs>
          <w:tab w:val="left" w:pos="720"/>
        </w:tabs>
        <w:ind w:left="720" w:hanging="720"/>
        <w:rPr>
          <w:rFonts w:asciiTheme="minorHAnsi" w:hAnsiTheme="minorHAnsi"/>
          <w:sz w:val="22"/>
          <w:szCs w:val="22"/>
        </w:rPr>
      </w:pPr>
    </w:p>
    <w:p w14:paraId="08D3CBAC" w14:textId="0F0A7338" w:rsidR="00067742" w:rsidRPr="00ED18D6" w:rsidRDefault="00067742" w:rsidP="00C076C8">
      <w:pPr>
        <w:numPr>
          <w:ilvl w:val="0"/>
          <w:numId w:val="4"/>
        </w:numPr>
        <w:tabs>
          <w:tab w:val="left" w:pos="720"/>
        </w:tabs>
        <w:ind w:hanging="720"/>
        <w:rPr>
          <w:rFonts w:asciiTheme="minorHAnsi" w:hAnsiTheme="minorHAnsi"/>
          <w:sz w:val="22"/>
          <w:szCs w:val="22"/>
        </w:rPr>
      </w:pPr>
      <w:r w:rsidRPr="00F530C8">
        <w:rPr>
          <w:rFonts w:asciiTheme="minorHAnsi" w:hAnsiTheme="minorHAnsi"/>
          <w:b/>
          <w:bCs/>
          <w:sz w:val="22"/>
          <w:szCs w:val="22"/>
          <w:u w:val="single"/>
        </w:rPr>
        <w:t xml:space="preserve">EXCEPTIONS TO THE CERTIFICATION STATEMENT </w:t>
      </w:r>
    </w:p>
    <w:p w14:paraId="40393DFB" w14:textId="77777777" w:rsidR="005C0C47" w:rsidRPr="00F530C8" w:rsidRDefault="005C0C47" w:rsidP="00ED18D6">
      <w:pPr>
        <w:tabs>
          <w:tab w:val="left" w:pos="720"/>
        </w:tabs>
        <w:ind w:left="720"/>
        <w:rPr>
          <w:rFonts w:asciiTheme="minorHAnsi" w:hAnsiTheme="minorHAnsi"/>
          <w:sz w:val="22"/>
          <w:szCs w:val="22"/>
        </w:rPr>
      </w:pPr>
    </w:p>
    <w:p w14:paraId="6F0B9E5F" w14:textId="44A18D34" w:rsidR="00067742" w:rsidRPr="00F530C8" w:rsidRDefault="00421E3F" w:rsidP="00085A09">
      <w:pPr>
        <w:tabs>
          <w:tab w:val="left" w:pos="720"/>
        </w:tabs>
        <w:ind w:left="720"/>
        <w:rPr>
          <w:rFonts w:asciiTheme="minorHAnsi" w:hAnsiTheme="minorHAnsi"/>
          <w:sz w:val="22"/>
          <w:szCs w:val="22"/>
        </w:rPr>
      </w:pPr>
      <w:r w:rsidRPr="00F530C8">
        <w:rPr>
          <w:rFonts w:asciiTheme="minorHAnsi" w:hAnsiTheme="minorHAnsi"/>
          <w:sz w:val="22"/>
          <w:szCs w:val="22"/>
        </w:rPr>
        <w:t>There are no exceptions to the certification statement for this collection</w:t>
      </w:r>
      <w:r w:rsidR="005C0C47" w:rsidRPr="00F530C8">
        <w:rPr>
          <w:rFonts w:asciiTheme="minorHAnsi" w:hAnsiTheme="minorHAnsi"/>
          <w:sz w:val="22"/>
          <w:szCs w:val="22"/>
        </w:rPr>
        <w:t>.</w:t>
      </w:r>
    </w:p>
    <w:p w14:paraId="2BC79AB3" w14:textId="77777777" w:rsidR="00067742" w:rsidRPr="00F530C8" w:rsidRDefault="00067742" w:rsidP="00C076C8">
      <w:pPr>
        <w:tabs>
          <w:tab w:val="left" w:pos="720"/>
        </w:tabs>
        <w:ind w:left="720" w:hanging="720"/>
        <w:rPr>
          <w:rFonts w:asciiTheme="minorHAnsi" w:hAnsiTheme="minorHAnsi"/>
          <w:sz w:val="22"/>
          <w:szCs w:val="22"/>
        </w:rPr>
      </w:pPr>
    </w:p>
    <w:p w14:paraId="238685FE" w14:textId="77777777" w:rsidR="00067742" w:rsidRPr="00F530C8" w:rsidRDefault="00067742" w:rsidP="00C076C8">
      <w:pPr>
        <w:tabs>
          <w:tab w:val="left" w:pos="720"/>
        </w:tabs>
        <w:ind w:left="720" w:hanging="720"/>
        <w:rPr>
          <w:rFonts w:asciiTheme="minorHAnsi" w:hAnsiTheme="minorHAnsi"/>
          <w:b/>
          <w:bCs/>
          <w:sz w:val="22"/>
          <w:szCs w:val="22"/>
          <w:u w:val="single"/>
        </w:rPr>
      </w:pPr>
    </w:p>
    <w:p w14:paraId="7ACF2741" w14:textId="77777777" w:rsidR="00067742" w:rsidRPr="00F530C8" w:rsidRDefault="00067742" w:rsidP="00C076C8">
      <w:pPr>
        <w:tabs>
          <w:tab w:val="left" w:pos="720"/>
        </w:tabs>
        <w:ind w:left="720" w:hanging="720"/>
        <w:rPr>
          <w:rFonts w:asciiTheme="minorHAnsi" w:hAnsiTheme="minorHAnsi"/>
          <w:sz w:val="22"/>
          <w:szCs w:val="22"/>
        </w:rPr>
      </w:pPr>
      <w:r w:rsidRPr="00F530C8">
        <w:rPr>
          <w:rFonts w:asciiTheme="minorHAnsi" w:hAnsiTheme="minorHAnsi"/>
          <w:b/>
          <w:bCs/>
          <w:sz w:val="22"/>
          <w:szCs w:val="22"/>
          <w:u w:val="single"/>
        </w:rPr>
        <w:t>Note:</w:t>
      </w:r>
      <w:r w:rsidR="00C076C8" w:rsidRPr="00F530C8">
        <w:rPr>
          <w:rFonts w:asciiTheme="minorHAnsi" w:hAnsiTheme="minorHAnsi"/>
          <w:sz w:val="22"/>
          <w:szCs w:val="22"/>
        </w:rPr>
        <w:tab/>
      </w:r>
      <w:r w:rsidRPr="00F530C8">
        <w:rPr>
          <w:rFonts w:asciiTheme="minorHAnsi" w:hAnsiTheme="minorHAnsi"/>
          <w:sz w:val="22"/>
          <w:szCs w:val="22"/>
        </w:rPr>
        <w:t>The following paragraph applies to all of the collections of information in this submission:</w:t>
      </w:r>
    </w:p>
    <w:p w14:paraId="7821DB7A" w14:textId="77777777" w:rsidR="00067742" w:rsidRPr="00F530C8" w:rsidRDefault="00067742" w:rsidP="00C076C8">
      <w:pPr>
        <w:tabs>
          <w:tab w:val="left" w:pos="720"/>
        </w:tabs>
        <w:ind w:left="720" w:hanging="720"/>
        <w:rPr>
          <w:rFonts w:asciiTheme="minorHAnsi" w:hAnsiTheme="minorHAnsi"/>
          <w:sz w:val="22"/>
          <w:szCs w:val="22"/>
        </w:rPr>
      </w:pPr>
    </w:p>
    <w:p w14:paraId="45EDC2B1" w14:textId="04B2EEBE" w:rsidR="00067742" w:rsidRPr="00F530C8" w:rsidRDefault="00067742" w:rsidP="00085A09">
      <w:pPr>
        <w:tabs>
          <w:tab w:val="left" w:pos="720"/>
        </w:tabs>
        <w:ind w:left="720"/>
        <w:rPr>
          <w:rFonts w:asciiTheme="minorHAnsi" w:hAnsiTheme="minorHAnsi"/>
          <w:sz w:val="22"/>
          <w:szCs w:val="22"/>
        </w:rPr>
      </w:pPr>
      <w:r w:rsidRPr="00F530C8">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067742" w:rsidRPr="00F530C8" w:rsidSect="002174C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368" w:right="1368" w:bottom="1368" w:left="136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EB90A" w14:textId="77777777" w:rsidR="00D350F6" w:rsidRDefault="00D350F6" w:rsidP="002174CE">
      <w:r>
        <w:separator/>
      </w:r>
    </w:p>
  </w:endnote>
  <w:endnote w:type="continuationSeparator" w:id="0">
    <w:p w14:paraId="5C770F60" w14:textId="77777777" w:rsidR="00D350F6" w:rsidRDefault="00D350F6" w:rsidP="002174CE">
      <w:r>
        <w:continuationSeparator/>
      </w:r>
    </w:p>
  </w:endnote>
  <w:endnote w:type="continuationNotice" w:id="1">
    <w:p w14:paraId="308E3C21" w14:textId="77777777" w:rsidR="00D350F6" w:rsidRDefault="00D35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74BA4" w14:textId="77777777" w:rsidR="00ED18D6" w:rsidRDefault="00ED18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6955B" w14:textId="6562C3D2" w:rsidR="002174CE" w:rsidRDefault="002174CE" w:rsidP="002174CE">
    <w:pPr>
      <w:pStyle w:val="Footer"/>
      <w:jc w:val="right"/>
    </w:pPr>
    <w:r>
      <w:fldChar w:fldCharType="begin"/>
    </w:r>
    <w:r>
      <w:instrText xml:space="preserve"> PAGE   \* MERGEFORMAT </w:instrText>
    </w:r>
    <w:r>
      <w:fldChar w:fldCharType="separate"/>
    </w:r>
    <w:r w:rsidR="00F35F9C">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E2F72" w14:textId="77777777" w:rsidR="00ED18D6" w:rsidRDefault="00ED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972385" w14:textId="77777777" w:rsidR="00D350F6" w:rsidRDefault="00D350F6" w:rsidP="002174CE">
      <w:r>
        <w:separator/>
      </w:r>
    </w:p>
  </w:footnote>
  <w:footnote w:type="continuationSeparator" w:id="0">
    <w:p w14:paraId="039D652F" w14:textId="77777777" w:rsidR="00D350F6" w:rsidRDefault="00D350F6" w:rsidP="002174CE">
      <w:r>
        <w:continuationSeparator/>
      </w:r>
    </w:p>
  </w:footnote>
  <w:footnote w:type="continuationNotice" w:id="1">
    <w:p w14:paraId="44316B32" w14:textId="77777777" w:rsidR="00D350F6" w:rsidRDefault="00D350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8B52C" w14:textId="77777777" w:rsidR="00ED18D6" w:rsidRDefault="00ED18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AB7CF4" w14:textId="77777777" w:rsidR="00F530C8" w:rsidRDefault="00F53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02AEC" w14:textId="77777777" w:rsidR="00ED18D6" w:rsidRDefault="00ED18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C7F8C"/>
    <w:multiLevelType w:val="hybridMultilevel"/>
    <w:tmpl w:val="98D4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2F33"/>
    <w:multiLevelType w:val="hybridMultilevel"/>
    <w:tmpl w:val="5FA6DE86"/>
    <w:lvl w:ilvl="0" w:tplc="2904E95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6F01CD"/>
    <w:multiLevelType w:val="hybridMultilevel"/>
    <w:tmpl w:val="ABD2430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5B19ED"/>
    <w:multiLevelType w:val="hybridMultilevel"/>
    <w:tmpl w:val="E54C5C20"/>
    <w:lvl w:ilvl="0" w:tplc="B10CA100">
      <w:start w:val="1"/>
      <w:numFmt w:val="decimal"/>
      <w:lvlText w:val="%1."/>
      <w:lvlJc w:val="left"/>
      <w:pPr>
        <w:ind w:left="378" w:hanging="360"/>
      </w:pPr>
      <w:rPr>
        <w:rFonts w:hint="default"/>
      </w:rPr>
    </w:lvl>
    <w:lvl w:ilvl="1" w:tplc="04090019" w:tentative="1">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742"/>
    <w:rsid w:val="00010B11"/>
    <w:rsid w:val="00047528"/>
    <w:rsid w:val="00067742"/>
    <w:rsid w:val="00085A09"/>
    <w:rsid w:val="00125D6B"/>
    <w:rsid w:val="001334D5"/>
    <w:rsid w:val="00153BDF"/>
    <w:rsid w:val="00164935"/>
    <w:rsid w:val="0017274F"/>
    <w:rsid w:val="002157B5"/>
    <w:rsid w:val="002174CE"/>
    <w:rsid w:val="002952FE"/>
    <w:rsid w:val="002C7558"/>
    <w:rsid w:val="002E556F"/>
    <w:rsid w:val="00324A3B"/>
    <w:rsid w:val="003515C9"/>
    <w:rsid w:val="00363956"/>
    <w:rsid w:val="003D33B0"/>
    <w:rsid w:val="003E560A"/>
    <w:rsid w:val="00415252"/>
    <w:rsid w:val="00421E3F"/>
    <w:rsid w:val="00456902"/>
    <w:rsid w:val="004E1299"/>
    <w:rsid w:val="0052649F"/>
    <w:rsid w:val="005441DC"/>
    <w:rsid w:val="005A26D5"/>
    <w:rsid w:val="005C0C47"/>
    <w:rsid w:val="005C1464"/>
    <w:rsid w:val="005F1D18"/>
    <w:rsid w:val="00637E67"/>
    <w:rsid w:val="00643CFB"/>
    <w:rsid w:val="00694D3D"/>
    <w:rsid w:val="00724CA7"/>
    <w:rsid w:val="00756DE6"/>
    <w:rsid w:val="0078668E"/>
    <w:rsid w:val="00786FAB"/>
    <w:rsid w:val="0079072C"/>
    <w:rsid w:val="00791E96"/>
    <w:rsid w:val="00865757"/>
    <w:rsid w:val="008C739B"/>
    <w:rsid w:val="008E079F"/>
    <w:rsid w:val="008F75D5"/>
    <w:rsid w:val="00931C0C"/>
    <w:rsid w:val="009A53A7"/>
    <w:rsid w:val="00A432BF"/>
    <w:rsid w:val="00A632C6"/>
    <w:rsid w:val="00A75FAF"/>
    <w:rsid w:val="00A80FAD"/>
    <w:rsid w:val="00AB7031"/>
    <w:rsid w:val="00AC046A"/>
    <w:rsid w:val="00AC3089"/>
    <w:rsid w:val="00AE1D32"/>
    <w:rsid w:val="00AE2DF3"/>
    <w:rsid w:val="00AF76C3"/>
    <w:rsid w:val="00B134FB"/>
    <w:rsid w:val="00B27BA4"/>
    <w:rsid w:val="00B63CC1"/>
    <w:rsid w:val="00B6720C"/>
    <w:rsid w:val="00B953EE"/>
    <w:rsid w:val="00BE07D3"/>
    <w:rsid w:val="00BE2BAB"/>
    <w:rsid w:val="00BE5838"/>
    <w:rsid w:val="00BE6C13"/>
    <w:rsid w:val="00C04F5A"/>
    <w:rsid w:val="00C076C8"/>
    <w:rsid w:val="00C24CE6"/>
    <w:rsid w:val="00C33A48"/>
    <w:rsid w:val="00C468C2"/>
    <w:rsid w:val="00C515A5"/>
    <w:rsid w:val="00C5228F"/>
    <w:rsid w:val="00C611EA"/>
    <w:rsid w:val="00C82FFC"/>
    <w:rsid w:val="00C91DF3"/>
    <w:rsid w:val="00C94228"/>
    <w:rsid w:val="00CA7758"/>
    <w:rsid w:val="00CE3C78"/>
    <w:rsid w:val="00D23A01"/>
    <w:rsid w:val="00D258A7"/>
    <w:rsid w:val="00D350F6"/>
    <w:rsid w:val="00D44199"/>
    <w:rsid w:val="00D44FBE"/>
    <w:rsid w:val="00D65CCD"/>
    <w:rsid w:val="00D80AE0"/>
    <w:rsid w:val="00D96486"/>
    <w:rsid w:val="00D97FA8"/>
    <w:rsid w:val="00DA7A38"/>
    <w:rsid w:val="00DF7B6E"/>
    <w:rsid w:val="00E049FD"/>
    <w:rsid w:val="00E11583"/>
    <w:rsid w:val="00E2129E"/>
    <w:rsid w:val="00E45B1C"/>
    <w:rsid w:val="00E52BF5"/>
    <w:rsid w:val="00E61A6D"/>
    <w:rsid w:val="00EA42E4"/>
    <w:rsid w:val="00EC175F"/>
    <w:rsid w:val="00ED18D6"/>
    <w:rsid w:val="00ED2B32"/>
    <w:rsid w:val="00EF0BCE"/>
    <w:rsid w:val="00F13A87"/>
    <w:rsid w:val="00F35F9C"/>
    <w:rsid w:val="00F530C8"/>
    <w:rsid w:val="00F841ED"/>
    <w:rsid w:val="00FD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BA4"/>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407356">
      <w:bodyDiv w:val="1"/>
      <w:marLeft w:val="0"/>
      <w:marRight w:val="0"/>
      <w:marTop w:val="0"/>
      <w:marBottom w:val="0"/>
      <w:divBdr>
        <w:top w:val="none" w:sz="0" w:space="0" w:color="auto"/>
        <w:left w:val="none" w:sz="0" w:space="0" w:color="auto"/>
        <w:bottom w:val="none" w:sz="0" w:space="0" w:color="auto"/>
        <w:right w:val="none" w:sz="0" w:space="0" w:color="auto"/>
      </w:divBdr>
    </w:div>
    <w:div w:id="1054229980">
      <w:bodyDiv w:val="1"/>
      <w:marLeft w:val="0"/>
      <w:marRight w:val="0"/>
      <w:marTop w:val="0"/>
      <w:marBottom w:val="0"/>
      <w:divBdr>
        <w:top w:val="none" w:sz="0" w:space="0" w:color="auto"/>
        <w:left w:val="none" w:sz="0" w:space="0" w:color="auto"/>
        <w:bottom w:val="none" w:sz="0" w:space="0" w:color="auto"/>
        <w:right w:val="none" w:sz="0" w:space="0" w:color="auto"/>
      </w:divBdr>
    </w:div>
    <w:div w:id="1355578117">
      <w:bodyDiv w:val="1"/>
      <w:marLeft w:val="0"/>
      <w:marRight w:val="0"/>
      <w:marTop w:val="0"/>
      <w:marBottom w:val="0"/>
      <w:divBdr>
        <w:top w:val="none" w:sz="0" w:space="0" w:color="auto"/>
        <w:left w:val="none" w:sz="0" w:space="0" w:color="auto"/>
        <w:bottom w:val="none" w:sz="0" w:space="0" w:color="auto"/>
        <w:right w:val="none" w:sz="0" w:space="0" w:color="auto"/>
      </w:divBdr>
    </w:div>
    <w:div w:id="207559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privacy/PIAs/Pages/default.aspx"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2018-10-23T15:43:00Z</dcterms:created>
  <dcterms:modified xsi:type="dcterms:W3CDTF">2018-10-23T15:43:00Z</dcterms:modified>
</cp:coreProperties>
</file>