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1E4A8AD2" w14:textId="5FBFD42C" w:rsidR="00AF76C3" w:rsidRPr="00F530C8" w:rsidRDefault="00D86C4B" w:rsidP="005A26D5">
      <w:pPr>
        <w:jc w:val="center"/>
        <w:rPr>
          <w:rFonts w:asciiTheme="minorHAnsi" w:hAnsiTheme="minorHAnsi"/>
          <w:b/>
          <w:sz w:val="22"/>
          <w:szCs w:val="22"/>
        </w:rPr>
      </w:pPr>
      <w:r w:rsidRPr="00D86C4B">
        <w:rPr>
          <w:rFonts w:asciiTheme="minorHAnsi" w:hAnsiTheme="minorHAnsi"/>
          <w:b/>
          <w:sz w:val="22"/>
          <w:szCs w:val="22"/>
        </w:rPr>
        <w:t>Notice 2002-69, Interest Rates and Appropriate Foreign Loss Payment Patterns For Determining the Qualified Insurance Income of Certain Controlled Corporations under Section 954(f)</w:t>
      </w:r>
    </w:p>
    <w:p w14:paraId="49A6720D" w14:textId="4AA3CA8A" w:rsidR="00F530C8" w:rsidRDefault="00D86C4B" w:rsidP="005A26D5">
      <w:pPr>
        <w:jc w:val="center"/>
        <w:rPr>
          <w:rFonts w:asciiTheme="minorHAnsi" w:hAnsiTheme="minorHAnsi"/>
          <w:b/>
          <w:sz w:val="22"/>
          <w:szCs w:val="22"/>
        </w:rPr>
      </w:pPr>
      <w:r w:rsidRPr="00D86C4B">
        <w:rPr>
          <w:rFonts w:asciiTheme="minorHAnsi" w:hAnsiTheme="minorHAnsi"/>
          <w:b/>
          <w:sz w:val="22"/>
          <w:szCs w:val="22"/>
        </w:rPr>
        <w:t>Notice 2002-69</w:t>
      </w:r>
    </w:p>
    <w:p w14:paraId="3E17B6EC" w14:textId="3A3E970D"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sidR="00D86C4B">
        <w:rPr>
          <w:rFonts w:asciiTheme="minorHAnsi" w:hAnsiTheme="minorHAnsi"/>
          <w:b/>
          <w:sz w:val="22"/>
          <w:szCs w:val="22"/>
        </w:rPr>
        <w:t>1799</w:t>
      </w: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5DFB89FE" w14:textId="10311463" w:rsidR="00D97FA8" w:rsidRPr="00D97FA8" w:rsidRDefault="00C076C8" w:rsidP="00D97FA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D86C4B" w:rsidRPr="00D86C4B">
        <w:rPr>
          <w:rFonts w:asciiTheme="minorHAnsi" w:hAnsiTheme="minorHAnsi"/>
          <w:sz w:val="22"/>
          <w:szCs w:val="22"/>
        </w:rPr>
        <w:t>This notice allows U.S. shareholders of a foreign insurance company to use the foreign insurance company’s historical loss payment patterns in computing the company’s insurance reserves provided the company has a certain number of years of data and makes an election to use that data.  A domestic insurance company can elect to use its own historical data in computing its reserves provided certain requirements are satisfied and an election is made.    This notice allows a foreign insurance company to elect to calculate its insurance reserves in a manner similar to a domestic insurance company. Also, this notice provides guidance on how to determine a foreign insurance company’s foreign loss payment patterns.</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345DBF71"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D86C4B" w:rsidRPr="00D86C4B">
        <w:rPr>
          <w:rFonts w:asciiTheme="minorHAnsi" w:hAnsiTheme="minorHAnsi"/>
          <w:sz w:val="22"/>
          <w:szCs w:val="22"/>
        </w:rPr>
        <w:t xml:space="preserve">The data will be used by IRS examiners to determine whether U.S. shareholders of foreign insurance company’s are calculating the insurance reserves of the foreign insurance company correctly for purposes of section 954(i).      </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12A38210"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xml:space="preserve">. </w:t>
      </w:r>
      <w:r w:rsidR="00D86C4B" w:rsidRPr="00D86C4B">
        <w:rPr>
          <w:rFonts w:asciiTheme="minorHAnsi" w:hAnsiTheme="minorHAnsi"/>
          <w:sz w:val="22"/>
          <w:szCs w:val="22"/>
        </w:rPr>
        <w:t>There are no plans to provide electronic filing because electronic filing is not appropriate for the collection of information in this submission.</w:t>
      </w:r>
      <w:r w:rsidR="00D86C4B">
        <w:rPr>
          <w:rFonts w:asciiTheme="minorHAnsi" w:hAnsiTheme="minorHAnsi"/>
          <w:sz w:val="22"/>
          <w:szCs w:val="22"/>
        </w:rPr>
        <w:t xml:space="preserve">            </w:t>
      </w:r>
      <w:r w:rsidR="00BE5838">
        <w:rPr>
          <w:rFonts w:asciiTheme="minorHAnsi" w:hAnsiTheme="minorHAnsi"/>
          <w:sz w:val="22"/>
          <w:szCs w:val="22"/>
        </w:rPr>
        <w:t xml:space="preserve">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C86564E" w:rsidR="00421E3F" w:rsidRPr="00F530C8"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36DA022A" w:rsidR="00421E3F"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verifying the foreign tax credits are being computed properly and in accordance with Internal Revenue Code § </w:t>
      </w:r>
      <w:r w:rsidR="008E079F" w:rsidRPr="008E079F">
        <w:rPr>
          <w:rFonts w:asciiTheme="minorHAnsi" w:hAnsiTheme="minorHAnsi"/>
          <w:sz w:val="22"/>
          <w:szCs w:val="22"/>
        </w:rPr>
        <w:t xml:space="preserve">26 USC </w:t>
      </w:r>
      <w:r w:rsidR="00D86C4B" w:rsidRPr="00D86C4B">
        <w:rPr>
          <w:rFonts w:asciiTheme="minorHAnsi" w:hAnsiTheme="minorHAnsi"/>
          <w:sz w:val="22"/>
          <w:szCs w:val="22"/>
        </w:rPr>
        <w:t>954(i)</w:t>
      </w:r>
      <w:r w:rsidR="007131A6">
        <w:rPr>
          <w:rFonts w:asciiTheme="minorHAnsi" w:hAnsiTheme="minorHAnsi"/>
          <w:sz w:val="22"/>
          <w:szCs w:val="22"/>
        </w:rPr>
        <w:t>,</w:t>
      </w:r>
      <w:r w:rsidR="007131A6" w:rsidRPr="007131A6">
        <w:rPr>
          <w:rFonts w:asciiTheme="minorHAnsi" w:hAnsiTheme="minorHAnsi"/>
          <w:sz w:val="22"/>
          <w:szCs w:val="22"/>
        </w:rPr>
        <w:t xml:space="preserve"> </w:t>
      </w:r>
      <w:r w:rsidR="00D96486">
        <w:rPr>
          <w:rFonts w:asciiTheme="minorHAnsi" w:hAnsiTheme="minorHAnsi"/>
          <w:sz w:val="22"/>
          <w:szCs w:val="22"/>
        </w:rPr>
        <w:t>and will hinder the IRS from meeting its mission</w:t>
      </w:r>
      <w:r>
        <w:rPr>
          <w:rFonts w:asciiTheme="minorHAnsi" w:hAnsiTheme="minorHAnsi"/>
          <w:sz w:val="22"/>
          <w:szCs w:val="22"/>
        </w:rPr>
        <w:t>.</w:t>
      </w:r>
    </w:p>
    <w:p w14:paraId="6491D8E0" w14:textId="77777777" w:rsidR="0038235C" w:rsidRPr="00F530C8" w:rsidRDefault="0038235C" w:rsidP="00BE07D3">
      <w:pPr>
        <w:tabs>
          <w:tab w:val="left" w:pos="720"/>
        </w:tabs>
        <w:ind w:left="720" w:right="-72"/>
        <w:rPr>
          <w:rFonts w:asciiTheme="minorHAnsi" w:hAnsiTheme="minorHAnsi"/>
          <w:sz w:val="22"/>
          <w:szCs w:val="22"/>
        </w:rPr>
      </w:pP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lastRenderedPageBreak/>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753FE859" w14:textId="34609BD5" w:rsidR="007131A6"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2BA35A3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EA2A93">
        <w:rPr>
          <w:rFonts w:asciiTheme="minorHAnsi" w:hAnsiTheme="minorHAnsi"/>
          <w:sz w:val="22"/>
          <w:szCs w:val="22"/>
        </w:rPr>
        <w:t>October 1</w:t>
      </w:r>
      <w:r w:rsidR="00AC046A">
        <w:rPr>
          <w:rFonts w:asciiTheme="minorHAnsi" w:hAnsiTheme="minorHAnsi"/>
          <w:sz w:val="22"/>
          <w:szCs w:val="22"/>
        </w:rPr>
        <w:t>,</w:t>
      </w:r>
      <w:r w:rsidR="00010B11">
        <w:rPr>
          <w:rFonts w:asciiTheme="minorHAnsi" w:hAnsiTheme="minorHAnsi"/>
          <w:sz w:val="22"/>
          <w:szCs w:val="22"/>
        </w:rPr>
        <w:t xml:space="preserve"> 2018 (83 FR </w:t>
      </w:r>
      <w:r w:rsidR="00EA2A93">
        <w:rPr>
          <w:rFonts w:asciiTheme="minorHAnsi" w:hAnsiTheme="minorHAnsi"/>
          <w:sz w:val="22"/>
          <w:szCs w:val="22"/>
        </w:rPr>
        <w:t>49453</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1FA87D72" w14:textId="77777777" w:rsidR="0038235C" w:rsidRDefault="0038235C" w:rsidP="00C076C8">
      <w:pPr>
        <w:tabs>
          <w:tab w:val="left" w:pos="720"/>
        </w:tabs>
        <w:ind w:left="720" w:hanging="720"/>
        <w:rPr>
          <w:rFonts w:asciiTheme="minorHAnsi" w:hAnsiTheme="minorHAnsi"/>
          <w:sz w:val="22"/>
          <w:szCs w:val="22"/>
        </w:rPr>
      </w:pPr>
      <w:r>
        <w:rPr>
          <w:rFonts w:asciiTheme="minorHAnsi" w:hAnsiTheme="minorHAnsi"/>
          <w:sz w:val="22"/>
          <w:szCs w:val="22"/>
        </w:rPr>
        <w:t xml:space="preserve">               </w:t>
      </w:r>
      <w:r w:rsidRPr="0038235C">
        <w:rPr>
          <w:rFonts w:asciiTheme="minorHAnsi" w:hAnsiTheme="minorHAnsi"/>
          <w:sz w:val="22"/>
          <w:szCs w:val="22"/>
        </w:rPr>
        <w:t>No personally identifiable information (PII) is collected.</w:t>
      </w:r>
    </w:p>
    <w:p w14:paraId="78541609" w14:textId="4635F944" w:rsidR="002174CE" w:rsidRPr="00F530C8" w:rsidRDefault="0038235C" w:rsidP="00C076C8">
      <w:pPr>
        <w:tabs>
          <w:tab w:val="left" w:pos="720"/>
        </w:tabs>
        <w:ind w:left="720" w:hanging="720"/>
        <w:rPr>
          <w:rFonts w:asciiTheme="minorHAnsi" w:hAnsiTheme="minorHAnsi"/>
          <w:sz w:val="22"/>
          <w:szCs w:val="22"/>
        </w:rPr>
      </w:pPr>
      <w:r>
        <w:rPr>
          <w:rFonts w:asciiTheme="minorHAnsi" w:hAnsiTheme="minorHAnsi"/>
          <w:sz w:val="22"/>
          <w:szCs w:val="22"/>
        </w:rPr>
        <w:t xml:space="preserve"> </w:t>
      </w:r>
    </w:p>
    <w:p w14:paraId="4CDE5BBF" w14:textId="75EDB40D"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3B215EF1" w14:textId="3C08D7DE" w:rsidR="0038235C" w:rsidRDefault="0038235C" w:rsidP="0038235C">
      <w:pPr>
        <w:tabs>
          <w:tab w:val="left" w:pos="720"/>
        </w:tabs>
        <w:rPr>
          <w:rFonts w:asciiTheme="minorHAnsi" w:hAnsiTheme="minorHAnsi"/>
          <w:b/>
          <w:bCs/>
          <w:sz w:val="22"/>
          <w:szCs w:val="22"/>
          <w:u w:val="single"/>
        </w:rPr>
      </w:pPr>
    </w:p>
    <w:p w14:paraId="6FC645AF" w14:textId="77409559" w:rsidR="0038235C" w:rsidRPr="0038235C" w:rsidRDefault="0038235C" w:rsidP="0038235C">
      <w:pPr>
        <w:tabs>
          <w:tab w:val="left" w:pos="720"/>
        </w:tabs>
        <w:ind w:left="720"/>
        <w:rPr>
          <w:rFonts w:asciiTheme="minorHAnsi" w:hAnsiTheme="minorHAnsi"/>
          <w:bCs/>
          <w:sz w:val="22"/>
          <w:szCs w:val="22"/>
        </w:rPr>
      </w:pPr>
      <w:r w:rsidRPr="0038235C">
        <w:rPr>
          <w:rFonts w:asciiTheme="minorHAnsi" w:hAnsiTheme="minorHAnsi"/>
          <w:bCs/>
          <w:sz w:val="22"/>
          <w:szCs w:val="22"/>
        </w:rPr>
        <w:t xml:space="preserve">Under section V (entitled Applicable Loss Payment Pattern) of Notice 2002-69, U.S. shareholders of a foreign insurance company may elect, provided certain conditions are satisfied, to calculate foreign insurance reserves of the companies using the company’s historical payment pattern data.  U.S. shareholders making this election will be large U.S. insurance companies conducting business in foreign countries through controlled foreign corporations.  We estimate that no more than 300 large insurance companies will need to make an annual submission with respect to their controlled foreign corporations.  The estimated annual burden will be about one hour per respondent for a total 300 hours for all companies each year.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740BCE26" w:rsidR="00643CFB" w:rsidRPr="00643CFB" w:rsidRDefault="0038235C" w:rsidP="00643CFB">
            <w:pPr>
              <w:widowControl/>
              <w:autoSpaceDE/>
              <w:autoSpaceDN/>
              <w:adjustRightInd/>
              <w:jc w:val="center"/>
              <w:rPr>
                <w:rFonts w:ascii="Arial Narrow" w:hAnsi="Arial Narrow"/>
                <w:color w:val="000000"/>
                <w:sz w:val="18"/>
                <w:szCs w:val="18"/>
              </w:rPr>
            </w:pPr>
            <w:r w:rsidRPr="0038235C">
              <w:rPr>
                <w:rFonts w:ascii="Arial Narrow" w:hAnsi="Arial Narrow"/>
                <w:color w:val="000000"/>
                <w:sz w:val="18"/>
                <w:szCs w:val="18"/>
              </w:rPr>
              <w:t>Notice 2002-69</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3C02764C" w:rsidR="00643CFB" w:rsidRPr="00643CFB" w:rsidRDefault="0038235C" w:rsidP="00643CFB">
            <w:pPr>
              <w:widowControl/>
              <w:autoSpaceDE/>
              <w:autoSpaceDN/>
              <w:adjustRightInd/>
              <w:jc w:val="center"/>
              <w:rPr>
                <w:rFonts w:ascii="Arial Narrow" w:hAnsi="Arial Narrow"/>
                <w:color w:val="000000"/>
                <w:sz w:val="18"/>
                <w:szCs w:val="18"/>
              </w:rPr>
            </w:pPr>
            <w:r w:rsidRPr="0038235C">
              <w:rPr>
                <w:rFonts w:ascii="Arial Narrow" w:hAnsi="Arial Narrow"/>
                <w:color w:val="000000"/>
                <w:sz w:val="18"/>
                <w:szCs w:val="18"/>
              </w:rPr>
              <w:t xml:space="preserve"> Interest Rates and Appropriate Foreign Loss Payment Patterns For Determining the Qualified Insurance Income of Certain Controlled Corporations under Section 954(f)</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59D51D49"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5284287F"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290F389D"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5CF8DD74"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73485F93" w:rsidR="00643CFB" w:rsidRPr="00643CFB" w:rsidRDefault="0038235C"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p>
        </w:tc>
      </w:tr>
      <w:tr w:rsidR="00F30518" w:rsidRPr="00643CFB" w14:paraId="63818276"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30518" w:rsidRPr="00F841ED" w:rsidRDefault="00F30518" w:rsidP="00F30518">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30518" w:rsidRPr="00F841ED" w:rsidRDefault="00F30518" w:rsidP="00F30518">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02EB92E0" w:rsidR="00F30518" w:rsidRDefault="0038235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30518" w:rsidRDefault="00F30518" w:rsidP="00F30518">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2EB60E07" w:rsidR="00F30518" w:rsidRDefault="0038235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30518" w:rsidRDefault="00F30518" w:rsidP="00F30518">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05A447CD" w:rsidR="00F30518" w:rsidRDefault="0038235C"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300</w:t>
            </w:r>
            <w:r w:rsidR="00F30518">
              <w:rPr>
                <w:rFonts w:ascii="Arial Narrow" w:hAnsi="Arial Narrow"/>
                <w:color w:val="000000"/>
                <w:sz w:val="18"/>
                <w:szCs w:val="18"/>
              </w:rPr>
              <w:t xml:space="preserve"> hours</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lastRenderedPageBreak/>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1"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1"/>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2D3B99">
        <w:rPr>
          <w:rFonts w:asciiTheme="minorHAnsi" w:hAnsiTheme="minorHAnsi"/>
          <w:b/>
          <w:bCs/>
          <w:sz w:val="22"/>
          <w:szCs w:val="22"/>
          <w:u w:val="single"/>
        </w:rPr>
        <w:t>ESTI</w:t>
      </w:r>
      <w:r w:rsidRPr="00C515A5">
        <w:rPr>
          <w:rFonts w:asciiTheme="minorHAnsi" w:hAnsiTheme="minorHAnsi"/>
          <w:b/>
          <w:bCs/>
          <w:sz w:val="22"/>
          <w:szCs w:val="22"/>
          <w:u w:val="single"/>
        </w:rPr>
        <w:t>MATED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4F69AF67" w14:textId="37835806" w:rsidR="00C515A5" w:rsidRDefault="00C515A5" w:rsidP="00C515A5">
      <w:pPr>
        <w:ind w:left="720"/>
        <w:rPr>
          <w:rFonts w:asciiTheme="minorHAnsi" w:hAnsiTheme="minorHAnsi"/>
          <w:sz w:val="22"/>
          <w:szCs w:val="22"/>
        </w:rPr>
      </w:pPr>
      <w:bookmarkStart w:id="2" w:name="_Hlk523834409"/>
      <w:r>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247AED58" w14:textId="77777777" w:rsidR="00C515A5" w:rsidRDefault="00C515A5" w:rsidP="00C515A5">
      <w:pPr>
        <w:ind w:left="720"/>
        <w:rPr>
          <w:rFonts w:asciiTheme="minorHAnsi" w:hAnsiTheme="minorHAnsi"/>
          <w:sz w:val="22"/>
          <w:szCs w:val="22"/>
        </w:rPr>
      </w:pPr>
    </w:p>
    <w:p w14:paraId="1AF0042A" w14:textId="77777777" w:rsidR="00C515A5" w:rsidRDefault="00C515A5" w:rsidP="00C515A5">
      <w:pPr>
        <w:ind w:left="720"/>
        <w:rPr>
          <w:rFonts w:asciiTheme="minorHAnsi" w:hAnsiTheme="minorHAnsi"/>
          <w:sz w:val="22"/>
          <w:szCs w:val="22"/>
        </w:rPr>
      </w:pPr>
      <w:r>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04DC85C5" w14:textId="77777777" w:rsidR="00C515A5" w:rsidRDefault="00C515A5" w:rsidP="00C515A5">
      <w:pPr>
        <w:ind w:left="720"/>
        <w:rPr>
          <w:rFonts w:asciiTheme="minorHAnsi" w:hAnsiTheme="minorHAnsi"/>
          <w:sz w:val="22"/>
          <w:szCs w:val="22"/>
        </w:rPr>
      </w:pPr>
    </w:p>
    <w:p w14:paraId="09D820CF" w14:textId="6F7CB4EB" w:rsidR="00C515A5" w:rsidRDefault="00C515A5" w:rsidP="00C515A5">
      <w:pPr>
        <w:ind w:left="720"/>
        <w:rPr>
          <w:rFonts w:asciiTheme="minorHAnsi" w:hAnsiTheme="minorHAnsi"/>
          <w:sz w:val="22"/>
          <w:szCs w:val="22"/>
        </w:rPr>
      </w:pPr>
      <w:r>
        <w:rPr>
          <w:rFonts w:asciiTheme="minorHAnsi" w:hAnsiTheme="minorHAnsi"/>
          <w:sz w:val="22"/>
          <w:szCs w:val="22"/>
        </w:rPr>
        <w:t xml:space="preserve">The government cost estimate for this collection is </w:t>
      </w:r>
      <w:r w:rsidR="00F85853">
        <w:rPr>
          <w:rFonts w:asciiTheme="minorHAnsi" w:hAnsiTheme="minorHAnsi"/>
          <w:sz w:val="22"/>
          <w:szCs w:val="22"/>
        </w:rPr>
        <w:t>$</w:t>
      </w:r>
      <w:r w:rsidR="0038235C">
        <w:rPr>
          <w:rFonts w:asciiTheme="minorHAnsi" w:hAnsiTheme="minorHAnsi"/>
          <w:sz w:val="22"/>
          <w:szCs w:val="22"/>
        </w:rPr>
        <w:t>0</w:t>
      </w:r>
      <w:r w:rsidR="00F85853">
        <w:rPr>
          <w:rFonts w:asciiTheme="minorHAnsi" w:hAnsiTheme="minorHAnsi"/>
          <w:sz w:val="22"/>
          <w:szCs w:val="22"/>
        </w:rPr>
        <w:t>.</w:t>
      </w:r>
    </w:p>
    <w:p w14:paraId="436F6E2E" w14:textId="77777777" w:rsidR="00C515A5" w:rsidRDefault="00C515A5" w:rsidP="00C515A5">
      <w:pPr>
        <w:ind w:left="360"/>
        <w:rPr>
          <w:rFonts w:asciiTheme="minorHAnsi" w:hAnsiTheme="minorHAnsi"/>
          <w:sz w:val="22"/>
          <w:szCs w:val="22"/>
        </w:rPr>
      </w:pPr>
    </w:p>
    <w:bookmarkEnd w:id="2"/>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29"/>
        <w:gridCol w:w="1429"/>
        <w:gridCol w:w="1431"/>
        <w:gridCol w:w="1430"/>
        <w:gridCol w:w="1430"/>
        <w:gridCol w:w="953"/>
        <w:gridCol w:w="1432"/>
      </w:tblGrid>
      <w:tr w:rsidR="00C33A48" w:rsidRPr="00C33A48" w14:paraId="6639EA6C" w14:textId="77777777" w:rsidTr="00FF2114">
        <w:tc>
          <w:tcPr>
            <w:tcW w:w="749"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1"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FF2114" w:rsidRPr="00C33A48" w14:paraId="4622625A" w14:textId="77777777" w:rsidTr="0038235C">
        <w:trPr>
          <w:trHeight w:val="546"/>
        </w:trPr>
        <w:tc>
          <w:tcPr>
            <w:tcW w:w="749" w:type="pct"/>
            <w:tcBorders>
              <w:top w:val="outset" w:sz="6" w:space="0" w:color="auto"/>
              <w:left w:val="outset" w:sz="6" w:space="0" w:color="auto"/>
              <w:bottom w:val="outset" w:sz="6" w:space="0" w:color="auto"/>
              <w:right w:val="outset" w:sz="6" w:space="0" w:color="auto"/>
            </w:tcBorders>
            <w:hideMark/>
          </w:tcPr>
          <w:p w14:paraId="56E3147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49" w:type="pct"/>
            <w:tcBorders>
              <w:top w:val="outset" w:sz="6" w:space="0" w:color="auto"/>
              <w:left w:val="outset" w:sz="6" w:space="0" w:color="auto"/>
              <w:bottom w:val="outset" w:sz="6" w:space="0" w:color="auto"/>
              <w:right w:val="outset" w:sz="6" w:space="0" w:color="auto"/>
            </w:tcBorders>
          </w:tcPr>
          <w:p w14:paraId="6093F968" w14:textId="292F77E6" w:rsidR="00FF2114" w:rsidRPr="00C33A48" w:rsidRDefault="00FF2114" w:rsidP="00FF2114">
            <w:pPr>
              <w:widowControl/>
              <w:autoSpaceDE/>
              <w:autoSpaceDN/>
              <w:adjustRightInd/>
              <w:rPr>
                <w:rFonts w:asciiTheme="minorHAnsi" w:hAnsiTheme="minorHAnsi" w:cs="Arial"/>
                <w:color w:val="000000"/>
                <w:sz w:val="20"/>
                <w:szCs w:val="20"/>
              </w:rPr>
            </w:pPr>
            <w:r w:rsidRPr="00F85853">
              <w:rPr>
                <w:rFonts w:asciiTheme="minorHAnsi" w:hAnsiTheme="minorHAnsi" w:cs="Arial"/>
                <w:color w:val="000000"/>
                <w:sz w:val="20"/>
                <w:szCs w:val="20"/>
              </w:rPr>
              <w:t xml:space="preserve">  </w:t>
            </w:r>
            <w:r w:rsidR="0038235C">
              <w:rPr>
                <w:rFonts w:asciiTheme="minorHAnsi" w:hAnsiTheme="minorHAnsi" w:cs="Arial"/>
                <w:color w:val="000000"/>
                <w:sz w:val="20"/>
                <w:szCs w:val="20"/>
              </w:rPr>
              <w:t>300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54D5F18C"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0E438257"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tcPr>
          <w:p w14:paraId="1EFF6069" w14:textId="3471E4BD"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300</w:t>
            </w:r>
          </w:p>
        </w:tc>
      </w:tr>
      <w:tr w:rsidR="00FF2114" w:rsidRPr="00C33A48" w14:paraId="440E179E" w14:textId="77777777" w:rsidTr="00FF2114">
        <w:tc>
          <w:tcPr>
            <w:tcW w:w="749" w:type="pct"/>
            <w:tcBorders>
              <w:top w:val="outset" w:sz="6" w:space="0" w:color="auto"/>
              <w:left w:val="outset" w:sz="6" w:space="0" w:color="auto"/>
              <w:bottom w:val="outset" w:sz="6" w:space="0" w:color="auto"/>
              <w:right w:val="outset" w:sz="6" w:space="0" w:color="auto"/>
            </w:tcBorders>
          </w:tcPr>
          <w:p w14:paraId="3023F81A" w14:textId="6C0E4DFE" w:rsidR="00FF2114" w:rsidRPr="00C33A48" w:rsidRDefault="00FF2114" w:rsidP="00FF2114">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49" w:type="pct"/>
            <w:tcBorders>
              <w:top w:val="outset" w:sz="6" w:space="0" w:color="auto"/>
              <w:left w:val="outset" w:sz="6" w:space="0" w:color="auto"/>
              <w:bottom w:val="outset" w:sz="6" w:space="0" w:color="auto"/>
              <w:right w:val="outset" w:sz="6" w:space="0" w:color="auto"/>
            </w:tcBorders>
          </w:tcPr>
          <w:p w14:paraId="6EF1DC60" w14:textId="2CA22F7F"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 xml:space="preserve">   </w:t>
            </w:r>
            <w:r w:rsidR="0038235C">
              <w:rPr>
                <w:rFonts w:asciiTheme="minorHAnsi" w:hAnsiTheme="minorHAnsi" w:cs="Arial"/>
                <w:color w:val="000000"/>
                <w:sz w:val="20"/>
                <w:szCs w:val="20"/>
              </w:rPr>
              <w:t>300</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4F2787E0"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66B672D9"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tcPr>
          <w:p w14:paraId="4BBA45A1" w14:textId="36AA23B3" w:rsidR="00FF2114" w:rsidRPr="003C1510" w:rsidRDefault="0038235C" w:rsidP="00FF2114">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300</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4A4C4" w14:textId="77777777" w:rsidR="00C62D71" w:rsidRDefault="00C62D71" w:rsidP="002174CE">
      <w:r>
        <w:separator/>
      </w:r>
    </w:p>
  </w:endnote>
  <w:endnote w:type="continuationSeparator" w:id="0">
    <w:p w14:paraId="2D528C16" w14:textId="77777777" w:rsidR="00C62D71" w:rsidRDefault="00C62D71" w:rsidP="002174CE">
      <w:r>
        <w:continuationSeparator/>
      </w:r>
    </w:p>
  </w:endnote>
  <w:endnote w:type="continuationNotice" w:id="1">
    <w:p w14:paraId="4F5B2992" w14:textId="77777777" w:rsidR="00C62D71" w:rsidRDefault="00C62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42749406" w:rsidR="002174CE" w:rsidRDefault="002174CE" w:rsidP="002174CE">
    <w:pPr>
      <w:pStyle w:val="Footer"/>
      <w:jc w:val="right"/>
    </w:pPr>
    <w:r>
      <w:fldChar w:fldCharType="begin"/>
    </w:r>
    <w:r>
      <w:instrText xml:space="preserve"> PAGE   \* MERGEFORMAT </w:instrText>
    </w:r>
    <w:r>
      <w:fldChar w:fldCharType="separate"/>
    </w:r>
    <w:r w:rsidR="00445CF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C1E4E" w14:textId="77777777" w:rsidR="00C62D71" w:rsidRDefault="00C62D71" w:rsidP="002174CE">
      <w:r>
        <w:separator/>
      </w:r>
    </w:p>
  </w:footnote>
  <w:footnote w:type="continuationSeparator" w:id="0">
    <w:p w14:paraId="2FC12D79" w14:textId="77777777" w:rsidR="00C62D71" w:rsidRDefault="00C62D71" w:rsidP="002174CE">
      <w:r>
        <w:continuationSeparator/>
      </w:r>
    </w:p>
  </w:footnote>
  <w:footnote w:type="continuationNotice" w:id="1">
    <w:p w14:paraId="3CDEFB70" w14:textId="77777777" w:rsidR="00C62D71" w:rsidRDefault="00C62D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67742"/>
    <w:rsid w:val="00085A09"/>
    <w:rsid w:val="000C4EAE"/>
    <w:rsid w:val="00125D6B"/>
    <w:rsid w:val="001334D5"/>
    <w:rsid w:val="00153BDF"/>
    <w:rsid w:val="00164935"/>
    <w:rsid w:val="0017274F"/>
    <w:rsid w:val="002157B5"/>
    <w:rsid w:val="002174CE"/>
    <w:rsid w:val="0026478E"/>
    <w:rsid w:val="002952FE"/>
    <w:rsid w:val="002C7558"/>
    <w:rsid w:val="002D3B99"/>
    <w:rsid w:val="002E556F"/>
    <w:rsid w:val="00324A3B"/>
    <w:rsid w:val="0038235C"/>
    <w:rsid w:val="00394B85"/>
    <w:rsid w:val="003C1510"/>
    <w:rsid w:val="003D33B0"/>
    <w:rsid w:val="003E560A"/>
    <w:rsid w:val="00415252"/>
    <w:rsid w:val="00421E3F"/>
    <w:rsid w:val="00445CFE"/>
    <w:rsid w:val="004E1299"/>
    <w:rsid w:val="005441DC"/>
    <w:rsid w:val="005A26D5"/>
    <w:rsid w:val="005C0C47"/>
    <w:rsid w:val="005C1464"/>
    <w:rsid w:val="005F1D18"/>
    <w:rsid w:val="00637E67"/>
    <w:rsid w:val="00643CFB"/>
    <w:rsid w:val="00694D3D"/>
    <w:rsid w:val="006F1B21"/>
    <w:rsid w:val="007131A6"/>
    <w:rsid w:val="00724CA7"/>
    <w:rsid w:val="0078668E"/>
    <w:rsid w:val="00786FAB"/>
    <w:rsid w:val="00791E96"/>
    <w:rsid w:val="00865757"/>
    <w:rsid w:val="00895958"/>
    <w:rsid w:val="008C739B"/>
    <w:rsid w:val="008E079F"/>
    <w:rsid w:val="008F75D5"/>
    <w:rsid w:val="00922E53"/>
    <w:rsid w:val="00931C0C"/>
    <w:rsid w:val="00967A93"/>
    <w:rsid w:val="00A432BF"/>
    <w:rsid w:val="00A474A3"/>
    <w:rsid w:val="00A632C6"/>
    <w:rsid w:val="00A75FAF"/>
    <w:rsid w:val="00AB7031"/>
    <w:rsid w:val="00AC046A"/>
    <w:rsid w:val="00AE1D32"/>
    <w:rsid w:val="00AE2DF3"/>
    <w:rsid w:val="00AF76C3"/>
    <w:rsid w:val="00B134FB"/>
    <w:rsid w:val="00B27BA4"/>
    <w:rsid w:val="00B6720C"/>
    <w:rsid w:val="00B953EE"/>
    <w:rsid w:val="00BE07D3"/>
    <w:rsid w:val="00BE2BAB"/>
    <w:rsid w:val="00BE5838"/>
    <w:rsid w:val="00BE6C13"/>
    <w:rsid w:val="00C04F5A"/>
    <w:rsid w:val="00C076C8"/>
    <w:rsid w:val="00C24CE6"/>
    <w:rsid w:val="00C33A48"/>
    <w:rsid w:val="00C468C2"/>
    <w:rsid w:val="00C515A5"/>
    <w:rsid w:val="00C5228F"/>
    <w:rsid w:val="00C52684"/>
    <w:rsid w:val="00C611EA"/>
    <w:rsid w:val="00C62D71"/>
    <w:rsid w:val="00C82FFC"/>
    <w:rsid w:val="00C91DF3"/>
    <w:rsid w:val="00C94228"/>
    <w:rsid w:val="00CA0ABE"/>
    <w:rsid w:val="00CA7758"/>
    <w:rsid w:val="00CE3C78"/>
    <w:rsid w:val="00D23A01"/>
    <w:rsid w:val="00D258A7"/>
    <w:rsid w:val="00D44FBE"/>
    <w:rsid w:val="00D80AE0"/>
    <w:rsid w:val="00D86C4B"/>
    <w:rsid w:val="00D96486"/>
    <w:rsid w:val="00D97FA8"/>
    <w:rsid w:val="00DF4BDD"/>
    <w:rsid w:val="00DF72A2"/>
    <w:rsid w:val="00DF7B6E"/>
    <w:rsid w:val="00E049FD"/>
    <w:rsid w:val="00E11583"/>
    <w:rsid w:val="00E2129E"/>
    <w:rsid w:val="00E45B1C"/>
    <w:rsid w:val="00E52BF5"/>
    <w:rsid w:val="00E61A6D"/>
    <w:rsid w:val="00E6534D"/>
    <w:rsid w:val="00E969B3"/>
    <w:rsid w:val="00EA2A93"/>
    <w:rsid w:val="00EA42E4"/>
    <w:rsid w:val="00EC175F"/>
    <w:rsid w:val="00EC1FBF"/>
    <w:rsid w:val="00ED18D6"/>
    <w:rsid w:val="00ED2B32"/>
    <w:rsid w:val="00EF0BCE"/>
    <w:rsid w:val="00F13A87"/>
    <w:rsid w:val="00F30518"/>
    <w:rsid w:val="00F530C8"/>
    <w:rsid w:val="00F841ED"/>
    <w:rsid w:val="00F85853"/>
    <w:rsid w:val="00FD508A"/>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2018-10-04T12:03:00Z</dcterms:created>
  <dcterms:modified xsi:type="dcterms:W3CDTF">2018-10-04T12:03:00Z</dcterms:modified>
</cp:coreProperties>
</file>