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3B" w:rsidRDefault="0064473B" w:rsidP="00021D03">
      <w:pPr>
        <w:pStyle w:val="BodyText"/>
        <w:widowControl/>
      </w:pPr>
      <w:bookmarkStart w:id="0" w:name="QuickMark"/>
      <w:bookmarkStart w:id="1" w:name="_GoBack"/>
      <w:bookmarkEnd w:id="0"/>
      <w:bookmarkEnd w:id="1"/>
      <w:r>
        <w:t>SUPPORTING STATEMENT FOR PAPERWORK REDUCTION ACT 1995 SUBMISSIONS</w:t>
      </w:r>
    </w:p>
    <w:p w:rsidR="007B7493" w:rsidRDefault="007B7493" w:rsidP="00021D03">
      <w:pPr>
        <w:pStyle w:val="Heading2"/>
        <w:keepNext w:val="0"/>
        <w:widowControl/>
        <w:rPr>
          <w:b w:val="0"/>
          <w:bCs w:val="0"/>
        </w:rPr>
      </w:pPr>
    </w:p>
    <w:p w:rsidR="0064473B" w:rsidRDefault="0064473B" w:rsidP="00021D03">
      <w:pPr>
        <w:pStyle w:val="Heading2"/>
        <w:keepNext w:val="0"/>
        <w:widowControl/>
      </w:pPr>
      <w:r>
        <w:t>A.  Justification</w:t>
      </w:r>
    </w:p>
    <w:p w:rsidR="0064473B" w:rsidRDefault="0064473B" w:rsidP="00021D03">
      <w:pPr>
        <w:widowControl/>
      </w:pPr>
    </w:p>
    <w:p w:rsidR="0064473B" w:rsidRDefault="0064473B" w:rsidP="00021D03">
      <w:pPr>
        <w:pStyle w:val="Quick1"/>
        <w:widowControl/>
      </w:pPr>
      <w:r>
        <w:t xml:space="preserve">Explain the circumstances that make the collection of information necessary.  Identify any legal or </w:t>
      </w:r>
      <w:r w:rsidR="00B402A5">
        <w:t>ad</w:t>
      </w:r>
      <w:r>
        <w:t>ministrative requirements that necessitate the collection.  Attach a copy of the appropriate section of each statute and regulation mandating or authorizing the collection of information.</w:t>
      </w:r>
    </w:p>
    <w:p w:rsidR="0064473B" w:rsidRDefault="0064473B" w:rsidP="00021D03">
      <w:pPr>
        <w:pStyle w:val="Quick1"/>
        <w:widowControl/>
        <w:numPr>
          <w:ilvl w:val="0"/>
          <w:numId w:val="0"/>
        </w:numPr>
        <w:tabs>
          <w:tab w:val="left" w:pos="-1440"/>
        </w:tabs>
        <w:rPr>
          <w:i w:val="0"/>
        </w:rPr>
      </w:pPr>
    </w:p>
    <w:p w:rsidR="0064473B" w:rsidRDefault="007F1AC3" w:rsidP="00021D03">
      <w:pPr>
        <w:pStyle w:val="BodyText"/>
        <w:widowControl/>
      </w:pPr>
      <w:r>
        <w:t>S</w:t>
      </w:r>
      <w:r w:rsidR="0064473B">
        <w:t>ection 408(a) of the Employee Retirement Income Security Act of 1974 (ERISA) and section 4975(c)(2) of the Internal Revenue Code of 1986 (the Code)</w:t>
      </w:r>
      <w:r>
        <w:t xml:space="preserve"> give</w:t>
      </w:r>
      <w:r w:rsidR="0064473B">
        <w:t xml:space="preserve"> the Secretary of Labor </w:t>
      </w:r>
      <w:r>
        <w:t>the authority to</w:t>
      </w:r>
      <w:r w:rsidR="0064473B">
        <w:t xml:space="preserve"> </w:t>
      </w:r>
      <w:r>
        <w:t xml:space="preserve">grant an </w:t>
      </w:r>
      <w:r w:rsidR="00F40D23">
        <w:t>exempt</w:t>
      </w:r>
      <w:r>
        <w:t>ion to a</w:t>
      </w:r>
      <w:r w:rsidR="0064473B">
        <w:t xml:space="preserve"> class </w:t>
      </w:r>
      <w:r>
        <w:t xml:space="preserve">or order </w:t>
      </w:r>
      <w:r w:rsidR="0064473B">
        <w:t>of fiduciaries</w:t>
      </w:r>
      <w:r>
        <w:t xml:space="preserve">, </w:t>
      </w:r>
      <w:r w:rsidR="0064473B">
        <w:t>disqualified persons</w:t>
      </w:r>
      <w:r>
        <w:t>,</w:t>
      </w:r>
      <w:r w:rsidR="0064473B">
        <w:t xml:space="preserve"> or transactions from all or part of the restrictions imposed by sections 406 and 407(a) of ERISA and from the taxes imposed by sections 4975(a) and (b) of the Code, by reason of section 4975(c)(1) of the Code.  </w:t>
      </w:r>
    </w:p>
    <w:p w:rsidR="0064473B" w:rsidRDefault="0064473B" w:rsidP="00021D03">
      <w:pPr>
        <w:pStyle w:val="BodyText"/>
        <w:widowControl/>
      </w:pPr>
    </w:p>
    <w:p w:rsidR="0064473B" w:rsidRDefault="0064473B" w:rsidP="00021D03">
      <w:pPr>
        <w:pStyle w:val="BodyText"/>
        <w:widowControl/>
      </w:pPr>
      <w:r>
        <w:t xml:space="preserve">This </w:t>
      </w:r>
      <w:r w:rsidR="007F1AC3">
        <w:t>i</w:t>
      </w:r>
      <w:r>
        <w:t xml:space="preserve">nformation </w:t>
      </w:r>
      <w:r w:rsidR="007F1AC3">
        <w:t>c</w:t>
      </w:r>
      <w:r>
        <w:t xml:space="preserve">ollection </w:t>
      </w:r>
      <w:r w:rsidR="007F1AC3">
        <w:t>r</w:t>
      </w:r>
      <w:r>
        <w:t xml:space="preserve">equest (ICR) relates to two </w:t>
      </w:r>
      <w:r w:rsidR="007F1AC3">
        <w:t>prohibited transaction</w:t>
      </w:r>
      <w:r w:rsidR="00F40D23">
        <w:t xml:space="preserve"> </w:t>
      </w:r>
      <w:r w:rsidR="007F1AC3">
        <w:t xml:space="preserve">class </w:t>
      </w:r>
      <w:r>
        <w:t xml:space="preserve">exemptions </w:t>
      </w:r>
      <w:r w:rsidR="007F1AC3">
        <w:t xml:space="preserve">(PTEs) </w:t>
      </w:r>
      <w:r w:rsidR="00F40D23">
        <w:t>that the Department of Labor (</w:t>
      </w:r>
      <w:r w:rsidR="00676821">
        <w:t xml:space="preserve">the </w:t>
      </w:r>
      <w:r w:rsidR="00F40D23">
        <w:t>Department</w:t>
      </w:r>
      <w:r w:rsidR="00676821">
        <w:t>)</w:t>
      </w:r>
      <w:r w:rsidR="00F40D23">
        <w:t xml:space="preserve"> has granted, both of which </w:t>
      </w:r>
      <w:r>
        <w:t>involv</w:t>
      </w:r>
      <w:r w:rsidR="00F40D23">
        <w:t>e</w:t>
      </w:r>
      <w:r>
        <w:t xml:space="preserve"> settlement agreements.  </w:t>
      </w:r>
      <w:r w:rsidR="001857B5">
        <w:t>These two exemptions are described below:</w:t>
      </w:r>
    </w:p>
    <w:p w:rsidR="0064473B" w:rsidRDefault="0064473B" w:rsidP="00021D03">
      <w:pPr>
        <w:pStyle w:val="BodyText"/>
        <w:widowControl/>
      </w:pPr>
    </w:p>
    <w:p w:rsidR="0064473B" w:rsidRDefault="0064473B" w:rsidP="00021D03">
      <w:pPr>
        <w:pStyle w:val="BodyText"/>
        <w:widowControl/>
      </w:pPr>
      <w:r>
        <w:rPr>
          <w:b/>
        </w:rPr>
        <w:t xml:space="preserve">PTE 94-71. </w:t>
      </w:r>
      <w:r>
        <w:rPr>
          <w:bCs/>
        </w:rPr>
        <w:t>G</w:t>
      </w:r>
      <w:r>
        <w:t xml:space="preserve">ranted on </w:t>
      </w:r>
      <w:r w:rsidR="00676511">
        <w:t>October 7</w:t>
      </w:r>
      <w:r>
        <w:t xml:space="preserve">, 1994, PTE 94-71 exempts from certain restrictions of ERISA and certain taxes imposed by the Code, a transaction or activity </w:t>
      </w:r>
      <w:r w:rsidR="00622AA9">
        <w:t>that</w:t>
      </w:r>
      <w:r>
        <w:t xml:space="preserve"> is authorized, prior to the </w:t>
      </w:r>
      <w:r w:rsidR="00F40D23">
        <w:t xml:space="preserve">execution of the </w:t>
      </w:r>
      <w:r>
        <w:t>transaction or activity, by a settlement agreement resulting from an investigation of an employee benefit plan conducted by the Department.</w:t>
      </w:r>
      <w:r w:rsidR="00364A9E">
        <w:t xml:space="preserve">  The following information collections are among the conditions for the exemption:</w:t>
      </w:r>
    </w:p>
    <w:p w:rsidR="00364A9E" w:rsidRDefault="00364A9E" w:rsidP="00021D03">
      <w:pPr>
        <w:pStyle w:val="BodyText"/>
        <w:widowControl/>
      </w:pPr>
    </w:p>
    <w:p w:rsidR="00364A9E" w:rsidRDefault="00364A9E" w:rsidP="00021D03">
      <w:pPr>
        <w:pStyle w:val="a"/>
        <w:widowControl/>
        <w:numPr>
          <w:ilvl w:val="0"/>
          <w:numId w:val="8"/>
        </w:numPr>
        <w:tabs>
          <w:tab w:val="left" w:pos="-1440"/>
        </w:tabs>
      </w:pPr>
      <w:r w:rsidRPr="00BA2AC9">
        <w:rPr>
          <w:u w:val="single"/>
        </w:rPr>
        <w:t>Written Notice</w:t>
      </w:r>
      <w:r>
        <w:t>.  A party engaging in a settlement agreement arising out of a Department investigation must provide written notice to the affected participants and beneficiaries of the plan. The notice must contain an objective description of the transaction or activity, the approximate date on which the transaction will occur, the address of the regional or district office of the Department that negotiated the settlement agreement, and a statement informing participants and beneficiaries of their right to forward their comments to such office.</w:t>
      </w:r>
    </w:p>
    <w:p w:rsidR="00364A9E" w:rsidRDefault="00364A9E" w:rsidP="00021D03">
      <w:pPr>
        <w:widowControl/>
      </w:pPr>
    </w:p>
    <w:p w:rsidR="00364A9E" w:rsidRDefault="00364A9E" w:rsidP="00021D03">
      <w:pPr>
        <w:pStyle w:val="a"/>
        <w:widowControl/>
        <w:numPr>
          <w:ilvl w:val="0"/>
          <w:numId w:val="7"/>
        </w:numPr>
        <w:tabs>
          <w:tab w:val="left" w:pos="-1440"/>
        </w:tabs>
      </w:pPr>
      <w:r w:rsidRPr="006F7C95">
        <w:rPr>
          <w:u w:val="single"/>
        </w:rPr>
        <w:t>Pre-Approval</w:t>
      </w:r>
      <w:r>
        <w:t xml:space="preserve">.  A copy of the notice and a description of the method by which it will be distributed must be approved in advance by the regional or district office of the Department </w:t>
      </w:r>
      <w:r w:rsidR="00676511">
        <w:t>which</w:t>
      </w:r>
      <w:r>
        <w:t xml:space="preserve"> negotiated the settlement.</w:t>
      </w:r>
    </w:p>
    <w:p w:rsidR="0064473B" w:rsidRDefault="0064473B" w:rsidP="00021D03">
      <w:pPr>
        <w:pStyle w:val="BodyText"/>
        <w:widowControl/>
      </w:pPr>
    </w:p>
    <w:p w:rsidR="0064473B" w:rsidRDefault="00622AA9" w:rsidP="00021D03">
      <w:pPr>
        <w:pStyle w:val="BodyText"/>
        <w:widowControl/>
      </w:pPr>
      <w:r>
        <w:rPr>
          <w:b/>
          <w:bCs/>
        </w:rPr>
        <w:t xml:space="preserve">PTE </w:t>
      </w:r>
      <w:r w:rsidR="00676511">
        <w:rPr>
          <w:b/>
          <w:bCs/>
        </w:rPr>
        <w:t>20</w:t>
      </w:r>
      <w:r>
        <w:rPr>
          <w:b/>
          <w:bCs/>
        </w:rPr>
        <w:t>03-39.</w:t>
      </w:r>
      <w:r w:rsidR="0064473B">
        <w:t xml:space="preserve">  </w:t>
      </w:r>
      <w:r>
        <w:t>Granted on December 31, 200</w:t>
      </w:r>
      <w:r w:rsidR="00EF1677">
        <w:t>3</w:t>
      </w:r>
      <w:r>
        <w:t xml:space="preserve">, </w:t>
      </w:r>
      <w:r w:rsidR="00C5763F">
        <w:t xml:space="preserve">and later amended on June 15, 2010, </w:t>
      </w:r>
      <w:r w:rsidR="00DA2677">
        <w:t>PTE</w:t>
      </w:r>
      <w:r w:rsidR="00EF1677">
        <w:t xml:space="preserve"> 20</w:t>
      </w:r>
      <w:r w:rsidR="00DA2677">
        <w:t>03-39 exempts from certain restrictions of ERISA and certain taxes imposed by the Code,</w:t>
      </w:r>
      <w:r w:rsidR="0064473B">
        <w:t xml:space="preserve"> </w:t>
      </w:r>
      <w:r w:rsidR="00DA2677">
        <w:t xml:space="preserve">transactions </w:t>
      </w:r>
      <w:r w:rsidR="00BA2AC9">
        <w:t xml:space="preserve">arising out of the settlement of litigation </w:t>
      </w:r>
      <w:r w:rsidR="00DA2677">
        <w:t xml:space="preserve">that involve the </w:t>
      </w:r>
      <w:r w:rsidR="0064473B">
        <w:t>releas</w:t>
      </w:r>
      <w:r w:rsidR="00DA2677">
        <w:t>e of</w:t>
      </w:r>
      <w:r w:rsidR="0064473B">
        <w:t xml:space="preserve"> claims against parties in interest in exchange for payment by or on behalf of the party in interest</w:t>
      </w:r>
      <w:r w:rsidR="00F40D23">
        <w:t>, provided that certain conditions are met</w:t>
      </w:r>
      <w:r w:rsidR="00364A9E">
        <w:t xml:space="preserve">, </w:t>
      </w:r>
      <w:r w:rsidR="00DA5CE2">
        <w:t xml:space="preserve">such as the requirement of an independent fiduciary who has no </w:t>
      </w:r>
      <w:r w:rsidR="00DA5CE2">
        <w:lastRenderedPageBreak/>
        <w:t xml:space="preserve">relationship to any parties in the litigation to authorize the settlement. The other conditions </w:t>
      </w:r>
      <w:r w:rsidR="00364A9E">
        <w:t>includ</w:t>
      </w:r>
      <w:r w:rsidR="00DA5CE2">
        <w:t>e</w:t>
      </w:r>
      <w:r w:rsidR="00364A9E">
        <w:t xml:space="preserve"> the following information collections:</w:t>
      </w:r>
    </w:p>
    <w:p w:rsidR="00EA0B65" w:rsidRDefault="00EA0B65" w:rsidP="00021D03">
      <w:pPr>
        <w:widowControl/>
      </w:pPr>
      <w:r>
        <w:tab/>
      </w:r>
    </w:p>
    <w:p w:rsidR="00EA0B65" w:rsidRDefault="00EA0B65" w:rsidP="00BC6028">
      <w:pPr>
        <w:pStyle w:val="a"/>
        <w:widowControl/>
        <w:numPr>
          <w:ilvl w:val="0"/>
          <w:numId w:val="7"/>
        </w:numPr>
        <w:tabs>
          <w:tab w:val="left" w:pos="-1440"/>
        </w:tabs>
      </w:pPr>
      <w:r w:rsidRPr="00E45ED2">
        <w:rPr>
          <w:u w:val="single"/>
        </w:rPr>
        <w:t>Written Agreement</w:t>
      </w:r>
      <w:r>
        <w:t>.  The terms of the settlement must be specifically described in a written agreement or consent decree</w:t>
      </w:r>
    </w:p>
    <w:p w:rsidR="00EA0B65" w:rsidRDefault="00EA0B65" w:rsidP="000A49ED">
      <w:pPr>
        <w:pStyle w:val="a"/>
        <w:widowControl/>
        <w:numPr>
          <w:ilvl w:val="0"/>
          <w:numId w:val="7"/>
        </w:numPr>
        <w:tabs>
          <w:tab w:val="left" w:pos="-1440"/>
        </w:tabs>
      </w:pPr>
      <w:r w:rsidRPr="006F7C95">
        <w:rPr>
          <w:u w:val="single"/>
        </w:rPr>
        <w:t>Acknowledgement by Fiduciary</w:t>
      </w:r>
      <w:r>
        <w:t>.  The fiduciary acting on behalf of the plan must acknowledge in writing that s/he is a fiduciary with respect to the settlement of the litigation.</w:t>
      </w:r>
    </w:p>
    <w:p w:rsidR="00EA0B65" w:rsidRDefault="00EA0B65" w:rsidP="00021D03">
      <w:pPr>
        <w:pStyle w:val="BodyText"/>
        <w:widowControl/>
      </w:pPr>
    </w:p>
    <w:p w:rsidR="0064473B" w:rsidRDefault="0064473B" w:rsidP="00021D03">
      <w:pPr>
        <w:pStyle w:val="Quick1"/>
        <w:widowControl/>
      </w:pPr>
      <w:r>
        <w:t>Indicate how, by whom, and for what purpose the information is to be used.  Except for a new collection, indicate the actual use the agency has made of the information received from the current collection.</w:t>
      </w:r>
    </w:p>
    <w:p w:rsidR="0064473B" w:rsidRDefault="0064473B" w:rsidP="00021D03">
      <w:pPr>
        <w:pStyle w:val="Quick1"/>
        <w:widowControl/>
        <w:numPr>
          <w:ilvl w:val="0"/>
          <w:numId w:val="0"/>
        </w:numPr>
        <w:rPr>
          <w:i w:val="0"/>
          <w:iCs/>
        </w:rPr>
      </w:pPr>
    </w:p>
    <w:p w:rsidR="00B402A5" w:rsidRDefault="00364A9E" w:rsidP="00021D03">
      <w:pPr>
        <w:pStyle w:val="BodyText"/>
        <w:widowControl/>
      </w:pPr>
      <w:r>
        <w:t xml:space="preserve">The information collections are intended to protect participants and beneficiaries under the plans that engage in settlement agreements.  </w:t>
      </w:r>
      <w:r w:rsidR="0064473B">
        <w:t xml:space="preserve">Without the </w:t>
      </w:r>
      <w:r w:rsidR="00BA2AC9">
        <w:t xml:space="preserve">required </w:t>
      </w:r>
      <w:r w:rsidR="0064473B">
        <w:t>disclosure</w:t>
      </w:r>
      <w:r w:rsidR="00BA2AC9">
        <w:t>s</w:t>
      </w:r>
      <w:r w:rsidR="0064473B">
        <w:t xml:space="preserve">, the Department would be unable to enforce </w:t>
      </w:r>
      <w:r w:rsidR="00BA2AC9">
        <w:t xml:space="preserve">effectively </w:t>
      </w:r>
      <w:r w:rsidR="0064473B">
        <w:t xml:space="preserve">the terms of the exemptions and ensure </w:t>
      </w:r>
      <w:r w:rsidR="00BA2AC9">
        <w:t xml:space="preserve">transactional </w:t>
      </w:r>
      <w:r w:rsidR="0064473B">
        <w:t xml:space="preserve">compliance. </w:t>
      </w:r>
      <w:r w:rsidR="00EA0B65">
        <w:t>The information collections allow the Department to monitor the settlement activities (under PTE 94-71) undertaken in connection with its own investigations and to review other settlement agreements within the scope of its investigations.  The information collection under PTE 94-71 also provides participants and beneficiaries with important information about transactions affecting their plan.</w:t>
      </w:r>
    </w:p>
    <w:p w:rsidR="00364A9E" w:rsidRDefault="00364A9E" w:rsidP="00021D03">
      <w:pPr>
        <w:pStyle w:val="BodyText"/>
        <w:widowControl/>
      </w:pPr>
    </w:p>
    <w:p w:rsidR="0064473B" w:rsidRPr="00B402A5" w:rsidRDefault="0064473B" w:rsidP="00021D03">
      <w:pPr>
        <w:pStyle w:val="Quick1"/>
        <w:widowControl/>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64473B" w:rsidRDefault="0064473B" w:rsidP="00021D03">
      <w:pPr>
        <w:widowControl/>
        <w:rPr>
          <w:i/>
        </w:rPr>
      </w:pPr>
    </w:p>
    <w:p w:rsidR="00EA032D" w:rsidRDefault="00EA032D" w:rsidP="00021D03">
      <w:pPr>
        <w:pStyle w:val="BodyText"/>
        <w:widowControl/>
      </w:pPr>
      <w:r>
        <w:t xml:space="preserve">The information collections are third-party disclosures, and respondents may use electronic methods of communication pursuant to the standards established in the Department’s regulation at 29 CFR 2520.104b-1 concerning plans’ use of electronic communication media to satisfy ERISA disclosure requirements.  The regulation provides that plan sponsors may distribute notices to employees who have access to e-mail at the place of business (note that access does not include a kiosk-based system).  In addition, notices may be distributed electronically to employees or their family members who are beneficiaries if they have electronic access at their homes and give prior approval for this type of distribution.  The Department generally encourages affected entities to distribute required notices electronically whenever possible, provided that these regulatory standards are met.  For the purposes of paperwork burden analysis, the </w:t>
      </w:r>
      <w:r w:rsidR="00510A83">
        <w:t xml:space="preserve">Department </w:t>
      </w:r>
      <w:r>
        <w:t xml:space="preserve">has developed a set of assumptions concerning the use of electronic technology generally for distribution of information to participants and beneficiaries.  Based on these regulations, the </w:t>
      </w:r>
      <w:r w:rsidR="00510A83">
        <w:t xml:space="preserve">Department </w:t>
      </w:r>
      <w:r>
        <w:t xml:space="preserve">has assumed in this analysis that </w:t>
      </w:r>
      <w:r w:rsidR="00CB1328">
        <w:t xml:space="preserve">53.7 </w:t>
      </w:r>
      <w:r>
        <w:t xml:space="preserve">percent of the required disclosures will be made electronically.  </w:t>
      </w:r>
    </w:p>
    <w:p w:rsidR="0064473B" w:rsidRDefault="0064473B" w:rsidP="00021D03">
      <w:pPr>
        <w:widowControl/>
      </w:pPr>
    </w:p>
    <w:p w:rsidR="0064473B" w:rsidRDefault="0064473B" w:rsidP="00021D03">
      <w:pPr>
        <w:pStyle w:val="Quick1"/>
        <w:widowControl/>
      </w:pPr>
      <w:r>
        <w:t>Describe efforts to identify duplication.  Show specifically why any similar information already available cannot be used or modified for use for the purposes described in Item 2 above.</w:t>
      </w:r>
    </w:p>
    <w:p w:rsidR="0064473B" w:rsidRDefault="0064473B" w:rsidP="00021D03">
      <w:pPr>
        <w:pStyle w:val="Quick1"/>
        <w:widowControl/>
        <w:numPr>
          <w:ilvl w:val="0"/>
          <w:numId w:val="0"/>
        </w:numPr>
        <w:rPr>
          <w:i w:val="0"/>
        </w:rPr>
      </w:pPr>
    </w:p>
    <w:p w:rsidR="0064473B" w:rsidRDefault="0064473B" w:rsidP="00021D03">
      <w:pPr>
        <w:pStyle w:val="BodyText"/>
        <w:widowControl/>
      </w:pPr>
      <w:r>
        <w:t xml:space="preserve">The information is not available elsewhere.  </w:t>
      </w:r>
      <w:r w:rsidR="00EA73F9">
        <w:t xml:space="preserve">If the </w:t>
      </w:r>
      <w:r>
        <w:t xml:space="preserve">required writings </w:t>
      </w:r>
      <w:r w:rsidR="00EA73F9">
        <w:t>(written settlement agreement, consent decree) are created</w:t>
      </w:r>
      <w:r>
        <w:t xml:space="preserve"> for other purposes, they may be used to satisfy the requirements of these class exemptions.     </w:t>
      </w:r>
    </w:p>
    <w:p w:rsidR="0064473B" w:rsidRDefault="0064473B" w:rsidP="00021D03">
      <w:pPr>
        <w:widowControl/>
      </w:pPr>
    </w:p>
    <w:p w:rsidR="0064473B" w:rsidRDefault="0064473B" w:rsidP="00021D03">
      <w:pPr>
        <w:pStyle w:val="Quick1"/>
        <w:widowControl/>
      </w:pPr>
      <w:r>
        <w:t>If the collection of information impacts small businesses or other small entities</w:t>
      </w:r>
      <w:r w:rsidR="00510A83">
        <w:t xml:space="preserve"> </w:t>
      </w:r>
      <w:r>
        <w:t>describe any methods used to minimize burden.</w:t>
      </w:r>
    </w:p>
    <w:p w:rsidR="0064473B" w:rsidRDefault="0064473B" w:rsidP="00021D03">
      <w:pPr>
        <w:pStyle w:val="Quick1"/>
        <w:widowControl/>
        <w:numPr>
          <w:ilvl w:val="0"/>
          <w:numId w:val="0"/>
        </w:numPr>
        <w:rPr>
          <w:i w:val="0"/>
        </w:rPr>
      </w:pPr>
    </w:p>
    <w:p w:rsidR="0064473B" w:rsidRDefault="0064473B" w:rsidP="00021D03">
      <w:pPr>
        <w:pStyle w:val="BodyText"/>
        <w:widowControl/>
      </w:pPr>
      <w:r>
        <w:t>Neither class exemption will have a significant economic impact on a substantial number of small entities</w:t>
      </w:r>
      <w:r w:rsidR="00EA73F9">
        <w:t xml:space="preserve">. </w:t>
      </w:r>
      <w:r>
        <w:t xml:space="preserve"> Participants and beneficiaries of small plans are entitled to receive information involving transactions based on a settlement agreement with the Department</w:t>
      </w:r>
      <w:r w:rsidR="00EA73F9">
        <w:t xml:space="preserve"> under PTE 94-71; PTE </w:t>
      </w:r>
      <w:r w:rsidR="00EF1677">
        <w:t>20</w:t>
      </w:r>
      <w:r w:rsidR="00EA73F9">
        <w:t>03-39 requires written evidence of settlement transactions and fiduciary status</w:t>
      </w:r>
      <w:r>
        <w:t>. The information to be provided is readily available to a plan in documents provided by the parties during settlement agreement negotiations.</w:t>
      </w:r>
    </w:p>
    <w:p w:rsidR="0064473B" w:rsidRDefault="0064473B" w:rsidP="00021D03">
      <w:pPr>
        <w:pStyle w:val="BodyTextIndent"/>
        <w:widowControl/>
      </w:pPr>
    </w:p>
    <w:p w:rsidR="0064473B" w:rsidRDefault="0064473B" w:rsidP="00021D03">
      <w:pPr>
        <w:pStyle w:val="Quick1"/>
        <w:widowControl/>
      </w:pPr>
      <w:r>
        <w:t>Describe the consequence to Federal program or policy activities if the collection is not conducted or is conducted less frequently, as well as any technical or legal obstacles to reducing burden.</w:t>
      </w:r>
    </w:p>
    <w:p w:rsidR="0064473B" w:rsidRDefault="0064473B" w:rsidP="00021D03">
      <w:pPr>
        <w:widowControl/>
      </w:pPr>
    </w:p>
    <w:p w:rsidR="0064473B" w:rsidRDefault="0064473B" w:rsidP="00021D03">
      <w:pPr>
        <w:pStyle w:val="BodyText"/>
        <w:widowControl/>
      </w:pPr>
      <w:r>
        <w:rPr>
          <w:b/>
          <w:bCs/>
        </w:rPr>
        <w:t xml:space="preserve">PTE 94-71.  </w:t>
      </w:r>
      <w:r w:rsidR="00E45ED2" w:rsidRPr="00D9583A">
        <w:rPr>
          <w:bCs/>
        </w:rPr>
        <w:t xml:space="preserve">If PTE 94-71 did not contain </w:t>
      </w:r>
      <w:r w:rsidRPr="00D9583A">
        <w:t>notification requirements</w:t>
      </w:r>
      <w:r w:rsidR="00E45ED2" w:rsidRPr="00D9583A">
        <w:t>, affected</w:t>
      </w:r>
      <w:r w:rsidR="00E45ED2" w:rsidRPr="00E45ED2">
        <w:t xml:space="preserve"> participants and beneficiaries of the plan</w:t>
      </w:r>
      <w:r w:rsidR="00E45ED2">
        <w:t xml:space="preserve"> may not find out important information regarding the settlement agreement such as </w:t>
      </w:r>
      <w:r w:rsidR="00E45ED2" w:rsidRPr="00E45ED2">
        <w:t>an objective description of the transaction or activity, the approximate date on which the transaction will occur, the address of the regional or district office of the Department that negotiated the settlement agreement, and</w:t>
      </w:r>
      <w:r w:rsidR="00E45ED2">
        <w:t xml:space="preserve"> their right to </w:t>
      </w:r>
      <w:r w:rsidR="00E45ED2" w:rsidRPr="00E45ED2">
        <w:t>forward their comments to such office.</w:t>
      </w:r>
      <w:r>
        <w:t xml:space="preserve"> </w:t>
      </w:r>
    </w:p>
    <w:p w:rsidR="0064473B" w:rsidRDefault="0064473B" w:rsidP="00021D03">
      <w:pPr>
        <w:widowControl/>
      </w:pPr>
    </w:p>
    <w:p w:rsidR="00D9583A" w:rsidRDefault="003E36B9" w:rsidP="00021D03">
      <w:pPr>
        <w:pStyle w:val="BodyText"/>
        <w:widowControl/>
      </w:pPr>
      <w:r>
        <w:rPr>
          <w:b/>
          <w:bCs/>
        </w:rPr>
        <w:t xml:space="preserve">PTE </w:t>
      </w:r>
      <w:r w:rsidR="00EF1677">
        <w:rPr>
          <w:b/>
          <w:bCs/>
        </w:rPr>
        <w:t>20</w:t>
      </w:r>
      <w:r>
        <w:rPr>
          <w:b/>
          <w:bCs/>
        </w:rPr>
        <w:t>03-39</w:t>
      </w:r>
      <w:r w:rsidR="0064473B">
        <w:rPr>
          <w:b/>
          <w:bCs/>
        </w:rPr>
        <w:t xml:space="preserve">.  </w:t>
      </w:r>
      <w:r w:rsidR="00E45ED2" w:rsidRPr="00D9583A">
        <w:rPr>
          <w:bCs/>
        </w:rPr>
        <w:t>The written agreement and recordkeeping requirements in</w:t>
      </w:r>
      <w:r w:rsidR="00E45ED2">
        <w:rPr>
          <w:b/>
          <w:bCs/>
        </w:rPr>
        <w:t xml:space="preserve"> </w:t>
      </w:r>
      <w:r>
        <w:t xml:space="preserve">PTE </w:t>
      </w:r>
      <w:r w:rsidR="00EF1677">
        <w:t>20</w:t>
      </w:r>
      <w:r>
        <w:t>03-39</w:t>
      </w:r>
      <w:r w:rsidR="00E45ED2">
        <w:t xml:space="preserve"> will ensure that all settlements are memorialized in a written agreement</w:t>
      </w:r>
      <w:r w:rsidR="0064473B">
        <w:t xml:space="preserve"> </w:t>
      </w:r>
      <w:r w:rsidR="006F7C95">
        <w:t>that describe the transactions</w:t>
      </w:r>
      <w:r w:rsidR="00E45ED2">
        <w:t xml:space="preserve"> and that </w:t>
      </w:r>
      <w:r w:rsidR="00740AE1">
        <w:t>records necessary to enable certain persons (the Department, participants and beneficiaries) to determine whether the conditions of the exemption had been met</w:t>
      </w:r>
      <w:r w:rsidR="006F7C95">
        <w:t xml:space="preserve"> are maintained</w:t>
      </w:r>
      <w:r w:rsidR="00740AE1">
        <w:t xml:space="preserve"> and made available for inspection.</w:t>
      </w:r>
    </w:p>
    <w:p w:rsidR="002C69EF" w:rsidRDefault="002C69EF" w:rsidP="00021D03">
      <w:pPr>
        <w:pStyle w:val="BodyText"/>
        <w:widowControl/>
      </w:pPr>
    </w:p>
    <w:p w:rsidR="0064473B" w:rsidRPr="002C69EF" w:rsidRDefault="0064473B" w:rsidP="00021D03">
      <w:pPr>
        <w:pStyle w:val="Quick1"/>
        <w:widowControl/>
      </w:pPr>
      <w:r w:rsidRPr="001857B5">
        <w:t>Explain any special circumstances that would cause an information collection to be conducted in a manner:</w:t>
      </w:r>
    </w:p>
    <w:p w:rsidR="0064473B" w:rsidRPr="001857B5" w:rsidRDefault="0064473B" w:rsidP="00021D03">
      <w:pPr>
        <w:widowControl/>
        <w:rPr>
          <w:i/>
          <w:sz w:val="20"/>
          <w:szCs w:val="20"/>
        </w:rPr>
      </w:pPr>
    </w:p>
    <w:p w:rsidR="0064473B" w:rsidRPr="001857B5" w:rsidRDefault="0064473B" w:rsidP="00021D03">
      <w:pPr>
        <w:widowControl/>
        <w:numPr>
          <w:ilvl w:val="0"/>
          <w:numId w:val="12"/>
        </w:numPr>
        <w:tabs>
          <w:tab w:val="clear" w:pos="1440"/>
          <w:tab w:val="left" w:pos="-1440"/>
          <w:tab w:val="num" w:pos="1080"/>
        </w:tabs>
        <w:ind w:left="1080"/>
        <w:rPr>
          <w:i/>
          <w:sz w:val="20"/>
          <w:szCs w:val="20"/>
        </w:rPr>
      </w:pPr>
      <w:r w:rsidRPr="001857B5">
        <w:rPr>
          <w:i/>
          <w:sz w:val="20"/>
          <w:szCs w:val="20"/>
        </w:rPr>
        <w:t>requiring respondents to report information to the agency more often than quarterly;</w:t>
      </w:r>
    </w:p>
    <w:p w:rsidR="0064473B" w:rsidRPr="001857B5" w:rsidRDefault="0064473B" w:rsidP="00021D03">
      <w:pPr>
        <w:widowControl/>
        <w:ind w:left="360"/>
        <w:rPr>
          <w:i/>
          <w:sz w:val="20"/>
          <w:szCs w:val="20"/>
        </w:rPr>
      </w:pPr>
    </w:p>
    <w:p w:rsidR="0064473B" w:rsidRPr="001857B5" w:rsidRDefault="0064473B" w:rsidP="00021D03">
      <w:pPr>
        <w:widowControl/>
        <w:numPr>
          <w:ilvl w:val="0"/>
          <w:numId w:val="12"/>
        </w:numPr>
        <w:tabs>
          <w:tab w:val="clear" w:pos="1440"/>
          <w:tab w:val="left" w:pos="-1440"/>
          <w:tab w:val="num" w:pos="1080"/>
        </w:tabs>
        <w:ind w:left="1080"/>
        <w:rPr>
          <w:i/>
          <w:sz w:val="20"/>
          <w:szCs w:val="20"/>
        </w:rPr>
      </w:pPr>
      <w:r w:rsidRPr="001857B5">
        <w:rPr>
          <w:i/>
          <w:sz w:val="20"/>
          <w:szCs w:val="20"/>
        </w:rPr>
        <w:t>requiring respondents to prepare a written response to a collection of information in fewer than 30 days after receipt of it;</w:t>
      </w:r>
    </w:p>
    <w:p w:rsidR="0064473B" w:rsidRPr="001857B5" w:rsidRDefault="0064473B" w:rsidP="00021D03">
      <w:pPr>
        <w:widowControl/>
        <w:ind w:left="360"/>
        <w:rPr>
          <w:i/>
          <w:sz w:val="20"/>
          <w:szCs w:val="20"/>
        </w:rPr>
      </w:pPr>
    </w:p>
    <w:p w:rsidR="0064473B" w:rsidRPr="001857B5" w:rsidRDefault="0064473B" w:rsidP="00021D03">
      <w:pPr>
        <w:widowControl/>
        <w:numPr>
          <w:ilvl w:val="0"/>
          <w:numId w:val="12"/>
        </w:numPr>
        <w:tabs>
          <w:tab w:val="clear" w:pos="1440"/>
          <w:tab w:val="left" w:pos="-1440"/>
          <w:tab w:val="num" w:pos="1080"/>
        </w:tabs>
        <w:ind w:left="1080"/>
        <w:rPr>
          <w:i/>
          <w:sz w:val="20"/>
          <w:szCs w:val="20"/>
        </w:rPr>
      </w:pPr>
      <w:r w:rsidRPr="001857B5">
        <w:rPr>
          <w:i/>
          <w:sz w:val="20"/>
          <w:szCs w:val="20"/>
        </w:rPr>
        <w:t>requiring respondents to submit more than an original and two copies of any document;</w:t>
      </w:r>
    </w:p>
    <w:p w:rsidR="0064473B" w:rsidRPr="001857B5" w:rsidRDefault="0064473B" w:rsidP="00021D03">
      <w:pPr>
        <w:widowControl/>
        <w:ind w:left="360"/>
        <w:rPr>
          <w:i/>
          <w:sz w:val="20"/>
          <w:szCs w:val="20"/>
        </w:rPr>
      </w:pPr>
    </w:p>
    <w:p w:rsidR="0064473B" w:rsidRPr="001857B5" w:rsidRDefault="0064473B" w:rsidP="00021D03">
      <w:pPr>
        <w:widowControl/>
        <w:numPr>
          <w:ilvl w:val="0"/>
          <w:numId w:val="12"/>
        </w:numPr>
        <w:tabs>
          <w:tab w:val="clear" w:pos="1440"/>
          <w:tab w:val="left" w:pos="-1440"/>
          <w:tab w:val="num" w:pos="1080"/>
        </w:tabs>
        <w:ind w:left="1080"/>
        <w:rPr>
          <w:i/>
          <w:sz w:val="20"/>
          <w:szCs w:val="20"/>
        </w:rPr>
      </w:pPr>
      <w:r w:rsidRPr="001857B5">
        <w:rPr>
          <w:i/>
          <w:sz w:val="20"/>
          <w:szCs w:val="20"/>
        </w:rPr>
        <w:t>requiring respondents to retain records, other than health, medical, government contract, grant-in-aid, or tax records for more than three years;</w:t>
      </w:r>
    </w:p>
    <w:p w:rsidR="0064473B" w:rsidRPr="001857B5" w:rsidRDefault="0064473B" w:rsidP="00021D03">
      <w:pPr>
        <w:widowControl/>
        <w:ind w:left="360"/>
        <w:rPr>
          <w:i/>
          <w:sz w:val="20"/>
          <w:szCs w:val="20"/>
        </w:rPr>
      </w:pPr>
    </w:p>
    <w:p w:rsidR="0064473B" w:rsidRPr="001857B5" w:rsidRDefault="0064473B" w:rsidP="00021D03">
      <w:pPr>
        <w:widowControl/>
        <w:numPr>
          <w:ilvl w:val="0"/>
          <w:numId w:val="12"/>
        </w:numPr>
        <w:tabs>
          <w:tab w:val="clear" w:pos="1440"/>
          <w:tab w:val="left" w:pos="-1440"/>
          <w:tab w:val="num" w:pos="1080"/>
        </w:tabs>
        <w:ind w:left="1080"/>
        <w:rPr>
          <w:i/>
          <w:sz w:val="20"/>
          <w:szCs w:val="20"/>
        </w:rPr>
      </w:pPr>
      <w:r w:rsidRPr="001857B5">
        <w:rPr>
          <w:i/>
          <w:sz w:val="20"/>
          <w:szCs w:val="20"/>
        </w:rPr>
        <w:t>in connection with a statistical survey, that is not designed to produce valid and reliable results that can be generalized to the universe of study;</w:t>
      </w:r>
    </w:p>
    <w:p w:rsidR="0064473B" w:rsidRPr="001857B5" w:rsidRDefault="0064473B" w:rsidP="00021D03">
      <w:pPr>
        <w:widowControl/>
        <w:ind w:left="360"/>
        <w:rPr>
          <w:i/>
          <w:sz w:val="20"/>
          <w:szCs w:val="20"/>
        </w:rPr>
      </w:pPr>
    </w:p>
    <w:p w:rsidR="0064473B" w:rsidRPr="001857B5" w:rsidRDefault="0064473B" w:rsidP="00021D03">
      <w:pPr>
        <w:widowControl/>
        <w:numPr>
          <w:ilvl w:val="0"/>
          <w:numId w:val="12"/>
        </w:numPr>
        <w:tabs>
          <w:tab w:val="clear" w:pos="1440"/>
          <w:tab w:val="left" w:pos="-1440"/>
          <w:tab w:val="num" w:pos="1080"/>
        </w:tabs>
        <w:ind w:left="1080"/>
        <w:rPr>
          <w:i/>
          <w:sz w:val="20"/>
          <w:szCs w:val="20"/>
        </w:rPr>
      </w:pPr>
      <w:r w:rsidRPr="001857B5">
        <w:rPr>
          <w:i/>
          <w:sz w:val="20"/>
          <w:szCs w:val="20"/>
        </w:rPr>
        <w:t>requiring the use of a statistical data classification that has not been reviewed and approved by OMB;</w:t>
      </w:r>
    </w:p>
    <w:p w:rsidR="0064473B" w:rsidRPr="001857B5" w:rsidRDefault="0064473B" w:rsidP="00021D03">
      <w:pPr>
        <w:widowControl/>
        <w:ind w:left="360"/>
        <w:rPr>
          <w:i/>
          <w:sz w:val="20"/>
          <w:szCs w:val="20"/>
        </w:rPr>
      </w:pPr>
    </w:p>
    <w:p w:rsidR="0064473B" w:rsidRPr="001857B5" w:rsidRDefault="0064473B" w:rsidP="00021D03">
      <w:pPr>
        <w:widowControl/>
        <w:numPr>
          <w:ilvl w:val="0"/>
          <w:numId w:val="12"/>
        </w:numPr>
        <w:tabs>
          <w:tab w:val="clear" w:pos="1440"/>
          <w:tab w:val="left" w:pos="-1440"/>
          <w:tab w:val="num" w:pos="1080"/>
        </w:tabs>
        <w:ind w:left="1080"/>
        <w:rPr>
          <w:i/>
          <w:sz w:val="20"/>
          <w:szCs w:val="20"/>
        </w:rPr>
      </w:pPr>
      <w:r w:rsidRPr="001857B5">
        <w:rPr>
          <w:i/>
          <w:sz w:val="20"/>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4473B" w:rsidRPr="001857B5" w:rsidRDefault="0064473B" w:rsidP="00021D03">
      <w:pPr>
        <w:widowControl/>
        <w:ind w:left="360"/>
        <w:rPr>
          <w:i/>
          <w:sz w:val="20"/>
          <w:szCs w:val="20"/>
        </w:rPr>
      </w:pPr>
    </w:p>
    <w:p w:rsidR="0064473B" w:rsidRPr="001857B5" w:rsidRDefault="0064473B" w:rsidP="00021D03">
      <w:pPr>
        <w:widowControl/>
        <w:numPr>
          <w:ilvl w:val="0"/>
          <w:numId w:val="12"/>
        </w:numPr>
        <w:tabs>
          <w:tab w:val="clear" w:pos="1440"/>
          <w:tab w:val="left" w:pos="-1440"/>
          <w:tab w:val="num" w:pos="1080"/>
        </w:tabs>
        <w:ind w:left="1080"/>
        <w:rPr>
          <w:i/>
          <w:sz w:val="20"/>
          <w:szCs w:val="20"/>
        </w:rPr>
      </w:pPr>
      <w:r w:rsidRPr="001857B5">
        <w:rPr>
          <w:i/>
          <w:sz w:val="20"/>
          <w:szCs w:val="20"/>
        </w:rPr>
        <w:t>requiring respondents to submit proprietary trade secret, or other confidential information unless the agency can demonstrate that it has instituted procedures to protect the information's confidentiality to the extent permitted by law.</w:t>
      </w:r>
    </w:p>
    <w:p w:rsidR="0064473B" w:rsidRDefault="0064473B" w:rsidP="00021D03">
      <w:pPr>
        <w:widowControl/>
      </w:pPr>
    </w:p>
    <w:p w:rsidR="0064473B" w:rsidRDefault="0064473B" w:rsidP="00021D03">
      <w:pPr>
        <w:pStyle w:val="BodyText"/>
        <w:widowControl/>
      </w:pPr>
      <w:r>
        <w:rPr>
          <w:b/>
        </w:rPr>
        <w:t xml:space="preserve">PTE 94-71.  </w:t>
      </w:r>
      <w:r>
        <w:t xml:space="preserve">There are no special circumstances that </w:t>
      </w:r>
      <w:r w:rsidR="006F7C95">
        <w:t xml:space="preserve">would </w:t>
      </w:r>
      <w:r>
        <w:t>require the collection to be conducted in a</w:t>
      </w:r>
      <w:r w:rsidR="006F7C95">
        <w:t xml:space="preserve">ny </w:t>
      </w:r>
      <w:r>
        <w:t xml:space="preserve">manner </w:t>
      </w:r>
      <w:r w:rsidR="006F7C95">
        <w:t>described</w:t>
      </w:r>
      <w:r>
        <w:t xml:space="preserve"> above.</w:t>
      </w:r>
    </w:p>
    <w:p w:rsidR="00DA2677" w:rsidRDefault="00DA2677" w:rsidP="00021D03">
      <w:pPr>
        <w:widowControl/>
      </w:pPr>
    </w:p>
    <w:p w:rsidR="002C69EF" w:rsidRDefault="003E36B9" w:rsidP="00021D03">
      <w:pPr>
        <w:pStyle w:val="BodyText"/>
        <w:widowControl/>
      </w:pPr>
      <w:r>
        <w:rPr>
          <w:b/>
          <w:bCs/>
        </w:rPr>
        <w:t xml:space="preserve">PTE </w:t>
      </w:r>
      <w:r w:rsidR="00D536A7">
        <w:rPr>
          <w:b/>
          <w:bCs/>
        </w:rPr>
        <w:t>20</w:t>
      </w:r>
      <w:r>
        <w:rPr>
          <w:b/>
          <w:bCs/>
        </w:rPr>
        <w:t>03-39</w:t>
      </w:r>
      <w:r w:rsidR="0064473B">
        <w:rPr>
          <w:b/>
          <w:bCs/>
        </w:rPr>
        <w:t xml:space="preserve">. </w:t>
      </w:r>
      <w:r w:rsidR="0064473B">
        <w:t>The exemption require</w:t>
      </w:r>
      <w:r>
        <w:t>s</w:t>
      </w:r>
      <w:r w:rsidR="0064473B">
        <w:t xml:space="preserve"> a plan </w:t>
      </w:r>
      <w:r w:rsidR="00D536A7">
        <w:t xml:space="preserve">fiduciary </w:t>
      </w:r>
      <w:r w:rsidR="0064473B">
        <w:t xml:space="preserve">to maintain for a period of six years the records necessary to enable certain persons </w:t>
      </w:r>
      <w:r w:rsidR="00A834C1">
        <w:t xml:space="preserve">(the Department, participants and beneficiaries) </w:t>
      </w:r>
      <w:r w:rsidR="0064473B">
        <w:t>to determine whether</w:t>
      </w:r>
      <w:r w:rsidR="00A834C1">
        <w:t xml:space="preserve"> the conditions of the </w:t>
      </w:r>
      <w:r w:rsidR="0064473B">
        <w:t xml:space="preserve">exemption had been met.  The six-year recordkeeping requirement is consistent with the requirements in section 107 of </w:t>
      </w:r>
      <w:r w:rsidR="006F7C95">
        <w:t>ERISA,</w:t>
      </w:r>
      <w:r w:rsidR="0064473B">
        <w:t xml:space="preserve"> as well as general recordkeeping requirements for tax information under the Code.  </w:t>
      </w:r>
    </w:p>
    <w:p w:rsidR="002C69EF" w:rsidRDefault="002C69EF" w:rsidP="00021D03">
      <w:pPr>
        <w:pStyle w:val="BodyText"/>
        <w:widowControl/>
      </w:pPr>
    </w:p>
    <w:p w:rsidR="0064473B" w:rsidRPr="002C69EF" w:rsidRDefault="002C69EF" w:rsidP="00021D03">
      <w:pPr>
        <w:pStyle w:val="Quick1"/>
        <w:widowControl/>
        <w:numPr>
          <w:ilvl w:val="0"/>
          <w:numId w:val="0"/>
        </w:numPr>
      </w:pPr>
      <w:r>
        <w:t>8.</w:t>
      </w:r>
      <w:r>
        <w:tab/>
        <w:t xml:space="preserve"> </w:t>
      </w:r>
      <w:r w:rsidR="0064473B">
        <w:t xml:space="preserve">If applicable, provide a copy and identify the date and page number of publication in the Federal Register </w:t>
      </w:r>
      <w:r w:rsidR="0064473B" w:rsidRPr="002C69EF">
        <w:t>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834C1" w:rsidRDefault="00A834C1" w:rsidP="00021D03">
      <w:pPr>
        <w:pStyle w:val="Quick1"/>
        <w:widowControl/>
        <w:numPr>
          <w:ilvl w:val="0"/>
          <w:numId w:val="0"/>
        </w:numPr>
      </w:pPr>
    </w:p>
    <w:p w:rsidR="0064473B" w:rsidRPr="00A834C1" w:rsidRDefault="0064473B" w:rsidP="00021D03">
      <w:pPr>
        <w:pStyle w:val="BodyTextIndent2"/>
        <w:widowControl/>
        <w:ind w:left="0"/>
        <w:rPr>
          <w:sz w:val="20"/>
          <w:szCs w:val="20"/>
        </w:rPr>
      </w:pPr>
      <w:r w:rsidRPr="00A834C1">
        <w:rPr>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4473B" w:rsidRPr="00A834C1" w:rsidRDefault="0064473B" w:rsidP="00021D03">
      <w:pPr>
        <w:widowControl/>
        <w:ind w:left="0"/>
        <w:rPr>
          <w:i/>
          <w:sz w:val="20"/>
          <w:szCs w:val="20"/>
        </w:rPr>
      </w:pPr>
    </w:p>
    <w:p w:rsidR="0064473B" w:rsidRPr="00A834C1" w:rsidRDefault="0064473B" w:rsidP="00021D03">
      <w:pPr>
        <w:widowControl/>
        <w:ind w:left="0"/>
        <w:rPr>
          <w:i/>
          <w:sz w:val="20"/>
          <w:szCs w:val="20"/>
        </w:rPr>
      </w:pPr>
      <w:r w:rsidRPr="00A834C1">
        <w:rPr>
          <w:i/>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4473B" w:rsidRDefault="0064473B" w:rsidP="00021D03">
      <w:pPr>
        <w:widowControl/>
      </w:pPr>
    </w:p>
    <w:p w:rsidR="0064473B" w:rsidRDefault="00640650" w:rsidP="00021D03">
      <w:pPr>
        <w:pStyle w:val="BodyText"/>
        <w:widowControl/>
      </w:pPr>
      <w:r>
        <w:t>T</w:t>
      </w:r>
      <w:r w:rsidR="0064473B">
        <w:t xml:space="preserve">he Department’s notice for the </w:t>
      </w:r>
      <w:r w:rsidR="0064473B">
        <w:rPr>
          <w:u w:val="single"/>
        </w:rPr>
        <w:t xml:space="preserve">Federal Register </w:t>
      </w:r>
      <w:r w:rsidR="0064473B">
        <w:t>as required by 5 CFR 1320.8(d)</w:t>
      </w:r>
      <w:r>
        <w:t xml:space="preserve"> was published on </w:t>
      </w:r>
      <w:r w:rsidR="0039343B">
        <w:t>April 11, 2018</w:t>
      </w:r>
      <w:r>
        <w:t xml:space="preserve"> (</w:t>
      </w:r>
      <w:r w:rsidR="00510A83">
        <w:t>8</w:t>
      </w:r>
      <w:r w:rsidR="0039343B">
        <w:t>3</w:t>
      </w:r>
      <w:r>
        <w:t xml:space="preserve"> Fed. Reg.</w:t>
      </w:r>
      <w:r w:rsidR="00510A83">
        <w:t xml:space="preserve"> </w:t>
      </w:r>
      <w:r w:rsidR="0039343B">
        <w:t>15635</w:t>
      </w:r>
      <w:r>
        <w:t xml:space="preserve">) and </w:t>
      </w:r>
      <w:r w:rsidR="0064473B">
        <w:t>solicit</w:t>
      </w:r>
      <w:r>
        <w:t>ed</w:t>
      </w:r>
      <w:r w:rsidR="0064473B">
        <w:t xml:space="preserve"> </w:t>
      </w:r>
      <w:r w:rsidR="00DA2677">
        <w:t xml:space="preserve">public </w:t>
      </w:r>
      <w:r w:rsidR="0064473B">
        <w:t xml:space="preserve">comments </w:t>
      </w:r>
      <w:r w:rsidR="00DA2677">
        <w:t xml:space="preserve">on renewal of the ICR </w:t>
      </w:r>
      <w:r>
        <w:t xml:space="preserve">during a </w:t>
      </w:r>
      <w:r w:rsidR="00DA2677">
        <w:t>60</w:t>
      </w:r>
      <w:r>
        <w:t>-</w:t>
      </w:r>
      <w:r w:rsidR="00DA2677">
        <w:t>day comment</w:t>
      </w:r>
      <w:r>
        <w:t xml:space="preserve"> period</w:t>
      </w:r>
      <w:r w:rsidR="003E36B9">
        <w:t>.</w:t>
      </w:r>
      <w:r w:rsidR="006F7C95">
        <w:t xml:space="preserve">  </w:t>
      </w:r>
      <w:r w:rsidR="00EC4116">
        <w:t>No comments were received.</w:t>
      </w:r>
    </w:p>
    <w:p w:rsidR="0064473B" w:rsidRDefault="0064473B" w:rsidP="00021D03">
      <w:pPr>
        <w:widowControl/>
      </w:pPr>
    </w:p>
    <w:p w:rsidR="0064473B" w:rsidRPr="00A834C1" w:rsidRDefault="0064473B" w:rsidP="00021D03">
      <w:pPr>
        <w:pStyle w:val="Quick1"/>
        <w:widowControl/>
        <w:numPr>
          <w:ilvl w:val="0"/>
          <w:numId w:val="0"/>
        </w:numPr>
      </w:pPr>
      <w:r>
        <w:t>9.</w:t>
      </w:r>
      <w:r>
        <w:tab/>
      </w:r>
      <w:r w:rsidRPr="00A834C1">
        <w:t>Explain any decision to provide any payment or gift to respondents, other than remuneration of contractors or grantees.</w:t>
      </w:r>
    </w:p>
    <w:p w:rsidR="0064473B" w:rsidRPr="00A834C1" w:rsidRDefault="0064473B" w:rsidP="00021D03">
      <w:pPr>
        <w:widowControl/>
        <w:rPr>
          <w:i/>
        </w:rPr>
      </w:pPr>
    </w:p>
    <w:p w:rsidR="0064473B" w:rsidRDefault="0064473B" w:rsidP="00021D03">
      <w:pPr>
        <w:pStyle w:val="BodyText"/>
        <w:widowControl/>
      </w:pPr>
      <w:r>
        <w:t>No payments or gifts are provided to respondents.</w:t>
      </w:r>
    </w:p>
    <w:p w:rsidR="0064473B" w:rsidRDefault="0064473B" w:rsidP="00021D03">
      <w:pPr>
        <w:widowControl/>
      </w:pPr>
    </w:p>
    <w:p w:rsidR="0064473B" w:rsidRPr="00A834C1" w:rsidRDefault="0064473B" w:rsidP="00021D03">
      <w:pPr>
        <w:pStyle w:val="Quick1"/>
        <w:widowControl/>
        <w:numPr>
          <w:ilvl w:val="0"/>
          <w:numId w:val="0"/>
        </w:numPr>
      </w:pPr>
      <w:r>
        <w:t>10.</w:t>
      </w:r>
      <w:r>
        <w:tab/>
      </w:r>
      <w:r w:rsidRPr="00A834C1">
        <w:t>Describe any assurance of confidentiality provided to respondents and the basis for the assurance in statute, regulation, or agency policy.</w:t>
      </w:r>
    </w:p>
    <w:p w:rsidR="0064473B" w:rsidRDefault="0064473B" w:rsidP="00021D03">
      <w:pPr>
        <w:widowControl/>
      </w:pPr>
    </w:p>
    <w:p w:rsidR="0064473B" w:rsidRDefault="0064473B" w:rsidP="00021D03">
      <w:pPr>
        <w:pStyle w:val="BodyText"/>
        <w:widowControl/>
      </w:pPr>
      <w:r>
        <w:t>There is no promise of confidentiality of the information.  The class exemption</w:t>
      </w:r>
      <w:r w:rsidR="00DF7CC0">
        <w:t>s require</w:t>
      </w:r>
      <w:r>
        <w:t xml:space="preserve"> that the information concerning the transactions be made available to interested parties. </w:t>
      </w:r>
    </w:p>
    <w:p w:rsidR="0064473B" w:rsidRDefault="0064473B" w:rsidP="00021D03">
      <w:pPr>
        <w:widowControl/>
      </w:pPr>
    </w:p>
    <w:p w:rsidR="0064473B" w:rsidRDefault="0064473B" w:rsidP="00021D03">
      <w:pPr>
        <w:pStyle w:val="Quick1"/>
        <w:widowControl/>
        <w:numPr>
          <w:ilvl w:val="0"/>
          <w:numId w:val="0"/>
        </w:numPr>
      </w:pPr>
      <w:r>
        <w:t>11.</w:t>
      </w:r>
      <w: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473B" w:rsidRDefault="0064473B" w:rsidP="00021D03">
      <w:pPr>
        <w:widowControl/>
        <w:rPr>
          <w:i/>
        </w:rPr>
      </w:pPr>
    </w:p>
    <w:p w:rsidR="0064473B" w:rsidRDefault="0064473B" w:rsidP="00021D03">
      <w:pPr>
        <w:pStyle w:val="BodyText"/>
        <w:widowControl/>
      </w:pPr>
      <w:r>
        <w:t>There are no questions of a sensitive nature, such as sexual behavior and attitudes, religious beliefs, and other matters that are commonly considered private.</w:t>
      </w:r>
    </w:p>
    <w:p w:rsidR="0064473B" w:rsidRDefault="0064473B" w:rsidP="00021D03">
      <w:pPr>
        <w:widowControl/>
      </w:pPr>
    </w:p>
    <w:p w:rsidR="0064473B" w:rsidRDefault="0064473B" w:rsidP="00021D03">
      <w:pPr>
        <w:pStyle w:val="Quick1"/>
        <w:widowControl/>
        <w:numPr>
          <w:ilvl w:val="0"/>
          <w:numId w:val="0"/>
        </w:numPr>
      </w:pPr>
      <w:r>
        <w:t>12.</w:t>
      </w:r>
      <w:r>
        <w:tab/>
        <w:t>Provide estimates of the hour burden of the collection of information.  The statement should:</w:t>
      </w:r>
    </w:p>
    <w:p w:rsidR="0064473B" w:rsidRDefault="0064473B" w:rsidP="00021D03">
      <w:pPr>
        <w:widowControl/>
        <w:rPr>
          <w:i/>
        </w:rPr>
      </w:pPr>
    </w:p>
    <w:p w:rsidR="0064473B" w:rsidRDefault="0064473B" w:rsidP="00021D03">
      <w:pPr>
        <w:widowControl/>
        <w:rPr>
          <w:i/>
        </w:rPr>
        <w:sectPr w:rsidR="0064473B">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pPr>
    </w:p>
    <w:p w:rsidR="0064473B" w:rsidRPr="00E026D8" w:rsidRDefault="0064473B" w:rsidP="00021D03">
      <w:pPr>
        <w:widowControl/>
        <w:numPr>
          <w:ilvl w:val="0"/>
          <w:numId w:val="11"/>
        </w:numPr>
        <w:tabs>
          <w:tab w:val="left" w:pos="-1440"/>
        </w:tabs>
        <w:rPr>
          <w:i/>
          <w:sz w:val="20"/>
          <w:szCs w:val="20"/>
        </w:rPr>
      </w:pPr>
      <w:r w:rsidRPr="00E026D8">
        <w:rPr>
          <w:i/>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4473B" w:rsidRPr="00E026D8" w:rsidRDefault="0064473B" w:rsidP="00021D03">
      <w:pPr>
        <w:widowControl/>
        <w:rPr>
          <w:i/>
          <w:sz w:val="20"/>
          <w:szCs w:val="20"/>
        </w:rPr>
      </w:pPr>
    </w:p>
    <w:p w:rsidR="0064473B" w:rsidRPr="00E026D8" w:rsidRDefault="0064473B" w:rsidP="00021D03">
      <w:pPr>
        <w:widowControl/>
        <w:numPr>
          <w:ilvl w:val="0"/>
          <w:numId w:val="11"/>
        </w:numPr>
        <w:tabs>
          <w:tab w:val="left" w:pos="-1440"/>
        </w:tabs>
        <w:rPr>
          <w:i/>
          <w:sz w:val="20"/>
          <w:szCs w:val="20"/>
        </w:rPr>
      </w:pPr>
      <w:r w:rsidRPr="00E026D8">
        <w:rPr>
          <w:i/>
          <w:sz w:val="20"/>
          <w:szCs w:val="20"/>
        </w:rPr>
        <w:t>If this request for approval covers more than one form, provide separate hour burden estimates for each form and aggregate the hour burdens in Item 13.</w:t>
      </w:r>
    </w:p>
    <w:p w:rsidR="0064473B" w:rsidRPr="00E026D8" w:rsidRDefault="0064473B" w:rsidP="00021D03">
      <w:pPr>
        <w:widowControl/>
        <w:rPr>
          <w:i/>
          <w:sz w:val="20"/>
          <w:szCs w:val="20"/>
        </w:rPr>
      </w:pPr>
    </w:p>
    <w:p w:rsidR="0064473B" w:rsidRPr="00E026D8" w:rsidRDefault="0064473B" w:rsidP="00021D03">
      <w:pPr>
        <w:widowControl/>
        <w:numPr>
          <w:ilvl w:val="0"/>
          <w:numId w:val="11"/>
        </w:numPr>
        <w:tabs>
          <w:tab w:val="left" w:pos="-1440"/>
        </w:tabs>
        <w:rPr>
          <w:i/>
          <w:sz w:val="20"/>
          <w:szCs w:val="20"/>
        </w:rPr>
      </w:pPr>
      <w:r w:rsidRPr="00E026D8">
        <w:rPr>
          <w:i/>
          <w:sz w:val="20"/>
          <w:szCs w:val="20"/>
        </w:rPr>
        <w:t xml:space="preserve">Provide estimates of annualized cost to respondents for the hour burdens for collections of information, identifying and using appropriate wage rate categories.  </w:t>
      </w:r>
    </w:p>
    <w:p w:rsidR="0064473B" w:rsidRPr="00E026D8" w:rsidRDefault="0064473B" w:rsidP="00021D03">
      <w:pPr>
        <w:widowControl/>
        <w:tabs>
          <w:tab w:val="left" w:pos="-1440"/>
        </w:tabs>
        <w:rPr>
          <w:i/>
          <w:sz w:val="20"/>
          <w:szCs w:val="20"/>
        </w:rPr>
      </w:pPr>
    </w:p>
    <w:p w:rsidR="0064473B" w:rsidRDefault="0064473B" w:rsidP="00021D03">
      <w:pPr>
        <w:widowControl/>
        <w:numPr>
          <w:ilvl w:val="0"/>
          <w:numId w:val="11"/>
        </w:numPr>
        <w:tabs>
          <w:tab w:val="left" w:pos="-1440"/>
        </w:tabs>
        <w:rPr>
          <w:i/>
        </w:rPr>
      </w:pPr>
      <w:r w:rsidRPr="00E026D8">
        <w:rPr>
          <w:i/>
          <w:sz w:val="20"/>
          <w:szCs w:val="20"/>
        </w:rPr>
        <w:t xml:space="preserve">The cost of contracting out or paying outside parties for information collection activities should not be included here.  Instead, this cost should be included in Item </w:t>
      </w:r>
      <w:r>
        <w:rPr>
          <w:i/>
        </w:rPr>
        <w:t xml:space="preserve">14.  </w:t>
      </w:r>
    </w:p>
    <w:p w:rsidR="00E026D8" w:rsidRDefault="00E026D8" w:rsidP="00021D03">
      <w:pPr>
        <w:widowControl/>
        <w:rPr>
          <w:b/>
          <w:highlight w:val="yellow"/>
        </w:rPr>
      </w:pPr>
    </w:p>
    <w:p w:rsidR="00B13E02" w:rsidRDefault="00B13E02" w:rsidP="00021D03">
      <w:pPr>
        <w:pStyle w:val="BodyText"/>
        <w:widowControl/>
      </w:pPr>
      <w:r w:rsidRPr="00B402A5">
        <w:rPr>
          <w:b/>
        </w:rPr>
        <w:t>PTE 94-71.</w:t>
      </w:r>
      <w:r>
        <w:t xml:space="preserve">  A party that seeks to rely on the relief provided in the exemption must provide written notice to the affected participants and beneficiaries prior to entering into a settlement agreement that has been negotiated by the Department and the plan.  Additionally, the party must obtain approval of the notice to participants and beneficiaries and the method by which it will be distributed from the regional or district office of the Department that negotiated the settlement.  The notice, at a minimum, must include an objective description of the transaction or activity, the approximate date on which the transaction will occur, the address of the regional or district office of the department that negotiated the settlement, and a statement informing participants and beneficiaries of their right to forward comments to such office.</w:t>
      </w:r>
    </w:p>
    <w:p w:rsidR="00B13E02" w:rsidRDefault="00B13E02" w:rsidP="00021D03">
      <w:pPr>
        <w:widowControl/>
      </w:pPr>
    </w:p>
    <w:p w:rsidR="00B13E02" w:rsidRDefault="00F95182" w:rsidP="00021D03">
      <w:pPr>
        <w:pStyle w:val="BodyText"/>
        <w:widowControl/>
      </w:pPr>
      <w:r>
        <w:t xml:space="preserve">Data from the EBSA Office of Enforcement show that </w:t>
      </w:r>
      <w:r w:rsidR="00B13E02">
        <w:t xml:space="preserve">approximately </w:t>
      </w:r>
      <w:r w:rsidR="007E2C91">
        <w:t xml:space="preserve">four </w:t>
      </w:r>
      <w:r w:rsidR="00B13E02">
        <w:t xml:space="preserve">plans with an average of 270 participants and beneficiaries have made use of the exemption annually.  </w:t>
      </w:r>
    </w:p>
    <w:p w:rsidR="00B13E02" w:rsidRDefault="00B13E02" w:rsidP="00021D03">
      <w:pPr>
        <w:pStyle w:val="BodyText"/>
        <w:widowControl/>
      </w:pPr>
    </w:p>
    <w:p w:rsidR="00B13E02" w:rsidRPr="007278D3" w:rsidRDefault="00B13E02" w:rsidP="00021D03">
      <w:pPr>
        <w:pStyle w:val="BodyText"/>
        <w:widowControl/>
        <w:rPr>
          <w:vertAlign w:val="superscript"/>
        </w:rPr>
      </w:pPr>
      <w:r>
        <w:t>It is assumed that in-house staff of the entities involved will prepare the notice and that each notice will require one hour of professional staff time at $</w:t>
      </w:r>
      <w:r w:rsidR="00C05C01">
        <w:t>93.86</w:t>
      </w:r>
      <w:r>
        <w:t xml:space="preserve"> per hour</w:t>
      </w:r>
      <w:r w:rsidR="00B06707" w:rsidRPr="00FF4E24">
        <w:rPr>
          <w:rStyle w:val="FootnoteReference"/>
          <w:vertAlign w:val="superscript"/>
        </w:rPr>
        <w:footnoteReference w:id="1"/>
      </w:r>
      <w:r>
        <w:t xml:space="preserve"> and 30 minutes of clerical time</w:t>
      </w:r>
      <w:r w:rsidRPr="002869B7">
        <w:t xml:space="preserve"> </w:t>
      </w:r>
      <w:r>
        <w:t>at $</w:t>
      </w:r>
      <w:r w:rsidR="00C05C01">
        <w:t>52.09</w:t>
      </w:r>
      <w:r>
        <w:t xml:space="preserve"> per hour.  The total burden hour attributable to preparation of the required notices is estimated to be </w:t>
      </w:r>
      <w:r w:rsidR="007E2C91">
        <w:t xml:space="preserve">6 </w:t>
      </w:r>
      <w:r>
        <w:t>hours (</w:t>
      </w:r>
      <w:r w:rsidR="007E2C91">
        <w:t xml:space="preserve">4 </w:t>
      </w:r>
      <w:r>
        <w:t>responses x 1 ½ hours of preparation per response).  The equivalent cost of the hour burden is $</w:t>
      </w:r>
      <w:r w:rsidR="00FA4E48">
        <w:t xml:space="preserve">479 </w:t>
      </w:r>
      <w:r w:rsidR="00277A7F">
        <w:t xml:space="preserve">-- </w:t>
      </w:r>
      <w:r>
        <w:t>$</w:t>
      </w:r>
      <w:r w:rsidR="00FA4E48">
        <w:t xml:space="preserve">375 </w:t>
      </w:r>
      <w:r>
        <w:t>for professional time ($</w:t>
      </w:r>
      <w:r w:rsidR="00FA4E48">
        <w:t>93.86</w:t>
      </w:r>
      <w:r>
        <w:t xml:space="preserve"> per hour x </w:t>
      </w:r>
      <w:r w:rsidR="00FA4E48">
        <w:t xml:space="preserve">4 </w:t>
      </w:r>
      <w:r>
        <w:t>hours) + $</w:t>
      </w:r>
      <w:r w:rsidR="00FA4E48">
        <w:t xml:space="preserve">104 </w:t>
      </w:r>
      <w:r>
        <w:t>for clerical time ($</w:t>
      </w:r>
      <w:r w:rsidR="00FA4E48">
        <w:t>52.09</w:t>
      </w:r>
      <w:r>
        <w:t xml:space="preserve">/hour x </w:t>
      </w:r>
      <w:r w:rsidR="00FA4E48">
        <w:t xml:space="preserve">2 </w:t>
      </w:r>
      <w:r>
        <w:t>hours).</w:t>
      </w:r>
    </w:p>
    <w:p w:rsidR="00B13E02" w:rsidRDefault="00B13E02" w:rsidP="00021D03">
      <w:pPr>
        <w:widowControl/>
      </w:pPr>
    </w:p>
    <w:p w:rsidR="00B13E02" w:rsidRDefault="00B13E02" w:rsidP="00021D03">
      <w:pPr>
        <w:pStyle w:val="BodyText"/>
        <w:widowControl/>
      </w:pPr>
      <w:r>
        <w:t xml:space="preserve">In addition, the Department estimates that reproduction and distribution of the notice to each participant and beneficiary will require an additional 2 minutes per notice.  Because some notices will be distributed electronically with no additional preparation cost, the Department assumes that only a subset of the notices will require this additional preparation time.  Based on current practices in the employee benefits field pursuant to regulations published by the Department regarding electronic distribution of notices, the Department has assumed that </w:t>
      </w:r>
      <w:r w:rsidR="00C05C01">
        <w:t xml:space="preserve">53.7 </w:t>
      </w:r>
      <w:r>
        <w:t>percent of the notices will be distributed electronically at no additional hour or cost burden.</w:t>
      </w:r>
      <w:r w:rsidR="00FA4E48" w:rsidRPr="00270E54">
        <w:rPr>
          <w:rStyle w:val="FootnoteReference"/>
          <w:vertAlign w:val="superscript"/>
        </w:rPr>
        <w:footnoteReference w:id="2"/>
      </w:r>
      <w:r>
        <w:t xml:space="preserve">  </w:t>
      </w:r>
      <w:r w:rsidR="001C1AC2">
        <w:t>F</w:t>
      </w:r>
      <w:r>
        <w:t>or the estimated</w:t>
      </w:r>
      <w:r w:rsidR="00484140">
        <w:t xml:space="preserve"> </w:t>
      </w:r>
      <w:r w:rsidR="00FA4E48">
        <w:t>500</w:t>
      </w:r>
      <w:r>
        <w:t xml:space="preserve"> notices that will be mailed annually (</w:t>
      </w:r>
      <w:r w:rsidR="00C05C01">
        <w:t xml:space="preserve">46.3 </w:t>
      </w:r>
      <w:r>
        <w:t xml:space="preserve">percent of </w:t>
      </w:r>
      <w:r w:rsidR="00FA4E48">
        <w:t>1,080</w:t>
      </w:r>
      <w:r>
        <w:t xml:space="preserve"> notices annually), we estimate an additional hour burden for distribution of </w:t>
      </w:r>
      <w:r w:rsidR="00FA4E48">
        <w:t xml:space="preserve">17 </w:t>
      </w:r>
      <w:r>
        <w:t>hours (</w:t>
      </w:r>
      <w:r w:rsidR="00FA4E48">
        <w:t>500</w:t>
      </w:r>
      <w:r>
        <w:t xml:space="preserve"> notices x 2 minutes).  The equivalent cost of this additional hour burden at $</w:t>
      </w:r>
      <w:r w:rsidR="00C05C01">
        <w:t>52.09</w:t>
      </w:r>
      <w:r>
        <w:t xml:space="preserve"> per hour is $</w:t>
      </w:r>
      <w:r w:rsidR="00FA4E48">
        <w:t>868</w:t>
      </w:r>
      <w:r>
        <w:t xml:space="preserve"> (</w:t>
      </w:r>
      <w:r w:rsidR="00FA4E48">
        <w:t xml:space="preserve">17 </w:t>
      </w:r>
      <w:r>
        <w:t>hours x $</w:t>
      </w:r>
      <w:r w:rsidR="00C05C01">
        <w:t>52.09</w:t>
      </w:r>
      <w:r>
        <w:t xml:space="preserve">/hour).  </w:t>
      </w:r>
    </w:p>
    <w:p w:rsidR="00B13E02" w:rsidRDefault="00B13E02" w:rsidP="00021D03">
      <w:pPr>
        <w:widowControl/>
      </w:pPr>
    </w:p>
    <w:p w:rsidR="00B13E02" w:rsidRDefault="00B13E02" w:rsidP="00021D03">
      <w:pPr>
        <w:pStyle w:val="BodyText"/>
        <w:widowControl/>
      </w:pPr>
      <w:r>
        <w:t xml:space="preserve">Total hour burden for the notice is estimated at </w:t>
      </w:r>
      <w:r w:rsidR="00FA4E48">
        <w:t xml:space="preserve">23 </w:t>
      </w:r>
      <w:r>
        <w:t>hours (</w:t>
      </w:r>
      <w:r w:rsidR="00FA4E48">
        <w:t>4</w:t>
      </w:r>
      <w:r w:rsidR="00A54D08">
        <w:t xml:space="preserve"> </w:t>
      </w:r>
      <w:r>
        <w:t xml:space="preserve">hours professional time + </w:t>
      </w:r>
      <w:r w:rsidR="00FA4E48">
        <w:t xml:space="preserve">2 </w:t>
      </w:r>
      <w:r>
        <w:t xml:space="preserve">hours clerical time for preparation + </w:t>
      </w:r>
      <w:r w:rsidR="00FA4E48">
        <w:t xml:space="preserve">17 </w:t>
      </w:r>
      <w:r>
        <w:t xml:space="preserve">hours clerical time for distribution) and the total </w:t>
      </w:r>
      <w:r w:rsidR="007278D3">
        <w:t>equivalent cost</w:t>
      </w:r>
      <w:r>
        <w:t xml:space="preserve"> is $</w:t>
      </w:r>
      <w:r w:rsidR="00FA4E48">
        <w:t>1,348</w:t>
      </w:r>
      <w:r>
        <w:t xml:space="preserve"> ($</w:t>
      </w:r>
      <w:r w:rsidR="00FA4E48">
        <w:t xml:space="preserve">375 </w:t>
      </w:r>
      <w:r>
        <w:t>+ $</w:t>
      </w:r>
      <w:r w:rsidR="00FA4E48">
        <w:t xml:space="preserve">104 </w:t>
      </w:r>
      <w:r>
        <w:t>+ $</w:t>
      </w:r>
      <w:r w:rsidR="00FA4E48">
        <w:t>868</w:t>
      </w:r>
      <w:r>
        <w:t>).</w:t>
      </w:r>
      <w:r w:rsidR="00874C9B" w:rsidRPr="007278D3">
        <w:rPr>
          <w:rStyle w:val="FootnoteReference"/>
          <w:vertAlign w:val="superscript"/>
        </w:rPr>
        <w:footnoteReference w:id="3"/>
      </w:r>
    </w:p>
    <w:p w:rsidR="00B13E02" w:rsidRDefault="00B13E02" w:rsidP="00021D03">
      <w:pPr>
        <w:widowControl/>
      </w:pPr>
    </w:p>
    <w:p w:rsidR="00B13E02" w:rsidRDefault="00B13E02" w:rsidP="00021D03">
      <w:pPr>
        <w:pStyle w:val="BodyText"/>
        <w:widowControl/>
        <w:rPr>
          <w:i/>
        </w:rPr>
      </w:pPr>
      <w:r w:rsidRPr="00DF7CC0">
        <w:rPr>
          <w:b/>
        </w:rPr>
        <w:t xml:space="preserve">PTE </w:t>
      </w:r>
      <w:r w:rsidR="00D536A7">
        <w:rPr>
          <w:b/>
        </w:rPr>
        <w:t>20</w:t>
      </w:r>
      <w:r w:rsidRPr="00DF7CC0">
        <w:rPr>
          <w:b/>
        </w:rPr>
        <w:t>03-39</w:t>
      </w:r>
      <w:r>
        <w:rPr>
          <w:b/>
        </w:rPr>
        <w:t xml:space="preserve">.  </w:t>
      </w:r>
      <w:r>
        <w:t xml:space="preserve">The exemption requires the terms of the settlement to be described in a written document. Because it is usual and customary business practice to express the terms of a settlement in writing, there is no additional hour burden attributed to this provision.   </w:t>
      </w:r>
    </w:p>
    <w:p w:rsidR="00B13E02" w:rsidRDefault="00B13E02" w:rsidP="00021D03">
      <w:pPr>
        <w:widowControl/>
      </w:pPr>
    </w:p>
    <w:p w:rsidR="00B13E02" w:rsidRDefault="00B13E02" w:rsidP="00021D03">
      <w:pPr>
        <w:pStyle w:val="BodyText"/>
        <w:widowControl/>
      </w:pPr>
      <w:r>
        <w:t>The exemption also requires that a fiduciary representing the plan in settlement negotiations acknowledge in writing his/her fiduciary status with respect to the settlement of the litigation on behalf of the plan.  It is anticipated that the acknowledgement will be incorporated into the investment management or trustee agreement outlining the terms and conditions of the fiduciary’s retention as a plan service provider, which should already be in existence as part of usual and customary business practice.  The additional hour burden attributable to this acknowledgement is negligible and the Department has not increased the overall hour burden for this provision of the exemption.</w:t>
      </w:r>
    </w:p>
    <w:p w:rsidR="00A700A0" w:rsidRDefault="00A700A0" w:rsidP="00021D03">
      <w:pPr>
        <w:pStyle w:val="BodyText"/>
        <w:widowControl/>
      </w:pPr>
    </w:p>
    <w:p w:rsidR="0064473B" w:rsidRDefault="009419A2" w:rsidP="00021D03">
      <w:pPr>
        <w:pStyle w:val="Quick1"/>
        <w:widowControl/>
        <w:numPr>
          <w:ilvl w:val="0"/>
          <w:numId w:val="0"/>
        </w:numPr>
      </w:pPr>
      <w:r>
        <w:t>13.</w:t>
      </w:r>
      <w:r>
        <w:tab/>
      </w:r>
      <w:r w:rsidR="0064473B">
        <w:t>Provide an estimate of the total annual cost burden to respondents or recordkeepers resulting from the collection of information.  (Do not include the cost of any hour burden shown in Items 12 or 14).</w:t>
      </w:r>
    </w:p>
    <w:p w:rsidR="0064473B" w:rsidRDefault="0064473B" w:rsidP="00021D03">
      <w:pPr>
        <w:pStyle w:val="Quick1"/>
        <w:widowControl/>
        <w:numPr>
          <w:ilvl w:val="0"/>
          <w:numId w:val="0"/>
        </w:numPr>
        <w:tabs>
          <w:tab w:val="left" w:pos="-1440"/>
        </w:tabs>
        <w:rPr>
          <w:i w:val="0"/>
        </w:rPr>
      </w:pPr>
    </w:p>
    <w:p w:rsidR="00B13E02" w:rsidRDefault="00B13E02" w:rsidP="00021D03">
      <w:pPr>
        <w:pStyle w:val="BodyText"/>
        <w:widowControl/>
      </w:pPr>
      <w:r>
        <w:t>As explained in the answer to question 12, the Department assumes that all work to prepare and distribute the notices will be performed in-house.  The additional costs that will be paid by respondents to satisfy this information collection, which consist of printing and mailing costs, are described here.</w:t>
      </w:r>
    </w:p>
    <w:p w:rsidR="00B13E02" w:rsidRDefault="00B13E02" w:rsidP="00021D03">
      <w:pPr>
        <w:widowControl/>
      </w:pPr>
    </w:p>
    <w:p w:rsidR="00B13E02" w:rsidRDefault="00B13E02" w:rsidP="00021D03">
      <w:pPr>
        <w:pStyle w:val="BodyText"/>
        <w:widowControl/>
      </w:pPr>
      <w:r>
        <w:t xml:space="preserve">This estimate assumes that </w:t>
      </w:r>
      <w:r w:rsidR="00BE2674">
        <w:t xml:space="preserve">53.7 </w:t>
      </w:r>
      <w:r>
        <w:t xml:space="preserve">percent of the plan administrator’s notices will be provided to participants and beneficiaries electronically.  Because the respondents will utilize existing electronic communications systems and integrated participant/beneficiary address databases, the Department has assumed that the additional costs of distributing electronic notices will be </w:t>
      </w:r>
      <w:r w:rsidR="00C94B31">
        <w:t>de minimis</w:t>
      </w:r>
      <w:r>
        <w:t xml:space="preserve">.  For the remaining </w:t>
      </w:r>
      <w:r w:rsidR="00BE2674">
        <w:t xml:space="preserve">46.3 </w:t>
      </w:r>
      <w:r>
        <w:t>percent of the notices, the Department has assumed a mailing cost of $</w:t>
      </w:r>
      <w:r w:rsidR="000810D4">
        <w:t>0</w:t>
      </w:r>
      <w:r>
        <w:t>.</w:t>
      </w:r>
      <w:r w:rsidR="00BE2674">
        <w:t xml:space="preserve">55 </w:t>
      </w:r>
      <w:r>
        <w:t>per notice</w:t>
      </w:r>
      <w:r w:rsidR="000810D4">
        <w:t xml:space="preserve"> ($0.</w:t>
      </w:r>
      <w:r w:rsidR="00BE2674">
        <w:t xml:space="preserve">50 </w:t>
      </w:r>
      <w:r w:rsidR="000810D4">
        <w:t xml:space="preserve">for postage+$0.05 </w:t>
      </w:r>
      <w:r w:rsidR="00C41552">
        <w:t>for one</w:t>
      </w:r>
      <w:r w:rsidR="000810D4">
        <w:t xml:space="preserve"> page of paper</w:t>
      </w:r>
      <w:r>
        <w:t>), for a total annual cost of $</w:t>
      </w:r>
      <w:r w:rsidR="00FA4E48">
        <w:t xml:space="preserve">275 </w:t>
      </w:r>
      <w:r>
        <w:t xml:space="preserve">to mail an estimated </w:t>
      </w:r>
      <w:r w:rsidR="00FA4E48">
        <w:t>500</w:t>
      </w:r>
      <w:r>
        <w:t xml:space="preserve"> </w:t>
      </w:r>
      <w:r w:rsidR="00C41552">
        <w:t xml:space="preserve">paper </w:t>
      </w:r>
      <w:r>
        <w:t xml:space="preserve">notices (270 participants x </w:t>
      </w:r>
      <w:r w:rsidR="00FA4E48">
        <w:t xml:space="preserve">4 </w:t>
      </w:r>
      <w:r>
        <w:t xml:space="preserve">plans x </w:t>
      </w:r>
      <w:r w:rsidR="00351585">
        <w:t xml:space="preserve">46.3 </w:t>
      </w:r>
      <w:r>
        <w:t xml:space="preserve">percent of notices mailed).  </w:t>
      </w:r>
    </w:p>
    <w:p w:rsidR="00B13E02" w:rsidRDefault="00B13E02" w:rsidP="00021D03">
      <w:pPr>
        <w:widowControl/>
      </w:pPr>
    </w:p>
    <w:p w:rsidR="00B13E02" w:rsidRDefault="00B13E02" w:rsidP="00021D03">
      <w:pPr>
        <w:pStyle w:val="BodyText"/>
        <w:widowControl/>
      </w:pPr>
      <w:r>
        <w:t>Because the department requires no further notices to be filed, there are no additional costs involved and the total annual cost burden of the information collection is $</w:t>
      </w:r>
      <w:r w:rsidR="00FA4E48">
        <w:t>275</w:t>
      </w:r>
      <w:r>
        <w:t xml:space="preserve">.  </w:t>
      </w:r>
    </w:p>
    <w:p w:rsidR="00073F2A" w:rsidRDefault="00073F2A" w:rsidP="00021D03">
      <w:pPr>
        <w:widowControl/>
      </w:pPr>
    </w:p>
    <w:p w:rsidR="0064473B" w:rsidRDefault="0064473B" w:rsidP="00021D03">
      <w:pPr>
        <w:pStyle w:val="Quick1"/>
        <w:widowControl/>
        <w:numPr>
          <w:ilvl w:val="0"/>
          <w:numId w:val="0"/>
        </w:numPr>
      </w:pPr>
      <w:r>
        <w:t>14.</w:t>
      </w:r>
      <w: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4473B" w:rsidRDefault="0064473B" w:rsidP="00021D03">
      <w:pPr>
        <w:widowControl/>
        <w:rPr>
          <w:b/>
        </w:rPr>
      </w:pPr>
    </w:p>
    <w:p w:rsidR="00334E01" w:rsidRDefault="00334E01" w:rsidP="00021D03">
      <w:pPr>
        <w:pStyle w:val="BodyText"/>
        <w:widowControl/>
      </w:pPr>
      <w:r>
        <w:t xml:space="preserve">Because there is no requirement to file notices with the Department for either PTE 94-71 or PTE </w:t>
      </w:r>
      <w:r w:rsidR="00D536A7">
        <w:t>20</w:t>
      </w:r>
      <w:r>
        <w:t xml:space="preserve">03-39, there are no direct costs </w:t>
      </w:r>
      <w:r w:rsidR="004705B9">
        <w:t>to</w:t>
      </w:r>
      <w:r>
        <w:t xml:space="preserve"> the Department</w:t>
      </w:r>
      <w:r w:rsidR="004705B9">
        <w:t xml:space="preserve"> for the information collection</w:t>
      </w:r>
      <w:r>
        <w:t xml:space="preserve">.  </w:t>
      </w:r>
      <w:r w:rsidR="004705B9">
        <w:t xml:space="preserve">PTE </w:t>
      </w:r>
      <w:r w:rsidR="00D536A7">
        <w:t>20</w:t>
      </w:r>
      <w:r w:rsidR="004705B9">
        <w:t xml:space="preserve">03-39 does not require any action from the Department or impose any costs.  </w:t>
      </w:r>
      <w:r>
        <w:t xml:space="preserve">The </w:t>
      </w:r>
      <w:r w:rsidR="004705B9">
        <w:t xml:space="preserve">Department’s oversight of the settlement process and its review of the notice for PTE 94-71 may require some small additional time for the regional office of the Department involved in the settlement, but the amount of additional time, over and above time otherwise devoted to the investigation, will be minimal, and </w:t>
      </w:r>
      <w:r>
        <w:t>the availability of exemptive relief under PTE 94-71 will not alter the basic nature of the Department’s course of conduct in its investigative activities</w:t>
      </w:r>
      <w:r w:rsidR="004705B9">
        <w:t>.  Thus,</w:t>
      </w:r>
      <w:r>
        <w:t xml:space="preserve"> there should be no addition or reduction to program costs as a result of this exemption.</w:t>
      </w:r>
    </w:p>
    <w:p w:rsidR="0064473B" w:rsidRDefault="0064473B" w:rsidP="00021D03">
      <w:pPr>
        <w:widowControl/>
      </w:pPr>
    </w:p>
    <w:p w:rsidR="0064473B" w:rsidRDefault="0064473B" w:rsidP="00021D03">
      <w:pPr>
        <w:pStyle w:val="Quick1"/>
        <w:widowControl/>
        <w:numPr>
          <w:ilvl w:val="0"/>
          <w:numId w:val="0"/>
        </w:numPr>
      </w:pPr>
      <w:r>
        <w:t>15.</w:t>
      </w:r>
      <w:r>
        <w:tab/>
        <w:t>Explain the reasons for any program changes or adjustments reporting in Items 13 or 14.</w:t>
      </w:r>
    </w:p>
    <w:p w:rsidR="0064473B" w:rsidRDefault="0064473B" w:rsidP="00021D03">
      <w:pPr>
        <w:widowControl/>
        <w:ind w:firstLine="720"/>
      </w:pPr>
    </w:p>
    <w:p w:rsidR="007467CF" w:rsidRDefault="007467CF" w:rsidP="00021D03">
      <w:pPr>
        <w:widowControl/>
        <w:ind w:left="0"/>
      </w:pPr>
      <w:r>
        <w:t xml:space="preserve">The </w:t>
      </w:r>
      <w:r w:rsidR="003F7448">
        <w:t xml:space="preserve">burden estimates reflect </w:t>
      </w:r>
      <w:r w:rsidR="00AA2A4F">
        <w:t xml:space="preserve">decrease </w:t>
      </w:r>
      <w:r w:rsidR="003F7448">
        <w:t xml:space="preserve">in the number of settlement agreements each year and </w:t>
      </w:r>
      <w:r w:rsidR="00AA2A4F">
        <w:t xml:space="preserve">an increase </w:t>
      </w:r>
      <w:r w:rsidR="003F7448">
        <w:t>in wage rates and postage rates.</w:t>
      </w:r>
    </w:p>
    <w:p w:rsidR="0064473B" w:rsidRDefault="0064473B" w:rsidP="00021D03">
      <w:pPr>
        <w:widowControl/>
      </w:pPr>
    </w:p>
    <w:p w:rsidR="0064473B" w:rsidRDefault="0064473B" w:rsidP="00021D03">
      <w:pPr>
        <w:widowControl/>
        <w:sectPr w:rsidR="0064473B">
          <w:endnotePr>
            <w:numFmt w:val="decimal"/>
          </w:endnotePr>
          <w:type w:val="continuous"/>
          <w:pgSz w:w="12240" w:h="15840"/>
          <w:pgMar w:top="1350" w:right="1440" w:bottom="1440" w:left="1440" w:header="1350" w:footer="1440" w:gutter="0"/>
          <w:cols w:space="720"/>
          <w:noEndnote/>
        </w:sectPr>
      </w:pPr>
    </w:p>
    <w:p w:rsidR="0064473B" w:rsidRDefault="0064473B" w:rsidP="00021D03">
      <w:pPr>
        <w:pStyle w:val="Quick1"/>
        <w:widowControl/>
        <w:numPr>
          <w:ilvl w:val="0"/>
          <w:numId w:val="0"/>
        </w:numPr>
      </w:pPr>
      <w:r>
        <w:t>16.</w:t>
      </w:r>
      <w: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4473B" w:rsidRDefault="0064473B" w:rsidP="00021D03">
      <w:pPr>
        <w:widowControl/>
      </w:pPr>
    </w:p>
    <w:p w:rsidR="0064473B" w:rsidRDefault="0064473B" w:rsidP="00021D03">
      <w:pPr>
        <w:pStyle w:val="BodyText"/>
        <w:widowControl/>
      </w:pPr>
      <w:r>
        <w:t>There are no plans to publish the results of this collection of information.</w:t>
      </w:r>
    </w:p>
    <w:p w:rsidR="0064473B" w:rsidRDefault="0064473B" w:rsidP="00021D03">
      <w:pPr>
        <w:widowControl/>
      </w:pPr>
    </w:p>
    <w:p w:rsidR="0064473B" w:rsidRDefault="0064473B" w:rsidP="00021D03">
      <w:pPr>
        <w:pStyle w:val="Quick1"/>
        <w:widowControl/>
        <w:numPr>
          <w:ilvl w:val="0"/>
          <w:numId w:val="0"/>
        </w:numPr>
      </w:pPr>
      <w:r>
        <w:t>17.</w:t>
      </w:r>
      <w:r>
        <w:tab/>
        <w:t>If seeking approval to not display the expiration date for OMB approval of the information collection, explain the reasons that display would be inappropriate.</w:t>
      </w:r>
    </w:p>
    <w:p w:rsidR="0064473B" w:rsidRDefault="0064473B" w:rsidP="00021D03">
      <w:pPr>
        <w:widowControl/>
      </w:pPr>
    </w:p>
    <w:p w:rsidR="0064473B" w:rsidRDefault="0064473B" w:rsidP="00021D03">
      <w:pPr>
        <w:pStyle w:val="BodyText"/>
        <w:widowControl/>
      </w:pPr>
      <w:r>
        <w:t>The OMB expiration date will be published in the Federal Register following OMB approval.</w:t>
      </w:r>
    </w:p>
    <w:p w:rsidR="0064473B" w:rsidRDefault="0064473B" w:rsidP="00021D03">
      <w:pPr>
        <w:widowControl/>
      </w:pPr>
    </w:p>
    <w:p w:rsidR="0064473B" w:rsidRDefault="0064473B" w:rsidP="00021D03">
      <w:pPr>
        <w:pStyle w:val="Quick1"/>
        <w:widowControl/>
        <w:numPr>
          <w:ilvl w:val="0"/>
          <w:numId w:val="0"/>
        </w:numPr>
      </w:pPr>
      <w:r>
        <w:t>18.</w:t>
      </w:r>
      <w:r>
        <w:tab/>
        <w:t>Explain each exception to the certification statement identified in Item 19, "Certification for Paperwork Reduction Act Submission</w:t>
      </w:r>
      <w:r w:rsidR="00233198">
        <w:t>.</w:t>
      </w:r>
      <w:r>
        <w:t>"</w:t>
      </w:r>
    </w:p>
    <w:p w:rsidR="0064473B" w:rsidRDefault="0064473B" w:rsidP="00021D03">
      <w:pPr>
        <w:widowControl/>
      </w:pPr>
    </w:p>
    <w:p w:rsidR="0064473B" w:rsidRDefault="0064473B" w:rsidP="00021D03">
      <w:pPr>
        <w:pStyle w:val="BodyText"/>
        <w:widowControl/>
      </w:pPr>
      <w:r>
        <w:t>Not applicable; no exceptions to the certification statement.</w:t>
      </w:r>
    </w:p>
    <w:p w:rsidR="0064473B" w:rsidRDefault="0064473B" w:rsidP="00021D03">
      <w:pPr>
        <w:widowControl/>
      </w:pPr>
    </w:p>
    <w:p w:rsidR="0064473B" w:rsidRDefault="0064473B" w:rsidP="00021D03">
      <w:pPr>
        <w:widowControl/>
        <w:tabs>
          <w:tab w:val="left" w:pos="-1440"/>
        </w:tabs>
        <w:ind w:hanging="720"/>
      </w:pPr>
      <w:r>
        <w:rPr>
          <w:b/>
        </w:rPr>
        <w:t>B.</w:t>
      </w:r>
      <w:r>
        <w:rPr>
          <w:b/>
        </w:rPr>
        <w:tab/>
        <w:t>Collections of Information Employing Statistical Methods</w:t>
      </w:r>
    </w:p>
    <w:p w:rsidR="0064473B" w:rsidRDefault="0064473B" w:rsidP="00021D03">
      <w:pPr>
        <w:widowControl/>
      </w:pPr>
    </w:p>
    <w:p w:rsidR="0064473B" w:rsidRDefault="0064473B" w:rsidP="00021D03">
      <w:pPr>
        <w:pStyle w:val="BodyText"/>
        <w:widowControl/>
      </w:pPr>
      <w:r>
        <w:t>Not applicable.  The use of statistical methods is not relevant to this collection of information.</w:t>
      </w:r>
    </w:p>
    <w:sectPr w:rsidR="0064473B">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C5A" w:rsidRDefault="00574C5A">
      <w:r>
        <w:separator/>
      </w:r>
    </w:p>
  </w:endnote>
  <w:endnote w:type="continuationSeparator" w:id="0">
    <w:p w:rsidR="00574C5A" w:rsidRDefault="0057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ehive">
    <w:altName w:val="Georg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F4" w:rsidRDefault="00F131F4">
    <w:pPr>
      <w:spacing w:line="348" w:lineRule="exact"/>
    </w:pPr>
  </w:p>
  <w:p w:rsidR="00F131F4" w:rsidRDefault="00F131F4">
    <w:pPr>
      <w:framePr w:w="9361" w:wrap="notBeside" w:vAnchor="text" w:hAnchor="text" w:x="1" w:y="1"/>
      <w:jc w:val="center"/>
    </w:pPr>
    <w:r>
      <w:fldChar w:fldCharType="begin"/>
    </w:r>
    <w:r>
      <w:instrText xml:space="preserve">PAGE </w:instrText>
    </w:r>
    <w:r>
      <w:fldChar w:fldCharType="separate"/>
    </w:r>
    <w:r w:rsidR="00E62F7F">
      <w:rPr>
        <w:noProof/>
      </w:rPr>
      <w:t>1</w:t>
    </w:r>
    <w:r>
      <w:fldChar w:fldCharType="end"/>
    </w:r>
  </w:p>
  <w:p w:rsidR="00F131F4" w:rsidRDefault="00F131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C5A" w:rsidRDefault="00574C5A">
      <w:r>
        <w:separator/>
      </w:r>
    </w:p>
  </w:footnote>
  <w:footnote w:type="continuationSeparator" w:id="0">
    <w:p w:rsidR="00574C5A" w:rsidRDefault="00574C5A">
      <w:r>
        <w:continuationSeparator/>
      </w:r>
    </w:p>
  </w:footnote>
  <w:footnote w:id="1">
    <w:p w:rsidR="00B06707" w:rsidRDefault="00B06707">
      <w:pPr>
        <w:pStyle w:val="FootnoteText"/>
      </w:pPr>
      <w:r w:rsidRPr="00FF4E24">
        <w:rPr>
          <w:rStyle w:val="FootnoteReference"/>
          <w:vertAlign w:val="superscript"/>
        </w:rPr>
        <w:footnoteRef/>
      </w:r>
      <w:r>
        <w:t xml:space="preserve"> </w:t>
      </w:r>
      <w:r w:rsidR="00C05C01">
        <w:t xml:space="preserve">For more on how the Department estimates labor costs see: </w:t>
      </w:r>
      <w:r w:rsidR="00C05C01" w:rsidRPr="00C05C01">
        <w:t>https://www.dol.gov/sites/default/files/ebsa/laws-and-regulations/rules-and-regulations/technical-appendices/labor-cost-inputs-used-in-ebsa-opr-ria-and-pra-burden-calculations-july-2017.pdf</w:t>
      </w:r>
    </w:p>
  </w:footnote>
  <w:footnote w:id="2">
    <w:p w:rsidR="00FA4E48" w:rsidRPr="00270E54" w:rsidRDefault="00FA4E48" w:rsidP="00270E54">
      <w:pPr>
        <w:ind w:left="0"/>
        <w:rPr>
          <w:sz w:val="20"/>
          <w:szCs w:val="20"/>
        </w:rPr>
      </w:pPr>
      <w:r>
        <w:rPr>
          <w:vertAlign w:val="superscript"/>
        </w:rPr>
        <w:t xml:space="preserve">   </w:t>
      </w:r>
      <w:r w:rsidRPr="00270E54">
        <w:rPr>
          <w:rStyle w:val="FootnoteReference"/>
          <w:vertAlign w:val="superscript"/>
        </w:rPr>
        <w:footnoteRef/>
      </w:r>
      <w:r w:rsidRPr="00270E54">
        <w:rPr>
          <w:vertAlign w:val="superscript"/>
        </w:rPr>
        <w:t xml:space="preserve"> </w:t>
      </w:r>
      <w:r>
        <w:rPr>
          <w:vertAlign w:val="superscript"/>
        </w:rPr>
        <w:t xml:space="preserve"> </w:t>
      </w:r>
      <w:r w:rsidRPr="00270E54">
        <w:rPr>
          <w:color w:val="000000"/>
          <w:sz w:val="20"/>
          <w:szCs w:val="20"/>
        </w:rPr>
        <w:t>According to data from the National Telecommunications and Information Agency (NTIA), 36.0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30.2 percent receiving electronic disclosure at work).  Additionally, the NTIA reports that 38.5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23.5 percent receiving electronic disclosure outside of work).  Combining the 30.2 percent who receive electronic disclosure at work with the 23.5 percent who receive electronic disclosure outside of work produces a total of 53.7 percent who will receive electronic disclosure overall.</w:t>
      </w:r>
    </w:p>
    <w:p w:rsidR="00FA4E48" w:rsidRPr="00FA4E48" w:rsidRDefault="00FA4E48">
      <w:pPr>
        <w:pStyle w:val="FootnoteText"/>
      </w:pPr>
    </w:p>
  </w:footnote>
  <w:footnote w:id="3">
    <w:p w:rsidR="00874C9B" w:rsidRDefault="00874C9B" w:rsidP="00874C9B">
      <w:pPr>
        <w:pStyle w:val="FootnoteText"/>
      </w:pPr>
      <w:r w:rsidRPr="007278D3">
        <w:rPr>
          <w:rStyle w:val="FootnoteReference"/>
          <w:vertAlign w:val="superscript"/>
        </w:rPr>
        <w:footnoteRef/>
      </w:r>
      <w:r w:rsidRPr="007278D3">
        <w:rPr>
          <w:vertAlign w:val="superscript"/>
        </w:rPr>
        <w:t xml:space="preserve"> </w:t>
      </w:r>
      <w:r>
        <w:t>Any calculation discrepancies are a byproduct of rounding.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F4" w:rsidRPr="007B713E" w:rsidRDefault="00F131F4">
    <w:pPr>
      <w:pStyle w:val="Heading1"/>
      <w:rPr>
        <w:color w:val="5F5F5F"/>
        <w:sz w:val="20"/>
      </w:rPr>
    </w:pPr>
    <w:r w:rsidRPr="007B713E">
      <w:rPr>
        <w:color w:val="5F5F5F"/>
        <w:sz w:val="20"/>
      </w:rPr>
      <w:t>Settlement Agreements Between a Plan and Party in Interest</w:t>
    </w:r>
  </w:p>
  <w:p w:rsidR="00F131F4" w:rsidRPr="007B713E" w:rsidRDefault="00F131F4" w:rsidP="007B7493">
    <w:pPr>
      <w:jc w:val="right"/>
      <w:rPr>
        <w:color w:val="5F5F5F"/>
        <w:sz w:val="20"/>
        <w:szCs w:val="20"/>
      </w:rPr>
    </w:pPr>
    <w:r w:rsidRPr="007B713E">
      <w:rPr>
        <w:b/>
        <w:color w:val="5F5F5F"/>
        <w:sz w:val="20"/>
        <w:szCs w:val="20"/>
      </w:rPr>
      <w:t>OMB Number 1210-0091</w:t>
    </w:r>
    <w:r w:rsidRPr="007B713E">
      <w:rPr>
        <w:rFonts w:ascii="Beehive" w:hAnsi="Beehive"/>
        <w:b/>
        <w:color w:val="5F5F5F"/>
        <w:sz w:val="20"/>
        <w:szCs w:val="20"/>
      </w:rPr>
      <w:t xml:space="preserve"> </w:t>
    </w:r>
  </w:p>
  <w:p w:rsidR="00F131F4" w:rsidRDefault="00B61B7B" w:rsidP="00B030C9">
    <w:pPr>
      <w:jc w:val="right"/>
      <w:rPr>
        <w:b/>
        <w:color w:val="5F5F5F"/>
        <w:sz w:val="20"/>
        <w:szCs w:val="20"/>
      </w:rPr>
    </w:pPr>
    <w:r>
      <w:rPr>
        <w:b/>
        <w:color w:val="5F5F5F"/>
        <w:sz w:val="20"/>
        <w:szCs w:val="20"/>
      </w:rPr>
      <w:t>December</w:t>
    </w:r>
    <w:r w:rsidR="00554667">
      <w:rPr>
        <w:b/>
        <w:color w:val="5F5F5F"/>
        <w:sz w:val="20"/>
        <w:szCs w:val="20"/>
      </w:rPr>
      <w:t xml:space="preserve"> </w:t>
    </w:r>
    <w:r w:rsidR="00510A83">
      <w:rPr>
        <w:b/>
        <w:color w:val="5F5F5F"/>
        <w:sz w:val="20"/>
        <w:szCs w:val="20"/>
      </w:rPr>
      <w:t>201</w:t>
    </w:r>
    <w:r w:rsidR="00554667">
      <w:rPr>
        <w:b/>
        <w:color w:val="5F5F5F"/>
        <w:sz w:val="20"/>
        <w:szCs w:val="20"/>
      </w:rPr>
      <w:t>8</w:t>
    </w:r>
  </w:p>
  <w:p w:rsidR="00F131F4" w:rsidRPr="007B713E" w:rsidRDefault="00F131F4" w:rsidP="007278D3">
    <w:pPr>
      <w:jc w:val="center"/>
      <w:rPr>
        <w:b/>
        <w:color w:val="5F5F5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8245C76"/>
    <w:lvl w:ilvl="0">
      <w:numFmt w:val="decimal"/>
      <w:lvlText w:val="*"/>
      <w:lvlJc w:val="left"/>
    </w:lvl>
  </w:abstractNum>
  <w:abstractNum w:abstractNumId="1">
    <w:nsid w:val="00000001"/>
    <w:multiLevelType w:val="singleLevel"/>
    <w:tmpl w:val="606207BE"/>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nsid w:val="15504C0F"/>
    <w:multiLevelType w:val="hybridMultilevel"/>
    <w:tmpl w:val="39BA1BF4"/>
    <w:lvl w:ilvl="0" w:tplc="7EEA5E1E">
      <w:start w:val="1"/>
      <w:numFmt w:val="bullet"/>
      <w:lvlText w:val=""/>
      <w:lvlJc w:val="left"/>
      <w:pPr>
        <w:tabs>
          <w:tab w:val="num" w:pos="1080"/>
        </w:tabs>
        <w:ind w:left="1080" w:hanging="360"/>
      </w:pPr>
      <w:rPr>
        <w:rFonts w:ascii="Symbol" w:hAnsi="Symbol" w:hint="default"/>
      </w:rPr>
    </w:lvl>
    <w:lvl w:ilvl="1" w:tplc="FDAE87A2" w:tentative="1">
      <w:start w:val="1"/>
      <w:numFmt w:val="bullet"/>
      <w:lvlText w:val="o"/>
      <w:lvlJc w:val="left"/>
      <w:pPr>
        <w:tabs>
          <w:tab w:val="num" w:pos="1800"/>
        </w:tabs>
        <w:ind w:left="1800" w:hanging="360"/>
      </w:pPr>
      <w:rPr>
        <w:rFonts w:ascii="Courier New" w:hAnsi="Courier New" w:hint="default"/>
      </w:rPr>
    </w:lvl>
    <w:lvl w:ilvl="2" w:tplc="E7DC9E28" w:tentative="1">
      <w:start w:val="1"/>
      <w:numFmt w:val="bullet"/>
      <w:lvlText w:val=""/>
      <w:lvlJc w:val="left"/>
      <w:pPr>
        <w:tabs>
          <w:tab w:val="num" w:pos="2520"/>
        </w:tabs>
        <w:ind w:left="2520" w:hanging="360"/>
      </w:pPr>
      <w:rPr>
        <w:rFonts w:ascii="Wingdings" w:hAnsi="Wingdings" w:hint="default"/>
      </w:rPr>
    </w:lvl>
    <w:lvl w:ilvl="3" w:tplc="FE50DD9A" w:tentative="1">
      <w:start w:val="1"/>
      <w:numFmt w:val="bullet"/>
      <w:lvlText w:val=""/>
      <w:lvlJc w:val="left"/>
      <w:pPr>
        <w:tabs>
          <w:tab w:val="num" w:pos="3240"/>
        </w:tabs>
        <w:ind w:left="3240" w:hanging="360"/>
      </w:pPr>
      <w:rPr>
        <w:rFonts w:ascii="Symbol" w:hAnsi="Symbol" w:hint="default"/>
      </w:rPr>
    </w:lvl>
    <w:lvl w:ilvl="4" w:tplc="E9AAD2F0" w:tentative="1">
      <w:start w:val="1"/>
      <w:numFmt w:val="bullet"/>
      <w:lvlText w:val="o"/>
      <w:lvlJc w:val="left"/>
      <w:pPr>
        <w:tabs>
          <w:tab w:val="num" w:pos="3960"/>
        </w:tabs>
        <w:ind w:left="3960" w:hanging="360"/>
      </w:pPr>
      <w:rPr>
        <w:rFonts w:ascii="Courier New" w:hAnsi="Courier New" w:hint="default"/>
      </w:rPr>
    </w:lvl>
    <w:lvl w:ilvl="5" w:tplc="D0CCCA4C" w:tentative="1">
      <w:start w:val="1"/>
      <w:numFmt w:val="bullet"/>
      <w:lvlText w:val=""/>
      <w:lvlJc w:val="left"/>
      <w:pPr>
        <w:tabs>
          <w:tab w:val="num" w:pos="4680"/>
        </w:tabs>
        <w:ind w:left="4680" w:hanging="360"/>
      </w:pPr>
      <w:rPr>
        <w:rFonts w:ascii="Wingdings" w:hAnsi="Wingdings" w:hint="default"/>
      </w:rPr>
    </w:lvl>
    <w:lvl w:ilvl="6" w:tplc="3A7872FC" w:tentative="1">
      <w:start w:val="1"/>
      <w:numFmt w:val="bullet"/>
      <w:lvlText w:val=""/>
      <w:lvlJc w:val="left"/>
      <w:pPr>
        <w:tabs>
          <w:tab w:val="num" w:pos="5400"/>
        </w:tabs>
        <w:ind w:left="5400" w:hanging="360"/>
      </w:pPr>
      <w:rPr>
        <w:rFonts w:ascii="Symbol" w:hAnsi="Symbol" w:hint="default"/>
      </w:rPr>
    </w:lvl>
    <w:lvl w:ilvl="7" w:tplc="A70C2238" w:tentative="1">
      <w:start w:val="1"/>
      <w:numFmt w:val="bullet"/>
      <w:lvlText w:val="o"/>
      <w:lvlJc w:val="left"/>
      <w:pPr>
        <w:tabs>
          <w:tab w:val="num" w:pos="6120"/>
        </w:tabs>
        <w:ind w:left="6120" w:hanging="360"/>
      </w:pPr>
      <w:rPr>
        <w:rFonts w:ascii="Courier New" w:hAnsi="Courier New" w:hint="default"/>
      </w:rPr>
    </w:lvl>
    <w:lvl w:ilvl="8" w:tplc="33B641B6" w:tentative="1">
      <w:start w:val="1"/>
      <w:numFmt w:val="bullet"/>
      <w:lvlText w:val=""/>
      <w:lvlJc w:val="left"/>
      <w:pPr>
        <w:tabs>
          <w:tab w:val="num" w:pos="6840"/>
        </w:tabs>
        <w:ind w:left="6840" w:hanging="360"/>
      </w:pPr>
      <w:rPr>
        <w:rFonts w:ascii="Wingdings" w:hAnsi="Wingdings" w:hint="default"/>
      </w:rPr>
    </w:lvl>
  </w:abstractNum>
  <w:abstractNum w:abstractNumId="3">
    <w:nsid w:val="18C5619A"/>
    <w:multiLevelType w:val="hybridMultilevel"/>
    <w:tmpl w:val="47A4BFCA"/>
    <w:lvl w:ilvl="0" w:tplc="FE440346">
      <w:start w:val="1"/>
      <w:numFmt w:val="bullet"/>
      <w:lvlText w:val=""/>
      <w:lvlJc w:val="left"/>
      <w:pPr>
        <w:tabs>
          <w:tab w:val="num" w:pos="360"/>
        </w:tabs>
        <w:ind w:left="360" w:hanging="360"/>
      </w:pPr>
      <w:rPr>
        <w:rFonts w:ascii="Symbol" w:hAnsi="Symbol" w:hint="default"/>
      </w:rPr>
    </w:lvl>
    <w:lvl w:ilvl="1" w:tplc="0C708FA6" w:tentative="1">
      <w:start w:val="1"/>
      <w:numFmt w:val="bullet"/>
      <w:lvlText w:val="o"/>
      <w:lvlJc w:val="left"/>
      <w:pPr>
        <w:tabs>
          <w:tab w:val="num" w:pos="1080"/>
        </w:tabs>
        <w:ind w:left="1080" w:hanging="360"/>
      </w:pPr>
      <w:rPr>
        <w:rFonts w:ascii="Courier New" w:hAnsi="Courier New" w:hint="default"/>
      </w:rPr>
    </w:lvl>
    <w:lvl w:ilvl="2" w:tplc="508A2222" w:tentative="1">
      <w:start w:val="1"/>
      <w:numFmt w:val="bullet"/>
      <w:lvlText w:val=""/>
      <w:lvlJc w:val="left"/>
      <w:pPr>
        <w:tabs>
          <w:tab w:val="num" w:pos="1800"/>
        </w:tabs>
        <w:ind w:left="1800" w:hanging="360"/>
      </w:pPr>
      <w:rPr>
        <w:rFonts w:ascii="Wingdings" w:hAnsi="Wingdings" w:hint="default"/>
      </w:rPr>
    </w:lvl>
    <w:lvl w:ilvl="3" w:tplc="CB66AFA0" w:tentative="1">
      <w:start w:val="1"/>
      <w:numFmt w:val="bullet"/>
      <w:lvlText w:val=""/>
      <w:lvlJc w:val="left"/>
      <w:pPr>
        <w:tabs>
          <w:tab w:val="num" w:pos="2520"/>
        </w:tabs>
        <w:ind w:left="2520" w:hanging="360"/>
      </w:pPr>
      <w:rPr>
        <w:rFonts w:ascii="Symbol" w:hAnsi="Symbol" w:hint="default"/>
      </w:rPr>
    </w:lvl>
    <w:lvl w:ilvl="4" w:tplc="445AB1C0" w:tentative="1">
      <w:start w:val="1"/>
      <w:numFmt w:val="bullet"/>
      <w:lvlText w:val="o"/>
      <w:lvlJc w:val="left"/>
      <w:pPr>
        <w:tabs>
          <w:tab w:val="num" w:pos="3240"/>
        </w:tabs>
        <w:ind w:left="3240" w:hanging="360"/>
      </w:pPr>
      <w:rPr>
        <w:rFonts w:ascii="Courier New" w:hAnsi="Courier New" w:hint="default"/>
      </w:rPr>
    </w:lvl>
    <w:lvl w:ilvl="5" w:tplc="B6405136" w:tentative="1">
      <w:start w:val="1"/>
      <w:numFmt w:val="bullet"/>
      <w:lvlText w:val=""/>
      <w:lvlJc w:val="left"/>
      <w:pPr>
        <w:tabs>
          <w:tab w:val="num" w:pos="3960"/>
        </w:tabs>
        <w:ind w:left="3960" w:hanging="360"/>
      </w:pPr>
      <w:rPr>
        <w:rFonts w:ascii="Wingdings" w:hAnsi="Wingdings" w:hint="default"/>
      </w:rPr>
    </w:lvl>
    <w:lvl w:ilvl="6" w:tplc="F11C4104" w:tentative="1">
      <w:start w:val="1"/>
      <w:numFmt w:val="bullet"/>
      <w:lvlText w:val=""/>
      <w:lvlJc w:val="left"/>
      <w:pPr>
        <w:tabs>
          <w:tab w:val="num" w:pos="4680"/>
        </w:tabs>
        <w:ind w:left="4680" w:hanging="360"/>
      </w:pPr>
      <w:rPr>
        <w:rFonts w:ascii="Symbol" w:hAnsi="Symbol" w:hint="default"/>
      </w:rPr>
    </w:lvl>
    <w:lvl w:ilvl="7" w:tplc="A85A36EC" w:tentative="1">
      <w:start w:val="1"/>
      <w:numFmt w:val="bullet"/>
      <w:lvlText w:val="o"/>
      <w:lvlJc w:val="left"/>
      <w:pPr>
        <w:tabs>
          <w:tab w:val="num" w:pos="5400"/>
        </w:tabs>
        <w:ind w:left="5400" w:hanging="360"/>
      </w:pPr>
      <w:rPr>
        <w:rFonts w:ascii="Courier New" w:hAnsi="Courier New" w:hint="default"/>
      </w:rPr>
    </w:lvl>
    <w:lvl w:ilvl="8" w:tplc="82928F20" w:tentative="1">
      <w:start w:val="1"/>
      <w:numFmt w:val="bullet"/>
      <w:lvlText w:val=""/>
      <w:lvlJc w:val="left"/>
      <w:pPr>
        <w:tabs>
          <w:tab w:val="num" w:pos="6120"/>
        </w:tabs>
        <w:ind w:left="6120" w:hanging="360"/>
      </w:pPr>
      <w:rPr>
        <w:rFonts w:ascii="Wingdings" w:hAnsi="Wingdings" w:hint="default"/>
      </w:rPr>
    </w:lvl>
  </w:abstractNum>
  <w:abstractNum w:abstractNumId="4">
    <w:nsid w:val="38BC42D7"/>
    <w:multiLevelType w:val="hybridMultilevel"/>
    <w:tmpl w:val="FDC2C0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B106D4B"/>
    <w:multiLevelType w:val="hybridMultilevel"/>
    <w:tmpl w:val="46F6C6DA"/>
    <w:lvl w:ilvl="0" w:tplc="E22C47B4">
      <w:start w:val="1"/>
      <w:numFmt w:val="bullet"/>
      <w:lvlText w:val=""/>
      <w:lvlJc w:val="left"/>
      <w:pPr>
        <w:tabs>
          <w:tab w:val="num" w:pos="360"/>
        </w:tabs>
        <w:ind w:left="360" w:hanging="360"/>
      </w:pPr>
      <w:rPr>
        <w:rFonts w:ascii="Symbol" w:hAnsi="Symbol" w:hint="default"/>
      </w:rPr>
    </w:lvl>
    <w:lvl w:ilvl="1" w:tplc="281E8A14" w:tentative="1">
      <w:start w:val="1"/>
      <w:numFmt w:val="bullet"/>
      <w:lvlText w:val="o"/>
      <w:lvlJc w:val="left"/>
      <w:pPr>
        <w:tabs>
          <w:tab w:val="num" w:pos="1080"/>
        </w:tabs>
        <w:ind w:left="1080" w:hanging="360"/>
      </w:pPr>
      <w:rPr>
        <w:rFonts w:ascii="Courier New" w:hAnsi="Courier New" w:hint="default"/>
      </w:rPr>
    </w:lvl>
    <w:lvl w:ilvl="2" w:tplc="A92A1E34" w:tentative="1">
      <w:start w:val="1"/>
      <w:numFmt w:val="bullet"/>
      <w:lvlText w:val=""/>
      <w:lvlJc w:val="left"/>
      <w:pPr>
        <w:tabs>
          <w:tab w:val="num" w:pos="1800"/>
        </w:tabs>
        <w:ind w:left="1800" w:hanging="360"/>
      </w:pPr>
      <w:rPr>
        <w:rFonts w:ascii="Wingdings" w:hAnsi="Wingdings" w:hint="default"/>
      </w:rPr>
    </w:lvl>
    <w:lvl w:ilvl="3" w:tplc="2EC494DA" w:tentative="1">
      <w:start w:val="1"/>
      <w:numFmt w:val="bullet"/>
      <w:lvlText w:val=""/>
      <w:lvlJc w:val="left"/>
      <w:pPr>
        <w:tabs>
          <w:tab w:val="num" w:pos="2520"/>
        </w:tabs>
        <w:ind w:left="2520" w:hanging="360"/>
      </w:pPr>
      <w:rPr>
        <w:rFonts w:ascii="Symbol" w:hAnsi="Symbol" w:hint="default"/>
      </w:rPr>
    </w:lvl>
    <w:lvl w:ilvl="4" w:tplc="DE04BDD0" w:tentative="1">
      <w:start w:val="1"/>
      <w:numFmt w:val="bullet"/>
      <w:lvlText w:val="o"/>
      <w:lvlJc w:val="left"/>
      <w:pPr>
        <w:tabs>
          <w:tab w:val="num" w:pos="3240"/>
        </w:tabs>
        <w:ind w:left="3240" w:hanging="360"/>
      </w:pPr>
      <w:rPr>
        <w:rFonts w:ascii="Courier New" w:hAnsi="Courier New" w:hint="default"/>
      </w:rPr>
    </w:lvl>
    <w:lvl w:ilvl="5" w:tplc="7E9A6832" w:tentative="1">
      <w:start w:val="1"/>
      <w:numFmt w:val="bullet"/>
      <w:lvlText w:val=""/>
      <w:lvlJc w:val="left"/>
      <w:pPr>
        <w:tabs>
          <w:tab w:val="num" w:pos="3960"/>
        </w:tabs>
        <w:ind w:left="3960" w:hanging="360"/>
      </w:pPr>
      <w:rPr>
        <w:rFonts w:ascii="Wingdings" w:hAnsi="Wingdings" w:hint="default"/>
      </w:rPr>
    </w:lvl>
    <w:lvl w:ilvl="6" w:tplc="BE30D514" w:tentative="1">
      <w:start w:val="1"/>
      <w:numFmt w:val="bullet"/>
      <w:lvlText w:val=""/>
      <w:lvlJc w:val="left"/>
      <w:pPr>
        <w:tabs>
          <w:tab w:val="num" w:pos="4680"/>
        </w:tabs>
        <w:ind w:left="4680" w:hanging="360"/>
      </w:pPr>
      <w:rPr>
        <w:rFonts w:ascii="Symbol" w:hAnsi="Symbol" w:hint="default"/>
      </w:rPr>
    </w:lvl>
    <w:lvl w:ilvl="7" w:tplc="E99CAECA" w:tentative="1">
      <w:start w:val="1"/>
      <w:numFmt w:val="bullet"/>
      <w:lvlText w:val="o"/>
      <w:lvlJc w:val="left"/>
      <w:pPr>
        <w:tabs>
          <w:tab w:val="num" w:pos="5400"/>
        </w:tabs>
        <w:ind w:left="5400" w:hanging="360"/>
      </w:pPr>
      <w:rPr>
        <w:rFonts w:ascii="Courier New" w:hAnsi="Courier New" w:hint="default"/>
      </w:rPr>
    </w:lvl>
    <w:lvl w:ilvl="8" w:tplc="01AEE60A" w:tentative="1">
      <w:start w:val="1"/>
      <w:numFmt w:val="bullet"/>
      <w:lvlText w:val=""/>
      <w:lvlJc w:val="left"/>
      <w:pPr>
        <w:tabs>
          <w:tab w:val="num" w:pos="6120"/>
        </w:tabs>
        <w:ind w:left="6120" w:hanging="360"/>
      </w:pPr>
      <w:rPr>
        <w:rFonts w:ascii="Wingdings" w:hAnsi="Wingdings" w:hint="default"/>
      </w:rPr>
    </w:lvl>
  </w:abstractNum>
  <w:abstractNum w:abstractNumId="6">
    <w:nsid w:val="642942BB"/>
    <w:multiLevelType w:val="hybridMultilevel"/>
    <w:tmpl w:val="85B04C94"/>
    <w:lvl w:ilvl="0" w:tplc="63D41070">
      <w:start w:val="1"/>
      <w:numFmt w:val="bullet"/>
      <w:lvlText w:val=""/>
      <w:lvlJc w:val="left"/>
      <w:pPr>
        <w:tabs>
          <w:tab w:val="num" w:pos="360"/>
        </w:tabs>
        <w:ind w:left="360" w:hanging="360"/>
      </w:pPr>
      <w:rPr>
        <w:rFonts w:ascii="Symbol" w:hAnsi="Symbol" w:hint="default"/>
      </w:rPr>
    </w:lvl>
    <w:lvl w:ilvl="1" w:tplc="14765F42" w:tentative="1">
      <w:start w:val="1"/>
      <w:numFmt w:val="bullet"/>
      <w:lvlText w:val="o"/>
      <w:lvlJc w:val="left"/>
      <w:pPr>
        <w:tabs>
          <w:tab w:val="num" w:pos="1080"/>
        </w:tabs>
        <w:ind w:left="1080" w:hanging="360"/>
      </w:pPr>
      <w:rPr>
        <w:rFonts w:ascii="Courier New" w:hAnsi="Courier New" w:hint="default"/>
      </w:rPr>
    </w:lvl>
    <w:lvl w:ilvl="2" w:tplc="DD8A8AEC" w:tentative="1">
      <w:start w:val="1"/>
      <w:numFmt w:val="bullet"/>
      <w:lvlText w:val=""/>
      <w:lvlJc w:val="left"/>
      <w:pPr>
        <w:tabs>
          <w:tab w:val="num" w:pos="1800"/>
        </w:tabs>
        <w:ind w:left="1800" w:hanging="360"/>
      </w:pPr>
      <w:rPr>
        <w:rFonts w:ascii="Wingdings" w:hAnsi="Wingdings" w:hint="default"/>
      </w:rPr>
    </w:lvl>
    <w:lvl w:ilvl="3" w:tplc="FE2A421E" w:tentative="1">
      <w:start w:val="1"/>
      <w:numFmt w:val="bullet"/>
      <w:lvlText w:val=""/>
      <w:lvlJc w:val="left"/>
      <w:pPr>
        <w:tabs>
          <w:tab w:val="num" w:pos="2520"/>
        </w:tabs>
        <w:ind w:left="2520" w:hanging="360"/>
      </w:pPr>
      <w:rPr>
        <w:rFonts w:ascii="Symbol" w:hAnsi="Symbol" w:hint="default"/>
      </w:rPr>
    </w:lvl>
    <w:lvl w:ilvl="4" w:tplc="EF2E5F52" w:tentative="1">
      <w:start w:val="1"/>
      <w:numFmt w:val="bullet"/>
      <w:lvlText w:val="o"/>
      <w:lvlJc w:val="left"/>
      <w:pPr>
        <w:tabs>
          <w:tab w:val="num" w:pos="3240"/>
        </w:tabs>
        <w:ind w:left="3240" w:hanging="360"/>
      </w:pPr>
      <w:rPr>
        <w:rFonts w:ascii="Courier New" w:hAnsi="Courier New" w:hint="default"/>
      </w:rPr>
    </w:lvl>
    <w:lvl w:ilvl="5" w:tplc="50368508" w:tentative="1">
      <w:start w:val="1"/>
      <w:numFmt w:val="bullet"/>
      <w:lvlText w:val=""/>
      <w:lvlJc w:val="left"/>
      <w:pPr>
        <w:tabs>
          <w:tab w:val="num" w:pos="3960"/>
        </w:tabs>
        <w:ind w:left="3960" w:hanging="360"/>
      </w:pPr>
      <w:rPr>
        <w:rFonts w:ascii="Wingdings" w:hAnsi="Wingdings" w:hint="default"/>
      </w:rPr>
    </w:lvl>
    <w:lvl w:ilvl="6" w:tplc="1DF4787C" w:tentative="1">
      <w:start w:val="1"/>
      <w:numFmt w:val="bullet"/>
      <w:lvlText w:val=""/>
      <w:lvlJc w:val="left"/>
      <w:pPr>
        <w:tabs>
          <w:tab w:val="num" w:pos="4680"/>
        </w:tabs>
        <w:ind w:left="4680" w:hanging="360"/>
      </w:pPr>
      <w:rPr>
        <w:rFonts w:ascii="Symbol" w:hAnsi="Symbol" w:hint="default"/>
      </w:rPr>
    </w:lvl>
    <w:lvl w:ilvl="7" w:tplc="8C7013D2" w:tentative="1">
      <w:start w:val="1"/>
      <w:numFmt w:val="bullet"/>
      <w:lvlText w:val="o"/>
      <w:lvlJc w:val="left"/>
      <w:pPr>
        <w:tabs>
          <w:tab w:val="num" w:pos="5400"/>
        </w:tabs>
        <w:ind w:left="5400" w:hanging="360"/>
      </w:pPr>
      <w:rPr>
        <w:rFonts w:ascii="Courier New" w:hAnsi="Courier New" w:hint="default"/>
      </w:rPr>
    </w:lvl>
    <w:lvl w:ilvl="8" w:tplc="CAACD372" w:tentative="1">
      <w:start w:val="1"/>
      <w:numFmt w:val="bullet"/>
      <w:lvlText w:val=""/>
      <w:lvlJc w:val="left"/>
      <w:pPr>
        <w:tabs>
          <w:tab w:val="num" w:pos="6120"/>
        </w:tabs>
        <w:ind w:left="6120" w:hanging="360"/>
      </w:pPr>
      <w:rPr>
        <w:rFonts w:ascii="Wingdings" w:hAnsi="Wingdings" w:hint="default"/>
      </w:rPr>
    </w:lvl>
  </w:abstractNum>
  <w:abstractNum w:abstractNumId="7">
    <w:nsid w:val="77ED224D"/>
    <w:multiLevelType w:val="hybridMultilevel"/>
    <w:tmpl w:val="258A67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9BD2071"/>
    <w:multiLevelType w:val="hybridMultilevel"/>
    <w:tmpl w:val="896EA7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lvlOverride w:ilvl="0">
      <w:startOverride w:val="1"/>
      <w:lvl w:ilvl="0">
        <w:start w:val="1"/>
        <w:numFmt w:val="decimal"/>
        <w:pStyle w:val="Quick1"/>
        <w:lvlText w:val="%1."/>
        <w:lvlJc w:val="left"/>
      </w:lvl>
    </w:lvlOverride>
  </w:num>
  <w:num w:numId="2">
    <w:abstractNumId w:val="1"/>
    <w:lvlOverride w:ilvl="0">
      <w:lvl w:ilvl="0">
        <w:start w:val="1"/>
        <w:numFmt w:val="decimal"/>
        <w:pStyle w:val="Quick1"/>
        <w:lvlText w:val="%1."/>
        <w:lvlJc w:val="left"/>
        <w:pPr>
          <w:tabs>
            <w:tab w:val="num" w:pos="0"/>
          </w:tabs>
          <w:ind w:left="0" w:firstLine="0"/>
        </w:pPr>
        <w:rPr>
          <w:rFonts w:ascii="Times New Roman" w:hAnsi="Times New Roman" w:hint="default"/>
          <w:b w:val="0"/>
          <w:i/>
          <w:sz w:val="20"/>
          <w:szCs w:val="20"/>
        </w:rPr>
      </w:lvl>
    </w:lvlOverride>
  </w:num>
  <w:num w:numId="3">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4">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5">
    <w:abstractNumId w:val="5"/>
  </w:num>
  <w:num w:numId="6">
    <w:abstractNumId w:val="2"/>
  </w:num>
  <w:num w:numId="7">
    <w:abstractNumId w:val="6"/>
  </w:num>
  <w:num w:numId="8">
    <w:abstractNumId w:val="3"/>
  </w:num>
  <w:num w:numId="9">
    <w:abstractNumId w:val="1"/>
    <w:lvlOverride w:ilvl="0">
      <w:startOverride w:val="4"/>
      <w:lvl w:ilvl="0">
        <w:start w:val="4"/>
        <w:numFmt w:val="decimal"/>
        <w:pStyle w:val="Quick1"/>
        <w:lvlText w:val="%1."/>
        <w:lvlJc w:val="left"/>
      </w:lvl>
    </w:lvlOverride>
  </w:num>
  <w:num w:numId="10">
    <w:abstractNumId w:val="8"/>
  </w:num>
  <w:num w:numId="11">
    <w:abstractNumId w:val="7"/>
  </w:num>
  <w:num w:numId="12">
    <w:abstractNumId w:val="4"/>
  </w:num>
  <w:num w:numId="13">
    <w:abstractNumId w:val="1"/>
    <w:lvlOverride w:ilvl="0">
      <w:lvl w:ilvl="0">
        <w:start w:val="1"/>
        <w:numFmt w:val="decimal"/>
        <w:pStyle w:val="Quick1"/>
        <w:lvlText w:val="%1."/>
        <w:lvlJc w:val="left"/>
        <w:pPr>
          <w:tabs>
            <w:tab w:val="num" w:pos="0"/>
          </w:tabs>
          <w:ind w:left="0" w:firstLine="0"/>
        </w:pPr>
        <w:rPr>
          <w:rFonts w:ascii="Times New Roman" w:hAnsi="Times New Roman" w:hint="default"/>
          <w:b w:val="0"/>
          <w:i/>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C3F"/>
    <w:rsid w:val="00001471"/>
    <w:rsid w:val="00003C4E"/>
    <w:rsid w:val="00021D03"/>
    <w:rsid w:val="000733C9"/>
    <w:rsid w:val="00073F2A"/>
    <w:rsid w:val="000810D4"/>
    <w:rsid w:val="00097551"/>
    <w:rsid w:val="000A49ED"/>
    <w:rsid w:val="00105AA9"/>
    <w:rsid w:val="00126B6C"/>
    <w:rsid w:val="00137B1F"/>
    <w:rsid w:val="001857B5"/>
    <w:rsid w:val="001950CA"/>
    <w:rsid w:val="001B7EA3"/>
    <w:rsid w:val="001C1AC2"/>
    <w:rsid w:val="001C7F46"/>
    <w:rsid w:val="00201F69"/>
    <w:rsid w:val="00220754"/>
    <w:rsid w:val="00225596"/>
    <w:rsid w:val="002260B4"/>
    <w:rsid w:val="00233198"/>
    <w:rsid w:val="00245381"/>
    <w:rsid w:val="0024545A"/>
    <w:rsid w:val="00270E54"/>
    <w:rsid w:val="00277A7F"/>
    <w:rsid w:val="002854A9"/>
    <w:rsid w:val="002869B7"/>
    <w:rsid w:val="00287506"/>
    <w:rsid w:val="002922E4"/>
    <w:rsid w:val="002943A5"/>
    <w:rsid w:val="002A6A61"/>
    <w:rsid w:val="002B598E"/>
    <w:rsid w:val="002C3C27"/>
    <w:rsid w:val="002C69EF"/>
    <w:rsid w:val="002E0536"/>
    <w:rsid w:val="002F10E4"/>
    <w:rsid w:val="002F5D05"/>
    <w:rsid w:val="003119D9"/>
    <w:rsid w:val="003178B8"/>
    <w:rsid w:val="00334E01"/>
    <w:rsid w:val="0034446F"/>
    <w:rsid w:val="00351294"/>
    <w:rsid w:val="00351585"/>
    <w:rsid w:val="00364A9E"/>
    <w:rsid w:val="00387F9E"/>
    <w:rsid w:val="00390B83"/>
    <w:rsid w:val="0039343B"/>
    <w:rsid w:val="00397D13"/>
    <w:rsid w:val="003E36B9"/>
    <w:rsid w:val="003F0004"/>
    <w:rsid w:val="003F68AD"/>
    <w:rsid w:val="003F7448"/>
    <w:rsid w:val="00415EF9"/>
    <w:rsid w:val="004705B9"/>
    <w:rsid w:val="00484140"/>
    <w:rsid w:val="004E6B12"/>
    <w:rsid w:val="004F7250"/>
    <w:rsid w:val="00510A83"/>
    <w:rsid w:val="005236BF"/>
    <w:rsid w:val="005439B3"/>
    <w:rsid w:val="0055253A"/>
    <w:rsid w:val="00554667"/>
    <w:rsid w:val="00574C5A"/>
    <w:rsid w:val="00575DAF"/>
    <w:rsid w:val="00586F27"/>
    <w:rsid w:val="005A0879"/>
    <w:rsid w:val="005C65C7"/>
    <w:rsid w:val="005D3179"/>
    <w:rsid w:val="00622AA9"/>
    <w:rsid w:val="00624C56"/>
    <w:rsid w:val="006300D6"/>
    <w:rsid w:val="006401A3"/>
    <w:rsid w:val="00640650"/>
    <w:rsid w:val="0064473B"/>
    <w:rsid w:val="006703A4"/>
    <w:rsid w:val="00676511"/>
    <w:rsid w:val="00676821"/>
    <w:rsid w:val="0068331D"/>
    <w:rsid w:val="006B2945"/>
    <w:rsid w:val="006F7902"/>
    <w:rsid w:val="006F7C95"/>
    <w:rsid w:val="007059E7"/>
    <w:rsid w:val="00711C3F"/>
    <w:rsid w:val="00721494"/>
    <w:rsid w:val="007278D3"/>
    <w:rsid w:val="00740AE1"/>
    <w:rsid w:val="007467CF"/>
    <w:rsid w:val="00793279"/>
    <w:rsid w:val="007A6D7D"/>
    <w:rsid w:val="007B713E"/>
    <w:rsid w:val="007B7493"/>
    <w:rsid w:val="007E2C91"/>
    <w:rsid w:val="007F1AC3"/>
    <w:rsid w:val="00805122"/>
    <w:rsid w:val="00854D71"/>
    <w:rsid w:val="0086045C"/>
    <w:rsid w:val="00874C9B"/>
    <w:rsid w:val="008D4F14"/>
    <w:rsid w:val="008E4AC1"/>
    <w:rsid w:val="008F5EA2"/>
    <w:rsid w:val="008F7EA1"/>
    <w:rsid w:val="0090453F"/>
    <w:rsid w:val="00914848"/>
    <w:rsid w:val="00916DA3"/>
    <w:rsid w:val="009319FA"/>
    <w:rsid w:val="009419A2"/>
    <w:rsid w:val="00944305"/>
    <w:rsid w:val="00965893"/>
    <w:rsid w:val="00976CDB"/>
    <w:rsid w:val="009A51FE"/>
    <w:rsid w:val="009B219E"/>
    <w:rsid w:val="00A0531A"/>
    <w:rsid w:val="00A11093"/>
    <w:rsid w:val="00A16A03"/>
    <w:rsid w:val="00A241F7"/>
    <w:rsid w:val="00A475F3"/>
    <w:rsid w:val="00A5014A"/>
    <w:rsid w:val="00A54D08"/>
    <w:rsid w:val="00A700A0"/>
    <w:rsid w:val="00A834C1"/>
    <w:rsid w:val="00AA2A4F"/>
    <w:rsid w:val="00AA4140"/>
    <w:rsid w:val="00AE5366"/>
    <w:rsid w:val="00B030C9"/>
    <w:rsid w:val="00B06707"/>
    <w:rsid w:val="00B13E02"/>
    <w:rsid w:val="00B24F15"/>
    <w:rsid w:val="00B402A5"/>
    <w:rsid w:val="00B47025"/>
    <w:rsid w:val="00B61B7B"/>
    <w:rsid w:val="00B66403"/>
    <w:rsid w:val="00B704BF"/>
    <w:rsid w:val="00BA2AC9"/>
    <w:rsid w:val="00BC6028"/>
    <w:rsid w:val="00BE2674"/>
    <w:rsid w:val="00BE7795"/>
    <w:rsid w:val="00C05C01"/>
    <w:rsid w:val="00C15295"/>
    <w:rsid w:val="00C41552"/>
    <w:rsid w:val="00C47F51"/>
    <w:rsid w:val="00C5763F"/>
    <w:rsid w:val="00C738DF"/>
    <w:rsid w:val="00C74960"/>
    <w:rsid w:val="00C94B31"/>
    <w:rsid w:val="00CB1328"/>
    <w:rsid w:val="00CB14C0"/>
    <w:rsid w:val="00CF119D"/>
    <w:rsid w:val="00D21FC4"/>
    <w:rsid w:val="00D27393"/>
    <w:rsid w:val="00D50F7A"/>
    <w:rsid w:val="00D536A7"/>
    <w:rsid w:val="00D92B55"/>
    <w:rsid w:val="00D9583A"/>
    <w:rsid w:val="00DA2677"/>
    <w:rsid w:val="00DA5CE2"/>
    <w:rsid w:val="00DB29D4"/>
    <w:rsid w:val="00DF7CC0"/>
    <w:rsid w:val="00E026D8"/>
    <w:rsid w:val="00E45ED2"/>
    <w:rsid w:val="00E55529"/>
    <w:rsid w:val="00E62F7F"/>
    <w:rsid w:val="00EA032D"/>
    <w:rsid w:val="00EA0B65"/>
    <w:rsid w:val="00EA73F9"/>
    <w:rsid w:val="00EC4116"/>
    <w:rsid w:val="00ED3716"/>
    <w:rsid w:val="00EF1677"/>
    <w:rsid w:val="00F0708A"/>
    <w:rsid w:val="00F131F4"/>
    <w:rsid w:val="00F40D23"/>
    <w:rsid w:val="00F70FFA"/>
    <w:rsid w:val="00F8151C"/>
    <w:rsid w:val="00F93A8D"/>
    <w:rsid w:val="00F95182"/>
    <w:rsid w:val="00FA0720"/>
    <w:rsid w:val="00FA4E48"/>
    <w:rsid w:val="00FB7AD1"/>
    <w:rsid w:val="00FC2715"/>
    <w:rsid w:val="00FC6FA7"/>
    <w:rsid w:val="00FD7749"/>
    <w:rsid w:val="00FF01E1"/>
    <w:rsid w:val="00FF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2A5"/>
    <w:pPr>
      <w:widowControl w:val="0"/>
      <w:autoSpaceDE w:val="0"/>
      <w:autoSpaceDN w:val="0"/>
      <w:adjustRightInd w:val="0"/>
      <w:ind w:left="720"/>
    </w:pPr>
    <w:rPr>
      <w:sz w:val="24"/>
      <w:szCs w:val="24"/>
    </w:rPr>
  </w:style>
  <w:style w:type="paragraph" w:styleId="Heading1">
    <w:name w:val="heading 1"/>
    <w:basedOn w:val="Normal"/>
    <w:next w:val="Normal"/>
    <w:qFormat/>
    <w:pPr>
      <w:keepNext/>
      <w:jc w:val="right"/>
      <w:outlineLvl w:val="0"/>
    </w:pPr>
    <w:rPr>
      <w:b/>
      <w:bCs/>
      <w:szCs w:val="20"/>
    </w:rPr>
  </w:style>
  <w:style w:type="paragraph" w:styleId="Heading2">
    <w:name w:val="heading 2"/>
    <w:basedOn w:val="Normal"/>
    <w:next w:val="Normal"/>
    <w:qFormat/>
    <w:rsid w:val="007B7493"/>
    <w:pPr>
      <w:keepNext/>
      <w:ind w:left="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2C69EF"/>
    <w:pPr>
      <w:numPr>
        <w:numId w:val="2"/>
      </w:numPr>
    </w:pPr>
    <w:rPr>
      <w:i/>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
    <w:name w:val="_"/>
    <w:basedOn w:val="Normal"/>
    <w:pPr>
      <w:ind w:left="1440" w:hanging="720"/>
    </w:pPr>
  </w:style>
  <w:style w:type="paragraph" w:customStyle="1" w:styleId="Level1">
    <w:name w:val="Level 1"/>
    <w:basedOn w:val="Normal"/>
    <w:pPr>
      <w:ind w:left="1440" w:hanging="720"/>
    </w:pPr>
  </w:style>
  <w:style w:type="paragraph" w:styleId="BodyText">
    <w:name w:val="Body Text"/>
    <w:basedOn w:val="Normal"/>
    <w:rsid w:val="00B402A5"/>
    <w:pPr>
      <w:ind w:left="0"/>
    </w:pPr>
  </w:style>
  <w:style w:type="paragraph" w:styleId="BodyTextIndent">
    <w:name w:val="Body Text Indent"/>
    <w:basedOn w:val="Normal"/>
  </w:style>
  <w:style w:type="paragraph" w:styleId="BodyTextIndent2">
    <w:name w:val="Body Text Indent 2"/>
    <w:basedOn w:val="Normal"/>
    <w:rPr>
      <w:i/>
    </w:rPr>
  </w:style>
  <w:style w:type="paragraph" w:styleId="BodyTextIndent3">
    <w:name w:val="Body Text Indent 3"/>
    <w:basedOn w:val="Normal"/>
  </w:style>
  <w:style w:type="paragraph" w:styleId="BalloonText">
    <w:name w:val="Balloon Text"/>
    <w:basedOn w:val="Normal"/>
    <w:semiHidden/>
    <w:rsid w:val="00676821"/>
    <w:rPr>
      <w:rFonts w:ascii="Tahoma" w:hAnsi="Tahoma" w:cs="Tahoma"/>
      <w:sz w:val="16"/>
      <w:szCs w:val="16"/>
    </w:rPr>
  </w:style>
  <w:style w:type="paragraph" w:styleId="FootnoteText">
    <w:name w:val="footnote text"/>
    <w:basedOn w:val="Normal"/>
    <w:semiHidden/>
    <w:rsid w:val="00B402A5"/>
    <w:pPr>
      <w:widowControl/>
      <w:autoSpaceDE/>
      <w:autoSpaceDN/>
      <w:adjustRightInd/>
      <w:ind w:left="144"/>
    </w:pPr>
    <w:rPr>
      <w:sz w:val="20"/>
      <w:szCs w:val="20"/>
    </w:rPr>
  </w:style>
  <w:style w:type="character" w:styleId="CommentReference">
    <w:name w:val="annotation reference"/>
    <w:rsid w:val="00EF1677"/>
    <w:rPr>
      <w:sz w:val="16"/>
      <w:szCs w:val="16"/>
    </w:rPr>
  </w:style>
  <w:style w:type="paragraph" w:styleId="CommentText">
    <w:name w:val="annotation text"/>
    <w:basedOn w:val="Normal"/>
    <w:link w:val="CommentTextChar"/>
    <w:rsid w:val="00EF1677"/>
    <w:rPr>
      <w:sz w:val="20"/>
      <w:szCs w:val="20"/>
    </w:rPr>
  </w:style>
  <w:style w:type="character" w:customStyle="1" w:styleId="CommentTextChar">
    <w:name w:val="Comment Text Char"/>
    <w:basedOn w:val="DefaultParagraphFont"/>
    <w:link w:val="CommentText"/>
    <w:rsid w:val="00EF1677"/>
  </w:style>
  <w:style w:type="paragraph" w:styleId="CommentSubject">
    <w:name w:val="annotation subject"/>
    <w:basedOn w:val="CommentText"/>
    <w:next w:val="CommentText"/>
    <w:link w:val="CommentSubjectChar"/>
    <w:rsid w:val="00EF1677"/>
    <w:rPr>
      <w:b/>
      <w:bCs/>
    </w:rPr>
  </w:style>
  <w:style w:type="character" w:customStyle="1" w:styleId="CommentSubjectChar">
    <w:name w:val="Comment Subject Char"/>
    <w:link w:val="CommentSubject"/>
    <w:rsid w:val="00EF1677"/>
    <w:rPr>
      <w:b/>
      <w:bCs/>
    </w:rPr>
  </w:style>
  <w:style w:type="paragraph" w:styleId="ListParagraph">
    <w:name w:val="List Paragraph"/>
    <w:basedOn w:val="Normal"/>
    <w:uiPriority w:val="34"/>
    <w:qFormat/>
    <w:rsid w:val="002922E4"/>
  </w:style>
  <w:style w:type="character" w:styleId="Hyperlink">
    <w:name w:val="Hyperlink"/>
    <w:rsid w:val="00B470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2A5"/>
    <w:pPr>
      <w:widowControl w:val="0"/>
      <w:autoSpaceDE w:val="0"/>
      <w:autoSpaceDN w:val="0"/>
      <w:adjustRightInd w:val="0"/>
      <w:ind w:left="720"/>
    </w:pPr>
    <w:rPr>
      <w:sz w:val="24"/>
      <w:szCs w:val="24"/>
    </w:rPr>
  </w:style>
  <w:style w:type="paragraph" w:styleId="Heading1">
    <w:name w:val="heading 1"/>
    <w:basedOn w:val="Normal"/>
    <w:next w:val="Normal"/>
    <w:qFormat/>
    <w:pPr>
      <w:keepNext/>
      <w:jc w:val="right"/>
      <w:outlineLvl w:val="0"/>
    </w:pPr>
    <w:rPr>
      <w:b/>
      <w:bCs/>
      <w:szCs w:val="20"/>
    </w:rPr>
  </w:style>
  <w:style w:type="paragraph" w:styleId="Heading2">
    <w:name w:val="heading 2"/>
    <w:basedOn w:val="Normal"/>
    <w:next w:val="Normal"/>
    <w:qFormat/>
    <w:rsid w:val="007B7493"/>
    <w:pPr>
      <w:keepNext/>
      <w:ind w:left="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2C69EF"/>
    <w:pPr>
      <w:numPr>
        <w:numId w:val="2"/>
      </w:numPr>
    </w:pPr>
    <w:rPr>
      <w:i/>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
    <w:name w:val="_"/>
    <w:basedOn w:val="Normal"/>
    <w:pPr>
      <w:ind w:left="1440" w:hanging="720"/>
    </w:pPr>
  </w:style>
  <w:style w:type="paragraph" w:customStyle="1" w:styleId="Level1">
    <w:name w:val="Level 1"/>
    <w:basedOn w:val="Normal"/>
    <w:pPr>
      <w:ind w:left="1440" w:hanging="720"/>
    </w:pPr>
  </w:style>
  <w:style w:type="paragraph" w:styleId="BodyText">
    <w:name w:val="Body Text"/>
    <w:basedOn w:val="Normal"/>
    <w:rsid w:val="00B402A5"/>
    <w:pPr>
      <w:ind w:left="0"/>
    </w:pPr>
  </w:style>
  <w:style w:type="paragraph" w:styleId="BodyTextIndent">
    <w:name w:val="Body Text Indent"/>
    <w:basedOn w:val="Normal"/>
  </w:style>
  <w:style w:type="paragraph" w:styleId="BodyTextIndent2">
    <w:name w:val="Body Text Indent 2"/>
    <w:basedOn w:val="Normal"/>
    <w:rPr>
      <w:i/>
    </w:rPr>
  </w:style>
  <w:style w:type="paragraph" w:styleId="BodyTextIndent3">
    <w:name w:val="Body Text Indent 3"/>
    <w:basedOn w:val="Normal"/>
  </w:style>
  <w:style w:type="paragraph" w:styleId="BalloonText">
    <w:name w:val="Balloon Text"/>
    <w:basedOn w:val="Normal"/>
    <w:semiHidden/>
    <w:rsid w:val="00676821"/>
    <w:rPr>
      <w:rFonts w:ascii="Tahoma" w:hAnsi="Tahoma" w:cs="Tahoma"/>
      <w:sz w:val="16"/>
      <w:szCs w:val="16"/>
    </w:rPr>
  </w:style>
  <w:style w:type="paragraph" w:styleId="FootnoteText">
    <w:name w:val="footnote text"/>
    <w:basedOn w:val="Normal"/>
    <w:semiHidden/>
    <w:rsid w:val="00B402A5"/>
    <w:pPr>
      <w:widowControl/>
      <w:autoSpaceDE/>
      <w:autoSpaceDN/>
      <w:adjustRightInd/>
      <w:ind w:left="144"/>
    </w:pPr>
    <w:rPr>
      <w:sz w:val="20"/>
      <w:szCs w:val="20"/>
    </w:rPr>
  </w:style>
  <w:style w:type="character" w:styleId="CommentReference">
    <w:name w:val="annotation reference"/>
    <w:rsid w:val="00EF1677"/>
    <w:rPr>
      <w:sz w:val="16"/>
      <w:szCs w:val="16"/>
    </w:rPr>
  </w:style>
  <w:style w:type="paragraph" w:styleId="CommentText">
    <w:name w:val="annotation text"/>
    <w:basedOn w:val="Normal"/>
    <w:link w:val="CommentTextChar"/>
    <w:rsid w:val="00EF1677"/>
    <w:rPr>
      <w:sz w:val="20"/>
      <w:szCs w:val="20"/>
    </w:rPr>
  </w:style>
  <w:style w:type="character" w:customStyle="1" w:styleId="CommentTextChar">
    <w:name w:val="Comment Text Char"/>
    <w:basedOn w:val="DefaultParagraphFont"/>
    <w:link w:val="CommentText"/>
    <w:rsid w:val="00EF1677"/>
  </w:style>
  <w:style w:type="paragraph" w:styleId="CommentSubject">
    <w:name w:val="annotation subject"/>
    <w:basedOn w:val="CommentText"/>
    <w:next w:val="CommentText"/>
    <w:link w:val="CommentSubjectChar"/>
    <w:rsid w:val="00EF1677"/>
    <w:rPr>
      <w:b/>
      <w:bCs/>
    </w:rPr>
  </w:style>
  <w:style w:type="character" w:customStyle="1" w:styleId="CommentSubjectChar">
    <w:name w:val="Comment Subject Char"/>
    <w:link w:val="CommentSubject"/>
    <w:rsid w:val="00EF1677"/>
    <w:rPr>
      <w:b/>
      <w:bCs/>
    </w:rPr>
  </w:style>
  <w:style w:type="paragraph" w:styleId="ListParagraph">
    <w:name w:val="List Paragraph"/>
    <w:basedOn w:val="Normal"/>
    <w:uiPriority w:val="34"/>
    <w:qFormat/>
    <w:rsid w:val="002922E4"/>
  </w:style>
  <w:style w:type="character" w:styleId="Hyperlink">
    <w:name w:val="Hyperlink"/>
    <w:rsid w:val="00B47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5E6CA-8BB2-4AEF-A288-A694F7B1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3170</Words>
  <Characters>18073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21201</CharactersWithSpaces>
  <SharedDoc>false</SharedDoc>
  <HLinks>
    <vt:vector size="18" baseType="variant">
      <vt:variant>
        <vt:i4>196634</vt:i4>
      </vt:variant>
      <vt:variant>
        <vt:i4>3</vt:i4>
      </vt:variant>
      <vt:variant>
        <vt:i4>0</vt:i4>
      </vt:variant>
      <vt:variant>
        <vt:i4>5</vt:i4>
      </vt:variant>
      <vt:variant>
        <vt:lpwstr>http://www.bls.gov/news.release/ecec.t02.htm</vt:lpwstr>
      </vt:variant>
      <vt:variant>
        <vt:lpwstr/>
      </vt:variant>
      <vt:variant>
        <vt:i4>7995517</vt:i4>
      </vt:variant>
      <vt:variant>
        <vt:i4>0</vt:i4>
      </vt:variant>
      <vt:variant>
        <vt:i4>0</vt:i4>
      </vt:variant>
      <vt:variant>
        <vt:i4>5</vt:i4>
      </vt:variant>
      <vt:variant>
        <vt:lpwstr>http://www.bls.gov/news.release/pdf/ocwage.pdf</vt:lpwstr>
      </vt:variant>
      <vt:variant>
        <vt:lpwstr/>
      </vt:variant>
      <vt:variant>
        <vt:i4>2293797</vt:i4>
      </vt:variant>
      <vt:variant>
        <vt:i4>0</vt:i4>
      </vt:variant>
      <vt:variant>
        <vt:i4>0</vt:i4>
      </vt:variant>
      <vt:variant>
        <vt:i4>5</vt:i4>
      </vt:variant>
      <vt:variant>
        <vt:lpwstr>http://www.dol.gov/ebsa/Regs/ClassExemptions/main.html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2018-08-08T13:00:00Z</cp:lastPrinted>
  <dcterms:created xsi:type="dcterms:W3CDTF">2018-11-21T12:35:00Z</dcterms:created>
  <dcterms:modified xsi:type="dcterms:W3CDTF">2018-11-21T12:35:00Z</dcterms:modified>
</cp:coreProperties>
</file>