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C48B9A" w14:textId="1AA2418A" w:rsidR="009B359F" w:rsidRDefault="00295103" w:rsidP="00E46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FFEDB46" w14:textId="77777777" w:rsidR="00E462E5" w:rsidRPr="006D549E" w:rsidRDefault="00E462E5" w:rsidP="00E46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D549E">
        <w:rPr>
          <w:b/>
          <w:bCs/>
          <w:sz w:val="32"/>
          <w:szCs w:val="32"/>
        </w:rPr>
        <w:t>Earthquake Hazards Program Research and Monitoring</w:t>
      </w:r>
    </w:p>
    <w:p w14:paraId="6F2F08BC" w14:textId="77777777" w:rsidR="00E462E5" w:rsidRDefault="00E462E5" w:rsidP="00E46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1028-0051</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02744109" w:rsidR="009B359F" w:rsidRPr="00E462E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097475">
        <w:rPr>
          <w:b/>
          <w:sz w:val="24"/>
          <w:szCs w:val="24"/>
        </w:rPr>
        <w:t>Terms of Clearance:</w:t>
      </w:r>
      <w:r w:rsidRPr="00097475">
        <w:rPr>
          <w:sz w:val="24"/>
          <w:szCs w:val="24"/>
        </w:rPr>
        <w:t xml:space="preserve"> </w:t>
      </w:r>
      <w:r w:rsidR="00E462E5">
        <w:rPr>
          <w:color w:val="000000" w:themeColor="text1"/>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63D6A19E"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DABB28" w14:textId="1F3062E7" w:rsidR="005A3119"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 xml:space="preserve">The Earthquake Hazards Reduction Act of 1977, </w:t>
      </w:r>
      <w:r w:rsidR="00F85948">
        <w:rPr>
          <w:sz w:val="24"/>
          <w:szCs w:val="24"/>
        </w:rPr>
        <w:t>42 USC 7701 et. seq.</w:t>
      </w:r>
      <w:r w:rsidRPr="006D549E">
        <w:rPr>
          <w:sz w:val="24"/>
          <w:szCs w:val="24"/>
        </w:rPr>
        <w:t>, most recently amended as Public Law 108-360, authorizes the U. S. Geological Survey (USGS) to support research and regional earthquake monitoring networks through assistance (grants and cooperative agreements). The USGS’s Earthquake Hazards Program (EHP) supports research in earthquake hazards, the physics of earthquakes, and earthquake occurrence in order to provide earth science data and information essential to mitigate earthquake losses and supports operations and maintenance performed by regional monitoring networks as part of EHP’s Advanced National Seismic System (ANSS). The assistance application instructions, specific objectives, and reporting requirements are identified in program announcements posted to Grants.gov.</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69F32D99"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E111F7" w14:textId="07D7AD8F" w:rsidR="005A3119"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Approximately 250 research scientists and engineers from educational institutions, and profit and non-profit organizations submit proposals to acquire funding to support research related to earthquake hazards assessments, earthquake causes and effects and earthquake monitoring.</w:t>
      </w:r>
    </w:p>
    <w:p w14:paraId="7D287CE3" w14:textId="77777777" w:rsidR="005A3119" w:rsidRPr="009464FA"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The EHP will continue to use the requested information to determine the eligibility of the applicants and as the basis for approval or disapproval of proposed research or network operations. This collection will ensure that sufficient and relevant information is available to evaluate and select applications for funding.  Financial assistance will be awarded following the evaluation and ranking of applications by a review panel familiar with the objectives of the EHP.</w:t>
      </w:r>
    </w:p>
    <w:p w14:paraId="154C10AC" w14:textId="77777777" w:rsidR="005A3119" w:rsidRPr="009464FA"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2841DF" w14:textId="77777777" w:rsidR="005A3119" w:rsidRPr="009464FA"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 xml:space="preserve">The technical narrative of the proposal for assistance support is needed as the applicant describes the proposed research or network operations and management plan, and peer reviewers subsequently use the narrative to evaluate the research or operations against established EHP criteria. The application’s uniform appearance and assembly are needed to minimize the time required by the bureau to determine applicant eligibility and for review and oversight. Reporting requirements are the minimum required by the OMB Circulars. Final technical reports and annual progress reports are needed for technical monitoring of the projects to assure consistency </w:t>
      </w:r>
      <w:r w:rsidRPr="009464FA">
        <w:rPr>
          <w:sz w:val="24"/>
          <w:szCs w:val="24"/>
        </w:rPr>
        <w:lastRenderedPageBreak/>
        <w:t xml:space="preserve">with the objectives of the program’s legislation. The technical reports have only general format requirements. Re-prints of peer-reviewed articles submitted for publication in journals have been accepted as final technical reports. </w:t>
      </w:r>
    </w:p>
    <w:p w14:paraId="7D73C201" w14:textId="77777777" w:rsidR="005A3119" w:rsidRPr="009464FA"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E690D4" w14:textId="77777777" w:rsidR="005A3119" w:rsidRDefault="005A3119" w:rsidP="005A3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The maximum length of the application is 25 pages. The final technical reports are published in their entirety (maximum of 10 MB, including figures) on the EHP External Support office’s website, part of the USGS website. The final technical report requirement was created in response to the requirement in Public Law 95-124, Section 2, paragraph (8), which states: “Improved mechanisms are needed to translate existing information and research findings into reasonable and usable specifications, criteria, and practices so that individuals, organizations, and governmental units may make informed decisions and take appropriate actions.”</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BDFFC7" w14:textId="77777777" w:rsidR="002816E3" w:rsidRDefault="002816E3" w:rsidP="00281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64FA">
        <w:rPr>
          <w:sz w:val="24"/>
          <w:szCs w:val="24"/>
        </w:rPr>
        <w:t>All applications must be submitted electronically via Grants.gov (http://www.grants.gov). The progress and final reports will be submitted directly to the program office via e-mail (gd-erp-coordinator@usgs.gov) and are posted for public use at earthquake.usgs.gov/research/external.</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60FC3FAA" w:rsidR="00082C1C" w:rsidRDefault="00281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The information is used solely for the purpose of this program and is not duplicated. The subject matter of each application and report are unique to each applicant each year. There is no similar information available which could be used or modified for this purpose.</w:t>
      </w:r>
    </w:p>
    <w:p w14:paraId="58714070" w14:textId="482347AE"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81BFC5" w14:textId="77777777" w:rsidR="002816E3" w:rsidRDefault="00281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68A6AF12"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1F7351" w14:textId="77777777" w:rsidR="002816E3" w:rsidRDefault="002816E3" w:rsidP="00281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 xml:space="preserve">The information collection will not significantly impact small businesses or entities. Applicants generally include less than 20 small businesses per year. </w:t>
      </w:r>
      <w:r>
        <w:rPr>
          <w:sz w:val="24"/>
          <w:szCs w:val="24"/>
        </w:rPr>
        <w:t xml:space="preserve">By using a digital submission process, small businesses are spared paper, printing, and mailing costs. </w:t>
      </w:r>
      <w:r w:rsidRPr="006D549E">
        <w:rPr>
          <w:sz w:val="24"/>
          <w:szCs w:val="24"/>
        </w:rPr>
        <w:t>We collect only the minimum information necessary to evaluate applications and ensure that projects are successful and meet the requirements of authorizing statutes and Federal regulations.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 xml:space="preserve">Describe the consequence to Federal program or policy activities if the collection is not conducted or is conducted less frequently, as well as any technical or legal obstacles to </w:t>
      </w:r>
      <w:r w:rsidRPr="00082C1C">
        <w:rPr>
          <w:b/>
          <w:sz w:val="24"/>
          <w:szCs w:val="24"/>
        </w:rPr>
        <w:lastRenderedPageBreak/>
        <w:t>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3731BC6C" w:rsidR="00082C1C" w:rsidRDefault="00281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Funding for the E</w:t>
      </w:r>
      <w:r>
        <w:rPr>
          <w:sz w:val="24"/>
          <w:szCs w:val="24"/>
        </w:rPr>
        <w:t>HP</w:t>
      </w:r>
      <w:r w:rsidRPr="006D549E">
        <w:rPr>
          <w:sz w:val="24"/>
          <w:szCs w:val="24"/>
        </w:rPr>
        <w:t xml:space="preserve"> is appropriated on a fiscal year basis as part of the USGS annual appropriation. The program priorities may change each year as directed by Congress. Consequently, the issuance of announcements and submission of applications must be scheduled no less frequently than annually.</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BBBBC8" w14:textId="77777777" w:rsidR="005625CB" w:rsidRDefault="005625CB" w:rsidP="005625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549E">
        <w:rPr>
          <w:sz w:val="24"/>
          <w:szCs w:val="24"/>
        </w:rPr>
        <w:t>There are no circumstances that require us to collect the information in a manner inconsistent with OMB guidelines.</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5B5BF099" w14:textId="77777777" w:rsidR="00122528" w:rsidRDefault="001225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6C070A34" w:rsidR="00453654" w:rsidRDefault="004563E1" w:rsidP="001225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453654">
        <w:rPr>
          <w:sz w:val="24"/>
          <w:szCs w:val="24"/>
        </w:rPr>
        <w:t xml:space="preserve">The 60-day FRN was published </w:t>
      </w:r>
      <w:r w:rsidR="00F85948">
        <w:rPr>
          <w:sz w:val="24"/>
          <w:szCs w:val="24"/>
        </w:rPr>
        <w:t>0</w:t>
      </w:r>
      <w:r w:rsidR="00113821">
        <w:rPr>
          <w:sz w:val="24"/>
          <w:szCs w:val="24"/>
        </w:rPr>
        <w:t>2</w:t>
      </w:r>
      <w:r w:rsidR="00F85948">
        <w:rPr>
          <w:sz w:val="24"/>
          <w:szCs w:val="24"/>
        </w:rPr>
        <w:t>/</w:t>
      </w:r>
      <w:r w:rsidR="00113821">
        <w:rPr>
          <w:sz w:val="24"/>
          <w:szCs w:val="24"/>
        </w:rPr>
        <w:t>0</w:t>
      </w:r>
      <w:r w:rsidR="00F85948">
        <w:rPr>
          <w:sz w:val="24"/>
          <w:szCs w:val="24"/>
        </w:rPr>
        <w:t>1/2019 a</w:t>
      </w:r>
      <w:r w:rsidR="008D6497">
        <w:rPr>
          <w:sz w:val="24"/>
          <w:szCs w:val="24"/>
        </w:rPr>
        <w:t xml:space="preserve">t </w:t>
      </w:r>
      <w:r w:rsidR="00190215">
        <w:rPr>
          <w:sz w:val="24"/>
          <w:szCs w:val="24"/>
        </w:rPr>
        <w:t>84</w:t>
      </w:r>
      <w:r w:rsidR="00453654">
        <w:rPr>
          <w:sz w:val="24"/>
          <w:szCs w:val="24"/>
        </w:rPr>
        <w:t xml:space="preserve"> FR </w:t>
      </w:r>
      <w:r w:rsidR="00190215">
        <w:rPr>
          <w:sz w:val="24"/>
          <w:szCs w:val="24"/>
        </w:rPr>
        <w:t>1199</w:t>
      </w:r>
      <w:r w:rsidR="00453654">
        <w:rPr>
          <w:sz w:val="24"/>
          <w:szCs w:val="24"/>
        </w:rPr>
        <w:t xml:space="preserve">. </w:t>
      </w:r>
    </w:p>
    <w:p w14:paraId="651F5617" w14:textId="2D5BD8E5" w:rsidR="0033059C" w:rsidRDefault="0033059C" w:rsidP="001225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C8762" w14:textId="3A3C1B40" w:rsidR="0033059C" w:rsidRDefault="0033059C" w:rsidP="001225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059C">
        <w:rPr>
          <w:sz w:val="24"/>
          <w:szCs w:val="24"/>
        </w:rPr>
        <w:t>The feedback we received was primarily about problems with getting Grants.gov to accept proposals.  Most of these problems have been resolved with recent Grant.gov updates, but there remain problems with slow acceptance notifications once all proposal componen</w:t>
      </w:r>
      <w:r>
        <w:rPr>
          <w:rFonts w:ascii="Arial" w:hAnsi="Arial" w:cs="Arial"/>
          <w:color w:val="000000"/>
          <w:shd w:val="clear" w:color="auto" w:fill="FFFFFF"/>
        </w:rPr>
        <w:t>ts have been submitted through Grants.gov. I did not receive any responses to the most recent FRN. </w:t>
      </w:r>
    </w:p>
    <w:p w14:paraId="05604554" w14:textId="0CAF49E2"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DD4730C" w14:textId="77777777" w:rsidR="004563E1" w:rsidRPr="004563E1" w:rsidRDefault="004563E1" w:rsidP="00456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63E1">
        <w:rPr>
          <w:sz w:val="24"/>
          <w:szCs w:val="24"/>
        </w:rPr>
        <w:t xml:space="preserve">In additional to our Federal Register notice, we solicited ad hoc estimates of times to prepare reports and proposals and general comments on any problems encountered during the proposal submittal period from several past assistance proposers and recipients (see below) to obtain their views on the burden that the grant application and reporting imposes.  The amounts of time needed are reflected in our burden times for reports and proposals.  The feedback we received was primarily about minor problems with the multi-step process to upload proposals into Grants.gov.  </w:t>
      </w:r>
    </w:p>
    <w:p w14:paraId="7907C7BB" w14:textId="59A8CBFC" w:rsidR="00453654" w:rsidRDefault="00453654" w:rsidP="00456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6727D3" w14:textId="03FAC48A"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651C7">
        <w:rPr>
          <w:b/>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03A79543" w14:textId="1A9DB775" w:rsidR="007B7DCF" w:rsidRPr="004563E1" w:rsidRDefault="00456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563E1">
              <w:rPr>
                <w:rFonts w:cs="Times New Roman"/>
                <w:sz w:val="24"/>
                <w:szCs w:val="24"/>
              </w:rPr>
              <w:t>California Institute of Technology</w:t>
            </w:r>
          </w:p>
          <w:p w14:paraId="3BA9C4EB" w14:textId="42D68008" w:rsidR="007B7DCF" w:rsidRPr="004563E1" w:rsidRDefault="004563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4563E1">
              <w:rPr>
                <w:rFonts w:cs="Times New Roman"/>
                <w:sz w:val="24"/>
                <w:szCs w:val="24"/>
              </w:rPr>
              <w:t>Pasadena, CA</w:t>
            </w:r>
          </w:p>
        </w:tc>
        <w:tc>
          <w:tcPr>
            <w:tcW w:w="4675" w:type="dxa"/>
          </w:tcPr>
          <w:p w14:paraId="5F904866" w14:textId="77777777" w:rsidR="007B7DCF" w:rsidRDefault="004563E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California Geological Survey</w:t>
            </w:r>
          </w:p>
          <w:p w14:paraId="7AF448A7" w14:textId="5A500556" w:rsidR="004563E1" w:rsidRDefault="004563E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Sacramento, CA</w:t>
            </w:r>
          </w:p>
        </w:tc>
      </w:tr>
      <w:tr w:rsidR="007B7DCF" w14:paraId="4C403CC2" w14:textId="77777777" w:rsidTr="007B7DCF">
        <w:tc>
          <w:tcPr>
            <w:tcW w:w="4675" w:type="dxa"/>
          </w:tcPr>
          <w:p w14:paraId="4CA30B55" w14:textId="6286DDE8" w:rsidR="00085D55" w:rsidRDefault="00085D55"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Lettis Consultants International, Inc.</w:t>
            </w:r>
          </w:p>
          <w:p w14:paraId="38A8C93E" w14:textId="6C2B6812" w:rsidR="004563E1" w:rsidRDefault="00085D55"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Walnut Creek, CA</w:t>
            </w:r>
          </w:p>
        </w:tc>
        <w:tc>
          <w:tcPr>
            <w:tcW w:w="4675" w:type="dxa"/>
          </w:tcPr>
          <w:p w14:paraId="3E3D2EFC"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B1FAA8" w14:textId="77777777" w:rsidR="00787ED1" w:rsidRDefault="00787ED1" w:rsidP="00787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Except for the remuneration of grantees, no payments or gifts are provided to the respondents.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84C4B27" w14:textId="77777777" w:rsidR="00787ED1" w:rsidRDefault="00787ED1" w:rsidP="00787E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BF67E6" w14:textId="3102CA61" w:rsidR="00787ED1" w:rsidRDefault="00787ED1" w:rsidP="00787E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No assurance of confidentiality is provided.</w:t>
      </w:r>
      <w:r>
        <w:rPr>
          <w:sz w:val="24"/>
          <w:szCs w:val="24"/>
        </w:rPr>
        <w:t xml:space="preserve"> The research results and data will be published in scientific journals as stated in the announcement, but no information on this collection will be published or publicly available. </w:t>
      </w:r>
    </w:p>
    <w:p w14:paraId="531ABB7C" w14:textId="64A33FF4" w:rsidR="0033059C" w:rsidRDefault="0033059C" w:rsidP="00787E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D96647" w14:textId="5133A7F7" w:rsidR="0033059C" w:rsidRDefault="0033059C" w:rsidP="00787E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3059C">
        <w:rPr>
          <w:sz w:val="24"/>
          <w:szCs w:val="24"/>
        </w:rPr>
        <w:t>All Proposals for EHP External Research are submitted via </w:t>
      </w:r>
      <w:hyperlink r:id="rId9" w:tgtFrame="_blank" w:history="1">
        <w:r w:rsidRPr="0033059C">
          <w:rPr>
            <w:sz w:val="24"/>
            <w:szCs w:val="24"/>
          </w:rPr>
          <w:t>grants.gov</w:t>
        </w:r>
      </w:hyperlink>
      <w:r w:rsidRPr="0033059C">
        <w:rPr>
          <w:sz w:val="24"/>
          <w:szCs w:val="24"/>
        </w:rPr>
        <w:t>. The Earthquake Hazards External Grants program does not internally collect, maintain or process PII.  A SORN has not been required as we do not collect, maintain or process PII.</w:t>
      </w:r>
    </w:p>
    <w:p w14:paraId="2EBF253E" w14:textId="77777777" w:rsidR="00082C1C" w:rsidRDefault="00082C1C" w:rsidP="006C2B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6CBACB" w14:textId="5A2AFF6D" w:rsidR="00082C1C" w:rsidRDefault="00787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No sensitive questions are asked.</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A58CC6" w14:textId="5C604DF8" w:rsidR="005A39D4" w:rsidRPr="00EA02E7" w:rsidRDefault="005A39D4" w:rsidP="005A39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A02E7">
        <w:rPr>
          <w:color w:val="000000" w:themeColor="text1"/>
          <w:sz w:val="24"/>
          <w:szCs w:val="24"/>
        </w:rPr>
        <w:t xml:space="preserve">Our estimates, in Table </w:t>
      </w:r>
      <w:r w:rsidR="003651C7">
        <w:rPr>
          <w:color w:val="000000" w:themeColor="text1"/>
          <w:sz w:val="24"/>
          <w:szCs w:val="24"/>
        </w:rPr>
        <w:t>2</w:t>
      </w:r>
      <w:r w:rsidRPr="00EA02E7">
        <w:rPr>
          <w:color w:val="000000" w:themeColor="text1"/>
          <w:sz w:val="24"/>
          <w:szCs w:val="24"/>
        </w:rPr>
        <w:t xml:space="preserve"> below, are based on our own knowledge plus </w:t>
      </w:r>
      <w:r w:rsidR="004563E1">
        <w:rPr>
          <w:color w:val="000000" w:themeColor="text1"/>
          <w:sz w:val="24"/>
          <w:szCs w:val="24"/>
        </w:rPr>
        <w:t xml:space="preserve">previous </w:t>
      </w:r>
      <w:r w:rsidRPr="00EA02E7">
        <w:rPr>
          <w:color w:val="000000" w:themeColor="text1"/>
          <w:sz w:val="24"/>
          <w:szCs w:val="24"/>
        </w:rPr>
        <w:t xml:space="preserve">outreach described in item 8. </w:t>
      </w:r>
    </w:p>
    <w:p w14:paraId="47666465" w14:textId="77777777" w:rsidR="00C52275" w:rsidRDefault="00C52275">
      <w:pPr>
        <w:widowControl/>
        <w:autoSpaceDE/>
        <w:autoSpaceDN/>
        <w:adjustRightInd/>
        <w:rPr>
          <w:color w:val="FF0000"/>
          <w:sz w:val="24"/>
          <w:szCs w:val="24"/>
        </w:rPr>
      </w:pPr>
    </w:p>
    <w:p w14:paraId="3E265554" w14:textId="77777777" w:rsidR="00C52275" w:rsidRPr="00A1278E" w:rsidRDefault="00C52275" w:rsidP="00C5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b/>
          <w:i/>
          <w:sz w:val="24"/>
          <w:szCs w:val="24"/>
        </w:rPr>
        <w:t>Narrative/Proposal Preparation</w:t>
      </w:r>
      <w:r w:rsidRPr="00A1278E">
        <w:rPr>
          <w:sz w:val="24"/>
          <w:szCs w:val="24"/>
        </w:rPr>
        <w:t>: We anticipate that it will take each</w:t>
      </w:r>
      <w:r>
        <w:rPr>
          <w:sz w:val="24"/>
          <w:szCs w:val="24"/>
        </w:rPr>
        <w:t xml:space="preserve"> of the </w:t>
      </w:r>
      <w:r w:rsidRPr="00C52275">
        <w:rPr>
          <w:color w:val="000000" w:themeColor="text1"/>
          <w:sz w:val="24"/>
          <w:szCs w:val="24"/>
        </w:rPr>
        <w:t xml:space="preserve">250 applicants </w:t>
      </w:r>
      <w:r w:rsidRPr="00A1278E">
        <w:rPr>
          <w:sz w:val="24"/>
          <w:szCs w:val="24"/>
        </w:rPr>
        <w:t xml:space="preserve">approximately 45 hours to complete the project narrative and to provide any other relevant supporting documents as a proposal for assistance support (totaling </w:t>
      </w:r>
      <w:r w:rsidRPr="00C52275">
        <w:rPr>
          <w:color w:val="000000" w:themeColor="text1"/>
          <w:sz w:val="24"/>
          <w:szCs w:val="24"/>
        </w:rPr>
        <w:t xml:space="preserve">11,250 hours). </w:t>
      </w:r>
    </w:p>
    <w:p w14:paraId="5FA43ACD" w14:textId="77777777" w:rsidR="00C52275" w:rsidRPr="00A1278E" w:rsidRDefault="00C52275" w:rsidP="00C5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70A8A8" w14:textId="6B29E239" w:rsidR="00C52275" w:rsidRDefault="00C52275" w:rsidP="00C5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b/>
          <w:i/>
          <w:sz w:val="24"/>
          <w:szCs w:val="24"/>
        </w:rPr>
        <w:t>Final Report Preparation:</w:t>
      </w:r>
      <w:r w:rsidRPr="00A1278E">
        <w:rPr>
          <w:sz w:val="24"/>
          <w:szCs w:val="24"/>
        </w:rPr>
        <w:t xml:space="preserve"> Based on past averages and future projections for this activity, we anticipate awarding an average of 100 grants per year. The 100 award recipients are required to submit either a progress report or a final technical report. We estimate that it will take an average of 12 hours to complete the report (totaling 1,200 hours). </w:t>
      </w:r>
    </w:p>
    <w:p w14:paraId="40D88F7B" w14:textId="4F053561" w:rsidR="0080222B" w:rsidRDefault="0080222B" w:rsidP="00C5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47F3736A" w14:textId="5E2116B1" w:rsidR="0080222B" w:rsidRPr="0080222B" w:rsidRDefault="0080222B" w:rsidP="008022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0222B">
        <w:rPr>
          <w:sz w:val="24"/>
          <w:szCs w:val="24"/>
        </w:rPr>
        <w:t xml:space="preserve">We estimate that the total burden for this collection will be 12,450 hours, as shown in Table </w:t>
      </w:r>
      <w:r w:rsidR="003651C7">
        <w:rPr>
          <w:sz w:val="24"/>
          <w:szCs w:val="24"/>
        </w:rPr>
        <w:t>2</w:t>
      </w:r>
      <w:r w:rsidRPr="0080222B">
        <w:rPr>
          <w:sz w:val="24"/>
          <w:szCs w:val="24"/>
        </w:rPr>
        <w:t xml:space="preserve"> below</w:t>
      </w:r>
      <w:r w:rsidR="00D07F75">
        <w:rPr>
          <w:sz w:val="24"/>
          <w:szCs w:val="24"/>
        </w:rPr>
        <w:t>.</w:t>
      </w:r>
    </w:p>
    <w:p w14:paraId="619F8C90" w14:textId="77777777" w:rsidR="0080222B" w:rsidRPr="0080222B" w:rsidRDefault="0080222B" w:rsidP="008022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EFEC87" w14:textId="098BA893" w:rsidR="0091571E" w:rsidRPr="00A1278E" w:rsidRDefault="0091571E" w:rsidP="0091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1278E">
        <w:rPr>
          <w:sz w:val="24"/>
          <w:szCs w:val="24"/>
        </w:rPr>
        <w:t xml:space="preserve">To estimate the dollar values of burden hours in Table </w:t>
      </w:r>
      <w:r w:rsidR="003651C7">
        <w:rPr>
          <w:sz w:val="24"/>
          <w:szCs w:val="24"/>
        </w:rPr>
        <w:t>2</w:t>
      </w:r>
      <w:r w:rsidRPr="00A1278E">
        <w:rPr>
          <w:sz w:val="24"/>
          <w:szCs w:val="24"/>
        </w:rPr>
        <w:t xml:space="preserve">, we used </w:t>
      </w:r>
      <w:r w:rsidR="006C2B82">
        <w:rPr>
          <w:sz w:val="24"/>
          <w:szCs w:val="24"/>
        </w:rPr>
        <w:t xml:space="preserve">the most recently available </w:t>
      </w:r>
      <w:r w:rsidRPr="00A1278E">
        <w:rPr>
          <w:sz w:val="24"/>
          <w:szCs w:val="24"/>
        </w:rPr>
        <w:t xml:space="preserve">data from </w:t>
      </w:r>
      <w:hyperlink r:id="rId10" w:history="1">
        <w:r w:rsidRPr="00961F43">
          <w:rPr>
            <w:rStyle w:val="Hyperlink"/>
            <w:sz w:val="24"/>
            <w:szCs w:val="24"/>
          </w:rPr>
          <w:t>http://www.bls.gov/oes/current/oes192042.htm</w:t>
        </w:r>
      </w:hyperlink>
      <w:r w:rsidRPr="00A4046E">
        <w:rPr>
          <w:rStyle w:val="Hyperlink"/>
          <w:color w:val="auto"/>
          <w:sz w:val="24"/>
          <w:szCs w:val="24"/>
        </w:rPr>
        <w:t xml:space="preserve"> </w:t>
      </w:r>
      <w:r w:rsidRPr="0091571E">
        <w:rPr>
          <w:rStyle w:val="Hyperlink"/>
          <w:color w:val="auto"/>
          <w:sz w:val="24"/>
          <w:szCs w:val="24"/>
        </w:rPr>
        <w:t>(Occupational Employment and Wages, May 2017: 19-2042 Geoscientists, Except Hydrologists and Geographers.</w:t>
      </w:r>
      <w:r>
        <w:rPr>
          <w:rStyle w:val="Hyperlink"/>
          <w:color w:val="auto"/>
          <w:sz w:val="24"/>
          <w:szCs w:val="24"/>
          <w:u w:val="none"/>
        </w:rPr>
        <w:t xml:space="preserve">) </w:t>
      </w:r>
      <w:r w:rsidRPr="0091571E">
        <w:rPr>
          <w:sz w:val="24"/>
          <w:szCs w:val="24"/>
        </w:rPr>
        <w:t>Geoscientist</w:t>
      </w:r>
      <w:r w:rsidRPr="00A1278E">
        <w:rPr>
          <w:sz w:val="24"/>
          <w:szCs w:val="24"/>
        </w:rPr>
        <w:t xml:space="preserve"> mean hourly wages </w:t>
      </w:r>
      <w:r>
        <w:rPr>
          <w:sz w:val="24"/>
          <w:szCs w:val="24"/>
        </w:rPr>
        <w:t xml:space="preserve">were used </w:t>
      </w:r>
      <w:r w:rsidRPr="00A1278E">
        <w:rPr>
          <w:sz w:val="24"/>
          <w:szCs w:val="24"/>
        </w:rPr>
        <w:t>($</w:t>
      </w:r>
      <w:r>
        <w:rPr>
          <w:sz w:val="24"/>
          <w:szCs w:val="24"/>
        </w:rPr>
        <w:t>50.88</w:t>
      </w:r>
      <w:r w:rsidRPr="00A1278E">
        <w:rPr>
          <w:sz w:val="24"/>
          <w:szCs w:val="24"/>
        </w:rPr>
        <w:t>) to account for individuals in the private sector.  To account for benefits, we multiplied the mean hourly rate by 1.</w:t>
      </w:r>
      <w:r>
        <w:rPr>
          <w:sz w:val="24"/>
          <w:szCs w:val="24"/>
        </w:rPr>
        <w:t>44</w:t>
      </w:r>
      <w:r w:rsidRPr="00A1278E">
        <w:rPr>
          <w:sz w:val="24"/>
          <w:szCs w:val="24"/>
        </w:rPr>
        <w:t>, for a total of $</w:t>
      </w:r>
      <w:r>
        <w:rPr>
          <w:sz w:val="24"/>
          <w:szCs w:val="24"/>
        </w:rPr>
        <w:t>73.27</w:t>
      </w:r>
      <w:r w:rsidRPr="00A1278E">
        <w:rPr>
          <w:sz w:val="24"/>
          <w:szCs w:val="24"/>
        </w:rPr>
        <w:t>.  We calculated the benefits in accord</w:t>
      </w:r>
      <w:r>
        <w:rPr>
          <w:sz w:val="24"/>
          <w:szCs w:val="24"/>
        </w:rPr>
        <w:t xml:space="preserve">ance with </w:t>
      </w:r>
      <w:r w:rsidRPr="0091571E">
        <w:rPr>
          <w:sz w:val="24"/>
          <w:szCs w:val="24"/>
        </w:rPr>
        <w:t>BLS News Release USDL-18-045</w:t>
      </w:r>
      <w:r>
        <w:rPr>
          <w:sz w:val="24"/>
          <w:szCs w:val="24"/>
        </w:rPr>
        <w:t>, dated March 20, 2018.</w:t>
      </w:r>
    </w:p>
    <w:p w14:paraId="15DD9FF6" w14:textId="42DD7A89" w:rsidR="0080222B" w:rsidRDefault="0080222B" w:rsidP="00C522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33D2BF" w14:textId="51EF1C5F" w:rsidR="00135D91" w:rsidRPr="007E1B27" w:rsidRDefault="00135D91" w:rsidP="00135D9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1B27">
        <w:rPr>
          <w:b/>
          <w:sz w:val="24"/>
          <w:szCs w:val="24"/>
        </w:rPr>
        <w:t xml:space="preserve">Table </w:t>
      </w:r>
      <w:r w:rsidR="003651C7" w:rsidRPr="007E1B27">
        <w:rPr>
          <w:b/>
          <w:sz w:val="24"/>
          <w:szCs w:val="24"/>
        </w:rPr>
        <w:t>2</w:t>
      </w:r>
      <w:r w:rsidRPr="007E1B27">
        <w:rPr>
          <w:b/>
          <w:sz w:val="24"/>
          <w:szCs w:val="24"/>
        </w:rPr>
        <w:t xml:space="preserve">. </w:t>
      </w:r>
      <w:r w:rsidR="003651C7" w:rsidRPr="007E1B27">
        <w:rPr>
          <w:b/>
          <w:sz w:val="24"/>
          <w:szCs w:val="24"/>
        </w:rPr>
        <w:t>Responder Burden</w:t>
      </w:r>
    </w:p>
    <w:p w14:paraId="0328D6C9" w14:textId="77777777" w:rsidR="00135D91" w:rsidRPr="00A923E2" w:rsidRDefault="00135D91" w:rsidP="00135D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70"/>
        <w:gridCol w:w="1530"/>
        <w:gridCol w:w="1204"/>
        <w:gridCol w:w="1496"/>
        <w:gridCol w:w="1530"/>
      </w:tblGrid>
      <w:tr w:rsidR="00135D91" w:rsidRPr="00A923E2" w14:paraId="1164AA61" w14:textId="77777777" w:rsidTr="0051471E">
        <w:trPr>
          <w:trHeight w:val="1124"/>
        </w:trPr>
        <w:tc>
          <w:tcPr>
            <w:tcW w:w="2358" w:type="dxa"/>
            <w:shd w:val="clear" w:color="auto" w:fill="F2F2F2"/>
            <w:vAlign w:val="center"/>
          </w:tcPr>
          <w:p w14:paraId="50C497FD" w14:textId="77777777" w:rsidR="00135D91" w:rsidRPr="005F53F7" w:rsidRDefault="00135D91" w:rsidP="0051471E">
            <w:pPr>
              <w:jc w:val="center"/>
              <w:rPr>
                <w:sz w:val="24"/>
                <w:szCs w:val="24"/>
              </w:rPr>
            </w:pPr>
            <w:r w:rsidRPr="005F53F7">
              <w:rPr>
                <w:sz w:val="24"/>
                <w:szCs w:val="24"/>
                <w:lang w:val="en-CA"/>
              </w:rPr>
              <w:t>Activity</w:t>
            </w:r>
          </w:p>
        </w:tc>
        <w:tc>
          <w:tcPr>
            <w:tcW w:w="1170" w:type="dxa"/>
            <w:shd w:val="clear" w:color="auto" w:fill="F2F2F2"/>
            <w:vAlign w:val="center"/>
          </w:tcPr>
          <w:p w14:paraId="21079CE1" w14:textId="60E9C74D" w:rsidR="00135D91" w:rsidRPr="005F53F7" w:rsidRDefault="00135D91" w:rsidP="0051471E">
            <w:pPr>
              <w:jc w:val="center"/>
              <w:rPr>
                <w:sz w:val="24"/>
                <w:szCs w:val="24"/>
              </w:rPr>
            </w:pPr>
            <w:r w:rsidRPr="005F53F7">
              <w:rPr>
                <w:sz w:val="24"/>
                <w:szCs w:val="24"/>
                <w:lang w:val="en-CA"/>
              </w:rPr>
              <w:t xml:space="preserve"> Number of Responses</w:t>
            </w:r>
          </w:p>
        </w:tc>
        <w:tc>
          <w:tcPr>
            <w:tcW w:w="1530" w:type="dxa"/>
            <w:shd w:val="clear" w:color="auto" w:fill="F2F2F2"/>
            <w:vAlign w:val="center"/>
          </w:tcPr>
          <w:p w14:paraId="3C1A37A9" w14:textId="77777777" w:rsidR="00135D91" w:rsidRPr="005F53F7" w:rsidRDefault="00135D91" w:rsidP="0051471E">
            <w:pPr>
              <w:jc w:val="center"/>
              <w:rPr>
                <w:sz w:val="24"/>
                <w:szCs w:val="24"/>
              </w:rPr>
            </w:pPr>
            <w:r w:rsidRPr="005F53F7">
              <w:rPr>
                <w:sz w:val="24"/>
                <w:szCs w:val="24"/>
                <w:lang w:val="en-CA"/>
              </w:rPr>
              <w:t>Estimated Completion Time per Respondent</w:t>
            </w:r>
          </w:p>
        </w:tc>
        <w:tc>
          <w:tcPr>
            <w:tcW w:w="1204" w:type="dxa"/>
            <w:shd w:val="clear" w:color="auto" w:fill="F2F2F2"/>
            <w:vAlign w:val="center"/>
          </w:tcPr>
          <w:p w14:paraId="54D612A7" w14:textId="77777777" w:rsidR="00135D91" w:rsidRPr="005F53F7" w:rsidRDefault="00135D91" w:rsidP="0051471E">
            <w:pPr>
              <w:jc w:val="center"/>
              <w:rPr>
                <w:sz w:val="24"/>
                <w:szCs w:val="24"/>
              </w:rPr>
            </w:pPr>
            <w:r w:rsidRPr="005F53F7">
              <w:rPr>
                <w:sz w:val="24"/>
                <w:szCs w:val="24"/>
                <w:lang w:val="en-CA"/>
              </w:rPr>
              <w:t>Total Annual Burden Hours</w:t>
            </w:r>
          </w:p>
        </w:tc>
        <w:tc>
          <w:tcPr>
            <w:tcW w:w="1496" w:type="dxa"/>
            <w:shd w:val="clear" w:color="auto" w:fill="F2F2F2"/>
            <w:vAlign w:val="center"/>
          </w:tcPr>
          <w:p w14:paraId="33967CB7" w14:textId="77777777" w:rsidR="00135D91" w:rsidRPr="005F53F7" w:rsidRDefault="00135D91" w:rsidP="0051471E">
            <w:pPr>
              <w:jc w:val="center"/>
              <w:rPr>
                <w:sz w:val="24"/>
                <w:szCs w:val="24"/>
                <w:lang w:val="en-CA"/>
              </w:rPr>
            </w:pPr>
            <w:r w:rsidRPr="005F53F7">
              <w:rPr>
                <w:sz w:val="24"/>
                <w:szCs w:val="24"/>
                <w:lang w:val="en-CA"/>
              </w:rPr>
              <w:t>Dollar Value of Burden Hour  [Including Benefits]</w:t>
            </w:r>
          </w:p>
        </w:tc>
        <w:tc>
          <w:tcPr>
            <w:tcW w:w="1530" w:type="dxa"/>
            <w:tcBorders>
              <w:bottom w:val="single" w:sz="4" w:space="0" w:color="auto"/>
            </w:tcBorders>
            <w:shd w:val="clear" w:color="auto" w:fill="F2F2F2"/>
            <w:vAlign w:val="center"/>
          </w:tcPr>
          <w:p w14:paraId="2F3B4F79" w14:textId="77777777" w:rsidR="00135D91" w:rsidRPr="005F53F7" w:rsidRDefault="00135D91" w:rsidP="0051471E">
            <w:pPr>
              <w:jc w:val="center"/>
              <w:rPr>
                <w:sz w:val="24"/>
                <w:szCs w:val="24"/>
                <w:lang w:val="en-CA"/>
              </w:rPr>
            </w:pPr>
            <w:r w:rsidRPr="005F53F7">
              <w:rPr>
                <w:sz w:val="24"/>
                <w:szCs w:val="24"/>
                <w:lang w:val="en-CA"/>
              </w:rPr>
              <w:t>Total Dollar Value of Annual Burden Hours</w:t>
            </w:r>
          </w:p>
        </w:tc>
      </w:tr>
      <w:tr w:rsidR="00135D91" w:rsidRPr="00A923E2" w14:paraId="2D5BDCA7" w14:textId="77777777" w:rsidTr="0051471E">
        <w:trPr>
          <w:trHeight w:val="629"/>
        </w:trPr>
        <w:tc>
          <w:tcPr>
            <w:tcW w:w="2358" w:type="dxa"/>
            <w:vAlign w:val="center"/>
          </w:tcPr>
          <w:p w14:paraId="5DE90169" w14:textId="77777777" w:rsidR="00135D91" w:rsidRPr="005F53F7" w:rsidRDefault="00135D91" w:rsidP="0051471E">
            <w:pPr>
              <w:rPr>
                <w:sz w:val="24"/>
                <w:szCs w:val="24"/>
                <w:lang w:val="en-CA"/>
              </w:rPr>
            </w:pPr>
          </w:p>
          <w:p w14:paraId="4EE7FF7F" w14:textId="77777777" w:rsidR="00135D91" w:rsidRPr="005F53F7" w:rsidRDefault="00135D91" w:rsidP="0051471E">
            <w:pPr>
              <w:rPr>
                <w:sz w:val="24"/>
                <w:szCs w:val="24"/>
                <w:lang w:val="en-CA"/>
              </w:rPr>
            </w:pPr>
            <w:r w:rsidRPr="005F53F7">
              <w:rPr>
                <w:sz w:val="24"/>
                <w:szCs w:val="24"/>
                <w:lang w:val="en-CA"/>
              </w:rPr>
              <w:t>Narrative/ Proposal Preparation</w:t>
            </w:r>
          </w:p>
        </w:tc>
        <w:tc>
          <w:tcPr>
            <w:tcW w:w="1170" w:type="dxa"/>
            <w:vAlign w:val="center"/>
          </w:tcPr>
          <w:p w14:paraId="3541899F" w14:textId="77777777" w:rsidR="00135D91" w:rsidRPr="005F53F7" w:rsidRDefault="00135D91" w:rsidP="0051471E">
            <w:pPr>
              <w:jc w:val="center"/>
              <w:rPr>
                <w:sz w:val="24"/>
                <w:szCs w:val="24"/>
              </w:rPr>
            </w:pPr>
            <w:r w:rsidRPr="005F53F7">
              <w:rPr>
                <w:sz w:val="24"/>
                <w:szCs w:val="24"/>
              </w:rPr>
              <w:t>250</w:t>
            </w:r>
          </w:p>
        </w:tc>
        <w:tc>
          <w:tcPr>
            <w:tcW w:w="1530" w:type="dxa"/>
            <w:vAlign w:val="center"/>
          </w:tcPr>
          <w:p w14:paraId="2E49747A" w14:textId="77777777" w:rsidR="00135D91" w:rsidRPr="005F53F7" w:rsidRDefault="00135D91" w:rsidP="0051471E">
            <w:pPr>
              <w:jc w:val="center"/>
              <w:rPr>
                <w:sz w:val="24"/>
                <w:szCs w:val="24"/>
              </w:rPr>
            </w:pPr>
            <w:r w:rsidRPr="005F53F7">
              <w:rPr>
                <w:sz w:val="24"/>
                <w:szCs w:val="24"/>
              </w:rPr>
              <w:t>45 hours</w:t>
            </w:r>
          </w:p>
        </w:tc>
        <w:tc>
          <w:tcPr>
            <w:tcW w:w="1204" w:type="dxa"/>
            <w:vAlign w:val="center"/>
          </w:tcPr>
          <w:p w14:paraId="53062C62" w14:textId="0DABB83A" w:rsidR="00135D91" w:rsidRPr="005F53F7" w:rsidRDefault="00F56C4B" w:rsidP="00F56C4B">
            <w:pPr>
              <w:jc w:val="center"/>
              <w:rPr>
                <w:sz w:val="24"/>
                <w:szCs w:val="24"/>
              </w:rPr>
            </w:pPr>
            <w:r>
              <w:rPr>
                <w:sz w:val="24"/>
                <w:szCs w:val="24"/>
              </w:rPr>
              <w:t>11</w:t>
            </w:r>
            <w:r w:rsidR="00135D91" w:rsidRPr="005F53F7">
              <w:rPr>
                <w:sz w:val="24"/>
                <w:szCs w:val="24"/>
              </w:rPr>
              <w:t>,</w:t>
            </w:r>
            <w:r>
              <w:rPr>
                <w:sz w:val="24"/>
                <w:szCs w:val="24"/>
              </w:rPr>
              <w:t>250</w:t>
            </w:r>
          </w:p>
        </w:tc>
        <w:tc>
          <w:tcPr>
            <w:tcW w:w="1496" w:type="dxa"/>
            <w:vAlign w:val="center"/>
          </w:tcPr>
          <w:p w14:paraId="2EE1910E" w14:textId="0E5A4655" w:rsidR="00135D91" w:rsidRPr="005F53F7" w:rsidRDefault="00135D91" w:rsidP="0051471E">
            <w:pPr>
              <w:jc w:val="center"/>
              <w:rPr>
                <w:sz w:val="24"/>
                <w:szCs w:val="24"/>
              </w:rPr>
            </w:pPr>
            <w:r w:rsidRPr="005F53F7">
              <w:rPr>
                <w:sz w:val="24"/>
                <w:szCs w:val="24"/>
              </w:rPr>
              <w:t>$</w:t>
            </w:r>
            <w:r w:rsidR="00925727" w:rsidRPr="005F53F7">
              <w:rPr>
                <w:sz w:val="24"/>
                <w:szCs w:val="24"/>
              </w:rPr>
              <w:t>73.27</w:t>
            </w:r>
          </w:p>
        </w:tc>
        <w:tc>
          <w:tcPr>
            <w:tcW w:w="1530" w:type="dxa"/>
            <w:shd w:val="clear" w:color="auto" w:fill="auto"/>
            <w:vAlign w:val="center"/>
          </w:tcPr>
          <w:p w14:paraId="1E869DAE" w14:textId="3A402004" w:rsidR="00135D91" w:rsidRPr="005F53F7" w:rsidRDefault="00135D91" w:rsidP="0051471E">
            <w:pPr>
              <w:jc w:val="center"/>
              <w:rPr>
                <w:sz w:val="24"/>
                <w:szCs w:val="24"/>
              </w:rPr>
            </w:pPr>
            <w:r w:rsidRPr="005F53F7">
              <w:rPr>
                <w:sz w:val="24"/>
                <w:szCs w:val="24"/>
              </w:rPr>
              <w:t>$</w:t>
            </w:r>
            <w:r w:rsidR="00925727" w:rsidRPr="005F53F7">
              <w:rPr>
                <w:sz w:val="24"/>
                <w:szCs w:val="24"/>
              </w:rPr>
              <w:t>824,288</w:t>
            </w:r>
          </w:p>
        </w:tc>
      </w:tr>
      <w:tr w:rsidR="00135D91" w:rsidRPr="00A923E2" w14:paraId="2927628B" w14:textId="77777777" w:rsidTr="0051471E">
        <w:trPr>
          <w:trHeight w:val="440"/>
        </w:trPr>
        <w:tc>
          <w:tcPr>
            <w:tcW w:w="2358" w:type="dxa"/>
            <w:vAlign w:val="center"/>
          </w:tcPr>
          <w:p w14:paraId="382CAE3D" w14:textId="77777777" w:rsidR="00135D91" w:rsidRPr="005F53F7" w:rsidRDefault="00135D91" w:rsidP="0051471E">
            <w:pPr>
              <w:rPr>
                <w:sz w:val="24"/>
                <w:szCs w:val="24"/>
              </w:rPr>
            </w:pPr>
            <w:r w:rsidRPr="005F53F7">
              <w:rPr>
                <w:sz w:val="24"/>
                <w:szCs w:val="24"/>
                <w:lang w:val="en-CA"/>
              </w:rPr>
              <w:t>Final Reports (or annual progress report*)</w:t>
            </w:r>
          </w:p>
        </w:tc>
        <w:tc>
          <w:tcPr>
            <w:tcW w:w="1170" w:type="dxa"/>
            <w:vAlign w:val="center"/>
          </w:tcPr>
          <w:p w14:paraId="25251D26" w14:textId="77777777" w:rsidR="00135D91" w:rsidRPr="005F53F7" w:rsidRDefault="00135D91" w:rsidP="0051471E">
            <w:pPr>
              <w:jc w:val="center"/>
              <w:rPr>
                <w:sz w:val="24"/>
                <w:szCs w:val="24"/>
              </w:rPr>
            </w:pPr>
            <w:r w:rsidRPr="005F53F7">
              <w:rPr>
                <w:sz w:val="24"/>
                <w:szCs w:val="24"/>
              </w:rPr>
              <w:t>100</w:t>
            </w:r>
          </w:p>
        </w:tc>
        <w:tc>
          <w:tcPr>
            <w:tcW w:w="1530" w:type="dxa"/>
            <w:vAlign w:val="center"/>
          </w:tcPr>
          <w:p w14:paraId="1BDBFD1E" w14:textId="77777777" w:rsidR="00135D91" w:rsidRPr="005F53F7" w:rsidRDefault="00135D91" w:rsidP="0051471E">
            <w:pPr>
              <w:jc w:val="center"/>
              <w:rPr>
                <w:sz w:val="24"/>
                <w:szCs w:val="24"/>
              </w:rPr>
            </w:pPr>
            <w:r w:rsidRPr="005F53F7">
              <w:rPr>
                <w:sz w:val="24"/>
                <w:szCs w:val="24"/>
              </w:rPr>
              <w:t>12 hours</w:t>
            </w:r>
          </w:p>
        </w:tc>
        <w:tc>
          <w:tcPr>
            <w:tcW w:w="1204" w:type="dxa"/>
            <w:vAlign w:val="center"/>
          </w:tcPr>
          <w:p w14:paraId="618A3838" w14:textId="71D81FD2" w:rsidR="00135D91" w:rsidRPr="005F53F7" w:rsidRDefault="00F56C4B" w:rsidP="00F56C4B">
            <w:pPr>
              <w:jc w:val="center"/>
              <w:rPr>
                <w:sz w:val="24"/>
                <w:szCs w:val="24"/>
              </w:rPr>
            </w:pPr>
            <w:r>
              <w:rPr>
                <w:sz w:val="24"/>
                <w:szCs w:val="24"/>
              </w:rPr>
              <w:t>1,20</w:t>
            </w:r>
            <w:r w:rsidR="00135D91" w:rsidRPr="005F53F7">
              <w:rPr>
                <w:sz w:val="24"/>
                <w:szCs w:val="24"/>
              </w:rPr>
              <w:t>0</w:t>
            </w:r>
          </w:p>
        </w:tc>
        <w:tc>
          <w:tcPr>
            <w:tcW w:w="1496" w:type="dxa"/>
            <w:vAlign w:val="center"/>
          </w:tcPr>
          <w:p w14:paraId="0E9BB1C2" w14:textId="342C0A0B" w:rsidR="00135D91" w:rsidRPr="005F53F7" w:rsidRDefault="00135D91" w:rsidP="0051471E">
            <w:pPr>
              <w:jc w:val="center"/>
              <w:rPr>
                <w:sz w:val="24"/>
                <w:szCs w:val="24"/>
              </w:rPr>
            </w:pPr>
            <w:r w:rsidRPr="005F53F7">
              <w:rPr>
                <w:sz w:val="24"/>
                <w:szCs w:val="24"/>
              </w:rPr>
              <w:t>$</w:t>
            </w:r>
            <w:r w:rsidR="00925727" w:rsidRPr="005F53F7">
              <w:rPr>
                <w:sz w:val="24"/>
                <w:szCs w:val="24"/>
              </w:rPr>
              <w:t>73.27</w:t>
            </w:r>
          </w:p>
        </w:tc>
        <w:tc>
          <w:tcPr>
            <w:tcW w:w="1530" w:type="dxa"/>
            <w:tcBorders>
              <w:bottom w:val="single" w:sz="4" w:space="0" w:color="auto"/>
            </w:tcBorders>
            <w:shd w:val="clear" w:color="auto" w:fill="auto"/>
            <w:vAlign w:val="center"/>
          </w:tcPr>
          <w:p w14:paraId="05FF2B28" w14:textId="345FEAAE" w:rsidR="00135D91" w:rsidRPr="005F53F7" w:rsidRDefault="00135D91" w:rsidP="0051471E">
            <w:pPr>
              <w:jc w:val="center"/>
              <w:rPr>
                <w:sz w:val="24"/>
                <w:szCs w:val="24"/>
              </w:rPr>
            </w:pPr>
            <w:r w:rsidRPr="005F53F7">
              <w:rPr>
                <w:sz w:val="24"/>
                <w:szCs w:val="24"/>
              </w:rPr>
              <w:t>$8</w:t>
            </w:r>
            <w:r w:rsidR="00925727" w:rsidRPr="005F53F7">
              <w:rPr>
                <w:sz w:val="24"/>
                <w:szCs w:val="24"/>
              </w:rPr>
              <w:t>7,924</w:t>
            </w:r>
          </w:p>
        </w:tc>
      </w:tr>
      <w:tr w:rsidR="00135D91" w:rsidRPr="00DA194B" w14:paraId="521BE0B9" w14:textId="77777777" w:rsidTr="0051471E">
        <w:trPr>
          <w:trHeight w:val="350"/>
        </w:trPr>
        <w:tc>
          <w:tcPr>
            <w:tcW w:w="2358" w:type="dxa"/>
            <w:vAlign w:val="center"/>
          </w:tcPr>
          <w:p w14:paraId="66FC2D22" w14:textId="77777777" w:rsidR="00135D91" w:rsidRPr="005F53F7" w:rsidRDefault="00135D91" w:rsidP="0051471E">
            <w:pPr>
              <w:rPr>
                <w:b/>
                <w:sz w:val="24"/>
                <w:szCs w:val="24"/>
              </w:rPr>
            </w:pPr>
            <w:r w:rsidRPr="005F53F7">
              <w:rPr>
                <w:b/>
                <w:sz w:val="24"/>
                <w:szCs w:val="24"/>
              </w:rPr>
              <w:t>Total</w:t>
            </w:r>
          </w:p>
        </w:tc>
        <w:tc>
          <w:tcPr>
            <w:tcW w:w="1170" w:type="dxa"/>
            <w:vAlign w:val="center"/>
          </w:tcPr>
          <w:p w14:paraId="735C6BDB" w14:textId="77777777" w:rsidR="00135D91" w:rsidRPr="005F53F7" w:rsidRDefault="00135D91" w:rsidP="0051471E">
            <w:pPr>
              <w:jc w:val="center"/>
              <w:rPr>
                <w:sz w:val="24"/>
                <w:szCs w:val="24"/>
              </w:rPr>
            </w:pPr>
            <w:r w:rsidRPr="005F53F7">
              <w:rPr>
                <w:sz w:val="24"/>
                <w:szCs w:val="24"/>
              </w:rPr>
              <w:t>350</w:t>
            </w:r>
          </w:p>
        </w:tc>
        <w:tc>
          <w:tcPr>
            <w:tcW w:w="1530" w:type="dxa"/>
            <w:vAlign w:val="center"/>
          </w:tcPr>
          <w:p w14:paraId="3BA2B016" w14:textId="77777777" w:rsidR="00135D91" w:rsidRPr="005F53F7" w:rsidRDefault="00135D91" w:rsidP="0051471E">
            <w:pPr>
              <w:jc w:val="center"/>
              <w:rPr>
                <w:sz w:val="24"/>
                <w:szCs w:val="24"/>
              </w:rPr>
            </w:pPr>
          </w:p>
        </w:tc>
        <w:tc>
          <w:tcPr>
            <w:tcW w:w="1204" w:type="dxa"/>
            <w:vAlign w:val="center"/>
          </w:tcPr>
          <w:p w14:paraId="6B4A1BD3" w14:textId="77777777" w:rsidR="00135D91" w:rsidRPr="005F53F7" w:rsidRDefault="00135D91" w:rsidP="0051471E">
            <w:pPr>
              <w:jc w:val="center"/>
              <w:rPr>
                <w:sz w:val="24"/>
                <w:szCs w:val="24"/>
              </w:rPr>
            </w:pPr>
            <w:r w:rsidRPr="005F53F7">
              <w:rPr>
                <w:sz w:val="24"/>
                <w:szCs w:val="24"/>
              </w:rPr>
              <w:t>12,450</w:t>
            </w:r>
          </w:p>
        </w:tc>
        <w:tc>
          <w:tcPr>
            <w:tcW w:w="1496" w:type="dxa"/>
            <w:vAlign w:val="center"/>
          </w:tcPr>
          <w:p w14:paraId="151A53B5" w14:textId="77777777" w:rsidR="00135D91" w:rsidRPr="005F53F7" w:rsidRDefault="00135D91" w:rsidP="0051471E">
            <w:pPr>
              <w:jc w:val="center"/>
              <w:rPr>
                <w:sz w:val="24"/>
                <w:szCs w:val="24"/>
              </w:rPr>
            </w:pPr>
          </w:p>
        </w:tc>
        <w:tc>
          <w:tcPr>
            <w:tcW w:w="1530" w:type="dxa"/>
            <w:shd w:val="clear" w:color="auto" w:fill="auto"/>
            <w:vAlign w:val="center"/>
          </w:tcPr>
          <w:p w14:paraId="2E0A0984" w14:textId="7D3B6FD7" w:rsidR="00135D91" w:rsidRPr="005F53F7" w:rsidRDefault="00925727" w:rsidP="00925727">
            <w:pPr>
              <w:rPr>
                <w:b/>
                <w:sz w:val="24"/>
                <w:szCs w:val="24"/>
              </w:rPr>
            </w:pPr>
            <w:r w:rsidRPr="005F53F7">
              <w:rPr>
                <w:b/>
                <w:sz w:val="24"/>
                <w:szCs w:val="24"/>
              </w:rPr>
              <w:t xml:space="preserve">      $912,212</w:t>
            </w:r>
          </w:p>
        </w:tc>
      </w:tr>
    </w:tbl>
    <w:p w14:paraId="1288F5E5" w14:textId="77777777" w:rsidR="00135D91" w:rsidRDefault="00135D91" w:rsidP="00135D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p>
    <w:p w14:paraId="417A88AB" w14:textId="019FB94A" w:rsidR="00BE0F05" w:rsidRPr="005B6C35" w:rsidRDefault="00135D91" w:rsidP="005B6C3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bCs/>
          <w:sz w:val="18"/>
          <w:szCs w:val="18"/>
        </w:rPr>
      </w:pPr>
      <w:r w:rsidRPr="009F0BA1">
        <w:rPr>
          <w:bCs/>
          <w:sz w:val="18"/>
          <w:szCs w:val="18"/>
        </w:rPr>
        <w:t>*</w:t>
      </w:r>
      <w:r>
        <w:rPr>
          <w:sz w:val="18"/>
          <w:szCs w:val="18"/>
        </w:rPr>
        <w:t>F</w:t>
      </w:r>
      <w:r w:rsidRPr="009F0BA1">
        <w:rPr>
          <w:sz w:val="18"/>
          <w:szCs w:val="18"/>
        </w:rPr>
        <w:t>or awards of 2-5 years, at the end of each funded year the PI must submit a progress report to receive subsequent funding for the following year.</w:t>
      </w: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1012B2F3" w:rsidR="00082C1C" w:rsidRDefault="00EA0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735A">
        <w:rPr>
          <w:sz w:val="24"/>
          <w:szCs w:val="24"/>
        </w:rPr>
        <w:t>We have identified no reporting and recordkeeping “non-hour cost” burdens associated with this proposed collection of information.</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015A9F3B" w:rsidR="00CA378C" w:rsidRDefault="003754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 xml:space="preserve">      </w:t>
      </w:r>
      <w:r w:rsidR="00CA378C" w:rsidRPr="00075414">
        <w:rPr>
          <w:sz w:val="24"/>
          <w:szCs w:val="24"/>
        </w:rPr>
        <w:t xml:space="preserve">The total annual cost to the Federal Government </w:t>
      </w:r>
      <w:r w:rsidR="0046400B">
        <w:rPr>
          <w:color w:val="000000" w:themeColor="text1"/>
          <w:sz w:val="24"/>
          <w:szCs w:val="24"/>
        </w:rPr>
        <w:t>is $339,60</w:t>
      </w:r>
      <w:r w:rsidR="00344FC0" w:rsidRPr="00344FC0">
        <w:rPr>
          <w:color w:val="000000" w:themeColor="text1"/>
          <w:sz w:val="24"/>
          <w:szCs w:val="24"/>
        </w:rPr>
        <w:t>2.</w:t>
      </w:r>
      <w:r w:rsidR="00CA378C" w:rsidRPr="00344FC0">
        <w:rPr>
          <w:color w:val="000000" w:themeColor="text1"/>
          <w:sz w:val="24"/>
          <w:szCs w:val="24"/>
        </w:rPr>
        <w:t xml:space="preserve"> </w:t>
      </w:r>
      <w:r w:rsidR="00CA378C" w:rsidRPr="00075414">
        <w:rPr>
          <w:sz w:val="24"/>
          <w:szCs w:val="24"/>
        </w:rPr>
        <w:t>This includes salary and benefits</w:t>
      </w:r>
      <w:r>
        <w:rPr>
          <w:sz w:val="24"/>
          <w:szCs w:val="24"/>
        </w:rPr>
        <w:t xml:space="preserve"> </w:t>
      </w:r>
      <w:r w:rsidR="00CA378C" w:rsidRPr="00075414">
        <w:rPr>
          <w:sz w:val="24"/>
          <w:szCs w:val="24"/>
        </w:rPr>
        <w:t xml:space="preserve">for </w:t>
      </w:r>
      <w:r w:rsidR="00344FC0">
        <w:rPr>
          <w:sz w:val="24"/>
          <w:szCs w:val="24"/>
        </w:rPr>
        <w:t>three</w:t>
      </w:r>
      <w:r w:rsidR="00CA378C" w:rsidRPr="00075414">
        <w:rPr>
          <w:sz w:val="24"/>
          <w:szCs w:val="24"/>
        </w:rPr>
        <w:t xml:space="preserve"> federal </w:t>
      </w:r>
      <w:r w:rsidRPr="00075414">
        <w:rPr>
          <w:sz w:val="24"/>
          <w:szCs w:val="24"/>
        </w:rPr>
        <w:t>employee</w:t>
      </w:r>
      <w:r>
        <w:rPr>
          <w:sz w:val="24"/>
          <w:szCs w:val="24"/>
        </w:rPr>
        <w:t>s’</w:t>
      </w:r>
      <w:r w:rsidR="00CA378C" w:rsidRPr="00075414">
        <w:rPr>
          <w:sz w:val="24"/>
          <w:szCs w:val="24"/>
        </w:rPr>
        <w:t xml:space="preserve"> </w:t>
      </w:r>
      <w:r>
        <w:rPr>
          <w:sz w:val="24"/>
          <w:szCs w:val="24"/>
        </w:rPr>
        <w:t xml:space="preserve">salaries and travel </w:t>
      </w:r>
      <w:r w:rsidR="00CA378C" w:rsidRPr="00075414">
        <w:rPr>
          <w:sz w:val="24"/>
          <w:szCs w:val="24"/>
        </w:rPr>
        <w:t xml:space="preserve">to process </w:t>
      </w:r>
      <w:r w:rsidR="00344FC0">
        <w:rPr>
          <w:sz w:val="24"/>
          <w:szCs w:val="24"/>
        </w:rPr>
        <w:t xml:space="preserve">and manage </w:t>
      </w:r>
      <w:r w:rsidR="00CA378C" w:rsidRPr="00075414">
        <w:rPr>
          <w:sz w:val="24"/>
          <w:szCs w:val="24"/>
        </w:rPr>
        <w:t>the responses. We used the Office of Personnel Management Salary Table 201</w:t>
      </w:r>
      <w:r w:rsidR="00344FC0">
        <w:rPr>
          <w:sz w:val="24"/>
          <w:szCs w:val="24"/>
        </w:rPr>
        <w:t>8</w:t>
      </w:r>
      <w:r w:rsidR="00CA378C" w:rsidRPr="00075414">
        <w:rPr>
          <w:sz w:val="24"/>
          <w:szCs w:val="24"/>
        </w:rPr>
        <w:t>-</w:t>
      </w:r>
      <w:r>
        <w:rPr>
          <w:sz w:val="24"/>
          <w:szCs w:val="24"/>
        </w:rPr>
        <w:t xml:space="preserve">DCB </w:t>
      </w:r>
      <w:r w:rsidR="00CA378C" w:rsidRPr="00075414">
        <w:rPr>
          <w:sz w:val="24"/>
          <w:szCs w:val="24"/>
        </w:rPr>
        <w:t>(</w:t>
      </w:r>
      <w:r w:rsidR="00CA378C" w:rsidRPr="0084272E">
        <w:rPr>
          <w:i/>
          <w:sz w:val="24"/>
          <w:szCs w:val="24"/>
        </w:rPr>
        <w:t>http://www.opm.gov/policy-data-oversight/pay-leave/salaries-wages/201</w:t>
      </w:r>
      <w:r w:rsidR="00344FC0">
        <w:rPr>
          <w:i/>
          <w:sz w:val="24"/>
          <w:szCs w:val="24"/>
        </w:rPr>
        <w:t>8</w:t>
      </w:r>
      <w:r w:rsidR="00CA378C" w:rsidRPr="0084272E">
        <w:rPr>
          <w:i/>
          <w:sz w:val="24"/>
          <w:szCs w:val="24"/>
        </w:rPr>
        <w:t>/general-schedule/</w:t>
      </w:r>
      <w:r w:rsidR="00CA378C" w:rsidRPr="00075414">
        <w:rPr>
          <w:bCs/>
          <w:sz w:val="24"/>
          <w:szCs w:val="24"/>
        </w:rPr>
        <w:t xml:space="preserve">) </w:t>
      </w:r>
      <w:r w:rsidR="00CA378C" w:rsidRPr="00075414">
        <w:rPr>
          <w:sz w:val="24"/>
          <w:szCs w:val="24"/>
        </w:rPr>
        <w:t>to de</w:t>
      </w:r>
      <w:r w:rsidR="00CA378C">
        <w:rPr>
          <w:sz w:val="24"/>
          <w:szCs w:val="24"/>
        </w:rPr>
        <w:t xml:space="preserve">termine the hourly rate (Table </w:t>
      </w:r>
      <w:r w:rsidR="00344FC0">
        <w:rPr>
          <w:sz w:val="24"/>
          <w:szCs w:val="24"/>
        </w:rPr>
        <w:t>3</w:t>
      </w:r>
      <w:r w:rsidR="00CA378C" w:rsidRPr="00075414">
        <w:rPr>
          <w:sz w:val="24"/>
          <w:szCs w:val="24"/>
        </w:rPr>
        <w:t xml:space="preserve">). </w:t>
      </w:r>
      <w:r w:rsidR="00344FC0">
        <w:rPr>
          <w:sz w:val="24"/>
          <w:szCs w:val="24"/>
        </w:rPr>
        <w:t xml:space="preserve">Federal salaries are based upon the labor rates provided by Office of Personnel Management for the Washington-Baltimore area. </w:t>
      </w:r>
      <w:r w:rsidR="00CA378C" w:rsidRPr="00075414">
        <w:rPr>
          <w:sz w:val="24"/>
          <w:szCs w:val="24"/>
        </w:rPr>
        <w:t>We multiplied the hourly rate by 1.</w:t>
      </w:r>
      <w:r w:rsidR="00CA378C">
        <w:rPr>
          <w:sz w:val="24"/>
          <w:szCs w:val="24"/>
        </w:rPr>
        <w:t>6</w:t>
      </w:r>
      <w:r w:rsidR="00CA378C" w:rsidRPr="00075414">
        <w:rPr>
          <w:sz w:val="24"/>
          <w:szCs w:val="24"/>
        </w:rPr>
        <w:t xml:space="preserve"> to account for benefits (as implied by the BLS news release </w:t>
      </w:r>
      <w:r w:rsidR="00CA378C" w:rsidRPr="00075414">
        <w:rPr>
          <w:bCs/>
          <w:sz w:val="24"/>
          <w:szCs w:val="24"/>
        </w:rPr>
        <w:t>USDL-</w:t>
      </w:r>
      <w:r w:rsidR="00CA378C">
        <w:rPr>
          <w:bCs/>
          <w:sz w:val="24"/>
          <w:szCs w:val="24"/>
        </w:rPr>
        <w:t>1</w:t>
      </w:r>
      <w:r w:rsidR="00344FC0">
        <w:rPr>
          <w:bCs/>
          <w:sz w:val="24"/>
          <w:szCs w:val="24"/>
        </w:rPr>
        <w:t>8</w:t>
      </w:r>
      <w:r w:rsidR="00CA378C">
        <w:rPr>
          <w:bCs/>
          <w:sz w:val="24"/>
          <w:szCs w:val="24"/>
        </w:rPr>
        <w:t>-</w:t>
      </w:r>
      <w:r w:rsidR="00344FC0">
        <w:rPr>
          <w:bCs/>
          <w:sz w:val="24"/>
          <w:szCs w:val="24"/>
        </w:rPr>
        <w:t>045</w:t>
      </w:r>
      <w:r w:rsidR="00CA378C" w:rsidRPr="00075414">
        <w:rPr>
          <w:bCs/>
          <w:sz w:val="24"/>
          <w:szCs w:val="24"/>
        </w:rPr>
        <w:t>)</w:t>
      </w:r>
      <w:r w:rsidR="00CA378C"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Pr="00344FC0"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44FC0">
        <w:rPr>
          <w:b/>
          <w:sz w:val="24"/>
          <w:szCs w:val="24"/>
        </w:rPr>
        <w:t>Table 3: Federal Labor Table</w:t>
      </w:r>
    </w:p>
    <w:tbl>
      <w:tblPr>
        <w:tblStyle w:val="TableGrid"/>
        <w:tblW w:w="0" w:type="auto"/>
        <w:tblInd w:w="360" w:type="dxa"/>
        <w:tblLook w:val="04A0" w:firstRow="1" w:lastRow="0" w:firstColumn="1" w:lastColumn="0" w:noHBand="0" w:noVBand="1"/>
      </w:tblPr>
      <w:tblGrid>
        <w:gridCol w:w="1361"/>
        <w:gridCol w:w="1307"/>
        <w:gridCol w:w="1333"/>
        <w:gridCol w:w="1294"/>
        <w:gridCol w:w="1360"/>
        <w:gridCol w:w="1408"/>
      </w:tblGrid>
      <w:tr w:rsidR="00814FB6" w14:paraId="319C6CEC" w14:textId="77777777" w:rsidTr="00921512">
        <w:tc>
          <w:tcPr>
            <w:tcW w:w="1361" w:type="dxa"/>
          </w:tcPr>
          <w:p w14:paraId="59AC6D53" w14:textId="6EDFB3F9"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46EAF7E5"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3F34F7DD"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94" w:type="dxa"/>
          </w:tcPr>
          <w:p w14:paraId="6E15B3CC"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519F8322"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6F768A16"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814FB6" w14:paraId="46E5AA20" w14:textId="77777777" w:rsidTr="00921512">
        <w:tc>
          <w:tcPr>
            <w:tcW w:w="1361" w:type="dxa"/>
          </w:tcPr>
          <w:p w14:paraId="590B682F"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 xml:space="preserve"> Position</w:t>
            </w:r>
          </w:p>
        </w:tc>
        <w:tc>
          <w:tcPr>
            <w:tcW w:w="1307" w:type="dxa"/>
          </w:tcPr>
          <w:p w14:paraId="25A8B3BC"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Grade /Step</w:t>
            </w:r>
          </w:p>
        </w:tc>
        <w:tc>
          <w:tcPr>
            <w:tcW w:w="1333" w:type="dxa"/>
          </w:tcPr>
          <w:p w14:paraId="5403F2E9"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Hourly Rate</w:t>
            </w:r>
          </w:p>
        </w:tc>
        <w:tc>
          <w:tcPr>
            <w:tcW w:w="1294" w:type="dxa"/>
          </w:tcPr>
          <w:p w14:paraId="368AB6A7" w14:textId="622BC615"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Annu</w:t>
            </w:r>
            <w:r w:rsidR="00344FC0">
              <w:rPr>
                <w:b/>
              </w:rPr>
              <w:t>al</w:t>
            </w:r>
            <w:r w:rsidRPr="007E3D59">
              <w:rPr>
                <w:b/>
              </w:rPr>
              <w:t xml:space="preserve"> Hrs by Fed</w:t>
            </w:r>
          </w:p>
        </w:tc>
        <w:tc>
          <w:tcPr>
            <w:tcW w:w="1360" w:type="dxa"/>
          </w:tcPr>
          <w:p w14:paraId="028DEEA0"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Fully Loaded Hr Rate (x</w:t>
            </w:r>
            <w:r>
              <w:rPr>
                <w:b/>
              </w:rPr>
              <w:t xml:space="preserve"> 1.6</w:t>
            </w:r>
            <w:r w:rsidRPr="007E3D59">
              <w:rPr>
                <w:b/>
              </w:rPr>
              <w:t>)</w:t>
            </w:r>
          </w:p>
        </w:tc>
        <w:tc>
          <w:tcPr>
            <w:tcW w:w="1408" w:type="dxa"/>
          </w:tcPr>
          <w:p w14:paraId="1A082E51"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E3D59">
              <w:rPr>
                <w:b/>
              </w:rPr>
              <w:t>Total Labor Value</w:t>
            </w:r>
          </w:p>
        </w:tc>
      </w:tr>
      <w:tr w:rsidR="00814FB6" w14:paraId="1074DF46" w14:textId="77777777" w:rsidTr="00921512">
        <w:tc>
          <w:tcPr>
            <w:tcW w:w="1361" w:type="dxa"/>
          </w:tcPr>
          <w:p w14:paraId="73BC7027" w14:textId="4607EA0B"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Physical Scientist/ Program Manager</w:t>
            </w:r>
          </w:p>
        </w:tc>
        <w:tc>
          <w:tcPr>
            <w:tcW w:w="1307" w:type="dxa"/>
          </w:tcPr>
          <w:p w14:paraId="1F2782E7" w14:textId="7CBCA214"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14/4</w:t>
            </w:r>
          </w:p>
        </w:tc>
        <w:tc>
          <w:tcPr>
            <w:tcW w:w="1333" w:type="dxa"/>
          </w:tcPr>
          <w:p w14:paraId="49D59FC6" w14:textId="4FF91E7B"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w:t>
            </w:r>
            <w:r w:rsidR="00E46924">
              <w:rPr>
                <w:sz w:val="24"/>
                <w:szCs w:val="24"/>
              </w:rPr>
              <w:t>60.30</w:t>
            </w:r>
          </w:p>
        </w:tc>
        <w:tc>
          <w:tcPr>
            <w:tcW w:w="1294" w:type="dxa"/>
          </w:tcPr>
          <w:p w14:paraId="235F5030" w14:textId="5674DD89"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1,700</w:t>
            </w:r>
          </w:p>
        </w:tc>
        <w:tc>
          <w:tcPr>
            <w:tcW w:w="1360" w:type="dxa"/>
          </w:tcPr>
          <w:p w14:paraId="3D9413BA" w14:textId="0418BA3D"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$96.48</w:t>
            </w:r>
          </w:p>
        </w:tc>
        <w:tc>
          <w:tcPr>
            <w:tcW w:w="1408" w:type="dxa"/>
          </w:tcPr>
          <w:p w14:paraId="74C59385" w14:textId="7A836156"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$164,0</w:t>
            </w:r>
            <w:r w:rsidR="00F56C4B">
              <w:rPr>
                <w:sz w:val="24"/>
                <w:szCs w:val="24"/>
              </w:rPr>
              <w:t>1</w:t>
            </w:r>
            <w:r>
              <w:rPr>
                <w:sz w:val="24"/>
                <w:szCs w:val="24"/>
              </w:rPr>
              <w:t>6</w:t>
            </w:r>
          </w:p>
          <w:p w14:paraId="5AB9440F" w14:textId="43AD5D93"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14:paraId="37FC731E" w14:textId="77777777" w:rsidTr="00921512">
        <w:tc>
          <w:tcPr>
            <w:tcW w:w="1361" w:type="dxa"/>
          </w:tcPr>
          <w:p w14:paraId="6EA64284" w14:textId="3E9DBAC4"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Program Analyst</w:t>
            </w:r>
          </w:p>
        </w:tc>
        <w:tc>
          <w:tcPr>
            <w:tcW w:w="1307" w:type="dxa"/>
          </w:tcPr>
          <w:p w14:paraId="7B52A3BB" w14:textId="434F822F"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11/</w:t>
            </w:r>
            <w:r w:rsidR="00E46924" w:rsidRPr="00E46924">
              <w:rPr>
                <w:sz w:val="24"/>
                <w:szCs w:val="24"/>
              </w:rPr>
              <w:t>6</w:t>
            </w:r>
          </w:p>
        </w:tc>
        <w:tc>
          <w:tcPr>
            <w:tcW w:w="1333" w:type="dxa"/>
          </w:tcPr>
          <w:p w14:paraId="2C603EC9" w14:textId="0A744690"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$34.56</w:t>
            </w:r>
          </w:p>
        </w:tc>
        <w:tc>
          <w:tcPr>
            <w:tcW w:w="1294" w:type="dxa"/>
          </w:tcPr>
          <w:p w14:paraId="0355769F" w14:textId="2F6F93AE"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1,700</w:t>
            </w:r>
          </w:p>
        </w:tc>
        <w:tc>
          <w:tcPr>
            <w:tcW w:w="1360" w:type="dxa"/>
          </w:tcPr>
          <w:p w14:paraId="00B45DD3" w14:textId="66BBB9BE"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$55.30</w:t>
            </w:r>
          </w:p>
          <w:p w14:paraId="228013A3" w14:textId="0E118AAC"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Pr>
          <w:p w14:paraId="267E1F99" w14:textId="3B0450B3"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$94,010</w:t>
            </w:r>
          </w:p>
          <w:p w14:paraId="4F8EE538" w14:textId="2F98A57D"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14:paraId="112342D8" w14:textId="77777777" w:rsidTr="00921512">
        <w:tc>
          <w:tcPr>
            <w:tcW w:w="1361" w:type="dxa"/>
            <w:tcBorders>
              <w:bottom w:val="double" w:sz="4" w:space="0" w:color="auto"/>
            </w:tcBorders>
          </w:tcPr>
          <w:p w14:paraId="6AD918EB" w14:textId="65BAB98D"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Contracting Officer</w:t>
            </w:r>
          </w:p>
        </w:tc>
        <w:tc>
          <w:tcPr>
            <w:tcW w:w="1307" w:type="dxa"/>
            <w:tcBorders>
              <w:bottom w:val="double" w:sz="4" w:space="0" w:color="auto"/>
            </w:tcBorders>
          </w:tcPr>
          <w:p w14:paraId="259DD31A" w14:textId="5B30DDDF"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14</w:t>
            </w:r>
            <w:r w:rsidR="00814FB6" w:rsidRPr="00E46924">
              <w:rPr>
                <w:sz w:val="24"/>
                <w:szCs w:val="24"/>
              </w:rPr>
              <w:t>/</w:t>
            </w:r>
            <w:r w:rsidRPr="00E46924">
              <w:rPr>
                <w:sz w:val="24"/>
                <w:szCs w:val="24"/>
              </w:rPr>
              <w:t>2</w:t>
            </w:r>
          </w:p>
        </w:tc>
        <w:tc>
          <w:tcPr>
            <w:tcW w:w="1333" w:type="dxa"/>
            <w:tcBorders>
              <w:bottom w:val="double" w:sz="4" w:space="0" w:color="auto"/>
            </w:tcBorders>
          </w:tcPr>
          <w:p w14:paraId="32B85D4B" w14:textId="10901392" w:rsidR="00814FB6" w:rsidRPr="00E46924" w:rsidRDefault="00E46924"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6924">
              <w:rPr>
                <w:sz w:val="24"/>
                <w:szCs w:val="24"/>
              </w:rPr>
              <w:t>$56.65</w:t>
            </w:r>
          </w:p>
        </w:tc>
        <w:tc>
          <w:tcPr>
            <w:tcW w:w="1294" w:type="dxa"/>
            <w:tcBorders>
              <w:bottom w:val="double" w:sz="4" w:space="0" w:color="auto"/>
            </w:tcBorders>
          </w:tcPr>
          <w:p w14:paraId="65DFDFB5" w14:textId="31A4C830"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900</w:t>
            </w:r>
          </w:p>
        </w:tc>
        <w:tc>
          <w:tcPr>
            <w:tcW w:w="1360" w:type="dxa"/>
            <w:tcBorders>
              <w:bottom w:val="double" w:sz="4" w:space="0" w:color="auto"/>
            </w:tcBorders>
          </w:tcPr>
          <w:p w14:paraId="58961E4F" w14:textId="19FF28C0"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$90.64</w:t>
            </w:r>
          </w:p>
          <w:p w14:paraId="1215AAB2" w14:textId="5201AF4A"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Borders>
              <w:bottom w:val="double" w:sz="4" w:space="0" w:color="auto"/>
            </w:tcBorders>
          </w:tcPr>
          <w:p w14:paraId="64423B04" w14:textId="43267C1B" w:rsidR="00814FB6" w:rsidRPr="00E46924"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$81,576</w:t>
            </w:r>
          </w:p>
          <w:p w14:paraId="5BDEE5D0" w14:textId="25AE9CAD" w:rsidR="00814FB6" w:rsidRPr="00E46924"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814FB6" w14:paraId="4E717B68" w14:textId="77777777" w:rsidTr="00814FB6">
        <w:tc>
          <w:tcPr>
            <w:tcW w:w="1361"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double" w:sz="4" w:space="0" w:color="auto"/>
              <w:bottom w:val="double" w:sz="4" w:space="0" w:color="auto"/>
            </w:tcBorders>
            <w:shd w:val="clear" w:color="auto" w:fill="D9D9D9" w:themeFill="background1" w:themeFillShade="D9"/>
          </w:tcPr>
          <w:p w14:paraId="6525F898" w14:textId="77777777" w:rsidR="00814FB6" w:rsidRPr="00635C8A"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double" w:sz="4" w:space="0" w:color="auto"/>
              <w:bottom w:val="double" w:sz="4" w:space="0" w:color="auto"/>
            </w:tcBorders>
            <w:shd w:val="clear" w:color="auto" w:fill="D9D9D9" w:themeFill="background1" w:themeFillShade="D9"/>
          </w:tcPr>
          <w:p w14:paraId="7CBEC545" w14:textId="77777777" w:rsidR="00814FB6" w:rsidRPr="00344FC0"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44FC0">
              <w:rPr>
                <w:b/>
                <w:sz w:val="24"/>
                <w:szCs w:val="24"/>
              </w:rPr>
              <w:t>TOTALS</w:t>
            </w:r>
          </w:p>
        </w:tc>
        <w:tc>
          <w:tcPr>
            <w:tcW w:w="1294" w:type="dxa"/>
            <w:tcBorders>
              <w:top w:val="double" w:sz="4" w:space="0" w:color="auto"/>
              <w:bottom w:val="double" w:sz="4" w:space="0" w:color="auto"/>
            </w:tcBorders>
            <w:shd w:val="clear" w:color="auto" w:fill="D9D9D9" w:themeFill="background1" w:themeFillShade="D9"/>
          </w:tcPr>
          <w:p w14:paraId="3DA2D10B" w14:textId="668924E3" w:rsidR="00814FB6" w:rsidRPr="00344FC0" w:rsidRDefault="00344FC0"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44FC0">
              <w:rPr>
                <w:b/>
                <w:sz w:val="24"/>
                <w:szCs w:val="24"/>
              </w:rPr>
              <w:t>4,300</w:t>
            </w:r>
          </w:p>
        </w:tc>
        <w:tc>
          <w:tcPr>
            <w:tcW w:w="1360" w:type="dxa"/>
            <w:tcBorders>
              <w:top w:val="double" w:sz="4" w:space="0" w:color="auto"/>
              <w:bottom w:val="double" w:sz="4" w:space="0" w:color="auto"/>
            </w:tcBorders>
            <w:shd w:val="clear" w:color="auto" w:fill="D9D9D9" w:themeFill="background1" w:themeFillShade="D9"/>
          </w:tcPr>
          <w:p w14:paraId="2A3A58E8" w14:textId="77777777" w:rsidR="00814FB6" w:rsidRPr="00344FC0"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p w14:paraId="1B7181D1" w14:textId="77777777" w:rsidR="00814FB6" w:rsidRPr="00344FC0"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408" w:type="dxa"/>
            <w:tcBorders>
              <w:top w:val="double" w:sz="4" w:space="0" w:color="auto"/>
              <w:bottom w:val="double" w:sz="4" w:space="0" w:color="auto"/>
              <w:right w:val="double" w:sz="4" w:space="0" w:color="auto"/>
            </w:tcBorders>
            <w:shd w:val="clear" w:color="auto" w:fill="D9D9D9" w:themeFill="background1" w:themeFillShade="D9"/>
          </w:tcPr>
          <w:p w14:paraId="1D6F35D9" w14:textId="168ED795" w:rsidR="00814FB6" w:rsidRPr="00344FC0" w:rsidRDefault="00344FC0" w:rsidP="003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44FC0">
              <w:rPr>
                <w:b/>
                <w:sz w:val="24"/>
                <w:szCs w:val="24"/>
              </w:rPr>
              <w:t xml:space="preserve">    </w:t>
            </w:r>
            <w:r w:rsidR="0046400B">
              <w:rPr>
                <w:b/>
                <w:sz w:val="24"/>
                <w:szCs w:val="24"/>
              </w:rPr>
              <w:t>$339,60</w:t>
            </w:r>
            <w:r w:rsidRPr="00344FC0">
              <w:rPr>
                <w:b/>
                <w:sz w:val="24"/>
                <w:szCs w:val="24"/>
              </w:rPr>
              <w:t>2</w:t>
            </w:r>
          </w:p>
        </w:tc>
      </w:tr>
    </w:tbl>
    <w:p w14:paraId="2E2B97AE" w14:textId="77777777" w:rsidR="00082C1C" w:rsidRDefault="00082C1C" w:rsidP="003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13189222" w14:textId="77777777" w:rsidR="00344FC0" w:rsidRDefault="00344FC0" w:rsidP="00EA0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2CDD56" w14:textId="51ED2E5D" w:rsidR="00EA02E7" w:rsidRDefault="00EA02E7" w:rsidP="00EA02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number of responses and burden hours have not changed from our 2016 application.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6715F2" w14:textId="77777777" w:rsidR="0043121E" w:rsidRDefault="0043121E" w:rsidP="00431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061F">
        <w:rPr>
          <w:sz w:val="24"/>
          <w:szCs w:val="24"/>
        </w:rPr>
        <w:t xml:space="preserve">This is an on-going information collection without an ending date. No statistical analysis, tabulation, or publication </w:t>
      </w:r>
      <w:r>
        <w:rPr>
          <w:sz w:val="24"/>
          <w:szCs w:val="24"/>
        </w:rPr>
        <w:t xml:space="preserve">of the information collection data </w:t>
      </w:r>
      <w:r w:rsidRPr="0045061F">
        <w:rPr>
          <w:sz w:val="24"/>
          <w:szCs w:val="24"/>
        </w:rPr>
        <w:t>is planned</w:t>
      </w:r>
      <w:r>
        <w:rPr>
          <w:sz w:val="24"/>
          <w:szCs w:val="24"/>
        </w:rPr>
        <w:t>.</w:t>
      </w:r>
      <w:r w:rsidRPr="0045061F">
        <w:rPr>
          <w:sz w:val="24"/>
          <w:szCs w:val="24"/>
        </w:rPr>
        <w:t xml:space="preserve"> </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0D1F4D9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2DD20734" w:rsidR="00082C1C" w:rsidRDefault="00431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will display the OMB control number and expiration date as required.</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4DC0D6C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CD8600" w14:textId="77777777" w:rsidR="0043121E" w:rsidRDefault="0043121E" w:rsidP="00431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5061F">
        <w:rPr>
          <w:sz w:val="24"/>
          <w:szCs w:val="24"/>
        </w:rPr>
        <w:t>No exceptions to the certification are being made.</w:t>
      </w:r>
    </w:p>
    <w:p w14:paraId="79FC8028" w14:textId="77777777" w:rsidR="0043121E" w:rsidRDefault="00431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11"/>
      <w:footerReference w:type="default" r:id="rId12"/>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E3C1EA" w16cid:durableId="1F994D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6C252" w14:textId="77777777" w:rsidR="009E4074" w:rsidRDefault="009E4074" w:rsidP="00082C1C">
      <w:r>
        <w:separator/>
      </w:r>
    </w:p>
  </w:endnote>
  <w:endnote w:type="continuationSeparator" w:id="0">
    <w:p w14:paraId="2B26341F" w14:textId="77777777" w:rsidR="009E4074" w:rsidRDefault="009E4074"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1919FD48" w:rsidR="00CD6020" w:rsidRPr="004513E4" w:rsidRDefault="004B623A" w:rsidP="004513E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F85948" w:rsidRPr="00F85948">
                <w:rPr>
                  <w:noProof/>
                </w:rPr>
                <w:t>1028-0051 SSA Earthquake Research</w:t>
              </w:r>
              <w:r w:rsidR="00F85948">
                <w:rPr>
                  <w:rFonts w:eastAsia="Times New Roman" w:cs="Times New Roman"/>
                  <w:noProof/>
                  <w:sz w:val="20"/>
                  <w:szCs w:val="20"/>
                </w:rPr>
                <w:t xml:space="preserve"> 2018-11-27.docx</w:t>
              </w:r>
              <w:r>
                <w:rPr>
                  <w:noProof/>
                </w:rPr>
                <w:fldChar w:fldCharType="end"/>
              </w:r>
            </w:p>
          </w:tc>
          <w:tc>
            <w:tcPr>
              <w:tcW w:w="2600" w:type="dxa"/>
            </w:tcPr>
            <w:p w14:paraId="07D7EAE0" w14:textId="0523802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470746">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470746">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C723A" w14:textId="77777777" w:rsidR="009E4074" w:rsidRDefault="009E4074" w:rsidP="00082C1C">
      <w:r>
        <w:separator/>
      </w:r>
    </w:p>
  </w:footnote>
  <w:footnote w:type="continuationSeparator" w:id="0">
    <w:p w14:paraId="651D5B54" w14:textId="77777777" w:rsidR="009E4074" w:rsidRDefault="009E4074"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82C1C"/>
    <w:rsid w:val="00085D55"/>
    <w:rsid w:val="00097475"/>
    <w:rsid w:val="000F1C17"/>
    <w:rsid w:val="000F3AF1"/>
    <w:rsid w:val="00113821"/>
    <w:rsid w:val="00122528"/>
    <w:rsid w:val="00135D91"/>
    <w:rsid w:val="00162B02"/>
    <w:rsid w:val="00190215"/>
    <w:rsid w:val="002006F9"/>
    <w:rsid w:val="002372C1"/>
    <w:rsid w:val="00265C98"/>
    <w:rsid w:val="002816E3"/>
    <w:rsid w:val="00295103"/>
    <w:rsid w:val="0033059C"/>
    <w:rsid w:val="00344FC0"/>
    <w:rsid w:val="00352210"/>
    <w:rsid w:val="003651C7"/>
    <w:rsid w:val="0037543A"/>
    <w:rsid w:val="00380B5C"/>
    <w:rsid w:val="003C3292"/>
    <w:rsid w:val="0043121E"/>
    <w:rsid w:val="00453654"/>
    <w:rsid w:val="004563E1"/>
    <w:rsid w:val="004578DF"/>
    <w:rsid w:val="0046400B"/>
    <w:rsid w:val="00470746"/>
    <w:rsid w:val="00477A7A"/>
    <w:rsid w:val="004A6DFA"/>
    <w:rsid w:val="004B623A"/>
    <w:rsid w:val="004B6B19"/>
    <w:rsid w:val="004C5EAF"/>
    <w:rsid w:val="00522EB9"/>
    <w:rsid w:val="00525467"/>
    <w:rsid w:val="005625CB"/>
    <w:rsid w:val="005809EC"/>
    <w:rsid w:val="005A3119"/>
    <w:rsid w:val="005A39D4"/>
    <w:rsid w:val="005B6C35"/>
    <w:rsid w:val="005B719F"/>
    <w:rsid w:val="005D2401"/>
    <w:rsid w:val="005D39A7"/>
    <w:rsid w:val="005E0031"/>
    <w:rsid w:val="005F53F7"/>
    <w:rsid w:val="0060758B"/>
    <w:rsid w:val="00634AA9"/>
    <w:rsid w:val="00661045"/>
    <w:rsid w:val="00663163"/>
    <w:rsid w:val="0069546D"/>
    <w:rsid w:val="006C2B82"/>
    <w:rsid w:val="006E339F"/>
    <w:rsid w:val="006E501D"/>
    <w:rsid w:val="00701C0C"/>
    <w:rsid w:val="007207F6"/>
    <w:rsid w:val="00732896"/>
    <w:rsid w:val="00737CB7"/>
    <w:rsid w:val="00740AF4"/>
    <w:rsid w:val="007851E9"/>
    <w:rsid w:val="00787ED1"/>
    <w:rsid w:val="007A07B9"/>
    <w:rsid w:val="007B7DCF"/>
    <w:rsid w:val="007D38CA"/>
    <w:rsid w:val="007E1B27"/>
    <w:rsid w:val="007E21B5"/>
    <w:rsid w:val="0080222B"/>
    <w:rsid w:val="0081259F"/>
    <w:rsid w:val="008139D5"/>
    <w:rsid w:val="00814FB6"/>
    <w:rsid w:val="00845AF1"/>
    <w:rsid w:val="008D6497"/>
    <w:rsid w:val="00901CDF"/>
    <w:rsid w:val="0091571E"/>
    <w:rsid w:val="00925727"/>
    <w:rsid w:val="00933006"/>
    <w:rsid w:val="00944C21"/>
    <w:rsid w:val="009B359F"/>
    <w:rsid w:val="009D2194"/>
    <w:rsid w:val="009E4074"/>
    <w:rsid w:val="009E6A05"/>
    <w:rsid w:val="00A11128"/>
    <w:rsid w:val="00A9089C"/>
    <w:rsid w:val="00A94C72"/>
    <w:rsid w:val="00AD3A99"/>
    <w:rsid w:val="00B9052C"/>
    <w:rsid w:val="00B9425D"/>
    <w:rsid w:val="00BD6628"/>
    <w:rsid w:val="00BE0F05"/>
    <w:rsid w:val="00C06B0E"/>
    <w:rsid w:val="00C52275"/>
    <w:rsid w:val="00C53697"/>
    <w:rsid w:val="00CA0DE6"/>
    <w:rsid w:val="00CA376F"/>
    <w:rsid w:val="00CA378C"/>
    <w:rsid w:val="00CD6020"/>
    <w:rsid w:val="00D07F75"/>
    <w:rsid w:val="00D55D8F"/>
    <w:rsid w:val="00DA6B35"/>
    <w:rsid w:val="00DE1FFE"/>
    <w:rsid w:val="00DE7630"/>
    <w:rsid w:val="00E23D4A"/>
    <w:rsid w:val="00E462E5"/>
    <w:rsid w:val="00E46924"/>
    <w:rsid w:val="00E6013B"/>
    <w:rsid w:val="00E76AC9"/>
    <w:rsid w:val="00E90DD8"/>
    <w:rsid w:val="00EA02E7"/>
    <w:rsid w:val="00ED16B4"/>
    <w:rsid w:val="00EE28A1"/>
    <w:rsid w:val="00F31455"/>
    <w:rsid w:val="00F45D4E"/>
    <w:rsid w:val="00F56C4B"/>
    <w:rsid w:val="00F73931"/>
    <w:rsid w:val="00F85948"/>
    <w:rsid w:val="00FB03CA"/>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
    <w:name w:val="Unresolved Mention"/>
    <w:basedOn w:val="DefaultParagraphFont"/>
    <w:uiPriority w:val="99"/>
    <w:semiHidden/>
    <w:unhideWhenUsed/>
    <w:rsid w:val="0080222B"/>
    <w:rPr>
      <w:color w:val="605E5C"/>
      <w:shd w:val="clear" w:color="auto" w:fill="E1DFDD"/>
    </w:rPr>
  </w:style>
  <w:style w:type="character" w:styleId="FollowedHyperlink">
    <w:name w:val="FollowedHyperlink"/>
    <w:basedOn w:val="DefaultParagraphFont"/>
    <w:uiPriority w:val="99"/>
    <w:semiHidden/>
    <w:unhideWhenUsed/>
    <w:rsid w:val="008022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
    <w:name w:val="Unresolved Mention"/>
    <w:basedOn w:val="DefaultParagraphFont"/>
    <w:uiPriority w:val="99"/>
    <w:semiHidden/>
    <w:unhideWhenUsed/>
    <w:rsid w:val="0080222B"/>
    <w:rPr>
      <w:color w:val="605E5C"/>
      <w:shd w:val="clear" w:color="auto" w:fill="E1DFDD"/>
    </w:rPr>
  </w:style>
  <w:style w:type="character" w:styleId="FollowedHyperlink">
    <w:name w:val="FollowedHyperlink"/>
    <w:basedOn w:val="DefaultParagraphFont"/>
    <w:uiPriority w:val="99"/>
    <w:semiHidden/>
    <w:unhideWhenUsed/>
    <w:rsid w:val="008022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92042.htm" TargetMode="External"/><Relationship Id="rId4" Type="http://schemas.microsoft.com/office/2007/relationships/stylesWithEffects" Target="stylesWithEffects.xml"/><Relationship Id="rId9" Type="http://schemas.openxmlformats.org/officeDocument/2006/relationships/hyperlink" Target="http://grants.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8098E"/>
    <w:rsid w:val="001E76E4"/>
    <w:rsid w:val="001F5988"/>
    <w:rsid w:val="001F7195"/>
    <w:rsid w:val="002209F0"/>
    <w:rsid w:val="00322FAA"/>
    <w:rsid w:val="00415288"/>
    <w:rsid w:val="005659EC"/>
    <w:rsid w:val="006610C9"/>
    <w:rsid w:val="007763F7"/>
    <w:rsid w:val="007D7E67"/>
    <w:rsid w:val="008B5D40"/>
    <w:rsid w:val="008C1C11"/>
    <w:rsid w:val="00961E81"/>
    <w:rsid w:val="009B3C3E"/>
    <w:rsid w:val="00A9690C"/>
    <w:rsid w:val="00AB7D64"/>
    <w:rsid w:val="00B13ADB"/>
    <w:rsid w:val="00BB0C57"/>
    <w:rsid w:val="00BE2BF6"/>
    <w:rsid w:val="00CF2D8E"/>
    <w:rsid w:val="00E83E9F"/>
    <w:rsid w:val="00F0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C77B-645C-413E-B1A9-0FAB25A0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2010-09-28T22:50:00Z</cp:lastPrinted>
  <dcterms:created xsi:type="dcterms:W3CDTF">2019-07-02T15:36:00Z</dcterms:created>
  <dcterms:modified xsi:type="dcterms:W3CDTF">2019-07-02T15:36:00Z</dcterms:modified>
</cp:coreProperties>
</file>