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0C376597" w:rsidR="00295103" w:rsidRPr="005E202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5E202F">
        <w:rPr>
          <w:sz w:val="24"/>
          <w:szCs w:val="24"/>
          <w:lang w:val="en-CA"/>
        </w:rPr>
        <w:fldChar w:fldCharType="begin"/>
      </w:r>
      <w:r w:rsidRPr="005E202F">
        <w:rPr>
          <w:sz w:val="24"/>
          <w:szCs w:val="24"/>
          <w:lang w:val="en-CA"/>
        </w:rPr>
        <w:instrText xml:space="preserve"> SEQ CHAPTER \h \r 1</w:instrText>
      </w:r>
      <w:r w:rsidRPr="005E202F">
        <w:rPr>
          <w:sz w:val="24"/>
          <w:szCs w:val="24"/>
          <w:lang w:val="en-CA"/>
        </w:rPr>
        <w:fldChar w:fldCharType="end"/>
      </w:r>
      <w:r w:rsidRPr="005E202F">
        <w:rPr>
          <w:b/>
          <w:bCs/>
          <w:sz w:val="32"/>
          <w:szCs w:val="32"/>
        </w:rPr>
        <w:t xml:space="preserve">Supporting Statement </w:t>
      </w:r>
      <w:r w:rsidR="007851E9" w:rsidRPr="005E202F">
        <w:rPr>
          <w:b/>
          <w:bCs/>
          <w:sz w:val="32"/>
          <w:szCs w:val="32"/>
        </w:rPr>
        <w:t>A</w:t>
      </w:r>
    </w:p>
    <w:p w14:paraId="71C48B9A" w14:textId="77777777" w:rsidR="009B359F" w:rsidRPr="005E202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6DD0FE63" w:rsidR="009B359F" w:rsidRPr="005E202F" w:rsidRDefault="00F836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5E202F">
        <w:rPr>
          <w:b/>
          <w:bCs/>
          <w:sz w:val="32"/>
          <w:szCs w:val="32"/>
        </w:rPr>
        <w:t>USG</w:t>
      </w:r>
      <w:r w:rsidR="00C35DF8">
        <w:rPr>
          <w:b/>
          <w:bCs/>
          <w:sz w:val="32"/>
          <w:szCs w:val="32"/>
        </w:rPr>
        <w:t>S</w:t>
      </w:r>
      <w:r w:rsidRPr="005E202F">
        <w:rPr>
          <w:b/>
          <w:bCs/>
          <w:sz w:val="32"/>
          <w:szCs w:val="32"/>
        </w:rPr>
        <w:t xml:space="preserve"> Water Use Data and Research Program</w:t>
      </w:r>
    </w:p>
    <w:p w14:paraId="73C2B9CF" w14:textId="77777777" w:rsidR="00295103" w:rsidRPr="005E202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78DAED03" w:rsidR="00295103" w:rsidRPr="005E202F"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5E202F">
        <w:rPr>
          <w:b/>
          <w:bCs/>
          <w:sz w:val="32"/>
          <w:szCs w:val="32"/>
        </w:rPr>
        <w:t>OMB Control Number 10</w:t>
      </w:r>
      <w:r w:rsidR="00ED16B4" w:rsidRPr="005E202F">
        <w:rPr>
          <w:b/>
          <w:bCs/>
          <w:sz w:val="32"/>
          <w:szCs w:val="32"/>
        </w:rPr>
        <w:t>28</w:t>
      </w:r>
      <w:r w:rsidRPr="005E202F">
        <w:rPr>
          <w:b/>
          <w:bCs/>
          <w:sz w:val="32"/>
          <w:szCs w:val="32"/>
        </w:rPr>
        <w:t>-</w:t>
      </w:r>
      <w:r w:rsidR="00F836AC" w:rsidRPr="005E202F">
        <w:rPr>
          <w:b/>
          <w:bCs/>
          <w:sz w:val="32"/>
          <w:szCs w:val="32"/>
        </w:rPr>
        <w:t>0118</w:t>
      </w:r>
    </w:p>
    <w:p w14:paraId="2F6D3D4F" w14:textId="77777777" w:rsidR="009B359F" w:rsidRPr="005E202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76392C91" w:rsidR="009B359F" w:rsidRPr="005E202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E202F">
        <w:rPr>
          <w:b/>
          <w:sz w:val="24"/>
          <w:szCs w:val="24"/>
        </w:rPr>
        <w:t>Terms of Clearance:</w:t>
      </w:r>
      <w:r w:rsidRPr="005E202F">
        <w:rPr>
          <w:sz w:val="24"/>
          <w:szCs w:val="24"/>
        </w:rPr>
        <w:t xml:space="preserve"> </w:t>
      </w:r>
      <w:r w:rsidR="00F836AC" w:rsidRPr="005E202F">
        <w:rPr>
          <w:sz w:val="24"/>
          <w:szCs w:val="24"/>
        </w:rPr>
        <w:t>None.</w:t>
      </w:r>
    </w:p>
    <w:p w14:paraId="00021799" w14:textId="77777777" w:rsidR="009B359F" w:rsidRPr="005E202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4DA5AE" w14:textId="6A673AD4" w:rsidR="00F77A49" w:rsidRDefault="00F77A49" w:rsidP="00F77A49">
      <w:pPr>
        <w:ind w:left="360"/>
        <w:rPr>
          <w:sz w:val="22"/>
          <w:szCs w:val="22"/>
        </w:rPr>
      </w:pPr>
      <w:r>
        <w:rPr>
          <w:sz w:val="22"/>
          <w:szCs w:val="22"/>
        </w:rPr>
        <w:t>The SECURE Water Act of 2009 (</w:t>
      </w:r>
      <w:r w:rsidR="00344EA1">
        <w:rPr>
          <w:sz w:val="22"/>
          <w:szCs w:val="22"/>
        </w:rPr>
        <w:t>42 USC 10361-10368</w:t>
      </w:r>
      <w:r>
        <w:rPr>
          <w:sz w:val="22"/>
          <w:szCs w:val="22"/>
        </w:rPr>
        <w:t>) authorizes the U. S. Geological Survey (USGS) to support water use research and data collection activities through assistance (grants and cooperative agreements) to State water resource agencies. The USGS Water Availability and Use Science Program (WAUSP) fulfills the Water Resources Mission Area's objectives to provide comprehensive water availability and use science to the Nation by advancing the understanding of processes that determine water availability. The WAUSP includes the USGS National Water Use Science Project and is responsible for compiling and disseminating the nation's water-use data, working in cooperation with local, State, and Federal environmental agencies to collect water-use information. USGS compiles these data to produce water-use information aggregated at the county, state, and national levels.</w:t>
      </w:r>
      <w:r>
        <w:t xml:space="preserve"> </w:t>
      </w:r>
      <w:r>
        <w:rPr>
          <w:sz w:val="22"/>
          <w:szCs w:val="22"/>
        </w:rPr>
        <w:t xml:space="preserve">The assistance application instructions, specific objectives, and reporting requirements are identified in program announcements posted to Grants.gov. </w:t>
      </w:r>
    </w:p>
    <w:p w14:paraId="7A3E8E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w:t>
      </w:r>
      <w:r w:rsidRPr="005B13E9">
        <w:rPr>
          <w:b/>
          <w:sz w:val="24"/>
          <w:szCs w:val="24"/>
        </w:rPr>
        <w:t xml:space="preserve">collection, indicate the actual use the agency has made of the information received from the current collection. </w:t>
      </w:r>
      <w:r w:rsidR="00DE1FFE" w:rsidRPr="005B13E9">
        <w:rPr>
          <w:b/>
          <w:sz w:val="24"/>
          <w:szCs w:val="24"/>
        </w:rPr>
        <w:t xml:space="preserve"> </w:t>
      </w:r>
      <w:r w:rsidRPr="005B13E9">
        <w:rPr>
          <w:b/>
          <w:sz w:val="24"/>
          <w:szCs w:val="24"/>
        </w:rPr>
        <w:t xml:space="preserve">Be specific.  If this collection is a form or a questionnaire, every </w:t>
      </w:r>
      <w:r w:rsidR="00DE1FFE" w:rsidRPr="005B13E9">
        <w:rPr>
          <w:b/>
          <w:sz w:val="24"/>
          <w:szCs w:val="24"/>
        </w:rPr>
        <w:t>question needs to</w:t>
      </w:r>
      <w:r w:rsidR="00DE1FFE" w:rsidRPr="00082C1C">
        <w:rPr>
          <w:b/>
          <w:sz w:val="24"/>
          <w:szCs w:val="24"/>
        </w:rPr>
        <w:t xml:space="preserve">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50F31D" w14:textId="77777777" w:rsidR="00630354" w:rsidRPr="008C3DA4" w:rsidRDefault="00630354" w:rsidP="00630354">
      <w:pPr>
        <w:ind w:left="360"/>
        <w:rPr>
          <w:color w:val="000000" w:themeColor="text1"/>
          <w:sz w:val="22"/>
          <w:szCs w:val="22"/>
        </w:rPr>
      </w:pPr>
      <w:r w:rsidRPr="008C3DA4">
        <w:rPr>
          <w:color w:val="000000" w:themeColor="text1"/>
          <w:sz w:val="22"/>
          <w:szCs w:val="22"/>
        </w:rPr>
        <w:t>State Water Resources agencies are eligible to submit proposals to acquire funding to support research related to water use data collection, development of estimation techniques and methods, and data delivery. The WUDR uses the requested information to determine the eligibility of the applicants and as the basis for approval or disapproval of proposed data collection activities and research. This collection ensures that sufficient and relevant information is available to evaluate and select applications for funding.  Financial assistance is awarded following the evaluation and ranking of applications by a review panel familiar with the objectives of the WUDR.</w:t>
      </w:r>
    </w:p>
    <w:p w14:paraId="138B8896" w14:textId="77777777" w:rsidR="00630354" w:rsidRPr="008C3DA4" w:rsidRDefault="00630354" w:rsidP="00630354">
      <w:pPr>
        <w:ind w:left="360"/>
        <w:rPr>
          <w:color w:val="000000" w:themeColor="text1"/>
          <w:sz w:val="22"/>
          <w:szCs w:val="22"/>
        </w:rPr>
      </w:pPr>
    </w:p>
    <w:p w14:paraId="6B03AF4B" w14:textId="3C77F013" w:rsidR="00630354" w:rsidRPr="008C3DA4" w:rsidRDefault="00630354" w:rsidP="00630354">
      <w:pPr>
        <w:ind w:left="360"/>
        <w:rPr>
          <w:color w:val="000000" w:themeColor="text1"/>
          <w:sz w:val="22"/>
          <w:szCs w:val="22"/>
        </w:rPr>
      </w:pPr>
      <w:r w:rsidRPr="008C3DA4">
        <w:rPr>
          <w:color w:val="000000" w:themeColor="text1"/>
          <w:sz w:val="22"/>
          <w:szCs w:val="22"/>
        </w:rPr>
        <w:t xml:space="preserve">The technical narrative of the proposal for assistance support is used to help the WUDR program manager understand the proposed research or data collection activities, and is also used by the technical review panel to evaluate the research or operations against established WUDR evaluation criteria. The application’s uniform appearance and assembly minimizes the time required by the bureau to determine applicant eligibility and for review and oversight. Reporting requirements are the minimum required by the OMB Circulars. Final technical reports and annual progress reports are used </w:t>
      </w:r>
      <w:r w:rsidRPr="008C3DA4">
        <w:rPr>
          <w:color w:val="000000" w:themeColor="text1"/>
          <w:sz w:val="22"/>
          <w:szCs w:val="22"/>
        </w:rPr>
        <w:lastRenderedPageBreak/>
        <w:t xml:space="preserve">for technical monitoring of the projects to assure consistency with the objectives of the program’s legislation. The technical reports have only general format requirements. Re-prints of peer-reviewed articles submitted for publication in journals will be accepted as final technical reports. </w:t>
      </w:r>
    </w:p>
    <w:p w14:paraId="0768B10F" w14:textId="77777777" w:rsidR="00630354" w:rsidRPr="008C3DA4" w:rsidRDefault="00630354" w:rsidP="00630354">
      <w:pPr>
        <w:ind w:left="360"/>
        <w:rPr>
          <w:color w:val="000000" w:themeColor="text1"/>
          <w:sz w:val="22"/>
          <w:szCs w:val="22"/>
        </w:rPr>
      </w:pPr>
    </w:p>
    <w:p w14:paraId="56ACA587" w14:textId="370CF496" w:rsidR="00082C1C" w:rsidRDefault="00630354" w:rsidP="00630354">
      <w:pPr>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2"/>
          <w:szCs w:val="22"/>
        </w:rPr>
      </w:pPr>
      <w:r w:rsidRPr="008C3DA4">
        <w:rPr>
          <w:color w:val="000000" w:themeColor="text1"/>
          <w:sz w:val="22"/>
          <w:szCs w:val="22"/>
        </w:rPr>
        <w:t>The maximum length of the application is 10 pages. The final technical reports will be accessible, in their entirety (maximum of 10 MB, including figures), on the WUDR website, part of the USGS website. Data collected are stored in USGS databases, a requirement of SECURE Water Act of 2009 (</w:t>
      </w:r>
      <w:r w:rsidR="00D366E8">
        <w:rPr>
          <w:sz w:val="22"/>
          <w:szCs w:val="22"/>
        </w:rPr>
        <w:t>42 USC 10361-10368</w:t>
      </w:r>
      <w:r w:rsidRPr="008C3DA4">
        <w:rPr>
          <w:color w:val="000000" w:themeColor="text1"/>
          <w:sz w:val="22"/>
          <w:szCs w:val="22"/>
        </w:rPr>
        <w:t>) which requires datasets be integrated into the appropriate USGS database(s).</w:t>
      </w:r>
    </w:p>
    <w:p w14:paraId="2AF4E0E4" w14:textId="77777777" w:rsidR="00630354" w:rsidRPr="00630354" w:rsidRDefault="00630354" w:rsidP="00630354">
      <w:pPr>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2"/>
          <w:szCs w:val="22"/>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7D9D7D" w14:textId="77777777" w:rsidR="004D5BCF" w:rsidRDefault="004D5BCF" w:rsidP="004D5BCF">
      <w:pPr>
        <w:ind w:left="360"/>
        <w:rPr>
          <w:sz w:val="22"/>
          <w:szCs w:val="22"/>
        </w:rPr>
      </w:pPr>
      <w:r>
        <w:rPr>
          <w:sz w:val="22"/>
          <w:szCs w:val="22"/>
        </w:rPr>
        <w:t>All applications must be submitted electronically via Grants.gov (http://www.grants.gov). The progress and final reports will be submitted directly to the program coordinator via e-mail (</w:t>
      </w:r>
      <w:r>
        <w:rPr>
          <w:color w:val="222222"/>
          <w:sz w:val="22"/>
          <w:szCs w:val="22"/>
          <w:shd w:val="clear" w:color="auto" w:fill="FFFFFF"/>
        </w:rPr>
        <w:t>gs-wudr-coordinator@usgs.gov</w:t>
      </w:r>
      <w:r>
        <w:rPr>
          <w:color w:val="000000"/>
          <w:sz w:val="22"/>
          <w:szCs w:val="22"/>
        </w:rPr>
        <w:t>) and are posted for public use at http://water.usgs.gov/wausp/wudr/index.html.</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23FD3DEC" w:rsidR="00082C1C" w:rsidRPr="004D5BCF" w:rsidRDefault="004D5BCF" w:rsidP="004D5BCF">
      <w:pPr>
        <w:ind w:left="360"/>
        <w:rPr>
          <w:sz w:val="22"/>
          <w:szCs w:val="22"/>
        </w:rPr>
      </w:pPr>
      <w:r>
        <w:rPr>
          <w:sz w:val="22"/>
          <w:szCs w:val="22"/>
        </w:rPr>
        <w:t xml:space="preserve">The information is used solely </w:t>
      </w:r>
      <w:r w:rsidR="00076E84">
        <w:rPr>
          <w:sz w:val="22"/>
          <w:szCs w:val="22"/>
        </w:rPr>
        <w:t>for</w:t>
      </w:r>
      <w:r>
        <w:rPr>
          <w:sz w:val="22"/>
          <w:szCs w:val="22"/>
        </w:rPr>
        <w:t xml:space="preserve"> this program and is not duplicated. The subject matter of each application and report are unique to each applicant each year. There is no similar information available which could be used or modified for this purpose.</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179C9E" w14:textId="77777777" w:rsidR="004D5BCF" w:rsidRDefault="004D5BCF" w:rsidP="004D5BC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sz w:val="22"/>
          <w:szCs w:val="22"/>
        </w:rPr>
        <w:t xml:space="preserve">The information collection will not impact small businesses or entities as they are not eligible for application. </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113BAF8E" w:rsidR="00082C1C" w:rsidRDefault="004D5BCF" w:rsidP="004D5BC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sz w:val="22"/>
          <w:szCs w:val="22"/>
        </w:rPr>
        <w:t>Funding for the WUDR is appropriated on a fiscal year basis as part of the USGS annual appropriation. The program priorities may change each year as directed by Congress. Consequently, the issuance of announcements and submission of applications must be scheduled no less frequently than annually.</w:t>
      </w:r>
    </w:p>
    <w:p w14:paraId="3593B67A" w14:textId="30F3724B" w:rsidR="00AB24E1" w:rsidRDefault="00AB24E1" w:rsidP="00271D0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E21541">
        <w:rPr>
          <w:sz w:val="22"/>
          <w:szCs w:val="22"/>
        </w:rPr>
        <w:t xml:space="preserve">If </w:t>
      </w:r>
      <w:r>
        <w:rPr>
          <w:sz w:val="22"/>
          <w:szCs w:val="22"/>
        </w:rPr>
        <w:t xml:space="preserve">the collection is not conducted annually, then </w:t>
      </w:r>
      <w:r w:rsidR="00271D08">
        <w:rPr>
          <w:sz w:val="22"/>
          <w:szCs w:val="22"/>
        </w:rPr>
        <w:t xml:space="preserve">the federal government will not have systematic data-gathering needed to ensure the </w:t>
      </w:r>
      <w:r w:rsidR="00242F81">
        <w:rPr>
          <w:sz w:val="22"/>
          <w:szCs w:val="22"/>
        </w:rPr>
        <w:t>necessary</w:t>
      </w:r>
      <w:r w:rsidR="00271D08">
        <w:rPr>
          <w:sz w:val="22"/>
          <w:szCs w:val="22"/>
        </w:rPr>
        <w:t xml:space="preserve"> water resources are available in</w:t>
      </w:r>
      <w:r w:rsidRPr="00AB24E1">
        <w:rPr>
          <w:sz w:val="22"/>
          <w:szCs w:val="22"/>
        </w:rPr>
        <w:t xml:space="preserve"> sufficient quantities</w:t>
      </w:r>
      <w:r w:rsidR="00271D08">
        <w:rPr>
          <w:sz w:val="22"/>
          <w:szCs w:val="22"/>
        </w:rPr>
        <w:t xml:space="preserve"> to support </w:t>
      </w:r>
      <w:r w:rsidRPr="00AB24E1">
        <w:rPr>
          <w:sz w:val="22"/>
          <w:szCs w:val="22"/>
        </w:rPr>
        <w:t>(A) increasing populations;</w:t>
      </w:r>
      <w:r w:rsidR="00271D08">
        <w:rPr>
          <w:sz w:val="22"/>
          <w:szCs w:val="22"/>
        </w:rPr>
        <w:t xml:space="preserve"> </w:t>
      </w:r>
      <w:r w:rsidRPr="00AB24E1">
        <w:rPr>
          <w:sz w:val="22"/>
          <w:szCs w:val="22"/>
        </w:rPr>
        <w:t>(B) economic growth;</w:t>
      </w:r>
      <w:r w:rsidR="00271D08">
        <w:rPr>
          <w:sz w:val="22"/>
          <w:szCs w:val="22"/>
        </w:rPr>
        <w:t xml:space="preserve"> </w:t>
      </w:r>
      <w:r w:rsidRPr="00AB24E1">
        <w:rPr>
          <w:sz w:val="22"/>
          <w:szCs w:val="22"/>
        </w:rPr>
        <w:t>(C) irrigated agriculture;</w:t>
      </w:r>
      <w:r w:rsidR="00271D08">
        <w:rPr>
          <w:sz w:val="22"/>
          <w:szCs w:val="22"/>
        </w:rPr>
        <w:t xml:space="preserve"> </w:t>
      </w:r>
      <w:r w:rsidRPr="00AB24E1">
        <w:rPr>
          <w:sz w:val="22"/>
          <w:szCs w:val="22"/>
        </w:rPr>
        <w:t>(D) energy production; and</w:t>
      </w:r>
      <w:r w:rsidR="00271D08">
        <w:rPr>
          <w:sz w:val="22"/>
          <w:szCs w:val="22"/>
        </w:rPr>
        <w:t xml:space="preserve"> </w:t>
      </w:r>
      <w:r w:rsidRPr="00AB24E1">
        <w:rPr>
          <w:sz w:val="22"/>
          <w:szCs w:val="22"/>
        </w:rPr>
        <w:t>(E) the protection of aquatic ecosystems</w:t>
      </w:r>
      <w:r w:rsidR="00242F81">
        <w:rPr>
          <w:sz w:val="22"/>
          <w:szCs w:val="22"/>
        </w:rPr>
        <w:t xml:space="preserve"> (42 USC 10361-10368)</w:t>
      </w:r>
      <w:r w:rsidR="00271D08">
        <w:rPr>
          <w:sz w:val="22"/>
          <w:szCs w:val="22"/>
        </w:rPr>
        <w:t xml:space="preserve">.  Sufficient </w:t>
      </w:r>
      <w:r w:rsidR="00271D08">
        <w:rPr>
          <w:sz w:val="22"/>
          <w:szCs w:val="22"/>
        </w:rPr>
        <w:lastRenderedPageBreak/>
        <w:t>information may not be available to protect the water resources of the United States due to changes in precipitation throughout the nation.  This collection also supports the States in carrying out data collection and monitoring of water resources</w:t>
      </w:r>
      <w:r w:rsidR="00242F81">
        <w:rPr>
          <w:sz w:val="22"/>
          <w:szCs w:val="22"/>
        </w:rPr>
        <w:t xml:space="preserve"> (42 USC 10361-10368)</w:t>
      </w:r>
      <w:r w:rsidR="00271D08">
        <w:rPr>
          <w:sz w:val="22"/>
          <w:szCs w:val="22"/>
        </w:rPr>
        <w:t>.</w:t>
      </w:r>
      <w:r w:rsidR="00271D08" w:rsidRPr="00E21541">
        <w:rPr>
          <w:sz w:val="22"/>
          <w:szCs w:val="22"/>
        </w:rPr>
        <w:t xml:space="preserve"> Without this collection vital</w:t>
      </w:r>
      <w:r w:rsidR="00271D08">
        <w:rPr>
          <w:sz w:val="22"/>
          <w:szCs w:val="22"/>
        </w:rPr>
        <w:t xml:space="preserve"> information to understand the impacts of human activity on water and ecological resources cannot be collected, and water resource managers will not have the necessary information to assess whether surface and groundwater </w:t>
      </w:r>
      <w:r w:rsidR="00271D08" w:rsidRPr="00271D08">
        <w:rPr>
          <w:sz w:val="22"/>
          <w:szCs w:val="22"/>
        </w:rPr>
        <w:t>will be</w:t>
      </w:r>
      <w:r w:rsidR="00242F81">
        <w:rPr>
          <w:sz w:val="22"/>
          <w:szCs w:val="22"/>
        </w:rPr>
        <w:t xml:space="preserve"> </w:t>
      </w:r>
      <w:r w:rsidR="00271D08" w:rsidRPr="00271D08">
        <w:rPr>
          <w:sz w:val="22"/>
          <w:szCs w:val="22"/>
        </w:rPr>
        <w:t>available to meet the future needs of the</w:t>
      </w:r>
      <w:r w:rsidR="00242F81">
        <w:rPr>
          <w:sz w:val="22"/>
          <w:szCs w:val="22"/>
        </w:rPr>
        <w:t xml:space="preserve"> </w:t>
      </w:r>
      <w:r w:rsidR="00271D08" w:rsidRPr="00271D08">
        <w:rPr>
          <w:sz w:val="22"/>
          <w:szCs w:val="22"/>
        </w:rPr>
        <w:t>United States</w:t>
      </w:r>
      <w:r w:rsidR="00242F81">
        <w:rPr>
          <w:sz w:val="22"/>
          <w:szCs w:val="22"/>
        </w:rPr>
        <w:t xml:space="preserve"> (42 USC 10361-10368)</w:t>
      </w:r>
      <w:r w:rsidR="00271D08" w:rsidRPr="00271D08">
        <w:rPr>
          <w:sz w:val="22"/>
          <w:szCs w:val="22"/>
        </w:rPr>
        <w:t>.</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4C96F3" w14:textId="77777777" w:rsidR="004D5BCF" w:rsidRDefault="004D5BCF" w:rsidP="004D5BCF">
      <w:pPr>
        <w:tabs>
          <w:tab w:val="left" w:pos="360"/>
        </w:tabs>
        <w:ind w:left="360"/>
        <w:rPr>
          <w:sz w:val="22"/>
          <w:szCs w:val="22"/>
        </w:rPr>
      </w:pPr>
      <w:r>
        <w:rPr>
          <w:sz w:val="22"/>
          <w:szCs w:val="22"/>
        </w:rPr>
        <w:t>There are no circumstances that require us to collect the information in a manner inconsistent with OMB guidelines.</w:t>
      </w:r>
    </w:p>
    <w:p w14:paraId="45C2900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398DE1B8"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F25831">
        <w:rPr>
          <w:sz w:val="24"/>
          <w:szCs w:val="24"/>
        </w:rPr>
        <w:t>October 25, 2018</w:t>
      </w:r>
      <w:r w:rsidR="008D6497">
        <w:rPr>
          <w:sz w:val="24"/>
          <w:szCs w:val="24"/>
        </w:rPr>
        <w:t xml:space="preserve"> at </w:t>
      </w:r>
      <w:r w:rsidR="00630354">
        <w:rPr>
          <w:sz w:val="24"/>
          <w:szCs w:val="24"/>
        </w:rPr>
        <w:t>83</w:t>
      </w:r>
      <w:r>
        <w:rPr>
          <w:sz w:val="24"/>
          <w:szCs w:val="24"/>
        </w:rPr>
        <w:t xml:space="preserve"> FR </w:t>
      </w:r>
      <w:r w:rsidR="00630354">
        <w:rPr>
          <w:sz w:val="24"/>
          <w:szCs w:val="24"/>
        </w:rPr>
        <w:t>53895</w:t>
      </w:r>
      <w:r>
        <w:rPr>
          <w:sz w:val="24"/>
          <w:szCs w:val="24"/>
        </w:rPr>
        <w:t xml:space="preserve">. </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6EA090F9"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the table to obtain their views on the information presented in our instrument. </w:t>
      </w:r>
      <w:r w:rsidR="00805002">
        <w:rPr>
          <w:sz w:val="24"/>
          <w:szCs w:val="24"/>
        </w:rPr>
        <w:t xml:space="preserve">Most comments </w:t>
      </w:r>
      <w:r w:rsidR="008B6969">
        <w:rPr>
          <w:sz w:val="24"/>
          <w:szCs w:val="24"/>
        </w:rPr>
        <w:t>received indicated t</w:t>
      </w:r>
      <w:r w:rsidR="00805002">
        <w:rPr>
          <w:sz w:val="24"/>
          <w:szCs w:val="24"/>
        </w:rPr>
        <w:t>hat overall, the instrument</w:t>
      </w:r>
      <w:r w:rsidR="00A56524">
        <w:rPr>
          <w:sz w:val="24"/>
          <w:szCs w:val="24"/>
        </w:rPr>
        <w:t xml:space="preserve"> contained the information necessary to complete an application. One reviewer commented that the length of the application was 2 pages more than others that they have prepared, but that it gave them the space to include information that they generally leave out of the other</w:t>
      </w:r>
      <w:r w:rsidR="008B6969">
        <w:rPr>
          <w:sz w:val="24"/>
          <w:szCs w:val="24"/>
        </w:rPr>
        <w:t xml:space="preserve"> similar applications</w:t>
      </w:r>
      <w:r w:rsidR="00A56524">
        <w:rPr>
          <w:sz w:val="24"/>
          <w:szCs w:val="24"/>
        </w:rPr>
        <w:t xml:space="preserve">. </w:t>
      </w:r>
      <w:r w:rsidR="00855A59">
        <w:rPr>
          <w:sz w:val="24"/>
          <w:szCs w:val="24"/>
        </w:rPr>
        <w:t>They also requested reminder emails be sent out when progress reports were due.</w:t>
      </w:r>
      <w:r w:rsidR="00A56524">
        <w:rPr>
          <w:sz w:val="24"/>
          <w:szCs w:val="24"/>
        </w:rPr>
        <w:t xml:space="preserve"> Another reviewer suggested </w:t>
      </w:r>
      <w:r w:rsidR="00855A59">
        <w:rPr>
          <w:sz w:val="24"/>
          <w:szCs w:val="24"/>
        </w:rPr>
        <w:t>minor changes to text in the instrument to keep wording consistent and to clarify text in several locations in the instrument.</w:t>
      </w:r>
      <w:r w:rsidR="00A56524">
        <w:rPr>
          <w:sz w:val="24"/>
          <w:szCs w:val="24"/>
        </w:rPr>
        <w:t xml:space="preserve"> </w:t>
      </w:r>
      <w:r w:rsidR="00855A59">
        <w:rPr>
          <w:sz w:val="24"/>
          <w:szCs w:val="24"/>
        </w:rPr>
        <w:t xml:space="preserve">Two reviewers had no comments. </w:t>
      </w:r>
      <w:r w:rsidR="00A56524">
        <w:rPr>
          <w:sz w:val="24"/>
          <w:szCs w:val="24"/>
        </w:rPr>
        <w:t xml:space="preserve"> </w:t>
      </w:r>
      <w:r w:rsidR="00855A59">
        <w:rPr>
          <w:sz w:val="24"/>
          <w:szCs w:val="24"/>
        </w:rPr>
        <w:t xml:space="preserve">Based on </w:t>
      </w:r>
      <w:r w:rsidR="008B6969">
        <w:rPr>
          <w:sz w:val="24"/>
          <w:szCs w:val="24"/>
        </w:rPr>
        <w:t>all</w:t>
      </w:r>
      <w:r w:rsidR="00855A59">
        <w:rPr>
          <w:sz w:val="24"/>
          <w:szCs w:val="24"/>
        </w:rPr>
        <w:t xml:space="preserve"> the comments, s</w:t>
      </w:r>
      <w:r>
        <w:rPr>
          <w:sz w:val="24"/>
          <w:szCs w:val="24"/>
        </w:rPr>
        <w:t xml:space="preserve">everal </w:t>
      </w:r>
      <w:r w:rsidR="007A0079">
        <w:rPr>
          <w:sz w:val="24"/>
          <w:szCs w:val="24"/>
        </w:rPr>
        <w:t xml:space="preserve">minor </w:t>
      </w:r>
      <w:r>
        <w:rPr>
          <w:sz w:val="24"/>
          <w:szCs w:val="24"/>
        </w:rPr>
        <w:t xml:space="preserve">modifications </w:t>
      </w:r>
      <w:r w:rsidR="008B6969">
        <w:rPr>
          <w:sz w:val="24"/>
          <w:szCs w:val="24"/>
        </w:rPr>
        <w:t xml:space="preserve">were made </w:t>
      </w:r>
      <w:r>
        <w:rPr>
          <w:sz w:val="24"/>
          <w:szCs w:val="24"/>
        </w:rPr>
        <w:t xml:space="preserve">to </w:t>
      </w:r>
      <w:r w:rsidR="00855A59">
        <w:rPr>
          <w:sz w:val="24"/>
          <w:szCs w:val="24"/>
        </w:rPr>
        <w:t xml:space="preserve">text </w:t>
      </w:r>
      <w:r w:rsidR="008B6969">
        <w:rPr>
          <w:sz w:val="24"/>
          <w:szCs w:val="24"/>
        </w:rPr>
        <w:t>in</w:t>
      </w:r>
      <w:r w:rsidR="00855A59">
        <w:rPr>
          <w:sz w:val="24"/>
          <w:szCs w:val="24"/>
        </w:rPr>
        <w:t xml:space="preserve"> the instrument.  The program has also begun sending out reminder emails when progress reports are due</w:t>
      </w:r>
      <w:r>
        <w:rPr>
          <w:sz w:val="24"/>
          <w:szCs w:val="24"/>
        </w:rPr>
        <w:t xml:space="preserve">. </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 Collaboration on Design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1792CCC3" w14:textId="00677706" w:rsidR="007B7DCF" w:rsidRPr="007B7DCF" w:rsidRDefault="00AD7A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North Dakota State University, Natural Resource Management Program</w:t>
            </w:r>
          </w:p>
          <w:p w14:paraId="3BA9C4EB" w14:textId="262DE578" w:rsidR="007B7DCF" w:rsidRPr="00AD7A7A" w:rsidRDefault="00AD7A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Fargo, ND</w:t>
            </w:r>
          </w:p>
        </w:tc>
        <w:tc>
          <w:tcPr>
            <w:tcW w:w="4675" w:type="dxa"/>
          </w:tcPr>
          <w:p w14:paraId="74F492BF" w14:textId="3442D96B" w:rsidR="007B7DCF" w:rsidRPr="000A283E" w:rsidRDefault="007A0079" w:rsidP="007B7DCF">
            <w:pPr>
              <w:spacing w:line="276" w:lineRule="auto"/>
              <w:rPr>
                <w:rFonts w:ascii="Calibri" w:hAnsi="Calibri" w:cs="Calibri"/>
              </w:rPr>
            </w:pPr>
            <w:r>
              <w:rPr>
                <w:rFonts w:ascii="Calibri" w:hAnsi="Calibri" w:cs="Calibri"/>
              </w:rPr>
              <w:t>Western States Water Council</w:t>
            </w:r>
          </w:p>
          <w:p w14:paraId="65AEA6BD" w14:textId="2149A737" w:rsidR="007B7DCF" w:rsidRPr="000A283E" w:rsidRDefault="007A0079" w:rsidP="007B7DCF">
            <w:pPr>
              <w:spacing w:line="276" w:lineRule="auto"/>
              <w:rPr>
                <w:rFonts w:ascii="Calibri" w:hAnsi="Calibri" w:cs="Calibri"/>
              </w:rPr>
            </w:pPr>
            <w:r>
              <w:rPr>
                <w:rFonts w:ascii="Calibri" w:hAnsi="Calibri" w:cs="Calibri"/>
              </w:rPr>
              <w:t>Water Data Exchange (WaDE) Program Manager</w:t>
            </w:r>
          </w:p>
          <w:p w14:paraId="7AF448A7" w14:textId="04062E30" w:rsidR="007B7DCF" w:rsidRPr="007A0079" w:rsidRDefault="007A0079" w:rsidP="007A0079">
            <w:pPr>
              <w:spacing w:line="276" w:lineRule="auto"/>
              <w:rPr>
                <w:rFonts w:ascii="Calibri" w:hAnsi="Calibri" w:cs="Calibri"/>
              </w:rPr>
            </w:pPr>
            <w:r>
              <w:rPr>
                <w:rFonts w:ascii="Calibri" w:hAnsi="Calibri" w:cs="Calibri"/>
              </w:rPr>
              <w:t>Salt Lake City, Utah</w:t>
            </w:r>
          </w:p>
        </w:tc>
      </w:tr>
      <w:tr w:rsidR="00A56524" w14:paraId="6F495BDD" w14:textId="77777777" w:rsidTr="007B7DCF">
        <w:tc>
          <w:tcPr>
            <w:tcW w:w="4675" w:type="dxa"/>
          </w:tcPr>
          <w:p w14:paraId="2FED5EF1" w14:textId="77777777" w:rsidR="00A56524" w:rsidRDefault="00855A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Vermont Geological Survey</w:t>
            </w:r>
          </w:p>
          <w:p w14:paraId="2CE4E7F4" w14:textId="77777777" w:rsidR="00855A59" w:rsidRDefault="00855A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Department of Environmental Conservation</w:t>
            </w:r>
          </w:p>
          <w:p w14:paraId="4DF03301" w14:textId="3E1DD3ED" w:rsidR="00855A59" w:rsidRDefault="00855A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Montpelier, VT</w:t>
            </w:r>
          </w:p>
        </w:tc>
        <w:tc>
          <w:tcPr>
            <w:tcW w:w="4675" w:type="dxa"/>
          </w:tcPr>
          <w:p w14:paraId="5F767178" w14:textId="77777777" w:rsidR="00A56524" w:rsidRDefault="00855A59" w:rsidP="007B7DCF">
            <w:pPr>
              <w:spacing w:line="276" w:lineRule="auto"/>
              <w:rPr>
                <w:rFonts w:ascii="Calibri" w:hAnsi="Calibri" w:cs="Calibri"/>
              </w:rPr>
            </w:pPr>
            <w:r>
              <w:rPr>
                <w:rFonts w:ascii="Calibri" w:hAnsi="Calibri" w:cs="Calibri"/>
              </w:rPr>
              <w:t>Idaho Department of Water Resources</w:t>
            </w:r>
          </w:p>
          <w:p w14:paraId="18E372F1" w14:textId="77777777" w:rsidR="00855A59" w:rsidRDefault="00855A59" w:rsidP="007B7DCF">
            <w:pPr>
              <w:spacing w:line="276" w:lineRule="auto"/>
              <w:rPr>
                <w:rFonts w:ascii="Calibri" w:hAnsi="Calibri" w:cs="Calibri"/>
              </w:rPr>
            </w:pPr>
            <w:r>
              <w:rPr>
                <w:rFonts w:ascii="Calibri" w:hAnsi="Calibri" w:cs="Calibri"/>
              </w:rPr>
              <w:t>Water Resource Information Section</w:t>
            </w:r>
          </w:p>
          <w:p w14:paraId="12E17B71" w14:textId="7D8B142C" w:rsidR="00855A59" w:rsidRDefault="00855A59" w:rsidP="007B7DCF">
            <w:pPr>
              <w:spacing w:line="276" w:lineRule="auto"/>
              <w:rPr>
                <w:rFonts w:ascii="Calibri" w:hAnsi="Calibri" w:cs="Calibri"/>
              </w:rPr>
            </w:pPr>
            <w:r>
              <w:rPr>
                <w:rFonts w:ascii="Calibri" w:hAnsi="Calibri" w:cs="Calibri"/>
              </w:rPr>
              <w:t>Boise, ID</w:t>
            </w: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E478C0" w14:textId="77777777" w:rsidR="00F43BDC" w:rsidRDefault="00F43BDC" w:rsidP="00F43BD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sz w:val="22"/>
          <w:szCs w:val="22"/>
        </w:rPr>
        <w:t>Except for the remuneration of grantees, no payments or gifts are provided to the respondents.</w:t>
      </w:r>
    </w:p>
    <w:p w14:paraId="797007C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8F5F71" w14:textId="77777777" w:rsidR="00F43BDC" w:rsidRDefault="00F43BDC" w:rsidP="00F43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2"/>
          <w:szCs w:val="22"/>
        </w:rPr>
        <w:t>No assurance of confidentiality is provided.</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B41104" w14:textId="77777777" w:rsidR="00F43BDC" w:rsidRDefault="00F43BDC" w:rsidP="00F43BDC">
      <w:pPr>
        <w:ind w:left="360"/>
        <w:rPr>
          <w:sz w:val="22"/>
          <w:szCs w:val="22"/>
        </w:rPr>
      </w:pPr>
      <w:r>
        <w:rPr>
          <w:sz w:val="22"/>
          <w:szCs w:val="22"/>
        </w:rPr>
        <w:t>No sensitive questions are asked.</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89F59D" w14:textId="3E6EADE9" w:rsidR="003962DF" w:rsidRDefault="003962DF" w:rsidP="003962DF">
      <w:pPr>
        <w:ind w:left="360"/>
        <w:rPr>
          <w:sz w:val="22"/>
          <w:szCs w:val="22"/>
        </w:rPr>
      </w:pPr>
      <w:r w:rsidRPr="00AA0EF1">
        <w:rPr>
          <w:sz w:val="22"/>
          <w:szCs w:val="22"/>
        </w:rPr>
        <w:t xml:space="preserve">Our estimates, in Table </w:t>
      </w:r>
      <w:r>
        <w:rPr>
          <w:sz w:val="22"/>
          <w:szCs w:val="22"/>
        </w:rPr>
        <w:t>2</w:t>
      </w:r>
      <w:r w:rsidRPr="00AA0EF1">
        <w:rPr>
          <w:sz w:val="22"/>
          <w:szCs w:val="22"/>
        </w:rPr>
        <w:t xml:space="preserve"> below, are based on our own knowledge </w:t>
      </w:r>
      <w:r w:rsidR="00885A3B">
        <w:rPr>
          <w:sz w:val="22"/>
          <w:szCs w:val="22"/>
        </w:rPr>
        <w:t>with the</w:t>
      </w:r>
      <w:r>
        <w:rPr>
          <w:sz w:val="22"/>
          <w:szCs w:val="22"/>
        </w:rPr>
        <w:t xml:space="preserve"> past 3 years of the grant </w:t>
      </w:r>
      <w:r w:rsidR="00885A3B">
        <w:rPr>
          <w:sz w:val="22"/>
          <w:szCs w:val="22"/>
        </w:rPr>
        <w:t xml:space="preserve">program </w:t>
      </w:r>
      <w:r>
        <w:rPr>
          <w:sz w:val="22"/>
          <w:szCs w:val="22"/>
        </w:rPr>
        <w:t>plus the outreach described in item 8.</w:t>
      </w:r>
    </w:p>
    <w:p w14:paraId="37128702" w14:textId="5CD21684" w:rsidR="00D44E3A" w:rsidRDefault="00D44E3A" w:rsidP="003962DF">
      <w:pPr>
        <w:ind w:left="360"/>
        <w:rPr>
          <w:sz w:val="22"/>
          <w:szCs w:val="22"/>
        </w:rPr>
      </w:pPr>
    </w:p>
    <w:p w14:paraId="02B6A80A" w14:textId="2826CCCC" w:rsidR="00D44E3A" w:rsidRPr="00AA0EF1" w:rsidRDefault="00D44E3A" w:rsidP="003962DF">
      <w:pPr>
        <w:ind w:left="360"/>
        <w:rPr>
          <w:sz w:val="22"/>
          <w:szCs w:val="22"/>
        </w:rPr>
      </w:pPr>
      <w:r>
        <w:rPr>
          <w:b/>
          <w:i/>
          <w:sz w:val="22"/>
          <w:szCs w:val="22"/>
        </w:rPr>
        <w:t>State Water Resource Agencies read instructions</w:t>
      </w:r>
      <w:r w:rsidRPr="00AA0EF1">
        <w:rPr>
          <w:sz w:val="22"/>
          <w:szCs w:val="22"/>
        </w:rPr>
        <w:t xml:space="preserve">: We </w:t>
      </w:r>
      <w:r>
        <w:rPr>
          <w:sz w:val="22"/>
          <w:szCs w:val="22"/>
        </w:rPr>
        <w:t>estimate</w:t>
      </w:r>
      <w:r w:rsidRPr="00AA0EF1">
        <w:rPr>
          <w:sz w:val="22"/>
          <w:szCs w:val="22"/>
        </w:rPr>
        <w:t xml:space="preserve"> that it will take</w:t>
      </w:r>
      <w:r>
        <w:rPr>
          <w:sz w:val="22"/>
          <w:szCs w:val="22"/>
        </w:rPr>
        <w:t xml:space="preserve"> each agency’s personnel approximately 1 hour</w:t>
      </w:r>
      <w:r w:rsidRPr="00AA0EF1">
        <w:rPr>
          <w:sz w:val="22"/>
          <w:szCs w:val="22"/>
        </w:rPr>
        <w:t xml:space="preserve"> to </w:t>
      </w:r>
      <w:r>
        <w:rPr>
          <w:sz w:val="22"/>
          <w:szCs w:val="22"/>
        </w:rPr>
        <w:t>read the instructions (totaling 30 hours).</w:t>
      </w:r>
    </w:p>
    <w:p w14:paraId="1DA06519" w14:textId="77777777" w:rsidR="003962DF" w:rsidRPr="00AA0EF1" w:rsidRDefault="003962DF" w:rsidP="003962DF">
      <w:pPr>
        <w:ind w:left="360"/>
        <w:rPr>
          <w:sz w:val="22"/>
          <w:szCs w:val="22"/>
        </w:rPr>
      </w:pPr>
    </w:p>
    <w:p w14:paraId="2D533A7D" w14:textId="18AECED4" w:rsidR="003962DF" w:rsidRPr="00AA0EF1" w:rsidRDefault="003962DF" w:rsidP="003962DF">
      <w:pPr>
        <w:ind w:left="360"/>
        <w:rPr>
          <w:sz w:val="22"/>
          <w:szCs w:val="22"/>
        </w:rPr>
      </w:pPr>
      <w:r w:rsidRPr="00AA0EF1">
        <w:rPr>
          <w:b/>
          <w:i/>
          <w:sz w:val="22"/>
          <w:szCs w:val="22"/>
        </w:rPr>
        <w:t>Narrative</w:t>
      </w:r>
      <w:r>
        <w:rPr>
          <w:b/>
          <w:i/>
          <w:sz w:val="22"/>
          <w:szCs w:val="22"/>
        </w:rPr>
        <w:t>/Proposal</w:t>
      </w:r>
      <w:r w:rsidRPr="00AA0EF1">
        <w:rPr>
          <w:b/>
          <w:i/>
          <w:sz w:val="22"/>
          <w:szCs w:val="22"/>
        </w:rPr>
        <w:t xml:space="preserve"> Preparation</w:t>
      </w:r>
      <w:r w:rsidRPr="00AA0EF1">
        <w:rPr>
          <w:sz w:val="22"/>
          <w:szCs w:val="22"/>
        </w:rPr>
        <w:t>: We anticipate that it will take</w:t>
      </w:r>
      <w:r>
        <w:rPr>
          <w:sz w:val="22"/>
          <w:szCs w:val="22"/>
        </w:rPr>
        <w:t xml:space="preserve"> each applicant approximately 40</w:t>
      </w:r>
      <w:r w:rsidRPr="00AA0EF1">
        <w:rPr>
          <w:sz w:val="22"/>
          <w:szCs w:val="22"/>
        </w:rPr>
        <w:t xml:space="preserve"> hours to complete the project narrative and to provide any other relevant supporting documents</w:t>
      </w:r>
      <w:r>
        <w:rPr>
          <w:sz w:val="22"/>
          <w:szCs w:val="22"/>
        </w:rPr>
        <w:t xml:space="preserve"> as a proposal for assistance support</w:t>
      </w:r>
      <w:r w:rsidRPr="00AA0EF1">
        <w:rPr>
          <w:sz w:val="22"/>
          <w:szCs w:val="22"/>
        </w:rPr>
        <w:t xml:space="preserve"> (totaling </w:t>
      </w:r>
      <w:r w:rsidR="00FD3C44">
        <w:rPr>
          <w:sz w:val="22"/>
          <w:szCs w:val="22"/>
        </w:rPr>
        <w:t>560</w:t>
      </w:r>
      <w:r>
        <w:rPr>
          <w:sz w:val="22"/>
          <w:szCs w:val="22"/>
        </w:rPr>
        <w:t xml:space="preserve"> hours</w:t>
      </w:r>
      <w:r w:rsidRPr="00AA0EF1">
        <w:rPr>
          <w:sz w:val="22"/>
          <w:szCs w:val="22"/>
        </w:rPr>
        <w:t>).</w:t>
      </w:r>
      <w:r w:rsidR="00AA0C16">
        <w:rPr>
          <w:sz w:val="22"/>
          <w:szCs w:val="22"/>
        </w:rPr>
        <w:t xml:space="preserve">  Based on previous years, we anticipate that 14 respondents will submit applications.</w:t>
      </w:r>
      <w:r w:rsidRPr="00AA0EF1">
        <w:rPr>
          <w:sz w:val="22"/>
          <w:szCs w:val="22"/>
        </w:rPr>
        <w:t xml:space="preserve"> </w:t>
      </w:r>
    </w:p>
    <w:p w14:paraId="6CF78F0C" w14:textId="77777777" w:rsidR="003962DF" w:rsidRPr="00AA0EF1" w:rsidRDefault="003962DF" w:rsidP="003962DF">
      <w:pPr>
        <w:ind w:left="360"/>
        <w:rPr>
          <w:sz w:val="22"/>
          <w:szCs w:val="22"/>
        </w:rPr>
      </w:pPr>
    </w:p>
    <w:p w14:paraId="70379DB1" w14:textId="3328F563" w:rsidR="003962DF" w:rsidRDefault="00AA0C16" w:rsidP="003962DF">
      <w:pPr>
        <w:ind w:left="360"/>
        <w:rPr>
          <w:i/>
          <w:sz w:val="22"/>
          <w:szCs w:val="22"/>
        </w:rPr>
      </w:pPr>
      <w:r>
        <w:rPr>
          <w:b/>
          <w:i/>
          <w:sz w:val="22"/>
          <w:szCs w:val="22"/>
        </w:rPr>
        <w:t>Semi-annual Progress Reports</w:t>
      </w:r>
      <w:r w:rsidR="003962DF">
        <w:rPr>
          <w:b/>
          <w:i/>
          <w:sz w:val="22"/>
          <w:szCs w:val="22"/>
        </w:rPr>
        <w:t xml:space="preserve"> and </w:t>
      </w:r>
      <w:r w:rsidR="003962DF" w:rsidRPr="00AA0EF1">
        <w:rPr>
          <w:b/>
          <w:i/>
          <w:sz w:val="22"/>
          <w:szCs w:val="22"/>
        </w:rPr>
        <w:t>Final Report Preparation:</w:t>
      </w:r>
      <w:r w:rsidR="003962DF">
        <w:rPr>
          <w:sz w:val="22"/>
          <w:szCs w:val="22"/>
        </w:rPr>
        <w:t xml:space="preserve"> We</w:t>
      </w:r>
      <w:r w:rsidR="003962DF" w:rsidRPr="00AA0EF1">
        <w:rPr>
          <w:sz w:val="22"/>
          <w:szCs w:val="22"/>
        </w:rPr>
        <w:t xml:space="preserve"> anticipate awarding an averag</w:t>
      </w:r>
      <w:r w:rsidR="003962DF">
        <w:rPr>
          <w:sz w:val="22"/>
          <w:szCs w:val="22"/>
        </w:rPr>
        <w:t>e of 1</w:t>
      </w:r>
      <w:r>
        <w:rPr>
          <w:sz w:val="22"/>
          <w:szCs w:val="22"/>
        </w:rPr>
        <w:t>2</w:t>
      </w:r>
      <w:r w:rsidR="003962DF">
        <w:rPr>
          <w:sz w:val="22"/>
          <w:szCs w:val="22"/>
        </w:rPr>
        <w:t xml:space="preserve"> grants per year. The 1</w:t>
      </w:r>
      <w:r>
        <w:rPr>
          <w:sz w:val="22"/>
          <w:szCs w:val="22"/>
        </w:rPr>
        <w:t>2</w:t>
      </w:r>
      <w:r w:rsidR="003962DF" w:rsidRPr="00AA0EF1">
        <w:rPr>
          <w:sz w:val="22"/>
          <w:szCs w:val="22"/>
        </w:rPr>
        <w:t xml:space="preserve"> award recipients are required to submit progress report</w:t>
      </w:r>
      <w:r>
        <w:rPr>
          <w:sz w:val="22"/>
          <w:szCs w:val="22"/>
        </w:rPr>
        <w:t>s</w:t>
      </w:r>
      <w:r w:rsidR="003962DF" w:rsidRPr="00AA0EF1">
        <w:rPr>
          <w:sz w:val="22"/>
          <w:szCs w:val="22"/>
        </w:rPr>
        <w:t xml:space="preserve"> </w:t>
      </w:r>
      <w:r w:rsidR="00ED03CE">
        <w:rPr>
          <w:sz w:val="22"/>
          <w:szCs w:val="22"/>
        </w:rPr>
        <w:t xml:space="preserve">2 times per year (24 total responses) </w:t>
      </w:r>
      <w:r w:rsidR="003962DF">
        <w:rPr>
          <w:sz w:val="22"/>
          <w:szCs w:val="22"/>
        </w:rPr>
        <w:t>and</w:t>
      </w:r>
      <w:r w:rsidR="003962DF" w:rsidRPr="00AA0EF1">
        <w:rPr>
          <w:sz w:val="22"/>
          <w:szCs w:val="22"/>
        </w:rPr>
        <w:t xml:space="preserve"> a final technical report</w:t>
      </w:r>
      <w:r w:rsidR="003962DF">
        <w:rPr>
          <w:sz w:val="22"/>
          <w:szCs w:val="22"/>
        </w:rPr>
        <w:t xml:space="preserve">. We estimate that it will take an average of </w:t>
      </w:r>
      <w:r>
        <w:rPr>
          <w:sz w:val="22"/>
          <w:szCs w:val="22"/>
        </w:rPr>
        <w:t>32</w:t>
      </w:r>
      <w:r w:rsidR="003962DF" w:rsidRPr="00AA0EF1">
        <w:rPr>
          <w:sz w:val="22"/>
          <w:szCs w:val="22"/>
        </w:rPr>
        <w:t xml:space="preserve"> hours </w:t>
      </w:r>
      <w:r w:rsidR="003962DF">
        <w:rPr>
          <w:sz w:val="22"/>
          <w:szCs w:val="22"/>
        </w:rPr>
        <w:t xml:space="preserve">to complete these reports, 4 hours for </w:t>
      </w:r>
      <w:r>
        <w:rPr>
          <w:sz w:val="22"/>
          <w:szCs w:val="22"/>
        </w:rPr>
        <w:t xml:space="preserve">each of </w:t>
      </w:r>
      <w:r w:rsidR="003962DF">
        <w:rPr>
          <w:sz w:val="22"/>
          <w:szCs w:val="22"/>
        </w:rPr>
        <w:t xml:space="preserve">the </w:t>
      </w:r>
      <w:r>
        <w:rPr>
          <w:sz w:val="22"/>
          <w:szCs w:val="22"/>
        </w:rPr>
        <w:t>semi-annual progress report</w:t>
      </w:r>
      <w:r w:rsidR="003962DF">
        <w:rPr>
          <w:sz w:val="22"/>
          <w:szCs w:val="22"/>
        </w:rPr>
        <w:t xml:space="preserve"> and </w:t>
      </w:r>
      <w:r>
        <w:rPr>
          <w:sz w:val="22"/>
          <w:szCs w:val="22"/>
        </w:rPr>
        <w:t>24</w:t>
      </w:r>
      <w:r w:rsidR="003962DF">
        <w:rPr>
          <w:sz w:val="22"/>
          <w:szCs w:val="22"/>
        </w:rPr>
        <w:t xml:space="preserve"> hours for the final </w:t>
      </w:r>
      <w:r>
        <w:rPr>
          <w:sz w:val="22"/>
          <w:szCs w:val="22"/>
        </w:rPr>
        <w:t xml:space="preserve">report </w:t>
      </w:r>
      <w:r w:rsidR="003962DF">
        <w:rPr>
          <w:sz w:val="22"/>
          <w:szCs w:val="22"/>
        </w:rPr>
        <w:t xml:space="preserve">(totaling </w:t>
      </w:r>
      <w:r>
        <w:rPr>
          <w:sz w:val="22"/>
          <w:szCs w:val="22"/>
        </w:rPr>
        <w:t>384</w:t>
      </w:r>
      <w:r w:rsidR="003962DF">
        <w:rPr>
          <w:sz w:val="22"/>
          <w:szCs w:val="22"/>
        </w:rPr>
        <w:t xml:space="preserve"> hours</w:t>
      </w:r>
      <w:r w:rsidR="003962DF" w:rsidRPr="00AA0EF1">
        <w:rPr>
          <w:sz w:val="22"/>
          <w:szCs w:val="22"/>
        </w:rPr>
        <w:t>)</w:t>
      </w:r>
      <w:r w:rsidR="003962DF">
        <w:rPr>
          <w:sz w:val="22"/>
          <w:szCs w:val="22"/>
        </w:rPr>
        <w:t xml:space="preserve">. </w:t>
      </w:r>
    </w:p>
    <w:p w14:paraId="20A98384" w14:textId="77777777" w:rsidR="003962DF" w:rsidRPr="003541C5" w:rsidRDefault="003962DF" w:rsidP="003962DF">
      <w:pPr>
        <w:ind w:left="360"/>
        <w:rPr>
          <w:sz w:val="22"/>
          <w:szCs w:val="22"/>
        </w:rPr>
      </w:pPr>
    </w:p>
    <w:p w14:paraId="22272E4E" w14:textId="07F18D0C" w:rsidR="003962DF" w:rsidRPr="00A923E2" w:rsidRDefault="003962DF" w:rsidP="003962DF">
      <w:pPr>
        <w:ind w:left="360"/>
        <w:rPr>
          <w:sz w:val="22"/>
          <w:szCs w:val="22"/>
        </w:rPr>
      </w:pPr>
      <w:r w:rsidRPr="00AA0EF1">
        <w:rPr>
          <w:sz w:val="22"/>
          <w:szCs w:val="22"/>
        </w:rPr>
        <w:t>We estimate that the total burden for this col</w:t>
      </w:r>
      <w:r>
        <w:rPr>
          <w:sz w:val="22"/>
          <w:szCs w:val="22"/>
        </w:rPr>
        <w:t xml:space="preserve">lection will be </w:t>
      </w:r>
      <w:r w:rsidR="00AA0C16">
        <w:rPr>
          <w:sz w:val="22"/>
          <w:szCs w:val="22"/>
        </w:rPr>
        <w:t>974</w:t>
      </w:r>
      <w:r>
        <w:rPr>
          <w:sz w:val="22"/>
          <w:szCs w:val="22"/>
        </w:rPr>
        <w:t xml:space="preserve"> hours, as shown in Table </w:t>
      </w:r>
      <w:r w:rsidR="00ED03CE">
        <w:rPr>
          <w:sz w:val="22"/>
          <w:szCs w:val="22"/>
        </w:rPr>
        <w:t>2</w:t>
      </w:r>
      <w:r>
        <w:rPr>
          <w:sz w:val="22"/>
          <w:szCs w:val="22"/>
        </w:rPr>
        <w:t xml:space="preserve"> below (first </w:t>
      </w:r>
      <w:r w:rsidRPr="00A923E2">
        <w:rPr>
          <w:sz w:val="22"/>
          <w:szCs w:val="22"/>
        </w:rPr>
        <w:t>4 columns).</w:t>
      </w:r>
    </w:p>
    <w:p w14:paraId="54282786" w14:textId="77777777" w:rsidR="003962DF" w:rsidRPr="00A923E2" w:rsidRDefault="003962DF" w:rsidP="003962DF">
      <w:pPr>
        <w:ind w:left="360"/>
        <w:rPr>
          <w:sz w:val="22"/>
        </w:rPr>
      </w:pPr>
    </w:p>
    <w:p w14:paraId="23811A92" w14:textId="6701F6E4" w:rsidR="003962DF" w:rsidRDefault="003962DF" w:rsidP="003962DF">
      <w:pPr>
        <w:ind w:left="360"/>
        <w:rPr>
          <w:sz w:val="22"/>
          <w:szCs w:val="22"/>
        </w:rPr>
      </w:pPr>
      <w:r w:rsidRPr="00615522">
        <w:rPr>
          <w:sz w:val="22"/>
          <w:szCs w:val="22"/>
        </w:rPr>
        <w:t>To estimate the dollar v</w:t>
      </w:r>
      <w:r w:rsidR="00AA0C16">
        <w:rPr>
          <w:sz w:val="22"/>
          <w:szCs w:val="22"/>
        </w:rPr>
        <w:t>alues of burden hours in Table 2</w:t>
      </w:r>
      <w:r w:rsidRPr="00615522">
        <w:rPr>
          <w:sz w:val="22"/>
          <w:szCs w:val="22"/>
        </w:rPr>
        <w:t xml:space="preserve">, we used data from </w:t>
      </w:r>
      <w:r>
        <w:rPr>
          <w:sz w:val="22"/>
          <w:szCs w:val="22"/>
        </w:rPr>
        <w:t>Bureau of Labor Statistics</w:t>
      </w:r>
      <w:r w:rsidR="00AA0C16">
        <w:rPr>
          <w:sz w:val="22"/>
          <w:szCs w:val="22"/>
        </w:rPr>
        <w:t xml:space="preserve"> USDL-18-1451</w:t>
      </w:r>
      <w:r>
        <w:rPr>
          <w:sz w:val="22"/>
          <w:szCs w:val="22"/>
        </w:rPr>
        <w:t xml:space="preserve">, </w:t>
      </w:r>
      <w:r>
        <w:rPr>
          <w:i/>
          <w:sz w:val="22"/>
          <w:szCs w:val="22"/>
        </w:rPr>
        <w:t>Employer Costs for Employee Compensation,</w:t>
      </w:r>
      <w:r>
        <w:rPr>
          <w:sz w:val="22"/>
          <w:szCs w:val="22"/>
        </w:rPr>
        <w:t xml:space="preserve"> </w:t>
      </w:r>
      <w:r w:rsidR="00AA0C16">
        <w:rPr>
          <w:sz w:val="22"/>
          <w:szCs w:val="22"/>
        </w:rPr>
        <w:t>dated March 20, 2018</w:t>
      </w:r>
      <w:r w:rsidRPr="00CE4CBA">
        <w:t xml:space="preserve">, </w:t>
      </w:r>
      <w:r>
        <w:rPr>
          <w:sz w:val="22"/>
          <w:szCs w:val="22"/>
        </w:rPr>
        <w:t>average wage for State and Local government</w:t>
      </w:r>
      <w:r w:rsidRPr="00615522">
        <w:rPr>
          <w:sz w:val="22"/>
          <w:szCs w:val="22"/>
        </w:rPr>
        <w:t xml:space="preserve"> mean hourly wages </w:t>
      </w:r>
      <w:r>
        <w:rPr>
          <w:sz w:val="22"/>
          <w:szCs w:val="22"/>
        </w:rPr>
        <w:t>($</w:t>
      </w:r>
      <w:r w:rsidR="00885A3B">
        <w:rPr>
          <w:sz w:val="22"/>
          <w:szCs w:val="22"/>
        </w:rPr>
        <w:t>49.19</w:t>
      </w:r>
      <w:r>
        <w:rPr>
          <w:sz w:val="22"/>
          <w:szCs w:val="22"/>
        </w:rPr>
        <w:t>)</w:t>
      </w:r>
      <w:r w:rsidR="00885A3B">
        <w:rPr>
          <w:sz w:val="22"/>
          <w:szCs w:val="22"/>
        </w:rPr>
        <w:t xml:space="preserve"> </w:t>
      </w:r>
      <w:r w:rsidRPr="00615522">
        <w:rPr>
          <w:sz w:val="22"/>
          <w:szCs w:val="22"/>
        </w:rPr>
        <w:t xml:space="preserve">to account for individuals </w:t>
      </w:r>
      <w:r>
        <w:rPr>
          <w:sz w:val="22"/>
          <w:szCs w:val="22"/>
        </w:rPr>
        <w:t>from State Water Resource agencies</w:t>
      </w:r>
      <w:r w:rsidRPr="00615522">
        <w:rPr>
          <w:sz w:val="22"/>
          <w:szCs w:val="22"/>
        </w:rPr>
        <w:t xml:space="preserve">. </w:t>
      </w:r>
      <w:r w:rsidR="00885A3B">
        <w:rPr>
          <w:sz w:val="22"/>
          <w:szCs w:val="22"/>
        </w:rPr>
        <w:t>These values include benefits and overtime.</w:t>
      </w:r>
    </w:p>
    <w:p w14:paraId="45E0A96E" w14:textId="73FBA737" w:rsidR="00CD1C7D" w:rsidRDefault="00CD1C7D">
      <w:pPr>
        <w:widowControl/>
        <w:autoSpaceDE/>
        <w:autoSpaceDN/>
        <w:adjustRightInd/>
        <w:rPr>
          <w:sz w:val="24"/>
          <w:szCs w:val="24"/>
        </w:rPr>
      </w:pPr>
      <w:r>
        <w:rPr>
          <w:sz w:val="24"/>
          <w:szCs w:val="24"/>
        </w:rPr>
        <w:br w:type="page"/>
      </w:r>
    </w:p>
    <w:p w14:paraId="184AD9D3"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B6C8FE" w14:textId="1D793580" w:rsidR="00814FB6"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p w14:paraId="4E0622AD" w14:textId="77777777" w:rsidR="008A7BB7" w:rsidRDefault="008A7B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3145"/>
        <w:gridCol w:w="1530"/>
        <w:gridCol w:w="1530"/>
        <w:gridCol w:w="1530"/>
        <w:gridCol w:w="1615"/>
      </w:tblGrid>
      <w:tr w:rsidR="00740AF4" w14:paraId="3F54C53D" w14:textId="77777777" w:rsidTr="003F4961">
        <w:tc>
          <w:tcPr>
            <w:tcW w:w="3145" w:type="dxa"/>
          </w:tcPr>
          <w:p w14:paraId="777366C5" w14:textId="279F34CC"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530" w:type="dxa"/>
          </w:tcPr>
          <w:p w14:paraId="213A8B4E" w14:textId="66B23E85"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5DFEED00" w14:textId="6FBD508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530" w:type="dxa"/>
          </w:tcPr>
          <w:p w14:paraId="17D705A6" w14:textId="4CC7416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2F007351" w14:textId="0D31851A" w:rsidR="00740AF4" w:rsidRDefault="00740AF4" w:rsidP="00237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Burden </w:t>
            </w:r>
            <w:r w:rsidR="002372C1">
              <w:rPr>
                <w:sz w:val="24"/>
                <w:szCs w:val="24"/>
              </w:rPr>
              <w:t>Value</w:t>
            </w:r>
          </w:p>
        </w:tc>
      </w:tr>
      <w:tr w:rsidR="00740AF4" w14:paraId="23ADE0FB" w14:textId="77777777" w:rsidTr="003F4961">
        <w:tc>
          <w:tcPr>
            <w:tcW w:w="3145" w:type="dxa"/>
          </w:tcPr>
          <w:p w14:paraId="321F94B2" w14:textId="196D0985" w:rsidR="00740AF4" w:rsidRDefault="00744B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15522">
              <w:t>State Water Resource Agency - reads instructions</w:t>
            </w:r>
          </w:p>
        </w:tc>
        <w:tc>
          <w:tcPr>
            <w:tcW w:w="1530" w:type="dxa"/>
            <w:tcBorders>
              <w:bottom w:val="single" w:sz="4" w:space="0" w:color="auto"/>
            </w:tcBorders>
          </w:tcPr>
          <w:p w14:paraId="00983AD9" w14:textId="690D83A9" w:rsidR="00740AF4"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30</w:t>
            </w:r>
          </w:p>
        </w:tc>
        <w:tc>
          <w:tcPr>
            <w:tcW w:w="1530" w:type="dxa"/>
            <w:tcBorders>
              <w:bottom w:val="single" w:sz="4" w:space="0" w:color="auto"/>
            </w:tcBorders>
          </w:tcPr>
          <w:p w14:paraId="6B164390" w14:textId="6385AB42" w:rsidR="00740AF4"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  60</w:t>
            </w:r>
          </w:p>
        </w:tc>
        <w:tc>
          <w:tcPr>
            <w:tcW w:w="1530" w:type="dxa"/>
            <w:tcBorders>
              <w:bottom w:val="single" w:sz="4" w:space="0" w:color="auto"/>
            </w:tcBorders>
          </w:tcPr>
          <w:p w14:paraId="502AD603" w14:textId="31853C43" w:rsidR="00740AF4"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 30</w:t>
            </w:r>
          </w:p>
        </w:tc>
        <w:tc>
          <w:tcPr>
            <w:tcW w:w="1615" w:type="dxa"/>
            <w:tcBorders>
              <w:bottom w:val="single" w:sz="4" w:space="0" w:color="auto"/>
            </w:tcBorders>
          </w:tcPr>
          <w:p w14:paraId="16610949" w14:textId="60173C46" w:rsidR="003962DF" w:rsidRDefault="003962DF" w:rsidP="00396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  $1,476</w:t>
            </w:r>
          </w:p>
        </w:tc>
      </w:tr>
      <w:tr w:rsidR="003F4961" w14:paraId="32331283" w14:textId="77777777" w:rsidTr="003F4961">
        <w:tc>
          <w:tcPr>
            <w:tcW w:w="3145" w:type="dxa"/>
          </w:tcPr>
          <w:p w14:paraId="609CBE25" w14:textId="26FC98A3"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15522">
              <w:t>State Water Resource Agency - completes application</w:t>
            </w:r>
          </w:p>
        </w:tc>
        <w:tc>
          <w:tcPr>
            <w:tcW w:w="1530" w:type="dxa"/>
            <w:tcBorders>
              <w:bottom w:val="single" w:sz="4" w:space="0" w:color="auto"/>
            </w:tcBorders>
          </w:tcPr>
          <w:p w14:paraId="78377DC9" w14:textId="0C43C75C"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14</w:t>
            </w:r>
          </w:p>
        </w:tc>
        <w:tc>
          <w:tcPr>
            <w:tcW w:w="1530" w:type="dxa"/>
            <w:tcBorders>
              <w:bottom w:val="single" w:sz="4" w:space="0" w:color="auto"/>
            </w:tcBorders>
          </w:tcPr>
          <w:p w14:paraId="03E17AE3" w14:textId="3DB28AD1"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2400</w:t>
            </w:r>
          </w:p>
        </w:tc>
        <w:tc>
          <w:tcPr>
            <w:tcW w:w="1530" w:type="dxa"/>
            <w:tcBorders>
              <w:bottom w:val="single" w:sz="4" w:space="0" w:color="auto"/>
            </w:tcBorders>
          </w:tcPr>
          <w:p w14:paraId="7C341B78" w14:textId="52587FAF"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560</w:t>
            </w:r>
          </w:p>
        </w:tc>
        <w:tc>
          <w:tcPr>
            <w:tcW w:w="1615" w:type="dxa"/>
            <w:tcBorders>
              <w:bottom w:val="single" w:sz="4" w:space="0" w:color="auto"/>
            </w:tcBorders>
          </w:tcPr>
          <w:p w14:paraId="760ED5F5" w14:textId="55DB7B54" w:rsidR="003F4961" w:rsidRDefault="003962DF" w:rsidP="00396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$27,546</w:t>
            </w:r>
          </w:p>
        </w:tc>
      </w:tr>
      <w:tr w:rsidR="003F4961" w14:paraId="1E3C590C" w14:textId="77777777" w:rsidTr="003F4961">
        <w:tc>
          <w:tcPr>
            <w:tcW w:w="3145" w:type="dxa"/>
          </w:tcPr>
          <w:p w14:paraId="0A1D5C10" w14:textId="05AFD64F"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15522">
              <w:t xml:space="preserve">State Water Resources Agency </w:t>
            </w:r>
            <w:r w:rsidR="00AA0C16">
              <w:t>–</w:t>
            </w:r>
            <w:r>
              <w:t xml:space="preserve"> </w:t>
            </w:r>
            <w:r w:rsidR="00AA0C16">
              <w:t>Semi-annual Progress</w:t>
            </w:r>
            <w:r w:rsidRPr="00615522">
              <w:t xml:space="preserve"> Reports</w:t>
            </w:r>
          </w:p>
        </w:tc>
        <w:tc>
          <w:tcPr>
            <w:tcW w:w="1530" w:type="dxa"/>
            <w:tcBorders>
              <w:top w:val="single" w:sz="4" w:space="0" w:color="auto"/>
            </w:tcBorders>
          </w:tcPr>
          <w:p w14:paraId="23619420" w14:textId="0874FBEB"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24</w:t>
            </w:r>
          </w:p>
        </w:tc>
        <w:tc>
          <w:tcPr>
            <w:tcW w:w="1530" w:type="dxa"/>
            <w:tcBorders>
              <w:top w:val="single" w:sz="4" w:space="0" w:color="auto"/>
            </w:tcBorders>
          </w:tcPr>
          <w:p w14:paraId="717C5FF2" w14:textId="3C80BAA6"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  240</w:t>
            </w:r>
          </w:p>
        </w:tc>
        <w:tc>
          <w:tcPr>
            <w:tcW w:w="1530" w:type="dxa"/>
            <w:tcBorders>
              <w:top w:val="single" w:sz="4" w:space="0" w:color="auto"/>
            </w:tcBorders>
          </w:tcPr>
          <w:p w14:paraId="4B79BC54" w14:textId="5F659487"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 96</w:t>
            </w:r>
          </w:p>
        </w:tc>
        <w:tc>
          <w:tcPr>
            <w:tcW w:w="1615" w:type="dxa"/>
            <w:tcBorders>
              <w:top w:val="single" w:sz="4" w:space="0" w:color="auto"/>
            </w:tcBorders>
          </w:tcPr>
          <w:p w14:paraId="183AAE45" w14:textId="79F562C8" w:rsidR="003F4961" w:rsidRDefault="003962DF" w:rsidP="00396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   $4,722</w:t>
            </w:r>
          </w:p>
        </w:tc>
      </w:tr>
      <w:tr w:rsidR="003F4961" w14:paraId="17E47812" w14:textId="77777777" w:rsidTr="003F4961">
        <w:tc>
          <w:tcPr>
            <w:tcW w:w="3145" w:type="dxa"/>
          </w:tcPr>
          <w:p w14:paraId="6C0A7B1D" w14:textId="77777777"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State Water Resources Agency –</w:t>
            </w:r>
          </w:p>
          <w:p w14:paraId="0C30DBE2" w14:textId="6921ED5C"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Final Reports</w:t>
            </w:r>
          </w:p>
        </w:tc>
        <w:tc>
          <w:tcPr>
            <w:tcW w:w="1530" w:type="dxa"/>
            <w:tcBorders>
              <w:bottom w:val="double" w:sz="4" w:space="0" w:color="auto"/>
            </w:tcBorders>
          </w:tcPr>
          <w:p w14:paraId="49701B42" w14:textId="5D48B936"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12</w:t>
            </w:r>
          </w:p>
        </w:tc>
        <w:tc>
          <w:tcPr>
            <w:tcW w:w="1530" w:type="dxa"/>
            <w:tcBorders>
              <w:bottom w:val="double" w:sz="4" w:space="0" w:color="auto"/>
            </w:tcBorders>
          </w:tcPr>
          <w:p w14:paraId="6CD2889E" w14:textId="3814E128"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1440</w:t>
            </w:r>
          </w:p>
        </w:tc>
        <w:tc>
          <w:tcPr>
            <w:tcW w:w="1530" w:type="dxa"/>
            <w:tcBorders>
              <w:bottom w:val="double" w:sz="4" w:space="0" w:color="auto"/>
            </w:tcBorders>
          </w:tcPr>
          <w:p w14:paraId="63D006D7" w14:textId="1F905245" w:rsidR="003F4961" w:rsidRDefault="003F4961" w:rsidP="003F4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288</w:t>
            </w:r>
          </w:p>
        </w:tc>
        <w:tc>
          <w:tcPr>
            <w:tcW w:w="1615" w:type="dxa"/>
            <w:tcBorders>
              <w:bottom w:val="double" w:sz="4" w:space="0" w:color="auto"/>
            </w:tcBorders>
          </w:tcPr>
          <w:p w14:paraId="3EA3403F" w14:textId="0C737732" w:rsidR="003962DF" w:rsidRDefault="003962DF" w:rsidP="00396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$14,167</w:t>
            </w:r>
          </w:p>
        </w:tc>
      </w:tr>
      <w:tr w:rsidR="003F4961" w14:paraId="73988F12" w14:textId="77777777" w:rsidTr="00B704E1">
        <w:tc>
          <w:tcPr>
            <w:tcW w:w="6205" w:type="dxa"/>
            <w:gridSpan w:val="3"/>
            <w:tcBorders>
              <w:top w:val="double" w:sz="4" w:space="0" w:color="auto"/>
            </w:tcBorders>
          </w:tcPr>
          <w:p w14:paraId="15C89F46" w14:textId="523503B8" w:rsidR="003F4961" w:rsidRDefault="003F4961" w:rsidP="008B4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Total Burden </w:t>
            </w:r>
          </w:p>
        </w:tc>
        <w:tc>
          <w:tcPr>
            <w:tcW w:w="1530" w:type="dxa"/>
            <w:tcBorders>
              <w:top w:val="double" w:sz="4" w:space="0" w:color="auto"/>
            </w:tcBorders>
          </w:tcPr>
          <w:p w14:paraId="4C92EC56" w14:textId="5A0552F9" w:rsidR="003F4961" w:rsidRDefault="003962DF" w:rsidP="00396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974</w:t>
            </w:r>
          </w:p>
        </w:tc>
        <w:tc>
          <w:tcPr>
            <w:tcW w:w="1615" w:type="dxa"/>
            <w:tcBorders>
              <w:top w:val="double" w:sz="4" w:space="0" w:color="auto"/>
            </w:tcBorders>
          </w:tcPr>
          <w:p w14:paraId="3B818A04" w14:textId="71257071" w:rsidR="003F4961" w:rsidRDefault="00885A3B" w:rsidP="00885A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 $47,911</w:t>
            </w:r>
          </w:p>
        </w:tc>
      </w:tr>
    </w:tbl>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92FE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7A88AB" w14:textId="77777777" w:rsidR="00BE0F05"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3066C5D"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r w:rsidR="00885A3B">
        <w:rPr>
          <w:sz w:val="24"/>
          <w:szCs w:val="24"/>
        </w:rPr>
        <w:t xml:space="preserve"> </w:t>
      </w:r>
    </w:p>
    <w:p w14:paraId="5878217F" w14:textId="13A9ECC4" w:rsidR="00885A3B" w:rsidRDefault="00885A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2295C913" w14:textId="402B8258" w:rsidR="00885A3B" w:rsidRDefault="00885A3B" w:rsidP="00885A3B">
      <w:pPr>
        <w:ind w:left="360"/>
        <w:rPr>
          <w:sz w:val="22"/>
          <w:szCs w:val="22"/>
        </w:rPr>
      </w:pPr>
      <w:r>
        <w:rPr>
          <w:sz w:val="22"/>
          <w:szCs w:val="22"/>
        </w:rPr>
        <w:t xml:space="preserve">We have identified no reporting and recordkeeping “non-hour cost” burdens associated with this proposed collection of information. </w:t>
      </w:r>
    </w:p>
    <w:p w14:paraId="27D5625E" w14:textId="77777777" w:rsidR="00885A3B" w:rsidRDefault="00885A3B" w:rsidP="00885A3B">
      <w:pPr>
        <w:ind w:left="360"/>
        <w:rPr>
          <w:sz w:val="22"/>
          <w:szCs w:val="22"/>
        </w:rPr>
      </w:pPr>
    </w:p>
    <w:p w14:paraId="3B4680E6" w14:textId="574628B1" w:rsidR="00082C1C" w:rsidRDefault="00082C1C" w:rsidP="00885A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24B547D"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11C7C68" w14:textId="74877C99" w:rsidR="00885A3B" w:rsidRPr="00A923E2" w:rsidRDefault="00885A3B" w:rsidP="00885A3B">
      <w:pPr>
        <w:ind w:left="360"/>
        <w:rPr>
          <w:sz w:val="22"/>
          <w:szCs w:val="22"/>
        </w:rPr>
      </w:pPr>
      <w:r w:rsidRPr="00A923E2">
        <w:rPr>
          <w:sz w:val="22"/>
          <w:szCs w:val="22"/>
        </w:rPr>
        <w:t xml:space="preserve">The estimated annual cost to the Federal </w:t>
      </w:r>
      <w:r w:rsidRPr="00624766">
        <w:rPr>
          <w:sz w:val="22"/>
          <w:szCs w:val="22"/>
        </w:rPr>
        <w:t xml:space="preserve">Government is </w:t>
      </w:r>
      <w:r w:rsidRPr="00076E84">
        <w:rPr>
          <w:sz w:val="22"/>
          <w:szCs w:val="22"/>
        </w:rPr>
        <w:t>$</w:t>
      </w:r>
      <w:r w:rsidR="00041901" w:rsidRPr="00076E84">
        <w:rPr>
          <w:sz w:val="22"/>
          <w:szCs w:val="22"/>
        </w:rPr>
        <w:t>213,050</w:t>
      </w:r>
      <w:r w:rsidRPr="00076E84">
        <w:rPr>
          <w:sz w:val="22"/>
          <w:szCs w:val="22"/>
        </w:rPr>
        <w:t xml:space="preserve"> </w:t>
      </w:r>
      <w:r w:rsidRPr="00A923E2">
        <w:rPr>
          <w:sz w:val="22"/>
          <w:szCs w:val="22"/>
        </w:rPr>
        <w:t xml:space="preserve">as itemized in Table </w:t>
      </w:r>
      <w:r w:rsidR="00080562">
        <w:rPr>
          <w:sz w:val="22"/>
          <w:szCs w:val="22"/>
        </w:rPr>
        <w:t>3</w:t>
      </w:r>
      <w:r w:rsidRPr="00A923E2">
        <w:rPr>
          <w:sz w:val="22"/>
          <w:szCs w:val="22"/>
        </w:rPr>
        <w:t xml:space="preserve">, below.  The table shows Federal Staff and grade level performing various tasks associated with this collection of information and time spent processing and reviewing information received as a result of this collection. Primary USGS staff involved are the Contracting Officer, </w:t>
      </w:r>
      <w:r>
        <w:rPr>
          <w:sz w:val="22"/>
          <w:szCs w:val="22"/>
        </w:rPr>
        <w:t>Staff Support</w:t>
      </w:r>
      <w:r w:rsidRPr="00A923E2">
        <w:rPr>
          <w:sz w:val="22"/>
          <w:szCs w:val="22"/>
        </w:rPr>
        <w:t xml:space="preserve">, and Program </w:t>
      </w:r>
      <w:r>
        <w:rPr>
          <w:sz w:val="22"/>
          <w:szCs w:val="22"/>
        </w:rPr>
        <w:t>Coordinator</w:t>
      </w:r>
      <w:r w:rsidRPr="00A923E2">
        <w:rPr>
          <w:sz w:val="22"/>
          <w:szCs w:val="22"/>
        </w:rPr>
        <w:t xml:space="preserve"> for developing the program announcement, organizing the proposals, completing all logistics for the peer panel meetings to review proposals, notifying recipients of awards, preparing requisitions, making awards, and requesting and reviewing required reports.  Grade levels, time, and annual costs for each of the three individuals are provided below. Several USGS scientific staff also serves as panel members; these panel members spend </w:t>
      </w:r>
      <w:r>
        <w:rPr>
          <w:sz w:val="22"/>
          <w:szCs w:val="22"/>
        </w:rPr>
        <w:t>80</w:t>
      </w:r>
      <w:r w:rsidRPr="00A923E2">
        <w:rPr>
          <w:sz w:val="22"/>
          <w:szCs w:val="22"/>
        </w:rPr>
        <w:t xml:space="preserve"> hours on average per person for reviews, meeting participation, and travel.  We have provided an aggregated grade level and annual cost below for USGS panel members. </w:t>
      </w:r>
    </w:p>
    <w:p w14:paraId="2CDD5DA7" w14:textId="77777777" w:rsidR="00885A3B" w:rsidRPr="00A923E2" w:rsidRDefault="00885A3B" w:rsidP="00885A3B">
      <w:pPr>
        <w:tabs>
          <w:tab w:val="left" w:pos="3464"/>
        </w:tabs>
        <w:ind w:left="360"/>
        <w:rPr>
          <w:sz w:val="22"/>
          <w:szCs w:val="22"/>
        </w:rPr>
      </w:pPr>
    </w:p>
    <w:p w14:paraId="435E882A" w14:textId="160F4796" w:rsidR="00885A3B" w:rsidRPr="00A923E2" w:rsidRDefault="00885A3B" w:rsidP="00885A3B">
      <w:pPr>
        <w:ind w:left="360"/>
        <w:rPr>
          <w:sz w:val="22"/>
          <w:szCs w:val="22"/>
        </w:rPr>
      </w:pPr>
      <w:r w:rsidRPr="00A923E2">
        <w:rPr>
          <w:sz w:val="22"/>
          <w:szCs w:val="22"/>
        </w:rPr>
        <w:t xml:space="preserve">We used the Office of Personnel Management Salary Table </w:t>
      </w:r>
      <w:r w:rsidR="007359FE">
        <w:rPr>
          <w:sz w:val="22"/>
          <w:szCs w:val="22"/>
        </w:rPr>
        <w:t xml:space="preserve">for </w:t>
      </w:r>
      <w:r w:rsidR="007359FE" w:rsidRPr="007359FE">
        <w:rPr>
          <w:sz w:val="22"/>
          <w:szCs w:val="22"/>
        </w:rPr>
        <w:t>WASHINGTON-BALTIMORE-ARLINGTON, DC-MD-VA-WV-PA for 2018</w:t>
      </w:r>
      <w:r>
        <w:rPr>
          <w:sz w:val="22"/>
          <w:szCs w:val="22"/>
        </w:rPr>
        <w:t xml:space="preserve"> (</w:t>
      </w:r>
      <w:r w:rsidR="00CE56F6" w:rsidRPr="00CE56F6">
        <w:rPr>
          <w:sz w:val="22"/>
          <w:szCs w:val="22"/>
        </w:rPr>
        <w:t>https://www.opm.gov/policy-data-oversight/pay-leave/salaries-wages/salary-tables/18Tables/html/DCB_h.aspx</w:t>
      </w:r>
      <w:r w:rsidRPr="00CE56F6">
        <w:rPr>
          <w:sz w:val="22"/>
          <w:szCs w:val="22"/>
        </w:rPr>
        <w:t>)</w:t>
      </w:r>
      <w:r w:rsidRPr="00A923E2">
        <w:rPr>
          <w:sz w:val="22"/>
          <w:szCs w:val="22"/>
        </w:rPr>
        <w:t xml:space="preserve"> to determine the hourly rate. We multiplied the hourly rate by 1.</w:t>
      </w:r>
      <w:r w:rsidR="00080562">
        <w:rPr>
          <w:sz w:val="22"/>
          <w:szCs w:val="22"/>
        </w:rPr>
        <w:t>6</w:t>
      </w:r>
      <w:r w:rsidRPr="00A923E2">
        <w:rPr>
          <w:sz w:val="22"/>
          <w:szCs w:val="22"/>
        </w:rPr>
        <w:t xml:space="preserve"> to account for</w:t>
      </w:r>
      <w:r>
        <w:rPr>
          <w:sz w:val="22"/>
          <w:szCs w:val="22"/>
        </w:rPr>
        <w:t xml:space="preserve"> overhead costs</w:t>
      </w:r>
      <w:r w:rsidRPr="00A923E2">
        <w:rPr>
          <w:sz w:val="22"/>
          <w:szCs w:val="22"/>
        </w:rPr>
        <w:t>.</w:t>
      </w:r>
    </w:p>
    <w:p w14:paraId="1C9A8B73" w14:textId="77777777" w:rsidR="00885A3B" w:rsidRPr="00A923E2" w:rsidRDefault="00885A3B" w:rsidP="00885A3B">
      <w:pPr>
        <w:ind w:left="360"/>
        <w:rPr>
          <w:sz w:val="22"/>
          <w:szCs w:val="22"/>
        </w:rPr>
      </w:pPr>
    </w:p>
    <w:p w14:paraId="6FE48C99" w14:textId="37D3E807" w:rsidR="00885A3B" w:rsidRPr="00A923E2" w:rsidRDefault="00885A3B" w:rsidP="00885A3B">
      <w:pPr>
        <w:ind w:left="360"/>
        <w:rPr>
          <w:sz w:val="22"/>
          <w:szCs w:val="22"/>
        </w:rPr>
      </w:pPr>
      <w:r w:rsidRPr="00A923E2">
        <w:rPr>
          <w:sz w:val="22"/>
          <w:szCs w:val="22"/>
        </w:rPr>
        <w:t xml:space="preserve">In addition to the salaries and benefits, we estimate </w:t>
      </w:r>
      <w:r w:rsidRPr="00076E84">
        <w:rPr>
          <w:sz w:val="22"/>
          <w:szCs w:val="22"/>
        </w:rPr>
        <w:t>$20,000</w:t>
      </w:r>
      <w:r w:rsidRPr="00A923E2">
        <w:rPr>
          <w:sz w:val="22"/>
          <w:szCs w:val="22"/>
        </w:rPr>
        <w:t xml:space="preserve"> for th</w:t>
      </w:r>
      <w:r w:rsidR="00B96A8F">
        <w:rPr>
          <w:sz w:val="22"/>
          <w:szCs w:val="22"/>
        </w:rPr>
        <w:t>e proposal review panel meeting</w:t>
      </w:r>
      <w:r w:rsidRPr="00A923E2">
        <w:rPr>
          <w:sz w:val="22"/>
          <w:szCs w:val="22"/>
        </w:rPr>
        <w:t xml:space="preserve"> required each fiscal year for transportation and per diem for outside peer reviewers and USGS staff (no salaries or stipends are paid to non-federal personnel that participate on the panel reviews</w:t>
      </w:r>
      <w:r>
        <w:rPr>
          <w:sz w:val="22"/>
          <w:szCs w:val="22"/>
        </w:rPr>
        <w:t>)</w:t>
      </w:r>
      <w:r w:rsidRPr="00A923E2">
        <w:rPr>
          <w:sz w:val="22"/>
          <w:szCs w:val="22"/>
        </w:rPr>
        <w:t>.  USGS facilities are used for panel meetings, so no room rental fees are incurred.</w:t>
      </w:r>
    </w:p>
    <w:p w14:paraId="798E26A3" w14:textId="77777777" w:rsidR="00885A3B" w:rsidRDefault="00885A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DCC36D1" w14:textId="662D20EC" w:rsidR="00885A3B"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3: Federal Labor Table</w:t>
      </w:r>
    </w:p>
    <w:p w14:paraId="01667F2C" w14:textId="1C4880AB" w:rsidR="00885A3B" w:rsidRPr="000E42E3" w:rsidRDefault="00885A3B" w:rsidP="00885A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pPr w:leftFromText="180" w:rightFromText="180" w:vertAnchor="text" w:horzAnchor="margin" w:tblpXSpec="center" w:tblpY="85"/>
        <w:tblW w:w="8748" w:type="dxa"/>
        <w:tblLayout w:type="fixed"/>
        <w:tblLook w:val="0000" w:firstRow="0" w:lastRow="0" w:firstColumn="0" w:lastColumn="0" w:noHBand="0" w:noVBand="0"/>
      </w:tblPr>
      <w:tblGrid>
        <w:gridCol w:w="2717"/>
        <w:gridCol w:w="995"/>
        <w:gridCol w:w="1284"/>
        <w:gridCol w:w="1409"/>
        <w:gridCol w:w="1172"/>
        <w:gridCol w:w="1171"/>
      </w:tblGrid>
      <w:tr w:rsidR="00885A3B" w:rsidRPr="00A923E2" w14:paraId="5F6F898F" w14:textId="77777777" w:rsidTr="00E21541">
        <w:trPr>
          <w:trHeight w:val="800"/>
          <w:tblHeader/>
        </w:trPr>
        <w:tc>
          <w:tcPr>
            <w:tcW w:w="2717" w:type="dxa"/>
            <w:tcBorders>
              <w:top w:val="single" w:sz="4" w:space="0" w:color="auto"/>
              <w:left w:val="single" w:sz="4" w:space="0" w:color="auto"/>
              <w:bottom w:val="single" w:sz="4" w:space="0" w:color="auto"/>
              <w:right w:val="single" w:sz="4" w:space="0" w:color="auto"/>
            </w:tcBorders>
            <w:shd w:val="clear" w:color="auto" w:fill="003366"/>
            <w:vAlign w:val="bottom"/>
          </w:tcPr>
          <w:p w14:paraId="54295F19" w14:textId="77777777" w:rsidR="00885A3B" w:rsidRPr="00E21541" w:rsidRDefault="00885A3B" w:rsidP="00E21541">
            <w:r w:rsidRPr="00E21541">
              <w:t xml:space="preserve">Federal Govt cost  </w:t>
            </w:r>
          </w:p>
        </w:tc>
        <w:tc>
          <w:tcPr>
            <w:tcW w:w="995" w:type="dxa"/>
            <w:tcBorders>
              <w:top w:val="single" w:sz="4" w:space="0" w:color="auto"/>
              <w:left w:val="nil"/>
              <w:bottom w:val="single" w:sz="4" w:space="0" w:color="auto"/>
              <w:right w:val="single" w:sz="4" w:space="0" w:color="auto"/>
            </w:tcBorders>
            <w:shd w:val="clear" w:color="auto" w:fill="003366"/>
            <w:vAlign w:val="bottom"/>
          </w:tcPr>
          <w:p w14:paraId="5232310D" w14:textId="77777777" w:rsidR="00885A3B" w:rsidRPr="00E21541" w:rsidRDefault="00885A3B" w:rsidP="00E21541">
            <w:r w:rsidRPr="00E21541">
              <w:t>Year 1</w:t>
            </w:r>
          </w:p>
        </w:tc>
        <w:tc>
          <w:tcPr>
            <w:tcW w:w="1284" w:type="dxa"/>
            <w:tcBorders>
              <w:top w:val="single" w:sz="4" w:space="0" w:color="auto"/>
              <w:left w:val="nil"/>
              <w:bottom w:val="single" w:sz="4" w:space="0" w:color="auto"/>
              <w:right w:val="single" w:sz="4" w:space="0" w:color="auto"/>
            </w:tcBorders>
            <w:shd w:val="clear" w:color="auto" w:fill="003366"/>
            <w:vAlign w:val="bottom"/>
          </w:tcPr>
          <w:p w14:paraId="6A90A566" w14:textId="77777777" w:rsidR="00885A3B" w:rsidRPr="00E21541" w:rsidRDefault="00885A3B" w:rsidP="00E21541">
            <w:r w:rsidRPr="00E21541">
              <w:t>Hourly Rate </w:t>
            </w:r>
          </w:p>
        </w:tc>
        <w:tc>
          <w:tcPr>
            <w:tcW w:w="1409" w:type="dxa"/>
            <w:tcBorders>
              <w:top w:val="single" w:sz="4" w:space="0" w:color="auto"/>
              <w:left w:val="nil"/>
              <w:bottom w:val="single" w:sz="4" w:space="0" w:color="auto"/>
              <w:right w:val="single" w:sz="4" w:space="0" w:color="auto"/>
            </w:tcBorders>
            <w:shd w:val="clear" w:color="auto" w:fill="003366"/>
            <w:vAlign w:val="bottom"/>
          </w:tcPr>
          <w:p w14:paraId="4A26268D" w14:textId="77777777" w:rsidR="00885A3B" w:rsidRPr="00E21541" w:rsidRDefault="00885A3B" w:rsidP="00E21541">
            <w:r w:rsidRPr="00E21541">
              <w:t xml:space="preserve">Annual Hours by Fed </w:t>
            </w:r>
          </w:p>
        </w:tc>
        <w:tc>
          <w:tcPr>
            <w:tcW w:w="1172" w:type="dxa"/>
            <w:tcBorders>
              <w:top w:val="single" w:sz="4" w:space="0" w:color="auto"/>
              <w:left w:val="nil"/>
              <w:bottom w:val="single" w:sz="4" w:space="0" w:color="auto"/>
              <w:right w:val="single" w:sz="4" w:space="0" w:color="auto"/>
            </w:tcBorders>
            <w:shd w:val="clear" w:color="auto" w:fill="003366"/>
            <w:vAlign w:val="bottom"/>
          </w:tcPr>
          <w:p w14:paraId="34A1C9AA" w14:textId="77777777" w:rsidR="00885A3B" w:rsidRPr="00E21541" w:rsidRDefault="00885A3B" w:rsidP="00E21541">
            <w:r w:rsidRPr="00E21541">
              <w:t xml:space="preserve">Fully Loaded Rate </w:t>
            </w:r>
          </w:p>
        </w:tc>
        <w:tc>
          <w:tcPr>
            <w:tcW w:w="1171" w:type="dxa"/>
            <w:tcBorders>
              <w:top w:val="single" w:sz="4" w:space="0" w:color="auto"/>
              <w:left w:val="nil"/>
              <w:bottom w:val="single" w:sz="4" w:space="0" w:color="auto"/>
              <w:right w:val="single" w:sz="4" w:space="0" w:color="auto"/>
            </w:tcBorders>
            <w:shd w:val="clear" w:color="auto" w:fill="003366"/>
            <w:vAlign w:val="bottom"/>
          </w:tcPr>
          <w:p w14:paraId="3DC23B73" w14:textId="77777777" w:rsidR="00885A3B" w:rsidRPr="00E21541" w:rsidRDefault="00885A3B" w:rsidP="00E21541">
            <w:r w:rsidRPr="00E21541">
              <w:t xml:space="preserve">Total Labor Value </w:t>
            </w:r>
          </w:p>
        </w:tc>
      </w:tr>
      <w:tr w:rsidR="00885A3B" w:rsidRPr="00A923E2" w14:paraId="0F0D654B" w14:textId="77777777" w:rsidTr="00435377">
        <w:trPr>
          <w:trHeight w:val="553"/>
          <w:tblHeader/>
        </w:trPr>
        <w:tc>
          <w:tcPr>
            <w:tcW w:w="2717" w:type="dxa"/>
            <w:tcBorders>
              <w:top w:val="single" w:sz="4" w:space="0" w:color="auto"/>
              <w:left w:val="single" w:sz="4" w:space="0" w:color="auto"/>
              <w:bottom w:val="single" w:sz="4" w:space="0" w:color="auto"/>
              <w:right w:val="single" w:sz="4" w:space="0" w:color="auto"/>
            </w:tcBorders>
            <w:shd w:val="clear" w:color="auto" w:fill="auto"/>
            <w:vAlign w:val="center"/>
          </w:tcPr>
          <w:p w14:paraId="54FD2A89" w14:textId="77777777" w:rsidR="00885A3B" w:rsidRPr="00A923E2" w:rsidRDefault="00885A3B" w:rsidP="00435377">
            <w:r>
              <w:t>WUDR Program Coordinator</w:t>
            </w:r>
          </w:p>
        </w:tc>
        <w:tc>
          <w:tcPr>
            <w:tcW w:w="995" w:type="dxa"/>
            <w:tcBorders>
              <w:top w:val="single" w:sz="4" w:space="0" w:color="auto"/>
              <w:left w:val="nil"/>
              <w:bottom w:val="single" w:sz="4" w:space="0" w:color="auto"/>
              <w:right w:val="single" w:sz="4" w:space="0" w:color="auto"/>
            </w:tcBorders>
            <w:shd w:val="clear" w:color="auto" w:fill="auto"/>
            <w:vAlign w:val="center"/>
          </w:tcPr>
          <w:p w14:paraId="0F559FB7" w14:textId="61B1B0CD" w:rsidR="00885A3B" w:rsidRPr="00006352" w:rsidRDefault="00006352" w:rsidP="00435377">
            <w:pPr>
              <w:jc w:val="center"/>
            </w:pPr>
            <w:r w:rsidRPr="00006352">
              <w:t>GS 14/5</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62DCF011" w14:textId="0CC7E874" w:rsidR="00885A3B" w:rsidRPr="00006352" w:rsidRDefault="00885A3B" w:rsidP="00435377">
            <w:pPr>
              <w:jc w:val="center"/>
            </w:pPr>
            <w:r w:rsidRPr="00006352">
              <w:t>$</w:t>
            </w:r>
            <w:r w:rsidR="005B13E9">
              <w:t>62.23</w:t>
            </w:r>
            <w:r w:rsidRPr="00006352">
              <w:t xml:space="preserve"> </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50F2AC0B" w14:textId="30BD5DF2" w:rsidR="00885A3B" w:rsidRPr="00006352" w:rsidRDefault="00006352" w:rsidP="00435377">
            <w:pPr>
              <w:jc w:val="center"/>
            </w:pPr>
            <w:r w:rsidRPr="00006352">
              <w:t>522</w:t>
            </w:r>
          </w:p>
        </w:tc>
        <w:tc>
          <w:tcPr>
            <w:tcW w:w="1172" w:type="dxa"/>
            <w:tcBorders>
              <w:top w:val="single" w:sz="4" w:space="0" w:color="auto"/>
              <w:left w:val="nil"/>
              <w:bottom w:val="single" w:sz="4" w:space="0" w:color="auto"/>
              <w:right w:val="single" w:sz="4" w:space="0" w:color="auto"/>
            </w:tcBorders>
            <w:shd w:val="clear" w:color="auto" w:fill="auto"/>
            <w:vAlign w:val="center"/>
          </w:tcPr>
          <w:p w14:paraId="08BF031B" w14:textId="1906D51A" w:rsidR="00885A3B" w:rsidRPr="00006352" w:rsidRDefault="00885A3B" w:rsidP="00435377">
            <w:pPr>
              <w:jc w:val="center"/>
            </w:pPr>
            <w:r w:rsidRPr="00006352">
              <w:t>$</w:t>
            </w:r>
            <w:r w:rsidR="00611488">
              <w:t>99.57</w:t>
            </w:r>
          </w:p>
        </w:tc>
        <w:tc>
          <w:tcPr>
            <w:tcW w:w="1171" w:type="dxa"/>
            <w:tcBorders>
              <w:top w:val="single" w:sz="4" w:space="0" w:color="auto"/>
              <w:left w:val="nil"/>
              <w:bottom w:val="single" w:sz="4" w:space="0" w:color="auto"/>
              <w:right w:val="single" w:sz="4" w:space="0" w:color="auto"/>
            </w:tcBorders>
            <w:shd w:val="clear" w:color="auto" w:fill="auto"/>
            <w:vAlign w:val="center"/>
          </w:tcPr>
          <w:p w14:paraId="22E6E5DF" w14:textId="1E7E153F" w:rsidR="00006352" w:rsidRPr="00006352" w:rsidRDefault="00885A3B" w:rsidP="00006352">
            <w:pPr>
              <w:jc w:val="center"/>
            </w:pPr>
            <w:r w:rsidRPr="00006352">
              <w:t>$</w:t>
            </w:r>
            <w:r w:rsidR="00611488">
              <w:t>51</w:t>
            </w:r>
            <w:r w:rsidR="006406C7">
              <w:t>,</w:t>
            </w:r>
            <w:r w:rsidR="00611488">
              <w:t>976</w:t>
            </w:r>
          </w:p>
        </w:tc>
      </w:tr>
      <w:tr w:rsidR="00885A3B" w:rsidRPr="00A923E2" w14:paraId="47E0D648" w14:textId="77777777" w:rsidTr="00435377">
        <w:trPr>
          <w:trHeight w:val="502"/>
          <w:tblHeader/>
        </w:trPr>
        <w:tc>
          <w:tcPr>
            <w:tcW w:w="2717" w:type="dxa"/>
            <w:tcBorders>
              <w:top w:val="single" w:sz="4" w:space="0" w:color="auto"/>
              <w:left w:val="single" w:sz="4" w:space="0" w:color="auto"/>
              <w:bottom w:val="single" w:sz="6" w:space="0" w:color="auto"/>
              <w:right w:val="single" w:sz="4" w:space="0" w:color="auto"/>
            </w:tcBorders>
            <w:shd w:val="clear" w:color="auto" w:fill="auto"/>
            <w:vAlign w:val="center"/>
          </w:tcPr>
          <w:p w14:paraId="0FF3BA74" w14:textId="77777777" w:rsidR="00885A3B" w:rsidRPr="00A923E2" w:rsidRDefault="00885A3B" w:rsidP="00435377">
            <w:r>
              <w:t>Hydrologist – Staff Support</w:t>
            </w:r>
          </w:p>
        </w:tc>
        <w:tc>
          <w:tcPr>
            <w:tcW w:w="995" w:type="dxa"/>
            <w:tcBorders>
              <w:top w:val="single" w:sz="4" w:space="0" w:color="auto"/>
              <w:left w:val="nil"/>
              <w:bottom w:val="single" w:sz="6" w:space="0" w:color="auto"/>
              <w:right w:val="single" w:sz="4" w:space="0" w:color="auto"/>
            </w:tcBorders>
            <w:shd w:val="clear" w:color="auto" w:fill="auto"/>
            <w:vAlign w:val="center"/>
          </w:tcPr>
          <w:p w14:paraId="14449D34" w14:textId="52500C18" w:rsidR="00885A3B" w:rsidRPr="00A923E2" w:rsidRDefault="00885A3B" w:rsidP="00435377">
            <w:pPr>
              <w:jc w:val="center"/>
            </w:pPr>
            <w:r>
              <w:t>GS 12</w:t>
            </w:r>
            <w:r w:rsidRPr="00A923E2">
              <w:t>/</w:t>
            </w:r>
            <w:r w:rsidR="009255EB">
              <w:t>6</w:t>
            </w:r>
          </w:p>
        </w:tc>
        <w:tc>
          <w:tcPr>
            <w:tcW w:w="1284" w:type="dxa"/>
            <w:tcBorders>
              <w:top w:val="single" w:sz="4" w:space="0" w:color="auto"/>
              <w:left w:val="nil"/>
              <w:bottom w:val="single" w:sz="6" w:space="0" w:color="auto"/>
              <w:right w:val="single" w:sz="4" w:space="0" w:color="auto"/>
            </w:tcBorders>
            <w:shd w:val="clear" w:color="auto" w:fill="auto"/>
            <w:vAlign w:val="center"/>
          </w:tcPr>
          <w:p w14:paraId="274F9C0C" w14:textId="7420CAC4" w:rsidR="00885A3B" w:rsidRPr="00A923E2" w:rsidRDefault="00885A3B" w:rsidP="00435377">
            <w:pPr>
              <w:jc w:val="center"/>
            </w:pPr>
            <w:r w:rsidRPr="00A923E2">
              <w:t>$</w:t>
            </w:r>
            <w:r w:rsidR="002A2305">
              <w:t>45.59</w:t>
            </w:r>
          </w:p>
        </w:tc>
        <w:tc>
          <w:tcPr>
            <w:tcW w:w="1409" w:type="dxa"/>
            <w:tcBorders>
              <w:top w:val="single" w:sz="4" w:space="0" w:color="auto"/>
              <w:left w:val="nil"/>
              <w:bottom w:val="single" w:sz="6" w:space="0" w:color="auto"/>
              <w:right w:val="single" w:sz="4" w:space="0" w:color="auto"/>
            </w:tcBorders>
            <w:shd w:val="clear" w:color="auto" w:fill="auto"/>
            <w:vAlign w:val="center"/>
          </w:tcPr>
          <w:p w14:paraId="34224F21" w14:textId="329C00F3" w:rsidR="00885A3B" w:rsidRPr="00A923E2" w:rsidRDefault="009255EB" w:rsidP="00435377">
            <w:pPr>
              <w:jc w:val="center"/>
            </w:pPr>
            <w:r>
              <w:t>1040</w:t>
            </w:r>
          </w:p>
        </w:tc>
        <w:tc>
          <w:tcPr>
            <w:tcW w:w="1172" w:type="dxa"/>
            <w:tcBorders>
              <w:top w:val="single" w:sz="4" w:space="0" w:color="auto"/>
              <w:left w:val="nil"/>
              <w:bottom w:val="single" w:sz="6" w:space="0" w:color="auto"/>
              <w:right w:val="single" w:sz="4" w:space="0" w:color="auto"/>
            </w:tcBorders>
            <w:shd w:val="clear" w:color="auto" w:fill="auto"/>
            <w:vAlign w:val="center"/>
          </w:tcPr>
          <w:p w14:paraId="23426581" w14:textId="180366A8" w:rsidR="00885A3B" w:rsidRPr="00A923E2" w:rsidRDefault="00885A3B" w:rsidP="00435377">
            <w:pPr>
              <w:jc w:val="center"/>
            </w:pPr>
            <w:r>
              <w:t>$</w:t>
            </w:r>
            <w:r w:rsidR="00611488">
              <w:t>72.94</w:t>
            </w:r>
          </w:p>
        </w:tc>
        <w:tc>
          <w:tcPr>
            <w:tcW w:w="1171" w:type="dxa"/>
            <w:tcBorders>
              <w:top w:val="single" w:sz="4" w:space="0" w:color="auto"/>
              <w:left w:val="nil"/>
              <w:bottom w:val="single" w:sz="6" w:space="0" w:color="auto"/>
              <w:right w:val="single" w:sz="4" w:space="0" w:color="auto"/>
            </w:tcBorders>
            <w:shd w:val="clear" w:color="auto" w:fill="auto"/>
            <w:vAlign w:val="center"/>
          </w:tcPr>
          <w:p w14:paraId="453CC866" w14:textId="6F6476C7" w:rsidR="00885A3B" w:rsidRPr="00A923E2" w:rsidRDefault="00885A3B" w:rsidP="00435377">
            <w:pPr>
              <w:jc w:val="center"/>
            </w:pPr>
            <w:r>
              <w:t>$</w:t>
            </w:r>
            <w:r w:rsidR="00611488">
              <w:t>75</w:t>
            </w:r>
            <w:r w:rsidR="006406C7">
              <w:t>,</w:t>
            </w:r>
            <w:r w:rsidR="00611488">
              <w:t>858</w:t>
            </w:r>
          </w:p>
        </w:tc>
      </w:tr>
      <w:tr w:rsidR="00885A3B" w:rsidRPr="00A923E2" w14:paraId="4ED1E93E" w14:textId="77777777" w:rsidTr="00435377">
        <w:trPr>
          <w:trHeight w:val="515"/>
          <w:tblHeader/>
        </w:trPr>
        <w:tc>
          <w:tcPr>
            <w:tcW w:w="2717" w:type="dxa"/>
            <w:tcBorders>
              <w:top w:val="single" w:sz="4" w:space="0" w:color="auto"/>
              <w:left w:val="single" w:sz="4" w:space="0" w:color="auto"/>
              <w:bottom w:val="single" w:sz="6" w:space="0" w:color="auto"/>
              <w:right w:val="single" w:sz="4" w:space="0" w:color="auto"/>
            </w:tcBorders>
            <w:shd w:val="clear" w:color="auto" w:fill="auto"/>
            <w:vAlign w:val="center"/>
          </w:tcPr>
          <w:p w14:paraId="17897135" w14:textId="77777777" w:rsidR="00885A3B" w:rsidRPr="00247128" w:rsidRDefault="00885A3B" w:rsidP="00435377">
            <w:r w:rsidRPr="00247128">
              <w:t>Contracting Officer</w:t>
            </w:r>
          </w:p>
        </w:tc>
        <w:tc>
          <w:tcPr>
            <w:tcW w:w="995" w:type="dxa"/>
            <w:tcBorders>
              <w:top w:val="single" w:sz="4" w:space="0" w:color="auto"/>
              <w:left w:val="nil"/>
              <w:bottom w:val="single" w:sz="6" w:space="0" w:color="auto"/>
              <w:right w:val="single" w:sz="4" w:space="0" w:color="auto"/>
            </w:tcBorders>
            <w:shd w:val="clear" w:color="auto" w:fill="auto"/>
            <w:vAlign w:val="center"/>
          </w:tcPr>
          <w:p w14:paraId="0EC8CB0F" w14:textId="77777777" w:rsidR="00885A3B" w:rsidRPr="00247128" w:rsidRDefault="00885A3B" w:rsidP="00435377">
            <w:pPr>
              <w:jc w:val="center"/>
            </w:pPr>
            <w:r w:rsidRPr="00247128">
              <w:t>GS 13/10</w:t>
            </w:r>
          </w:p>
        </w:tc>
        <w:tc>
          <w:tcPr>
            <w:tcW w:w="1284" w:type="dxa"/>
            <w:tcBorders>
              <w:top w:val="single" w:sz="4" w:space="0" w:color="auto"/>
              <w:left w:val="nil"/>
              <w:bottom w:val="single" w:sz="6" w:space="0" w:color="auto"/>
              <w:right w:val="single" w:sz="4" w:space="0" w:color="auto"/>
            </w:tcBorders>
            <w:shd w:val="clear" w:color="auto" w:fill="auto"/>
            <w:vAlign w:val="center"/>
          </w:tcPr>
          <w:p w14:paraId="4822B8E5" w14:textId="244F93E9" w:rsidR="00885A3B" w:rsidRPr="00247128" w:rsidRDefault="00885A3B" w:rsidP="00435377">
            <w:pPr>
              <w:jc w:val="center"/>
            </w:pPr>
            <w:r w:rsidRPr="00247128">
              <w:t>$</w:t>
            </w:r>
            <w:r w:rsidR="005B13E9" w:rsidRPr="00247128">
              <w:t>60.40</w:t>
            </w:r>
          </w:p>
        </w:tc>
        <w:tc>
          <w:tcPr>
            <w:tcW w:w="1409" w:type="dxa"/>
            <w:tcBorders>
              <w:top w:val="single" w:sz="4" w:space="0" w:color="auto"/>
              <w:left w:val="nil"/>
              <w:bottom w:val="single" w:sz="6" w:space="0" w:color="auto"/>
              <w:right w:val="single" w:sz="4" w:space="0" w:color="auto"/>
            </w:tcBorders>
            <w:shd w:val="clear" w:color="auto" w:fill="auto"/>
            <w:vAlign w:val="center"/>
          </w:tcPr>
          <w:p w14:paraId="771BF6BD" w14:textId="77777777" w:rsidR="00885A3B" w:rsidRPr="00247128" w:rsidRDefault="00885A3B" w:rsidP="00435377">
            <w:pPr>
              <w:jc w:val="center"/>
            </w:pPr>
            <w:r w:rsidRPr="00247128">
              <w:t>120</w:t>
            </w:r>
          </w:p>
        </w:tc>
        <w:tc>
          <w:tcPr>
            <w:tcW w:w="1172" w:type="dxa"/>
            <w:tcBorders>
              <w:top w:val="single" w:sz="4" w:space="0" w:color="auto"/>
              <w:left w:val="nil"/>
              <w:bottom w:val="single" w:sz="6" w:space="0" w:color="auto"/>
              <w:right w:val="single" w:sz="4" w:space="0" w:color="auto"/>
            </w:tcBorders>
            <w:shd w:val="clear" w:color="auto" w:fill="auto"/>
            <w:vAlign w:val="center"/>
          </w:tcPr>
          <w:p w14:paraId="06D5B0CB" w14:textId="1A44BB07" w:rsidR="00885A3B" w:rsidRPr="00247128" w:rsidRDefault="00885A3B" w:rsidP="00435377">
            <w:pPr>
              <w:jc w:val="center"/>
            </w:pPr>
            <w:r w:rsidRPr="00247128">
              <w:t>$</w:t>
            </w:r>
            <w:r w:rsidR="006406C7" w:rsidRPr="00247128">
              <w:t>9</w:t>
            </w:r>
            <w:r w:rsidR="00611488" w:rsidRPr="00247128">
              <w:t>6</w:t>
            </w:r>
            <w:r w:rsidR="006406C7" w:rsidRPr="00247128">
              <w:t>.</w:t>
            </w:r>
            <w:r w:rsidR="00611488" w:rsidRPr="00247128">
              <w:t>64</w:t>
            </w:r>
          </w:p>
        </w:tc>
        <w:tc>
          <w:tcPr>
            <w:tcW w:w="1171" w:type="dxa"/>
            <w:tcBorders>
              <w:top w:val="single" w:sz="4" w:space="0" w:color="auto"/>
              <w:left w:val="nil"/>
              <w:bottom w:val="single" w:sz="6" w:space="0" w:color="auto"/>
              <w:right w:val="single" w:sz="4" w:space="0" w:color="auto"/>
            </w:tcBorders>
            <w:shd w:val="clear" w:color="auto" w:fill="auto"/>
            <w:vAlign w:val="center"/>
          </w:tcPr>
          <w:p w14:paraId="4EEC003C" w14:textId="2BE2CA8A" w:rsidR="00885A3B" w:rsidRPr="00247128" w:rsidRDefault="00885A3B" w:rsidP="00435377">
            <w:pPr>
              <w:jc w:val="center"/>
            </w:pPr>
            <w:r w:rsidRPr="00247128">
              <w:t>$</w:t>
            </w:r>
            <w:r w:rsidR="00611488" w:rsidRPr="00247128">
              <w:t>11</w:t>
            </w:r>
            <w:r w:rsidRPr="00247128">
              <w:t>,</w:t>
            </w:r>
            <w:r w:rsidR="00611488" w:rsidRPr="00247128">
              <w:t>597</w:t>
            </w:r>
          </w:p>
        </w:tc>
      </w:tr>
      <w:tr w:rsidR="00885A3B" w:rsidRPr="00A923E2" w14:paraId="710A6728" w14:textId="77777777" w:rsidTr="00435377">
        <w:trPr>
          <w:trHeight w:val="45"/>
          <w:tblHeader/>
        </w:trPr>
        <w:tc>
          <w:tcPr>
            <w:tcW w:w="8748"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65EDDB7E" w14:textId="77777777" w:rsidR="00885A3B" w:rsidRPr="00A923E2" w:rsidRDefault="00885A3B" w:rsidP="00435377">
            <w:pPr>
              <w:jc w:val="center"/>
              <w:rPr>
                <w:b/>
              </w:rPr>
            </w:pPr>
          </w:p>
        </w:tc>
      </w:tr>
      <w:tr w:rsidR="00885A3B" w:rsidRPr="00A923E2" w14:paraId="0AEDA391" w14:textId="77777777" w:rsidTr="00435377">
        <w:trPr>
          <w:trHeight w:val="538"/>
          <w:tblHeader/>
        </w:trPr>
        <w:tc>
          <w:tcPr>
            <w:tcW w:w="8748" w:type="dxa"/>
            <w:gridSpan w:val="6"/>
            <w:tcBorders>
              <w:top w:val="nil"/>
              <w:left w:val="single" w:sz="4" w:space="0" w:color="auto"/>
              <w:bottom w:val="single" w:sz="4" w:space="0" w:color="auto"/>
              <w:right w:val="single" w:sz="4" w:space="0" w:color="auto"/>
            </w:tcBorders>
            <w:shd w:val="clear" w:color="auto" w:fill="auto"/>
            <w:vAlign w:val="center"/>
          </w:tcPr>
          <w:p w14:paraId="3724696F" w14:textId="77777777" w:rsidR="00885A3B" w:rsidRPr="00A923E2" w:rsidRDefault="00885A3B" w:rsidP="00435377">
            <w:pPr>
              <w:jc w:val="center"/>
            </w:pPr>
            <w:r>
              <w:t>Application Review Panel – Federal Members only</w:t>
            </w:r>
          </w:p>
        </w:tc>
      </w:tr>
      <w:tr w:rsidR="00885A3B" w:rsidRPr="00A923E2" w14:paraId="451FF964" w14:textId="77777777" w:rsidTr="00435377">
        <w:trPr>
          <w:trHeight w:val="520"/>
          <w:tblHeader/>
        </w:trPr>
        <w:tc>
          <w:tcPr>
            <w:tcW w:w="2717" w:type="dxa"/>
            <w:tcBorders>
              <w:top w:val="nil"/>
              <w:left w:val="single" w:sz="4" w:space="0" w:color="auto"/>
              <w:bottom w:val="single" w:sz="4" w:space="0" w:color="auto"/>
              <w:right w:val="single" w:sz="4" w:space="0" w:color="auto"/>
            </w:tcBorders>
            <w:shd w:val="clear" w:color="auto" w:fill="auto"/>
            <w:vAlign w:val="center"/>
          </w:tcPr>
          <w:p w14:paraId="59A895CA" w14:textId="13B86471" w:rsidR="00885A3B" w:rsidRPr="00A923E2" w:rsidRDefault="00C07A6E" w:rsidP="00435377">
            <w:r>
              <w:t>2</w:t>
            </w:r>
            <w:r w:rsidR="00885A3B" w:rsidRPr="00A923E2">
              <w:t xml:space="preserve"> </w:t>
            </w:r>
            <w:r w:rsidR="00885A3B">
              <w:t>Hydrologists</w:t>
            </w:r>
            <w:r w:rsidR="00885A3B" w:rsidRPr="00A923E2">
              <w:t xml:space="preserve"> (</w:t>
            </w:r>
            <w:r w:rsidR="00885A3B">
              <w:t>80</w:t>
            </w:r>
            <w:r w:rsidR="00885A3B" w:rsidRPr="00A923E2">
              <w:t xml:space="preserve"> total annual hours each)</w:t>
            </w:r>
          </w:p>
        </w:tc>
        <w:tc>
          <w:tcPr>
            <w:tcW w:w="995" w:type="dxa"/>
            <w:tcBorders>
              <w:top w:val="nil"/>
              <w:left w:val="nil"/>
              <w:bottom w:val="single" w:sz="4" w:space="0" w:color="auto"/>
              <w:right w:val="single" w:sz="4" w:space="0" w:color="auto"/>
            </w:tcBorders>
            <w:shd w:val="clear" w:color="auto" w:fill="auto"/>
            <w:vAlign w:val="center"/>
          </w:tcPr>
          <w:p w14:paraId="3387555A" w14:textId="77777777" w:rsidR="00885A3B" w:rsidRPr="00A923E2" w:rsidRDefault="00885A3B" w:rsidP="00435377">
            <w:pPr>
              <w:jc w:val="center"/>
            </w:pPr>
            <w:r w:rsidRPr="00A923E2">
              <w:t>GS 1</w:t>
            </w:r>
            <w:r>
              <w:t>4</w:t>
            </w:r>
            <w:r w:rsidRPr="00A923E2">
              <w:t>/</w:t>
            </w:r>
            <w:r>
              <w:t>6</w:t>
            </w:r>
          </w:p>
        </w:tc>
        <w:tc>
          <w:tcPr>
            <w:tcW w:w="1284" w:type="dxa"/>
            <w:tcBorders>
              <w:top w:val="nil"/>
              <w:left w:val="nil"/>
              <w:bottom w:val="single" w:sz="4" w:space="0" w:color="auto"/>
              <w:right w:val="single" w:sz="4" w:space="0" w:color="auto"/>
            </w:tcBorders>
            <w:shd w:val="clear" w:color="auto" w:fill="auto"/>
            <w:vAlign w:val="center"/>
          </w:tcPr>
          <w:p w14:paraId="69E237E8" w14:textId="3D002F6A" w:rsidR="00885A3B" w:rsidRPr="00A923E2" w:rsidRDefault="00885A3B" w:rsidP="00435377">
            <w:pPr>
              <w:jc w:val="center"/>
            </w:pPr>
            <w:r w:rsidRPr="00A923E2">
              <w:t>$</w:t>
            </w:r>
            <w:r w:rsidR="009255EB">
              <w:t>64.</w:t>
            </w:r>
            <w:r w:rsidR="00C07A6E">
              <w:t>06</w:t>
            </w:r>
          </w:p>
        </w:tc>
        <w:tc>
          <w:tcPr>
            <w:tcW w:w="1409" w:type="dxa"/>
            <w:tcBorders>
              <w:top w:val="nil"/>
              <w:left w:val="nil"/>
              <w:bottom w:val="single" w:sz="4" w:space="0" w:color="auto"/>
              <w:right w:val="single" w:sz="4" w:space="0" w:color="auto"/>
            </w:tcBorders>
            <w:shd w:val="clear" w:color="auto" w:fill="auto"/>
            <w:vAlign w:val="center"/>
          </w:tcPr>
          <w:p w14:paraId="2687B3CC" w14:textId="206D75A4" w:rsidR="00885A3B" w:rsidRPr="00A923E2" w:rsidRDefault="00CE56F6" w:rsidP="00435377">
            <w:pPr>
              <w:jc w:val="center"/>
            </w:pPr>
            <w:r>
              <w:t>160</w:t>
            </w:r>
          </w:p>
        </w:tc>
        <w:tc>
          <w:tcPr>
            <w:tcW w:w="1172" w:type="dxa"/>
            <w:tcBorders>
              <w:top w:val="nil"/>
              <w:left w:val="nil"/>
              <w:bottom w:val="single" w:sz="4" w:space="0" w:color="auto"/>
              <w:right w:val="single" w:sz="4" w:space="0" w:color="auto"/>
            </w:tcBorders>
            <w:shd w:val="clear" w:color="auto" w:fill="auto"/>
            <w:vAlign w:val="center"/>
          </w:tcPr>
          <w:p w14:paraId="3F095DE5" w14:textId="1FB5607D" w:rsidR="00885A3B" w:rsidRPr="00A923E2" w:rsidRDefault="00885A3B" w:rsidP="00435377">
            <w:pPr>
              <w:jc w:val="center"/>
            </w:pPr>
            <w:r>
              <w:t>$</w:t>
            </w:r>
            <w:r w:rsidR="00C07A6E">
              <w:t>102.</w:t>
            </w:r>
            <w:r w:rsidR="00CE56F6">
              <w:t>50</w:t>
            </w:r>
          </w:p>
        </w:tc>
        <w:tc>
          <w:tcPr>
            <w:tcW w:w="1171" w:type="dxa"/>
            <w:tcBorders>
              <w:top w:val="nil"/>
              <w:left w:val="nil"/>
              <w:bottom w:val="single" w:sz="4" w:space="0" w:color="auto"/>
              <w:right w:val="single" w:sz="4" w:space="0" w:color="auto"/>
            </w:tcBorders>
            <w:shd w:val="clear" w:color="auto" w:fill="auto"/>
            <w:vAlign w:val="center"/>
          </w:tcPr>
          <w:p w14:paraId="6563EA4A" w14:textId="451AB7F7" w:rsidR="00885A3B" w:rsidRPr="00A923E2" w:rsidRDefault="00885A3B" w:rsidP="00435377">
            <w:pPr>
              <w:jc w:val="center"/>
            </w:pPr>
            <w:r w:rsidRPr="008A7BB7">
              <w:t>$</w:t>
            </w:r>
            <w:r w:rsidR="006406C7">
              <w:t>16,400</w:t>
            </w:r>
          </w:p>
        </w:tc>
      </w:tr>
      <w:tr w:rsidR="00885A3B" w:rsidRPr="00A923E2" w14:paraId="04AAFA7B" w14:textId="77777777" w:rsidTr="00435377">
        <w:trPr>
          <w:trHeight w:val="418"/>
          <w:tblHeader/>
        </w:trPr>
        <w:tc>
          <w:tcPr>
            <w:tcW w:w="2717" w:type="dxa"/>
            <w:tcBorders>
              <w:top w:val="nil"/>
              <w:left w:val="single" w:sz="4" w:space="0" w:color="auto"/>
              <w:bottom w:val="single" w:sz="4" w:space="0" w:color="auto"/>
              <w:right w:val="single" w:sz="4" w:space="0" w:color="auto"/>
            </w:tcBorders>
            <w:shd w:val="clear" w:color="auto" w:fill="auto"/>
            <w:vAlign w:val="center"/>
          </w:tcPr>
          <w:p w14:paraId="76AF495E" w14:textId="77777777" w:rsidR="00885A3B" w:rsidRPr="00A923E2" w:rsidRDefault="00885A3B" w:rsidP="00435377">
            <w:r>
              <w:t>2 Hydrologists</w:t>
            </w:r>
            <w:r w:rsidRPr="00A923E2">
              <w:t xml:space="preserve"> (</w:t>
            </w:r>
            <w:r>
              <w:t>80</w:t>
            </w:r>
            <w:r w:rsidRPr="00A923E2">
              <w:t xml:space="preserve"> total annual hours each)</w:t>
            </w:r>
          </w:p>
        </w:tc>
        <w:tc>
          <w:tcPr>
            <w:tcW w:w="995" w:type="dxa"/>
            <w:tcBorders>
              <w:top w:val="nil"/>
              <w:left w:val="nil"/>
              <w:bottom w:val="single" w:sz="4" w:space="0" w:color="auto"/>
              <w:right w:val="single" w:sz="4" w:space="0" w:color="auto"/>
            </w:tcBorders>
            <w:shd w:val="clear" w:color="auto" w:fill="auto"/>
            <w:vAlign w:val="center"/>
          </w:tcPr>
          <w:p w14:paraId="3D9E8566" w14:textId="77777777" w:rsidR="00885A3B" w:rsidRPr="00A923E2" w:rsidRDefault="00885A3B" w:rsidP="00435377">
            <w:pPr>
              <w:jc w:val="center"/>
            </w:pPr>
            <w:r w:rsidRPr="00A923E2">
              <w:t>GS 1</w:t>
            </w:r>
            <w:r>
              <w:t>3</w:t>
            </w:r>
            <w:r w:rsidRPr="00A923E2">
              <w:t>/</w:t>
            </w:r>
            <w:r>
              <w:t>6</w:t>
            </w:r>
          </w:p>
        </w:tc>
        <w:tc>
          <w:tcPr>
            <w:tcW w:w="1284" w:type="dxa"/>
            <w:tcBorders>
              <w:top w:val="nil"/>
              <w:left w:val="nil"/>
              <w:bottom w:val="single" w:sz="4" w:space="0" w:color="auto"/>
              <w:right w:val="single" w:sz="4" w:space="0" w:color="auto"/>
            </w:tcBorders>
            <w:shd w:val="clear" w:color="auto" w:fill="auto"/>
            <w:vAlign w:val="center"/>
          </w:tcPr>
          <w:p w14:paraId="0570636A" w14:textId="27BFF141" w:rsidR="00885A3B" w:rsidRPr="00A923E2" w:rsidRDefault="00885A3B" w:rsidP="00435377">
            <w:pPr>
              <w:jc w:val="center"/>
            </w:pPr>
            <w:r w:rsidRPr="00A923E2">
              <w:t>$</w:t>
            </w:r>
            <w:r w:rsidR="009255EB">
              <w:t>54.</w:t>
            </w:r>
            <w:r w:rsidR="00C07A6E">
              <w:t>21</w:t>
            </w:r>
          </w:p>
        </w:tc>
        <w:tc>
          <w:tcPr>
            <w:tcW w:w="1409" w:type="dxa"/>
            <w:tcBorders>
              <w:top w:val="nil"/>
              <w:left w:val="nil"/>
              <w:bottom w:val="single" w:sz="4" w:space="0" w:color="auto"/>
              <w:right w:val="single" w:sz="4" w:space="0" w:color="auto"/>
            </w:tcBorders>
            <w:shd w:val="clear" w:color="auto" w:fill="auto"/>
            <w:vAlign w:val="center"/>
          </w:tcPr>
          <w:p w14:paraId="43A28651" w14:textId="77777777" w:rsidR="00885A3B" w:rsidRPr="00A923E2" w:rsidRDefault="00885A3B" w:rsidP="00435377">
            <w:pPr>
              <w:jc w:val="center"/>
            </w:pPr>
            <w:r>
              <w:t>160</w:t>
            </w:r>
          </w:p>
        </w:tc>
        <w:tc>
          <w:tcPr>
            <w:tcW w:w="1172" w:type="dxa"/>
            <w:tcBorders>
              <w:top w:val="nil"/>
              <w:left w:val="nil"/>
              <w:bottom w:val="single" w:sz="4" w:space="0" w:color="auto"/>
              <w:right w:val="single" w:sz="4" w:space="0" w:color="auto"/>
            </w:tcBorders>
            <w:shd w:val="clear" w:color="auto" w:fill="auto"/>
            <w:vAlign w:val="center"/>
          </w:tcPr>
          <w:p w14:paraId="4D079CBA" w14:textId="02198E49" w:rsidR="00885A3B" w:rsidRPr="00A923E2" w:rsidRDefault="00885A3B" w:rsidP="00435377">
            <w:pPr>
              <w:jc w:val="center"/>
            </w:pPr>
            <w:r w:rsidRPr="00A923E2">
              <w:t>$</w:t>
            </w:r>
            <w:r w:rsidR="00CE56F6">
              <w:t>86.74</w:t>
            </w:r>
          </w:p>
        </w:tc>
        <w:tc>
          <w:tcPr>
            <w:tcW w:w="1171" w:type="dxa"/>
            <w:tcBorders>
              <w:top w:val="nil"/>
              <w:left w:val="nil"/>
              <w:bottom w:val="single" w:sz="4" w:space="0" w:color="auto"/>
              <w:right w:val="single" w:sz="4" w:space="0" w:color="auto"/>
            </w:tcBorders>
            <w:shd w:val="clear" w:color="auto" w:fill="auto"/>
            <w:vAlign w:val="center"/>
          </w:tcPr>
          <w:p w14:paraId="38147A77" w14:textId="3623AA5C" w:rsidR="00885A3B" w:rsidRPr="00A923E2" w:rsidRDefault="00885A3B" w:rsidP="00435377">
            <w:pPr>
              <w:jc w:val="center"/>
            </w:pPr>
            <w:r w:rsidRPr="008A7BB7">
              <w:t>$</w:t>
            </w:r>
            <w:r w:rsidR="006406C7">
              <w:t>13,878</w:t>
            </w:r>
          </w:p>
        </w:tc>
      </w:tr>
      <w:tr w:rsidR="00885A3B" w:rsidRPr="00A923E2" w14:paraId="1EE860A7" w14:textId="77777777" w:rsidTr="00435377">
        <w:trPr>
          <w:trHeight w:val="580"/>
          <w:tblHeader/>
        </w:trPr>
        <w:tc>
          <w:tcPr>
            <w:tcW w:w="2717" w:type="dxa"/>
            <w:tcBorders>
              <w:top w:val="single" w:sz="4" w:space="0" w:color="auto"/>
              <w:left w:val="single" w:sz="4" w:space="0" w:color="auto"/>
              <w:bottom w:val="single" w:sz="4" w:space="0" w:color="auto"/>
              <w:right w:val="single" w:sz="4" w:space="0" w:color="auto"/>
            </w:tcBorders>
            <w:shd w:val="clear" w:color="auto" w:fill="auto"/>
            <w:vAlign w:val="center"/>
          </w:tcPr>
          <w:p w14:paraId="2E57EC98" w14:textId="4B27CDC6" w:rsidR="00885A3B" w:rsidRPr="00A923E2" w:rsidRDefault="00C07A6E" w:rsidP="00435377">
            <w:r>
              <w:t>4</w:t>
            </w:r>
            <w:r w:rsidR="00885A3B" w:rsidRPr="00A923E2">
              <w:t xml:space="preserve"> </w:t>
            </w:r>
            <w:r w:rsidR="00885A3B">
              <w:t>Hydrologist</w:t>
            </w:r>
            <w:r>
              <w:t>s</w:t>
            </w:r>
            <w:r w:rsidR="00885A3B" w:rsidRPr="00A923E2">
              <w:t xml:space="preserve">  </w:t>
            </w:r>
          </w:p>
        </w:tc>
        <w:tc>
          <w:tcPr>
            <w:tcW w:w="995" w:type="dxa"/>
            <w:tcBorders>
              <w:top w:val="single" w:sz="4" w:space="0" w:color="auto"/>
              <w:left w:val="nil"/>
              <w:bottom w:val="single" w:sz="4" w:space="0" w:color="auto"/>
              <w:right w:val="single" w:sz="4" w:space="0" w:color="auto"/>
            </w:tcBorders>
            <w:shd w:val="clear" w:color="auto" w:fill="auto"/>
            <w:vAlign w:val="center"/>
          </w:tcPr>
          <w:p w14:paraId="7E1C47A0" w14:textId="77777777" w:rsidR="00885A3B" w:rsidRPr="00A923E2" w:rsidRDefault="00885A3B" w:rsidP="00435377">
            <w:pPr>
              <w:jc w:val="center"/>
            </w:pPr>
            <w:r w:rsidRPr="00A923E2">
              <w:t>GS 1</w:t>
            </w:r>
            <w:r>
              <w:t>2</w:t>
            </w:r>
            <w:r w:rsidRPr="00A923E2">
              <w:t>/</w:t>
            </w:r>
            <w:r>
              <w:t>6</w:t>
            </w:r>
          </w:p>
        </w:tc>
        <w:tc>
          <w:tcPr>
            <w:tcW w:w="1284" w:type="dxa"/>
            <w:tcBorders>
              <w:top w:val="single" w:sz="4" w:space="0" w:color="auto"/>
              <w:left w:val="nil"/>
              <w:bottom w:val="single" w:sz="4" w:space="0" w:color="auto"/>
              <w:right w:val="single" w:sz="4" w:space="0" w:color="auto"/>
            </w:tcBorders>
            <w:shd w:val="clear" w:color="auto" w:fill="auto"/>
            <w:vAlign w:val="center"/>
          </w:tcPr>
          <w:p w14:paraId="1DF4BF1C" w14:textId="34439B93" w:rsidR="00885A3B" w:rsidRPr="00A923E2" w:rsidRDefault="00885A3B" w:rsidP="00435377">
            <w:pPr>
              <w:jc w:val="center"/>
            </w:pPr>
            <w:r w:rsidRPr="00A923E2">
              <w:t>$</w:t>
            </w:r>
            <w:r w:rsidR="008A7BB7">
              <w:t>45.</w:t>
            </w:r>
            <w:r w:rsidR="00C07A6E">
              <w:t>59</w:t>
            </w:r>
          </w:p>
        </w:tc>
        <w:tc>
          <w:tcPr>
            <w:tcW w:w="1409" w:type="dxa"/>
            <w:tcBorders>
              <w:top w:val="single" w:sz="4" w:space="0" w:color="auto"/>
              <w:left w:val="nil"/>
              <w:bottom w:val="single" w:sz="4" w:space="0" w:color="auto"/>
              <w:right w:val="single" w:sz="4" w:space="0" w:color="auto"/>
            </w:tcBorders>
            <w:shd w:val="clear" w:color="auto" w:fill="auto"/>
            <w:vAlign w:val="center"/>
          </w:tcPr>
          <w:p w14:paraId="515463EC" w14:textId="5AA483B0" w:rsidR="00885A3B" w:rsidRPr="00A923E2" w:rsidRDefault="00CE56F6" w:rsidP="00435377">
            <w:pPr>
              <w:jc w:val="center"/>
            </w:pPr>
            <w:r>
              <w:t>320</w:t>
            </w:r>
          </w:p>
        </w:tc>
        <w:tc>
          <w:tcPr>
            <w:tcW w:w="1172" w:type="dxa"/>
            <w:tcBorders>
              <w:top w:val="single" w:sz="4" w:space="0" w:color="auto"/>
              <w:left w:val="nil"/>
              <w:bottom w:val="single" w:sz="4" w:space="0" w:color="auto"/>
              <w:right w:val="single" w:sz="4" w:space="0" w:color="auto"/>
            </w:tcBorders>
            <w:shd w:val="clear" w:color="auto" w:fill="auto"/>
            <w:vAlign w:val="center"/>
          </w:tcPr>
          <w:p w14:paraId="2D8A2AE7" w14:textId="59329E0A" w:rsidR="00C07A6E" w:rsidRPr="00A923E2" w:rsidRDefault="00885A3B" w:rsidP="00C07A6E">
            <w:pPr>
              <w:jc w:val="center"/>
            </w:pPr>
            <w:r w:rsidRPr="00A923E2">
              <w:t>$</w:t>
            </w:r>
            <w:r w:rsidR="00C07A6E">
              <w:t>7</w:t>
            </w:r>
            <w:r w:rsidR="00CE56F6">
              <w:t>2.94</w:t>
            </w:r>
          </w:p>
        </w:tc>
        <w:tc>
          <w:tcPr>
            <w:tcW w:w="1171" w:type="dxa"/>
            <w:tcBorders>
              <w:top w:val="single" w:sz="4" w:space="0" w:color="auto"/>
              <w:left w:val="nil"/>
              <w:bottom w:val="single" w:sz="4" w:space="0" w:color="auto"/>
              <w:right w:val="single" w:sz="4" w:space="0" w:color="auto"/>
            </w:tcBorders>
            <w:shd w:val="clear" w:color="auto" w:fill="auto"/>
            <w:vAlign w:val="center"/>
          </w:tcPr>
          <w:p w14:paraId="289CB56A" w14:textId="4DC61F2F" w:rsidR="00885A3B" w:rsidRPr="00A923E2" w:rsidRDefault="00885A3B" w:rsidP="00435377">
            <w:pPr>
              <w:jc w:val="center"/>
            </w:pPr>
            <w:r w:rsidRPr="00A923E2">
              <w:t>$</w:t>
            </w:r>
            <w:r w:rsidR="006406C7">
              <w:t>23,341</w:t>
            </w:r>
          </w:p>
        </w:tc>
      </w:tr>
    </w:tbl>
    <w:p w14:paraId="6DC4B39E"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pPr w:leftFromText="180" w:rightFromText="180" w:vertAnchor="text" w:horzAnchor="margin" w:tblpXSpec="center" w:tblpY="85"/>
        <w:tblW w:w="8748" w:type="dxa"/>
        <w:tblLayout w:type="fixed"/>
        <w:tblLook w:val="0000" w:firstRow="0" w:lastRow="0" w:firstColumn="0" w:lastColumn="0" w:noHBand="0" w:noVBand="0"/>
      </w:tblPr>
      <w:tblGrid>
        <w:gridCol w:w="4945"/>
        <w:gridCol w:w="1460"/>
        <w:gridCol w:w="1172"/>
        <w:gridCol w:w="1171"/>
      </w:tblGrid>
      <w:tr w:rsidR="00242F81" w:rsidRPr="00247128" w14:paraId="5AB1AC06" w14:textId="77777777" w:rsidTr="00E21541">
        <w:trPr>
          <w:trHeight w:val="530"/>
          <w:tblHeader/>
        </w:trPr>
        <w:tc>
          <w:tcPr>
            <w:tcW w:w="87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2A0294" w14:textId="317350D0" w:rsidR="00242F81" w:rsidRPr="00E21541" w:rsidRDefault="00242F81" w:rsidP="00E21541">
            <w:pPr>
              <w:jc w:val="center"/>
            </w:pPr>
            <w:r w:rsidRPr="00E21541">
              <w:t>Other expenses to Federal Government</w:t>
            </w:r>
          </w:p>
        </w:tc>
      </w:tr>
      <w:tr w:rsidR="00242F81" w:rsidRPr="00247128" w14:paraId="1BCDE14F" w14:textId="77777777" w:rsidTr="00084B58">
        <w:trPr>
          <w:trHeight w:val="115"/>
          <w:tblHeader/>
        </w:trPr>
        <w:tc>
          <w:tcPr>
            <w:tcW w:w="75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214E39" w14:textId="77777777" w:rsidR="00242F81" w:rsidRPr="00247128" w:rsidRDefault="00242F81" w:rsidP="00084B58">
            <w:r w:rsidRPr="00247128">
              <w:t xml:space="preserve">           Travel and per diem for Review Panel (Fed only)</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1C2DE10" w14:textId="77777777" w:rsidR="00242F81" w:rsidRPr="00247128" w:rsidRDefault="00242F81" w:rsidP="00084B58">
            <w:pPr>
              <w:jc w:val="center"/>
            </w:pPr>
            <w:r>
              <w:t>$</w:t>
            </w:r>
            <w:r w:rsidRPr="00247128">
              <w:t>20,000</w:t>
            </w:r>
          </w:p>
        </w:tc>
      </w:tr>
      <w:tr w:rsidR="00242F81" w:rsidRPr="00247128" w14:paraId="5AC231A2" w14:textId="77777777" w:rsidTr="00E21541">
        <w:trPr>
          <w:trHeight w:val="458"/>
          <w:tblHeader/>
        </w:trPr>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14:paraId="461974D4" w14:textId="77777777" w:rsidR="00242F81" w:rsidRPr="00F67D6B" w:rsidRDefault="00242F81" w:rsidP="00084B58">
            <w:pPr>
              <w:rPr>
                <w:b/>
              </w:rPr>
            </w:pPr>
            <w:r w:rsidRPr="00F67D6B">
              <w:rPr>
                <w:b/>
              </w:rPr>
              <w:t>Total Federal Government Cost</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44950D7" w14:textId="02EE9511" w:rsidR="00242F81" w:rsidRPr="00F67D6B" w:rsidRDefault="00242F81" w:rsidP="00E21541">
            <w:pPr>
              <w:jc w:val="center"/>
              <w:rPr>
                <w:b/>
              </w:rPr>
            </w:pPr>
            <w:r w:rsidRPr="00E21541">
              <w:t>2322</w:t>
            </w:r>
          </w:p>
        </w:tc>
        <w:tc>
          <w:tcPr>
            <w:tcW w:w="1172" w:type="dxa"/>
            <w:tcBorders>
              <w:top w:val="single" w:sz="4" w:space="0" w:color="auto"/>
              <w:left w:val="nil"/>
              <w:bottom w:val="single" w:sz="4" w:space="0" w:color="auto"/>
              <w:right w:val="single" w:sz="4" w:space="0" w:color="auto"/>
            </w:tcBorders>
            <w:shd w:val="clear" w:color="auto" w:fill="auto"/>
            <w:vAlign w:val="center"/>
          </w:tcPr>
          <w:p w14:paraId="4BAF2A56" w14:textId="77777777" w:rsidR="00242F81" w:rsidRPr="00247128" w:rsidRDefault="00242F81" w:rsidP="00084B58">
            <w:pPr>
              <w:jc w:val="center"/>
            </w:pPr>
          </w:p>
        </w:tc>
        <w:tc>
          <w:tcPr>
            <w:tcW w:w="1171" w:type="dxa"/>
            <w:tcBorders>
              <w:top w:val="single" w:sz="4" w:space="0" w:color="auto"/>
              <w:left w:val="nil"/>
              <w:bottom w:val="single" w:sz="4" w:space="0" w:color="auto"/>
              <w:right w:val="single" w:sz="4" w:space="0" w:color="auto"/>
            </w:tcBorders>
            <w:shd w:val="clear" w:color="auto" w:fill="auto"/>
            <w:vAlign w:val="center"/>
          </w:tcPr>
          <w:p w14:paraId="19F8041B" w14:textId="77777777" w:rsidR="00242F81" w:rsidRPr="00247128" w:rsidRDefault="00242F81" w:rsidP="00084B58">
            <w:pPr>
              <w:jc w:val="center"/>
              <w:rPr>
                <w:b/>
              </w:rPr>
            </w:pPr>
            <w:r w:rsidRPr="00247128">
              <w:rPr>
                <w:b/>
              </w:rPr>
              <w:t>$213,050</w:t>
            </w:r>
          </w:p>
        </w:tc>
      </w:tr>
    </w:tbl>
    <w:p w14:paraId="2E2B97AE" w14:textId="531BC8A9"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BEDCFB0" w14:textId="77777777" w:rsidR="00973083" w:rsidRDefault="00973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727C71" w14:textId="6E5BAD94" w:rsidR="004B277C" w:rsidRDefault="004B277C" w:rsidP="004B277C">
      <w:pPr>
        <w:ind w:left="360"/>
        <w:rPr>
          <w:sz w:val="22"/>
          <w:szCs w:val="22"/>
        </w:rPr>
      </w:pPr>
      <w:r w:rsidRPr="004B277C">
        <w:rPr>
          <w:sz w:val="22"/>
          <w:szCs w:val="22"/>
        </w:rPr>
        <w:t xml:space="preserve">Overall, the total hours and cost burden </w:t>
      </w:r>
      <w:r w:rsidR="00DB26E1">
        <w:rPr>
          <w:sz w:val="22"/>
          <w:szCs w:val="22"/>
        </w:rPr>
        <w:t>are anticipated to decline for the program.</w:t>
      </w:r>
      <w:r w:rsidRPr="004B277C">
        <w:rPr>
          <w:sz w:val="22"/>
          <w:szCs w:val="22"/>
        </w:rPr>
        <w:t xml:space="preserve"> </w:t>
      </w:r>
    </w:p>
    <w:p w14:paraId="496B1428" w14:textId="77777777" w:rsidR="004B277C" w:rsidRDefault="004B277C" w:rsidP="004B277C">
      <w:pPr>
        <w:ind w:left="360"/>
        <w:rPr>
          <w:sz w:val="22"/>
          <w:szCs w:val="22"/>
        </w:rPr>
      </w:pPr>
    </w:p>
    <w:p w14:paraId="3AB60558" w14:textId="634687D9" w:rsidR="004B277C" w:rsidRPr="004B277C" w:rsidRDefault="00391E94" w:rsidP="004B277C">
      <w:pPr>
        <w:ind w:left="360"/>
        <w:rPr>
          <w:b/>
          <w:i/>
          <w:sz w:val="24"/>
          <w:szCs w:val="22"/>
        </w:rPr>
      </w:pPr>
      <w:r>
        <w:rPr>
          <w:b/>
          <w:i/>
          <w:sz w:val="22"/>
        </w:rPr>
        <w:t>State Water Resource Agencies</w:t>
      </w:r>
      <w:r w:rsidR="004B277C" w:rsidRPr="004B277C">
        <w:rPr>
          <w:b/>
          <w:i/>
          <w:sz w:val="22"/>
        </w:rPr>
        <w:t xml:space="preserve"> - reads instructions</w:t>
      </w:r>
      <w:r w:rsidR="004B277C">
        <w:rPr>
          <w:b/>
          <w:i/>
          <w:sz w:val="22"/>
        </w:rPr>
        <w:t xml:space="preserve">: </w:t>
      </w:r>
      <w:r w:rsidR="004B277C" w:rsidRPr="004B277C">
        <w:rPr>
          <w:sz w:val="22"/>
        </w:rPr>
        <w:t>We anticipate that the number of State Water Resource Agencies that read the instructions will decline from 52 to 30 because some states</w:t>
      </w:r>
      <w:r w:rsidR="00640355">
        <w:rPr>
          <w:sz w:val="22"/>
        </w:rPr>
        <w:t>:</w:t>
      </w:r>
      <w:r w:rsidR="004B277C" w:rsidRPr="004B277C">
        <w:rPr>
          <w:sz w:val="22"/>
        </w:rPr>
        <w:t xml:space="preserve"> a) </w:t>
      </w:r>
      <w:r w:rsidR="008757BA">
        <w:rPr>
          <w:sz w:val="22"/>
        </w:rPr>
        <w:t>already have been awarded grants that they are currently working on</w:t>
      </w:r>
      <w:r w:rsidR="004B277C" w:rsidRPr="004B277C">
        <w:rPr>
          <w:sz w:val="22"/>
        </w:rPr>
        <w:t xml:space="preserve">, </w:t>
      </w:r>
      <w:r w:rsidR="004B277C">
        <w:rPr>
          <w:sz w:val="22"/>
        </w:rPr>
        <w:t xml:space="preserve">b) do not have the staff resources to compete in the grant, or </w:t>
      </w:r>
      <w:r w:rsidR="00CE56F6">
        <w:rPr>
          <w:sz w:val="22"/>
        </w:rPr>
        <w:t>c</w:t>
      </w:r>
      <w:r w:rsidR="004B277C">
        <w:rPr>
          <w:sz w:val="22"/>
        </w:rPr>
        <w:t xml:space="preserve">) have reached or are close to reaching the </w:t>
      </w:r>
      <w:r w:rsidR="00080562">
        <w:rPr>
          <w:sz w:val="22"/>
        </w:rPr>
        <w:t>maximum funding available to them through the financial assistance program</w:t>
      </w:r>
      <w:r w:rsidR="000A36A8">
        <w:rPr>
          <w:sz w:val="22"/>
        </w:rPr>
        <w:t xml:space="preserve"> and they are no longer participating</w:t>
      </w:r>
      <w:r w:rsidR="004B277C">
        <w:rPr>
          <w:sz w:val="22"/>
        </w:rPr>
        <w:t xml:space="preserve">.  </w:t>
      </w:r>
      <w:r w:rsidR="00DB26E1">
        <w:rPr>
          <w:sz w:val="22"/>
        </w:rPr>
        <w:t>This will decrease the burden hours from 52 to 30 hours.</w:t>
      </w:r>
    </w:p>
    <w:p w14:paraId="73F7E0A6" w14:textId="77777777" w:rsidR="004B277C" w:rsidRPr="00AA0EF1" w:rsidRDefault="004B277C" w:rsidP="004B277C">
      <w:pPr>
        <w:ind w:left="360"/>
        <w:rPr>
          <w:sz w:val="22"/>
          <w:szCs w:val="22"/>
        </w:rPr>
      </w:pPr>
    </w:p>
    <w:p w14:paraId="07723ECA" w14:textId="186F3CFC" w:rsidR="004B277C" w:rsidRPr="00AA0EF1" w:rsidRDefault="004B277C" w:rsidP="004B277C">
      <w:pPr>
        <w:ind w:left="360"/>
        <w:rPr>
          <w:sz w:val="22"/>
          <w:szCs w:val="22"/>
        </w:rPr>
      </w:pPr>
      <w:r>
        <w:rPr>
          <w:b/>
          <w:i/>
          <w:sz w:val="22"/>
          <w:szCs w:val="22"/>
        </w:rPr>
        <w:t>Proposal</w:t>
      </w:r>
      <w:r w:rsidRPr="00AA0EF1">
        <w:rPr>
          <w:b/>
          <w:i/>
          <w:sz w:val="22"/>
          <w:szCs w:val="22"/>
        </w:rPr>
        <w:t xml:space="preserve"> Preparation</w:t>
      </w:r>
      <w:r w:rsidRPr="00AA0EF1">
        <w:rPr>
          <w:sz w:val="22"/>
          <w:szCs w:val="22"/>
        </w:rPr>
        <w:t xml:space="preserve">: We anticipate that </w:t>
      </w:r>
      <w:r w:rsidR="008D03DB">
        <w:rPr>
          <w:sz w:val="22"/>
          <w:szCs w:val="22"/>
        </w:rPr>
        <w:t>the number of states that complete the application will decrease from 52 to 14.  In fiscal year 2015, funding was distributed to State Water-Resource Agencies non-competitively</w:t>
      </w:r>
      <w:r w:rsidR="00DB26E1">
        <w:rPr>
          <w:sz w:val="22"/>
          <w:szCs w:val="22"/>
        </w:rPr>
        <w:t xml:space="preserve"> and most of the States have applied for this grant</w:t>
      </w:r>
      <w:r w:rsidR="008D03DB">
        <w:rPr>
          <w:sz w:val="22"/>
          <w:szCs w:val="22"/>
        </w:rPr>
        <w:t>.  In fiscal year 2016 and subsequent years, funding has been distributed under a competiti</w:t>
      </w:r>
      <w:r w:rsidR="009852E2">
        <w:rPr>
          <w:sz w:val="22"/>
          <w:szCs w:val="22"/>
        </w:rPr>
        <w:t xml:space="preserve">ve proposal process and </w:t>
      </w:r>
      <w:r w:rsidR="00DB26E1">
        <w:rPr>
          <w:sz w:val="22"/>
          <w:szCs w:val="22"/>
        </w:rPr>
        <w:t>the number of</w:t>
      </w:r>
      <w:r w:rsidR="009852E2">
        <w:rPr>
          <w:sz w:val="22"/>
          <w:szCs w:val="22"/>
        </w:rPr>
        <w:t xml:space="preserve"> states </w:t>
      </w:r>
      <w:r w:rsidR="00DB26E1">
        <w:rPr>
          <w:sz w:val="22"/>
          <w:szCs w:val="22"/>
        </w:rPr>
        <w:t>that have applied each year has declined.  The average of the last two years was 13 applications.  This will decrease the burden hours from 2,028 hours to 560 hours.</w:t>
      </w:r>
    </w:p>
    <w:p w14:paraId="44DF6FDF" w14:textId="77777777" w:rsidR="004B277C" w:rsidRPr="00AA0EF1" w:rsidRDefault="004B277C" w:rsidP="004B277C">
      <w:pPr>
        <w:ind w:left="360"/>
        <w:rPr>
          <w:sz w:val="22"/>
          <w:szCs w:val="22"/>
        </w:rPr>
      </w:pPr>
    </w:p>
    <w:p w14:paraId="4AD3A975" w14:textId="7C0DE786" w:rsidR="004B277C" w:rsidRDefault="004B277C" w:rsidP="004B277C">
      <w:pPr>
        <w:ind w:left="360"/>
        <w:rPr>
          <w:i/>
          <w:sz w:val="22"/>
          <w:szCs w:val="22"/>
        </w:rPr>
      </w:pPr>
      <w:r>
        <w:rPr>
          <w:b/>
          <w:i/>
          <w:sz w:val="22"/>
          <w:szCs w:val="22"/>
        </w:rPr>
        <w:t xml:space="preserve">Semi-annual Progress </w:t>
      </w:r>
      <w:r w:rsidR="008757BA">
        <w:rPr>
          <w:b/>
          <w:i/>
          <w:sz w:val="22"/>
          <w:szCs w:val="22"/>
        </w:rPr>
        <w:t xml:space="preserve">Reports: </w:t>
      </w:r>
      <w:r>
        <w:rPr>
          <w:sz w:val="22"/>
          <w:szCs w:val="22"/>
        </w:rPr>
        <w:t>We</w:t>
      </w:r>
      <w:r w:rsidRPr="00AA0EF1">
        <w:rPr>
          <w:sz w:val="22"/>
          <w:szCs w:val="22"/>
        </w:rPr>
        <w:t xml:space="preserve"> anticipate awarding an averag</w:t>
      </w:r>
      <w:r>
        <w:rPr>
          <w:sz w:val="22"/>
          <w:szCs w:val="22"/>
        </w:rPr>
        <w:t xml:space="preserve">e of 12 grants per </w:t>
      </w:r>
      <w:r w:rsidR="008757BA">
        <w:rPr>
          <w:sz w:val="22"/>
          <w:szCs w:val="22"/>
        </w:rPr>
        <w:t xml:space="preserve">year (based on the last two years), a decrease from 15 grants per year. </w:t>
      </w:r>
      <w:r>
        <w:rPr>
          <w:sz w:val="22"/>
          <w:szCs w:val="22"/>
        </w:rPr>
        <w:t xml:space="preserve"> </w:t>
      </w:r>
      <w:r w:rsidR="008757BA">
        <w:rPr>
          <w:sz w:val="22"/>
          <w:szCs w:val="22"/>
        </w:rPr>
        <w:t xml:space="preserve">The burden hours </w:t>
      </w:r>
      <w:r w:rsidR="00076E84">
        <w:rPr>
          <w:sz w:val="22"/>
          <w:szCs w:val="22"/>
        </w:rPr>
        <w:t>have</w:t>
      </w:r>
      <w:r w:rsidR="008757BA">
        <w:rPr>
          <w:sz w:val="22"/>
          <w:szCs w:val="22"/>
        </w:rPr>
        <w:t xml:space="preserve"> slightly increased from 60 hours to 96 hours.  As many states are choosing a 2-year grant, </w:t>
      </w:r>
      <w:r w:rsidR="00CE56F6" w:rsidRPr="00CE56F6">
        <w:rPr>
          <w:sz w:val="22"/>
        </w:rPr>
        <w:t>and because progress reports are required every 6 months, more reports will be provided cumulatively over the extent of the agreements.</w:t>
      </w:r>
    </w:p>
    <w:p w14:paraId="3518D97A" w14:textId="77777777" w:rsidR="004B277C" w:rsidRPr="003541C5" w:rsidRDefault="004B277C" w:rsidP="004B277C">
      <w:pPr>
        <w:ind w:left="360"/>
        <w:rPr>
          <w:sz w:val="22"/>
          <w:szCs w:val="22"/>
        </w:rPr>
      </w:pPr>
    </w:p>
    <w:p w14:paraId="155BED59" w14:textId="723ACCF6" w:rsidR="004B277C" w:rsidRPr="00A923E2" w:rsidRDefault="008757BA" w:rsidP="004B277C">
      <w:pPr>
        <w:ind w:left="360"/>
        <w:rPr>
          <w:sz w:val="22"/>
          <w:szCs w:val="22"/>
        </w:rPr>
      </w:pPr>
      <w:r w:rsidRPr="00AA0EF1">
        <w:rPr>
          <w:b/>
          <w:i/>
          <w:sz w:val="22"/>
          <w:szCs w:val="22"/>
        </w:rPr>
        <w:t>Final Report:</w:t>
      </w:r>
      <w:r>
        <w:rPr>
          <w:sz w:val="22"/>
          <w:szCs w:val="22"/>
        </w:rPr>
        <w:t xml:space="preserve"> Similar to the progress reports, we anticipate awarding an average of 12 grants per year based on the </w:t>
      </w:r>
      <w:r w:rsidR="00640355">
        <w:rPr>
          <w:sz w:val="22"/>
          <w:szCs w:val="22"/>
        </w:rPr>
        <w:t xml:space="preserve">average of </w:t>
      </w:r>
      <w:r>
        <w:rPr>
          <w:sz w:val="22"/>
          <w:szCs w:val="22"/>
        </w:rPr>
        <w:t>grants awarded</w:t>
      </w:r>
      <w:r w:rsidR="00640355">
        <w:rPr>
          <w:sz w:val="22"/>
          <w:szCs w:val="22"/>
        </w:rPr>
        <w:t xml:space="preserve"> in the past two years</w:t>
      </w:r>
      <w:r>
        <w:rPr>
          <w:sz w:val="22"/>
          <w:szCs w:val="22"/>
        </w:rPr>
        <w:t xml:space="preserve">.  This is a decline from 15 grants per year estimated in 2016.  </w:t>
      </w:r>
      <w:r w:rsidR="004B277C" w:rsidRPr="00AA0EF1">
        <w:rPr>
          <w:sz w:val="22"/>
          <w:szCs w:val="22"/>
        </w:rPr>
        <w:t>We estimate that the total burden for this col</w:t>
      </w:r>
      <w:r w:rsidR="004B277C">
        <w:rPr>
          <w:sz w:val="22"/>
          <w:szCs w:val="22"/>
        </w:rPr>
        <w:t xml:space="preserve">lection will </w:t>
      </w:r>
      <w:r w:rsidR="00640355">
        <w:rPr>
          <w:sz w:val="22"/>
          <w:szCs w:val="22"/>
        </w:rPr>
        <w:t>increase (</w:t>
      </w:r>
      <w:r>
        <w:rPr>
          <w:sz w:val="22"/>
          <w:szCs w:val="22"/>
        </w:rPr>
        <w:t>288</w:t>
      </w:r>
      <w:r w:rsidR="00640355">
        <w:rPr>
          <w:sz w:val="22"/>
          <w:szCs w:val="22"/>
        </w:rPr>
        <w:t xml:space="preserve"> hours instead of 120 hours).  The final report burden has increased based on outreach with state agency representatives described in item 8.  As the program has developed in the last 3 years, the</w:t>
      </w:r>
      <w:r w:rsidR="000B2B98">
        <w:rPr>
          <w:sz w:val="22"/>
          <w:szCs w:val="22"/>
        </w:rPr>
        <w:t xml:space="preserve"> time burden for the final report has increased slightly because: 1) there is a better understanding of the time needed for the final report and 2) the final report has developed to assure consistency with the objectives of the program</w:t>
      </w:r>
      <w:r w:rsidR="00CE56F6">
        <w:rPr>
          <w:sz w:val="22"/>
          <w:szCs w:val="22"/>
        </w:rPr>
        <w:t>.</w:t>
      </w:r>
    </w:p>
    <w:p w14:paraId="02AD2283" w14:textId="77777777" w:rsidR="004B277C" w:rsidRPr="00A923E2" w:rsidRDefault="004B277C" w:rsidP="004B277C">
      <w:pPr>
        <w:ind w:left="360"/>
        <w:rPr>
          <w:sz w:val="22"/>
        </w:rPr>
      </w:pPr>
    </w:p>
    <w:p w14:paraId="3CB44A32" w14:textId="781FB549" w:rsidR="00082C1C" w:rsidRDefault="000B2B98" w:rsidP="004B27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2"/>
          <w:szCs w:val="22"/>
        </w:rPr>
        <w:t xml:space="preserve">The </w:t>
      </w:r>
      <w:r w:rsidR="002A4B97">
        <w:rPr>
          <w:sz w:val="22"/>
          <w:szCs w:val="22"/>
        </w:rPr>
        <w:t xml:space="preserve">public </w:t>
      </w:r>
      <w:r>
        <w:rPr>
          <w:sz w:val="22"/>
          <w:szCs w:val="22"/>
        </w:rPr>
        <w:t>burde</w:t>
      </w:r>
      <w:r w:rsidR="006C0D15">
        <w:rPr>
          <w:sz w:val="22"/>
          <w:szCs w:val="22"/>
        </w:rPr>
        <w:t>n hours have declined from 2,260</w:t>
      </w:r>
      <w:r>
        <w:rPr>
          <w:sz w:val="22"/>
          <w:szCs w:val="22"/>
        </w:rPr>
        <w:t xml:space="preserve"> hours to 974 hours and the anticipated burden costs have declined from $100,931 to $47,911.</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6707850" w14:textId="7D36FC81"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81EE7A" w14:textId="1F45E3C4" w:rsidR="000B2B98" w:rsidRDefault="00122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2"/>
          <w:szCs w:val="22"/>
        </w:rPr>
        <w:t>This is information collection without an ending date.  No statistical analysis, tabulation, or publication is planned for this information.</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0B0E5DD3" w:rsidR="00082C1C" w:rsidRPr="00681134" w:rsidRDefault="006811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4"/>
        </w:rPr>
      </w:pPr>
      <w:r w:rsidRPr="00681134">
        <w:rPr>
          <w:sz w:val="22"/>
          <w:szCs w:val="24"/>
        </w:rPr>
        <w:t>The expiration date is being displayed, so no exception is requested.</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1B61D216" w:rsidR="00082C1C" w:rsidRPr="00681134" w:rsidRDefault="006811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4"/>
        </w:rPr>
      </w:pPr>
      <w:r w:rsidRPr="00681134">
        <w:rPr>
          <w:sz w:val="22"/>
          <w:szCs w:val="24"/>
        </w:rPr>
        <w:t>No exceptions to the certification are being made.</w:t>
      </w: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FDE1C" w16cid:durableId="2039FED0"/>
  <w16cid:commentId w16cid:paraId="58331883" w16cid:durableId="2039F41C"/>
  <w16cid:commentId w16cid:paraId="05DB792D" w16cid:durableId="2039FB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D8FB2" w14:textId="77777777" w:rsidR="007650AE" w:rsidRDefault="007650AE" w:rsidP="00082C1C">
      <w:r>
        <w:separator/>
      </w:r>
    </w:p>
  </w:endnote>
  <w:endnote w:type="continuationSeparator" w:id="0">
    <w:p w14:paraId="6F76D1E8" w14:textId="77777777" w:rsidR="007650AE" w:rsidRDefault="007650AE"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D9EE" w14:textId="77777777" w:rsidR="00082C1C" w:rsidRPr="008813D5" w:rsidRDefault="00082C1C" w:rsidP="008813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045D" w14:textId="037EB8FB" w:rsidR="00082C1C" w:rsidRPr="008813D5" w:rsidRDefault="00082C1C" w:rsidP="008813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6D218" w14:textId="77777777" w:rsidR="008813D5" w:rsidRDefault="00881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933B5" w14:textId="77777777" w:rsidR="007650AE" w:rsidRDefault="007650AE" w:rsidP="00082C1C">
      <w:r>
        <w:separator/>
      </w:r>
    </w:p>
  </w:footnote>
  <w:footnote w:type="continuationSeparator" w:id="0">
    <w:p w14:paraId="67AFFAF1" w14:textId="77777777" w:rsidR="007650AE" w:rsidRDefault="007650AE"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CC62C" w14:textId="77777777" w:rsidR="008813D5" w:rsidRDefault="008813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A5290" w14:textId="77777777" w:rsidR="008813D5" w:rsidRDefault="008813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BF93" w14:textId="77777777" w:rsidR="008813D5" w:rsidRDefault="008813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7F3BE2"/>
    <w:multiLevelType w:val="hybridMultilevel"/>
    <w:tmpl w:val="03DC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389B"/>
    <w:rsid w:val="00006352"/>
    <w:rsid w:val="000257C8"/>
    <w:rsid w:val="00026233"/>
    <w:rsid w:val="000306D2"/>
    <w:rsid w:val="00041901"/>
    <w:rsid w:val="00066BC6"/>
    <w:rsid w:val="00076E84"/>
    <w:rsid w:val="00080562"/>
    <w:rsid w:val="00082C1C"/>
    <w:rsid w:val="00097475"/>
    <w:rsid w:val="000A36A8"/>
    <w:rsid w:val="000B2B98"/>
    <w:rsid w:val="000D36AF"/>
    <w:rsid w:val="000F1C17"/>
    <w:rsid w:val="000F3AF1"/>
    <w:rsid w:val="001162E0"/>
    <w:rsid w:val="00122484"/>
    <w:rsid w:val="00134344"/>
    <w:rsid w:val="00162B02"/>
    <w:rsid w:val="00170564"/>
    <w:rsid w:val="00175D06"/>
    <w:rsid w:val="001F7E40"/>
    <w:rsid w:val="002372C1"/>
    <w:rsid w:val="00242F81"/>
    <w:rsid w:val="002448BD"/>
    <w:rsid w:val="00247128"/>
    <w:rsid w:val="00251CD9"/>
    <w:rsid w:val="00265C98"/>
    <w:rsid w:val="00271D08"/>
    <w:rsid w:val="00295103"/>
    <w:rsid w:val="002A2305"/>
    <w:rsid w:val="002A4B97"/>
    <w:rsid w:val="003118AD"/>
    <w:rsid w:val="00344EA1"/>
    <w:rsid w:val="00352210"/>
    <w:rsid w:val="0036361C"/>
    <w:rsid w:val="00376477"/>
    <w:rsid w:val="00391E94"/>
    <w:rsid w:val="003952E5"/>
    <w:rsid w:val="003962DF"/>
    <w:rsid w:val="003C3292"/>
    <w:rsid w:val="003F4961"/>
    <w:rsid w:val="00453654"/>
    <w:rsid w:val="0047006E"/>
    <w:rsid w:val="00477A7A"/>
    <w:rsid w:val="004A6DFA"/>
    <w:rsid w:val="004B277C"/>
    <w:rsid w:val="004C5EAF"/>
    <w:rsid w:val="004D5BCF"/>
    <w:rsid w:val="00525467"/>
    <w:rsid w:val="0055748B"/>
    <w:rsid w:val="005809EC"/>
    <w:rsid w:val="00582DE5"/>
    <w:rsid w:val="005B13E9"/>
    <w:rsid w:val="005D2401"/>
    <w:rsid w:val="005D39A7"/>
    <w:rsid w:val="005E0031"/>
    <w:rsid w:val="005E202F"/>
    <w:rsid w:val="0060758B"/>
    <w:rsid w:val="00611488"/>
    <w:rsid w:val="00613F13"/>
    <w:rsid w:val="00630354"/>
    <w:rsid w:val="00631E9F"/>
    <w:rsid w:val="00634AA9"/>
    <w:rsid w:val="00640355"/>
    <w:rsid w:val="006406C7"/>
    <w:rsid w:val="006434A5"/>
    <w:rsid w:val="00661045"/>
    <w:rsid w:val="00681134"/>
    <w:rsid w:val="0069546D"/>
    <w:rsid w:val="006A654E"/>
    <w:rsid w:val="006B7F77"/>
    <w:rsid w:val="006C0D15"/>
    <w:rsid w:val="006E339F"/>
    <w:rsid w:val="006F302D"/>
    <w:rsid w:val="00701C0C"/>
    <w:rsid w:val="007058F8"/>
    <w:rsid w:val="00732896"/>
    <w:rsid w:val="007359FE"/>
    <w:rsid w:val="00737CB7"/>
    <w:rsid w:val="00740AF4"/>
    <w:rsid w:val="00744B32"/>
    <w:rsid w:val="007650AE"/>
    <w:rsid w:val="007851E9"/>
    <w:rsid w:val="00792D1E"/>
    <w:rsid w:val="007A0079"/>
    <w:rsid w:val="007B7DCF"/>
    <w:rsid w:val="007D38CA"/>
    <w:rsid w:val="007E21B5"/>
    <w:rsid w:val="00805002"/>
    <w:rsid w:val="0081259F"/>
    <w:rsid w:val="008139D5"/>
    <w:rsid w:val="00814FB6"/>
    <w:rsid w:val="008312C7"/>
    <w:rsid w:val="00845AF1"/>
    <w:rsid w:val="00855A59"/>
    <w:rsid w:val="008757BA"/>
    <w:rsid w:val="008813D5"/>
    <w:rsid w:val="00885A3B"/>
    <w:rsid w:val="008A7BB7"/>
    <w:rsid w:val="008B4417"/>
    <w:rsid w:val="008B6969"/>
    <w:rsid w:val="008D03DB"/>
    <w:rsid w:val="008D6497"/>
    <w:rsid w:val="00901CDF"/>
    <w:rsid w:val="009153BA"/>
    <w:rsid w:val="009255EB"/>
    <w:rsid w:val="00933006"/>
    <w:rsid w:val="00944C21"/>
    <w:rsid w:val="00973083"/>
    <w:rsid w:val="009852E2"/>
    <w:rsid w:val="009B359F"/>
    <w:rsid w:val="009D2194"/>
    <w:rsid w:val="00A11128"/>
    <w:rsid w:val="00A56524"/>
    <w:rsid w:val="00A9089C"/>
    <w:rsid w:val="00A94C72"/>
    <w:rsid w:val="00AA0C16"/>
    <w:rsid w:val="00AB24E1"/>
    <w:rsid w:val="00AC1A6E"/>
    <w:rsid w:val="00AD7A7A"/>
    <w:rsid w:val="00AE0C69"/>
    <w:rsid w:val="00B9052C"/>
    <w:rsid w:val="00B9425D"/>
    <w:rsid w:val="00B96A8F"/>
    <w:rsid w:val="00BE0F05"/>
    <w:rsid w:val="00C06B0E"/>
    <w:rsid w:val="00C07A6E"/>
    <w:rsid w:val="00C20645"/>
    <w:rsid w:val="00C35DF8"/>
    <w:rsid w:val="00CA0DE6"/>
    <w:rsid w:val="00CA378C"/>
    <w:rsid w:val="00CD1C7D"/>
    <w:rsid w:val="00CD6020"/>
    <w:rsid w:val="00CE56F6"/>
    <w:rsid w:val="00D03D87"/>
    <w:rsid w:val="00D366E8"/>
    <w:rsid w:val="00D44E3A"/>
    <w:rsid w:val="00D55D8F"/>
    <w:rsid w:val="00DB26E1"/>
    <w:rsid w:val="00DD6C8F"/>
    <w:rsid w:val="00DE1FFE"/>
    <w:rsid w:val="00DE5FE6"/>
    <w:rsid w:val="00DE7630"/>
    <w:rsid w:val="00E21541"/>
    <w:rsid w:val="00E23D4A"/>
    <w:rsid w:val="00E6013B"/>
    <w:rsid w:val="00E90DD8"/>
    <w:rsid w:val="00ED03CE"/>
    <w:rsid w:val="00ED16B4"/>
    <w:rsid w:val="00EE28A1"/>
    <w:rsid w:val="00F25831"/>
    <w:rsid w:val="00F31455"/>
    <w:rsid w:val="00F43BDC"/>
    <w:rsid w:val="00F45D4E"/>
    <w:rsid w:val="00F73931"/>
    <w:rsid w:val="00F77A49"/>
    <w:rsid w:val="00F8295D"/>
    <w:rsid w:val="00F836AC"/>
    <w:rsid w:val="00FD3C44"/>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64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6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917">
      <w:bodyDiv w:val="1"/>
      <w:marLeft w:val="0"/>
      <w:marRight w:val="0"/>
      <w:marTop w:val="0"/>
      <w:marBottom w:val="0"/>
      <w:divBdr>
        <w:top w:val="none" w:sz="0" w:space="0" w:color="auto"/>
        <w:left w:val="none" w:sz="0" w:space="0" w:color="auto"/>
        <w:bottom w:val="none" w:sz="0" w:space="0" w:color="auto"/>
        <w:right w:val="none" w:sz="0" w:space="0" w:color="auto"/>
      </w:divBdr>
    </w:div>
    <w:div w:id="115872613">
      <w:bodyDiv w:val="1"/>
      <w:marLeft w:val="0"/>
      <w:marRight w:val="0"/>
      <w:marTop w:val="0"/>
      <w:marBottom w:val="0"/>
      <w:divBdr>
        <w:top w:val="none" w:sz="0" w:space="0" w:color="auto"/>
        <w:left w:val="none" w:sz="0" w:space="0" w:color="auto"/>
        <w:bottom w:val="none" w:sz="0" w:space="0" w:color="auto"/>
        <w:right w:val="none" w:sz="0" w:space="0" w:color="auto"/>
      </w:divBdr>
    </w:div>
    <w:div w:id="446392273">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289754">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407917783">
      <w:bodyDiv w:val="1"/>
      <w:marLeft w:val="0"/>
      <w:marRight w:val="0"/>
      <w:marTop w:val="0"/>
      <w:marBottom w:val="0"/>
      <w:divBdr>
        <w:top w:val="none" w:sz="0" w:space="0" w:color="auto"/>
        <w:left w:val="none" w:sz="0" w:space="0" w:color="auto"/>
        <w:bottom w:val="none" w:sz="0" w:space="0" w:color="auto"/>
        <w:right w:val="none" w:sz="0" w:space="0" w:color="auto"/>
      </w:divBdr>
    </w:div>
    <w:div w:id="146973865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850560756">
      <w:bodyDiv w:val="1"/>
      <w:marLeft w:val="0"/>
      <w:marRight w:val="0"/>
      <w:marTop w:val="0"/>
      <w:marBottom w:val="0"/>
      <w:divBdr>
        <w:top w:val="none" w:sz="0" w:space="0" w:color="auto"/>
        <w:left w:val="none" w:sz="0" w:space="0" w:color="auto"/>
        <w:bottom w:val="none" w:sz="0" w:space="0" w:color="auto"/>
        <w:right w:val="none" w:sz="0" w:space="0" w:color="auto"/>
      </w:divBdr>
    </w:div>
    <w:div w:id="209813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3B74D-9989-40F7-8AA0-D761BAE0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3469</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2019-03-20T18:40:00Z</dcterms:created>
  <dcterms:modified xsi:type="dcterms:W3CDTF">2019-03-20T18:40:00Z</dcterms:modified>
</cp:coreProperties>
</file>