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AC3F6" w14:textId="077052DF" w:rsidR="00652634" w:rsidRPr="007427A3" w:rsidRDefault="009622D1" w:rsidP="00700EC3">
      <w:pPr>
        <w:pStyle w:val="Heading1"/>
        <w:ind w:left="0" w:firstLine="0"/>
        <w:jc w:val="center"/>
        <w:rPr>
          <w:sz w:val="28"/>
          <w:szCs w:val="28"/>
        </w:rPr>
      </w:pPr>
      <w:bookmarkStart w:id="0" w:name="Supporting_Statement_for_the_Paperwork_R"/>
      <w:bookmarkStart w:id="1" w:name="Medicare_and_Medicaid_Programs:__Conditi"/>
      <w:bookmarkStart w:id="2" w:name="_GoBack"/>
      <w:bookmarkEnd w:id="0"/>
      <w:bookmarkEnd w:id="1"/>
      <w:bookmarkEnd w:id="2"/>
      <w:r w:rsidRPr="007427A3">
        <w:rPr>
          <w:sz w:val="28"/>
          <w:szCs w:val="28"/>
        </w:rPr>
        <w:t>Supporting Statement</w:t>
      </w:r>
    </w:p>
    <w:p w14:paraId="3DF799FE" w14:textId="77777777" w:rsidR="009622D1" w:rsidRPr="007427A3" w:rsidRDefault="00687609" w:rsidP="00700EC3">
      <w:pPr>
        <w:pStyle w:val="Heading1"/>
        <w:ind w:left="0" w:firstLine="0"/>
        <w:jc w:val="center"/>
        <w:rPr>
          <w:sz w:val="28"/>
          <w:szCs w:val="28"/>
        </w:rPr>
      </w:pPr>
      <w:r w:rsidRPr="007427A3">
        <w:rPr>
          <w:sz w:val="28"/>
          <w:szCs w:val="28"/>
        </w:rPr>
        <w:t>Medicare and Medicaid Programs:  Conditions for Coverage for Ambulatory Surgical</w:t>
      </w:r>
      <w:r w:rsidR="003E02BB" w:rsidRPr="007427A3">
        <w:rPr>
          <w:sz w:val="28"/>
          <w:szCs w:val="28"/>
        </w:rPr>
        <w:t xml:space="preserve"> </w:t>
      </w:r>
      <w:r w:rsidRPr="007427A3">
        <w:rPr>
          <w:sz w:val="28"/>
          <w:szCs w:val="28"/>
        </w:rPr>
        <w:t>Centers</w:t>
      </w:r>
    </w:p>
    <w:p w14:paraId="586CAE80" w14:textId="4CFCFBA9" w:rsidR="005E0D4A" w:rsidRPr="007427A3" w:rsidRDefault="005E0D4A" w:rsidP="00700EC3">
      <w:pPr>
        <w:pStyle w:val="Heading1"/>
        <w:ind w:left="0" w:firstLine="0"/>
        <w:jc w:val="center"/>
        <w:rPr>
          <w:b w:val="0"/>
          <w:sz w:val="28"/>
          <w:szCs w:val="28"/>
        </w:rPr>
      </w:pPr>
      <w:r w:rsidRPr="007427A3">
        <w:rPr>
          <w:sz w:val="28"/>
          <w:szCs w:val="28"/>
        </w:rPr>
        <w:t>(CMS-10279)</w:t>
      </w:r>
    </w:p>
    <w:p w14:paraId="33249C5D" w14:textId="77777777" w:rsidR="00261CB6" w:rsidRPr="007427A3" w:rsidRDefault="00261CB6" w:rsidP="00700EC3">
      <w:pPr>
        <w:pStyle w:val="BodyText"/>
      </w:pPr>
    </w:p>
    <w:p w14:paraId="1E8F7208" w14:textId="77777777" w:rsidR="00261CB6" w:rsidRDefault="00687609" w:rsidP="00700EC3">
      <w:pPr>
        <w:pStyle w:val="ListParagraph"/>
        <w:numPr>
          <w:ilvl w:val="0"/>
          <w:numId w:val="2"/>
        </w:numPr>
        <w:tabs>
          <w:tab w:val="left" w:pos="720"/>
        </w:tabs>
        <w:ind w:left="0" w:firstLine="0"/>
        <w:rPr>
          <w:b/>
          <w:sz w:val="24"/>
        </w:rPr>
      </w:pPr>
      <w:bookmarkStart w:id="3" w:name="A._Background"/>
      <w:bookmarkEnd w:id="3"/>
      <w:r>
        <w:rPr>
          <w:b/>
          <w:sz w:val="24"/>
        </w:rPr>
        <w:t>Background</w:t>
      </w:r>
    </w:p>
    <w:p w14:paraId="00165302" w14:textId="77777777" w:rsidR="00261CB6" w:rsidRPr="007427A3" w:rsidRDefault="00261CB6" w:rsidP="00700EC3">
      <w:pPr>
        <w:pStyle w:val="BodyText"/>
        <w:rPr>
          <w:b/>
        </w:rPr>
      </w:pPr>
    </w:p>
    <w:p w14:paraId="737B2CBF" w14:textId="7D903B4D" w:rsidR="00261CB6" w:rsidRDefault="00687609">
      <w:pPr>
        <w:pStyle w:val="BodyText"/>
        <w:spacing w:line="247" w:lineRule="auto"/>
        <w:ind w:left="551" w:right="51"/>
      </w:pPr>
      <w:r>
        <w:t>The purpose of this package is to request Office of Management and Budget (OMB) approval of the collection of information requirements for the conditions for coverage (CfCs) that ambulatory surgical centers (ASCs) must meet to participate in the Medicare p</w:t>
      </w:r>
      <w:r w:rsidR="007427A3">
        <w:t>rogram.</w:t>
      </w:r>
    </w:p>
    <w:p w14:paraId="19F68465" w14:textId="77777777" w:rsidR="009622D1" w:rsidRDefault="009622D1" w:rsidP="009622D1">
      <w:pPr>
        <w:pStyle w:val="BodyText"/>
        <w:spacing w:line="247" w:lineRule="auto"/>
        <w:ind w:left="531"/>
      </w:pPr>
    </w:p>
    <w:p w14:paraId="32CFE34A" w14:textId="7409C463" w:rsidR="009622D1" w:rsidRDefault="009622D1" w:rsidP="009622D1">
      <w:pPr>
        <w:pStyle w:val="BodyText"/>
        <w:spacing w:line="247" w:lineRule="auto"/>
        <w:ind w:left="531"/>
      </w:pPr>
      <w:r>
        <w:t>The ASC CfCs focus on a patient-centered, outcome-oriented, and transparent process that promotes quality patient care. This submission captures information necessary to support the implementation of the CfCs for 5,500 ASCs.</w:t>
      </w:r>
    </w:p>
    <w:p w14:paraId="35BFECDF" w14:textId="77777777" w:rsidR="009622D1" w:rsidRDefault="009622D1" w:rsidP="009622D1">
      <w:pPr>
        <w:pStyle w:val="BodyText"/>
        <w:spacing w:line="247" w:lineRule="auto"/>
        <w:ind w:left="531"/>
      </w:pPr>
    </w:p>
    <w:p w14:paraId="1EEEF7DD" w14:textId="6D216549" w:rsidR="009622D1" w:rsidRDefault="009622D1" w:rsidP="009622D1">
      <w:pPr>
        <w:pStyle w:val="BodyText"/>
        <w:spacing w:line="247" w:lineRule="auto"/>
        <w:ind w:left="531"/>
      </w:pPr>
      <w:r>
        <w:t xml:space="preserve">The CfCs are based on criteria </w:t>
      </w:r>
      <w:r w:rsidR="000E47DE">
        <w:t>in 42 CFR 416</w:t>
      </w:r>
      <w:r w:rsidR="001A2E69">
        <w:t xml:space="preserve"> </w:t>
      </w:r>
      <w:r>
        <w:t xml:space="preserve">and are standards designed to ensure that each ASC has a properly trained staff to provide the appropriate type and level of care for that environment of patients.  CMS needs the CfCs to certify </w:t>
      </w:r>
      <w:r w:rsidR="00095A04">
        <w:t>ambulatory surgical centers</w:t>
      </w:r>
      <w:r>
        <w:t xml:space="preserve"> wishing to participate in the Medicare and Medicaid programs.</w:t>
      </w:r>
    </w:p>
    <w:p w14:paraId="6C4F5058" w14:textId="77777777" w:rsidR="009622D1" w:rsidRDefault="009622D1">
      <w:pPr>
        <w:pStyle w:val="BodyText"/>
        <w:spacing w:before="6"/>
      </w:pPr>
    </w:p>
    <w:p w14:paraId="119E6267" w14:textId="4311ACB4" w:rsidR="00261CB6" w:rsidRDefault="00687609">
      <w:pPr>
        <w:pStyle w:val="BodyText"/>
        <w:spacing w:line="247" w:lineRule="auto"/>
        <w:ind w:left="519" w:right="218"/>
      </w:pPr>
      <w:r>
        <w:t>The requirements in the ASC regulations</w:t>
      </w:r>
      <w:r w:rsidR="002F286D">
        <w:t>, located at 42 CFR Part 416,</w:t>
      </w:r>
      <w:r>
        <w:t xml:space="preserve"> establish the development of the disaster preparedness plan, quality assessment and performance improvement plan development and collection, analysis, documentation of the findings, and the development of a patient rights informational sheet and related documentation requirements of alleged violations or complaints and the disclosure statements to the appropriate personnel.</w:t>
      </w:r>
    </w:p>
    <w:p w14:paraId="46C18729" w14:textId="77777777" w:rsidR="009622D1" w:rsidRDefault="009622D1">
      <w:pPr>
        <w:pStyle w:val="BodyText"/>
        <w:spacing w:line="247" w:lineRule="auto"/>
        <w:ind w:left="519" w:right="218"/>
      </w:pPr>
    </w:p>
    <w:p w14:paraId="096AF788" w14:textId="358F4820" w:rsidR="009622D1" w:rsidRDefault="009622D1">
      <w:pPr>
        <w:pStyle w:val="BodyText"/>
        <w:spacing w:line="247" w:lineRule="auto"/>
        <w:ind w:left="519" w:right="218"/>
      </w:pPr>
      <w:r>
        <w:t xml:space="preserve">To determine compliance with the CfCs, the Secretary has authorized States, through contracts, to conduct surveys of </w:t>
      </w:r>
      <w:r w:rsidR="00624CBA">
        <w:t>ASCs</w:t>
      </w:r>
      <w:r>
        <w:t>.  For Medicare purposes, certification is based on the State survey agency’s recording of a provider or supplier’s compliance or noncompliance with the health and safety requirements published in the regulations.</w:t>
      </w:r>
    </w:p>
    <w:p w14:paraId="049924ED" w14:textId="77777777" w:rsidR="0021340C" w:rsidRDefault="0021340C">
      <w:pPr>
        <w:pStyle w:val="BodyText"/>
        <w:spacing w:line="247" w:lineRule="auto"/>
        <w:ind w:left="519" w:right="218"/>
      </w:pPr>
    </w:p>
    <w:p w14:paraId="022A5B3D" w14:textId="21E9605A" w:rsidR="0021340C" w:rsidRDefault="0021340C">
      <w:pPr>
        <w:pStyle w:val="BodyText"/>
        <w:spacing w:line="247" w:lineRule="auto"/>
        <w:ind w:left="519" w:right="218"/>
      </w:pPr>
      <w:r w:rsidRPr="0021340C">
        <w:t xml:space="preserve">Additionally, CMS published revisions to certain </w:t>
      </w:r>
      <w:r>
        <w:t>ASC conditions for coverage related to a</w:t>
      </w:r>
      <w:r w:rsidRPr="0021340C">
        <w:t xml:space="preserve">dmission and pre-surgical assessment on </w:t>
      </w:r>
      <w:r w:rsidR="00BC0853">
        <w:t>September 20, 2018 (83 FR 47686).</w:t>
      </w:r>
    </w:p>
    <w:p w14:paraId="5CEA6C88" w14:textId="77777777" w:rsidR="00261CB6" w:rsidRPr="00700EC3" w:rsidRDefault="00261CB6" w:rsidP="00700EC3">
      <w:pPr>
        <w:pStyle w:val="BodyText"/>
      </w:pPr>
    </w:p>
    <w:p w14:paraId="285273A7" w14:textId="1D29C009" w:rsidR="005E0D4A" w:rsidRPr="007427A3" w:rsidRDefault="00687609" w:rsidP="00700EC3">
      <w:pPr>
        <w:pStyle w:val="ListParagraph"/>
        <w:numPr>
          <w:ilvl w:val="0"/>
          <w:numId w:val="2"/>
        </w:numPr>
        <w:tabs>
          <w:tab w:val="left" w:pos="720"/>
        </w:tabs>
        <w:ind w:left="0" w:firstLine="0"/>
        <w:rPr>
          <w:b/>
          <w:sz w:val="24"/>
        </w:rPr>
      </w:pPr>
      <w:bookmarkStart w:id="4" w:name="B._Justification"/>
      <w:bookmarkEnd w:id="4"/>
      <w:r w:rsidRPr="007427A3">
        <w:rPr>
          <w:b/>
          <w:sz w:val="24"/>
        </w:rPr>
        <w:t>Justification</w:t>
      </w:r>
      <w:bookmarkStart w:id="5" w:name="1.___UNeed_and_Legal_Basis"/>
      <w:bookmarkEnd w:id="5"/>
    </w:p>
    <w:p w14:paraId="7E2B9AC4" w14:textId="1491F7A0" w:rsidR="005E0D4A" w:rsidRDefault="005E0D4A" w:rsidP="00700EC3">
      <w:pPr>
        <w:pStyle w:val="Heading1"/>
        <w:tabs>
          <w:tab w:val="left" w:pos="480"/>
          <w:tab w:val="left" w:pos="819"/>
          <w:tab w:val="left" w:pos="820"/>
        </w:tabs>
        <w:ind w:left="0" w:firstLine="0"/>
        <w:rPr>
          <w:b w:val="0"/>
        </w:rPr>
      </w:pPr>
    </w:p>
    <w:p w14:paraId="69DD4DE2" w14:textId="77777777" w:rsidR="00261CB6" w:rsidRPr="007427A3" w:rsidRDefault="00687609" w:rsidP="00700EC3">
      <w:pPr>
        <w:pStyle w:val="Heading1"/>
        <w:numPr>
          <w:ilvl w:val="0"/>
          <w:numId w:val="4"/>
        </w:numPr>
        <w:tabs>
          <w:tab w:val="left" w:pos="480"/>
          <w:tab w:val="left" w:pos="819"/>
          <w:tab w:val="left" w:pos="820"/>
        </w:tabs>
        <w:ind w:left="0" w:firstLine="0"/>
        <w:rPr>
          <w:b w:val="0"/>
        </w:rPr>
      </w:pPr>
      <w:r w:rsidRPr="007427A3">
        <w:rPr>
          <w:b w:val="0"/>
        </w:rPr>
        <w:t xml:space="preserve">Need and </w:t>
      </w:r>
      <w:r w:rsidRPr="007427A3">
        <w:rPr>
          <w:b w:val="0"/>
          <w:spacing w:val="-3"/>
        </w:rPr>
        <w:t xml:space="preserve">Legal </w:t>
      </w:r>
      <w:r w:rsidRPr="007427A3">
        <w:rPr>
          <w:b w:val="0"/>
        </w:rPr>
        <w:t>Basis</w:t>
      </w:r>
    </w:p>
    <w:p w14:paraId="6A01BA87" w14:textId="77777777" w:rsidR="00261CB6" w:rsidRPr="007427A3" w:rsidRDefault="00261CB6" w:rsidP="00700EC3">
      <w:pPr>
        <w:pStyle w:val="BodyText"/>
      </w:pPr>
    </w:p>
    <w:p w14:paraId="5F5DCEAB" w14:textId="77777777" w:rsidR="00261CB6" w:rsidRDefault="00687609">
      <w:pPr>
        <w:pStyle w:val="BodyText"/>
        <w:spacing w:before="90" w:line="247" w:lineRule="auto"/>
        <w:ind w:left="480" w:right="75"/>
      </w:pPr>
      <w:r>
        <w:t xml:space="preserve">Section 934 of the Omnibus Budget Reconciliation Act of 1980, which is implemented under 42 CFR 416, allows ASCs meeting health, safety, and other standards specified by the Secretary to participate in Medicare. Section 934 amended various sections of the Social Security Act, including sections 1832 and 1863 which instruct the Secretary to consult with </w:t>
      </w:r>
      <w:r>
        <w:lastRenderedPageBreak/>
        <w:t>appropriate State Agencies and recognize national listing or accreditation bodies in developing the conditions (health and safety requirements), and section 1864, which authorizes the Secretary to use States in determining compliance with the requirements, referred to in regulations as CfCs.</w:t>
      </w:r>
    </w:p>
    <w:p w14:paraId="2CCE591A" w14:textId="77777777" w:rsidR="00261CB6" w:rsidRDefault="00261CB6">
      <w:pPr>
        <w:pStyle w:val="BodyText"/>
        <w:spacing w:before="6"/>
      </w:pPr>
    </w:p>
    <w:p w14:paraId="033D1244" w14:textId="1A293CE0" w:rsidR="00261CB6" w:rsidRDefault="00687609">
      <w:pPr>
        <w:pStyle w:val="BodyText"/>
        <w:spacing w:line="247" w:lineRule="auto"/>
        <w:ind w:left="480" w:right="75"/>
      </w:pPr>
      <w:r>
        <w:t xml:space="preserve">The CfCs are designed to ensure that each </w:t>
      </w:r>
      <w:r w:rsidR="0050791D">
        <w:t xml:space="preserve">ASC </w:t>
      </w:r>
      <w:r>
        <w:t xml:space="preserve">has properly trained staff to provide the appropriate type and level of care for that </w:t>
      </w:r>
      <w:r w:rsidR="0050791D">
        <w:t xml:space="preserve">ASC </w:t>
      </w:r>
      <w:r>
        <w:t>and provide a safe physical environment for patients.</w:t>
      </w:r>
    </w:p>
    <w:p w14:paraId="58F269AF" w14:textId="77777777" w:rsidR="00261CB6" w:rsidRPr="007427A3" w:rsidRDefault="00261CB6">
      <w:pPr>
        <w:pStyle w:val="BodyText"/>
      </w:pPr>
    </w:p>
    <w:p w14:paraId="4C863D74" w14:textId="56958236" w:rsidR="00261CB6" w:rsidRPr="007427A3" w:rsidRDefault="00687609" w:rsidP="005E0D4A">
      <w:pPr>
        <w:pStyle w:val="ListParagraph"/>
        <w:numPr>
          <w:ilvl w:val="0"/>
          <w:numId w:val="4"/>
        </w:numPr>
        <w:tabs>
          <w:tab w:val="left" w:pos="551"/>
          <w:tab w:val="left" w:pos="552"/>
        </w:tabs>
        <w:ind w:left="540" w:hanging="540"/>
        <w:rPr>
          <w:sz w:val="24"/>
        </w:rPr>
      </w:pPr>
      <w:r w:rsidRPr="007427A3">
        <w:rPr>
          <w:sz w:val="24"/>
        </w:rPr>
        <w:t>Information</w:t>
      </w:r>
      <w:r w:rsidRPr="007427A3">
        <w:rPr>
          <w:spacing w:val="-12"/>
          <w:sz w:val="24"/>
        </w:rPr>
        <w:t xml:space="preserve"> </w:t>
      </w:r>
      <w:r w:rsidRPr="007427A3">
        <w:rPr>
          <w:sz w:val="24"/>
        </w:rPr>
        <w:t>Users</w:t>
      </w:r>
    </w:p>
    <w:p w14:paraId="54F067C0" w14:textId="77777777" w:rsidR="00261CB6" w:rsidRPr="007427A3" w:rsidRDefault="00261CB6">
      <w:pPr>
        <w:pStyle w:val="BodyText"/>
        <w:spacing w:before="5"/>
      </w:pPr>
    </w:p>
    <w:p w14:paraId="25C91E13" w14:textId="3B1112CD" w:rsidR="00261CB6" w:rsidRDefault="00687609">
      <w:pPr>
        <w:pStyle w:val="BodyText"/>
        <w:spacing w:before="90" w:line="247" w:lineRule="auto"/>
        <w:ind w:left="551" w:right="72"/>
      </w:pPr>
      <w:r>
        <w:t xml:space="preserve">The CfCs are used by Federal </w:t>
      </w:r>
      <w:r w:rsidR="00550039">
        <w:t xml:space="preserve">(CMS) </w:t>
      </w:r>
      <w:r>
        <w:t>or State surveyors</w:t>
      </w:r>
      <w:r w:rsidR="00550039">
        <w:t xml:space="preserve"> (employed by State survey agencies) </w:t>
      </w:r>
      <w:r>
        <w:t>as a basis for determining whether an ASC qualifies for approval or re-approval under Medicare</w:t>
      </w:r>
      <w:r>
        <w:rPr>
          <w:b/>
        </w:rPr>
        <w:t>.</w:t>
      </w:r>
      <w:r w:rsidR="00550039">
        <w:rPr>
          <w:b/>
        </w:rPr>
        <w:t xml:space="preserve">  </w:t>
      </w:r>
      <w:r w:rsidR="00550039">
        <w:t xml:space="preserve">Surveyors make an in-person visit to ASCs to perform the complete survey. </w:t>
      </w:r>
      <w:r>
        <w:rPr>
          <w:b/>
        </w:rPr>
        <w:t xml:space="preserve">  </w:t>
      </w:r>
    </w:p>
    <w:p w14:paraId="2F9372E7" w14:textId="77777777" w:rsidR="00261CB6" w:rsidRDefault="00261CB6">
      <w:pPr>
        <w:pStyle w:val="BodyText"/>
        <w:spacing w:before="6"/>
      </w:pPr>
    </w:p>
    <w:p w14:paraId="46ABE401" w14:textId="77777777" w:rsidR="00261CB6" w:rsidRPr="007427A3" w:rsidRDefault="00687609" w:rsidP="005E0D4A">
      <w:pPr>
        <w:pStyle w:val="ListParagraph"/>
        <w:numPr>
          <w:ilvl w:val="0"/>
          <w:numId w:val="4"/>
        </w:numPr>
        <w:tabs>
          <w:tab w:val="left" w:pos="551"/>
          <w:tab w:val="left" w:pos="552"/>
        </w:tabs>
        <w:ind w:left="552" w:hanging="432"/>
        <w:rPr>
          <w:sz w:val="24"/>
        </w:rPr>
      </w:pPr>
      <w:r w:rsidRPr="007427A3">
        <w:rPr>
          <w:sz w:val="24"/>
        </w:rPr>
        <w:t>Use of Information</w:t>
      </w:r>
      <w:r w:rsidRPr="007427A3">
        <w:rPr>
          <w:spacing w:val="-18"/>
          <w:sz w:val="24"/>
        </w:rPr>
        <w:t xml:space="preserve"> </w:t>
      </w:r>
      <w:r w:rsidRPr="007427A3">
        <w:rPr>
          <w:sz w:val="24"/>
        </w:rPr>
        <w:t>Technology</w:t>
      </w:r>
    </w:p>
    <w:p w14:paraId="4B56DD45" w14:textId="77777777" w:rsidR="00261CB6" w:rsidRPr="007427A3" w:rsidRDefault="00261CB6">
      <w:pPr>
        <w:pStyle w:val="BodyText"/>
        <w:spacing w:before="4"/>
      </w:pPr>
    </w:p>
    <w:p w14:paraId="5E7370EA" w14:textId="77777777" w:rsidR="00261CB6" w:rsidRDefault="00687609">
      <w:pPr>
        <w:pStyle w:val="BodyText"/>
        <w:spacing w:before="90" w:line="247" w:lineRule="auto"/>
        <w:ind w:left="551" w:right="75"/>
      </w:pPr>
      <w:r>
        <w:t>ASCs may use various information technologies to store and manage patient medical records as long as they are consistent with the existing confidentiality in record-keeping regulations at 42 CFR 485.638. This regulation in no way prescribes how the facility should prepare or maintain these records. Facilities are free to take advantage of any technological advances that they find appropriate for their needs.</w:t>
      </w:r>
    </w:p>
    <w:p w14:paraId="0A95E927" w14:textId="77777777" w:rsidR="00261CB6" w:rsidRPr="007427A3" w:rsidRDefault="00261CB6">
      <w:pPr>
        <w:pStyle w:val="BodyText"/>
        <w:spacing w:before="1"/>
      </w:pPr>
    </w:p>
    <w:p w14:paraId="341E44CD" w14:textId="77777777" w:rsidR="00261CB6" w:rsidRPr="007427A3" w:rsidRDefault="00687609" w:rsidP="005E0D4A">
      <w:pPr>
        <w:pStyle w:val="ListParagraph"/>
        <w:numPr>
          <w:ilvl w:val="0"/>
          <w:numId w:val="4"/>
        </w:numPr>
        <w:tabs>
          <w:tab w:val="left" w:pos="551"/>
          <w:tab w:val="left" w:pos="552"/>
        </w:tabs>
        <w:spacing w:before="1"/>
        <w:ind w:left="552" w:hanging="432"/>
        <w:rPr>
          <w:sz w:val="24"/>
        </w:rPr>
      </w:pPr>
      <w:r w:rsidRPr="007427A3">
        <w:rPr>
          <w:sz w:val="24"/>
        </w:rPr>
        <w:t>Duplication of</w:t>
      </w:r>
      <w:r w:rsidRPr="007427A3">
        <w:rPr>
          <w:spacing w:val="-8"/>
          <w:sz w:val="24"/>
        </w:rPr>
        <w:t xml:space="preserve"> </w:t>
      </w:r>
      <w:r w:rsidRPr="007427A3">
        <w:rPr>
          <w:sz w:val="24"/>
        </w:rPr>
        <w:t>Efforts</w:t>
      </w:r>
    </w:p>
    <w:p w14:paraId="084238D4" w14:textId="77777777" w:rsidR="00261CB6" w:rsidRPr="007427A3" w:rsidRDefault="00261CB6">
      <w:pPr>
        <w:pStyle w:val="BodyText"/>
        <w:spacing w:before="5"/>
      </w:pPr>
    </w:p>
    <w:p w14:paraId="6F8AD403" w14:textId="77777777" w:rsidR="00261CB6" w:rsidRDefault="00687609">
      <w:pPr>
        <w:pStyle w:val="BodyText"/>
        <w:spacing w:before="90" w:line="247" w:lineRule="auto"/>
        <w:ind w:left="551" w:right="99"/>
      </w:pPr>
      <w:r>
        <w:t>These requirements are specified in ways that do not require an ASC to duplicate efforts. If an ASC already maintains these general records, regardless of format, they are in compliance with this requirement. The general nature of these requirements makes variations in the substance and format of these records from one ASC to another acceptable.</w:t>
      </w:r>
    </w:p>
    <w:p w14:paraId="3BF45D5E" w14:textId="77777777" w:rsidR="00261CB6" w:rsidRDefault="00261CB6">
      <w:pPr>
        <w:pStyle w:val="BodyText"/>
        <w:spacing w:before="6"/>
      </w:pPr>
    </w:p>
    <w:p w14:paraId="28AEB6BE" w14:textId="77777777" w:rsidR="00261CB6" w:rsidRPr="007427A3" w:rsidRDefault="00687609" w:rsidP="005E0D4A">
      <w:pPr>
        <w:pStyle w:val="ListParagraph"/>
        <w:numPr>
          <w:ilvl w:val="0"/>
          <w:numId w:val="4"/>
        </w:numPr>
        <w:tabs>
          <w:tab w:val="left" w:pos="551"/>
          <w:tab w:val="left" w:pos="552"/>
        </w:tabs>
        <w:ind w:left="552" w:hanging="432"/>
        <w:rPr>
          <w:sz w:val="24"/>
        </w:rPr>
      </w:pPr>
      <w:r w:rsidRPr="007427A3">
        <w:rPr>
          <w:sz w:val="24"/>
        </w:rPr>
        <w:t>Small</w:t>
      </w:r>
      <w:r w:rsidRPr="007427A3">
        <w:rPr>
          <w:spacing w:val="-5"/>
          <w:sz w:val="24"/>
        </w:rPr>
        <w:t xml:space="preserve"> </w:t>
      </w:r>
      <w:r w:rsidRPr="007427A3">
        <w:rPr>
          <w:sz w:val="24"/>
        </w:rPr>
        <w:t>Businesses</w:t>
      </w:r>
    </w:p>
    <w:p w14:paraId="51A55776" w14:textId="77777777" w:rsidR="00261CB6" w:rsidRPr="007427A3" w:rsidRDefault="00261CB6">
      <w:pPr>
        <w:pStyle w:val="BodyText"/>
        <w:spacing w:before="4"/>
      </w:pPr>
    </w:p>
    <w:p w14:paraId="4F192BCC" w14:textId="77777777" w:rsidR="00261CB6" w:rsidRDefault="00687609" w:rsidP="005E0D4A">
      <w:pPr>
        <w:pStyle w:val="BodyText"/>
        <w:spacing w:before="90"/>
        <w:ind w:left="551"/>
      </w:pPr>
      <w:r>
        <w:t>These requirements will not have a significant impact on ASCs and other suppliers that are</w:t>
      </w:r>
      <w:r w:rsidR="005E0D4A">
        <w:t xml:space="preserve"> </w:t>
      </w:r>
      <w:r>
        <w:t>small entities. Further, most of the requirements in this rule are part of ASCs’ standard practices. We understand that there are different sizes of ASCs and that the burden for ASCs of different sizes will vary.</w:t>
      </w:r>
    </w:p>
    <w:p w14:paraId="13B21A76" w14:textId="77777777" w:rsidR="00261CB6" w:rsidRDefault="00261CB6">
      <w:pPr>
        <w:pStyle w:val="BodyText"/>
        <w:spacing w:before="5"/>
      </w:pPr>
    </w:p>
    <w:p w14:paraId="32ADE32E" w14:textId="77777777" w:rsidR="00261CB6" w:rsidRPr="007427A3" w:rsidRDefault="00687609" w:rsidP="005E0D4A">
      <w:pPr>
        <w:pStyle w:val="ListParagraph"/>
        <w:numPr>
          <w:ilvl w:val="0"/>
          <w:numId w:val="4"/>
        </w:numPr>
        <w:tabs>
          <w:tab w:val="left" w:pos="551"/>
          <w:tab w:val="left" w:pos="552"/>
        </w:tabs>
        <w:spacing w:before="1"/>
        <w:ind w:left="552" w:hanging="432"/>
        <w:rPr>
          <w:sz w:val="24"/>
        </w:rPr>
      </w:pPr>
      <w:r w:rsidRPr="007427A3">
        <w:rPr>
          <w:sz w:val="24"/>
        </w:rPr>
        <w:t>Less Frequent</w:t>
      </w:r>
      <w:r w:rsidRPr="007427A3">
        <w:rPr>
          <w:spacing w:val="-14"/>
          <w:sz w:val="24"/>
        </w:rPr>
        <w:t xml:space="preserve"> </w:t>
      </w:r>
      <w:r w:rsidRPr="007427A3">
        <w:rPr>
          <w:sz w:val="24"/>
        </w:rPr>
        <w:t>Collection</w:t>
      </w:r>
    </w:p>
    <w:p w14:paraId="53F12C08" w14:textId="77777777" w:rsidR="00261CB6" w:rsidRPr="007427A3" w:rsidRDefault="00261CB6">
      <w:pPr>
        <w:pStyle w:val="BodyText"/>
        <w:spacing w:before="5"/>
      </w:pPr>
    </w:p>
    <w:p w14:paraId="66332451" w14:textId="57787B32" w:rsidR="00261CB6" w:rsidRDefault="00687609">
      <w:pPr>
        <w:pStyle w:val="BodyText"/>
        <w:spacing w:before="90" w:line="247" w:lineRule="auto"/>
        <w:ind w:left="551"/>
      </w:pPr>
      <w:r>
        <w:t xml:space="preserve">CMS does not collect information directly from ASCs. In most cases, the rule does not prescribe the manner, timing, or frequency of the records or information that must be available. ASC records are reviewed at the time of a survey for initial or continued participation in the Medicare program. Less frequent information collection would impede efforts to establish </w:t>
      </w:r>
      <w:r>
        <w:lastRenderedPageBreak/>
        <w:t>compliance with the Medicare CfCs</w:t>
      </w:r>
      <w:r w:rsidR="00624CBA">
        <w:t>, which in turn, would jeopardize the health and safety of ASC patients and provision of quality healthcare.</w:t>
      </w:r>
    </w:p>
    <w:p w14:paraId="53052977" w14:textId="77777777" w:rsidR="00261CB6" w:rsidRDefault="00261CB6">
      <w:pPr>
        <w:pStyle w:val="BodyText"/>
        <w:spacing w:before="6"/>
      </w:pPr>
    </w:p>
    <w:p w14:paraId="0814A59B" w14:textId="77777777" w:rsidR="00261CB6" w:rsidRPr="007427A3" w:rsidRDefault="00687609" w:rsidP="005E0D4A">
      <w:pPr>
        <w:pStyle w:val="ListParagraph"/>
        <w:numPr>
          <w:ilvl w:val="0"/>
          <w:numId w:val="4"/>
        </w:numPr>
        <w:tabs>
          <w:tab w:val="left" w:pos="551"/>
          <w:tab w:val="left" w:pos="552"/>
        </w:tabs>
        <w:ind w:left="552" w:hanging="432"/>
        <w:rPr>
          <w:sz w:val="24"/>
        </w:rPr>
      </w:pPr>
      <w:r w:rsidRPr="007427A3">
        <w:rPr>
          <w:sz w:val="24"/>
        </w:rPr>
        <w:t>Special</w:t>
      </w:r>
      <w:r w:rsidRPr="007427A3">
        <w:rPr>
          <w:spacing w:val="-9"/>
          <w:sz w:val="24"/>
        </w:rPr>
        <w:t xml:space="preserve"> </w:t>
      </w:r>
      <w:r w:rsidRPr="007427A3">
        <w:rPr>
          <w:sz w:val="24"/>
        </w:rPr>
        <w:t>Circumstances</w:t>
      </w:r>
    </w:p>
    <w:p w14:paraId="1B21E9F4" w14:textId="77777777" w:rsidR="00261CB6" w:rsidRPr="007427A3" w:rsidRDefault="00261CB6">
      <w:pPr>
        <w:pStyle w:val="BodyText"/>
        <w:spacing w:before="4"/>
      </w:pPr>
    </w:p>
    <w:p w14:paraId="7F18E36B" w14:textId="77777777" w:rsidR="00261CB6" w:rsidRDefault="00687609">
      <w:pPr>
        <w:pStyle w:val="BodyText"/>
        <w:spacing w:before="90"/>
        <w:ind w:left="551"/>
      </w:pPr>
      <w:r>
        <w:t>There are no special circumstances.</w:t>
      </w:r>
    </w:p>
    <w:p w14:paraId="78D97F65" w14:textId="77777777" w:rsidR="00261CB6" w:rsidRPr="007427A3" w:rsidRDefault="00261CB6">
      <w:pPr>
        <w:pStyle w:val="BodyText"/>
        <w:spacing w:before="2"/>
      </w:pPr>
    </w:p>
    <w:p w14:paraId="4AF94BE3" w14:textId="77777777" w:rsidR="00261CB6" w:rsidRPr="007427A3" w:rsidRDefault="00687609" w:rsidP="005E0D4A">
      <w:pPr>
        <w:pStyle w:val="ListParagraph"/>
        <w:numPr>
          <w:ilvl w:val="0"/>
          <w:numId w:val="4"/>
        </w:numPr>
        <w:tabs>
          <w:tab w:val="left" w:pos="551"/>
          <w:tab w:val="left" w:pos="552"/>
        </w:tabs>
        <w:ind w:left="552" w:hanging="432"/>
        <w:rPr>
          <w:sz w:val="24"/>
        </w:rPr>
      </w:pPr>
      <w:r w:rsidRPr="007427A3">
        <w:rPr>
          <w:sz w:val="24"/>
        </w:rPr>
        <w:t>Federal Register/Outside</w:t>
      </w:r>
      <w:r w:rsidRPr="007427A3">
        <w:rPr>
          <w:spacing w:val="-15"/>
          <w:sz w:val="24"/>
        </w:rPr>
        <w:t xml:space="preserve"> </w:t>
      </w:r>
      <w:r w:rsidRPr="007427A3">
        <w:rPr>
          <w:sz w:val="24"/>
        </w:rPr>
        <w:t>Consultation</w:t>
      </w:r>
    </w:p>
    <w:p w14:paraId="58E12997" w14:textId="77777777" w:rsidR="00261CB6" w:rsidRPr="007427A3" w:rsidRDefault="00261CB6">
      <w:pPr>
        <w:pStyle w:val="BodyText"/>
        <w:spacing w:before="4"/>
      </w:pPr>
    </w:p>
    <w:p w14:paraId="5546ACFF" w14:textId="0D4A1DC7" w:rsidR="00BB4F24" w:rsidRDefault="006D26DA" w:rsidP="006D26DA">
      <w:pPr>
        <w:pStyle w:val="BodyText"/>
        <w:spacing w:before="90"/>
        <w:ind w:left="540"/>
      </w:pPr>
      <w:r w:rsidRPr="006D26DA">
        <w:t xml:space="preserve">This information collection request is associated with Regulatory Provisions to Promote Program Efficiency, Transparency, and Burden Reduction which published </w:t>
      </w:r>
      <w:r w:rsidR="00BC0853">
        <w:t>September 20, 2018 (83 FR 47686)</w:t>
      </w:r>
      <w:r w:rsidR="00BC0853" w:rsidRPr="006D26DA">
        <w:t>.</w:t>
      </w:r>
    </w:p>
    <w:p w14:paraId="5984FB2F" w14:textId="77777777" w:rsidR="00261CB6" w:rsidRPr="007427A3" w:rsidRDefault="00261CB6">
      <w:pPr>
        <w:pStyle w:val="BodyText"/>
        <w:spacing w:before="2"/>
      </w:pPr>
    </w:p>
    <w:p w14:paraId="5DA51F60" w14:textId="77777777" w:rsidR="00261CB6" w:rsidRPr="007427A3" w:rsidRDefault="00687609" w:rsidP="005E0D4A">
      <w:pPr>
        <w:pStyle w:val="ListParagraph"/>
        <w:numPr>
          <w:ilvl w:val="0"/>
          <w:numId w:val="4"/>
        </w:numPr>
        <w:tabs>
          <w:tab w:val="left" w:pos="551"/>
          <w:tab w:val="left" w:pos="552"/>
        </w:tabs>
        <w:ind w:left="552" w:hanging="432"/>
        <w:rPr>
          <w:sz w:val="24"/>
        </w:rPr>
      </w:pPr>
      <w:r w:rsidRPr="007427A3">
        <w:rPr>
          <w:sz w:val="24"/>
        </w:rPr>
        <w:t>Payments/Gifts to</w:t>
      </w:r>
      <w:r w:rsidRPr="007427A3">
        <w:rPr>
          <w:spacing w:val="-14"/>
          <w:sz w:val="24"/>
        </w:rPr>
        <w:t xml:space="preserve"> </w:t>
      </w:r>
      <w:r w:rsidRPr="007427A3">
        <w:rPr>
          <w:sz w:val="24"/>
        </w:rPr>
        <w:t>Respondents</w:t>
      </w:r>
    </w:p>
    <w:p w14:paraId="22B195E5" w14:textId="77777777" w:rsidR="00261CB6" w:rsidRPr="007427A3" w:rsidRDefault="00261CB6">
      <w:pPr>
        <w:pStyle w:val="BodyText"/>
        <w:spacing w:before="4"/>
      </w:pPr>
    </w:p>
    <w:p w14:paraId="11D03AE0" w14:textId="77777777" w:rsidR="00261CB6" w:rsidRDefault="00687609">
      <w:pPr>
        <w:pStyle w:val="BodyText"/>
        <w:spacing w:before="90"/>
        <w:ind w:left="540"/>
      </w:pPr>
      <w:r>
        <w:t>There will be no payments/gifts to respondents.</w:t>
      </w:r>
    </w:p>
    <w:p w14:paraId="7C6F5E31" w14:textId="77777777" w:rsidR="00261CB6" w:rsidRPr="007427A3" w:rsidRDefault="00261CB6">
      <w:pPr>
        <w:pStyle w:val="BodyText"/>
        <w:spacing w:before="2"/>
      </w:pPr>
    </w:p>
    <w:p w14:paraId="577D6E31" w14:textId="77777777" w:rsidR="00261CB6" w:rsidRPr="007427A3" w:rsidRDefault="00687609" w:rsidP="005E0D4A">
      <w:pPr>
        <w:pStyle w:val="ListParagraph"/>
        <w:numPr>
          <w:ilvl w:val="0"/>
          <w:numId w:val="4"/>
        </w:numPr>
        <w:tabs>
          <w:tab w:val="left" w:pos="552"/>
        </w:tabs>
        <w:ind w:left="552" w:hanging="432"/>
        <w:rPr>
          <w:sz w:val="24"/>
        </w:rPr>
      </w:pPr>
      <w:r w:rsidRPr="007427A3">
        <w:rPr>
          <w:sz w:val="24"/>
        </w:rPr>
        <w:t>Confidentiality</w:t>
      </w:r>
    </w:p>
    <w:p w14:paraId="01F93954" w14:textId="77777777" w:rsidR="00261CB6" w:rsidRPr="007427A3" w:rsidRDefault="00261CB6">
      <w:pPr>
        <w:pStyle w:val="BodyText"/>
        <w:spacing w:before="4"/>
      </w:pPr>
    </w:p>
    <w:p w14:paraId="5118F1BA" w14:textId="77777777" w:rsidR="00261CB6" w:rsidRDefault="00687609">
      <w:pPr>
        <w:pStyle w:val="BodyText"/>
        <w:spacing w:before="90" w:line="247" w:lineRule="auto"/>
        <w:ind w:left="571" w:right="71"/>
      </w:pPr>
      <w:r>
        <w:t>Confidentiality will be maintained to the extent provided by law. We pledge confidentiality of patient-specific data in accordance with the Privacy Act of 1974 (5 U.S.C. 552a).</w:t>
      </w:r>
    </w:p>
    <w:p w14:paraId="44FE5ED7" w14:textId="77777777" w:rsidR="00261CB6" w:rsidRDefault="00261CB6">
      <w:pPr>
        <w:pStyle w:val="BodyText"/>
        <w:spacing w:before="6"/>
      </w:pPr>
    </w:p>
    <w:p w14:paraId="6D8928A8" w14:textId="77777777" w:rsidR="00261CB6" w:rsidRPr="007427A3" w:rsidRDefault="00687609" w:rsidP="005E0D4A">
      <w:pPr>
        <w:pStyle w:val="ListParagraph"/>
        <w:numPr>
          <w:ilvl w:val="0"/>
          <w:numId w:val="4"/>
        </w:numPr>
        <w:tabs>
          <w:tab w:val="left" w:pos="552"/>
        </w:tabs>
        <w:ind w:left="552" w:hanging="432"/>
        <w:rPr>
          <w:sz w:val="24"/>
        </w:rPr>
      </w:pPr>
      <w:r w:rsidRPr="007427A3">
        <w:rPr>
          <w:sz w:val="24"/>
        </w:rPr>
        <w:t>Sensitive</w:t>
      </w:r>
      <w:r w:rsidRPr="007427A3">
        <w:rPr>
          <w:spacing w:val="-4"/>
          <w:sz w:val="24"/>
        </w:rPr>
        <w:t xml:space="preserve"> </w:t>
      </w:r>
      <w:r w:rsidRPr="007427A3">
        <w:rPr>
          <w:sz w:val="24"/>
        </w:rPr>
        <w:t>Questions</w:t>
      </w:r>
    </w:p>
    <w:p w14:paraId="41E9AAF8" w14:textId="77777777" w:rsidR="00261CB6" w:rsidRPr="007427A3" w:rsidRDefault="00261CB6">
      <w:pPr>
        <w:pStyle w:val="BodyText"/>
        <w:spacing w:before="5"/>
      </w:pPr>
    </w:p>
    <w:p w14:paraId="3C50C256" w14:textId="77777777" w:rsidR="00261CB6" w:rsidRDefault="00687609">
      <w:pPr>
        <w:pStyle w:val="BodyText"/>
        <w:spacing w:before="90"/>
        <w:ind w:left="540"/>
      </w:pPr>
      <w:r>
        <w:t>There are no questions of a sensitive nature associated with this information collection.</w:t>
      </w:r>
    </w:p>
    <w:p w14:paraId="7E7E8DC5" w14:textId="77777777" w:rsidR="00261CB6" w:rsidRPr="007427A3" w:rsidRDefault="00261CB6">
      <w:pPr>
        <w:pStyle w:val="BodyText"/>
        <w:spacing w:before="6"/>
      </w:pPr>
    </w:p>
    <w:p w14:paraId="5811C789" w14:textId="77777777" w:rsidR="00261CB6" w:rsidRPr="007427A3" w:rsidRDefault="00687609" w:rsidP="005E0D4A">
      <w:pPr>
        <w:pStyle w:val="ListParagraph"/>
        <w:numPr>
          <w:ilvl w:val="0"/>
          <w:numId w:val="4"/>
        </w:numPr>
        <w:tabs>
          <w:tab w:val="left" w:pos="552"/>
        </w:tabs>
        <w:ind w:left="552" w:hanging="432"/>
        <w:rPr>
          <w:sz w:val="24"/>
        </w:rPr>
      </w:pPr>
      <w:r w:rsidRPr="007427A3">
        <w:rPr>
          <w:sz w:val="24"/>
        </w:rPr>
        <w:t>Burden Estimates (Hours &amp;</w:t>
      </w:r>
      <w:r w:rsidRPr="007427A3">
        <w:rPr>
          <w:spacing w:val="-16"/>
          <w:sz w:val="24"/>
        </w:rPr>
        <w:t xml:space="preserve"> </w:t>
      </w:r>
      <w:r w:rsidRPr="007427A3">
        <w:rPr>
          <w:sz w:val="24"/>
        </w:rPr>
        <w:t>Wages)</w:t>
      </w:r>
    </w:p>
    <w:p w14:paraId="3D20B9A6" w14:textId="77777777" w:rsidR="00261CB6" w:rsidRPr="007427A3" w:rsidRDefault="00261CB6">
      <w:pPr>
        <w:pStyle w:val="BodyText"/>
        <w:spacing w:before="5"/>
      </w:pPr>
    </w:p>
    <w:p w14:paraId="2B7ED7D8" w14:textId="79BF2D30" w:rsidR="00261CB6" w:rsidRDefault="00702215" w:rsidP="002C6117">
      <w:pPr>
        <w:spacing w:before="90"/>
        <w:jc w:val="center"/>
        <w:rPr>
          <w:sz w:val="19"/>
        </w:rPr>
      </w:pPr>
      <w:r>
        <w:rPr>
          <w:sz w:val="24"/>
        </w:rPr>
        <w:t xml:space="preserve">Table 1: </w:t>
      </w:r>
      <w:r w:rsidR="00687609">
        <w:rPr>
          <w:sz w:val="24"/>
        </w:rPr>
        <w:t>A</w:t>
      </w:r>
      <w:r w:rsidR="007427A3">
        <w:rPr>
          <w:sz w:val="24"/>
        </w:rPr>
        <w:t>ssumptions and Estimates Used Throughout</w:t>
      </w:r>
    </w:p>
    <w:p w14:paraId="3C2B3856" w14:textId="77777777" w:rsidR="00261CB6" w:rsidRPr="007427A3" w:rsidRDefault="00261CB6">
      <w:pPr>
        <w:pStyle w:val="BodyText"/>
        <w:spacing w:before="1"/>
      </w:pPr>
    </w:p>
    <w:tbl>
      <w:tblPr>
        <w:tblW w:w="0" w:type="auto"/>
        <w:tblInd w:w="561" w:type="dxa"/>
        <w:tblBorders>
          <w:top w:val="single" w:sz="8" w:space="0" w:color="C1C1C1"/>
          <w:left w:val="single" w:sz="8" w:space="0" w:color="C1C1C1"/>
          <w:bottom w:val="single" w:sz="8" w:space="0" w:color="C1C1C1"/>
          <w:right w:val="single" w:sz="8" w:space="0" w:color="C1C1C1"/>
          <w:insideH w:val="single" w:sz="8" w:space="0" w:color="C1C1C1"/>
          <w:insideV w:val="single" w:sz="8" w:space="0" w:color="C1C1C1"/>
        </w:tblBorders>
        <w:tblLayout w:type="fixed"/>
        <w:tblCellMar>
          <w:left w:w="0" w:type="dxa"/>
          <w:right w:w="0" w:type="dxa"/>
        </w:tblCellMar>
        <w:tblLook w:val="01E0" w:firstRow="1" w:lastRow="1" w:firstColumn="1" w:lastColumn="1" w:noHBand="0" w:noVBand="0"/>
      </w:tblPr>
      <w:tblGrid>
        <w:gridCol w:w="5580"/>
        <w:gridCol w:w="3149"/>
      </w:tblGrid>
      <w:tr w:rsidR="00261CB6" w14:paraId="16E7CB26" w14:textId="77777777">
        <w:trPr>
          <w:trHeight w:hRule="exact" w:val="302"/>
        </w:trPr>
        <w:tc>
          <w:tcPr>
            <w:tcW w:w="5580" w:type="dxa"/>
          </w:tcPr>
          <w:p w14:paraId="611CFDED" w14:textId="77777777" w:rsidR="00261CB6" w:rsidRDefault="00687609">
            <w:pPr>
              <w:pStyle w:val="TableParagraph"/>
              <w:rPr>
                <w:sz w:val="24"/>
              </w:rPr>
            </w:pPr>
            <w:r>
              <w:rPr>
                <w:sz w:val="24"/>
              </w:rPr>
              <w:t># of Medicare ambulatory surgical centers nationwide</w:t>
            </w:r>
          </w:p>
        </w:tc>
        <w:tc>
          <w:tcPr>
            <w:tcW w:w="3149" w:type="dxa"/>
          </w:tcPr>
          <w:p w14:paraId="30466044" w14:textId="41518BBB" w:rsidR="00261CB6" w:rsidRDefault="0021340C" w:rsidP="005E0D4A">
            <w:pPr>
              <w:pStyle w:val="TableParagraph"/>
              <w:rPr>
                <w:sz w:val="24"/>
              </w:rPr>
            </w:pPr>
            <w:r w:rsidRPr="0021340C">
              <w:rPr>
                <w:sz w:val="24"/>
              </w:rPr>
              <w:t>5,557</w:t>
            </w:r>
          </w:p>
        </w:tc>
      </w:tr>
      <w:tr w:rsidR="00261CB6" w14:paraId="669B235B" w14:textId="77777777">
        <w:trPr>
          <w:trHeight w:hRule="exact" w:val="302"/>
        </w:trPr>
        <w:tc>
          <w:tcPr>
            <w:tcW w:w="5580" w:type="dxa"/>
          </w:tcPr>
          <w:p w14:paraId="55693E5B" w14:textId="77777777" w:rsidR="00261CB6" w:rsidRDefault="00687609">
            <w:pPr>
              <w:pStyle w:val="TableParagraph"/>
              <w:rPr>
                <w:sz w:val="24"/>
              </w:rPr>
            </w:pPr>
            <w:r>
              <w:rPr>
                <w:sz w:val="24"/>
              </w:rPr>
              <w:t># of patients per ASC (average)</w:t>
            </w:r>
          </w:p>
        </w:tc>
        <w:tc>
          <w:tcPr>
            <w:tcW w:w="3149" w:type="dxa"/>
          </w:tcPr>
          <w:p w14:paraId="418A02D3" w14:textId="77777777" w:rsidR="00261CB6" w:rsidRDefault="005E0D4A">
            <w:pPr>
              <w:pStyle w:val="TableParagraph"/>
              <w:rPr>
                <w:sz w:val="24"/>
              </w:rPr>
            </w:pPr>
            <w:r>
              <w:rPr>
                <w:sz w:val="24"/>
              </w:rPr>
              <w:t>1300</w:t>
            </w:r>
          </w:p>
        </w:tc>
      </w:tr>
      <w:tr w:rsidR="00261CB6" w14:paraId="024A5F1B" w14:textId="77777777">
        <w:trPr>
          <w:trHeight w:hRule="exact" w:val="302"/>
        </w:trPr>
        <w:tc>
          <w:tcPr>
            <w:tcW w:w="5580" w:type="dxa"/>
          </w:tcPr>
          <w:p w14:paraId="68A83791" w14:textId="77777777" w:rsidR="00261CB6" w:rsidRDefault="00687609">
            <w:pPr>
              <w:pStyle w:val="TableParagraph"/>
              <w:rPr>
                <w:sz w:val="24"/>
              </w:rPr>
            </w:pPr>
            <w:r>
              <w:rPr>
                <w:sz w:val="24"/>
              </w:rPr>
              <w:t>Hourly rate of registered nurse</w:t>
            </w:r>
          </w:p>
        </w:tc>
        <w:tc>
          <w:tcPr>
            <w:tcW w:w="3149" w:type="dxa"/>
          </w:tcPr>
          <w:p w14:paraId="1868A9E4" w14:textId="706A63B7" w:rsidR="00261CB6" w:rsidRDefault="005E0D4A">
            <w:pPr>
              <w:pStyle w:val="TableParagraph"/>
              <w:rPr>
                <w:sz w:val="24"/>
              </w:rPr>
            </w:pPr>
            <w:r>
              <w:rPr>
                <w:sz w:val="24"/>
              </w:rPr>
              <w:t>$</w:t>
            </w:r>
            <w:r w:rsidR="00AA3DE4">
              <w:rPr>
                <w:sz w:val="24"/>
              </w:rPr>
              <w:t>70</w:t>
            </w:r>
          </w:p>
        </w:tc>
      </w:tr>
      <w:tr w:rsidR="00261CB6" w14:paraId="4F17CE6D" w14:textId="77777777">
        <w:trPr>
          <w:trHeight w:hRule="exact" w:val="302"/>
        </w:trPr>
        <w:tc>
          <w:tcPr>
            <w:tcW w:w="5580" w:type="dxa"/>
          </w:tcPr>
          <w:p w14:paraId="7A2F4906" w14:textId="77777777" w:rsidR="00261CB6" w:rsidRDefault="00687609">
            <w:pPr>
              <w:pStyle w:val="TableParagraph"/>
              <w:rPr>
                <w:sz w:val="24"/>
              </w:rPr>
            </w:pPr>
            <w:r>
              <w:rPr>
                <w:sz w:val="24"/>
              </w:rPr>
              <w:t>Hourly rate of administrator</w:t>
            </w:r>
          </w:p>
        </w:tc>
        <w:tc>
          <w:tcPr>
            <w:tcW w:w="3149" w:type="dxa"/>
          </w:tcPr>
          <w:p w14:paraId="0311708F" w14:textId="3C805B11" w:rsidR="00261CB6" w:rsidRDefault="005E0D4A" w:rsidP="002D6550">
            <w:pPr>
              <w:pStyle w:val="TableParagraph"/>
              <w:rPr>
                <w:sz w:val="24"/>
              </w:rPr>
            </w:pPr>
            <w:r>
              <w:rPr>
                <w:sz w:val="24"/>
              </w:rPr>
              <w:t>$</w:t>
            </w:r>
            <w:r w:rsidR="00AA3DE4">
              <w:rPr>
                <w:sz w:val="24"/>
              </w:rPr>
              <w:t>108</w:t>
            </w:r>
          </w:p>
        </w:tc>
      </w:tr>
      <w:tr w:rsidR="00540ADF" w14:paraId="15E1B0EF" w14:textId="77777777">
        <w:trPr>
          <w:trHeight w:hRule="exact" w:val="302"/>
        </w:trPr>
        <w:tc>
          <w:tcPr>
            <w:tcW w:w="5580" w:type="dxa"/>
          </w:tcPr>
          <w:p w14:paraId="71DDD332" w14:textId="37CF5959" w:rsidR="00540ADF" w:rsidRDefault="00540ADF">
            <w:pPr>
              <w:pStyle w:val="TableParagraph"/>
              <w:rPr>
                <w:sz w:val="24"/>
              </w:rPr>
            </w:pPr>
            <w:r>
              <w:rPr>
                <w:sz w:val="24"/>
              </w:rPr>
              <w:t>Hourly rate of physician</w:t>
            </w:r>
          </w:p>
        </w:tc>
        <w:tc>
          <w:tcPr>
            <w:tcW w:w="3149" w:type="dxa"/>
          </w:tcPr>
          <w:p w14:paraId="65FC29EF" w14:textId="18E7355B" w:rsidR="00540ADF" w:rsidRDefault="00540ADF" w:rsidP="002D6550">
            <w:pPr>
              <w:pStyle w:val="TableParagraph"/>
              <w:rPr>
                <w:sz w:val="24"/>
              </w:rPr>
            </w:pPr>
            <w:r>
              <w:rPr>
                <w:sz w:val="24"/>
              </w:rPr>
              <w:t>$2</w:t>
            </w:r>
            <w:r w:rsidR="006644CB">
              <w:rPr>
                <w:sz w:val="24"/>
              </w:rPr>
              <w:t>42</w:t>
            </w:r>
          </w:p>
        </w:tc>
      </w:tr>
      <w:tr w:rsidR="00D033A6" w14:paraId="2747AF71" w14:textId="77777777">
        <w:trPr>
          <w:trHeight w:hRule="exact" w:val="302"/>
        </w:trPr>
        <w:tc>
          <w:tcPr>
            <w:tcW w:w="5580" w:type="dxa"/>
          </w:tcPr>
          <w:p w14:paraId="2074A3A1" w14:textId="67B70A06" w:rsidR="00D033A6" w:rsidRDefault="007F4961">
            <w:pPr>
              <w:pStyle w:val="TableParagraph"/>
              <w:rPr>
                <w:sz w:val="24"/>
              </w:rPr>
            </w:pPr>
            <w:r w:rsidRPr="007F4961">
              <w:rPr>
                <w:sz w:val="24"/>
              </w:rPr>
              <w:t>Hourly rate of office clerks, general</w:t>
            </w:r>
          </w:p>
        </w:tc>
        <w:tc>
          <w:tcPr>
            <w:tcW w:w="3149" w:type="dxa"/>
          </w:tcPr>
          <w:p w14:paraId="35B6221E" w14:textId="2E919143" w:rsidR="00D033A6" w:rsidRDefault="007F4961" w:rsidP="002D6550">
            <w:pPr>
              <w:pStyle w:val="TableParagraph"/>
              <w:rPr>
                <w:sz w:val="24"/>
              </w:rPr>
            </w:pPr>
            <w:r>
              <w:rPr>
                <w:sz w:val="24"/>
              </w:rPr>
              <w:t>$32</w:t>
            </w:r>
          </w:p>
        </w:tc>
      </w:tr>
    </w:tbl>
    <w:p w14:paraId="5F571971" w14:textId="77777777" w:rsidR="003E02BB" w:rsidRDefault="003E02BB">
      <w:pPr>
        <w:pStyle w:val="BodyText"/>
        <w:spacing w:before="90" w:line="247" w:lineRule="auto"/>
        <w:ind w:left="171" w:right="251"/>
      </w:pPr>
    </w:p>
    <w:p w14:paraId="2B77FFD5" w14:textId="58F3A292" w:rsidR="00261CB6" w:rsidRDefault="00687609" w:rsidP="009E4EC8">
      <w:pPr>
        <w:pStyle w:val="BodyText"/>
        <w:spacing w:before="90" w:line="247" w:lineRule="auto"/>
        <w:ind w:left="540" w:right="251"/>
      </w:pPr>
      <w:r>
        <w:t xml:space="preserve">Salary data is based on the </w:t>
      </w:r>
      <w:r w:rsidR="008E533E">
        <w:t>Bureau of Labor Statistics (</w:t>
      </w:r>
      <w:r w:rsidR="005E0D4A">
        <w:t>BLS</w:t>
      </w:r>
      <w:r w:rsidR="008E533E">
        <w:t>)</w:t>
      </w:r>
      <w:r w:rsidR="005E0D4A">
        <w:t xml:space="preserve"> </w:t>
      </w:r>
      <w:r w:rsidR="008E533E" w:rsidRPr="008E533E">
        <w:t>May 2017 National Occupational Employment and Wage Estimates</w:t>
      </w:r>
      <w:r>
        <w:t xml:space="preserve"> </w:t>
      </w:r>
      <w:r w:rsidR="005E0D4A">
        <w:t>located</w:t>
      </w:r>
      <w:r>
        <w:t xml:space="preserve"> at</w:t>
      </w:r>
      <w:r w:rsidR="008E533E">
        <w:t xml:space="preserve"> </w:t>
      </w:r>
      <w:hyperlink r:id="rId9" w:history="1">
        <w:r w:rsidR="008E533E" w:rsidRPr="006336D1">
          <w:rPr>
            <w:rStyle w:val="Hyperlink"/>
          </w:rPr>
          <w:t>https://www.bls.gov/oes/current/oes_nat.htm</w:t>
        </w:r>
      </w:hyperlink>
      <w:r w:rsidR="008E533E">
        <w:t xml:space="preserve"> </w:t>
      </w:r>
      <w:r>
        <w:t xml:space="preserve">and apply </w:t>
      </w:r>
      <w:r>
        <w:rPr>
          <w:sz w:val="22"/>
        </w:rPr>
        <w:t xml:space="preserve">to the </w:t>
      </w:r>
      <w:r>
        <w:t>following personnel:</w:t>
      </w:r>
    </w:p>
    <w:p w14:paraId="3DD49CE8" w14:textId="77777777" w:rsidR="00261CB6" w:rsidRDefault="00261CB6" w:rsidP="002C6117">
      <w:pPr>
        <w:pStyle w:val="BodyText"/>
        <w:spacing w:line="247" w:lineRule="auto"/>
        <w:ind w:left="540" w:right="251"/>
      </w:pPr>
    </w:p>
    <w:p w14:paraId="20944BFF" w14:textId="22DD4B8A" w:rsidR="00261CB6" w:rsidRDefault="00687609" w:rsidP="009E4EC8">
      <w:pPr>
        <w:pStyle w:val="BodyText"/>
        <w:spacing w:line="247" w:lineRule="auto"/>
        <w:ind w:left="540" w:right="198"/>
      </w:pPr>
      <w:r>
        <w:t>“Registered nurse” refers to the registered nurse who runs the day to day operation of an ASC, and who, according to the 201</w:t>
      </w:r>
      <w:r w:rsidR="008E533E">
        <w:t>7</w:t>
      </w:r>
      <w:r>
        <w:t xml:space="preserve"> </w:t>
      </w:r>
      <w:r w:rsidR="008E533E">
        <w:rPr>
          <w:color w:val="000000" w:themeColor="text1"/>
          <w:u w:color="0000FF"/>
        </w:rPr>
        <w:t>BLS data</w:t>
      </w:r>
      <w:r>
        <w:rPr>
          <w:color w:val="0000FF"/>
          <w:u w:color="0000FF"/>
        </w:rPr>
        <w:t xml:space="preserve"> </w:t>
      </w:r>
      <w:r>
        <w:t xml:space="preserve">has a </w:t>
      </w:r>
      <w:r w:rsidR="00AA3DE4">
        <w:t xml:space="preserve">mean </w:t>
      </w:r>
      <w:r w:rsidR="003E02BB">
        <w:t>annual income</w:t>
      </w:r>
      <w:r>
        <w:t xml:space="preserve"> of </w:t>
      </w:r>
      <w:r w:rsidR="00AA3DE4" w:rsidRPr="00AA3DE4">
        <w:t>$73,550</w:t>
      </w:r>
      <w:r w:rsidR="003E02BB">
        <w:t xml:space="preserve">, with a </w:t>
      </w:r>
      <w:r w:rsidR="00AA3DE4">
        <w:t xml:space="preserve">mean </w:t>
      </w:r>
      <w:r w:rsidR="003E02BB">
        <w:t xml:space="preserve">hourly </w:t>
      </w:r>
      <w:r w:rsidR="00AA3DE4">
        <w:t xml:space="preserve">wage </w:t>
      </w:r>
      <w:r w:rsidR="003E02BB">
        <w:t xml:space="preserve">of </w:t>
      </w:r>
      <w:r w:rsidR="008E533E">
        <w:t xml:space="preserve">approximately </w:t>
      </w:r>
      <w:r w:rsidR="003E02BB">
        <w:t>$</w:t>
      </w:r>
      <w:r w:rsidR="00AA3DE4">
        <w:t>35</w:t>
      </w:r>
      <w:r w:rsidR="003E02BB">
        <w:t>.  We have factored in a benefits and overhead package equal to 100% of the annual salary, bringing the hourly wage to $</w:t>
      </w:r>
      <w:r w:rsidR="00AA3DE4">
        <w:t>70</w:t>
      </w:r>
      <w:r w:rsidR="003E02BB">
        <w:t xml:space="preserve">. </w:t>
      </w:r>
    </w:p>
    <w:p w14:paraId="46502714" w14:textId="77777777" w:rsidR="00DF7046" w:rsidRDefault="00DF7046" w:rsidP="009E4EC8">
      <w:pPr>
        <w:pStyle w:val="BodyText"/>
        <w:spacing w:line="247" w:lineRule="auto"/>
        <w:ind w:left="540" w:right="198"/>
      </w:pPr>
    </w:p>
    <w:p w14:paraId="2F1FDD3B" w14:textId="08FBFE1C" w:rsidR="00AA3DE4" w:rsidRDefault="00DF7046" w:rsidP="009E4EC8">
      <w:pPr>
        <w:pStyle w:val="BodyText"/>
        <w:spacing w:line="247" w:lineRule="auto"/>
        <w:ind w:left="540" w:right="198"/>
      </w:pPr>
      <w:r>
        <w:t xml:space="preserve">“Administrator” refers to the administrator who runs the day to day operation of the ASC, and who, according to the 2017 BLS data </w:t>
      </w:r>
      <w:r w:rsidRPr="005E0D4A">
        <w:t>has</w:t>
      </w:r>
      <w:r>
        <w:t xml:space="preserve"> a mean annual income of </w:t>
      </w:r>
      <w:r w:rsidRPr="00AA3DE4">
        <w:t>$111,680</w:t>
      </w:r>
      <w:r>
        <w:t>, with a mean hourly wage of approximately $54.  We have factored in a benefits and overhead package equal to 100% of the annual salary, bringing the hourly wage to $108.</w:t>
      </w:r>
    </w:p>
    <w:p w14:paraId="0BF7F8DE" w14:textId="77777777" w:rsidR="00DF7046" w:rsidRDefault="00DF7046" w:rsidP="00AA3DE4">
      <w:pPr>
        <w:pStyle w:val="BodyText"/>
        <w:spacing w:line="247" w:lineRule="auto"/>
        <w:ind w:left="540" w:right="198"/>
      </w:pPr>
    </w:p>
    <w:p w14:paraId="7BCE3E4F" w14:textId="43C0DE0C" w:rsidR="00AA3DE4" w:rsidRDefault="00AA3DE4" w:rsidP="00AA3DE4">
      <w:pPr>
        <w:pStyle w:val="BodyText"/>
        <w:spacing w:line="247" w:lineRule="auto"/>
        <w:ind w:left="540" w:right="198"/>
      </w:pPr>
      <w:r>
        <w:t>“</w:t>
      </w:r>
      <w:r w:rsidR="008E533E">
        <w:t>Physician</w:t>
      </w:r>
      <w:r>
        <w:t xml:space="preserve">” refers to the </w:t>
      </w:r>
      <w:r w:rsidR="008E533E">
        <w:t>physician</w:t>
      </w:r>
      <w:r>
        <w:t xml:space="preserve"> who runs the day to day operation of an ASC, and who, according to the 201</w:t>
      </w:r>
      <w:r w:rsidR="008E533E">
        <w:t>7</w:t>
      </w:r>
      <w:r>
        <w:t xml:space="preserve"> </w:t>
      </w:r>
      <w:r w:rsidR="008E533E">
        <w:t>BLS data</w:t>
      </w:r>
      <w:r>
        <w:rPr>
          <w:color w:val="0000FF"/>
          <w:u w:color="0000FF"/>
        </w:rPr>
        <w:t xml:space="preserve"> </w:t>
      </w:r>
      <w:r>
        <w:t xml:space="preserve">has a mean annual income of </w:t>
      </w:r>
      <w:r w:rsidR="008E533E" w:rsidRPr="008E533E">
        <w:t>$</w:t>
      </w:r>
      <w:r w:rsidR="009C5B76" w:rsidRPr="009C5B76">
        <w:t>251,890</w:t>
      </w:r>
      <w:r>
        <w:t xml:space="preserve">, with a mean hourly wage of </w:t>
      </w:r>
      <w:r w:rsidR="008E533E">
        <w:t>approximately $</w:t>
      </w:r>
      <w:r w:rsidR="009C5B76" w:rsidRPr="009C5B76">
        <w:t>121</w:t>
      </w:r>
      <w:r>
        <w:t>.  We have factored in a benefits and overhead package equal to 100% of the annual salary, bringing the hourly wage to $</w:t>
      </w:r>
      <w:r w:rsidR="009C5B76">
        <w:t>242</w:t>
      </w:r>
      <w:r>
        <w:t xml:space="preserve">. </w:t>
      </w:r>
    </w:p>
    <w:p w14:paraId="41D414A9" w14:textId="77777777" w:rsidR="007F4961" w:rsidRDefault="007F4961" w:rsidP="00AA3DE4">
      <w:pPr>
        <w:pStyle w:val="BodyText"/>
        <w:spacing w:line="247" w:lineRule="auto"/>
        <w:ind w:left="540" w:right="198"/>
      </w:pPr>
    </w:p>
    <w:p w14:paraId="00296BC5" w14:textId="30DFD845" w:rsidR="007F4961" w:rsidRDefault="007F4961" w:rsidP="00AA3DE4">
      <w:pPr>
        <w:pStyle w:val="BodyText"/>
        <w:spacing w:line="247" w:lineRule="auto"/>
        <w:ind w:left="540" w:right="198"/>
      </w:pPr>
      <w:r>
        <w:t>“Office clerk” refers to the clerical staff</w:t>
      </w:r>
      <w:r w:rsidRPr="007F4961">
        <w:t xml:space="preserve"> who run the day to day operation of an ASC, and who, ac</w:t>
      </w:r>
      <w:r>
        <w:t>cording to the 2017 BLS data have</w:t>
      </w:r>
      <w:r w:rsidRPr="007F4961">
        <w:t xml:space="preserve"> a mean annual income of $33,910, with a mean hourly wage of approximately $16.  We have factored in a benefits and overhead package equal to 100% of the annual salary, </w:t>
      </w:r>
      <w:r>
        <w:t>bringing the hourly wage to $32</w:t>
      </w:r>
      <w:r w:rsidRPr="007F4961">
        <w:t>.</w:t>
      </w:r>
    </w:p>
    <w:p w14:paraId="11FCF97C" w14:textId="77777777" w:rsidR="00261CB6" w:rsidRPr="007427A3" w:rsidRDefault="00261CB6">
      <w:pPr>
        <w:pStyle w:val="BodyText"/>
        <w:spacing w:before="1"/>
      </w:pPr>
    </w:p>
    <w:p w14:paraId="30FBBB6D" w14:textId="77777777" w:rsidR="00261CB6" w:rsidRDefault="00687609" w:rsidP="008B52DB">
      <w:pPr>
        <w:pStyle w:val="BodyText"/>
        <w:spacing w:before="1"/>
        <w:ind w:left="180"/>
      </w:pPr>
      <w:r w:rsidRPr="007427A3">
        <w:t>§416.41(c)(1) Standard:  Disaster preparedness plan</w:t>
      </w:r>
      <w:r>
        <w:t>.</w:t>
      </w:r>
    </w:p>
    <w:p w14:paraId="445212F9" w14:textId="77777777" w:rsidR="009E4EC8" w:rsidRDefault="009E4EC8">
      <w:pPr>
        <w:pStyle w:val="BodyText"/>
        <w:spacing w:before="7" w:line="247" w:lineRule="auto"/>
        <w:ind w:left="172" w:right="11" w:firstLine="19"/>
      </w:pPr>
    </w:p>
    <w:p w14:paraId="1BAEB426" w14:textId="77777777" w:rsidR="00261CB6" w:rsidRDefault="00687609" w:rsidP="009E4EC8">
      <w:pPr>
        <w:pStyle w:val="BodyText"/>
        <w:spacing w:before="7" w:line="247" w:lineRule="auto"/>
        <w:ind w:left="540" w:right="11"/>
      </w:pPr>
      <w:r>
        <w:t>The ASC must maintain a written disaster preparedness plan that provides for the emergency care of patients, staff and others in the facility in the event that fire, natural disaster, functional failure of equipment, or other unexpected events or circumstances are likely to threaten the health and safety of those in the ASC. We estimate the burden associated is the time and effort necessary to draft and maintain the written disaster preparedness plan. In addition, there is burden associated with drafting and maintaining the reports on the effectiveness of the plan.</w:t>
      </w:r>
    </w:p>
    <w:p w14:paraId="314364C4" w14:textId="0AA2F547" w:rsidR="00261CB6" w:rsidRDefault="00687609" w:rsidP="009E4EC8">
      <w:pPr>
        <w:pStyle w:val="BodyText"/>
        <w:spacing w:line="247" w:lineRule="auto"/>
        <w:ind w:left="540" w:right="251"/>
      </w:pPr>
      <w:r>
        <w:t>We estimate that an administrator, earning $</w:t>
      </w:r>
      <w:r w:rsidR="002D6550">
        <w:t>108</w:t>
      </w:r>
      <w:r>
        <w:t xml:space="preserve"> per hour, would be largely responsible for developing the plan and for managing the yearly drills and evaluations. We estimate that the yearly cost for one ASC to develop, implement and maintain a disaster preparedness plan will be approximately 4 hours at $</w:t>
      </w:r>
      <w:r w:rsidR="002D6550">
        <w:t>108</w:t>
      </w:r>
      <w:r>
        <w:t xml:space="preserve"> per hour, with a net cost of $</w:t>
      </w:r>
      <w:r w:rsidR="002D6550">
        <w:t>432</w:t>
      </w:r>
      <w:r>
        <w:t xml:space="preserve"> per ASC (4 hours x</w:t>
      </w:r>
      <w:r w:rsidR="007427A3">
        <w:t xml:space="preserve"> </w:t>
      </w:r>
      <w:r>
        <w:t>$</w:t>
      </w:r>
      <w:r w:rsidR="002D6550">
        <w:t>108</w:t>
      </w:r>
      <w:r>
        <w:t>). The total annual burden cost for all ASCs is estimated to be $</w:t>
      </w:r>
      <w:r w:rsidR="002D6550" w:rsidRPr="002D6550">
        <w:t>2</w:t>
      </w:r>
      <w:r w:rsidR="002D6550">
        <w:t>,</w:t>
      </w:r>
      <w:r w:rsidR="002D6550" w:rsidRPr="002D6550">
        <w:t>400</w:t>
      </w:r>
      <w:r w:rsidR="002D6550">
        <w:t>,</w:t>
      </w:r>
      <w:r w:rsidR="002D6550" w:rsidRPr="002D6550">
        <w:t>624</w:t>
      </w:r>
      <w:r w:rsidR="0021340C">
        <w:t xml:space="preserve"> </w:t>
      </w:r>
      <w:r>
        <w:t>($</w:t>
      </w:r>
      <w:r w:rsidR="002D6550">
        <w:t>432</w:t>
      </w:r>
      <w:r>
        <w:t xml:space="preserve"> x </w:t>
      </w:r>
      <w:r w:rsidR="0021340C" w:rsidRPr="0021340C">
        <w:t>5,557</w:t>
      </w:r>
      <w:r>
        <w:t xml:space="preserve"> ASCs).</w:t>
      </w:r>
    </w:p>
    <w:p w14:paraId="017D80AF" w14:textId="77777777" w:rsidR="00261CB6" w:rsidRPr="007427A3" w:rsidRDefault="00261CB6">
      <w:pPr>
        <w:pStyle w:val="BodyText"/>
        <w:spacing w:before="2"/>
      </w:pPr>
    </w:p>
    <w:p w14:paraId="46BE6602" w14:textId="04F3E611" w:rsidR="00261CB6" w:rsidRDefault="00702215" w:rsidP="007427A3">
      <w:pPr>
        <w:pStyle w:val="BodyText"/>
        <w:jc w:val="center"/>
      </w:pPr>
      <w:r>
        <w:t xml:space="preserve">Table 2: </w:t>
      </w:r>
      <w:r w:rsidR="00687609">
        <w:t>G</w:t>
      </w:r>
      <w:r w:rsidR="007427A3">
        <w:t>overning Body and Management Burden Assessment</w:t>
      </w:r>
    </w:p>
    <w:p w14:paraId="115C298E" w14:textId="77777777" w:rsidR="00261CB6" w:rsidRDefault="00261CB6">
      <w:pPr>
        <w:pStyle w:val="BodyText"/>
        <w:rPr>
          <w:sz w:val="25"/>
        </w:rPr>
      </w:pP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1"/>
        <w:gridCol w:w="1874"/>
        <w:gridCol w:w="1344"/>
        <w:gridCol w:w="1255"/>
        <w:gridCol w:w="1296"/>
      </w:tblGrid>
      <w:tr w:rsidR="00261CB6" w14:paraId="3C12A064" w14:textId="77777777">
        <w:trPr>
          <w:trHeight w:hRule="exact" w:val="576"/>
        </w:trPr>
        <w:tc>
          <w:tcPr>
            <w:tcW w:w="3391" w:type="dxa"/>
          </w:tcPr>
          <w:p w14:paraId="17B2EED3" w14:textId="77777777" w:rsidR="00261CB6" w:rsidRDefault="00687609">
            <w:pPr>
              <w:pStyle w:val="TableParagraph"/>
              <w:ind w:left="1244" w:right="1244"/>
              <w:jc w:val="center"/>
              <w:rPr>
                <w:sz w:val="24"/>
              </w:rPr>
            </w:pPr>
            <w:r>
              <w:rPr>
                <w:sz w:val="24"/>
              </w:rPr>
              <w:t>Standard</w:t>
            </w:r>
          </w:p>
        </w:tc>
        <w:tc>
          <w:tcPr>
            <w:tcW w:w="1874" w:type="dxa"/>
          </w:tcPr>
          <w:p w14:paraId="4680DE02" w14:textId="77777777" w:rsidR="00261CB6" w:rsidRDefault="00687609">
            <w:pPr>
              <w:pStyle w:val="TableParagraph"/>
              <w:spacing w:line="247" w:lineRule="auto"/>
              <w:ind w:left="585" w:right="213" w:hanging="353"/>
              <w:rPr>
                <w:sz w:val="24"/>
              </w:rPr>
            </w:pPr>
            <w:r>
              <w:rPr>
                <w:sz w:val="24"/>
              </w:rPr>
              <w:t>Time per ASC (hours)</w:t>
            </w:r>
          </w:p>
        </w:tc>
        <w:tc>
          <w:tcPr>
            <w:tcW w:w="1344" w:type="dxa"/>
          </w:tcPr>
          <w:p w14:paraId="58D1C5E5" w14:textId="77777777" w:rsidR="00261CB6" w:rsidRDefault="00687609">
            <w:pPr>
              <w:pStyle w:val="TableParagraph"/>
              <w:spacing w:line="247" w:lineRule="auto"/>
              <w:ind w:left="321" w:right="152" w:hanging="152"/>
              <w:rPr>
                <w:sz w:val="24"/>
              </w:rPr>
            </w:pPr>
            <w:r>
              <w:rPr>
                <w:sz w:val="24"/>
              </w:rPr>
              <w:t>Total time (hours)</w:t>
            </w:r>
          </w:p>
        </w:tc>
        <w:tc>
          <w:tcPr>
            <w:tcW w:w="1255" w:type="dxa"/>
          </w:tcPr>
          <w:p w14:paraId="02A1D3DD" w14:textId="77777777" w:rsidR="00261CB6" w:rsidRDefault="00687609">
            <w:pPr>
              <w:pStyle w:val="TableParagraph"/>
              <w:spacing w:line="247" w:lineRule="auto"/>
              <w:ind w:left="388" w:right="202" w:hanging="171"/>
              <w:rPr>
                <w:sz w:val="24"/>
              </w:rPr>
            </w:pPr>
            <w:r>
              <w:rPr>
                <w:sz w:val="24"/>
              </w:rPr>
              <w:t>Cost per ASC</w:t>
            </w:r>
          </w:p>
        </w:tc>
        <w:tc>
          <w:tcPr>
            <w:tcW w:w="1296" w:type="dxa"/>
          </w:tcPr>
          <w:p w14:paraId="15496775" w14:textId="77777777" w:rsidR="00261CB6" w:rsidRDefault="00687609">
            <w:pPr>
              <w:pStyle w:val="TableParagraph"/>
              <w:ind w:left="103"/>
              <w:rPr>
                <w:sz w:val="24"/>
              </w:rPr>
            </w:pPr>
            <w:r>
              <w:rPr>
                <w:sz w:val="24"/>
              </w:rPr>
              <w:t>Total cost</w:t>
            </w:r>
          </w:p>
        </w:tc>
      </w:tr>
      <w:tr w:rsidR="00261CB6" w14:paraId="79387570" w14:textId="77777777">
        <w:trPr>
          <w:trHeight w:hRule="exact" w:val="293"/>
        </w:trPr>
        <w:tc>
          <w:tcPr>
            <w:tcW w:w="3391" w:type="dxa"/>
          </w:tcPr>
          <w:p w14:paraId="319FDF3E" w14:textId="77777777" w:rsidR="00261CB6" w:rsidRDefault="00687609">
            <w:pPr>
              <w:pStyle w:val="TableParagraph"/>
              <w:ind w:left="103"/>
              <w:rPr>
                <w:sz w:val="24"/>
              </w:rPr>
            </w:pPr>
            <w:r>
              <w:rPr>
                <w:sz w:val="24"/>
              </w:rPr>
              <w:t>Disaster preparedness plan</w:t>
            </w:r>
          </w:p>
        </w:tc>
        <w:tc>
          <w:tcPr>
            <w:tcW w:w="1874" w:type="dxa"/>
          </w:tcPr>
          <w:p w14:paraId="5D4408DD" w14:textId="77777777" w:rsidR="00261CB6" w:rsidRDefault="00687609">
            <w:pPr>
              <w:pStyle w:val="TableParagraph"/>
              <w:jc w:val="center"/>
              <w:rPr>
                <w:sz w:val="24"/>
              </w:rPr>
            </w:pPr>
            <w:r>
              <w:rPr>
                <w:sz w:val="24"/>
              </w:rPr>
              <w:t>4</w:t>
            </w:r>
          </w:p>
        </w:tc>
        <w:tc>
          <w:tcPr>
            <w:tcW w:w="1344" w:type="dxa"/>
          </w:tcPr>
          <w:p w14:paraId="16150118" w14:textId="5C43CCC4" w:rsidR="00261CB6" w:rsidRDefault="00687609" w:rsidP="004C6C11">
            <w:pPr>
              <w:pStyle w:val="TableParagraph"/>
              <w:ind w:left="335"/>
              <w:rPr>
                <w:sz w:val="24"/>
              </w:rPr>
            </w:pPr>
            <w:r>
              <w:rPr>
                <w:sz w:val="24"/>
              </w:rPr>
              <w:t>2</w:t>
            </w:r>
            <w:r w:rsidR="003E02BB">
              <w:rPr>
                <w:sz w:val="24"/>
              </w:rPr>
              <w:t>2</w:t>
            </w:r>
            <w:r>
              <w:rPr>
                <w:sz w:val="24"/>
              </w:rPr>
              <w:t>,</w:t>
            </w:r>
            <w:r w:rsidR="0021340C">
              <w:rPr>
                <w:sz w:val="24"/>
              </w:rPr>
              <w:t>228</w:t>
            </w:r>
          </w:p>
        </w:tc>
        <w:tc>
          <w:tcPr>
            <w:tcW w:w="1255" w:type="dxa"/>
          </w:tcPr>
          <w:p w14:paraId="3ED7C465" w14:textId="30135438" w:rsidR="00261CB6" w:rsidRDefault="00687609">
            <w:pPr>
              <w:pStyle w:val="TableParagraph"/>
              <w:ind w:left="232"/>
              <w:rPr>
                <w:sz w:val="24"/>
              </w:rPr>
            </w:pPr>
            <w:r>
              <w:rPr>
                <w:sz w:val="24"/>
              </w:rPr>
              <w:t>$</w:t>
            </w:r>
            <w:r w:rsidR="002D6550">
              <w:rPr>
                <w:sz w:val="24"/>
              </w:rPr>
              <w:t>432</w:t>
            </w:r>
          </w:p>
        </w:tc>
        <w:tc>
          <w:tcPr>
            <w:tcW w:w="1296" w:type="dxa"/>
          </w:tcPr>
          <w:p w14:paraId="769625E3" w14:textId="6A57B7FF" w:rsidR="00261CB6" w:rsidRDefault="002D6550" w:rsidP="004C6C11">
            <w:pPr>
              <w:pStyle w:val="TableParagraph"/>
              <w:ind w:left="103"/>
              <w:rPr>
                <w:sz w:val="24"/>
              </w:rPr>
            </w:pPr>
            <w:r w:rsidRPr="002D6550">
              <w:rPr>
                <w:sz w:val="24"/>
              </w:rPr>
              <w:t>$2,400,624</w:t>
            </w:r>
          </w:p>
        </w:tc>
      </w:tr>
    </w:tbl>
    <w:p w14:paraId="05FE532F" w14:textId="77777777" w:rsidR="00261CB6" w:rsidRPr="00700EC3" w:rsidRDefault="00261CB6">
      <w:pPr>
        <w:pStyle w:val="BodyText"/>
      </w:pPr>
    </w:p>
    <w:p w14:paraId="08C9F18B" w14:textId="64962E61" w:rsidR="00261CB6" w:rsidRPr="00700EC3" w:rsidRDefault="00687609">
      <w:pPr>
        <w:pStyle w:val="BodyText"/>
        <w:spacing w:before="216" w:line="247" w:lineRule="auto"/>
        <w:ind w:left="191" w:right="3283"/>
      </w:pPr>
      <w:r w:rsidRPr="00700EC3">
        <w:t>§416.43</w:t>
      </w:r>
      <w:r w:rsidR="002D6550">
        <w:t>(</w:t>
      </w:r>
      <w:r w:rsidRPr="00700EC3">
        <w:t>d</w:t>
      </w:r>
      <w:r w:rsidR="002D6550">
        <w:t>)</w:t>
      </w:r>
      <w:r w:rsidRPr="00700EC3">
        <w:t xml:space="preserve"> Standard:  Performance improvement projects</w:t>
      </w:r>
      <w:r w:rsidR="002D6550">
        <w:t>.</w:t>
      </w:r>
    </w:p>
    <w:p w14:paraId="46440F34" w14:textId="77777777" w:rsidR="009E4EC8" w:rsidRDefault="009E4EC8">
      <w:pPr>
        <w:pStyle w:val="BodyText"/>
        <w:spacing w:line="247" w:lineRule="auto"/>
        <w:ind w:left="171" w:right="251"/>
      </w:pPr>
    </w:p>
    <w:p w14:paraId="5D2B0CD9" w14:textId="3805A1AF" w:rsidR="00261CB6" w:rsidRDefault="00687609" w:rsidP="00700EC3">
      <w:pPr>
        <w:pStyle w:val="BodyText"/>
        <w:spacing w:line="276" w:lineRule="auto"/>
        <w:ind w:left="450" w:right="251"/>
      </w:pPr>
      <w:r>
        <w:t>An ASC must develop, implement, and maintain an effective, ongoing, data-driven quality assessment and performance improvement (QAPI) program. In addition, the ASC must maintain documentary evidence of its quality assessment and performance improvement program. The QAPI program must be able to demonstrate measurable improvement in indicators related to improved health outcomes and by the identification and reduction of medical errors.  An ASC must use all relevant quality indicator data to design its QAPI</w:t>
      </w:r>
      <w:r w:rsidR="00700EC3">
        <w:t xml:space="preserve"> </w:t>
      </w:r>
      <w:r>
        <w:t>program, monitor the effectiveness and safety of services and quality of care, identify, and prioritize improvement opportunities. An ASC must track adverse patient events, analyze their causes, and implement preventative actions and mechanisms that include feedback and learning throughout the ASC. An ASC must measure its success and track performance in its performance improvement initiatives to ensure that the improvements are continuous</w:t>
      </w:r>
      <w:r>
        <w:rPr>
          <w:b/>
        </w:rPr>
        <w:t>.</w:t>
      </w:r>
      <w:r w:rsidR="00700EC3">
        <w:rPr>
          <w:b/>
        </w:rPr>
        <w:t xml:space="preserve"> </w:t>
      </w:r>
      <w:r>
        <w:t>The burden associated with the requirements contained in §416.43 is the time and effort necessary to develop, draft, and implement a QAPI program. As part of implementing the QAPI program, an ASC must record quality data for performance improvement initiatives. We estimate that it will take 12 hours for each ASC to develop its own quality assessment performance improvement program. We also estimate that each ASC would spend 18 hours a year collecting, analyzing and documenting the projects that are being conducted. The ASC must document, at a minimum, the reason for implementing the project, and a description of the project’s results.  Both the program development and the improvement projects would most likely be managed by the ASC’s administrator. Based on an hourly rate of $</w:t>
      </w:r>
      <w:r w:rsidR="009773F2">
        <w:t>108</w:t>
      </w:r>
      <w:r>
        <w:t>, the total burden associated with these requirements per ASC is $</w:t>
      </w:r>
      <w:r w:rsidR="009773F2" w:rsidRPr="009773F2">
        <w:t>3</w:t>
      </w:r>
      <w:r w:rsidR="009773F2">
        <w:t>,</w:t>
      </w:r>
      <w:r w:rsidR="009773F2" w:rsidRPr="009773F2">
        <w:t>240</w:t>
      </w:r>
      <w:r>
        <w:t xml:space="preserve"> (30 hours x $</w:t>
      </w:r>
      <w:r w:rsidR="009773F2">
        <w:t>108</w:t>
      </w:r>
      <w:r>
        <w:t>). The total annual burden cost for the ASC industry is $</w:t>
      </w:r>
      <w:r w:rsidR="009773F2" w:rsidRPr="009773F2">
        <w:t>18</w:t>
      </w:r>
      <w:r w:rsidR="009773F2">
        <w:t>,</w:t>
      </w:r>
      <w:r w:rsidR="009773F2" w:rsidRPr="009773F2">
        <w:t>004</w:t>
      </w:r>
      <w:r w:rsidR="009773F2">
        <w:t>,</w:t>
      </w:r>
      <w:r w:rsidR="009773F2" w:rsidRPr="009773F2">
        <w:t>680</w:t>
      </w:r>
      <w:r w:rsidR="00697805">
        <w:t xml:space="preserve"> </w:t>
      </w:r>
      <w:r>
        <w:t>($</w:t>
      </w:r>
      <w:r w:rsidR="009773F2" w:rsidRPr="009773F2">
        <w:t>3,240</w:t>
      </w:r>
      <w:r>
        <w:t xml:space="preserve"> x </w:t>
      </w:r>
      <w:r w:rsidR="0021340C" w:rsidRPr="0021340C">
        <w:t>5,557</w:t>
      </w:r>
      <w:r>
        <w:t xml:space="preserve"> ASCs)</w:t>
      </w:r>
    </w:p>
    <w:p w14:paraId="1D461BBB" w14:textId="77777777" w:rsidR="00261CB6" w:rsidRPr="00700EC3" w:rsidRDefault="00261CB6">
      <w:pPr>
        <w:pStyle w:val="BodyText"/>
        <w:spacing w:before="3"/>
      </w:pPr>
    </w:p>
    <w:p w14:paraId="25A298AC" w14:textId="429F0299" w:rsidR="00261CB6" w:rsidRDefault="00702215" w:rsidP="00700EC3">
      <w:pPr>
        <w:pStyle w:val="BodyText"/>
        <w:jc w:val="center"/>
      </w:pPr>
      <w:r>
        <w:t xml:space="preserve">Table 3: </w:t>
      </w:r>
      <w:r w:rsidR="00687609">
        <w:t>Q</w:t>
      </w:r>
      <w:r w:rsidR="00700EC3">
        <w:t>uality Assessment and Performance Improvement Burden Assessment</w:t>
      </w:r>
    </w:p>
    <w:p w14:paraId="094F9F6C" w14:textId="77777777" w:rsidR="00700EC3" w:rsidRDefault="00700EC3" w:rsidP="004B45BF">
      <w:pPr>
        <w:pStyle w:val="BodyText"/>
        <w:spacing w:line="247" w:lineRule="auto"/>
        <w:ind w:left="3744" w:hanging="3192"/>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5"/>
        <w:gridCol w:w="1913"/>
        <w:gridCol w:w="1330"/>
        <w:gridCol w:w="1236"/>
        <w:gridCol w:w="1346"/>
      </w:tblGrid>
      <w:tr w:rsidR="00261CB6" w14:paraId="46AB8C17" w14:textId="77777777">
        <w:trPr>
          <w:trHeight w:hRule="exact" w:val="576"/>
        </w:trPr>
        <w:tc>
          <w:tcPr>
            <w:tcW w:w="3535" w:type="dxa"/>
          </w:tcPr>
          <w:p w14:paraId="69C7B9C0" w14:textId="77777777" w:rsidR="00261CB6" w:rsidRDefault="00687609">
            <w:pPr>
              <w:pStyle w:val="TableParagraph"/>
              <w:ind w:left="870" w:right="870"/>
              <w:jc w:val="center"/>
              <w:rPr>
                <w:sz w:val="24"/>
              </w:rPr>
            </w:pPr>
            <w:r>
              <w:rPr>
                <w:sz w:val="24"/>
              </w:rPr>
              <w:t>Standard</w:t>
            </w:r>
          </w:p>
        </w:tc>
        <w:tc>
          <w:tcPr>
            <w:tcW w:w="1913" w:type="dxa"/>
          </w:tcPr>
          <w:p w14:paraId="2E2DEE97" w14:textId="77777777" w:rsidR="00261CB6" w:rsidRDefault="00687609">
            <w:pPr>
              <w:pStyle w:val="TableParagraph"/>
              <w:spacing w:line="247" w:lineRule="auto"/>
              <w:ind w:left="604" w:right="232" w:hanging="353"/>
              <w:rPr>
                <w:sz w:val="24"/>
              </w:rPr>
            </w:pPr>
            <w:r>
              <w:rPr>
                <w:sz w:val="24"/>
              </w:rPr>
              <w:t>Time per ASC (hours)</w:t>
            </w:r>
          </w:p>
        </w:tc>
        <w:tc>
          <w:tcPr>
            <w:tcW w:w="1330" w:type="dxa"/>
          </w:tcPr>
          <w:p w14:paraId="3326E9A7" w14:textId="77777777" w:rsidR="00261CB6" w:rsidRDefault="00687609">
            <w:pPr>
              <w:pStyle w:val="TableParagraph"/>
              <w:spacing w:line="247" w:lineRule="auto"/>
              <w:ind w:left="311" w:right="147" w:hanging="152"/>
              <w:rPr>
                <w:sz w:val="24"/>
              </w:rPr>
            </w:pPr>
            <w:r>
              <w:rPr>
                <w:sz w:val="24"/>
              </w:rPr>
              <w:t>Total time (hours)</w:t>
            </w:r>
          </w:p>
        </w:tc>
        <w:tc>
          <w:tcPr>
            <w:tcW w:w="1236" w:type="dxa"/>
          </w:tcPr>
          <w:p w14:paraId="76DE7A7D" w14:textId="77777777" w:rsidR="00261CB6" w:rsidRDefault="00687609">
            <w:pPr>
              <w:pStyle w:val="TableParagraph"/>
              <w:spacing w:line="247" w:lineRule="auto"/>
              <w:ind w:left="379" w:right="191" w:hanging="171"/>
              <w:rPr>
                <w:sz w:val="24"/>
              </w:rPr>
            </w:pPr>
            <w:r>
              <w:rPr>
                <w:sz w:val="24"/>
              </w:rPr>
              <w:t>Cost per ASC</w:t>
            </w:r>
          </w:p>
        </w:tc>
        <w:tc>
          <w:tcPr>
            <w:tcW w:w="1346" w:type="dxa"/>
          </w:tcPr>
          <w:p w14:paraId="500E10E9" w14:textId="77777777" w:rsidR="00261CB6" w:rsidRDefault="00687609">
            <w:pPr>
              <w:pStyle w:val="TableParagraph"/>
              <w:ind w:right="190"/>
              <w:jc w:val="right"/>
              <w:rPr>
                <w:sz w:val="24"/>
              </w:rPr>
            </w:pPr>
            <w:r>
              <w:rPr>
                <w:sz w:val="24"/>
              </w:rPr>
              <w:t>Total cost</w:t>
            </w:r>
          </w:p>
        </w:tc>
      </w:tr>
      <w:tr w:rsidR="00261CB6" w14:paraId="1691370F" w14:textId="77777777">
        <w:trPr>
          <w:trHeight w:hRule="exact" w:val="293"/>
        </w:trPr>
        <w:tc>
          <w:tcPr>
            <w:tcW w:w="3535" w:type="dxa"/>
          </w:tcPr>
          <w:p w14:paraId="3E2A3934" w14:textId="77777777" w:rsidR="00261CB6" w:rsidRDefault="00687609">
            <w:pPr>
              <w:pStyle w:val="TableParagraph"/>
              <w:ind w:left="875" w:right="870"/>
              <w:jc w:val="center"/>
              <w:rPr>
                <w:sz w:val="24"/>
              </w:rPr>
            </w:pPr>
            <w:r>
              <w:rPr>
                <w:sz w:val="24"/>
              </w:rPr>
              <w:t>Developing QAPI</w:t>
            </w:r>
          </w:p>
        </w:tc>
        <w:tc>
          <w:tcPr>
            <w:tcW w:w="1913" w:type="dxa"/>
          </w:tcPr>
          <w:p w14:paraId="74E15A7A" w14:textId="77777777" w:rsidR="00261CB6" w:rsidRDefault="00687609">
            <w:pPr>
              <w:pStyle w:val="TableParagraph"/>
              <w:ind w:left="830"/>
              <w:rPr>
                <w:sz w:val="24"/>
              </w:rPr>
            </w:pPr>
            <w:r>
              <w:rPr>
                <w:sz w:val="24"/>
              </w:rPr>
              <w:t>12</w:t>
            </w:r>
          </w:p>
        </w:tc>
        <w:tc>
          <w:tcPr>
            <w:tcW w:w="1330" w:type="dxa"/>
          </w:tcPr>
          <w:p w14:paraId="0458EB51" w14:textId="079FCD3C" w:rsidR="00261CB6" w:rsidRDefault="00687609" w:rsidP="004C6C11">
            <w:pPr>
              <w:pStyle w:val="TableParagraph"/>
              <w:ind w:left="328"/>
              <w:rPr>
                <w:sz w:val="24"/>
              </w:rPr>
            </w:pPr>
            <w:r>
              <w:rPr>
                <w:sz w:val="24"/>
              </w:rPr>
              <w:t>6</w:t>
            </w:r>
            <w:r w:rsidR="004B45BF">
              <w:rPr>
                <w:sz w:val="24"/>
              </w:rPr>
              <w:t>6</w:t>
            </w:r>
            <w:r>
              <w:rPr>
                <w:sz w:val="24"/>
              </w:rPr>
              <w:t>,</w:t>
            </w:r>
            <w:r w:rsidR="00697805">
              <w:rPr>
                <w:sz w:val="24"/>
              </w:rPr>
              <w:t>684</w:t>
            </w:r>
          </w:p>
        </w:tc>
        <w:tc>
          <w:tcPr>
            <w:tcW w:w="1236" w:type="dxa"/>
          </w:tcPr>
          <w:p w14:paraId="6248329A" w14:textId="18913DC2" w:rsidR="00261CB6" w:rsidRDefault="00687609" w:rsidP="004B45BF">
            <w:pPr>
              <w:pStyle w:val="TableParagraph"/>
              <w:ind w:left="263" w:right="263"/>
              <w:jc w:val="center"/>
              <w:rPr>
                <w:sz w:val="24"/>
              </w:rPr>
            </w:pPr>
            <w:r>
              <w:rPr>
                <w:sz w:val="24"/>
              </w:rPr>
              <w:t>$</w:t>
            </w:r>
            <w:r w:rsidR="009773F2" w:rsidRPr="009773F2">
              <w:rPr>
                <w:sz w:val="24"/>
              </w:rPr>
              <w:t>1</w:t>
            </w:r>
            <w:r w:rsidR="009773F2">
              <w:rPr>
                <w:sz w:val="24"/>
              </w:rPr>
              <w:t>,</w:t>
            </w:r>
            <w:r w:rsidR="009773F2" w:rsidRPr="009773F2">
              <w:rPr>
                <w:sz w:val="24"/>
              </w:rPr>
              <w:t>296</w:t>
            </w:r>
          </w:p>
        </w:tc>
        <w:tc>
          <w:tcPr>
            <w:tcW w:w="1346" w:type="dxa"/>
          </w:tcPr>
          <w:p w14:paraId="06CA3649" w14:textId="403B737C" w:rsidR="00261CB6" w:rsidRDefault="00687609" w:rsidP="004C6C11">
            <w:pPr>
              <w:pStyle w:val="TableParagraph"/>
              <w:ind w:right="127"/>
              <w:jc w:val="right"/>
              <w:rPr>
                <w:sz w:val="24"/>
              </w:rPr>
            </w:pPr>
            <w:r>
              <w:rPr>
                <w:sz w:val="24"/>
              </w:rPr>
              <w:t>$</w:t>
            </w:r>
            <w:r w:rsidR="009773F2" w:rsidRPr="009773F2">
              <w:rPr>
                <w:sz w:val="24"/>
              </w:rPr>
              <w:t>7</w:t>
            </w:r>
            <w:r w:rsidR="009773F2">
              <w:rPr>
                <w:sz w:val="24"/>
              </w:rPr>
              <w:t>,</w:t>
            </w:r>
            <w:r w:rsidR="009773F2" w:rsidRPr="009773F2">
              <w:rPr>
                <w:sz w:val="24"/>
              </w:rPr>
              <w:t>201</w:t>
            </w:r>
            <w:r w:rsidR="009773F2">
              <w:rPr>
                <w:sz w:val="24"/>
              </w:rPr>
              <w:t>,</w:t>
            </w:r>
            <w:r w:rsidR="009773F2" w:rsidRPr="009773F2">
              <w:rPr>
                <w:sz w:val="24"/>
              </w:rPr>
              <w:t>872</w:t>
            </w:r>
          </w:p>
        </w:tc>
      </w:tr>
      <w:tr w:rsidR="00261CB6" w14:paraId="31471399" w14:textId="77777777">
        <w:trPr>
          <w:trHeight w:hRule="exact" w:val="576"/>
        </w:trPr>
        <w:tc>
          <w:tcPr>
            <w:tcW w:w="3535" w:type="dxa"/>
          </w:tcPr>
          <w:p w14:paraId="5BF9F830" w14:textId="77777777" w:rsidR="00261CB6" w:rsidRDefault="00687609">
            <w:pPr>
              <w:pStyle w:val="TableParagraph"/>
              <w:spacing w:line="247" w:lineRule="auto"/>
              <w:ind w:left="1370" w:hanging="1263"/>
              <w:rPr>
                <w:sz w:val="24"/>
              </w:rPr>
            </w:pPr>
            <w:r>
              <w:rPr>
                <w:sz w:val="24"/>
              </w:rPr>
              <w:t>Collecting/analyzing/documenting findings</w:t>
            </w:r>
          </w:p>
        </w:tc>
        <w:tc>
          <w:tcPr>
            <w:tcW w:w="1913" w:type="dxa"/>
          </w:tcPr>
          <w:p w14:paraId="1FB33D0E" w14:textId="77777777" w:rsidR="00261CB6" w:rsidRDefault="00687609">
            <w:pPr>
              <w:pStyle w:val="TableParagraph"/>
              <w:ind w:left="830"/>
              <w:rPr>
                <w:sz w:val="24"/>
              </w:rPr>
            </w:pPr>
            <w:r>
              <w:rPr>
                <w:sz w:val="24"/>
              </w:rPr>
              <w:t>18</w:t>
            </w:r>
          </w:p>
        </w:tc>
        <w:tc>
          <w:tcPr>
            <w:tcW w:w="1330" w:type="dxa"/>
          </w:tcPr>
          <w:p w14:paraId="3A39FFFA" w14:textId="64D73476" w:rsidR="00261CB6" w:rsidRDefault="00697805" w:rsidP="004C6C11">
            <w:pPr>
              <w:pStyle w:val="TableParagraph"/>
              <w:ind w:left="328"/>
              <w:rPr>
                <w:sz w:val="24"/>
              </w:rPr>
            </w:pPr>
            <w:r>
              <w:rPr>
                <w:sz w:val="24"/>
              </w:rPr>
              <w:t>100</w:t>
            </w:r>
            <w:r w:rsidR="00687609">
              <w:rPr>
                <w:sz w:val="24"/>
              </w:rPr>
              <w:t>,</w:t>
            </w:r>
            <w:r>
              <w:rPr>
                <w:sz w:val="24"/>
              </w:rPr>
              <w:t>026</w:t>
            </w:r>
          </w:p>
        </w:tc>
        <w:tc>
          <w:tcPr>
            <w:tcW w:w="1236" w:type="dxa"/>
          </w:tcPr>
          <w:p w14:paraId="5E1DF502" w14:textId="2F047925" w:rsidR="00261CB6" w:rsidRDefault="00687609" w:rsidP="004B45BF">
            <w:pPr>
              <w:pStyle w:val="TableParagraph"/>
              <w:ind w:left="263" w:right="263"/>
              <w:jc w:val="center"/>
              <w:rPr>
                <w:sz w:val="24"/>
              </w:rPr>
            </w:pPr>
            <w:r>
              <w:rPr>
                <w:sz w:val="24"/>
              </w:rPr>
              <w:t>$</w:t>
            </w:r>
            <w:r w:rsidR="009773F2" w:rsidRPr="009773F2">
              <w:rPr>
                <w:sz w:val="24"/>
              </w:rPr>
              <w:t>1</w:t>
            </w:r>
            <w:r w:rsidR="009773F2">
              <w:rPr>
                <w:sz w:val="24"/>
              </w:rPr>
              <w:t>,</w:t>
            </w:r>
            <w:r w:rsidR="009773F2" w:rsidRPr="009773F2">
              <w:rPr>
                <w:sz w:val="24"/>
              </w:rPr>
              <w:t>944</w:t>
            </w:r>
          </w:p>
        </w:tc>
        <w:tc>
          <w:tcPr>
            <w:tcW w:w="1346" w:type="dxa"/>
          </w:tcPr>
          <w:p w14:paraId="3E4D29BD" w14:textId="6E9EE71D" w:rsidR="00261CB6" w:rsidRDefault="00687609">
            <w:pPr>
              <w:pStyle w:val="TableParagraph"/>
              <w:ind w:right="127"/>
              <w:jc w:val="right"/>
              <w:rPr>
                <w:sz w:val="24"/>
              </w:rPr>
            </w:pPr>
            <w:r>
              <w:rPr>
                <w:sz w:val="24"/>
              </w:rPr>
              <w:t>$</w:t>
            </w:r>
            <w:r w:rsidR="009773F2" w:rsidRPr="009773F2">
              <w:rPr>
                <w:sz w:val="24"/>
              </w:rPr>
              <w:t>10</w:t>
            </w:r>
            <w:r w:rsidR="009773F2">
              <w:rPr>
                <w:sz w:val="24"/>
              </w:rPr>
              <w:t>,</w:t>
            </w:r>
            <w:r w:rsidR="009773F2" w:rsidRPr="009773F2">
              <w:rPr>
                <w:sz w:val="24"/>
              </w:rPr>
              <w:t>802</w:t>
            </w:r>
            <w:r w:rsidR="009773F2">
              <w:rPr>
                <w:sz w:val="24"/>
              </w:rPr>
              <w:t>,</w:t>
            </w:r>
            <w:r w:rsidR="009773F2" w:rsidRPr="009773F2">
              <w:rPr>
                <w:sz w:val="24"/>
              </w:rPr>
              <w:t>808</w:t>
            </w:r>
          </w:p>
        </w:tc>
      </w:tr>
      <w:tr w:rsidR="00261CB6" w14:paraId="47C0C212" w14:textId="77777777">
        <w:trPr>
          <w:trHeight w:hRule="exact" w:val="293"/>
        </w:trPr>
        <w:tc>
          <w:tcPr>
            <w:tcW w:w="3535" w:type="dxa"/>
          </w:tcPr>
          <w:p w14:paraId="0EC7A98E" w14:textId="77777777" w:rsidR="00261CB6" w:rsidRDefault="00687609">
            <w:pPr>
              <w:pStyle w:val="TableParagraph"/>
              <w:ind w:left="870" w:right="870"/>
              <w:jc w:val="center"/>
              <w:rPr>
                <w:sz w:val="24"/>
              </w:rPr>
            </w:pPr>
            <w:r>
              <w:rPr>
                <w:sz w:val="24"/>
              </w:rPr>
              <w:t>Annual total</w:t>
            </w:r>
          </w:p>
        </w:tc>
        <w:tc>
          <w:tcPr>
            <w:tcW w:w="1913" w:type="dxa"/>
          </w:tcPr>
          <w:p w14:paraId="1CC05F51" w14:textId="77777777" w:rsidR="00261CB6" w:rsidRDefault="00687609">
            <w:pPr>
              <w:pStyle w:val="TableParagraph"/>
              <w:ind w:left="830"/>
              <w:rPr>
                <w:sz w:val="24"/>
              </w:rPr>
            </w:pPr>
            <w:r>
              <w:rPr>
                <w:sz w:val="24"/>
              </w:rPr>
              <w:t>30</w:t>
            </w:r>
          </w:p>
        </w:tc>
        <w:tc>
          <w:tcPr>
            <w:tcW w:w="1330" w:type="dxa"/>
          </w:tcPr>
          <w:p w14:paraId="1B1558C8" w14:textId="4313151A" w:rsidR="00261CB6" w:rsidRDefault="00697805" w:rsidP="004C6C11">
            <w:pPr>
              <w:pStyle w:val="TableParagraph"/>
              <w:ind w:left="268"/>
              <w:rPr>
                <w:sz w:val="24"/>
              </w:rPr>
            </w:pPr>
            <w:r>
              <w:rPr>
                <w:sz w:val="24"/>
              </w:rPr>
              <w:t>166</w:t>
            </w:r>
            <w:r w:rsidR="00687609">
              <w:rPr>
                <w:sz w:val="24"/>
              </w:rPr>
              <w:t>,</w:t>
            </w:r>
            <w:r>
              <w:rPr>
                <w:sz w:val="24"/>
              </w:rPr>
              <w:t>710</w:t>
            </w:r>
          </w:p>
        </w:tc>
        <w:tc>
          <w:tcPr>
            <w:tcW w:w="1236" w:type="dxa"/>
          </w:tcPr>
          <w:p w14:paraId="1CFBA688" w14:textId="59A74F4F" w:rsidR="00261CB6" w:rsidRDefault="009773F2" w:rsidP="004B45BF">
            <w:pPr>
              <w:pStyle w:val="TableParagraph"/>
              <w:ind w:left="263" w:right="263"/>
              <w:jc w:val="center"/>
              <w:rPr>
                <w:sz w:val="24"/>
              </w:rPr>
            </w:pPr>
            <w:r w:rsidRPr="009773F2">
              <w:rPr>
                <w:sz w:val="24"/>
              </w:rPr>
              <w:t>$3,240</w:t>
            </w:r>
          </w:p>
        </w:tc>
        <w:tc>
          <w:tcPr>
            <w:tcW w:w="1346" w:type="dxa"/>
          </w:tcPr>
          <w:p w14:paraId="7D3079E2" w14:textId="35F1359A" w:rsidR="00261CB6" w:rsidRDefault="009773F2" w:rsidP="004C6C11">
            <w:pPr>
              <w:pStyle w:val="TableParagraph"/>
              <w:ind w:right="127"/>
              <w:jc w:val="right"/>
              <w:rPr>
                <w:sz w:val="24"/>
              </w:rPr>
            </w:pPr>
            <w:r w:rsidRPr="009773F2">
              <w:rPr>
                <w:sz w:val="24"/>
              </w:rPr>
              <w:t>$18,004,680</w:t>
            </w:r>
          </w:p>
        </w:tc>
      </w:tr>
    </w:tbl>
    <w:p w14:paraId="222CC823" w14:textId="77777777" w:rsidR="00261CB6" w:rsidRPr="00700EC3" w:rsidRDefault="00261CB6">
      <w:pPr>
        <w:pStyle w:val="BodyText"/>
        <w:spacing w:before="4"/>
      </w:pPr>
    </w:p>
    <w:p w14:paraId="0C3BB27F" w14:textId="4E61DA56" w:rsidR="00316AC6" w:rsidRDefault="00316AC6" w:rsidP="00316AC6">
      <w:pPr>
        <w:pStyle w:val="BodyText"/>
        <w:ind w:left="180"/>
      </w:pPr>
      <w:r>
        <w:t xml:space="preserve">§416.47 </w:t>
      </w:r>
      <w:r w:rsidRPr="00316AC6">
        <w:t>Condition for coverage - Medical records</w:t>
      </w:r>
      <w:r w:rsidR="002D6550">
        <w:t>.</w:t>
      </w:r>
    </w:p>
    <w:p w14:paraId="4D4B529F" w14:textId="77777777" w:rsidR="00316AC6" w:rsidRDefault="00316AC6" w:rsidP="00316AC6">
      <w:pPr>
        <w:pStyle w:val="BodyText"/>
        <w:ind w:left="180"/>
      </w:pPr>
    </w:p>
    <w:p w14:paraId="10A80823" w14:textId="366A855F" w:rsidR="00316AC6" w:rsidRDefault="00316AC6" w:rsidP="00316AC6">
      <w:pPr>
        <w:pStyle w:val="BodyText"/>
        <w:ind w:left="450"/>
      </w:pPr>
      <w:r w:rsidRPr="00316AC6">
        <w:t>The ASC must maintain complete, comprehensive, and accurate medical records to ensure ade</w:t>
      </w:r>
      <w:r>
        <w:t xml:space="preserve">quate patient care.  There are no collection of information requirements associated with this requirement because maintaining a medical record for each patient is a usual and customary practice in accordance with the implementing regulations of the </w:t>
      </w:r>
      <w:r w:rsidR="009F2543">
        <w:t>Paperwork Reduction Act (</w:t>
      </w:r>
      <w:r>
        <w:t>PRA</w:t>
      </w:r>
      <w:r w:rsidR="009F2543">
        <w:t>)</w:t>
      </w:r>
      <w:r>
        <w:t xml:space="preserve"> at 5 CFR 1320.3(b)(2).</w:t>
      </w:r>
    </w:p>
    <w:p w14:paraId="194CF205" w14:textId="77777777" w:rsidR="00316AC6" w:rsidRDefault="00316AC6" w:rsidP="009E4EC8">
      <w:pPr>
        <w:pStyle w:val="BodyText"/>
        <w:ind w:left="180"/>
      </w:pPr>
    </w:p>
    <w:p w14:paraId="2B06A761" w14:textId="1B01F0BB" w:rsidR="00261CB6" w:rsidRDefault="00687609" w:rsidP="009E4EC8">
      <w:pPr>
        <w:pStyle w:val="BodyText"/>
        <w:ind w:left="180"/>
      </w:pPr>
      <w:r w:rsidRPr="00700EC3">
        <w:t>§416.50(a)(1) Standard: Notice of rights and responsibilities</w:t>
      </w:r>
      <w:r w:rsidR="002D6550">
        <w:t>.</w:t>
      </w:r>
    </w:p>
    <w:p w14:paraId="68CE9C1B" w14:textId="77777777" w:rsidR="00700EC3" w:rsidRPr="00700EC3" w:rsidRDefault="00700EC3" w:rsidP="009E4EC8">
      <w:pPr>
        <w:pStyle w:val="BodyText"/>
        <w:ind w:left="180"/>
      </w:pPr>
    </w:p>
    <w:p w14:paraId="395004B6" w14:textId="4457A36A" w:rsidR="00261CB6" w:rsidRDefault="00687609" w:rsidP="009E4EC8">
      <w:pPr>
        <w:pStyle w:val="BodyText"/>
        <w:spacing w:before="6" w:line="247" w:lineRule="auto"/>
        <w:ind w:left="450" w:right="340"/>
      </w:pPr>
      <w:r>
        <w:t>An ASC must provide the patient or the patient’s representative with written and verbal notice of the patient’s rights prior to the start of the surgical procedure and, in a language and</w:t>
      </w:r>
      <w:r>
        <w:rPr>
          <w:spacing w:val="-40"/>
        </w:rPr>
        <w:t xml:space="preserve"> </w:t>
      </w:r>
      <w:r>
        <w:t>manner that the patient or the patient’s representative understands. The ASC must post the written notice of patient rights in a place or places within the ASC likely to be noticed by patients (or their representative, if applicable) waiting for treatment. The ASC’s notice of rights must include the name, address, and telephone number of a representative in the State agency to whom patients can report complaints, as well as the website for the Office of the Medicare Beneficiary Ombudsman. The ASC must also disclose, where applicable, physician financial interests or ownership in the ASC facility in accordance with the intent of Part 420 of this subchapter. Disclosure of information must be in writing. The burden associated with this notification requirement is the time and effort necessary for an ASC to develop the notification form, to provide both verbally and in writing the patient or the patient’s representative</w:t>
      </w:r>
      <w:r>
        <w:rPr>
          <w:spacing w:val="-5"/>
        </w:rPr>
        <w:t xml:space="preserve"> </w:t>
      </w:r>
      <w:r>
        <w:t>a</w:t>
      </w:r>
      <w:r>
        <w:rPr>
          <w:spacing w:val="-5"/>
        </w:rPr>
        <w:t xml:space="preserve"> </w:t>
      </w:r>
      <w:r>
        <w:t>notice</w:t>
      </w:r>
      <w:r>
        <w:rPr>
          <w:spacing w:val="-5"/>
        </w:rPr>
        <w:t xml:space="preserve"> </w:t>
      </w:r>
      <w:r>
        <w:t>of</w:t>
      </w:r>
      <w:r>
        <w:rPr>
          <w:spacing w:val="-5"/>
        </w:rPr>
        <w:t xml:space="preserve"> </w:t>
      </w:r>
      <w:r>
        <w:t>patient’s</w:t>
      </w:r>
      <w:r>
        <w:rPr>
          <w:spacing w:val="-4"/>
        </w:rPr>
        <w:t xml:space="preserve"> </w:t>
      </w:r>
      <w:r>
        <w:t>rights</w:t>
      </w:r>
      <w:r>
        <w:rPr>
          <w:spacing w:val="-4"/>
        </w:rPr>
        <w:t xml:space="preserve"> </w:t>
      </w:r>
      <w:r>
        <w:t>where</w:t>
      </w:r>
      <w:r>
        <w:rPr>
          <w:spacing w:val="-5"/>
        </w:rPr>
        <w:t xml:space="preserve"> </w:t>
      </w:r>
      <w:r>
        <w:t>applicable,</w:t>
      </w:r>
      <w:r>
        <w:rPr>
          <w:spacing w:val="-4"/>
        </w:rPr>
        <w:t xml:space="preserve"> </w:t>
      </w:r>
      <w:r>
        <w:t>disclosure</w:t>
      </w:r>
      <w:r>
        <w:rPr>
          <w:spacing w:val="-5"/>
        </w:rPr>
        <w:t xml:space="preserve"> </w:t>
      </w:r>
      <w:r>
        <w:t>of</w:t>
      </w:r>
      <w:r>
        <w:rPr>
          <w:spacing w:val="-5"/>
        </w:rPr>
        <w:t xml:space="preserve"> </w:t>
      </w:r>
      <w:r>
        <w:t>physician</w:t>
      </w:r>
      <w:r>
        <w:rPr>
          <w:spacing w:val="-4"/>
        </w:rPr>
        <w:t xml:space="preserve"> </w:t>
      </w:r>
      <w:r>
        <w:t>financial</w:t>
      </w:r>
      <w:r w:rsidR="009E4EC8">
        <w:t xml:space="preserve"> </w:t>
      </w:r>
      <w:r>
        <w:t xml:space="preserve">interests or ownership in the ASC facility and distribute information pertaining to its policies on patient rights. There are </w:t>
      </w:r>
      <w:r w:rsidR="00697805" w:rsidRPr="0055672E">
        <w:t>5,557</w:t>
      </w:r>
      <w:r>
        <w:t xml:space="preserve"> ASCs that must comply with the aforementioned requirements. We estimate that an ASC will utilize a registered nurse to develop the patient right form. We estimate that it will take one hour on a one-time basis for an ASC to develop the form. The total one time burden hours for the industry are </w:t>
      </w:r>
      <w:r w:rsidR="00697805" w:rsidRPr="0055672E">
        <w:t>5,557</w:t>
      </w:r>
      <w:r>
        <w:t xml:space="preserve"> (1 hours x </w:t>
      </w:r>
      <w:r w:rsidR="00697805" w:rsidRPr="0055672E">
        <w:t>5,557</w:t>
      </w:r>
      <w:r>
        <w:t xml:space="preserve"> ASCs). At the average hourly rate of $</w:t>
      </w:r>
      <w:r w:rsidR="00485467">
        <w:t>70</w:t>
      </w:r>
      <w:r>
        <w:t xml:space="preserve"> for a registered nurse, it will cost an ASC $</w:t>
      </w:r>
      <w:r w:rsidR="00485467">
        <w:t>70</w:t>
      </w:r>
      <w:r>
        <w:t xml:space="preserve"> to meet this requirement.   The total one time burden cost for the industry is $</w:t>
      </w:r>
      <w:r w:rsidR="00485467" w:rsidRPr="00485467">
        <w:t>388</w:t>
      </w:r>
      <w:r w:rsidR="00485467">
        <w:t>,</w:t>
      </w:r>
      <w:r w:rsidR="00485467" w:rsidRPr="00485467">
        <w:t>990</w:t>
      </w:r>
      <w:r>
        <w:t>.</w:t>
      </w:r>
    </w:p>
    <w:p w14:paraId="4DD1971A" w14:textId="77777777" w:rsidR="00261CB6" w:rsidRDefault="00261CB6">
      <w:pPr>
        <w:pStyle w:val="BodyText"/>
        <w:spacing w:before="5"/>
      </w:pPr>
    </w:p>
    <w:p w14:paraId="7C9EAA3E" w14:textId="7124E28F" w:rsidR="00261CB6" w:rsidRPr="00700EC3" w:rsidRDefault="00687609" w:rsidP="009E4EC8">
      <w:pPr>
        <w:pStyle w:val="BodyText"/>
        <w:spacing w:before="1"/>
        <w:ind w:left="180"/>
      </w:pPr>
      <w:r w:rsidRPr="00700EC3">
        <w:t>§416.50(a)(3) Standard: Submission and investigation of grievances.</w:t>
      </w:r>
    </w:p>
    <w:p w14:paraId="6DF5F8A4" w14:textId="77777777" w:rsidR="009E4EC8" w:rsidRDefault="009E4EC8" w:rsidP="009E4EC8">
      <w:pPr>
        <w:pStyle w:val="BodyText"/>
        <w:spacing w:before="7" w:line="247" w:lineRule="auto"/>
        <w:ind w:left="270" w:right="108"/>
      </w:pPr>
    </w:p>
    <w:p w14:paraId="1050AFFB" w14:textId="312A24DE" w:rsidR="00261CB6" w:rsidRDefault="00687609" w:rsidP="009E4EC8">
      <w:pPr>
        <w:pStyle w:val="BodyText"/>
        <w:spacing w:before="7" w:line="247" w:lineRule="auto"/>
        <w:ind w:left="450" w:right="108"/>
      </w:pPr>
      <w:r>
        <w:t xml:space="preserve">An ASC is required to establish a grievance procedure for documenting the existence, submission, investigation and disposition of a patient’s written or verbal grievance. The ASC must document all alleged violations/grievances relating, but not limited to, mistreatment, neglect, verbal, mental, sexual, or physical abuse. All allegations must be immediately reported to a person in authority in the ASC and only substantiated allegations must be reported to the State authority or the local authority, or both.  The ASC must also take action to correct problems once they are identified.  The burden associated with the recordkeeping and reporting requirements described in §416.50(a)(3) is the time and effort necessary to fully document the alleged violation or complaint, disclose the written notice to each patient who filed a grievance, and report the alleged violations to the aforementioned entities.  We estimate that in a one </w:t>
      </w:r>
      <w:r>
        <w:rPr>
          <w:spacing w:val="-3"/>
        </w:rPr>
        <w:t xml:space="preserve">year </w:t>
      </w:r>
      <w:r>
        <w:t>period an ASC would need to conduct investigational sessions for alleged violations involving about 1% (12) of its patients. On average we estimate that, it will take each ASC registered nurse</w:t>
      </w:r>
      <w:r w:rsidR="00CA06A6">
        <w:t xml:space="preserve"> </w:t>
      </w:r>
      <w:r>
        <w:t>15 minutes at a cost of $</w:t>
      </w:r>
      <w:r w:rsidR="00E33A1B">
        <w:t>70</w:t>
      </w:r>
      <w:r>
        <w:t xml:space="preserve"> an hour to develop and disseminate 12 notices on an annual basis (15 minutes x 12 patients = 3 hours per ASC), for a total annual ASC burden of 1</w:t>
      </w:r>
      <w:r w:rsidR="007C4519">
        <w:t>6</w:t>
      </w:r>
      <w:r>
        <w:t>,</w:t>
      </w:r>
      <w:r w:rsidR="00CA06A6">
        <w:t xml:space="preserve">671 </w:t>
      </w:r>
      <w:r>
        <w:t xml:space="preserve">hours (3 hours x </w:t>
      </w:r>
      <w:r w:rsidR="00CA06A6" w:rsidRPr="0055672E">
        <w:t>5,557</w:t>
      </w:r>
      <w:r>
        <w:t xml:space="preserve"> ASCs) at a cost of $</w:t>
      </w:r>
      <w:r w:rsidR="00E33A1B" w:rsidRPr="00E33A1B">
        <w:t>1</w:t>
      </w:r>
      <w:r w:rsidR="00E33A1B">
        <w:t>,</w:t>
      </w:r>
      <w:r w:rsidR="00E33A1B" w:rsidRPr="00E33A1B">
        <w:t>166</w:t>
      </w:r>
      <w:r w:rsidR="00E33A1B">
        <w:t>,</w:t>
      </w:r>
      <w:r w:rsidR="00E33A1B" w:rsidRPr="00E33A1B">
        <w:t>970</w:t>
      </w:r>
      <w:r w:rsidR="00CA06A6">
        <w:t xml:space="preserve"> </w:t>
      </w:r>
      <w:r>
        <w:t>($</w:t>
      </w:r>
      <w:r w:rsidR="00E33A1B">
        <w:t>70</w:t>
      </w:r>
      <w:r>
        <w:t xml:space="preserve"> x 1</w:t>
      </w:r>
      <w:r w:rsidR="007C4519">
        <w:t>6</w:t>
      </w:r>
      <w:r>
        <w:t>,</w:t>
      </w:r>
      <w:r w:rsidR="00CA06A6">
        <w:t>671</w:t>
      </w:r>
      <w:r w:rsidR="00CA06A6">
        <w:rPr>
          <w:spacing w:val="-2"/>
        </w:rPr>
        <w:t xml:space="preserve"> </w:t>
      </w:r>
      <w:r>
        <w:t>hours).</w:t>
      </w:r>
    </w:p>
    <w:p w14:paraId="207E39F7" w14:textId="77777777" w:rsidR="00261CB6" w:rsidRDefault="00261CB6">
      <w:pPr>
        <w:pStyle w:val="BodyText"/>
        <w:spacing w:before="4"/>
      </w:pPr>
    </w:p>
    <w:p w14:paraId="3D6061BD" w14:textId="347D0775" w:rsidR="00B31173" w:rsidRDefault="00B31173" w:rsidP="008B52DB">
      <w:pPr>
        <w:pStyle w:val="BodyText"/>
        <w:spacing w:before="4"/>
        <w:ind w:left="180"/>
      </w:pPr>
      <w:r>
        <w:t>§416.52</w:t>
      </w:r>
      <w:r w:rsidR="00EA2497">
        <w:t xml:space="preserve">(a) </w:t>
      </w:r>
      <w:r w:rsidR="00EA2497" w:rsidRPr="00EA2497">
        <w:t>Standard: Admission and pre-surgical assessment</w:t>
      </w:r>
      <w:r w:rsidR="002D6550">
        <w:t>.</w:t>
      </w:r>
    </w:p>
    <w:p w14:paraId="7FD92E70" w14:textId="686E6221" w:rsidR="0055672E" w:rsidRDefault="0055672E" w:rsidP="006D26DA">
      <w:pPr>
        <w:pStyle w:val="BodyText"/>
        <w:spacing w:before="4"/>
      </w:pPr>
    </w:p>
    <w:p w14:paraId="6DB77470" w14:textId="34F1D1D2" w:rsidR="0055672E" w:rsidRDefault="0055672E" w:rsidP="002C6117">
      <w:pPr>
        <w:pStyle w:val="BodyText"/>
        <w:spacing w:before="7" w:line="247" w:lineRule="auto"/>
        <w:ind w:left="450" w:right="108"/>
      </w:pPr>
      <w:r>
        <w:t>The operating physician and ASC must</w:t>
      </w:r>
      <w:r w:rsidRPr="0055672E">
        <w:t xml:space="preserve"> determine which patients would require more extensive testing and assessment prior to surgery.  The burden associated with this requirement would be the time and effort necessary to create new policies for when, and whether, to require some form of history and physical that would require pre-operative examination and testing, and on what time schedule.</w:t>
      </w:r>
      <w:r>
        <w:t xml:space="preserve"> </w:t>
      </w:r>
      <w:r w:rsidRPr="0055672E">
        <w:t>We assume that creating these policies (which could leave such decisions to the surgeon’s discretion in most or all cases) would require 10 hours of physician time, 10 hours of RN time, and 10 hours of clerical time, at the preceding hourly rates, for a total of 30 hours per facility.  This would be a one-time cost of $3,4</w:t>
      </w:r>
      <w:r w:rsidR="006644CB">
        <w:t>4</w:t>
      </w:r>
      <w:r w:rsidR="007F4961">
        <w:t>0 per facility ([10 x $2</w:t>
      </w:r>
      <w:r w:rsidR="006644CB">
        <w:t>42</w:t>
      </w:r>
      <w:r w:rsidR="007F4961">
        <w:t>] + [10 x $70</w:t>
      </w:r>
      <w:r w:rsidR="00FE5DB7">
        <w:t>] + [10 x $32])</w:t>
      </w:r>
      <w:r w:rsidRPr="0055672E">
        <w:t>.  Therefore, th</w:t>
      </w:r>
      <w:r>
        <w:t xml:space="preserve">e total one-time burden for all </w:t>
      </w:r>
      <w:r w:rsidR="00FE5DB7">
        <w:t xml:space="preserve">5,557 </w:t>
      </w:r>
      <w:r>
        <w:t>ASCs is</w:t>
      </w:r>
      <w:r w:rsidRPr="0055672E">
        <w:t xml:space="preserve"> $</w:t>
      </w:r>
      <w:r w:rsidR="006644CB" w:rsidRPr="006644CB">
        <w:t>19</w:t>
      </w:r>
      <w:r w:rsidR="006644CB">
        <w:t>,</w:t>
      </w:r>
      <w:r w:rsidR="006644CB" w:rsidRPr="006644CB">
        <w:t>116</w:t>
      </w:r>
      <w:r w:rsidR="006644CB">
        <w:t>,</w:t>
      </w:r>
      <w:r w:rsidR="006644CB" w:rsidRPr="006644CB">
        <w:t>080</w:t>
      </w:r>
      <w:r w:rsidRPr="0055672E">
        <w:t xml:space="preserve"> and 166,710 hours (30 hours X 5,557 facilities).  </w:t>
      </w:r>
    </w:p>
    <w:p w14:paraId="25DE5724" w14:textId="77777777" w:rsidR="0049198D" w:rsidRDefault="0049198D" w:rsidP="002C6117">
      <w:pPr>
        <w:pStyle w:val="BodyText"/>
        <w:spacing w:before="7" w:line="247" w:lineRule="auto"/>
        <w:ind w:left="450" w:right="108"/>
      </w:pPr>
    </w:p>
    <w:p w14:paraId="1A4D9181" w14:textId="767D6EF9" w:rsidR="0049198D" w:rsidRDefault="00702215" w:rsidP="0049198D">
      <w:pPr>
        <w:pStyle w:val="BodyText"/>
        <w:ind w:left="2578"/>
      </w:pPr>
      <w:r>
        <w:t xml:space="preserve">Table 4: </w:t>
      </w:r>
      <w:r w:rsidR="0049198D">
        <w:t>Total Burden and Cost Estimates</w:t>
      </w:r>
    </w:p>
    <w:p w14:paraId="2CD3B3FE" w14:textId="77777777" w:rsidR="0049198D" w:rsidRPr="00700EC3" w:rsidRDefault="0049198D" w:rsidP="0049198D">
      <w:pPr>
        <w:pStyle w:val="BodyText"/>
        <w:spacing w:before="3" w:after="1"/>
      </w:pPr>
    </w:p>
    <w:tbl>
      <w:tblPr>
        <w:tblW w:w="0" w:type="auto"/>
        <w:tblInd w:w="630" w:type="dxa"/>
        <w:tblBorders>
          <w:top w:val="single" w:sz="8" w:space="0" w:color="C1C1C1"/>
          <w:left w:val="single" w:sz="8" w:space="0" w:color="C1C1C1"/>
          <w:bottom w:val="single" w:sz="8" w:space="0" w:color="C1C1C1"/>
          <w:right w:val="single" w:sz="8" w:space="0" w:color="C1C1C1"/>
          <w:insideH w:val="single" w:sz="8" w:space="0" w:color="C1C1C1"/>
          <w:insideV w:val="single" w:sz="8" w:space="0" w:color="C1C1C1"/>
        </w:tblBorders>
        <w:tblLayout w:type="fixed"/>
        <w:tblCellMar>
          <w:left w:w="0" w:type="dxa"/>
          <w:right w:w="0" w:type="dxa"/>
        </w:tblCellMar>
        <w:tblLook w:val="01E0" w:firstRow="1" w:lastRow="1" w:firstColumn="1" w:lastColumn="1" w:noHBand="0" w:noVBand="0"/>
      </w:tblPr>
      <w:tblGrid>
        <w:gridCol w:w="2160"/>
        <w:gridCol w:w="1080"/>
        <w:gridCol w:w="1260"/>
        <w:gridCol w:w="1260"/>
        <w:gridCol w:w="1610"/>
      </w:tblGrid>
      <w:tr w:rsidR="0049198D" w14:paraId="0F7AC9E0" w14:textId="77777777" w:rsidTr="002C6117">
        <w:trPr>
          <w:trHeight w:hRule="exact" w:val="869"/>
        </w:trPr>
        <w:tc>
          <w:tcPr>
            <w:tcW w:w="2160" w:type="dxa"/>
          </w:tcPr>
          <w:p w14:paraId="529E7C46" w14:textId="77777777" w:rsidR="00F4584A" w:rsidRPr="00F4584A" w:rsidRDefault="00F4584A" w:rsidP="00F4584A">
            <w:pPr>
              <w:pStyle w:val="TableParagraph"/>
              <w:rPr>
                <w:sz w:val="24"/>
              </w:rPr>
            </w:pPr>
            <w:r w:rsidRPr="00F4584A">
              <w:rPr>
                <w:sz w:val="24"/>
              </w:rPr>
              <w:t xml:space="preserve">Regulation </w:t>
            </w:r>
          </w:p>
          <w:p w14:paraId="50ACDE9B" w14:textId="25127567" w:rsidR="0049198D" w:rsidRDefault="00F4584A" w:rsidP="00F4584A">
            <w:pPr>
              <w:pStyle w:val="TableParagraph"/>
              <w:rPr>
                <w:sz w:val="24"/>
              </w:rPr>
            </w:pPr>
            <w:r w:rsidRPr="00F4584A">
              <w:rPr>
                <w:sz w:val="24"/>
              </w:rPr>
              <w:t>Sections</w:t>
            </w:r>
          </w:p>
        </w:tc>
        <w:tc>
          <w:tcPr>
            <w:tcW w:w="1080" w:type="dxa"/>
          </w:tcPr>
          <w:p w14:paraId="12E4B727" w14:textId="77777777" w:rsidR="0049198D" w:rsidRDefault="0049198D" w:rsidP="00EA0342">
            <w:pPr>
              <w:pStyle w:val="TableParagraph"/>
              <w:spacing w:line="247" w:lineRule="auto"/>
              <w:ind w:left="295" w:right="74" w:hanging="202"/>
              <w:rPr>
                <w:sz w:val="24"/>
              </w:rPr>
            </w:pPr>
            <w:r>
              <w:rPr>
                <w:sz w:val="24"/>
              </w:rPr>
              <w:t>Time per ASC</w:t>
            </w:r>
          </w:p>
          <w:p w14:paraId="6B531AA6" w14:textId="77777777" w:rsidR="0049198D" w:rsidRDefault="0049198D" w:rsidP="00EA0342">
            <w:pPr>
              <w:pStyle w:val="TableParagraph"/>
              <w:spacing w:before="0" w:line="275" w:lineRule="exact"/>
              <w:ind w:left="184"/>
              <w:rPr>
                <w:sz w:val="24"/>
              </w:rPr>
            </w:pPr>
            <w:r>
              <w:rPr>
                <w:sz w:val="24"/>
              </w:rPr>
              <w:t>(hours)</w:t>
            </w:r>
          </w:p>
        </w:tc>
        <w:tc>
          <w:tcPr>
            <w:tcW w:w="1260" w:type="dxa"/>
          </w:tcPr>
          <w:p w14:paraId="6E323715" w14:textId="77777777" w:rsidR="0049198D" w:rsidRDefault="0049198D" w:rsidP="00EA0342">
            <w:pPr>
              <w:pStyle w:val="TableParagraph"/>
              <w:spacing w:line="247" w:lineRule="auto"/>
              <w:ind w:left="273" w:right="106" w:hanging="152"/>
              <w:rPr>
                <w:sz w:val="24"/>
              </w:rPr>
            </w:pPr>
            <w:r>
              <w:rPr>
                <w:sz w:val="24"/>
              </w:rPr>
              <w:t>Total time (hours)</w:t>
            </w:r>
          </w:p>
        </w:tc>
        <w:tc>
          <w:tcPr>
            <w:tcW w:w="1260" w:type="dxa"/>
          </w:tcPr>
          <w:p w14:paraId="1778064F" w14:textId="2A08476F" w:rsidR="0049198D" w:rsidRDefault="00702215" w:rsidP="00EA0342">
            <w:pPr>
              <w:pStyle w:val="TableParagraph"/>
              <w:spacing w:line="247" w:lineRule="auto"/>
              <w:ind w:left="249" w:right="215" w:hanging="34"/>
              <w:jc w:val="both"/>
              <w:rPr>
                <w:sz w:val="24"/>
              </w:rPr>
            </w:pPr>
            <w:r>
              <w:rPr>
                <w:sz w:val="24"/>
              </w:rPr>
              <w:t xml:space="preserve">Cost per </w:t>
            </w:r>
            <w:r w:rsidR="0049198D">
              <w:rPr>
                <w:sz w:val="24"/>
              </w:rPr>
              <w:t>ASC</w:t>
            </w:r>
          </w:p>
        </w:tc>
        <w:tc>
          <w:tcPr>
            <w:tcW w:w="1610" w:type="dxa"/>
          </w:tcPr>
          <w:p w14:paraId="7296CAE7" w14:textId="77777777" w:rsidR="0049198D" w:rsidRDefault="0049198D" w:rsidP="00EA0342">
            <w:pPr>
              <w:pStyle w:val="TableParagraph"/>
              <w:spacing w:before="8"/>
              <w:rPr>
                <w:sz w:val="24"/>
              </w:rPr>
            </w:pPr>
          </w:p>
          <w:p w14:paraId="1DF307B1" w14:textId="77777777" w:rsidR="0049198D" w:rsidRDefault="0049198D" w:rsidP="00EA0342">
            <w:pPr>
              <w:pStyle w:val="TableParagraph"/>
              <w:spacing w:before="0"/>
              <w:ind w:left="123" w:right="123"/>
              <w:jc w:val="center"/>
              <w:rPr>
                <w:sz w:val="24"/>
              </w:rPr>
            </w:pPr>
            <w:r>
              <w:rPr>
                <w:sz w:val="24"/>
              </w:rPr>
              <w:t>Total cost</w:t>
            </w:r>
          </w:p>
        </w:tc>
      </w:tr>
      <w:tr w:rsidR="00024FE7" w14:paraId="44700749" w14:textId="77777777" w:rsidTr="00F4584A">
        <w:trPr>
          <w:trHeight w:hRule="exact" w:val="586"/>
        </w:trPr>
        <w:tc>
          <w:tcPr>
            <w:tcW w:w="2160" w:type="dxa"/>
          </w:tcPr>
          <w:p w14:paraId="4BE3CED2" w14:textId="06D7883A" w:rsidR="00024FE7" w:rsidRPr="002C112A" w:rsidRDefault="00024FE7" w:rsidP="00EA0342">
            <w:pPr>
              <w:pStyle w:val="TableParagraph"/>
              <w:rPr>
                <w:sz w:val="24"/>
              </w:rPr>
            </w:pPr>
            <w:r w:rsidRPr="00024FE7">
              <w:rPr>
                <w:sz w:val="24"/>
              </w:rPr>
              <w:t>§416.41(c)(1)</w:t>
            </w:r>
          </w:p>
        </w:tc>
        <w:tc>
          <w:tcPr>
            <w:tcW w:w="1080" w:type="dxa"/>
          </w:tcPr>
          <w:p w14:paraId="7D821D56" w14:textId="48D54F90" w:rsidR="00024FE7" w:rsidRDefault="00024FE7" w:rsidP="00EA0342">
            <w:pPr>
              <w:pStyle w:val="TableParagraph"/>
              <w:jc w:val="center"/>
              <w:rPr>
                <w:sz w:val="24"/>
              </w:rPr>
            </w:pPr>
            <w:r>
              <w:rPr>
                <w:sz w:val="24"/>
              </w:rPr>
              <w:t>4</w:t>
            </w:r>
          </w:p>
        </w:tc>
        <w:tc>
          <w:tcPr>
            <w:tcW w:w="1260" w:type="dxa"/>
          </w:tcPr>
          <w:p w14:paraId="03AC5E49" w14:textId="55515E30" w:rsidR="00024FE7" w:rsidRPr="00CA06A6" w:rsidRDefault="00024FE7" w:rsidP="00EA0342">
            <w:pPr>
              <w:pStyle w:val="TableParagraph"/>
              <w:ind w:left="123" w:right="123"/>
              <w:jc w:val="center"/>
              <w:rPr>
                <w:sz w:val="24"/>
              </w:rPr>
            </w:pPr>
            <w:r w:rsidRPr="00024FE7">
              <w:rPr>
                <w:sz w:val="24"/>
              </w:rPr>
              <w:t>22,228</w:t>
            </w:r>
          </w:p>
        </w:tc>
        <w:tc>
          <w:tcPr>
            <w:tcW w:w="1260" w:type="dxa"/>
          </w:tcPr>
          <w:p w14:paraId="06A9DBAF" w14:textId="0020E966" w:rsidR="00024FE7" w:rsidRDefault="00024FE7" w:rsidP="00EA0342">
            <w:pPr>
              <w:pStyle w:val="TableParagraph"/>
              <w:ind w:left="123" w:right="123"/>
              <w:jc w:val="center"/>
              <w:rPr>
                <w:sz w:val="24"/>
              </w:rPr>
            </w:pPr>
            <w:r w:rsidRPr="00024FE7">
              <w:rPr>
                <w:sz w:val="24"/>
              </w:rPr>
              <w:t>$432</w:t>
            </w:r>
          </w:p>
        </w:tc>
        <w:tc>
          <w:tcPr>
            <w:tcW w:w="1610" w:type="dxa"/>
          </w:tcPr>
          <w:p w14:paraId="3D5D6ECA" w14:textId="5F833A6A" w:rsidR="00024FE7" w:rsidRDefault="00024FE7" w:rsidP="00EA0342">
            <w:pPr>
              <w:pStyle w:val="TableParagraph"/>
              <w:ind w:left="123" w:right="123"/>
              <w:jc w:val="center"/>
              <w:rPr>
                <w:sz w:val="24"/>
              </w:rPr>
            </w:pPr>
            <w:r w:rsidRPr="00024FE7">
              <w:rPr>
                <w:sz w:val="24"/>
              </w:rPr>
              <w:t>$2,400,624</w:t>
            </w:r>
          </w:p>
        </w:tc>
      </w:tr>
      <w:tr w:rsidR="002C112A" w14:paraId="6BECEDB1" w14:textId="77777777" w:rsidTr="00F4584A">
        <w:trPr>
          <w:trHeight w:hRule="exact" w:val="586"/>
        </w:trPr>
        <w:tc>
          <w:tcPr>
            <w:tcW w:w="2160" w:type="dxa"/>
          </w:tcPr>
          <w:p w14:paraId="517BCD68" w14:textId="6010EC6C" w:rsidR="002C112A" w:rsidRPr="00F4584A" w:rsidRDefault="002C112A" w:rsidP="00EA0342">
            <w:pPr>
              <w:pStyle w:val="TableParagraph"/>
              <w:rPr>
                <w:sz w:val="24"/>
              </w:rPr>
            </w:pPr>
            <w:r w:rsidRPr="002C112A">
              <w:rPr>
                <w:sz w:val="24"/>
              </w:rPr>
              <w:t>§416.43(d)</w:t>
            </w:r>
          </w:p>
        </w:tc>
        <w:tc>
          <w:tcPr>
            <w:tcW w:w="1080" w:type="dxa"/>
          </w:tcPr>
          <w:p w14:paraId="158400D3" w14:textId="3218E20D" w:rsidR="002C112A" w:rsidRDefault="00024FE7" w:rsidP="00EA0342">
            <w:pPr>
              <w:pStyle w:val="TableParagraph"/>
              <w:jc w:val="center"/>
              <w:rPr>
                <w:sz w:val="24"/>
              </w:rPr>
            </w:pPr>
            <w:r>
              <w:rPr>
                <w:sz w:val="24"/>
              </w:rPr>
              <w:t>30</w:t>
            </w:r>
          </w:p>
        </w:tc>
        <w:tc>
          <w:tcPr>
            <w:tcW w:w="1260" w:type="dxa"/>
          </w:tcPr>
          <w:p w14:paraId="042063AA" w14:textId="2A43F8EA" w:rsidR="002C112A" w:rsidRPr="00CA06A6" w:rsidRDefault="00024FE7" w:rsidP="00EA0342">
            <w:pPr>
              <w:pStyle w:val="TableParagraph"/>
              <w:ind w:left="123" w:right="123"/>
              <w:jc w:val="center"/>
              <w:rPr>
                <w:sz w:val="24"/>
              </w:rPr>
            </w:pPr>
            <w:r>
              <w:rPr>
                <w:sz w:val="24"/>
              </w:rPr>
              <w:t>166,710</w:t>
            </w:r>
          </w:p>
        </w:tc>
        <w:tc>
          <w:tcPr>
            <w:tcW w:w="1260" w:type="dxa"/>
          </w:tcPr>
          <w:p w14:paraId="699C2F65" w14:textId="78776DAC" w:rsidR="002C112A" w:rsidRDefault="00024FE7" w:rsidP="00EA0342">
            <w:pPr>
              <w:pStyle w:val="TableParagraph"/>
              <w:ind w:left="123" w:right="123"/>
              <w:jc w:val="center"/>
              <w:rPr>
                <w:sz w:val="24"/>
              </w:rPr>
            </w:pPr>
            <w:r>
              <w:rPr>
                <w:sz w:val="24"/>
              </w:rPr>
              <w:t>$3,240</w:t>
            </w:r>
          </w:p>
        </w:tc>
        <w:tc>
          <w:tcPr>
            <w:tcW w:w="1610" w:type="dxa"/>
          </w:tcPr>
          <w:p w14:paraId="27D33033" w14:textId="09879983" w:rsidR="002C112A" w:rsidRDefault="00024FE7" w:rsidP="00EA0342">
            <w:pPr>
              <w:pStyle w:val="TableParagraph"/>
              <w:ind w:left="123" w:right="123"/>
              <w:jc w:val="center"/>
              <w:rPr>
                <w:sz w:val="24"/>
              </w:rPr>
            </w:pPr>
            <w:r w:rsidRPr="009773F2">
              <w:rPr>
                <w:sz w:val="24"/>
              </w:rPr>
              <w:t>$18,004,680</w:t>
            </w:r>
          </w:p>
        </w:tc>
      </w:tr>
      <w:tr w:rsidR="0049198D" w14:paraId="72E44A62" w14:textId="77777777" w:rsidTr="002C6117">
        <w:trPr>
          <w:trHeight w:hRule="exact" w:val="586"/>
        </w:trPr>
        <w:tc>
          <w:tcPr>
            <w:tcW w:w="2160" w:type="dxa"/>
          </w:tcPr>
          <w:p w14:paraId="749F4F2B" w14:textId="6D7769B9" w:rsidR="0049198D" w:rsidRDefault="00F4584A" w:rsidP="00EA0342">
            <w:pPr>
              <w:pStyle w:val="TableParagraph"/>
              <w:rPr>
                <w:sz w:val="24"/>
              </w:rPr>
            </w:pPr>
            <w:r w:rsidRPr="00F4584A">
              <w:rPr>
                <w:sz w:val="24"/>
              </w:rPr>
              <w:t>§416.50(a)(1)</w:t>
            </w:r>
          </w:p>
        </w:tc>
        <w:tc>
          <w:tcPr>
            <w:tcW w:w="1080" w:type="dxa"/>
          </w:tcPr>
          <w:p w14:paraId="1EAD18B0" w14:textId="77777777" w:rsidR="0049198D" w:rsidRDefault="0049198D" w:rsidP="00EA0342">
            <w:pPr>
              <w:pStyle w:val="TableParagraph"/>
              <w:jc w:val="center"/>
              <w:rPr>
                <w:sz w:val="24"/>
              </w:rPr>
            </w:pPr>
            <w:r>
              <w:rPr>
                <w:sz w:val="24"/>
              </w:rPr>
              <w:t>1</w:t>
            </w:r>
          </w:p>
        </w:tc>
        <w:tc>
          <w:tcPr>
            <w:tcW w:w="1260" w:type="dxa"/>
          </w:tcPr>
          <w:p w14:paraId="7198D959" w14:textId="77777777" w:rsidR="0049198D" w:rsidRDefault="0049198D" w:rsidP="00EA0342">
            <w:pPr>
              <w:pStyle w:val="TableParagraph"/>
              <w:ind w:left="123" w:right="123"/>
              <w:jc w:val="center"/>
              <w:rPr>
                <w:sz w:val="24"/>
              </w:rPr>
            </w:pPr>
            <w:r w:rsidRPr="00CA06A6">
              <w:rPr>
                <w:sz w:val="24"/>
              </w:rPr>
              <w:t>5,557</w:t>
            </w:r>
          </w:p>
        </w:tc>
        <w:tc>
          <w:tcPr>
            <w:tcW w:w="1260" w:type="dxa"/>
          </w:tcPr>
          <w:p w14:paraId="0FD71B21" w14:textId="77777777" w:rsidR="0049198D" w:rsidRDefault="0049198D" w:rsidP="00EA0342">
            <w:pPr>
              <w:pStyle w:val="TableParagraph"/>
              <w:ind w:left="123" w:right="123"/>
              <w:jc w:val="center"/>
              <w:rPr>
                <w:sz w:val="24"/>
              </w:rPr>
            </w:pPr>
            <w:r>
              <w:rPr>
                <w:sz w:val="24"/>
              </w:rPr>
              <w:t>$70</w:t>
            </w:r>
          </w:p>
        </w:tc>
        <w:tc>
          <w:tcPr>
            <w:tcW w:w="1610" w:type="dxa"/>
          </w:tcPr>
          <w:p w14:paraId="4A3874C3" w14:textId="77777777" w:rsidR="0049198D" w:rsidRDefault="0049198D" w:rsidP="00EA0342">
            <w:pPr>
              <w:pStyle w:val="TableParagraph"/>
              <w:ind w:left="123" w:right="123"/>
              <w:jc w:val="center"/>
              <w:rPr>
                <w:sz w:val="24"/>
              </w:rPr>
            </w:pPr>
            <w:r>
              <w:rPr>
                <w:sz w:val="24"/>
              </w:rPr>
              <w:t>$</w:t>
            </w:r>
            <w:r w:rsidRPr="00E33A1B">
              <w:rPr>
                <w:sz w:val="24"/>
              </w:rPr>
              <w:t>388</w:t>
            </w:r>
            <w:r>
              <w:rPr>
                <w:sz w:val="24"/>
              </w:rPr>
              <w:t>,</w:t>
            </w:r>
            <w:r w:rsidRPr="00E33A1B">
              <w:rPr>
                <w:sz w:val="24"/>
              </w:rPr>
              <w:t>990</w:t>
            </w:r>
          </w:p>
        </w:tc>
      </w:tr>
      <w:tr w:rsidR="0049198D" w14:paraId="59E4DF2C" w14:textId="77777777" w:rsidTr="002C6117">
        <w:trPr>
          <w:trHeight w:hRule="exact" w:val="586"/>
        </w:trPr>
        <w:tc>
          <w:tcPr>
            <w:tcW w:w="2160" w:type="dxa"/>
          </w:tcPr>
          <w:p w14:paraId="3B0680DF" w14:textId="0B1F7855" w:rsidR="0049198D" w:rsidRDefault="00F4584A" w:rsidP="00EA0342">
            <w:pPr>
              <w:pStyle w:val="TableParagraph"/>
              <w:spacing w:line="247" w:lineRule="auto"/>
              <w:ind w:right="381"/>
              <w:rPr>
                <w:sz w:val="24"/>
              </w:rPr>
            </w:pPr>
            <w:r w:rsidRPr="00F4584A">
              <w:rPr>
                <w:sz w:val="24"/>
              </w:rPr>
              <w:t>§416.50(a)(3)</w:t>
            </w:r>
          </w:p>
        </w:tc>
        <w:tc>
          <w:tcPr>
            <w:tcW w:w="1080" w:type="dxa"/>
          </w:tcPr>
          <w:p w14:paraId="038ABAD0" w14:textId="77777777" w:rsidR="0049198D" w:rsidRDefault="0049198D" w:rsidP="00EA0342">
            <w:pPr>
              <w:pStyle w:val="TableParagraph"/>
              <w:jc w:val="center"/>
              <w:rPr>
                <w:sz w:val="24"/>
              </w:rPr>
            </w:pPr>
            <w:r>
              <w:rPr>
                <w:sz w:val="24"/>
              </w:rPr>
              <w:t>3</w:t>
            </w:r>
          </w:p>
        </w:tc>
        <w:tc>
          <w:tcPr>
            <w:tcW w:w="1260" w:type="dxa"/>
          </w:tcPr>
          <w:p w14:paraId="7C2D8232" w14:textId="77777777" w:rsidR="0049198D" w:rsidRDefault="0049198D" w:rsidP="00EA0342">
            <w:pPr>
              <w:pStyle w:val="TableParagraph"/>
              <w:ind w:left="123" w:right="123"/>
              <w:jc w:val="center"/>
              <w:rPr>
                <w:sz w:val="24"/>
              </w:rPr>
            </w:pPr>
            <w:r>
              <w:rPr>
                <w:sz w:val="24"/>
              </w:rPr>
              <w:t>16,671</w:t>
            </w:r>
          </w:p>
        </w:tc>
        <w:tc>
          <w:tcPr>
            <w:tcW w:w="1260" w:type="dxa"/>
          </w:tcPr>
          <w:p w14:paraId="78E8A0B0" w14:textId="77777777" w:rsidR="0049198D" w:rsidRDefault="0049198D" w:rsidP="00EA0342">
            <w:pPr>
              <w:pStyle w:val="TableParagraph"/>
              <w:ind w:left="123" w:right="123"/>
              <w:jc w:val="center"/>
              <w:rPr>
                <w:sz w:val="24"/>
              </w:rPr>
            </w:pPr>
            <w:r>
              <w:rPr>
                <w:sz w:val="24"/>
              </w:rPr>
              <w:t>$210</w:t>
            </w:r>
          </w:p>
        </w:tc>
        <w:tc>
          <w:tcPr>
            <w:tcW w:w="1610" w:type="dxa"/>
          </w:tcPr>
          <w:p w14:paraId="0F6968C4" w14:textId="77777777" w:rsidR="0049198D" w:rsidRDefault="0049198D" w:rsidP="00EA0342">
            <w:pPr>
              <w:pStyle w:val="TableParagraph"/>
              <w:ind w:left="123" w:right="123"/>
              <w:jc w:val="center"/>
              <w:rPr>
                <w:sz w:val="24"/>
              </w:rPr>
            </w:pPr>
            <w:r>
              <w:rPr>
                <w:sz w:val="24"/>
              </w:rPr>
              <w:t>$</w:t>
            </w:r>
            <w:r w:rsidRPr="00E33A1B">
              <w:rPr>
                <w:sz w:val="24"/>
              </w:rPr>
              <w:t>1</w:t>
            </w:r>
            <w:r>
              <w:rPr>
                <w:sz w:val="24"/>
              </w:rPr>
              <w:t>,</w:t>
            </w:r>
            <w:r w:rsidRPr="00E33A1B">
              <w:rPr>
                <w:sz w:val="24"/>
              </w:rPr>
              <w:t>166</w:t>
            </w:r>
            <w:r>
              <w:rPr>
                <w:sz w:val="24"/>
              </w:rPr>
              <w:t>,</w:t>
            </w:r>
            <w:r w:rsidRPr="00E33A1B">
              <w:rPr>
                <w:sz w:val="24"/>
              </w:rPr>
              <w:t>970</w:t>
            </w:r>
          </w:p>
        </w:tc>
      </w:tr>
      <w:tr w:rsidR="00F4584A" w14:paraId="07504B64" w14:textId="77777777" w:rsidTr="002C6117">
        <w:trPr>
          <w:trHeight w:hRule="exact" w:val="586"/>
        </w:trPr>
        <w:tc>
          <w:tcPr>
            <w:tcW w:w="2160" w:type="dxa"/>
          </w:tcPr>
          <w:p w14:paraId="4FEC8498" w14:textId="54BDDDF9" w:rsidR="00F4584A" w:rsidRPr="00F4584A" w:rsidRDefault="00F4584A" w:rsidP="00EA0342">
            <w:pPr>
              <w:pStyle w:val="TableParagraph"/>
              <w:spacing w:line="247" w:lineRule="auto"/>
              <w:ind w:right="381"/>
              <w:rPr>
                <w:sz w:val="24"/>
              </w:rPr>
            </w:pPr>
            <w:r>
              <w:t>§416.52(a)</w:t>
            </w:r>
          </w:p>
        </w:tc>
        <w:tc>
          <w:tcPr>
            <w:tcW w:w="1080" w:type="dxa"/>
          </w:tcPr>
          <w:p w14:paraId="3FA7AD7C" w14:textId="12F97BB1" w:rsidR="00F4584A" w:rsidRDefault="00F4584A" w:rsidP="00EA0342">
            <w:pPr>
              <w:pStyle w:val="TableParagraph"/>
              <w:jc w:val="center"/>
              <w:rPr>
                <w:sz w:val="24"/>
              </w:rPr>
            </w:pPr>
            <w:r>
              <w:rPr>
                <w:sz w:val="24"/>
              </w:rPr>
              <w:t>30</w:t>
            </w:r>
          </w:p>
        </w:tc>
        <w:tc>
          <w:tcPr>
            <w:tcW w:w="1260" w:type="dxa"/>
          </w:tcPr>
          <w:p w14:paraId="1EB747F7" w14:textId="6047F9E6" w:rsidR="00F4584A" w:rsidRDefault="00F4584A" w:rsidP="00EA0342">
            <w:pPr>
              <w:pStyle w:val="TableParagraph"/>
              <w:ind w:left="123" w:right="123"/>
              <w:jc w:val="center"/>
              <w:rPr>
                <w:sz w:val="24"/>
              </w:rPr>
            </w:pPr>
            <w:r w:rsidRPr="00F4584A">
              <w:rPr>
                <w:sz w:val="24"/>
              </w:rPr>
              <w:t>166</w:t>
            </w:r>
            <w:r>
              <w:rPr>
                <w:sz w:val="24"/>
              </w:rPr>
              <w:t>,</w:t>
            </w:r>
            <w:r w:rsidRPr="00F4584A">
              <w:rPr>
                <w:sz w:val="24"/>
              </w:rPr>
              <w:t>710</w:t>
            </w:r>
          </w:p>
        </w:tc>
        <w:tc>
          <w:tcPr>
            <w:tcW w:w="1260" w:type="dxa"/>
          </w:tcPr>
          <w:p w14:paraId="78508101" w14:textId="048A1848" w:rsidR="00F4584A" w:rsidRDefault="00F4584A" w:rsidP="00EA0342">
            <w:pPr>
              <w:pStyle w:val="TableParagraph"/>
              <w:ind w:left="123" w:right="123"/>
              <w:jc w:val="center"/>
              <w:rPr>
                <w:sz w:val="24"/>
              </w:rPr>
            </w:pPr>
            <w:r>
              <w:rPr>
                <w:sz w:val="24"/>
              </w:rPr>
              <w:t>$3,440</w:t>
            </w:r>
          </w:p>
        </w:tc>
        <w:tc>
          <w:tcPr>
            <w:tcW w:w="1610" w:type="dxa"/>
          </w:tcPr>
          <w:p w14:paraId="4371FEFF" w14:textId="59217363" w:rsidR="00F4584A" w:rsidRDefault="00F4584A" w:rsidP="00EA0342">
            <w:pPr>
              <w:pStyle w:val="TableParagraph"/>
              <w:ind w:left="123" w:right="123"/>
              <w:jc w:val="center"/>
              <w:rPr>
                <w:sz w:val="24"/>
              </w:rPr>
            </w:pPr>
            <w:r>
              <w:rPr>
                <w:sz w:val="24"/>
              </w:rPr>
              <w:t>$19,116,080</w:t>
            </w:r>
          </w:p>
        </w:tc>
      </w:tr>
      <w:tr w:rsidR="0049198D" w14:paraId="021CCC82" w14:textId="77777777" w:rsidTr="002C6117">
        <w:trPr>
          <w:trHeight w:hRule="exact" w:val="586"/>
        </w:trPr>
        <w:tc>
          <w:tcPr>
            <w:tcW w:w="2160" w:type="dxa"/>
          </w:tcPr>
          <w:p w14:paraId="3C528F20" w14:textId="77777777" w:rsidR="0049198D" w:rsidRDefault="0049198D" w:rsidP="00EA0342">
            <w:pPr>
              <w:pStyle w:val="TableParagraph"/>
              <w:rPr>
                <w:sz w:val="24"/>
              </w:rPr>
            </w:pPr>
            <w:r>
              <w:rPr>
                <w:sz w:val="24"/>
              </w:rPr>
              <w:t>Totals</w:t>
            </w:r>
          </w:p>
        </w:tc>
        <w:tc>
          <w:tcPr>
            <w:tcW w:w="1080" w:type="dxa"/>
          </w:tcPr>
          <w:p w14:paraId="464986EE" w14:textId="38D29661" w:rsidR="0049198D" w:rsidRDefault="00024FE7" w:rsidP="00EA0342">
            <w:pPr>
              <w:pStyle w:val="TableParagraph"/>
              <w:jc w:val="center"/>
              <w:rPr>
                <w:sz w:val="24"/>
              </w:rPr>
            </w:pPr>
            <w:r>
              <w:rPr>
                <w:sz w:val="24"/>
              </w:rPr>
              <w:fldChar w:fldCharType="begin"/>
            </w:r>
            <w:r>
              <w:rPr>
                <w:sz w:val="24"/>
              </w:rPr>
              <w:instrText xml:space="preserve"> =SUM(ABOVE) </w:instrText>
            </w:r>
            <w:r>
              <w:rPr>
                <w:sz w:val="24"/>
              </w:rPr>
              <w:fldChar w:fldCharType="separate"/>
            </w:r>
            <w:r>
              <w:rPr>
                <w:noProof/>
                <w:sz w:val="24"/>
              </w:rPr>
              <w:t>68</w:t>
            </w:r>
            <w:r>
              <w:rPr>
                <w:sz w:val="24"/>
              </w:rPr>
              <w:fldChar w:fldCharType="end"/>
            </w:r>
          </w:p>
        </w:tc>
        <w:tc>
          <w:tcPr>
            <w:tcW w:w="1260" w:type="dxa"/>
          </w:tcPr>
          <w:p w14:paraId="0DCA3D2B" w14:textId="470B64EE" w:rsidR="0049198D" w:rsidRDefault="00024FE7" w:rsidP="00EA0342">
            <w:pPr>
              <w:pStyle w:val="TableParagraph"/>
              <w:ind w:left="123" w:right="123"/>
              <w:jc w:val="center"/>
              <w:rPr>
                <w:sz w:val="24"/>
              </w:rPr>
            </w:pPr>
            <w:r>
              <w:rPr>
                <w:sz w:val="24"/>
              </w:rPr>
              <w:fldChar w:fldCharType="begin"/>
            </w:r>
            <w:r>
              <w:rPr>
                <w:sz w:val="24"/>
              </w:rPr>
              <w:instrText xml:space="preserve"> =SUM(ABOVE) </w:instrText>
            </w:r>
            <w:r>
              <w:rPr>
                <w:sz w:val="24"/>
              </w:rPr>
              <w:fldChar w:fldCharType="separate"/>
            </w:r>
            <w:r>
              <w:rPr>
                <w:noProof/>
                <w:sz w:val="24"/>
              </w:rPr>
              <w:t>377,876</w:t>
            </w:r>
            <w:r>
              <w:rPr>
                <w:sz w:val="24"/>
              </w:rPr>
              <w:fldChar w:fldCharType="end"/>
            </w:r>
          </w:p>
        </w:tc>
        <w:tc>
          <w:tcPr>
            <w:tcW w:w="1260" w:type="dxa"/>
          </w:tcPr>
          <w:p w14:paraId="229952E5" w14:textId="1F521536" w:rsidR="0049198D" w:rsidRDefault="00024FE7" w:rsidP="00EA0342">
            <w:pPr>
              <w:pStyle w:val="TableParagraph"/>
              <w:ind w:left="123" w:right="123"/>
              <w:jc w:val="center"/>
              <w:rPr>
                <w:sz w:val="24"/>
              </w:rPr>
            </w:pPr>
            <w:r>
              <w:rPr>
                <w:sz w:val="24"/>
              </w:rPr>
              <w:fldChar w:fldCharType="begin"/>
            </w:r>
            <w:r>
              <w:rPr>
                <w:sz w:val="24"/>
              </w:rPr>
              <w:instrText xml:space="preserve"> =SUM(ABOVE) \# "$#,###" </w:instrText>
            </w:r>
            <w:r>
              <w:rPr>
                <w:sz w:val="24"/>
              </w:rPr>
              <w:fldChar w:fldCharType="separate"/>
            </w:r>
            <w:r>
              <w:rPr>
                <w:noProof/>
                <w:sz w:val="24"/>
              </w:rPr>
              <w:t>$7,392</w:t>
            </w:r>
            <w:r>
              <w:rPr>
                <w:sz w:val="24"/>
              </w:rPr>
              <w:fldChar w:fldCharType="end"/>
            </w:r>
          </w:p>
        </w:tc>
        <w:tc>
          <w:tcPr>
            <w:tcW w:w="1610" w:type="dxa"/>
          </w:tcPr>
          <w:p w14:paraId="6F0DDE79" w14:textId="331ABD4F" w:rsidR="0049198D" w:rsidRDefault="00024FE7" w:rsidP="00EA0342">
            <w:pPr>
              <w:pStyle w:val="TableParagraph"/>
              <w:ind w:left="123" w:right="123"/>
              <w:jc w:val="center"/>
              <w:rPr>
                <w:sz w:val="24"/>
              </w:rPr>
            </w:pPr>
            <w:r>
              <w:rPr>
                <w:sz w:val="24"/>
              </w:rPr>
              <w:fldChar w:fldCharType="begin"/>
            </w:r>
            <w:r>
              <w:rPr>
                <w:sz w:val="24"/>
              </w:rPr>
              <w:instrText xml:space="preserve"> =SUM(ABOVE) \# "$#,###" </w:instrText>
            </w:r>
            <w:r>
              <w:rPr>
                <w:sz w:val="24"/>
              </w:rPr>
              <w:fldChar w:fldCharType="separate"/>
            </w:r>
            <w:r>
              <w:rPr>
                <w:noProof/>
                <w:sz w:val="24"/>
              </w:rPr>
              <w:t>$41,077,344</w:t>
            </w:r>
            <w:r>
              <w:rPr>
                <w:sz w:val="24"/>
              </w:rPr>
              <w:fldChar w:fldCharType="end"/>
            </w:r>
          </w:p>
        </w:tc>
      </w:tr>
    </w:tbl>
    <w:p w14:paraId="30C9A578" w14:textId="77777777" w:rsidR="00B31173" w:rsidRPr="00700EC3" w:rsidRDefault="00B31173">
      <w:pPr>
        <w:pStyle w:val="BodyText"/>
        <w:spacing w:before="4"/>
      </w:pPr>
    </w:p>
    <w:p w14:paraId="25827B45" w14:textId="77777777" w:rsidR="00261CB6" w:rsidRPr="00700EC3" w:rsidRDefault="00687609" w:rsidP="005E0D4A">
      <w:pPr>
        <w:pStyle w:val="ListParagraph"/>
        <w:numPr>
          <w:ilvl w:val="0"/>
          <w:numId w:val="4"/>
        </w:numPr>
        <w:tabs>
          <w:tab w:val="left" w:pos="532"/>
        </w:tabs>
        <w:ind w:left="532" w:hanging="432"/>
        <w:rPr>
          <w:sz w:val="24"/>
        </w:rPr>
      </w:pPr>
      <w:r w:rsidRPr="00700EC3">
        <w:rPr>
          <w:sz w:val="24"/>
        </w:rPr>
        <w:t>Capital</w:t>
      </w:r>
      <w:r w:rsidRPr="00700EC3">
        <w:rPr>
          <w:spacing w:val="-2"/>
          <w:sz w:val="24"/>
        </w:rPr>
        <w:t xml:space="preserve"> </w:t>
      </w:r>
      <w:r w:rsidRPr="00700EC3">
        <w:rPr>
          <w:sz w:val="24"/>
        </w:rPr>
        <w:t>Costs</w:t>
      </w:r>
    </w:p>
    <w:p w14:paraId="19BFC4EF" w14:textId="77777777" w:rsidR="00261CB6" w:rsidRPr="00700EC3" w:rsidRDefault="00261CB6">
      <w:pPr>
        <w:pStyle w:val="BodyText"/>
        <w:spacing w:before="4"/>
      </w:pPr>
    </w:p>
    <w:p w14:paraId="6CF2C782" w14:textId="28E51185" w:rsidR="00261CB6" w:rsidRDefault="00687609">
      <w:pPr>
        <w:pStyle w:val="BodyText"/>
        <w:spacing w:before="90"/>
        <w:ind w:left="531"/>
      </w:pPr>
      <w:r>
        <w:t>There are no capital costs.</w:t>
      </w:r>
    </w:p>
    <w:p w14:paraId="06C11237" w14:textId="77777777" w:rsidR="00261CB6" w:rsidRPr="00700EC3" w:rsidRDefault="00261CB6">
      <w:pPr>
        <w:pStyle w:val="BodyText"/>
        <w:spacing w:before="8"/>
      </w:pPr>
    </w:p>
    <w:p w14:paraId="37E47623" w14:textId="77777777" w:rsidR="00261CB6" w:rsidRPr="00700EC3" w:rsidRDefault="00687609" w:rsidP="005E0D4A">
      <w:pPr>
        <w:pStyle w:val="ListParagraph"/>
        <w:numPr>
          <w:ilvl w:val="0"/>
          <w:numId w:val="4"/>
        </w:numPr>
        <w:tabs>
          <w:tab w:val="left" w:pos="552"/>
        </w:tabs>
        <w:spacing w:before="90"/>
        <w:ind w:left="552" w:hanging="432"/>
        <w:rPr>
          <w:sz w:val="24"/>
        </w:rPr>
      </w:pPr>
      <w:r w:rsidRPr="00700EC3">
        <w:rPr>
          <w:sz w:val="24"/>
        </w:rPr>
        <w:t>Cost to Federal</w:t>
      </w:r>
      <w:r w:rsidRPr="00700EC3">
        <w:rPr>
          <w:spacing w:val="-10"/>
          <w:sz w:val="24"/>
        </w:rPr>
        <w:t xml:space="preserve"> </w:t>
      </w:r>
      <w:r w:rsidRPr="00700EC3">
        <w:rPr>
          <w:sz w:val="24"/>
        </w:rPr>
        <w:t>Government</w:t>
      </w:r>
    </w:p>
    <w:p w14:paraId="5294F25B" w14:textId="77777777" w:rsidR="00261CB6" w:rsidRPr="00700EC3" w:rsidRDefault="00261CB6">
      <w:pPr>
        <w:pStyle w:val="BodyText"/>
        <w:spacing w:before="4"/>
      </w:pPr>
    </w:p>
    <w:p w14:paraId="37227E80" w14:textId="77777777" w:rsidR="00261CB6" w:rsidRDefault="00687609">
      <w:pPr>
        <w:pStyle w:val="BodyText"/>
        <w:spacing w:before="90" w:line="247" w:lineRule="auto"/>
        <w:ind w:left="551" w:right="113"/>
      </w:pPr>
      <w:r>
        <w:t>There are minimal costs associated with these requirements that are accrued at the Federal level and especially</w:t>
      </w:r>
      <w:r>
        <w:rPr>
          <w:spacing w:val="-43"/>
        </w:rPr>
        <w:t xml:space="preserve"> </w:t>
      </w:r>
      <w:r>
        <w:t>at the regional office (RO) levels. For example, RO staff is responsible for acting on the information collections requirements discussed in this package as it relates to ASC compliance. Once state survey agencies have completed their surveys and if a final decision to terminate an ASC for noncompliance is to be made, such decisions are made by the Central Office and the</w:t>
      </w:r>
      <w:r>
        <w:rPr>
          <w:spacing w:val="-12"/>
        </w:rPr>
        <w:t xml:space="preserve"> </w:t>
      </w:r>
      <w:r>
        <w:t>RO.</w:t>
      </w:r>
    </w:p>
    <w:p w14:paraId="3063BC8C" w14:textId="77777777" w:rsidR="006A3F33" w:rsidRDefault="006A3F33">
      <w:pPr>
        <w:pStyle w:val="BodyText"/>
        <w:spacing w:before="5"/>
      </w:pPr>
    </w:p>
    <w:p w14:paraId="7A0D7104" w14:textId="77777777" w:rsidR="00261CB6" w:rsidRPr="00700EC3" w:rsidRDefault="00687609" w:rsidP="005E0D4A">
      <w:pPr>
        <w:pStyle w:val="ListParagraph"/>
        <w:numPr>
          <w:ilvl w:val="0"/>
          <w:numId w:val="4"/>
        </w:numPr>
        <w:tabs>
          <w:tab w:val="left" w:pos="552"/>
        </w:tabs>
        <w:ind w:left="552" w:hanging="432"/>
        <w:rPr>
          <w:sz w:val="24"/>
        </w:rPr>
      </w:pPr>
      <w:r w:rsidRPr="00700EC3">
        <w:rPr>
          <w:sz w:val="24"/>
        </w:rPr>
        <w:t>Changes to</w:t>
      </w:r>
      <w:r w:rsidRPr="00700EC3">
        <w:rPr>
          <w:spacing w:val="-9"/>
          <w:sz w:val="24"/>
        </w:rPr>
        <w:t xml:space="preserve"> </w:t>
      </w:r>
      <w:r w:rsidRPr="00700EC3">
        <w:rPr>
          <w:sz w:val="24"/>
        </w:rPr>
        <w:t>Burden</w:t>
      </w:r>
    </w:p>
    <w:p w14:paraId="70B59DF6" w14:textId="77777777" w:rsidR="00261CB6" w:rsidRPr="00700EC3" w:rsidRDefault="00261CB6">
      <w:pPr>
        <w:pStyle w:val="BodyText"/>
        <w:spacing w:before="4"/>
      </w:pPr>
    </w:p>
    <w:p w14:paraId="0279DBC9" w14:textId="52C77210" w:rsidR="00261CB6" w:rsidRDefault="00687609">
      <w:pPr>
        <w:pStyle w:val="BodyText"/>
        <w:spacing w:before="90" w:line="247" w:lineRule="auto"/>
        <w:ind w:left="552" w:right="84"/>
      </w:pPr>
      <w:r>
        <w:t xml:space="preserve">Changes to the burden are a reflection of the </w:t>
      </w:r>
      <w:r w:rsidR="006D26DA">
        <w:t>a</w:t>
      </w:r>
      <w:r w:rsidR="006D26DA" w:rsidRPr="006D26DA">
        <w:t>dmission and pre-surgical assessment</w:t>
      </w:r>
      <w:r w:rsidR="006D26DA">
        <w:t xml:space="preserve"> r</w:t>
      </w:r>
      <w:r w:rsidR="00A54A9A">
        <w:t xml:space="preserve">equirements, </w:t>
      </w:r>
      <w:r w:rsidR="0021340C">
        <w:t>an increase</w:t>
      </w:r>
      <w:r w:rsidR="00A54A9A">
        <w:t xml:space="preserve"> in the number of affected ASCs, and the h</w:t>
      </w:r>
      <w:r w:rsidR="00FB4B1A">
        <w:t xml:space="preserve">ourly wages </w:t>
      </w:r>
      <w:r w:rsidR="00A54A9A">
        <w:t>being</w:t>
      </w:r>
      <w:r w:rsidR="00FB4B1A">
        <w:t xml:space="preserve"> updated to reflect May 2017 BLS data.</w:t>
      </w:r>
      <w:r w:rsidR="00A54A9A">
        <w:t xml:space="preserve"> These</w:t>
      </w:r>
      <w:r w:rsidR="00536C8F">
        <w:t xml:space="preserve"> changes </w:t>
      </w:r>
      <w:r w:rsidR="00702215">
        <w:t xml:space="preserve">and updates </w:t>
      </w:r>
      <w:r w:rsidR="00536C8F">
        <w:t xml:space="preserve">result in a net </w:t>
      </w:r>
      <w:r w:rsidR="0049198D">
        <w:t>increase in b</w:t>
      </w:r>
      <w:r w:rsidR="00702215">
        <w:t>urden, from 214,500 hours to 377,876 hours. Refer to Table 4 for details.</w:t>
      </w:r>
    </w:p>
    <w:p w14:paraId="17F15369" w14:textId="77777777" w:rsidR="00261CB6" w:rsidRDefault="00261CB6">
      <w:pPr>
        <w:pStyle w:val="BodyText"/>
        <w:spacing w:before="6"/>
      </w:pPr>
    </w:p>
    <w:p w14:paraId="2019AF20" w14:textId="77777777" w:rsidR="00261CB6" w:rsidRPr="00700EC3" w:rsidRDefault="00687609" w:rsidP="005E0D4A">
      <w:pPr>
        <w:pStyle w:val="ListParagraph"/>
        <w:numPr>
          <w:ilvl w:val="0"/>
          <w:numId w:val="4"/>
        </w:numPr>
        <w:tabs>
          <w:tab w:val="left" w:pos="552"/>
        </w:tabs>
        <w:ind w:left="552" w:hanging="432"/>
        <w:rPr>
          <w:sz w:val="24"/>
        </w:rPr>
      </w:pPr>
      <w:r w:rsidRPr="00700EC3">
        <w:rPr>
          <w:sz w:val="24"/>
        </w:rPr>
        <w:t>Publication/Tabulation</w:t>
      </w:r>
      <w:r w:rsidRPr="00700EC3">
        <w:rPr>
          <w:spacing w:val="-8"/>
          <w:sz w:val="24"/>
        </w:rPr>
        <w:t xml:space="preserve"> </w:t>
      </w:r>
      <w:r w:rsidRPr="00700EC3">
        <w:rPr>
          <w:sz w:val="24"/>
        </w:rPr>
        <w:t>Dates</w:t>
      </w:r>
    </w:p>
    <w:p w14:paraId="14603026" w14:textId="77777777" w:rsidR="00261CB6" w:rsidRPr="00700EC3" w:rsidRDefault="00261CB6">
      <w:pPr>
        <w:pStyle w:val="BodyText"/>
        <w:spacing w:before="4"/>
      </w:pPr>
    </w:p>
    <w:p w14:paraId="4923ED42" w14:textId="77777777" w:rsidR="00261CB6" w:rsidRDefault="00687609">
      <w:pPr>
        <w:pStyle w:val="BodyText"/>
        <w:spacing w:before="90"/>
        <w:ind w:left="552"/>
      </w:pPr>
      <w:r>
        <w:t>We do not plan to publish any of the information collected.</w:t>
      </w:r>
    </w:p>
    <w:p w14:paraId="0251D373" w14:textId="77777777" w:rsidR="00261CB6" w:rsidRPr="00700EC3" w:rsidRDefault="00261CB6">
      <w:pPr>
        <w:pStyle w:val="BodyText"/>
        <w:spacing w:before="2"/>
      </w:pPr>
    </w:p>
    <w:p w14:paraId="1829876C" w14:textId="77777777" w:rsidR="00261CB6" w:rsidRPr="00700EC3" w:rsidRDefault="00687609" w:rsidP="005E0D4A">
      <w:pPr>
        <w:pStyle w:val="ListParagraph"/>
        <w:numPr>
          <w:ilvl w:val="0"/>
          <w:numId w:val="4"/>
        </w:numPr>
        <w:tabs>
          <w:tab w:val="left" w:pos="552"/>
        </w:tabs>
        <w:ind w:left="552" w:hanging="432"/>
        <w:rPr>
          <w:sz w:val="24"/>
        </w:rPr>
      </w:pPr>
      <w:r w:rsidRPr="00700EC3">
        <w:rPr>
          <w:sz w:val="24"/>
        </w:rPr>
        <w:t>Expiration</w:t>
      </w:r>
      <w:r w:rsidRPr="00700EC3">
        <w:rPr>
          <w:spacing w:val="-3"/>
          <w:sz w:val="24"/>
        </w:rPr>
        <w:t xml:space="preserve"> </w:t>
      </w:r>
      <w:r w:rsidRPr="00700EC3">
        <w:rPr>
          <w:sz w:val="24"/>
        </w:rPr>
        <w:t>Date</w:t>
      </w:r>
    </w:p>
    <w:p w14:paraId="0C3CE6E6" w14:textId="77777777" w:rsidR="00261CB6" w:rsidRPr="00700EC3" w:rsidRDefault="00261CB6">
      <w:pPr>
        <w:pStyle w:val="BodyText"/>
        <w:spacing w:before="4"/>
      </w:pPr>
    </w:p>
    <w:p w14:paraId="265F6305" w14:textId="7E560298" w:rsidR="00261CB6" w:rsidRDefault="003E02BB" w:rsidP="00700EC3">
      <w:pPr>
        <w:ind w:left="630"/>
      </w:pPr>
      <w:r>
        <w:rPr>
          <w:sz w:val="24"/>
        </w:rPr>
        <w:t>CMS will publish a notice in the Federal Register to inform the public of both the approval and the expiration date.  In addition, the public will be able to access the expiration date on OMB’s website by performing a search using the OMB control number</w:t>
      </w:r>
      <w:r w:rsidR="00700EC3">
        <w:rPr>
          <w:sz w:val="24"/>
        </w:rPr>
        <w:t>.</w:t>
      </w:r>
    </w:p>
    <w:sectPr w:rsidR="00261CB6">
      <w:footerReference w:type="default" r:id="rId10"/>
      <w:pgSz w:w="12240" w:h="15840"/>
      <w:pgMar w:top="1500" w:right="1180" w:bottom="1700" w:left="1320" w:header="0" w:footer="15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D699D" w14:textId="77777777" w:rsidR="00AB67BD" w:rsidRDefault="00AB67BD">
      <w:r>
        <w:separator/>
      </w:r>
    </w:p>
  </w:endnote>
  <w:endnote w:type="continuationSeparator" w:id="0">
    <w:p w14:paraId="37918EB0" w14:textId="77777777" w:rsidR="00AB67BD" w:rsidRDefault="00AB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10DCA" w14:textId="77777777" w:rsidR="00261CB6" w:rsidRDefault="0068760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1260974" wp14:editId="1B4581A8">
              <wp:simplePos x="0" y="0"/>
              <wp:positionH relativeFrom="page">
                <wp:posOffset>3868420</wp:posOffset>
              </wp:positionH>
              <wp:positionV relativeFrom="page">
                <wp:posOffset>8959215</wp:posOffset>
              </wp:positionV>
              <wp:extent cx="127000" cy="19431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BCDB1" w14:textId="2D9B0ACC" w:rsidR="00261CB6" w:rsidRDefault="00687609">
                          <w:pPr>
                            <w:pStyle w:val="BodyText"/>
                            <w:spacing w:before="10"/>
                            <w:ind w:left="40"/>
                          </w:pPr>
                          <w:r>
                            <w:fldChar w:fldCharType="begin"/>
                          </w:r>
                          <w:r>
                            <w:instrText xml:space="preserve"> PAGE </w:instrText>
                          </w:r>
                          <w:r>
                            <w:fldChar w:fldCharType="separate"/>
                          </w:r>
                          <w:r w:rsidR="00E83D2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4.6pt;margin-top:705.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" filled="f" stroked="f">
              <v:textbox inset="0,0,0,0">
                <w:txbxContent>
                  <w:p w14:paraId="548BCDB1" w14:textId="2D9B0ACC" w:rsidR="00261CB6" w:rsidRDefault="00687609">
                    <w:pPr>
                      <w:pStyle w:val="BodyText"/>
                      <w:spacing w:before="10"/>
                      <w:ind w:left="40"/>
                    </w:pPr>
                    <w:r>
                      <w:fldChar w:fldCharType="begin"/>
                    </w:r>
                    <w:r>
                      <w:instrText xml:space="preserve"> PAGE </w:instrText>
                    </w:r>
                    <w:r>
                      <w:fldChar w:fldCharType="separate"/>
                    </w:r>
                    <w:r w:rsidR="00E83D2E">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80F8F" w14:textId="77777777" w:rsidR="00AB67BD" w:rsidRDefault="00AB67BD">
      <w:r>
        <w:separator/>
      </w:r>
    </w:p>
  </w:footnote>
  <w:footnote w:type="continuationSeparator" w:id="0">
    <w:p w14:paraId="67EB62C6" w14:textId="77777777" w:rsidR="00AB67BD" w:rsidRDefault="00AB67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24F30"/>
    <w:multiLevelType w:val="hybridMultilevel"/>
    <w:tmpl w:val="6C6CEE28"/>
    <w:lvl w:ilvl="0" w:tplc="340E4AEE">
      <w:start w:val="1"/>
      <w:numFmt w:val="upperLetter"/>
      <w:lvlText w:val="%1."/>
      <w:lvlJc w:val="left"/>
      <w:pPr>
        <w:ind w:left="820" w:hanging="720"/>
      </w:pPr>
      <w:rPr>
        <w:rFonts w:ascii="Times New Roman" w:eastAsia="Times New Roman" w:hAnsi="Times New Roman" w:cs="Times New Roman" w:hint="default"/>
        <w:b/>
        <w:bCs/>
        <w:spacing w:val="-1"/>
        <w:w w:val="99"/>
        <w:sz w:val="24"/>
        <w:szCs w:val="24"/>
      </w:rPr>
    </w:lvl>
    <w:lvl w:ilvl="1" w:tplc="0B309AA6">
      <w:numFmt w:val="bullet"/>
      <w:lvlText w:val="•"/>
      <w:lvlJc w:val="left"/>
      <w:pPr>
        <w:ind w:left="1708" w:hanging="720"/>
      </w:pPr>
      <w:rPr>
        <w:rFonts w:hint="default"/>
      </w:rPr>
    </w:lvl>
    <w:lvl w:ilvl="2" w:tplc="65782640">
      <w:numFmt w:val="bullet"/>
      <w:lvlText w:val="•"/>
      <w:lvlJc w:val="left"/>
      <w:pPr>
        <w:ind w:left="2596" w:hanging="720"/>
      </w:pPr>
      <w:rPr>
        <w:rFonts w:hint="default"/>
      </w:rPr>
    </w:lvl>
    <w:lvl w:ilvl="3" w:tplc="BAF29002">
      <w:numFmt w:val="bullet"/>
      <w:lvlText w:val="•"/>
      <w:lvlJc w:val="left"/>
      <w:pPr>
        <w:ind w:left="3484" w:hanging="720"/>
      </w:pPr>
      <w:rPr>
        <w:rFonts w:hint="default"/>
      </w:rPr>
    </w:lvl>
    <w:lvl w:ilvl="4" w:tplc="138A022E">
      <w:numFmt w:val="bullet"/>
      <w:lvlText w:val="•"/>
      <w:lvlJc w:val="left"/>
      <w:pPr>
        <w:ind w:left="4372" w:hanging="720"/>
      </w:pPr>
      <w:rPr>
        <w:rFonts w:hint="default"/>
      </w:rPr>
    </w:lvl>
    <w:lvl w:ilvl="5" w:tplc="14B0ED48">
      <w:numFmt w:val="bullet"/>
      <w:lvlText w:val="•"/>
      <w:lvlJc w:val="left"/>
      <w:pPr>
        <w:ind w:left="5260" w:hanging="720"/>
      </w:pPr>
      <w:rPr>
        <w:rFonts w:hint="default"/>
      </w:rPr>
    </w:lvl>
    <w:lvl w:ilvl="6" w:tplc="6B224F2A">
      <w:numFmt w:val="bullet"/>
      <w:lvlText w:val="•"/>
      <w:lvlJc w:val="left"/>
      <w:pPr>
        <w:ind w:left="6148" w:hanging="720"/>
      </w:pPr>
      <w:rPr>
        <w:rFonts w:hint="default"/>
      </w:rPr>
    </w:lvl>
    <w:lvl w:ilvl="7" w:tplc="899A5DB6">
      <w:numFmt w:val="bullet"/>
      <w:lvlText w:val="•"/>
      <w:lvlJc w:val="left"/>
      <w:pPr>
        <w:ind w:left="7036" w:hanging="720"/>
      </w:pPr>
      <w:rPr>
        <w:rFonts w:hint="default"/>
      </w:rPr>
    </w:lvl>
    <w:lvl w:ilvl="8" w:tplc="9C2848FC">
      <w:numFmt w:val="bullet"/>
      <w:lvlText w:val="•"/>
      <w:lvlJc w:val="left"/>
      <w:pPr>
        <w:ind w:left="7924" w:hanging="720"/>
      </w:pPr>
      <w:rPr>
        <w:rFonts w:hint="default"/>
      </w:rPr>
    </w:lvl>
  </w:abstractNum>
  <w:abstractNum w:abstractNumId="1">
    <w:nsid w:val="38431FA4"/>
    <w:multiLevelType w:val="hybridMultilevel"/>
    <w:tmpl w:val="3CB2DAA0"/>
    <w:lvl w:ilvl="0" w:tplc="2ED8600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A8A1129"/>
    <w:multiLevelType w:val="hybridMultilevel"/>
    <w:tmpl w:val="A866FA56"/>
    <w:lvl w:ilvl="0" w:tplc="8980910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40CE5099"/>
    <w:multiLevelType w:val="hybridMultilevel"/>
    <w:tmpl w:val="66B0F85E"/>
    <w:lvl w:ilvl="0" w:tplc="B9629B86">
      <w:start w:val="1"/>
      <w:numFmt w:val="decimal"/>
      <w:lvlText w:val="%1."/>
      <w:lvlJc w:val="left"/>
      <w:pPr>
        <w:ind w:left="480" w:hanging="360"/>
      </w:pPr>
      <w:rPr>
        <w:rFonts w:ascii="Times New Roman" w:eastAsia="Times New Roman" w:hAnsi="Times New Roman" w:cs="Times New Roman" w:hint="default"/>
        <w:spacing w:val="-6"/>
        <w:w w:val="99"/>
        <w:sz w:val="24"/>
        <w:szCs w:val="24"/>
      </w:rPr>
    </w:lvl>
    <w:lvl w:ilvl="1" w:tplc="E9E248FA">
      <w:numFmt w:val="bullet"/>
      <w:lvlText w:val="•"/>
      <w:lvlJc w:val="left"/>
      <w:pPr>
        <w:ind w:left="1404" w:hanging="360"/>
      </w:pPr>
      <w:rPr>
        <w:rFonts w:hint="default"/>
      </w:rPr>
    </w:lvl>
    <w:lvl w:ilvl="2" w:tplc="F1944EF8">
      <w:numFmt w:val="bullet"/>
      <w:lvlText w:val="•"/>
      <w:lvlJc w:val="left"/>
      <w:pPr>
        <w:ind w:left="2328" w:hanging="360"/>
      </w:pPr>
      <w:rPr>
        <w:rFonts w:hint="default"/>
      </w:rPr>
    </w:lvl>
    <w:lvl w:ilvl="3" w:tplc="F33021C8">
      <w:numFmt w:val="bullet"/>
      <w:lvlText w:val="•"/>
      <w:lvlJc w:val="left"/>
      <w:pPr>
        <w:ind w:left="3252" w:hanging="360"/>
      </w:pPr>
      <w:rPr>
        <w:rFonts w:hint="default"/>
      </w:rPr>
    </w:lvl>
    <w:lvl w:ilvl="4" w:tplc="392E0B9E">
      <w:numFmt w:val="bullet"/>
      <w:lvlText w:val="•"/>
      <w:lvlJc w:val="left"/>
      <w:pPr>
        <w:ind w:left="4176" w:hanging="360"/>
      </w:pPr>
      <w:rPr>
        <w:rFonts w:hint="default"/>
      </w:rPr>
    </w:lvl>
    <w:lvl w:ilvl="5" w:tplc="09706000">
      <w:numFmt w:val="bullet"/>
      <w:lvlText w:val="•"/>
      <w:lvlJc w:val="left"/>
      <w:pPr>
        <w:ind w:left="5100" w:hanging="360"/>
      </w:pPr>
      <w:rPr>
        <w:rFonts w:hint="default"/>
      </w:rPr>
    </w:lvl>
    <w:lvl w:ilvl="6" w:tplc="58A87B78">
      <w:numFmt w:val="bullet"/>
      <w:lvlText w:val="•"/>
      <w:lvlJc w:val="left"/>
      <w:pPr>
        <w:ind w:left="6024" w:hanging="360"/>
      </w:pPr>
      <w:rPr>
        <w:rFonts w:hint="default"/>
      </w:rPr>
    </w:lvl>
    <w:lvl w:ilvl="7" w:tplc="377CE420">
      <w:numFmt w:val="bullet"/>
      <w:lvlText w:val="•"/>
      <w:lvlJc w:val="left"/>
      <w:pPr>
        <w:ind w:left="6948" w:hanging="360"/>
      </w:pPr>
      <w:rPr>
        <w:rFonts w:hint="default"/>
      </w:rPr>
    </w:lvl>
    <w:lvl w:ilvl="8" w:tplc="50F89C06">
      <w:numFmt w:val="bullet"/>
      <w:lvlText w:val="•"/>
      <w:lvlJc w:val="left"/>
      <w:pPr>
        <w:ind w:left="7872" w:hanging="3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CB6"/>
    <w:rsid w:val="00024FE7"/>
    <w:rsid w:val="00074522"/>
    <w:rsid w:val="000764E7"/>
    <w:rsid w:val="00095A04"/>
    <w:rsid w:val="000B0B68"/>
    <w:rsid w:val="000C3731"/>
    <w:rsid w:val="000E076C"/>
    <w:rsid w:val="000E47DE"/>
    <w:rsid w:val="00122DE5"/>
    <w:rsid w:val="00140111"/>
    <w:rsid w:val="00155914"/>
    <w:rsid w:val="00161BB5"/>
    <w:rsid w:val="00193FB0"/>
    <w:rsid w:val="001A10AC"/>
    <w:rsid w:val="001A2E69"/>
    <w:rsid w:val="001A3860"/>
    <w:rsid w:val="00207582"/>
    <w:rsid w:val="0021292B"/>
    <w:rsid w:val="0021340C"/>
    <w:rsid w:val="00233921"/>
    <w:rsid w:val="002360FC"/>
    <w:rsid w:val="00261CB6"/>
    <w:rsid w:val="002C112A"/>
    <w:rsid w:val="002C56E9"/>
    <w:rsid w:val="002C5EAB"/>
    <w:rsid w:val="002C6117"/>
    <w:rsid w:val="002D6550"/>
    <w:rsid w:val="002E51C7"/>
    <w:rsid w:val="002F286D"/>
    <w:rsid w:val="00316AC6"/>
    <w:rsid w:val="003830F8"/>
    <w:rsid w:val="00397AD6"/>
    <w:rsid w:val="003E02BB"/>
    <w:rsid w:val="00410ACF"/>
    <w:rsid w:val="00485467"/>
    <w:rsid w:val="0049198D"/>
    <w:rsid w:val="004B45BF"/>
    <w:rsid w:val="004C6C11"/>
    <w:rsid w:val="004D5A69"/>
    <w:rsid w:val="0050791D"/>
    <w:rsid w:val="00536C8F"/>
    <w:rsid w:val="00540ADF"/>
    <w:rsid w:val="00543A0F"/>
    <w:rsid w:val="00550039"/>
    <w:rsid w:val="0055672E"/>
    <w:rsid w:val="0057069E"/>
    <w:rsid w:val="00581DA1"/>
    <w:rsid w:val="005B0CFF"/>
    <w:rsid w:val="005B7BC2"/>
    <w:rsid w:val="005E0D4A"/>
    <w:rsid w:val="00620568"/>
    <w:rsid w:val="00622BC2"/>
    <w:rsid w:val="00624CBA"/>
    <w:rsid w:val="00637021"/>
    <w:rsid w:val="00652634"/>
    <w:rsid w:val="006644CB"/>
    <w:rsid w:val="006710F8"/>
    <w:rsid w:val="00676664"/>
    <w:rsid w:val="00687609"/>
    <w:rsid w:val="00697047"/>
    <w:rsid w:val="00697805"/>
    <w:rsid w:val="006A3F33"/>
    <w:rsid w:val="006B5294"/>
    <w:rsid w:val="006D26DA"/>
    <w:rsid w:val="0070016D"/>
    <w:rsid w:val="00700EC3"/>
    <w:rsid w:val="00702215"/>
    <w:rsid w:val="007427A3"/>
    <w:rsid w:val="007B2C95"/>
    <w:rsid w:val="007C4519"/>
    <w:rsid w:val="007D0B55"/>
    <w:rsid w:val="007F4961"/>
    <w:rsid w:val="00842B81"/>
    <w:rsid w:val="008A46C0"/>
    <w:rsid w:val="008A51D8"/>
    <w:rsid w:val="008B52DB"/>
    <w:rsid w:val="008E533E"/>
    <w:rsid w:val="009622D1"/>
    <w:rsid w:val="0097164B"/>
    <w:rsid w:val="009773F2"/>
    <w:rsid w:val="009C5B76"/>
    <w:rsid w:val="009C70C4"/>
    <w:rsid w:val="009E4EC8"/>
    <w:rsid w:val="009F2543"/>
    <w:rsid w:val="00A01C11"/>
    <w:rsid w:val="00A248EF"/>
    <w:rsid w:val="00A54A9A"/>
    <w:rsid w:val="00A641CF"/>
    <w:rsid w:val="00A76940"/>
    <w:rsid w:val="00A803A7"/>
    <w:rsid w:val="00A859AE"/>
    <w:rsid w:val="00AA3DE4"/>
    <w:rsid w:val="00AB57AB"/>
    <w:rsid w:val="00AB67BD"/>
    <w:rsid w:val="00AC0DF9"/>
    <w:rsid w:val="00AE3018"/>
    <w:rsid w:val="00AF3D51"/>
    <w:rsid w:val="00AF4CBF"/>
    <w:rsid w:val="00B31173"/>
    <w:rsid w:val="00BB4F24"/>
    <w:rsid w:val="00BC0853"/>
    <w:rsid w:val="00BE204A"/>
    <w:rsid w:val="00CA06A6"/>
    <w:rsid w:val="00CD418F"/>
    <w:rsid w:val="00D00BED"/>
    <w:rsid w:val="00D033A6"/>
    <w:rsid w:val="00DA1660"/>
    <w:rsid w:val="00DF7046"/>
    <w:rsid w:val="00E33A1B"/>
    <w:rsid w:val="00E83D2E"/>
    <w:rsid w:val="00EA2497"/>
    <w:rsid w:val="00F04D5C"/>
    <w:rsid w:val="00F33EFD"/>
    <w:rsid w:val="00F4584A"/>
    <w:rsid w:val="00F817F1"/>
    <w:rsid w:val="00F85FF5"/>
    <w:rsid w:val="00FB4B1A"/>
    <w:rsid w:val="00FD574E"/>
    <w:rsid w:val="00FE5DB7"/>
    <w:rsid w:val="00FF6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9F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hanging="720"/>
      <w:outlineLvl w:val="0"/>
    </w:pPr>
    <w:rPr>
      <w:b/>
      <w:bCs/>
      <w:sz w:val="24"/>
      <w:szCs w:val="24"/>
    </w:rPr>
  </w:style>
  <w:style w:type="paragraph" w:styleId="Heading2">
    <w:name w:val="heading 2"/>
    <w:basedOn w:val="Normal"/>
    <w:next w:val="Normal"/>
    <w:link w:val="Heading2Char"/>
    <w:uiPriority w:val="9"/>
    <w:unhideWhenUsed/>
    <w:qFormat/>
    <w:rsid w:val="007427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52" w:hanging="432"/>
    </w:pPr>
  </w:style>
  <w:style w:type="paragraph" w:customStyle="1" w:styleId="TableParagraph">
    <w:name w:val="Table Paragraph"/>
    <w:basedOn w:val="Normal"/>
    <w:uiPriority w:val="1"/>
    <w:qFormat/>
    <w:pPr>
      <w:spacing w:before="1"/>
    </w:pPr>
  </w:style>
  <w:style w:type="character" w:styleId="Hyperlink">
    <w:name w:val="Hyperlink"/>
    <w:basedOn w:val="DefaultParagraphFont"/>
    <w:uiPriority w:val="99"/>
    <w:unhideWhenUsed/>
    <w:rsid w:val="005E0D4A"/>
    <w:rPr>
      <w:color w:val="0000FF" w:themeColor="hyperlink"/>
      <w:u w:val="single"/>
    </w:rPr>
  </w:style>
  <w:style w:type="character" w:styleId="CommentReference">
    <w:name w:val="annotation reference"/>
    <w:basedOn w:val="DefaultParagraphFont"/>
    <w:uiPriority w:val="99"/>
    <w:semiHidden/>
    <w:unhideWhenUsed/>
    <w:rsid w:val="00652634"/>
    <w:rPr>
      <w:sz w:val="16"/>
      <w:szCs w:val="16"/>
    </w:rPr>
  </w:style>
  <w:style w:type="paragraph" w:styleId="CommentText">
    <w:name w:val="annotation text"/>
    <w:basedOn w:val="Normal"/>
    <w:link w:val="CommentTextChar"/>
    <w:uiPriority w:val="99"/>
    <w:semiHidden/>
    <w:unhideWhenUsed/>
    <w:rsid w:val="00652634"/>
    <w:rPr>
      <w:sz w:val="20"/>
      <w:szCs w:val="20"/>
    </w:rPr>
  </w:style>
  <w:style w:type="character" w:customStyle="1" w:styleId="CommentTextChar">
    <w:name w:val="Comment Text Char"/>
    <w:basedOn w:val="DefaultParagraphFont"/>
    <w:link w:val="CommentText"/>
    <w:uiPriority w:val="99"/>
    <w:semiHidden/>
    <w:rsid w:val="006526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2634"/>
    <w:rPr>
      <w:b/>
      <w:bCs/>
    </w:rPr>
  </w:style>
  <w:style w:type="character" w:customStyle="1" w:styleId="CommentSubjectChar">
    <w:name w:val="Comment Subject Char"/>
    <w:basedOn w:val="CommentTextChar"/>
    <w:link w:val="CommentSubject"/>
    <w:uiPriority w:val="99"/>
    <w:semiHidden/>
    <w:rsid w:val="0065263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52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634"/>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7427A3"/>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D26DA"/>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A3DE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hanging="720"/>
      <w:outlineLvl w:val="0"/>
    </w:pPr>
    <w:rPr>
      <w:b/>
      <w:bCs/>
      <w:sz w:val="24"/>
      <w:szCs w:val="24"/>
    </w:rPr>
  </w:style>
  <w:style w:type="paragraph" w:styleId="Heading2">
    <w:name w:val="heading 2"/>
    <w:basedOn w:val="Normal"/>
    <w:next w:val="Normal"/>
    <w:link w:val="Heading2Char"/>
    <w:uiPriority w:val="9"/>
    <w:unhideWhenUsed/>
    <w:qFormat/>
    <w:rsid w:val="007427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52" w:hanging="432"/>
    </w:pPr>
  </w:style>
  <w:style w:type="paragraph" w:customStyle="1" w:styleId="TableParagraph">
    <w:name w:val="Table Paragraph"/>
    <w:basedOn w:val="Normal"/>
    <w:uiPriority w:val="1"/>
    <w:qFormat/>
    <w:pPr>
      <w:spacing w:before="1"/>
    </w:pPr>
  </w:style>
  <w:style w:type="character" w:styleId="Hyperlink">
    <w:name w:val="Hyperlink"/>
    <w:basedOn w:val="DefaultParagraphFont"/>
    <w:uiPriority w:val="99"/>
    <w:unhideWhenUsed/>
    <w:rsid w:val="005E0D4A"/>
    <w:rPr>
      <w:color w:val="0000FF" w:themeColor="hyperlink"/>
      <w:u w:val="single"/>
    </w:rPr>
  </w:style>
  <w:style w:type="character" w:styleId="CommentReference">
    <w:name w:val="annotation reference"/>
    <w:basedOn w:val="DefaultParagraphFont"/>
    <w:uiPriority w:val="99"/>
    <w:semiHidden/>
    <w:unhideWhenUsed/>
    <w:rsid w:val="00652634"/>
    <w:rPr>
      <w:sz w:val="16"/>
      <w:szCs w:val="16"/>
    </w:rPr>
  </w:style>
  <w:style w:type="paragraph" w:styleId="CommentText">
    <w:name w:val="annotation text"/>
    <w:basedOn w:val="Normal"/>
    <w:link w:val="CommentTextChar"/>
    <w:uiPriority w:val="99"/>
    <w:semiHidden/>
    <w:unhideWhenUsed/>
    <w:rsid w:val="00652634"/>
    <w:rPr>
      <w:sz w:val="20"/>
      <w:szCs w:val="20"/>
    </w:rPr>
  </w:style>
  <w:style w:type="character" w:customStyle="1" w:styleId="CommentTextChar">
    <w:name w:val="Comment Text Char"/>
    <w:basedOn w:val="DefaultParagraphFont"/>
    <w:link w:val="CommentText"/>
    <w:uiPriority w:val="99"/>
    <w:semiHidden/>
    <w:rsid w:val="006526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2634"/>
    <w:rPr>
      <w:b/>
      <w:bCs/>
    </w:rPr>
  </w:style>
  <w:style w:type="character" w:customStyle="1" w:styleId="CommentSubjectChar">
    <w:name w:val="Comment Subject Char"/>
    <w:basedOn w:val="CommentTextChar"/>
    <w:link w:val="CommentSubject"/>
    <w:uiPriority w:val="99"/>
    <w:semiHidden/>
    <w:rsid w:val="0065263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52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634"/>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7427A3"/>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D26DA"/>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A3D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391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B64CD-C298-4A43-A705-DE7185CA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2601</Words>
  <Characters>14831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17398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SYSTEM</cp:lastModifiedBy>
  <cp:revision>2</cp:revision>
  <cp:lastPrinted>2018-09-12T14:29:00Z</cp:lastPrinted>
  <dcterms:created xsi:type="dcterms:W3CDTF">2018-10-04T21:30:00Z</dcterms:created>
  <dcterms:modified xsi:type="dcterms:W3CDTF">2018-10-04T21:30:00Z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2013-05-13T00:00:00Z</vt:filetime>
  </property>
  <property fmtid="{D5CDD505-2E9C-101B-9397-08002B2CF9AE}" pid="3" name="Creator">
    <vt:lpwstr>Acrobat PDFMaker 10.1 for Word</vt:lpwstr>
  </property>
  <property fmtid="{D5CDD505-2E9C-101B-9397-08002B2CF9AE}" pid="4" name="LastSaved">
    <vt:filetime>2017-01-11T00:00:00Z</vt:filetime>
  </property>
  <property fmtid="{D5CDD505-2E9C-101B-9397-08002B2CF9AE}" pid="5" name="_AdHocReviewCycleID">
    <vt:i4>1515401997</vt:i4>
  </property>
  <property fmtid="{D5CDD505-2E9C-101B-9397-08002B2CF9AE}" pid="6" name="_NewReviewCycle">
    <vt:lpwstr/>
  </property>
  <property fmtid="{D5CDD505-2E9C-101B-9397-08002B2CF9AE}" pid="7" name="_EmailSubject">
    <vt:lpwstr>CMS-10279 (OMB control number 0938-1071)  ASCs</vt:lpwstr>
  </property>
  <property fmtid="{D5CDD505-2E9C-101B-9397-08002B2CF9AE}" pid="8" name="_AuthorEmail">
    <vt:lpwstr>Eric.Laib2@cms.hhs.gov</vt:lpwstr>
  </property>
  <property fmtid="{D5CDD505-2E9C-101B-9397-08002B2CF9AE}" pid="9" name="_AuthorEmailDisplayName">
    <vt:lpwstr>Laib, Eric C. (CMS/CCSQ)</vt:lpwstr>
  </property>
  <property fmtid="{D5CDD505-2E9C-101B-9397-08002B2CF9AE}" pid="10" name="_PreviousAdHocReviewCycleID">
    <vt:i4>-1359578594</vt:i4>
  </property>
  <property fmtid="{D5CDD505-2E9C-101B-9397-08002B2CF9AE}" pid="11" name="_ReviewingToolsShownOnce">
    <vt:lpwstr/>
  </property>
</Properties>
</file>