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AB891" w14:textId="77777777" w:rsidR="0053150E" w:rsidRPr="00CD645B" w:rsidRDefault="0053150E" w:rsidP="0053150E">
      <w:pPr>
        <w:spacing w:after="0" w:line="240" w:lineRule="auto"/>
        <w:rPr>
          <w:rFonts w:ascii="Times New Roman" w:eastAsia="Times New Roman" w:hAnsi="Times New Roman" w:cs="Times New Roman"/>
          <w:i/>
          <w:iCs/>
          <w:color w:val="000000"/>
          <w:sz w:val="23"/>
          <w:szCs w:val="23"/>
        </w:rPr>
      </w:pPr>
      <w:bookmarkStart w:id="0" w:name="_GoBack"/>
      <w:bookmarkEnd w:id="0"/>
    </w:p>
    <w:p w14:paraId="7137646B" w14:textId="77777777" w:rsidR="0053150E" w:rsidRPr="00CD645B" w:rsidRDefault="0053150E" w:rsidP="0053150E">
      <w:pPr>
        <w:spacing w:after="0" w:line="240" w:lineRule="auto"/>
        <w:rPr>
          <w:rFonts w:ascii="Times New Roman" w:eastAsia="Times New Roman" w:hAnsi="Times New Roman" w:cs="Times New Roman"/>
          <w:i/>
          <w:iCs/>
          <w:color w:val="000000"/>
          <w:sz w:val="23"/>
          <w:szCs w:val="23"/>
        </w:rPr>
      </w:pPr>
    </w:p>
    <w:p w14:paraId="75146397" w14:textId="77777777" w:rsidR="0053150E" w:rsidRPr="00CD645B" w:rsidRDefault="0053150E" w:rsidP="0053150E">
      <w:pPr>
        <w:spacing w:after="0" w:line="240" w:lineRule="auto"/>
        <w:rPr>
          <w:rFonts w:ascii="Times New Roman" w:eastAsia="Times New Roman" w:hAnsi="Times New Roman" w:cs="Times New Roman"/>
          <w:i/>
          <w:iCs/>
          <w:color w:val="000000"/>
          <w:sz w:val="23"/>
          <w:szCs w:val="23"/>
        </w:rPr>
      </w:pPr>
    </w:p>
    <w:p w14:paraId="2A3D8879" w14:textId="77777777" w:rsidR="0053150E" w:rsidRPr="00CD645B" w:rsidRDefault="0053150E" w:rsidP="0053150E">
      <w:pPr>
        <w:spacing w:after="0" w:line="240" w:lineRule="auto"/>
        <w:rPr>
          <w:rFonts w:ascii="Times New Roman" w:eastAsia="Times New Roman" w:hAnsi="Times New Roman" w:cs="Times New Roman"/>
          <w:i/>
          <w:iCs/>
          <w:color w:val="000000"/>
          <w:sz w:val="23"/>
          <w:szCs w:val="23"/>
        </w:rPr>
      </w:pPr>
    </w:p>
    <w:p w14:paraId="15A96419" w14:textId="77777777" w:rsidR="0053150E" w:rsidRPr="00CD645B" w:rsidRDefault="0053150E" w:rsidP="0053150E">
      <w:pPr>
        <w:spacing w:after="0" w:line="240" w:lineRule="auto"/>
        <w:rPr>
          <w:rFonts w:ascii="Times New Roman" w:eastAsia="Times New Roman" w:hAnsi="Times New Roman" w:cs="Times New Roman"/>
          <w:i/>
          <w:iCs/>
          <w:color w:val="000000"/>
          <w:sz w:val="23"/>
          <w:szCs w:val="23"/>
        </w:rPr>
      </w:pPr>
    </w:p>
    <w:p w14:paraId="1E71DA44" w14:textId="77777777" w:rsidR="0053150E" w:rsidRPr="00CD645B" w:rsidRDefault="0053150E" w:rsidP="0053150E">
      <w:pPr>
        <w:spacing w:after="0" w:line="240" w:lineRule="auto"/>
        <w:rPr>
          <w:rFonts w:ascii="Times New Roman" w:eastAsia="Times New Roman" w:hAnsi="Times New Roman" w:cs="Times New Roman"/>
          <w:b/>
          <w:i/>
          <w:iCs/>
          <w:color w:val="000000"/>
          <w:sz w:val="23"/>
          <w:szCs w:val="23"/>
        </w:rPr>
      </w:pPr>
    </w:p>
    <w:p w14:paraId="10CF2B9D" w14:textId="77777777" w:rsidR="0053150E" w:rsidRPr="00CD645B" w:rsidRDefault="0053150E" w:rsidP="0053150E">
      <w:pPr>
        <w:spacing w:line="280" w:lineRule="exact"/>
        <w:rPr>
          <w:rFonts w:ascii="Times New Roman" w:eastAsia="Calibri" w:hAnsi="Times New Roman" w:cs="Times New Roman"/>
        </w:rPr>
      </w:pPr>
    </w:p>
    <w:p w14:paraId="76C8CF64" w14:textId="77777777" w:rsidR="0053150E" w:rsidRPr="00CD645B" w:rsidRDefault="0053150E" w:rsidP="0053150E">
      <w:pPr>
        <w:autoSpaceDE w:val="0"/>
        <w:autoSpaceDN w:val="0"/>
        <w:adjustRightInd w:val="0"/>
        <w:spacing w:after="0" w:line="240" w:lineRule="auto"/>
        <w:ind w:left="720"/>
        <w:jc w:val="center"/>
        <w:rPr>
          <w:rFonts w:ascii="Times New Roman" w:eastAsia="Times New Roman" w:hAnsi="Times New Roman" w:cs="Times New Roman"/>
          <w:b/>
          <w:bCs/>
          <w:sz w:val="24"/>
          <w:szCs w:val="24"/>
        </w:rPr>
      </w:pPr>
    </w:p>
    <w:p w14:paraId="10C939B9" w14:textId="77777777" w:rsidR="0053150E" w:rsidRPr="00CD645B" w:rsidRDefault="0053150E" w:rsidP="0053150E">
      <w:pPr>
        <w:autoSpaceDE w:val="0"/>
        <w:autoSpaceDN w:val="0"/>
        <w:adjustRightInd w:val="0"/>
        <w:spacing w:after="0" w:line="240" w:lineRule="auto"/>
        <w:ind w:left="720"/>
        <w:jc w:val="center"/>
        <w:rPr>
          <w:rFonts w:ascii="Times New Roman" w:eastAsia="Times New Roman" w:hAnsi="Times New Roman" w:cs="Times New Roman"/>
          <w:b/>
          <w:bCs/>
          <w:sz w:val="24"/>
          <w:szCs w:val="24"/>
        </w:rPr>
      </w:pPr>
    </w:p>
    <w:p w14:paraId="12B83491" w14:textId="77777777" w:rsidR="0053150E" w:rsidRPr="00CD645B" w:rsidRDefault="0053150E" w:rsidP="0053150E">
      <w:pPr>
        <w:keepNext/>
        <w:keepLines/>
        <w:spacing w:after="0" w:line="240" w:lineRule="auto"/>
        <w:jc w:val="center"/>
        <w:outlineLvl w:val="6"/>
        <w:rPr>
          <w:rFonts w:ascii="Cambria" w:eastAsia="Times New Roman" w:hAnsi="Cambria" w:cs="Times New Roman"/>
          <w:i/>
          <w:iCs/>
          <w:sz w:val="28"/>
          <w:szCs w:val="28"/>
        </w:rPr>
      </w:pPr>
      <w:r w:rsidRPr="00CD645B">
        <w:rPr>
          <w:rFonts w:ascii="Times New Roman" w:eastAsia="Times New Roman" w:hAnsi="Times New Roman" w:cs="Times New Roman"/>
          <w:b/>
          <w:i/>
          <w:iCs/>
          <w:sz w:val="28"/>
          <w:szCs w:val="28"/>
        </w:rPr>
        <w:t xml:space="preserve">SUPPORTING STATEMENT:  </w:t>
      </w:r>
      <w:r w:rsidRPr="00CD645B">
        <w:rPr>
          <w:rFonts w:ascii="Cambria" w:eastAsia="Times New Roman" w:hAnsi="Cambria" w:cs="Times New Roman"/>
          <w:i/>
          <w:iCs/>
          <w:sz w:val="28"/>
          <w:szCs w:val="28"/>
        </w:rPr>
        <w:t>PART A</w:t>
      </w:r>
    </w:p>
    <w:p w14:paraId="3FC567A8" w14:textId="77777777" w:rsidR="0053150E" w:rsidRPr="00CD645B" w:rsidRDefault="0053150E" w:rsidP="0053150E">
      <w:pPr>
        <w:spacing w:after="0" w:line="240" w:lineRule="auto"/>
        <w:jc w:val="center"/>
        <w:rPr>
          <w:rFonts w:ascii="Times New Roman" w:eastAsia="Times New Roman" w:hAnsi="Times New Roman" w:cs="Times New Roman"/>
          <w:sz w:val="16"/>
          <w:szCs w:val="2"/>
        </w:rPr>
      </w:pPr>
    </w:p>
    <w:p w14:paraId="13266EBA" w14:textId="77777777" w:rsidR="0053150E" w:rsidRPr="00CD645B" w:rsidRDefault="0053150E" w:rsidP="0053150E">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4728F1E" w14:textId="77777777" w:rsidR="0053150E" w:rsidRPr="00CD645B" w:rsidRDefault="0053150E" w:rsidP="0053150E">
      <w:pPr>
        <w:spacing w:after="0" w:line="240" w:lineRule="auto"/>
        <w:jc w:val="center"/>
        <w:rPr>
          <w:rFonts w:ascii="Times New Roman" w:eastAsia="Times New Roman" w:hAnsi="Times New Roman" w:cs="Times New Roman"/>
          <w:b/>
          <w:sz w:val="24"/>
          <w:szCs w:val="24"/>
        </w:rPr>
      </w:pPr>
    </w:p>
    <w:p w14:paraId="79E9388D"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032B8472" w14:textId="3C8E67FE" w:rsidR="0053150E" w:rsidRPr="00CD645B" w:rsidRDefault="00190985" w:rsidP="005315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15</w:t>
      </w:r>
      <w:r w:rsidR="00694967" w:rsidRPr="00CD645B">
        <w:rPr>
          <w:rFonts w:ascii="Times New Roman" w:eastAsia="Times New Roman" w:hAnsi="Times New Roman" w:cs="Times New Roman"/>
          <w:b/>
          <w:sz w:val="24"/>
          <w:szCs w:val="24"/>
        </w:rPr>
        <w:t xml:space="preserve">, </w:t>
      </w:r>
      <w:r w:rsidRPr="00CD645B">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p>
    <w:p w14:paraId="3784A969"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7763EA20"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4F19BB52" w14:textId="77777777" w:rsidR="0053150E" w:rsidRPr="00CD645B" w:rsidRDefault="0053150E" w:rsidP="0053150E">
      <w:pPr>
        <w:spacing w:after="0" w:line="240" w:lineRule="auto"/>
        <w:jc w:val="center"/>
        <w:rPr>
          <w:rFonts w:ascii="Times New Roman" w:eastAsia="Times New Roman" w:hAnsi="Times New Roman" w:cs="Times New Roman"/>
          <w:b/>
          <w:bCs/>
          <w:sz w:val="24"/>
          <w:szCs w:val="24"/>
        </w:rPr>
      </w:pPr>
    </w:p>
    <w:p w14:paraId="29340FA2" w14:textId="77777777" w:rsidR="0053150E" w:rsidRPr="00CD645B" w:rsidRDefault="00791E61" w:rsidP="0053150E">
      <w:pPr>
        <w:spacing w:after="0" w:line="240" w:lineRule="auto"/>
        <w:jc w:val="center"/>
        <w:rPr>
          <w:rFonts w:ascii="Times New Roman" w:eastAsia="Times New Roman" w:hAnsi="Times New Roman" w:cs="Times New Roman"/>
          <w:bCs/>
          <w:sz w:val="24"/>
          <w:szCs w:val="24"/>
        </w:rPr>
      </w:pPr>
      <w:r w:rsidRPr="00CD645B">
        <w:rPr>
          <w:rFonts w:ascii="Times New Roman" w:eastAsia="Times New Roman" w:hAnsi="Times New Roman" w:cs="Times New Roman"/>
          <w:b/>
          <w:bCs/>
          <w:sz w:val="24"/>
          <w:szCs w:val="24"/>
        </w:rPr>
        <w:t>Traumatic Brain Injury Disparities in Rural Areas (TBIDRA)</w:t>
      </w:r>
      <w:r w:rsidRPr="00CD645B" w:rsidDel="00791E61">
        <w:rPr>
          <w:rFonts w:ascii="Times New Roman" w:eastAsia="Times New Roman" w:hAnsi="Times New Roman" w:cs="Times New Roman"/>
          <w:b/>
          <w:bCs/>
          <w:sz w:val="24"/>
          <w:szCs w:val="24"/>
        </w:rPr>
        <w:t xml:space="preserve"> </w:t>
      </w:r>
    </w:p>
    <w:p w14:paraId="4D488155"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71967EA8"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3585D8A3"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6AD4A461"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7AB2FBCB"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3F72A3F1"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2C081E82" w14:textId="77777777" w:rsidR="0053150E" w:rsidRPr="00CD645B" w:rsidRDefault="0053150E" w:rsidP="0053150E">
      <w:pPr>
        <w:spacing w:after="0" w:line="240" w:lineRule="auto"/>
        <w:jc w:val="center"/>
        <w:rPr>
          <w:rFonts w:ascii="Times New Roman" w:eastAsia="Times New Roman" w:hAnsi="Times New Roman" w:cs="Times New Roman"/>
          <w:sz w:val="24"/>
          <w:szCs w:val="24"/>
        </w:rPr>
      </w:pPr>
    </w:p>
    <w:p w14:paraId="4E871F6B" w14:textId="77777777" w:rsidR="0053150E" w:rsidRPr="00CD645B" w:rsidRDefault="0053150E" w:rsidP="0053150E">
      <w:pPr>
        <w:spacing w:after="0" w:line="240" w:lineRule="auto"/>
        <w:ind w:left="720"/>
        <w:jc w:val="center"/>
        <w:rPr>
          <w:rFonts w:ascii="Times New Roman" w:eastAsia="Times New Roman" w:hAnsi="Times New Roman" w:cs="Times New Roman"/>
          <w:sz w:val="24"/>
          <w:szCs w:val="24"/>
        </w:rPr>
      </w:pPr>
      <w:r w:rsidRPr="00CD645B">
        <w:rPr>
          <w:rFonts w:ascii="Times New Roman" w:eastAsia="Times New Roman" w:hAnsi="Times New Roman" w:cs="Times New Roman"/>
          <w:b/>
          <w:sz w:val="24"/>
          <w:szCs w:val="24"/>
        </w:rPr>
        <w:t>Point of Contact:</w:t>
      </w:r>
      <w:r w:rsidRPr="00CD645B">
        <w:rPr>
          <w:rFonts w:ascii="Times New Roman" w:eastAsia="Times New Roman" w:hAnsi="Times New Roman" w:cs="Times New Roman"/>
          <w:sz w:val="24"/>
          <w:szCs w:val="24"/>
        </w:rPr>
        <w:t xml:space="preserve"> </w:t>
      </w:r>
    </w:p>
    <w:p w14:paraId="30CD1C92" w14:textId="77777777" w:rsidR="0053150E" w:rsidRPr="00CD645B" w:rsidRDefault="002B0E63" w:rsidP="0053150E">
      <w:pPr>
        <w:spacing w:after="0" w:line="240" w:lineRule="auto"/>
        <w:ind w:left="720"/>
        <w:jc w:val="center"/>
        <w:rPr>
          <w:rFonts w:ascii="Times New Roman" w:eastAsia="Times New Roman" w:hAnsi="Times New Roman" w:cs="Times New Roman"/>
          <w:sz w:val="24"/>
          <w:szCs w:val="24"/>
        </w:rPr>
      </w:pPr>
      <w:r w:rsidRPr="00CD645B">
        <w:rPr>
          <w:rFonts w:ascii="Times New Roman" w:eastAsia="Times New Roman" w:hAnsi="Times New Roman" w:cs="Times New Roman"/>
          <w:b/>
          <w:sz w:val="24"/>
          <w:szCs w:val="24"/>
        </w:rPr>
        <w:t>Jill Daugherty</w:t>
      </w:r>
    </w:p>
    <w:p w14:paraId="47CDD891" w14:textId="77777777" w:rsidR="0053150E" w:rsidRPr="00CD645B" w:rsidRDefault="0053150E" w:rsidP="0053150E">
      <w:pPr>
        <w:spacing w:after="0" w:line="240" w:lineRule="auto"/>
        <w:ind w:left="720"/>
        <w:jc w:val="center"/>
        <w:rPr>
          <w:rFonts w:ascii="Times New Roman" w:eastAsia="Times New Roman" w:hAnsi="Times New Roman" w:cs="Times New Roman"/>
          <w:i/>
          <w:noProof/>
          <w:sz w:val="24"/>
          <w:szCs w:val="24"/>
        </w:rPr>
      </w:pPr>
      <w:bookmarkStart w:id="1" w:name="_MailAutoSig"/>
      <w:r w:rsidRPr="00CD645B">
        <w:rPr>
          <w:rFonts w:ascii="Times New Roman" w:eastAsia="Times New Roman" w:hAnsi="Times New Roman" w:cs="Times New Roman"/>
          <w:i/>
          <w:noProof/>
          <w:sz w:val="24"/>
          <w:szCs w:val="24"/>
        </w:rPr>
        <w:t>Centers for Disease Control and Prevention</w:t>
      </w:r>
    </w:p>
    <w:p w14:paraId="3EFA101D" w14:textId="77777777" w:rsidR="0053150E" w:rsidRPr="00CD645B" w:rsidRDefault="0053150E" w:rsidP="0053150E">
      <w:pPr>
        <w:spacing w:after="0" w:line="240" w:lineRule="auto"/>
        <w:ind w:left="720"/>
        <w:jc w:val="center"/>
        <w:rPr>
          <w:rFonts w:ascii="Times New Roman" w:eastAsia="Times New Roman" w:hAnsi="Times New Roman" w:cs="Times New Roman"/>
          <w:i/>
          <w:noProof/>
          <w:sz w:val="24"/>
          <w:szCs w:val="24"/>
        </w:rPr>
      </w:pPr>
      <w:r w:rsidRPr="00CD645B">
        <w:rPr>
          <w:rFonts w:ascii="Times New Roman" w:eastAsia="Times New Roman" w:hAnsi="Times New Roman" w:cs="Times New Roman"/>
          <w:i/>
          <w:noProof/>
          <w:sz w:val="24"/>
          <w:szCs w:val="24"/>
        </w:rPr>
        <w:t>National Center for Injury Prevention and Control</w:t>
      </w:r>
    </w:p>
    <w:p w14:paraId="1A48EF6C" w14:textId="77777777" w:rsidR="0053150E" w:rsidRPr="00CD645B" w:rsidRDefault="0053150E" w:rsidP="0053150E">
      <w:pPr>
        <w:spacing w:after="0" w:line="240" w:lineRule="auto"/>
        <w:ind w:left="720"/>
        <w:jc w:val="center"/>
        <w:rPr>
          <w:rFonts w:ascii="Times New Roman" w:eastAsia="Times New Roman" w:hAnsi="Times New Roman" w:cs="Times New Roman"/>
          <w:i/>
          <w:noProof/>
          <w:sz w:val="24"/>
          <w:szCs w:val="24"/>
        </w:rPr>
      </w:pPr>
      <w:r w:rsidRPr="00CD645B">
        <w:rPr>
          <w:rFonts w:ascii="Times New Roman" w:eastAsia="Times New Roman" w:hAnsi="Times New Roman" w:cs="Times New Roman"/>
          <w:i/>
          <w:noProof/>
          <w:sz w:val="24"/>
          <w:szCs w:val="24"/>
        </w:rPr>
        <w:t xml:space="preserve">Division </w:t>
      </w:r>
      <w:r w:rsidR="002B0E63" w:rsidRPr="00CD645B">
        <w:rPr>
          <w:rFonts w:ascii="Times New Roman" w:eastAsia="Times New Roman" w:hAnsi="Times New Roman" w:cs="Times New Roman"/>
          <w:i/>
          <w:noProof/>
          <w:sz w:val="24"/>
          <w:szCs w:val="24"/>
        </w:rPr>
        <w:t>of Unintentional Injury Prevention</w:t>
      </w:r>
    </w:p>
    <w:p w14:paraId="7B15AF43" w14:textId="77777777" w:rsidR="0053150E" w:rsidRPr="00CD645B" w:rsidRDefault="0053150E" w:rsidP="0053150E">
      <w:pPr>
        <w:spacing w:after="0" w:line="240" w:lineRule="auto"/>
        <w:ind w:left="720"/>
        <w:jc w:val="center"/>
        <w:rPr>
          <w:rFonts w:ascii="Times New Roman" w:eastAsia="Times New Roman" w:hAnsi="Times New Roman" w:cs="Times New Roman"/>
          <w:noProof/>
          <w:sz w:val="24"/>
          <w:szCs w:val="24"/>
        </w:rPr>
      </w:pPr>
    </w:p>
    <w:p w14:paraId="09F1A3EA" w14:textId="77777777" w:rsidR="0053150E" w:rsidRPr="00CD645B" w:rsidRDefault="0053150E" w:rsidP="0053150E">
      <w:pPr>
        <w:spacing w:after="0" w:line="240" w:lineRule="auto"/>
        <w:ind w:left="720"/>
        <w:jc w:val="center"/>
        <w:rPr>
          <w:rFonts w:ascii="Times New Roman" w:eastAsia="Times New Roman" w:hAnsi="Times New Roman" w:cs="Times New Roman"/>
          <w:noProof/>
          <w:sz w:val="24"/>
          <w:szCs w:val="24"/>
        </w:rPr>
      </w:pPr>
      <w:r w:rsidRPr="00CD645B">
        <w:rPr>
          <w:rFonts w:ascii="Times New Roman" w:eastAsia="Times New Roman" w:hAnsi="Times New Roman" w:cs="Times New Roman"/>
          <w:noProof/>
          <w:sz w:val="24"/>
          <w:szCs w:val="24"/>
        </w:rPr>
        <w:t xml:space="preserve">4770 Buford Highway NE  </w:t>
      </w:r>
    </w:p>
    <w:p w14:paraId="162A042E" w14:textId="77777777" w:rsidR="0053150E" w:rsidRPr="00CD645B" w:rsidRDefault="0053150E" w:rsidP="0053150E">
      <w:pPr>
        <w:spacing w:after="0" w:line="240" w:lineRule="auto"/>
        <w:ind w:left="720"/>
        <w:jc w:val="center"/>
        <w:rPr>
          <w:rFonts w:ascii="Times New Roman" w:eastAsia="Times New Roman" w:hAnsi="Times New Roman" w:cs="Times New Roman"/>
          <w:noProof/>
          <w:sz w:val="24"/>
          <w:szCs w:val="24"/>
        </w:rPr>
      </w:pPr>
      <w:r w:rsidRPr="00CD645B">
        <w:rPr>
          <w:rFonts w:ascii="Times New Roman" w:eastAsia="Times New Roman" w:hAnsi="Times New Roman" w:cs="Times New Roman"/>
          <w:noProof/>
          <w:sz w:val="24"/>
          <w:szCs w:val="24"/>
        </w:rPr>
        <w:t>Atlanta, GA 30341-3724</w:t>
      </w:r>
    </w:p>
    <w:p w14:paraId="64EF06B7" w14:textId="77777777" w:rsidR="0053150E" w:rsidRPr="00CD645B" w:rsidRDefault="0053150E" w:rsidP="002B0E63">
      <w:pPr>
        <w:spacing w:after="0" w:line="240" w:lineRule="auto"/>
        <w:ind w:left="720"/>
        <w:jc w:val="center"/>
        <w:rPr>
          <w:rFonts w:ascii="Times New Roman" w:eastAsia="Times New Roman" w:hAnsi="Times New Roman" w:cs="Times New Roman"/>
          <w:noProof/>
          <w:sz w:val="24"/>
          <w:szCs w:val="24"/>
        </w:rPr>
      </w:pPr>
      <w:r w:rsidRPr="00CD645B">
        <w:rPr>
          <w:rFonts w:ascii="Times New Roman" w:eastAsia="Times New Roman" w:hAnsi="Times New Roman" w:cs="Times New Roman"/>
          <w:noProof/>
          <w:sz w:val="24"/>
          <w:szCs w:val="24"/>
        </w:rPr>
        <w:t xml:space="preserve">phone: </w:t>
      </w:r>
      <w:r w:rsidR="002B0E63" w:rsidRPr="00CD645B">
        <w:rPr>
          <w:rFonts w:ascii="Times New Roman" w:eastAsia="Times New Roman" w:hAnsi="Times New Roman" w:cs="Times New Roman"/>
          <w:noProof/>
          <w:sz w:val="24"/>
          <w:szCs w:val="24"/>
        </w:rPr>
        <w:t>404-498-1830</w:t>
      </w:r>
    </w:p>
    <w:p w14:paraId="40E1888D" w14:textId="77777777" w:rsidR="007E2EEA" w:rsidRPr="00CD645B" w:rsidRDefault="0053150E" w:rsidP="0053150E">
      <w:pPr>
        <w:spacing w:after="0" w:line="240" w:lineRule="auto"/>
        <w:ind w:left="720"/>
        <w:jc w:val="center"/>
        <w:rPr>
          <w:rFonts w:ascii="Times New Roman" w:eastAsia="Times New Roman" w:hAnsi="Times New Roman" w:cs="Times New Roman"/>
          <w:noProof/>
          <w:sz w:val="24"/>
          <w:szCs w:val="24"/>
        </w:rPr>
      </w:pPr>
      <w:r w:rsidRPr="00CD645B">
        <w:rPr>
          <w:rFonts w:ascii="Times New Roman" w:eastAsia="Times New Roman" w:hAnsi="Times New Roman" w:cs="Times New Roman"/>
          <w:noProof/>
          <w:sz w:val="24"/>
          <w:szCs w:val="24"/>
        </w:rPr>
        <w:t xml:space="preserve">email: </w:t>
      </w:r>
      <w:bookmarkEnd w:id="1"/>
      <w:r w:rsidR="002B0E63" w:rsidRPr="00CD645B">
        <w:rPr>
          <w:rFonts w:ascii="Times New Roman" w:eastAsia="Times New Roman" w:hAnsi="Times New Roman" w:cs="Times New Roman"/>
          <w:noProof/>
          <w:sz w:val="24"/>
          <w:szCs w:val="24"/>
        </w:rPr>
        <w:t>jdaugherty@cdc.gov</w:t>
      </w:r>
    </w:p>
    <w:p w14:paraId="27405C8B" w14:textId="77777777" w:rsidR="00E662AB" w:rsidRPr="00CD645B" w:rsidRDefault="00E662AB" w:rsidP="0053150E">
      <w:pPr>
        <w:spacing w:after="0" w:line="240" w:lineRule="auto"/>
        <w:ind w:left="720"/>
        <w:jc w:val="center"/>
        <w:rPr>
          <w:rFonts w:ascii="Times New Roman" w:hAnsi="Times New Roman" w:cs="Times New Roman"/>
          <w:sz w:val="24"/>
          <w:szCs w:val="24"/>
        </w:rPr>
      </w:pPr>
    </w:p>
    <w:p w14:paraId="6B2B19BC" w14:textId="77777777" w:rsidR="007E2EEA" w:rsidRPr="00CD645B" w:rsidRDefault="007E2EEA" w:rsidP="00EE46CA">
      <w:pPr>
        <w:spacing w:after="0" w:line="360" w:lineRule="auto"/>
        <w:rPr>
          <w:rFonts w:ascii="Times New Roman" w:hAnsi="Times New Roman" w:cs="Times New Roman"/>
          <w:sz w:val="24"/>
          <w:szCs w:val="24"/>
        </w:rPr>
      </w:pPr>
    </w:p>
    <w:p w14:paraId="6F8727F2" w14:textId="77777777" w:rsidR="007E2EEA" w:rsidRPr="00CD645B" w:rsidRDefault="007E2EEA" w:rsidP="00EE46CA">
      <w:pPr>
        <w:spacing w:after="0" w:line="360" w:lineRule="auto"/>
        <w:rPr>
          <w:rFonts w:ascii="Times New Roman" w:hAnsi="Times New Roman" w:cs="Times New Roman"/>
          <w:sz w:val="24"/>
          <w:szCs w:val="24"/>
        </w:rPr>
      </w:pPr>
    </w:p>
    <w:p w14:paraId="2F14696C" w14:textId="77777777" w:rsidR="0033305E" w:rsidRPr="00CD645B" w:rsidRDefault="0033305E" w:rsidP="00EE46CA">
      <w:pPr>
        <w:spacing w:after="0" w:line="360" w:lineRule="auto"/>
        <w:rPr>
          <w:rFonts w:ascii="Times New Roman" w:hAnsi="Times New Roman" w:cs="Times New Roman"/>
          <w:sz w:val="24"/>
          <w:szCs w:val="24"/>
        </w:rPr>
      </w:pPr>
    </w:p>
    <w:p w14:paraId="3D1D2D79" w14:textId="77777777" w:rsidR="007E2EEA" w:rsidRPr="00CD645B" w:rsidRDefault="007E2EEA" w:rsidP="00EE46CA">
      <w:pPr>
        <w:spacing w:after="0" w:line="360" w:lineRule="auto"/>
        <w:rPr>
          <w:rFonts w:ascii="Times New Roman" w:hAnsi="Times New Roman" w:cs="Times New Roman"/>
          <w:sz w:val="24"/>
          <w:szCs w:val="24"/>
        </w:rPr>
      </w:pPr>
    </w:p>
    <w:p w14:paraId="2366619C" w14:textId="77777777" w:rsidR="00BB3ADA" w:rsidRPr="00CD645B" w:rsidRDefault="00BB3ADA" w:rsidP="00EE46CA">
      <w:pPr>
        <w:spacing w:after="0" w:line="360" w:lineRule="auto"/>
        <w:rPr>
          <w:rFonts w:ascii="Times New Roman" w:hAnsi="Times New Roman" w:cs="Times New Roman"/>
          <w:sz w:val="24"/>
          <w:szCs w:val="24"/>
        </w:rPr>
      </w:pPr>
    </w:p>
    <w:bookmarkStart w:id="2" w:name="_Toc406683208" w:displacedByCustomXml="next"/>
    <w:sdt>
      <w:sdtPr>
        <w:rPr>
          <w:rFonts w:asciiTheme="minorHAnsi" w:eastAsiaTheme="minorHAnsi" w:hAnsiTheme="minorHAnsi" w:cstheme="minorBidi"/>
          <w:color w:val="auto"/>
          <w:sz w:val="22"/>
          <w:szCs w:val="22"/>
        </w:rPr>
        <w:id w:val="383993503"/>
        <w:docPartObj>
          <w:docPartGallery w:val="Table of Contents"/>
          <w:docPartUnique/>
        </w:docPartObj>
      </w:sdtPr>
      <w:sdtEndPr>
        <w:rPr>
          <w:b/>
          <w:bCs/>
          <w:noProof/>
        </w:rPr>
      </w:sdtEndPr>
      <w:sdtContent>
        <w:p w14:paraId="29BB71AB" w14:textId="77777777" w:rsidR="000E096F" w:rsidRPr="00CD645B" w:rsidRDefault="000E096F" w:rsidP="000E096F">
          <w:pPr>
            <w:pStyle w:val="TOCHeading"/>
            <w:jc w:val="center"/>
            <w:rPr>
              <w:rFonts w:ascii="Times New Roman" w:hAnsi="Times New Roman" w:cs="Times New Roman"/>
              <w:b/>
              <w:color w:val="auto"/>
              <w:sz w:val="24"/>
              <w:szCs w:val="24"/>
            </w:rPr>
          </w:pPr>
          <w:r w:rsidRPr="00CD645B">
            <w:rPr>
              <w:rFonts w:ascii="Times New Roman" w:hAnsi="Times New Roman" w:cs="Times New Roman"/>
              <w:b/>
              <w:color w:val="auto"/>
              <w:sz w:val="24"/>
              <w:szCs w:val="24"/>
            </w:rPr>
            <w:t>Table of Contents</w:t>
          </w:r>
        </w:p>
        <w:p w14:paraId="1704785A" w14:textId="77777777" w:rsidR="00B85E1D" w:rsidRPr="00CD645B" w:rsidRDefault="000E096F">
          <w:pPr>
            <w:pStyle w:val="TOC1"/>
            <w:rPr>
              <w:rFonts w:eastAsiaTheme="minorEastAsia"/>
              <w:noProof/>
            </w:rPr>
          </w:pPr>
          <w:r w:rsidRPr="00CD645B">
            <w:fldChar w:fldCharType="begin"/>
          </w:r>
          <w:r w:rsidRPr="00CD645B">
            <w:instrText xml:space="preserve"> TOC \o "1-3" \h \z \u </w:instrText>
          </w:r>
          <w:r w:rsidRPr="00CD645B">
            <w:fldChar w:fldCharType="separate"/>
          </w:r>
          <w:hyperlink w:anchor="_Toc501703418" w:history="1">
            <w:r w:rsidR="00B85E1D" w:rsidRPr="00CD645B">
              <w:rPr>
                <w:rStyle w:val="Hyperlink"/>
                <w:noProof/>
              </w:rPr>
              <w:t>List of Attachments</w:t>
            </w:r>
            <w:r w:rsidR="00B85E1D" w:rsidRPr="00CD645B">
              <w:rPr>
                <w:noProof/>
                <w:webHidden/>
              </w:rPr>
              <w:tab/>
            </w:r>
            <w:r w:rsidR="00B85E1D" w:rsidRPr="00CD645B">
              <w:rPr>
                <w:noProof/>
                <w:webHidden/>
              </w:rPr>
              <w:fldChar w:fldCharType="begin"/>
            </w:r>
            <w:r w:rsidR="00B85E1D" w:rsidRPr="00CD645B">
              <w:rPr>
                <w:noProof/>
                <w:webHidden/>
              </w:rPr>
              <w:instrText xml:space="preserve"> PAGEREF _Toc501703418 \h </w:instrText>
            </w:r>
            <w:r w:rsidR="00B85E1D" w:rsidRPr="00CD645B">
              <w:rPr>
                <w:noProof/>
                <w:webHidden/>
              </w:rPr>
            </w:r>
            <w:r w:rsidR="00B85E1D" w:rsidRPr="00CD645B">
              <w:rPr>
                <w:noProof/>
                <w:webHidden/>
              </w:rPr>
              <w:fldChar w:fldCharType="separate"/>
            </w:r>
            <w:r w:rsidR="00C40DC9" w:rsidRPr="00CD645B">
              <w:rPr>
                <w:noProof/>
                <w:webHidden/>
              </w:rPr>
              <w:t>3</w:t>
            </w:r>
            <w:r w:rsidR="00B85E1D" w:rsidRPr="00CD645B">
              <w:rPr>
                <w:noProof/>
                <w:webHidden/>
              </w:rPr>
              <w:fldChar w:fldCharType="end"/>
            </w:r>
          </w:hyperlink>
        </w:p>
        <w:p w14:paraId="2189D642" w14:textId="77777777" w:rsidR="00B85E1D" w:rsidRPr="00CD645B" w:rsidRDefault="00163B3C">
          <w:pPr>
            <w:pStyle w:val="TOC1"/>
            <w:rPr>
              <w:rFonts w:eastAsiaTheme="minorEastAsia"/>
              <w:noProof/>
            </w:rPr>
          </w:pPr>
          <w:hyperlink w:anchor="_Toc501703419" w:history="1">
            <w:r w:rsidR="00B85E1D" w:rsidRPr="00CD645B">
              <w:rPr>
                <w:rStyle w:val="Hyperlink"/>
                <w:noProof/>
              </w:rPr>
              <w:t>Section A - Justification</w:t>
            </w:r>
            <w:r w:rsidR="00B85E1D" w:rsidRPr="00CD645B">
              <w:rPr>
                <w:noProof/>
                <w:webHidden/>
              </w:rPr>
              <w:tab/>
            </w:r>
            <w:r w:rsidR="00B85E1D" w:rsidRPr="00CD645B">
              <w:rPr>
                <w:noProof/>
                <w:webHidden/>
              </w:rPr>
              <w:fldChar w:fldCharType="begin"/>
            </w:r>
            <w:r w:rsidR="00B85E1D" w:rsidRPr="00CD645B">
              <w:rPr>
                <w:noProof/>
                <w:webHidden/>
              </w:rPr>
              <w:instrText xml:space="preserve"> PAGEREF _Toc501703419 \h </w:instrText>
            </w:r>
            <w:r w:rsidR="00B85E1D" w:rsidRPr="00CD645B">
              <w:rPr>
                <w:noProof/>
                <w:webHidden/>
              </w:rPr>
            </w:r>
            <w:r w:rsidR="00B85E1D" w:rsidRPr="00CD645B">
              <w:rPr>
                <w:noProof/>
                <w:webHidden/>
              </w:rPr>
              <w:fldChar w:fldCharType="separate"/>
            </w:r>
            <w:r w:rsidR="00C40DC9" w:rsidRPr="00CD645B">
              <w:rPr>
                <w:noProof/>
                <w:webHidden/>
              </w:rPr>
              <w:t>5</w:t>
            </w:r>
            <w:r w:rsidR="00B85E1D" w:rsidRPr="00CD645B">
              <w:rPr>
                <w:noProof/>
                <w:webHidden/>
              </w:rPr>
              <w:fldChar w:fldCharType="end"/>
            </w:r>
          </w:hyperlink>
        </w:p>
        <w:p w14:paraId="3FED7958" w14:textId="77777777" w:rsidR="00B85E1D" w:rsidRPr="00CD645B" w:rsidRDefault="00163B3C">
          <w:pPr>
            <w:pStyle w:val="TOC2"/>
            <w:rPr>
              <w:rFonts w:ascii="Times New Roman" w:eastAsiaTheme="minorEastAsia" w:hAnsi="Times New Roman" w:cs="Times New Roman"/>
              <w:noProof/>
            </w:rPr>
          </w:pPr>
          <w:hyperlink w:anchor="_Toc501703420" w:history="1">
            <w:r w:rsidR="00B85E1D" w:rsidRPr="00CD645B">
              <w:rPr>
                <w:rStyle w:val="Hyperlink"/>
                <w:rFonts w:ascii="Times New Roman" w:hAnsi="Times New Roman" w:cs="Times New Roman"/>
                <w:noProof/>
              </w:rPr>
              <w:t>A.1. Circumstances Making the Collection of Information Necessary</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_Toc501703420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5</w:t>
            </w:r>
            <w:r w:rsidR="00B85E1D" w:rsidRPr="00CD645B">
              <w:rPr>
                <w:rFonts w:ascii="Times New Roman" w:hAnsi="Times New Roman" w:cs="Times New Roman"/>
                <w:noProof/>
                <w:webHidden/>
              </w:rPr>
              <w:fldChar w:fldCharType="end"/>
            </w:r>
          </w:hyperlink>
        </w:p>
        <w:p w14:paraId="1454F6DE" w14:textId="77777777" w:rsidR="00B85E1D" w:rsidRPr="00CD645B" w:rsidRDefault="00163B3C">
          <w:pPr>
            <w:pStyle w:val="TOC2"/>
            <w:rPr>
              <w:rFonts w:ascii="Times New Roman" w:eastAsiaTheme="minorEastAsia" w:hAnsi="Times New Roman" w:cs="Times New Roman"/>
              <w:noProof/>
            </w:rPr>
          </w:pPr>
          <w:hyperlink w:anchor="_Toc501703421" w:history="1">
            <w:r w:rsidR="00B85E1D" w:rsidRPr="00CD645B">
              <w:rPr>
                <w:rStyle w:val="Hyperlink"/>
                <w:rFonts w:ascii="Times New Roman" w:hAnsi="Times New Roman" w:cs="Times New Roman"/>
                <w:noProof/>
              </w:rPr>
              <w:t>A.2. Purpose and Use of Information Collection</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_Toc501703421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6</w:t>
            </w:r>
            <w:r w:rsidR="00B85E1D" w:rsidRPr="00CD645B">
              <w:rPr>
                <w:rFonts w:ascii="Times New Roman" w:hAnsi="Times New Roman" w:cs="Times New Roman"/>
                <w:noProof/>
                <w:webHidden/>
              </w:rPr>
              <w:fldChar w:fldCharType="end"/>
            </w:r>
          </w:hyperlink>
        </w:p>
        <w:p w14:paraId="1A8F6A95" w14:textId="61407CB1" w:rsidR="00B85E1D" w:rsidRPr="00CD645B" w:rsidRDefault="00163B3C">
          <w:pPr>
            <w:pStyle w:val="TOC2"/>
            <w:rPr>
              <w:rFonts w:ascii="Times New Roman" w:eastAsiaTheme="minorEastAsia" w:hAnsi="Times New Roman" w:cs="Times New Roman"/>
              <w:noProof/>
            </w:rPr>
          </w:pPr>
          <w:hyperlink w:anchor="_Toc501703422" w:history="1">
            <w:r w:rsidR="00B85E1D" w:rsidRPr="00CD645B">
              <w:rPr>
                <w:rStyle w:val="Hyperlink"/>
                <w:rFonts w:ascii="Times New Roman" w:hAnsi="Times New Roman" w:cs="Times New Roman"/>
                <w:noProof/>
              </w:rPr>
              <w:t>A.3. Use of Improved Information Technology and Burden Reduction</w:t>
            </w:r>
            <w:r w:rsidR="00B85E1D" w:rsidRPr="00CD645B">
              <w:rPr>
                <w:rFonts w:ascii="Times New Roman" w:hAnsi="Times New Roman" w:cs="Times New Roman"/>
                <w:noProof/>
                <w:webHidden/>
              </w:rPr>
              <w:tab/>
            </w:r>
            <w:r w:rsidR="00820B53">
              <w:rPr>
                <w:rFonts w:ascii="Times New Roman" w:hAnsi="Times New Roman" w:cs="Times New Roman"/>
                <w:noProof/>
                <w:webHidden/>
              </w:rPr>
              <w:t>13</w:t>
            </w:r>
          </w:hyperlink>
        </w:p>
        <w:p w14:paraId="0AF897FF" w14:textId="202CE845" w:rsidR="00B85E1D" w:rsidRPr="00CD645B" w:rsidRDefault="00163B3C">
          <w:pPr>
            <w:pStyle w:val="TOC2"/>
            <w:rPr>
              <w:rFonts w:ascii="Times New Roman" w:eastAsiaTheme="minorEastAsia" w:hAnsi="Times New Roman" w:cs="Times New Roman"/>
              <w:noProof/>
            </w:rPr>
          </w:pPr>
          <w:hyperlink w:anchor="_Toc501703423" w:history="1">
            <w:r w:rsidR="00B85E1D" w:rsidRPr="00CD645B">
              <w:rPr>
                <w:rStyle w:val="Hyperlink"/>
                <w:rFonts w:ascii="Times New Roman" w:hAnsi="Times New Roman" w:cs="Times New Roman"/>
                <w:noProof/>
              </w:rPr>
              <w:t>A.4. Efforts to Identify Duplication and Use of Similar Information</w:t>
            </w:r>
            <w:r w:rsidR="00B85E1D" w:rsidRPr="00CD645B">
              <w:rPr>
                <w:rFonts w:ascii="Times New Roman" w:hAnsi="Times New Roman" w:cs="Times New Roman"/>
                <w:noProof/>
                <w:webHidden/>
              </w:rPr>
              <w:tab/>
            </w:r>
            <w:r w:rsidR="00820B53">
              <w:rPr>
                <w:rFonts w:ascii="Times New Roman" w:hAnsi="Times New Roman" w:cs="Times New Roman"/>
                <w:noProof/>
                <w:webHidden/>
              </w:rPr>
              <w:t>13</w:t>
            </w:r>
          </w:hyperlink>
        </w:p>
        <w:p w14:paraId="7DEBB825" w14:textId="0B5498AB" w:rsidR="00B85E1D" w:rsidRPr="00CD645B" w:rsidRDefault="00163B3C">
          <w:pPr>
            <w:pStyle w:val="TOC2"/>
            <w:rPr>
              <w:rFonts w:ascii="Times New Roman" w:eastAsiaTheme="minorEastAsia" w:hAnsi="Times New Roman" w:cs="Times New Roman"/>
              <w:noProof/>
            </w:rPr>
          </w:pPr>
          <w:hyperlink w:anchor="_Toc501703424" w:history="1">
            <w:r w:rsidR="00B85E1D" w:rsidRPr="00CD645B">
              <w:rPr>
                <w:rStyle w:val="Hyperlink"/>
                <w:rFonts w:ascii="Times New Roman" w:hAnsi="Times New Roman" w:cs="Times New Roman"/>
                <w:noProof/>
              </w:rPr>
              <w:t>A.5 Impact on Small Businesses or Other Small Entities</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_Toc501703424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820B53">
              <w:rPr>
                <w:rFonts w:ascii="Times New Roman" w:hAnsi="Times New Roman" w:cs="Times New Roman"/>
                <w:noProof/>
                <w:webHidden/>
              </w:rPr>
              <w:t>4</w:t>
            </w:r>
            <w:r w:rsidR="00B85E1D" w:rsidRPr="00CD645B">
              <w:rPr>
                <w:rFonts w:ascii="Times New Roman" w:hAnsi="Times New Roman" w:cs="Times New Roman"/>
                <w:noProof/>
                <w:webHidden/>
              </w:rPr>
              <w:fldChar w:fldCharType="end"/>
            </w:r>
          </w:hyperlink>
        </w:p>
        <w:p w14:paraId="57047194" w14:textId="16F8F90D" w:rsidR="00B85E1D" w:rsidRPr="00CD645B" w:rsidRDefault="00163B3C">
          <w:pPr>
            <w:pStyle w:val="TOC2"/>
            <w:rPr>
              <w:rFonts w:ascii="Times New Roman" w:eastAsiaTheme="minorEastAsia" w:hAnsi="Times New Roman" w:cs="Times New Roman"/>
              <w:noProof/>
            </w:rPr>
          </w:pPr>
          <w:hyperlink w:anchor="_Toc501703425" w:history="1">
            <w:r w:rsidR="00B85E1D" w:rsidRPr="00CD645B">
              <w:rPr>
                <w:rStyle w:val="Hyperlink"/>
                <w:rFonts w:ascii="Times New Roman" w:hAnsi="Times New Roman" w:cs="Times New Roman"/>
                <w:noProof/>
              </w:rPr>
              <w:t>A.6. Consequences of Collecting the Information Less Frequently</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_Toc501703425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B85E1D" w:rsidRPr="00CD645B">
              <w:rPr>
                <w:rFonts w:ascii="Times New Roman" w:hAnsi="Times New Roman" w:cs="Times New Roman"/>
                <w:noProof/>
                <w:webHidden/>
              </w:rPr>
              <w:fldChar w:fldCharType="end"/>
            </w:r>
          </w:hyperlink>
          <w:r w:rsidR="00F54F08">
            <w:rPr>
              <w:rFonts w:ascii="Times New Roman" w:hAnsi="Times New Roman" w:cs="Times New Roman"/>
              <w:noProof/>
            </w:rPr>
            <w:t>5</w:t>
          </w:r>
        </w:p>
        <w:p w14:paraId="60862AA2" w14:textId="06F7A05D" w:rsidR="00B85E1D" w:rsidRPr="00CD645B" w:rsidRDefault="00163B3C">
          <w:pPr>
            <w:pStyle w:val="TOC2"/>
            <w:rPr>
              <w:rFonts w:ascii="Times New Roman" w:eastAsiaTheme="minorEastAsia" w:hAnsi="Times New Roman" w:cs="Times New Roman"/>
              <w:noProof/>
            </w:rPr>
          </w:pPr>
          <w:hyperlink w:anchor="_Toc501703426" w:history="1">
            <w:r w:rsidR="00B85E1D" w:rsidRPr="00CD645B">
              <w:rPr>
                <w:rStyle w:val="Hyperlink"/>
                <w:rFonts w:ascii="Times New Roman" w:hAnsi="Times New Roman" w:cs="Times New Roman"/>
                <w:noProof/>
              </w:rPr>
              <w:t>A.7. Special Circumstances Related to the Guidelines of 5 CFR 1320.5</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_Toc501703426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820B53">
              <w:rPr>
                <w:rFonts w:ascii="Times New Roman" w:hAnsi="Times New Roman" w:cs="Times New Roman"/>
                <w:noProof/>
                <w:webHidden/>
              </w:rPr>
              <w:t>5</w:t>
            </w:r>
            <w:r w:rsidR="00B85E1D" w:rsidRPr="00CD645B">
              <w:rPr>
                <w:rFonts w:ascii="Times New Roman" w:hAnsi="Times New Roman" w:cs="Times New Roman"/>
                <w:noProof/>
                <w:webHidden/>
              </w:rPr>
              <w:fldChar w:fldCharType="end"/>
            </w:r>
          </w:hyperlink>
        </w:p>
        <w:p w14:paraId="161E69F6" w14:textId="7CCB58E1" w:rsidR="00B85E1D" w:rsidRPr="00CD645B" w:rsidRDefault="00163B3C">
          <w:pPr>
            <w:pStyle w:val="TOC2"/>
            <w:rPr>
              <w:rFonts w:ascii="Times New Roman" w:eastAsiaTheme="minorEastAsia" w:hAnsi="Times New Roman" w:cs="Times New Roman"/>
              <w:noProof/>
            </w:rPr>
          </w:pPr>
          <w:hyperlink w:anchor="_Toc501703427" w:history="1">
            <w:r w:rsidR="00B85E1D" w:rsidRPr="00CD645B">
              <w:rPr>
                <w:rStyle w:val="Hyperlink"/>
                <w:rFonts w:ascii="Times New Roman" w:hAnsi="Times New Roman" w:cs="Times New Roman"/>
                <w:noProof/>
              </w:rPr>
              <w:t xml:space="preserve">A.8. Comments in Response to the Federal Register Notice </w:t>
            </w:r>
            <w:r w:rsidR="009A120B" w:rsidRPr="00CD645B">
              <w:rPr>
                <w:rStyle w:val="Hyperlink"/>
                <w:rFonts w:ascii="Times New Roman" w:hAnsi="Times New Roman" w:cs="Times New Roman"/>
                <w:noProof/>
              </w:rPr>
              <w:t>-</w:t>
            </w:r>
            <w:r w:rsidR="00B85E1D" w:rsidRPr="00CD645B">
              <w:rPr>
                <w:rStyle w:val="Hyperlink"/>
                <w:rFonts w:ascii="Times New Roman" w:hAnsi="Times New Roman" w:cs="Times New Roman"/>
                <w:noProof/>
              </w:rPr>
              <w:t xml:space="preserve">Consult Outside the </w:t>
            </w:r>
            <w:r w:rsidR="009A120B" w:rsidRPr="00CD645B">
              <w:rPr>
                <w:rStyle w:val="Hyperlink"/>
                <w:rFonts w:ascii="Times New Roman" w:hAnsi="Times New Roman" w:cs="Times New Roman"/>
                <w:noProof/>
              </w:rPr>
              <w:t>A</w:t>
            </w:r>
            <w:r w:rsidR="00B85E1D" w:rsidRPr="00CD645B">
              <w:rPr>
                <w:rStyle w:val="Hyperlink"/>
                <w:rFonts w:ascii="Times New Roman" w:hAnsi="Times New Roman" w:cs="Times New Roman"/>
                <w:noProof/>
              </w:rPr>
              <w:t>genc</w:t>
            </w:r>
            <w:r w:rsidR="009A120B" w:rsidRPr="00CD645B">
              <w:rPr>
                <w:rFonts w:ascii="Times New Roman" w:hAnsi="Times New Roman" w:cs="Times New Roman"/>
                <w:noProof/>
                <w:webHidden/>
              </w:rPr>
              <w:t>y</w:t>
            </w:r>
            <w:r w:rsidR="001C443F" w:rsidRPr="00CD645B">
              <w:rPr>
                <w:rFonts w:ascii="Times New Roman" w:hAnsi="Times New Roman" w:cs="Times New Roman"/>
                <w:noProof/>
                <w:webHidden/>
              </w:rPr>
              <w:t>…………………………………………………………………………………...</w:t>
            </w:r>
            <w:r w:rsidR="009A120B" w:rsidRPr="00CD645B">
              <w:rPr>
                <w:rFonts w:ascii="Times New Roman" w:hAnsi="Times New Roman" w:cs="Times New Roman"/>
                <w:noProof/>
                <w:webHidden/>
              </w:rPr>
              <w:t>…</w:t>
            </w:r>
            <w:r w:rsidR="0033305E" w:rsidRPr="00CD645B">
              <w:rPr>
                <w:rFonts w:ascii="Times New Roman" w:hAnsi="Times New Roman" w:cs="Times New Roman"/>
                <w:noProof/>
                <w:webHidden/>
              </w:rPr>
              <w:t>...</w:t>
            </w:r>
            <w:r w:rsidR="009A120B" w:rsidRPr="00CD645B">
              <w:rPr>
                <w:rFonts w:ascii="Times New Roman" w:hAnsi="Times New Roman" w:cs="Times New Roman"/>
                <w:noProof/>
                <w:webHidden/>
              </w:rPr>
              <w:t>……..…</w:t>
            </w:r>
            <w:r w:rsidR="00B85E1D" w:rsidRPr="00CD645B">
              <w:rPr>
                <w:rFonts w:ascii="Times New Roman" w:hAnsi="Times New Roman" w:cs="Times New Roman"/>
                <w:noProof/>
                <w:webHidden/>
              </w:rPr>
              <w:t>.</w:t>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_Toc501703427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820B53">
              <w:rPr>
                <w:rFonts w:ascii="Times New Roman" w:hAnsi="Times New Roman" w:cs="Times New Roman"/>
                <w:noProof/>
                <w:webHidden/>
              </w:rPr>
              <w:t>5</w:t>
            </w:r>
            <w:r w:rsidR="00B85E1D" w:rsidRPr="00CD645B">
              <w:rPr>
                <w:rFonts w:ascii="Times New Roman" w:hAnsi="Times New Roman" w:cs="Times New Roman"/>
                <w:noProof/>
                <w:webHidden/>
              </w:rPr>
              <w:fldChar w:fldCharType="end"/>
            </w:r>
          </w:hyperlink>
        </w:p>
        <w:p w14:paraId="27D3C56E" w14:textId="74C63AFC" w:rsidR="00B85E1D" w:rsidRPr="00CD645B" w:rsidRDefault="00163B3C">
          <w:pPr>
            <w:pStyle w:val="TOC2"/>
            <w:rPr>
              <w:rFonts w:ascii="Times New Roman" w:eastAsiaTheme="minorEastAsia" w:hAnsi="Times New Roman" w:cs="Times New Roman"/>
              <w:noProof/>
            </w:rPr>
          </w:pPr>
          <w:hyperlink w:anchor="_Toc501703428" w:history="1">
            <w:r w:rsidR="00B85E1D" w:rsidRPr="00CD645B">
              <w:rPr>
                <w:rStyle w:val="Hyperlink"/>
                <w:rFonts w:ascii="Times New Roman" w:hAnsi="Times New Roman" w:cs="Times New Roman"/>
                <w:noProof/>
              </w:rPr>
              <w:t>A.9. Explanation of Any Payment or Gift to Respondent</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_Toc501703428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E61EE1">
              <w:rPr>
                <w:rFonts w:ascii="Times New Roman" w:hAnsi="Times New Roman" w:cs="Times New Roman"/>
                <w:noProof/>
                <w:webHidden/>
              </w:rPr>
              <w:t>6</w:t>
            </w:r>
            <w:r w:rsidR="00B85E1D" w:rsidRPr="00CD645B">
              <w:rPr>
                <w:rFonts w:ascii="Times New Roman" w:hAnsi="Times New Roman" w:cs="Times New Roman"/>
                <w:noProof/>
                <w:webHidden/>
              </w:rPr>
              <w:fldChar w:fldCharType="end"/>
            </w:r>
          </w:hyperlink>
        </w:p>
        <w:p w14:paraId="0249D63F" w14:textId="60A32249" w:rsidR="00B85E1D" w:rsidRPr="00CD645B" w:rsidRDefault="00163B3C">
          <w:pPr>
            <w:pStyle w:val="TOC2"/>
            <w:rPr>
              <w:rFonts w:ascii="Times New Roman" w:eastAsiaTheme="minorEastAsia" w:hAnsi="Times New Roman" w:cs="Times New Roman"/>
              <w:noProof/>
            </w:rPr>
          </w:pPr>
          <w:hyperlink w:anchor="_Toc501703429" w:history="1">
            <w:r w:rsidR="00B85E1D" w:rsidRPr="00CD645B">
              <w:rPr>
                <w:rStyle w:val="Hyperlink"/>
                <w:rFonts w:ascii="Times New Roman" w:hAnsi="Times New Roman" w:cs="Times New Roman"/>
                <w:noProof/>
              </w:rPr>
              <w:t>A.10. Protection of the Privacy and Security of Information Provided by Respondents</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_Toc501703429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E61EE1">
              <w:rPr>
                <w:rFonts w:ascii="Times New Roman" w:hAnsi="Times New Roman" w:cs="Times New Roman"/>
                <w:noProof/>
                <w:webHidden/>
              </w:rPr>
              <w:t>6</w:t>
            </w:r>
            <w:r w:rsidR="00B85E1D" w:rsidRPr="00CD645B">
              <w:rPr>
                <w:rFonts w:ascii="Times New Roman" w:hAnsi="Times New Roman" w:cs="Times New Roman"/>
                <w:noProof/>
                <w:webHidden/>
              </w:rPr>
              <w:fldChar w:fldCharType="end"/>
            </w:r>
          </w:hyperlink>
        </w:p>
        <w:p w14:paraId="65ACD4B9" w14:textId="68772A68" w:rsidR="00B85E1D" w:rsidRPr="00CD645B" w:rsidRDefault="00163B3C">
          <w:pPr>
            <w:pStyle w:val="TOC2"/>
            <w:rPr>
              <w:rFonts w:ascii="Times New Roman" w:eastAsiaTheme="minorEastAsia" w:hAnsi="Times New Roman" w:cs="Times New Roman"/>
              <w:noProof/>
            </w:rPr>
          </w:pPr>
          <w:hyperlink w:anchor="_Toc501703430" w:history="1">
            <w:r w:rsidR="00B85E1D" w:rsidRPr="00CD645B">
              <w:rPr>
                <w:rStyle w:val="Hyperlink"/>
                <w:rFonts w:ascii="Times New Roman" w:hAnsi="Times New Roman" w:cs="Times New Roman"/>
                <w:noProof/>
              </w:rPr>
              <w:t>A.11. Institutional Review Board (IRB) and Justification for Sensitive Questions</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_Toc501703430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B85E1D" w:rsidRPr="00CD645B">
              <w:rPr>
                <w:rFonts w:ascii="Times New Roman" w:hAnsi="Times New Roman" w:cs="Times New Roman"/>
                <w:noProof/>
                <w:webHidden/>
              </w:rPr>
              <w:fldChar w:fldCharType="end"/>
            </w:r>
          </w:hyperlink>
          <w:r w:rsidR="00F54F08">
            <w:rPr>
              <w:rFonts w:ascii="Times New Roman" w:hAnsi="Times New Roman" w:cs="Times New Roman"/>
              <w:noProof/>
            </w:rPr>
            <w:t>8</w:t>
          </w:r>
        </w:p>
        <w:p w14:paraId="3269B2FF" w14:textId="1B75A1A8" w:rsidR="00B85E1D" w:rsidRPr="00CD645B" w:rsidRDefault="00163B3C">
          <w:pPr>
            <w:pStyle w:val="TOC2"/>
            <w:rPr>
              <w:rFonts w:ascii="Times New Roman" w:eastAsiaTheme="minorEastAsia" w:hAnsi="Times New Roman" w:cs="Times New Roman"/>
              <w:noProof/>
            </w:rPr>
          </w:pPr>
          <w:hyperlink w:anchor="_Toc501703431" w:history="1">
            <w:r w:rsidR="00B85E1D" w:rsidRPr="00CD645B">
              <w:rPr>
                <w:rStyle w:val="Hyperlink"/>
                <w:rFonts w:ascii="Times New Roman" w:hAnsi="Times New Roman" w:cs="Times New Roman"/>
                <w:noProof/>
              </w:rPr>
              <w:t>A.12. Estimates of Annualized Burden Hours and Cost</w:t>
            </w:r>
            <w:r w:rsidR="00B85E1D" w:rsidRPr="00CD645B">
              <w:rPr>
                <w:rFonts w:ascii="Times New Roman" w:hAnsi="Times New Roman" w:cs="Times New Roman"/>
                <w:noProof/>
                <w:webHidden/>
              </w:rPr>
              <w:tab/>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_Toc501703431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E61EE1">
              <w:rPr>
                <w:rFonts w:ascii="Times New Roman" w:hAnsi="Times New Roman" w:cs="Times New Roman"/>
                <w:noProof/>
                <w:webHidden/>
              </w:rPr>
              <w:t>8</w:t>
            </w:r>
            <w:r w:rsidR="00B85E1D" w:rsidRPr="00CD645B">
              <w:rPr>
                <w:rFonts w:ascii="Times New Roman" w:hAnsi="Times New Roman" w:cs="Times New Roman"/>
                <w:noProof/>
                <w:webHidden/>
              </w:rPr>
              <w:fldChar w:fldCharType="end"/>
            </w:r>
          </w:hyperlink>
        </w:p>
        <w:p w14:paraId="1C04BFCC" w14:textId="2A1658C3" w:rsidR="00B85E1D" w:rsidRPr="00CD645B" w:rsidRDefault="00163B3C">
          <w:pPr>
            <w:pStyle w:val="TOC2"/>
            <w:rPr>
              <w:rFonts w:ascii="Times New Roman" w:eastAsiaTheme="minorEastAsia" w:hAnsi="Times New Roman" w:cs="Times New Roman"/>
              <w:noProof/>
            </w:rPr>
          </w:pPr>
          <w:hyperlink w:anchor="_Toc501703432" w:history="1">
            <w:r w:rsidR="00B85E1D" w:rsidRPr="00CD645B">
              <w:rPr>
                <w:rStyle w:val="Hyperlink"/>
                <w:rFonts w:ascii="Times New Roman" w:hAnsi="Times New Roman" w:cs="Times New Roman"/>
                <w:noProof/>
              </w:rPr>
              <w:t>A.13. Estimates of Other Total Annual Cost Burden to Respondents or Record Keepers</w:t>
            </w:r>
            <w:r w:rsidR="00B85E1D" w:rsidRPr="00CD645B">
              <w:rPr>
                <w:rFonts w:ascii="Times New Roman" w:hAnsi="Times New Roman" w:cs="Times New Roman"/>
                <w:noProof/>
                <w:webHidden/>
              </w:rPr>
              <w:tab/>
            </w:r>
            <w:r w:rsidR="00E61EE1">
              <w:rPr>
                <w:rFonts w:ascii="Times New Roman" w:hAnsi="Times New Roman" w:cs="Times New Roman"/>
                <w:noProof/>
                <w:webHidden/>
              </w:rPr>
              <w:t>20</w:t>
            </w:r>
          </w:hyperlink>
        </w:p>
        <w:p w14:paraId="7D3EC2CE" w14:textId="3EA2CAF2" w:rsidR="00B85E1D" w:rsidRPr="00CD645B" w:rsidRDefault="00163B3C">
          <w:pPr>
            <w:pStyle w:val="TOC2"/>
            <w:rPr>
              <w:rFonts w:ascii="Times New Roman" w:eastAsiaTheme="minorEastAsia" w:hAnsi="Times New Roman" w:cs="Times New Roman"/>
              <w:noProof/>
            </w:rPr>
          </w:pPr>
          <w:hyperlink w:anchor="_Toc501703433" w:history="1">
            <w:r w:rsidR="00B85E1D" w:rsidRPr="00CD645B">
              <w:rPr>
                <w:rStyle w:val="Hyperlink"/>
                <w:rFonts w:ascii="Times New Roman" w:hAnsi="Times New Roman" w:cs="Times New Roman"/>
                <w:noProof/>
              </w:rPr>
              <w:t>A.14. Annualized Cost to the Government</w:t>
            </w:r>
            <w:r w:rsidR="00B85E1D" w:rsidRPr="00CD645B">
              <w:rPr>
                <w:rFonts w:ascii="Times New Roman" w:hAnsi="Times New Roman" w:cs="Times New Roman"/>
                <w:noProof/>
                <w:webHidden/>
              </w:rPr>
              <w:tab/>
            </w:r>
            <w:r w:rsidR="00E61EE1">
              <w:rPr>
                <w:rFonts w:ascii="Times New Roman" w:hAnsi="Times New Roman" w:cs="Times New Roman"/>
                <w:noProof/>
                <w:webHidden/>
              </w:rPr>
              <w:t>2</w:t>
            </w:r>
          </w:hyperlink>
          <w:r w:rsidR="00F54F08">
            <w:rPr>
              <w:rFonts w:ascii="Times New Roman" w:hAnsi="Times New Roman" w:cs="Times New Roman"/>
              <w:noProof/>
            </w:rPr>
            <w:t>1</w:t>
          </w:r>
        </w:p>
        <w:p w14:paraId="6BC466E6" w14:textId="6460B93C" w:rsidR="00B85E1D" w:rsidRPr="00CD645B" w:rsidRDefault="00163B3C">
          <w:pPr>
            <w:pStyle w:val="TOC2"/>
            <w:rPr>
              <w:rFonts w:ascii="Times New Roman" w:eastAsiaTheme="minorEastAsia" w:hAnsi="Times New Roman" w:cs="Times New Roman"/>
              <w:noProof/>
            </w:rPr>
          </w:pPr>
          <w:hyperlink w:anchor="_Toc501703434" w:history="1">
            <w:r w:rsidR="00B85E1D" w:rsidRPr="00CD645B">
              <w:rPr>
                <w:rStyle w:val="Hyperlink"/>
                <w:rFonts w:ascii="Times New Roman" w:hAnsi="Times New Roman" w:cs="Times New Roman"/>
                <w:noProof/>
              </w:rPr>
              <w:t>A.15. Explanation for Program Changes or Adjustments</w:t>
            </w:r>
            <w:r w:rsidR="00B85E1D" w:rsidRPr="00CD645B">
              <w:rPr>
                <w:rFonts w:ascii="Times New Roman" w:hAnsi="Times New Roman" w:cs="Times New Roman"/>
                <w:noProof/>
                <w:webHidden/>
              </w:rPr>
              <w:tab/>
            </w:r>
            <w:r w:rsidR="00E61EE1">
              <w:rPr>
                <w:rFonts w:ascii="Times New Roman" w:hAnsi="Times New Roman" w:cs="Times New Roman"/>
                <w:noProof/>
                <w:webHidden/>
              </w:rPr>
              <w:t>2</w:t>
            </w:r>
            <w:r w:rsidR="00B85E1D" w:rsidRPr="00CD645B">
              <w:rPr>
                <w:rFonts w:ascii="Times New Roman" w:hAnsi="Times New Roman" w:cs="Times New Roman"/>
                <w:noProof/>
                <w:webHidden/>
              </w:rPr>
              <w:fldChar w:fldCharType="begin"/>
            </w:r>
            <w:r w:rsidR="00B85E1D" w:rsidRPr="00CD645B">
              <w:rPr>
                <w:rFonts w:ascii="Times New Roman" w:hAnsi="Times New Roman" w:cs="Times New Roman"/>
                <w:noProof/>
                <w:webHidden/>
              </w:rPr>
              <w:instrText xml:space="preserve"> PAGEREF _Toc501703434 \h </w:instrText>
            </w:r>
            <w:r w:rsidR="00B85E1D" w:rsidRPr="00CD645B">
              <w:rPr>
                <w:rFonts w:ascii="Times New Roman" w:hAnsi="Times New Roman" w:cs="Times New Roman"/>
                <w:noProof/>
                <w:webHidden/>
              </w:rPr>
            </w:r>
            <w:r w:rsidR="00B85E1D" w:rsidRPr="00CD645B">
              <w:rPr>
                <w:rFonts w:ascii="Times New Roman" w:hAnsi="Times New Roman" w:cs="Times New Roman"/>
                <w:noProof/>
                <w:webHidden/>
              </w:rPr>
              <w:fldChar w:fldCharType="separate"/>
            </w:r>
            <w:r w:rsidR="00C40DC9" w:rsidRPr="00CD645B">
              <w:rPr>
                <w:rFonts w:ascii="Times New Roman" w:hAnsi="Times New Roman" w:cs="Times New Roman"/>
                <w:noProof/>
                <w:webHidden/>
              </w:rPr>
              <w:t>1</w:t>
            </w:r>
            <w:r w:rsidR="00B85E1D" w:rsidRPr="00CD645B">
              <w:rPr>
                <w:rFonts w:ascii="Times New Roman" w:hAnsi="Times New Roman" w:cs="Times New Roman"/>
                <w:noProof/>
                <w:webHidden/>
              </w:rPr>
              <w:fldChar w:fldCharType="end"/>
            </w:r>
          </w:hyperlink>
        </w:p>
        <w:p w14:paraId="68AC6E61" w14:textId="065086BA" w:rsidR="00B85E1D" w:rsidRPr="00CD645B" w:rsidRDefault="00163B3C">
          <w:pPr>
            <w:pStyle w:val="TOC2"/>
            <w:rPr>
              <w:rFonts w:ascii="Times New Roman" w:eastAsiaTheme="minorEastAsia" w:hAnsi="Times New Roman" w:cs="Times New Roman"/>
              <w:noProof/>
            </w:rPr>
          </w:pPr>
          <w:hyperlink w:anchor="_Toc501703435" w:history="1">
            <w:r w:rsidR="00B85E1D" w:rsidRPr="00CD645B">
              <w:rPr>
                <w:rStyle w:val="Hyperlink"/>
                <w:rFonts w:ascii="Times New Roman" w:hAnsi="Times New Roman" w:cs="Times New Roman"/>
                <w:noProof/>
              </w:rPr>
              <w:t>A.16. Plans for Tabulation and Publication and Project Time Schedule</w:t>
            </w:r>
            <w:r w:rsidR="00B85E1D" w:rsidRPr="00CD645B">
              <w:rPr>
                <w:rFonts w:ascii="Times New Roman" w:hAnsi="Times New Roman" w:cs="Times New Roman"/>
                <w:noProof/>
                <w:webHidden/>
              </w:rPr>
              <w:tab/>
            </w:r>
            <w:r w:rsidR="00E61EE1">
              <w:rPr>
                <w:rFonts w:ascii="Times New Roman" w:hAnsi="Times New Roman" w:cs="Times New Roman"/>
                <w:noProof/>
                <w:webHidden/>
              </w:rPr>
              <w:t>2</w:t>
            </w:r>
            <w:r w:rsidR="00F54F08">
              <w:rPr>
                <w:rFonts w:ascii="Times New Roman" w:hAnsi="Times New Roman" w:cs="Times New Roman"/>
                <w:noProof/>
                <w:webHidden/>
              </w:rPr>
              <w:t>2</w:t>
            </w:r>
          </w:hyperlink>
        </w:p>
        <w:p w14:paraId="3A135D93" w14:textId="1CB3EBDC" w:rsidR="00B85E1D" w:rsidRPr="00CD645B" w:rsidRDefault="00163B3C">
          <w:pPr>
            <w:pStyle w:val="TOC2"/>
            <w:rPr>
              <w:rFonts w:ascii="Times New Roman" w:eastAsiaTheme="minorEastAsia" w:hAnsi="Times New Roman" w:cs="Times New Roman"/>
              <w:noProof/>
            </w:rPr>
          </w:pPr>
          <w:hyperlink w:anchor="_Toc501703436" w:history="1">
            <w:r w:rsidR="00B85E1D" w:rsidRPr="00CD645B">
              <w:rPr>
                <w:rStyle w:val="Hyperlink"/>
                <w:rFonts w:ascii="Times New Roman" w:hAnsi="Times New Roman" w:cs="Times New Roman"/>
                <w:noProof/>
              </w:rPr>
              <w:t>A.17. Reason(s) Display of OMB Expiration Date is Inappropriate</w:t>
            </w:r>
            <w:r w:rsidR="00B85E1D" w:rsidRPr="00CD645B">
              <w:rPr>
                <w:rFonts w:ascii="Times New Roman" w:hAnsi="Times New Roman" w:cs="Times New Roman"/>
                <w:noProof/>
                <w:webHidden/>
              </w:rPr>
              <w:tab/>
            </w:r>
            <w:r w:rsidR="00E61EE1">
              <w:rPr>
                <w:rFonts w:ascii="Times New Roman" w:hAnsi="Times New Roman" w:cs="Times New Roman"/>
                <w:noProof/>
                <w:webHidden/>
              </w:rPr>
              <w:t>22</w:t>
            </w:r>
          </w:hyperlink>
        </w:p>
        <w:p w14:paraId="13F99E2E" w14:textId="3748C530" w:rsidR="00B85E1D" w:rsidRPr="00CD645B" w:rsidRDefault="00163B3C">
          <w:pPr>
            <w:pStyle w:val="TOC2"/>
            <w:rPr>
              <w:rFonts w:ascii="Times New Roman" w:eastAsiaTheme="minorEastAsia" w:hAnsi="Times New Roman" w:cs="Times New Roman"/>
              <w:noProof/>
            </w:rPr>
          </w:pPr>
          <w:hyperlink w:anchor="_Toc501703437" w:history="1">
            <w:r w:rsidR="00B85E1D" w:rsidRPr="00CD645B">
              <w:rPr>
                <w:rStyle w:val="Hyperlink"/>
                <w:rFonts w:ascii="Times New Roman" w:hAnsi="Times New Roman" w:cs="Times New Roman"/>
                <w:noProof/>
              </w:rPr>
              <w:t>A.18. Exceptions to Certification for Paperwork Reduction Act Submission</w:t>
            </w:r>
            <w:r w:rsidR="00B85E1D" w:rsidRPr="00CD645B">
              <w:rPr>
                <w:rFonts w:ascii="Times New Roman" w:hAnsi="Times New Roman" w:cs="Times New Roman"/>
                <w:noProof/>
                <w:webHidden/>
              </w:rPr>
              <w:tab/>
            </w:r>
            <w:r w:rsidR="00E61EE1">
              <w:rPr>
                <w:rFonts w:ascii="Times New Roman" w:hAnsi="Times New Roman" w:cs="Times New Roman"/>
                <w:noProof/>
                <w:webHidden/>
              </w:rPr>
              <w:t>2</w:t>
            </w:r>
          </w:hyperlink>
          <w:r w:rsidR="00E61EE1">
            <w:rPr>
              <w:rFonts w:ascii="Times New Roman" w:hAnsi="Times New Roman" w:cs="Times New Roman"/>
              <w:noProof/>
            </w:rPr>
            <w:t>2</w:t>
          </w:r>
        </w:p>
        <w:p w14:paraId="6A361304" w14:textId="77777777" w:rsidR="000E096F" w:rsidRPr="00CD645B" w:rsidRDefault="000E096F">
          <w:r w:rsidRPr="00CD645B">
            <w:rPr>
              <w:rFonts w:ascii="Times New Roman" w:hAnsi="Times New Roman" w:cs="Times New Roman"/>
              <w:b/>
              <w:bCs/>
              <w:noProof/>
            </w:rPr>
            <w:lastRenderedPageBreak/>
            <w:fldChar w:fldCharType="end"/>
          </w:r>
        </w:p>
      </w:sdtContent>
    </w:sdt>
    <w:p w14:paraId="37846528" w14:textId="77777777" w:rsidR="009270DB" w:rsidRPr="00CD645B" w:rsidRDefault="009270DB" w:rsidP="009270DB">
      <w:pPr>
        <w:pStyle w:val="Heading1"/>
        <w:numPr>
          <w:ilvl w:val="0"/>
          <w:numId w:val="0"/>
        </w:numPr>
        <w:spacing w:line="360" w:lineRule="auto"/>
        <w:jc w:val="center"/>
        <w:rPr>
          <w:rFonts w:ascii="Times New Roman" w:hAnsi="Times New Roman"/>
          <w:sz w:val="24"/>
        </w:rPr>
      </w:pPr>
      <w:bookmarkStart w:id="3" w:name="_Toc501703418"/>
      <w:r w:rsidRPr="00CD645B">
        <w:rPr>
          <w:rFonts w:ascii="Times New Roman" w:hAnsi="Times New Roman"/>
          <w:sz w:val="24"/>
        </w:rPr>
        <w:t>List of Attachments</w:t>
      </w:r>
      <w:bookmarkEnd w:id="3"/>
    </w:p>
    <w:p w14:paraId="6D298E2A" w14:textId="77777777" w:rsidR="009270DB" w:rsidRPr="00CD645B" w:rsidRDefault="009270DB" w:rsidP="003846EC">
      <w:pPr>
        <w:spacing w:line="360" w:lineRule="auto"/>
        <w:rPr>
          <w:rFonts w:ascii="Times New Roman" w:hAnsi="Times New Roman" w:cs="Times New Roman"/>
          <w:sz w:val="24"/>
          <w:szCs w:val="24"/>
        </w:rPr>
      </w:pPr>
    </w:p>
    <w:p w14:paraId="6E3FCAE7" w14:textId="77777777" w:rsidR="003846EC" w:rsidRPr="00CD645B" w:rsidRDefault="003846EC"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1. </w:t>
      </w:r>
      <w:r w:rsidR="00577925" w:rsidRPr="00CD645B">
        <w:rPr>
          <w:rFonts w:ascii="Times New Roman" w:hAnsi="Times New Roman" w:cs="Times New Roman"/>
          <w:sz w:val="24"/>
          <w:szCs w:val="24"/>
        </w:rPr>
        <w:t>Public Health Service Act (42</w:t>
      </w:r>
      <w:r w:rsidR="00311E48" w:rsidRPr="00CD645B">
        <w:rPr>
          <w:rFonts w:ascii="Times New Roman" w:hAnsi="Times New Roman" w:cs="Times New Roman"/>
          <w:sz w:val="24"/>
          <w:szCs w:val="24"/>
        </w:rPr>
        <w:t xml:space="preserve"> </w:t>
      </w:r>
      <w:r w:rsidR="00577925" w:rsidRPr="00CD645B">
        <w:rPr>
          <w:rFonts w:ascii="Times New Roman" w:hAnsi="Times New Roman" w:cs="Times New Roman"/>
          <w:sz w:val="24"/>
          <w:szCs w:val="24"/>
        </w:rPr>
        <w:t>U.S.C. 241)</w:t>
      </w:r>
    </w:p>
    <w:p w14:paraId="2058049E" w14:textId="77777777" w:rsidR="00E662AB" w:rsidRPr="00CD645B" w:rsidRDefault="003846EC"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2. </w:t>
      </w:r>
      <w:r w:rsidR="00E662AB" w:rsidRPr="00CD645B">
        <w:rPr>
          <w:rFonts w:ascii="Times New Roman" w:hAnsi="Times New Roman" w:cs="Times New Roman"/>
          <w:sz w:val="24"/>
          <w:szCs w:val="24"/>
        </w:rPr>
        <w:t>60-Day F</w:t>
      </w:r>
      <w:r w:rsidR="009F1877" w:rsidRPr="00CD645B">
        <w:rPr>
          <w:rFonts w:ascii="Times New Roman" w:hAnsi="Times New Roman" w:cs="Times New Roman"/>
          <w:sz w:val="24"/>
          <w:szCs w:val="24"/>
        </w:rPr>
        <w:t>ederal Register Notice (FRN)</w:t>
      </w:r>
    </w:p>
    <w:p w14:paraId="6BB5EF3F" w14:textId="77777777" w:rsidR="00F212D4" w:rsidRPr="00CD645B" w:rsidRDefault="00E662AB"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3. </w:t>
      </w:r>
      <w:r w:rsidR="00BA6BDA" w:rsidRPr="00CD645B">
        <w:rPr>
          <w:rFonts w:ascii="Times New Roman" w:hAnsi="Times New Roman" w:cs="Times New Roman"/>
          <w:sz w:val="24"/>
          <w:szCs w:val="24"/>
        </w:rPr>
        <w:t>Public Comments</w:t>
      </w:r>
      <w:r w:rsidR="00093B64" w:rsidRPr="00CD645B">
        <w:rPr>
          <w:rFonts w:ascii="Times New Roman" w:hAnsi="Times New Roman" w:cs="Times New Roman"/>
          <w:sz w:val="24"/>
          <w:szCs w:val="24"/>
        </w:rPr>
        <w:t xml:space="preserve"> and responses</w:t>
      </w:r>
    </w:p>
    <w:p w14:paraId="3DA83986" w14:textId="77777777" w:rsidR="00F212D4" w:rsidRPr="00CD645B" w:rsidRDefault="00F212D4"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4. </w:t>
      </w:r>
      <w:r w:rsidR="00E076A2" w:rsidRPr="00CD645B">
        <w:rPr>
          <w:rFonts w:ascii="Times New Roman" w:hAnsi="Times New Roman" w:cs="Times New Roman"/>
          <w:sz w:val="24"/>
          <w:szCs w:val="24"/>
        </w:rPr>
        <w:t>Focus group invitation email</w:t>
      </w:r>
      <w:r w:rsidRPr="00CD645B">
        <w:rPr>
          <w:rFonts w:ascii="Times New Roman" w:hAnsi="Times New Roman" w:cs="Times New Roman"/>
          <w:sz w:val="24"/>
          <w:szCs w:val="24"/>
        </w:rPr>
        <w:t xml:space="preserve"> </w:t>
      </w:r>
    </w:p>
    <w:p w14:paraId="79B3AA69" w14:textId="77777777" w:rsidR="007D7E29" w:rsidRPr="00CD645B" w:rsidRDefault="007D7E29"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Attachment 5. Focus group screener</w:t>
      </w:r>
    </w:p>
    <w:p w14:paraId="7C9D6B16" w14:textId="77777777" w:rsidR="00E076A2" w:rsidRPr="00CD645B" w:rsidRDefault="00E662AB"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w:t>
      </w:r>
      <w:r w:rsidR="007D7E29" w:rsidRPr="00CD645B">
        <w:rPr>
          <w:rFonts w:ascii="Times New Roman" w:hAnsi="Times New Roman" w:cs="Times New Roman"/>
          <w:sz w:val="24"/>
          <w:szCs w:val="24"/>
        </w:rPr>
        <w:t>6</w:t>
      </w:r>
      <w:r w:rsidR="006413EC" w:rsidRPr="00CD645B">
        <w:rPr>
          <w:rFonts w:ascii="Times New Roman" w:hAnsi="Times New Roman" w:cs="Times New Roman"/>
          <w:sz w:val="24"/>
          <w:szCs w:val="24"/>
        </w:rPr>
        <w:t xml:space="preserve">. </w:t>
      </w:r>
      <w:r w:rsidR="00E076A2" w:rsidRPr="00CD645B">
        <w:rPr>
          <w:rFonts w:ascii="Times New Roman" w:hAnsi="Times New Roman" w:cs="Times New Roman"/>
          <w:sz w:val="24"/>
          <w:szCs w:val="24"/>
        </w:rPr>
        <w:t>Focus group consent form</w:t>
      </w:r>
    </w:p>
    <w:p w14:paraId="3E222F64" w14:textId="3E3841B5" w:rsidR="00E076A2" w:rsidRPr="00CD645B" w:rsidRDefault="00E076A2"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7.  Focus group questionnaire </w:t>
      </w:r>
    </w:p>
    <w:p w14:paraId="4080E7AB" w14:textId="77777777" w:rsidR="000233A7" w:rsidRPr="00CD645B" w:rsidRDefault="00E076A2" w:rsidP="003846EC">
      <w:pPr>
        <w:spacing w:line="360" w:lineRule="auto"/>
        <w:rPr>
          <w:rFonts w:ascii="Times New Roman" w:hAnsi="Times New Roman" w:cs="Times New Roman"/>
          <w:sz w:val="24"/>
          <w:szCs w:val="24"/>
        </w:rPr>
      </w:pPr>
      <w:r w:rsidRPr="00CD645B">
        <w:rPr>
          <w:rFonts w:ascii="Times New Roman" w:hAnsi="Times New Roman" w:cs="Times New Roman"/>
          <w:sz w:val="24"/>
          <w:szCs w:val="24"/>
        </w:rPr>
        <w:t xml:space="preserve">Attachment 8. </w:t>
      </w:r>
      <w:r w:rsidR="00130CC1" w:rsidRPr="00CD645B">
        <w:rPr>
          <w:rFonts w:ascii="Times New Roman" w:hAnsi="Times New Roman" w:cs="Times New Roman"/>
          <w:sz w:val="24"/>
          <w:szCs w:val="24"/>
        </w:rPr>
        <w:t xml:space="preserve">Focus group discussion guide </w:t>
      </w:r>
    </w:p>
    <w:p w14:paraId="7F94BA5A" w14:textId="474BA7F6" w:rsidR="00FB1C50" w:rsidRPr="00CD645B" w:rsidRDefault="00FB1C50" w:rsidP="00FB1C50">
      <w:pPr>
        <w:spacing w:line="360" w:lineRule="auto"/>
        <w:rPr>
          <w:rFonts w:ascii="Times New Roman" w:hAnsi="Times New Roman" w:cs="Times New Roman"/>
          <w:sz w:val="24"/>
          <w:szCs w:val="24"/>
        </w:rPr>
      </w:pPr>
      <w:r w:rsidRPr="00CD645B">
        <w:rPr>
          <w:rFonts w:ascii="Times New Roman" w:hAnsi="Times New Roman" w:cs="Times New Roman"/>
          <w:sz w:val="24"/>
          <w:szCs w:val="24"/>
        </w:rPr>
        <w:t>Attachment 1</w:t>
      </w:r>
      <w:r w:rsidR="005E042F">
        <w:rPr>
          <w:rFonts w:ascii="Times New Roman" w:hAnsi="Times New Roman" w:cs="Times New Roman"/>
          <w:sz w:val="24"/>
          <w:szCs w:val="24"/>
        </w:rPr>
        <w:t>9</w:t>
      </w:r>
      <w:r w:rsidRPr="00CD645B">
        <w:rPr>
          <w:rFonts w:ascii="Times New Roman" w:hAnsi="Times New Roman" w:cs="Times New Roman"/>
          <w:sz w:val="24"/>
          <w:szCs w:val="24"/>
        </w:rPr>
        <w:t>. Privacy Impact Assessment</w:t>
      </w:r>
      <w:r w:rsidR="001C6DB5" w:rsidRPr="00CD645B">
        <w:rPr>
          <w:rFonts w:ascii="Times New Roman" w:hAnsi="Times New Roman" w:cs="Times New Roman"/>
          <w:sz w:val="24"/>
          <w:szCs w:val="24"/>
        </w:rPr>
        <w:t xml:space="preserve"> (PIA)</w:t>
      </w:r>
    </w:p>
    <w:p w14:paraId="07BE108D" w14:textId="3C7768A7" w:rsidR="00FB1C50" w:rsidRPr="00CD645B" w:rsidRDefault="00FB1C50" w:rsidP="00FB1C50">
      <w:pPr>
        <w:spacing w:line="360" w:lineRule="auto"/>
        <w:rPr>
          <w:rFonts w:ascii="Times New Roman" w:hAnsi="Times New Roman" w:cs="Times New Roman"/>
          <w:sz w:val="24"/>
          <w:szCs w:val="24"/>
        </w:rPr>
      </w:pPr>
      <w:r w:rsidRPr="00CD645B">
        <w:rPr>
          <w:rFonts w:ascii="Times New Roman" w:hAnsi="Times New Roman" w:cs="Times New Roman"/>
          <w:sz w:val="24"/>
          <w:szCs w:val="24"/>
        </w:rPr>
        <w:t>Attachment 1</w:t>
      </w:r>
      <w:r w:rsidR="005E042F">
        <w:rPr>
          <w:rFonts w:ascii="Times New Roman" w:hAnsi="Times New Roman" w:cs="Times New Roman"/>
          <w:sz w:val="24"/>
          <w:szCs w:val="24"/>
        </w:rPr>
        <w:t>0</w:t>
      </w:r>
      <w:r w:rsidRPr="00CD645B">
        <w:rPr>
          <w:rFonts w:ascii="Times New Roman" w:hAnsi="Times New Roman" w:cs="Times New Roman"/>
          <w:sz w:val="24"/>
          <w:szCs w:val="24"/>
        </w:rPr>
        <w:t xml:space="preserve">. IRB </w:t>
      </w:r>
      <w:r w:rsidR="0041721D" w:rsidRPr="00CD645B">
        <w:rPr>
          <w:rFonts w:ascii="Times New Roman" w:hAnsi="Times New Roman" w:cs="Times New Roman"/>
          <w:sz w:val="24"/>
          <w:szCs w:val="24"/>
        </w:rPr>
        <w:t>exemption</w:t>
      </w:r>
    </w:p>
    <w:p w14:paraId="218D9C75" w14:textId="77777777" w:rsidR="00E662AB" w:rsidRPr="00CD645B" w:rsidRDefault="00E662AB" w:rsidP="000A1A08">
      <w:pPr>
        <w:spacing w:line="360" w:lineRule="auto"/>
        <w:rPr>
          <w:rFonts w:ascii="Times New Roman" w:hAnsi="Times New Roman" w:cs="Times New Roman"/>
          <w:sz w:val="24"/>
          <w:szCs w:val="24"/>
        </w:rPr>
      </w:pPr>
    </w:p>
    <w:p w14:paraId="50B806ED" w14:textId="77777777" w:rsidR="00E662AB" w:rsidRPr="00CD645B" w:rsidRDefault="00E662AB">
      <w:pPr>
        <w:rPr>
          <w:rFonts w:ascii="Times New Roman" w:hAnsi="Times New Roman" w:cs="Times New Roman"/>
          <w:sz w:val="24"/>
          <w:szCs w:val="24"/>
        </w:rPr>
      </w:pPr>
      <w:r w:rsidRPr="00CD645B">
        <w:rPr>
          <w:rFonts w:ascii="Times New Roman" w:hAnsi="Times New Roman" w:cs="Times New Roman"/>
          <w:sz w:val="24"/>
          <w:szCs w:val="24"/>
        </w:rPr>
        <w:br w:type="page"/>
      </w:r>
    </w:p>
    <w:p w14:paraId="3EEE8472" w14:textId="77777777" w:rsidR="00E662AB" w:rsidRPr="00CD645B" w:rsidRDefault="00E662AB" w:rsidP="000A1A08">
      <w:pPr>
        <w:spacing w:line="360" w:lineRule="auto"/>
        <w:rPr>
          <w:rFonts w:ascii="Times New Roman" w:hAnsi="Times New Roman" w:cs="Times New Roman"/>
          <w:b/>
          <w:sz w:val="24"/>
          <w:szCs w:val="24"/>
        </w:rPr>
      </w:pPr>
      <w:r w:rsidRPr="00CD645B">
        <w:rPr>
          <w:rFonts w:ascii="Times New Roman" w:hAnsi="Times New Roman" w:cs="Times New Roman"/>
          <w:b/>
          <w:sz w:val="24"/>
          <w:szCs w:val="24"/>
        </w:rPr>
        <w:t>Summary Table</w:t>
      </w:r>
    </w:p>
    <w:tbl>
      <w:tblPr>
        <w:tblStyle w:val="TableGrid"/>
        <w:tblW w:w="0" w:type="auto"/>
        <w:tblLook w:val="04A0" w:firstRow="1" w:lastRow="0" w:firstColumn="1" w:lastColumn="0" w:noHBand="0" w:noVBand="1"/>
      </w:tblPr>
      <w:tblGrid>
        <w:gridCol w:w="9350"/>
      </w:tblGrid>
      <w:tr w:rsidR="00E662AB" w:rsidRPr="00CD645B" w14:paraId="75333407" w14:textId="77777777" w:rsidTr="004518DD">
        <w:trPr>
          <w:trHeight w:val="11033"/>
        </w:trPr>
        <w:tc>
          <w:tcPr>
            <w:tcW w:w="9350" w:type="dxa"/>
          </w:tcPr>
          <w:p w14:paraId="4A6F3854" w14:textId="77777777" w:rsidR="00190985" w:rsidRDefault="00190985" w:rsidP="00190985">
            <w:pPr>
              <w:pStyle w:val="ListParagraph"/>
              <w:numPr>
                <w:ilvl w:val="0"/>
                <w:numId w:val="16"/>
              </w:numPr>
              <w:spacing w:line="276" w:lineRule="auto"/>
              <w:rPr>
                <w:rFonts w:ascii="Times New Roman" w:hAnsi="Times New Roman" w:cs="Times New Roman"/>
                <w:sz w:val="24"/>
                <w:szCs w:val="24"/>
              </w:rPr>
            </w:pPr>
            <w:r w:rsidRPr="00190985">
              <w:rPr>
                <w:rFonts w:ascii="Times New Roman" w:hAnsi="Times New Roman" w:cs="Times New Roman"/>
                <w:b/>
                <w:sz w:val="24"/>
                <w:szCs w:val="24"/>
              </w:rPr>
              <w:t>Goals of the Study</w:t>
            </w:r>
            <w:r>
              <w:rPr>
                <w:rFonts w:ascii="Times New Roman" w:hAnsi="Times New Roman" w:cs="Times New Roman"/>
                <w:sz w:val="24"/>
                <w:szCs w:val="24"/>
              </w:rPr>
              <w:t xml:space="preserve">: </w:t>
            </w:r>
          </w:p>
          <w:p w14:paraId="4A50E650" w14:textId="1FD9EDF3" w:rsidR="00190985" w:rsidRPr="00190985" w:rsidRDefault="00190985" w:rsidP="00190985">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(1) To c</w:t>
            </w:r>
            <w:r w:rsidRPr="00190985">
              <w:rPr>
                <w:rFonts w:ascii="Times New Roman" w:hAnsi="Times New Roman" w:cs="Times New Roman"/>
                <w:sz w:val="24"/>
                <w:szCs w:val="24"/>
              </w:rPr>
              <w:t>onduct formative research to understand challenges that rural healthcare providers face when diagnosing, treating, and managing traumatic brain injury (TBI) so that we are able to modify our materials (trainings, dissemination materials, messages, recommend</w:t>
            </w:r>
            <w:r w:rsidR="00E00910">
              <w:rPr>
                <w:rFonts w:ascii="Times New Roman" w:hAnsi="Times New Roman" w:cs="Times New Roman"/>
                <w:sz w:val="24"/>
                <w:szCs w:val="24"/>
              </w:rPr>
              <w:t xml:space="preserve">ations) for the rural setting. </w:t>
            </w:r>
            <w:r w:rsidRPr="00190985">
              <w:rPr>
                <w:rFonts w:ascii="Times New Roman" w:hAnsi="Times New Roman" w:cs="Times New Roman"/>
                <w:sz w:val="24"/>
                <w:szCs w:val="24"/>
              </w:rPr>
              <w:t>Toward this end, some of the specific information we intend to capture includes:</w:t>
            </w:r>
          </w:p>
          <w:p w14:paraId="1864C31C" w14:textId="27F46008" w:rsidR="00190985" w:rsidRDefault="00190985" w:rsidP="00190985">
            <w:pPr>
              <w:pStyle w:val="ListParagraph"/>
              <w:spacing w:line="252" w:lineRule="auto"/>
              <w:ind w:left="1080"/>
              <w:rPr>
                <w:rFonts w:ascii="Times New Roman" w:hAnsi="Times New Roman" w:cs="Times New Roman"/>
                <w:sz w:val="24"/>
                <w:szCs w:val="24"/>
              </w:rPr>
            </w:pPr>
            <w:r w:rsidRPr="00190985">
              <w:rPr>
                <w:rFonts w:ascii="Times New Roman" w:hAnsi="Times New Roman" w:cs="Times New Roman"/>
                <w:sz w:val="24"/>
                <w:szCs w:val="24"/>
              </w:rPr>
              <w:t>Understanding how rural clinicians diagnose and manage patients who sustain a TBI</w:t>
            </w:r>
            <w:r>
              <w:rPr>
                <w:rFonts w:ascii="Times New Roman" w:hAnsi="Times New Roman" w:cs="Times New Roman"/>
                <w:sz w:val="24"/>
                <w:szCs w:val="24"/>
              </w:rPr>
              <w:t>; g</w:t>
            </w:r>
            <w:r w:rsidRPr="00190985">
              <w:rPr>
                <w:rFonts w:ascii="Times New Roman" w:hAnsi="Times New Roman" w:cs="Times New Roman"/>
                <w:sz w:val="24"/>
                <w:szCs w:val="24"/>
              </w:rPr>
              <w:t>athering general information about what rural providers see as the main challenges they face in diagnosing and managing patients who have sustained a TBI</w:t>
            </w:r>
            <w:r>
              <w:rPr>
                <w:rFonts w:ascii="Times New Roman" w:hAnsi="Times New Roman" w:cs="Times New Roman"/>
                <w:sz w:val="24"/>
                <w:szCs w:val="24"/>
              </w:rPr>
              <w:t>; i</w:t>
            </w:r>
            <w:r w:rsidRPr="00190985">
              <w:rPr>
                <w:rFonts w:ascii="Times New Roman" w:hAnsi="Times New Roman" w:cs="Times New Roman"/>
                <w:sz w:val="24"/>
                <w:szCs w:val="24"/>
              </w:rPr>
              <w:t>dentifying potential innovative approaches that rural providers have us</w:t>
            </w:r>
            <w:r>
              <w:rPr>
                <w:rFonts w:ascii="Times New Roman" w:hAnsi="Times New Roman" w:cs="Times New Roman"/>
                <w:sz w:val="24"/>
                <w:szCs w:val="24"/>
              </w:rPr>
              <w:t>ed to overcome these challenges; i</w:t>
            </w:r>
            <w:r w:rsidRPr="00190985">
              <w:rPr>
                <w:rFonts w:ascii="Times New Roman" w:hAnsi="Times New Roman" w:cs="Times New Roman"/>
                <w:sz w:val="24"/>
                <w:szCs w:val="24"/>
              </w:rPr>
              <w:t>dentifying whether, and how, state policies on Return to Learn and Return to Play influence rural TBI care</w:t>
            </w:r>
            <w:r>
              <w:rPr>
                <w:rFonts w:ascii="Times New Roman" w:hAnsi="Times New Roman" w:cs="Times New Roman"/>
                <w:sz w:val="24"/>
                <w:szCs w:val="24"/>
              </w:rPr>
              <w:t xml:space="preserve"> </w:t>
            </w:r>
          </w:p>
          <w:p w14:paraId="6514E361" w14:textId="77777777" w:rsidR="00190985" w:rsidRDefault="00190985" w:rsidP="00190985">
            <w:pPr>
              <w:pStyle w:val="ListParagraph"/>
              <w:spacing w:line="252" w:lineRule="auto"/>
              <w:ind w:left="1080"/>
              <w:rPr>
                <w:rFonts w:ascii="Times New Roman" w:hAnsi="Times New Roman" w:cs="Times New Roman"/>
                <w:sz w:val="24"/>
                <w:szCs w:val="24"/>
              </w:rPr>
            </w:pPr>
          </w:p>
          <w:p w14:paraId="2EDDE993" w14:textId="0366C373" w:rsidR="00190985" w:rsidRPr="00190985" w:rsidRDefault="00190985" w:rsidP="00190985">
            <w:pPr>
              <w:pStyle w:val="ListParagraph"/>
              <w:spacing w:line="252" w:lineRule="auto"/>
              <w:ind w:left="1080"/>
              <w:rPr>
                <w:rFonts w:ascii="Times New Roman" w:hAnsi="Times New Roman" w:cs="Times New Roman"/>
                <w:sz w:val="24"/>
                <w:szCs w:val="24"/>
              </w:rPr>
            </w:pPr>
            <w:r>
              <w:rPr>
                <w:rFonts w:ascii="Times New Roman" w:hAnsi="Times New Roman" w:cs="Times New Roman"/>
                <w:sz w:val="24"/>
                <w:szCs w:val="24"/>
              </w:rPr>
              <w:t xml:space="preserve">(2) </w:t>
            </w:r>
            <w:r w:rsidRPr="00190985">
              <w:rPr>
                <w:rFonts w:ascii="Times New Roman" w:hAnsi="Times New Roman" w:cs="Times New Roman"/>
                <w:sz w:val="24"/>
                <w:szCs w:val="24"/>
              </w:rPr>
              <w:t xml:space="preserve">Identify areas for future research that will allow us to better understand these challenges and potential ways to address them. </w:t>
            </w:r>
          </w:p>
          <w:p w14:paraId="12566B7F" w14:textId="77777777" w:rsidR="00190985" w:rsidRPr="00190985" w:rsidRDefault="00190985" w:rsidP="00190985">
            <w:pPr>
              <w:pStyle w:val="ListParagraph"/>
              <w:spacing w:line="276" w:lineRule="auto"/>
              <w:rPr>
                <w:rFonts w:ascii="Times New Roman" w:hAnsi="Times New Roman" w:cs="Times New Roman"/>
                <w:sz w:val="24"/>
                <w:szCs w:val="24"/>
              </w:rPr>
            </w:pPr>
          </w:p>
          <w:p w14:paraId="1866985E" w14:textId="4B3E3DC6" w:rsidR="00190985" w:rsidRPr="00190985" w:rsidRDefault="00190985" w:rsidP="00190985">
            <w:pPr>
              <w:pStyle w:val="ListParagraph"/>
              <w:numPr>
                <w:ilvl w:val="0"/>
                <w:numId w:val="16"/>
              </w:numPr>
              <w:spacing w:line="276" w:lineRule="auto"/>
              <w:rPr>
                <w:rFonts w:ascii="Times New Roman" w:hAnsi="Times New Roman" w:cs="Times New Roman"/>
                <w:sz w:val="24"/>
                <w:szCs w:val="24"/>
              </w:rPr>
            </w:pPr>
            <w:r w:rsidRPr="00190985">
              <w:rPr>
                <w:rFonts w:ascii="Times New Roman" w:hAnsi="Times New Roman" w:cs="Times New Roman"/>
                <w:b/>
                <w:sz w:val="24"/>
                <w:szCs w:val="24"/>
              </w:rPr>
              <w:t xml:space="preserve">Intended use of the resulting data: </w:t>
            </w:r>
            <w:r w:rsidRPr="00190985">
              <w:rPr>
                <w:rFonts w:ascii="Times New Roman" w:hAnsi="Times New Roman" w:cs="Times New Roman"/>
                <w:sz w:val="24"/>
                <w:szCs w:val="24"/>
              </w:rPr>
              <w:t xml:space="preserve">The results of this information collection will inform CDC’s immediate and future outreach and education for rural healthcare providers, including CDC’s “HEADS UP for Healthcare Providers” educational program, and the recently-released pediatric mild TBI guideline. </w:t>
            </w:r>
          </w:p>
          <w:p w14:paraId="32F00E97" w14:textId="77777777" w:rsidR="00190985" w:rsidRPr="00190985" w:rsidRDefault="00190985" w:rsidP="00190985">
            <w:pPr>
              <w:spacing w:line="276" w:lineRule="auto"/>
              <w:rPr>
                <w:rFonts w:ascii="Times New Roman" w:hAnsi="Times New Roman" w:cs="Times New Roman"/>
                <w:sz w:val="24"/>
                <w:szCs w:val="24"/>
              </w:rPr>
            </w:pPr>
          </w:p>
          <w:p w14:paraId="3E6C726D" w14:textId="6CE25662" w:rsidR="00190985" w:rsidRPr="00190985" w:rsidRDefault="00190985" w:rsidP="00190985">
            <w:pPr>
              <w:pStyle w:val="ListParagraph"/>
              <w:numPr>
                <w:ilvl w:val="0"/>
                <w:numId w:val="16"/>
              </w:numPr>
              <w:spacing w:line="276" w:lineRule="auto"/>
              <w:rPr>
                <w:rFonts w:ascii="Times New Roman" w:hAnsi="Times New Roman" w:cs="Times New Roman"/>
                <w:sz w:val="24"/>
                <w:szCs w:val="24"/>
              </w:rPr>
            </w:pPr>
            <w:r w:rsidRPr="00190985">
              <w:rPr>
                <w:rFonts w:ascii="Times New Roman" w:hAnsi="Times New Roman" w:cs="Times New Roman"/>
                <w:b/>
                <w:sz w:val="24"/>
                <w:szCs w:val="24"/>
              </w:rPr>
              <w:t>Methods to be used to collect data:</w:t>
            </w:r>
            <w:r w:rsidRPr="00190985">
              <w:rPr>
                <w:rFonts w:ascii="Times New Roman" w:hAnsi="Times New Roman" w:cs="Times New Roman"/>
                <w:sz w:val="24"/>
                <w:szCs w:val="24"/>
              </w:rPr>
              <w:t xml:space="preserve"> </w:t>
            </w:r>
            <w:r w:rsidR="00430AA9">
              <w:rPr>
                <w:rFonts w:ascii="Times New Roman" w:hAnsi="Times New Roman" w:cs="Times New Roman"/>
                <w:sz w:val="24"/>
                <w:szCs w:val="24"/>
              </w:rPr>
              <w:t>Up to six</w:t>
            </w:r>
            <w:r w:rsidR="00430AA9" w:rsidRPr="007F65AB">
              <w:rPr>
                <w:rFonts w:ascii="Times New Roman" w:hAnsi="Times New Roman" w:cs="Times New Roman"/>
                <w:sz w:val="24"/>
                <w:szCs w:val="24"/>
              </w:rPr>
              <w:t xml:space="preserve"> </w:t>
            </w:r>
            <w:r w:rsidR="00430AA9">
              <w:rPr>
                <w:rFonts w:ascii="Times New Roman" w:hAnsi="Times New Roman" w:cs="Times New Roman"/>
                <w:sz w:val="24"/>
                <w:szCs w:val="24"/>
              </w:rPr>
              <w:t xml:space="preserve">in-person or virtual </w:t>
            </w:r>
            <w:r w:rsidR="00430AA9" w:rsidRPr="007F65AB">
              <w:rPr>
                <w:rFonts w:ascii="Times New Roman" w:hAnsi="Times New Roman" w:cs="Times New Roman"/>
                <w:sz w:val="24"/>
                <w:szCs w:val="24"/>
              </w:rPr>
              <w:t>focus groups of 8-10 physician</w:t>
            </w:r>
            <w:r w:rsidR="00430AA9">
              <w:rPr>
                <w:rFonts w:ascii="Times New Roman" w:hAnsi="Times New Roman" w:cs="Times New Roman"/>
                <w:sz w:val="24"/>
                <w:szCs w:val="24"/>
              </w:rPr>
              <w:t>s</w:t>
            </w:r>
            <w:r w:rsidR="00430AA9" w:rsidRPr="007F65AB">
              <w:rPr>
                <w:rFonts w:ascii="Times New Roman" w:hAnsi="Times New Roman" w:cs="Times New Roman"/>
                <w:sz w:val="24"/>
                <w:szCs w:val="24"/>
              </w:rPr>
              <w:t>, NP</w:t>
            </w:r>
            <w:r w:rsidR="00430AA9">
              <w:rPr>
                <w:rFonts w:ascii="Times New Roman" w:hAnsi="Times New Roman" w:cs="Times New Roman"/>
                <w:sz w:val="24"/>
                <w:szCs w:val="24"/>
              </w:rPr>
              <w:t>s</w:t>
            </w:r>
            <w:r w:rsidR="00430AA9" w:rsidRPr="007F65AB">
              <w:rPr>
                <w:rFonts w:ascii="Times New Roman" w:hAnsi="Times New Roman" w:cs="Times New Roman"/>
                <w:sz w:val="24"/>
                <w:szCs w:val="24"/>
              </w:rPr>
              <w:t>, and/or PA</w:t>
            </w:r>
            <w:r w:rsidR="00430AA9">
              <w:rPr>
                <w:rFonts w:ascii="Times New Roman" w:hAnsi="Times New Roman" w:cs="Times New Roman"/>
                <w:sz w:val="24"/>
                <w:szCs w:val="24"/>
              </w:rPr>
              <w:t>s, for a total of up to 60 respondents</w:t>
            </w:r>
            <w:r w:rsidRPr="00190985">
              <w:rPr>
                <w:rFonts w:ascii="Times New Roman" w:hAnsi="Times New Roman" w:cs="Times New Roman"/>
                <w:sz w:val="24"/>
                <w:szCs w:val="24"/>
              </w:rPr>
              <w:t xml:space="preserve">.  These focus groups will include rural physicians, nurse practitioners, and physician assistants working in primary care (e.g., family medicine, internal medicine, pediatrics) settings or emergency departments. </w:t>
            </w:r>
          </w:p>
          <w:p w14:paraId="616E8295" w14:textId="77777777" w:rsidR="00190985" w:rsidRPr="00190985" w:rsidRDefault="00190985" w:rsidP="00190985">
            <w:pPr>
              <w:spacing w:line="276" w:lineRule="auto"/>
              <w:rPr>
                <w:rFonts w:ascii="Times New Roman" w:hAnsi="Times New Roman" w:cs="Times New Roman"/>
                <w:sz w:val="24"/>
                <w:szCs w:val="24"/>
              </w:rPr>
            </w:pPr>
          </w:p>
          <w:p w14:paraId="679476CD" w14:textId="77777777" w:rsidR="00190985" w:rsidRPr="00DE1FA1" w:rsidRDefault="00190985" w:rsidP="00190985">
            <w:pPr>
              <w:pStyle w:val="ListParagraph"/>
              <w:numPr>
                <w:ilvl w:val="0"/>
                <w:numId w:val="16"/>
              </w:numPr>
              <w:spacing w:line="276" w:lineRule="auto"/>
              <w:rPr>
                <w:rFonts w:cstheme="minorHAnsi"/>
              </w:rPr>
            </w:pPr>
            <w:r w:rsidRPr="00190985">
              <w:rPr>
                <w:rFonts w:ascii="Times New Roman" w:hAnsi="Times New Roman" w:cs="Times New Roman"/>
                <w:b/>
                <w:sz w:val="24"/>
                <w:szCs w:val="24"/>
              </w:rPr>
              <w:t>How data will be analyzed:</w:t>
            </w:r>
            <w:r w:rsidRPr="00190985">
              <w:rPr>
                <w:rFonts w:ascii="Times New Roman" w:hAnsi="Times New Roman" w:cs="Times New Roman"/>
                <w:sz w:val="24"/>
                <w:szCs w:val="24"/>
              </w:rPr>
              <w:t xml:space="preserve"> The qualitative focus group data will be analyzed using a themes-based approach, guided by the research questions, specifically focusing on the facilitators and barriers identified by rural healthcare providers in diagnosing, treating, referring, and managing TBI.</w:t>
            </w:r>
          </w:p>
          <w:p w14:paraId="71236053" w14:textId="3DAAC265" w:rsidR="00E662AB" w:rsidRPr="00CD645B" w:rsidRDefault="00E662AB" w:rsidP="00DA3A97">
            <w:pPr>
              <w:pStyle w:val="ListParagraph"/>
              <w:spacing w:line="360" w:lineRule="auto"/>
              <w:rPr>
                <w:rFonts w:ascii="Times New Roman" w:hAnsi="Times New Roman" w:cs="Times New Roman"/>
                <w:sz w:val="24"/>
                <w:szCs w:val="24"/>
              </w:rPr>
            </w:pPr>
          </w:p>
        </w:tc>
      </w:tr>
    </w:tbl>
    <w:p w14:paraId="485FF5B1" w14:textId="77777777" w:rsidR="004C720A" w:rsidRPr="00CD645B" w:rsidRDefault="004C720A" w:rsidP="00EE46CA">
      <w:pPr>
        <w:spacing w:line="360" w:lineRule="auto"/>
        <w:rPr>
          <w:rFonts w:ascii="Times New Roman" w:hAnsi="Times New Roman" w:cs="Times New Roman"/>
          <w:sz w:val="24"/>
          <w:szCs w:val="24"/>
        </w:rPr>
      </w:pPr>
      <w:r w:rsidRPr="00CD645B">
        <w:rPr>
          <w:rFonts w:ascii="Times New Roman" w:hAnsi="Times New Roman" w:cs="Times New Roman"/>
          <w:sz w:val="24"/>
          <w:szCs w:val="24"/>
        </w:rPr>
        <w:br w:type="page"/>
      </w:r>
    </w:p>
    <w:p w14:paraId="2461589A" w14:textId="77777777" w:rsidR="00BB3ADA" w:rsidRPr="00CD645B" w:rsidRDefault="00FF01AC" w:rsidP="00EE46CA">
      <w:pPr>
        <w:pStyle w:val="Heading1"/>
        <w:numPr>
          <w:ilvl w:val="0"/>
          <w:numId w:val="0"/>
        </w:numPr>
        <w:spacing w:line="360" w:lineRule="auto"/>
        <w:rPr>
          <w:rFonts w:ascii="Times New Roman" w:hAnsi="Times New Roman"/>
          <w:sz w:val="24"/>
        </w:rPr>
      </w:pPr>
      <w:bookmarkStart w:id="4" w:name="_List_of_Attachments"/>
      <w:bookmarkStart w:id="5" w:name="_Toc501703419"/>
      <w:bookmarkEnd w:id="4"/>
      <w:r w:rsidRPr="00CD645B">
        <w:rPr>
          <w:rFonts w:ascii="Times New Roman" w:hAnsi="Times New Roman"/>
          <w:sz w:val="24"/>
        </w:rPr>
        <w:t xml:space="preserve">Section A - </w:t>
      </w:r>
      <w:r w:rsidR="00BB3ADA" w:rsidRPr="00CD645B">
        <w:rPr>
          <w:rFonts w:ascii="Times New Roman" w:hAnsi="Times New Roman"/>
          <w:sz w:val="24"/>
        </w:rPr>
        <w:t>Justification</w:t>
      </w:r>
      <w:bookmarkEnd w:id="5"/>
      <w:bookmarkEnd w:id="2"/>
      <w:r w:rsidR="00BB3ADA" w:rsidRPr="00CD645B">
        <w:rPr>
          <w:rFonts w:ascii="Times New Roman" w:hAnsi="Times New Roman"/>
          <w:sz w:val="24"/>
        </w:rPr>
        <w:t xml:space="preserve"> </w:t>
      </w:r>
    </w:p>
    <w:p w14:paraId="4590C27E" w14:textId="77777777" w:rsidR="00FF01AC" w:rsidRPr="00CD645B" w:rsidRDefault="00D16404" w:rsidP="00D16404">
      <w:pPr>
        <w:pStyle w:val="Heading2"/>
      </w:pPr>
      <w:bookmarkStart w:id="6" w:name="_Toc501703420"/>
      <w:r w:rsidRPr="00CD645B">
        <w:t xml:space="preserve">A.1. </w:t>
      </w:r>
      <w:r w:rsidR="00FF01AC" w:rsidRPr="00CD645B">
        <w:t>Circumstances Making the Collection of Information Necessary</w:t>
      </w:r>
      <w:bookmarkEnd w:id="6"/>
    </w:p>
    <w:p w14:paraId="5D823E9A" w14:textId="75542FBD" w:rsidR="00D16404" w:rsidRPr="00CD645B" w:rsidRDefault="00D16404"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CDC requests OMB approval for </w:t>
      </w:r>
      <w:r w:rsidR="00003A9B" w:rsidRPr="00CD645B">
        <w:rPr>
          <w:rFonts w:ascii="Times New Roman" w:hAnsi="Times New Roman" w:cs="Times New Roman"/>
          <w:sz w:val="24"/>
          <w:szCs w:val="24"/>
        </w:rPr>
        <w:t xml:space="preserve">two </w:t>
      </w:r>
      <w:r w:rsidRPr="00CD645B">
        <w:rPr>
          <w:rFonts w:ascii="Times New Roman" w:hAnsi="Times New Roman" w:cs="Times New Roman"/>
          <w:sz w:val="24"/>
          <w:szCs w:val="24"/>
        </w:rPr>
        <w:t>year</w:t>
      </w:r>
      <w:r w:rsidR="008D491A" w:rsidRPr="00CD645B">
        <w:rPr>
          <w:rFonts w:ascii="Times New Roman" w:hAnsi="Times New Roman" w:cs="Times New Roman"/>
          <w:sz w:val="24"/>
          <w:szCs w:val="24"/>
        </w:rPr>
        <w:t>s</w:t>
      </w:r>
      <w:r w:rsidRPr="00CD645B">
        <w:rPr>
          <w:rFonts w:ascii="Times New Roman" w:hAnsi="Times New Roman" w:cs="Times New Roman"/>
          <w:sz w:val="24"/>
          <w:szCs w:val="24"/>
        </w:rPr>
        <w:t xml:space="preserve"> for this NEW data collection. The study, “</w:t>
      </w:r>
      <w:r w:rsidR="00DC5CE6" w:rsidRPr="00CD645B">
        <w:rPr>
          <w:rFonts w:ascii="Times New Roman" w:eastAsia="Times New Roman" w:hAnsi="Times New Roman" w:cs="Times New Roman"/>
          <w:bCs/>
          <w:sz w:val="24"/>
          <w:szCs w:val="24"/>
        </w:rPr>
        <w:t>Traumatic Brain Injury Disparities in Rural Areas (TBIDRA)</w:t>
      </w:r>
      <w:r w:rsidR="00BE3618" w:rsidRPr="00CD645B">
        <w:rPr>
          <w:rFonts w:ascii="Times New Roman" w:hAnsi="Times New Roman" w:cs="Times New Roman"/>
          <w:sz w:val="24"/>
          <w:szCs w:val="24"/>
        </w:rPr>
        <w:t>”</w:t>
      </w:r>
      <w:r w:rsidRPr="00CD645B">
        <w:rPr>
          <w:rFonts w:ascii="Times New Roman" w:hAnsi="Times New Roman" w:cs="Times New Roman"/>
          <w:sz w:val="24"/>
          <w:szCs w:val="24"/>
        </w:rPr>
        <w:t xml:space="preserve"> will help CDC to better understand the challenges that rural healthcare providers face in diagnosing</w:t>
      </w:r>
      <w:r w:rsidR="00297D39" w:rsidRPr="00CD645B">
        <w:rPr>
          <w:rFonts w:ascii="Times New Roman" w:hAnsi="Times New Roman" w:cs="Times New Roman"/>
          <w:sz w:val="24"/>
          <w:szCs w:val="24"/>
        </w:rPr>
        <w:t>,</w:t>
      </w:r>
      <w:r w:rsidRPr="00CD645B">
        <w:rPr>
          <w:rFonts w:ascii="Times New Roman" w:hAnsi="Times New Roman" w:cs="Times New Roman"/>
          <w:sz w:val="24"/>
          <w:szCs w:val="24"/>
        </w:rPr>
        <w:t xml:space="preserve"> </w:t>
      </w:r>
      <w:r w:rsidR="00BE3618" w:rsidRPr="00CD645B">
        <w:rPr>
          <w:rFonts w:ascii="Times New Roman" w:hAnsi="Times New Roman" w:cs="Times New Roman"/>
          <w:sz w:val="24"/>
          <w:szCs w:val="24"/>
        </w:rPr>
        <w:t xml:space="preserve">treating, </w:t>
      </w:r>
      <w:r w:rsidRPr="00CD645B">
        <w:rPr>
          <w:rFonts w:ascii="Times New Roman" w:hAnsi="Times New Roman" w:cs="Times New Roman"/>
          <w:sz w:val="24"/>
          <w:szCs w:val="24"/>
        </w:rPr>
        <w:t xml:space="preserve">and managing </w:t>
      </w:r>
      <w:r w:rsidR="00BF0C51">
        <w:rPr>
          <w:rFonts w:ascii="Times New Roman" w:hAnsi="Times New Roman" w:cs="Times New Roman"/>
          <w:sz w:val="24"/>
          <w:szCs w:val="24"/>
        </w:rPr>
        <w:t xml:space="preserve">mild </w:t>
      </w:r>
      <w:r w:rsidRPr="00CD645B">
        <w:rPr>
          <w:rFonts w:ascii="Times New Roman" w:hAnsi="Times New Roman" w:cs="Times New Roman"/>
          <w:sz w:val="24"/>
          <w:szCs w:val="24"/>
        </w:rPr>
        <w:t>TBI</w:t>
      </w:r>
      <w:r w:rsidR="004F7BE5" w:rsidRPr="00CD645B">
        <w:rPr>
          <w:rFonts w:ascii="Times New Roman" w:hAnsi="Times New Roman" w:cs="Times New Roman"/>
          <w:sz w:val="24"/>
          <w:szCs w:val="24"/>
        </w:rPr>
        <w:t>s</w:t>
      </w:r>
      <w:r w:rsidR="00BF0C51">
        <w:rPr>
          <w:rFonts w:ascii="Times New Roman" w:hAnsi="Times New Roman" w:cs="Times New Roman"/>
          <w:sz w:val="24"/>
          <w:szCs w:val="24"/>
        </w:rPr>
        <w:t xml:space="preserve"> - the most common type of TBI </w:t>
      </w:r>
      <w:r w:rsidR="00907A7E">
        <w:rPr>
          <w:rFonts w:ascii="Times New Roman" w:hAnsi="Times New Roman" w:cs="Times New Roman"/>
          <w:sz w:val="24"/>
          <w:szCs w:val="24"/>
        </w:rPr>
        <w:t>-</w:t>
      </w:r>
      <w:r w:rsidR="00907A7E" w:rsidRPr="00CD645B">
        <w:rPr>
          <w:rFonts w:ascii="Times New Roman" w:hAnsi="Times New Roman" w:cs="Times New Roman"/>
          <w:sz w:val="24"/>
          <w:szCs w:val="24"/>
        </w:rPr>
        <w:t xml:space="preserve"> and</w:t>
      </w:r>
      <w:r w:rsidRPr="00CD645B">
        <w:rPr>
          <w:rFonts w:ascii="Times New Roman" w:hAnsi="Times New Roman" w:cs="Times New Roman"/>
          <w:sz w:val="24"/>
          <w:szCs w:val="24"/>
        </w:rPr>
        <w:t xml:space="preserve"> </w:t>
      </w:r>
      <w:r w:rsidR="001159D7">
        <w:rPr>
          <w:rFonts w:ascii="Times New Roman" w:hAnsi="Times New Roman" w:cs="Times New Roman"/>
          <w:sz w:val="24"/>
          <w:szCs w:val="24"/>
        </w:rPr>
        <w:t>i</w:t>
      </w:r>
      <w:r w:rsidR="001159D7" w:rsidRPr="00190985">
        <w:rPr>
          <w:rFonts w:ascii="Times New Roman" w:hAnsi="Times New Roman" w:cs="Times New Roman"/>
          <w:sz w:val="24"/>
          <w:szCs w:val="24"/>
        </w:rPr>
        <w:t>dentify areas for future research that will allow us to better understand these challenges and potential ways to address them</w:t>
      </w:r>
      <w:r w:rsidRPr="00CD645B">
        <w:rPr>
          <w:rFonts w:ascii="Times New Roman" w:hAnsi="Times New Roman" w:cs="Times New Roman"/>
          <w:sz w:val="24"/>
          <w:szCs w:val="24"/>
        </w:rPr>
        <w:t>.</w:t>
      </w:r>
    </w:p>
    <w:p w14:paraId="317F910A" w14:textId="4F91F9FC" w:rsidR="00B007CD" w:rsidRDefault="00D32AB7" w:rsidP="0059475A">
      <w:pPr>
        <w:spacing w:after="240" w:line="240" w:lineRule="auto"/>
        <w:ind w:firstLine="360"/>
        <w:rPr>
          <w:rFonts w:ascii="Times New Roman" w:hAnsi="Times New Roman" w:cs="Times New Roman"/>
          <w:sz w:val="24"/>
          <w:szCs w:val="24"/>
        </w:rPr>
      </w:pPr>
      <w:r>
        <w:rPr>
          <w:rFonts w:ascii="Times New Roman" w:hAnsi="Times New Roman" w:cs="Times New Roman"/>
          <w:sz w:val="24"/>
          <w:szCs w:val="24"/>
        </w:rPr>
        <w:t>R</w:t>
      </w:r>
      <w:r w:rsidR="001A41F5">
        <w:rPr>
          <w:rFonts w:ascii="Times New Roman" w:hAnsi="Times New Roman" w:cs="Times New Roman"/>
          <w:sz w:val="24"/>
          <w:szCs w:val="24"/>
        </w:rPr>
        <w:t>esearch into rural/urban differences in traumatic brain injury (TBI) in the U.S. is scarce,</w:t>
      </w:r>
      <w:r w:rsidR="006B70B8">
        <w:rPr>
          <w:rFonts w:ascii="Times New Roman" w:hAnsi="Times New Roman" w:cs="Times New Roman"/>
          <w:sz w:val="24"/>
          <w:szCs w:val="24"/>
        </w:rPr>
        <w:t xml:space="preserve"> particularly at the </w:t>
      </w:r>
      <w:r>
        <w:rPr>
          <w:rFonts w:ascii="Times New Roman" w:hAnsi="Times New Roman" w:cs="Times New Roman"/>
          <w:sz w:val="24"/>
          <w:szCs w:val="24"/>
        </w:rPr>
        <w:t>national level. However,</w:t>
      </w:r>
      <w:r w:rsidR="001A41F5">
        <w:rPr>
          <w:rFonts w:ascii="Times New Roman" w:hAnsi="Times New Roman" w:cs="Times New Roman"/>
          <w:sz w:val="24"/>
          <w:szCs w:val="24"/>
        </w:rPr>
        <w:t xml:space="preserve"> the evidence that does exist suggests </w:t>
      </w:r>
      <w:r w:rsidR="00387753" w:rsidRPr="00CD645B">
        <w:rPr>
          <w:rFonts w:ascii="Times New Roman" w:hAnsi="Times New Roman" w:cs="Times New Roman"/>
          <w:sz w:val="24"/>
          <w:szCs w:val="24"/>
        </w:rPr>
        <w:t xml:space="preserve">that </w:t>
      </w:r>
      <w:r w:rsidR="00297D39" w:rsidRPr="00CD645B">
        <w:rPr>
          <w:rFonts w:ascii="Times New Roman" w:hAnsi="Times New Roman" w:cs="Times New Roman"/>
          <w:sz w:val="24"/>
          <w:szCs w:val="24"/>
        </w:rPr>
        <w:t xml:space="preserve">residents of </w:t>
      </w:r>
      <w:r w:rsidR="00387753" w:rsidRPr="00CD645B">
        <w:rPr>
          <w:rFonts w:ascii="Times New Roman" w:hAnsi="Times New Roman" w:cs="Times New Roman"/>
          <w:sz w:val="24"/>
          <w:szCs w:val="24"/>
        </w:rPr>
        <w:t>rural areas have both higher incidence and higher mortality rates from TBI than do residents of urban areas,</w:t>
      </w:r>
      <w:r w:rsidR="00B85E1D" w:rsidRPr="00CD645B">
        <w:rPr>
          <w:rStyle w:val="FootnoteReference"/>
          <w:rFonts w:ascii="Times New Roman" w:hAnsi="Times New Roman" w:cs="Times New Roman"/>
          <w:sz w:val="24"/>
          <w:szCs w:val="24"/>
        </w:rPr>
        <w:footnoteReference w:id="1"/>
      </w:r>
      <w:r w:rsidR="00B85E1D" w:rsidRPr="00CD645B">
        <w:rPr>
          <w:rFonts w:ascii="Times New Roman" w:hAnsi="Times New Roman" w:cs="Times New Roman"/>
          <w:sz w:val="24"/>
          <w:szCs w:val="24"/>
          <w:vertAlign w:val="superscript"/>
        </w:rPr>
        <w:t>,</w:t>
      </w:r>
      <w:bookmarkStart w:id="7" w:name="_Ref504035703"/>
      <w:r w:rsidR="00FC1857">
        <w:rPr>
          <w:rStyle w:val="FootnoteReference"/>
          <w:rFonts w:ascii="Times New Roman" w:hAnsi="Times New Roman" w:cs="Times New Roman"/>
          <w:sz w:val="24"/>
          <w:szCs w:val="24"/>
        </w:rPr>
        <w:footnoteReference w:id="2"/>
      </w:r>
      <w:r w:rsidR="006B70B8">
        <w:rPr>
          <w:rFonts w:ascii="Times New Roman" w:hAnsi="Times New Roman" w:cs="Times New Roman"/>
          <w:sz w:val="24"/>
          <w:szCs w:val="24"/>
          <w:vertAlign w:val="superscript"/>
        </w:rPr>
        <w:t>,</w:t>
      </w:r>
      <w:r w:rsidR="00B85E1D" w:rsidRPr="00CD645B">
        <w:rPr>
          <w:rStyle w:val="FootnoteReference"/>
          <w:rFonts w:ascii="Times New Roman" w:hAnsi="Times New Roman" w:cs="Times New Roman"/>
          <w:sz w:val="24"/>
          <w:szCs w:val="24"/>
        </w:rPr>
        <w:footnoteReference w:id="3"/>
      </w:r>
      <w:bookmarkEnd w:id="7"/>
      <w:r w:rsidR="00CB5FB7">
        <w:rPr>
          <w:rFonts w:ascii="Times New Roman" w:hAnsi="Times New Roman" w:cs="Times New Roman"/>
          <w:sz w:val="24"/>
          <w:szCs w:val="24"/>
          <w:vertAlign w:val="superscript"/>
        </w:rPr>
        <w:t>,</w:t>
      </w:r>
      <w:r w:rsidR="006B70B8">
        <w:rPr>
          <w:rStyle w:val="FootnoteReference"/>
          <w:rFonts w:ascii="Times New Roman" w:hAnsi="Times New Roman" w:cs="Times New Roman"/>
          <w:sz w:val="24"/>
          <w:szCs w:val="24"/>
        </w:rPr>
        <w:footnoteReference w:id="4"/>
      </w:r>
      <w:r w:rsidR="00387753" w:rsidRPr="00CD645B">
        <w:rPr>
          <w:rFonts w:ascii="Times New Roman" w:hAnsi="Times New Roman" w:cs="Times New Roman"/>
          <w:sz w:val="24"/>
          <w:szCs w:val="24"/>
        </w:rPr>
        <w:t xml:space="preserve"> and that the prevalence of TBI-related disability in rural geographical areas is higher than </w:t>
      </w:r>
      <w:r w:rsidR="00345976" w:rsidRPr="00CD645B">
        <w:rPr>
          <w:rFonts w:ascii="Times New Roman" w:hAnsi="Times New Roman" w:cs="Times New Roman"/>
          <w:sz w:val="24"/>
          <w:szCs w:val="24"/>
        </w:rPr>
        <w:t xml:space="preserve">in </w:t>
      </w:r>
      <w:r w:rsidR="00387753" w:rsidRPr="00CD645B">
        <w:rPr>
          <w:rFonts w:ascii="Times New Roman" w:hAnsi="Times New Roman" w:cs="Times New Roman"/>
          <w:sz w:val="24"/>
          <w:szCs w:val="24"/>
        </w:rPr>
        <w:t>urban and suburban areas.</w:t>
      </w:r>
      <w:r w:rsidR="00B85E1D" w:rsidRPr="00CD645B">
        <w:rPr>
          <w:rStyle w:val="FootnoteReference"/>
          <w:rFonts w:ascii="Times New Roman" w:hAnsi="Times New Roman" w:cs="Times New Roman"/>
          <w:sz w:val="24"/>
          <w:szCs w:val="24"/>
        </w:rPr>
        <w:footnoteReference w:id="5"/>
      </w:r>
      <w:r w:rsidR="00B85E1D" w:rsidRPr="00CD645B">
        <w:rPr>
          <w:rFonts w:ascii="Times New Roman" w:hAnsi="Times New Roman" w:cs="Times New Roman"/>
          <w:sz w:val="24"/>
          <w:szCs w:val="24"/>
        </w:rPr>
        <w:t xml:space="preserve"> </w:t>
      </w:r>
      <w:r w:rsidR="00B007CD">
        <w:rPr>
          <w:rFonts w:ascii="Times New Roman" w:hAnsi="Times New Roman" w:cs="Times New Roman"/>
          <w:sz w:val="24"/>
          <w:szCs w:val="24"/>
        </w:rPr>
        <w:t>M</w:t>
      </w:r>
      <w:r w:rsidR="006A2B06">
        <w:rPr>
          <w:rFonts w:ascii="Times New Roman" w:hAnsi="Times New Roman" w:cs="Times New Roman"/>
          <w:sz w:val="24"/>
          <w:szCs w:val="24"/>
        </w:rPr>
        <w:t>ild TBIs make up the preponderance of TBI cases – one systematic review estimated that 70-90% of all TBIs are mild</w:t>
      </w:r>
      <w:r w:rsidR="006A2B06">
        <w:rPr>
          <w:rStyle w:val="FootnoteReference"/>
          <w:rFonts w:ascii="Times New Roman" w:hAnsi="Times New Roman" w:cs="Times New Roman"/>
          <w:sz w:val="24"/>
          <w:szCs w:val="24"/>
        </w:rPr>
        <w:footnoteReference w:id="6"/>
      </w:r>
      <w:r w:rsidR="006A2B06">
        <w:rPr>
          <w:rFonts w:ascii="Times New Roman" w:hAnsi="Times New Roman" w:cs="Times New Roman"/>
          <w:sz w:val="24"/>
          <w:szCs w:val="24"/>
        </w:rPr>
        <w:t xml:space="preserve"> - </w:t>
      </w:r>
      <w:r w:rsidR="00B007CD">
        <w:rPr>
          <w:rFonts w:ascii="Times New Roman" w:hAnsi="Times New Roman" w:cs="Times New Roman"/>
          <w:sz w:val="24"/>
          <w:szCs w:val="24"/>
        </w:rPr>
        <w:t xml:space="preserve">and some studies have found that there are urban/rural differences </w:t>
      </w:r>
      <w:r w:rsidR="001E5AFD">
        <w:rPr>
          <w:rFonts w:ascii="Times New Roman" w:hAnsi="Times New Roman" w:cs="Times New Roman"/>
          <w:sz w:val="24"/>
          <w:szCs w:val="24"/>
        </w:rPr>
        <w:t xml:space="preserve">related to patient age, severity of injury and the most frequent </w:t>
      </w:r>
      <w:r w:rsidR="00B007CD">
        <w:rPr>
          <w:rFonts w:ascii="Times New Roman" w:hAnsi="Times New Roman" w:cs="Times New Roman"/>
          <w:sz w:val="24"/>
          <w:szCs w:val="24"/>
        </w:rPr>
        <w:t>mechanism</w:t>
      </w:r>
      <w:r w:rsidR="001E5AFD">
        <w:rPr>
          <w:rFonts w:ascii="Times New Roman" w:hAnsi="Times New Roman" w:cs="Times New Roman"/>
          <w:sz w:val="24"/>
          <w:szCs w:val="24"/>
        </w:rPr>
        <w:t>s</w:t>
      </w:r>
      <w:r w:rsidR="00B007CD">
        <w:rPr>
          <w:rFonts w:ascii="Times New Roman" w:hAnsi="Times New Roman" w:cs="Times New Roman"/>
          <w:sz w:val="24"/>
          <w:szCs w:val="24"/>
        </w:rPr>
        <w:t xml:space="preserve"> of injury.</w:t>
      </w:r>
      <w:r w:rsidR="00B007CD">
        <w:rPr>
          <w:rStyle w:val="FootnoteReference"/>
          <w:rFonts w:ascii="Times New Roman" w:hAnsi="Times New Roman" w:cs="Times New Roman"/>
          <w:sz w:val="24"/>
          <w:szCs w:val="24"/>
        </w:rPr>
        <w:footnoteReference w:id="7"/>
      </w:r>
    </w:p>
    <w:p w14:paraId="68A88A30" w14:textId="672041DA" w:rsidR="0059475A" w:rsidRPr="00CD645B" w:rsidRDefault="00387753"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obstacles health</w:t>
      </w:r>
      <w:r w:rsidR="00984DC6" w:rsidRPr="00CD645B">
        <w:rPr>
          <w:rFonts w:ascii="Times New Roman" w:hAnsi="Times New Roman" w:cs="Times New Roman"/>
          <w:sz w:val="24"/>
          <w:szCs w:val="24"/>
        </w:rPr>
        <w:t xml:space="preserve">care </w:t>
      </w:r>
      <w:r w:rsidRPr="00CD645B">
        <w:rPr>
          <w:rFonts w:ascii="Times New Roman" w:hAnsi="Times New Roman" w:cs="Times New Roman"/>
          <w:sz w:val="24"/>
          <w:szCs w:val="24"/>
        </w:rPr>
        <w:t xml:space="preserve">providers and patients face in rural areas are vastly different </w:t>
      </w:r>
      <w:r w:rsidR="00D32AB7" w:rsidRPr="00CD645B">
        <w:rPr>
          <w:rFonts w:ascii="Times New Roman" w:hAnsi="Times New Roman" w:cs="Times New Roman"/>
          <w:sz w:val="24"/>
          <w:szCs w:val="24"/>
        </w:rPr>
        <w:t>from</w:t>
      </w:r>
      <w:r w:rsidRPr="00CD645B">
        <w:rPr>
          <w:rFonts w:ascii="Times New Roman" w:hAnsi="Times New Roman" w:cs="Times New Roman"/>
          <w:sz w:val="24"/>
          <w:szCs w:val="24"/>
        </w:rPr>
        <w:t xml:space="preserve"> those in urban areas. Workforce shortage problems (access to physicians), lack of advanced TBI training, and transportation issues are among the barriers rural patients encounter in their quest for high-quality</w:t>
      </w:r>
      <w:r w:rsidR="001E5AFD">
        <w:rPr>
          <w:rFonts w:ascii="Times New Roman" w:hAnsi="Times New Roman" w:cs="Times New Roman"/>
          <w:sz w:val="24"/>
          <w:szCs w:val="24"/>
        </w:rPr>
        <w:t>,</w:t>
      </w:r>
      <w:r w:rsidRPr="00CD645B">
        <w:rPr>
          <w:rFonts w:ascii="Times New Roman" w:hAnsi="Times New Roman" w:cs="Times New Roman"/>
          <w:sz w:val="24"/>
          <w:szCs w:val="24"/>
        </w:rPr>
        <w:t xml:space="preserve"> comprehensive TBI care.</w:t>
      </w:r>
      <w:r w:rsidR="00CB5FB7">
        <w:rPr>
          <w:rFonts w:ascii="Times New Roman" w:hAnsi="Times New Roman" w:cs="Times New Roman"/>
          <w:sz w:val="24"/>
          <w:szCs w:val="24"/>
          <w:vertAlign w:val="superscript"/>
        </w:rPr>
        <w:t>3</w:t>
      </w:r>
      <w:r w:rsidR="00CB5FB7" w:rsidRPr="00CD645B">
        <w:rPr>
          <w:rFonts w:ascii="Times New Roman" w:hAnsi="Times New Roman" w:cs="Times New Roman"/>
          <w:sz w:val="24"/>
          <w:szCs w:val="24"/>
          <w:vertAlign w:val="superscript"/>
        </w:rPr>
        <w:t xml:space="preserve"> </w:t>
      </w:r>
    </w:p>
    <w:p w14:paraId="24CA3106" w14:textId="160BDD2A" w:rsidR="0059475A" w:rsidRPr="00CD645B" w:rsidRDefault="00387753"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Although this identified gap in TBI services exists in rural areas of the United States, there is little published research specifically related to the challenges rural providers face in TBI diagnosis and treatment,</w:t>
      </w:r>
      <w:r w:rsidR="00B85E1D" w:rsidRPr="00CD645B">
        <w:rPr>
          <w:rStyle w:val="FootnoteReference"/>
          <w:rFonts w:ascii="Times New Roman" w:hAnsi="Times New Roman" w:cs="Times New Roman"/>
          <w:sz w:val="24"/>
          <w:szCs w:val="24"/>
        </w:rPr>
        <w:footnoteReference w:id="8"/>
      </w:r>
      <w:r w:rsidR="00B85E1D" w:rsidRPr="00CD645B">
        <w:rPr>
          <w:rFonts w:ascii="Times New Roman" w:hAnsi="Times New Roman" w:cs="Times New Roman"/>
          <w:sz w:val="24"/>
          <w:szCs w:val="24"/>
          <w:vertAlign w:val="superscript"/>
        </w:rPr>
        <w:t>,</w:t>
      </w:r>
      <w:r w:rsidR="00B85E1D" w:rsidRPr="00CD645B">
        <w:rPr>
          <w:rStyle w:val="FootnoteReference"/>
          <w:rFonts w:ascii="Times New Roman" w:hAnsi="Times New Roman" w:cs="Times New Roman"/>
          <w:sz w:val="24"/>
          <w:szCs w:val="24"/>
        </w:rPr>
        <w:footnoteReference w:id="9"/>
      </w:r>
      <w:r w:rsidRPr="00CD645B">
        <w:rPr>
          <w:rFonts w:ascii="Times New Roman" w:hAnsi="Times New Roman" w:cs="Times New Roman"/>
          <w:sz w:val="24"/>
          <w:szCs w:val="24"/>
        </w:rPr>
        <w:t xml:space="preserve"> and even less examination </w:t>
      </w:r>
      <w:r w:rsidR="001E5AFD">
        <w:rPr>
          <w:rFonts w:ascii="Times New Roman" w:hAnsi="Times New Roman" w:cs="Times New Roman"/>
          <w:sz w:val="24"/>
          <w:szCs w:val="24"/>
        </w:rPr>
        <w:t>of</w:t>
      </w:r>
      <w:r w:rsidR="001E5AFD" w:rsidRPr="00CD645B">
        <w:rPr>
          <w:rFonts w:ascii="Times New Roman" w:hAnsi="Times New Roman" w:cs="Times New Roman"/>
          <w:sz w:val="24"/>
          <w:szCs w:val="24"/>
        </w:rPr>
        <w:t xml:space="preserve"> </w:t>
      </w:r>
      <w:r w:rsidRPr="00CD645B">
        <w:rPr>
          <w:rFonts w:ascii="Times New Roman" w:hAnsi="Times New Roman" w:cs="Times New Roman"/>
          <w:sz w:val="24"/>
          <w:szCs w:val="24"/>
        </w:rPr>
        <w:t xml:space="preserve">effective ways to address gaps in service </w:t>
      </w:r>
      <w:r w:rsidR="001E5AFD">
        <w:rPr>
          <w:rFonts w:ascii="Times New Roman" w:hAnsi="Times New Roman" w:cs="Times New Roman"/>
          <w:sz w:val="24"/>
          <w:szCs w:val="24"/>
        </w:rPr>
        <w:t>aimed at improving</w:t>
      </w:r>
      <w:r w:rsidRPr="00CD645B">
        <w:rPr>
          <w:rFonts w:ascii="Times New Roman" w:hAnsi="Times New Roman" w:cs="Times New Roman"/>
          <w:sz w:val="24"/>
          <w:szCs w:val="24"/>
        </w:rPr>
        <w:t xml:space="preserve"> TBI outcomes. The National Center for Injury Prevention and Control a</w:t>
      </w:r>
      <w:r w:rsidR="006A299B" w:rsidRPr="00CD645B">
        <w:rPr>
          <w:rFonts w:ascii="Times New Roman" w:hAnsi="Times New Roman" w:cs="Times New Roman"/>
          <w:sz w:val="24"/>
          <w:szCs w:val="24"/>
        </w:rPr>
        <w:t xml:space="preserve">t the CDC (CDC’s Injury Center), in a 2015 </w:t>
      </w:r>
      <w:r w:rsidRPr="00CD645B">
        <w:rPr>
          <w:rFonts w:ascii="Times New Roman" w:hAnsi="Times New Roman" w:cs="Times New Roman"/>
          <w:sz w:val="24"/>
          <w:szCs w:val="24"/>
        </w:rPr>
        <w:t xml:space="preserve">“Report to Congress on TBI in the United States,” </w:t>
      </w:r>
      <w:r w:rsidR="001E5AFD">
        <w:rPr>
          <w:rFonts w:ascii="Times New Roman" w:hAnsi="Times New Roman" w:cs="Times New Roman"/>
          <w:sz w:val="24"/>
          <w:szCs w:val="24"/>
        </w:rPr>
        <w:t>stated</w:t>
      </w:r>
      <w:r w:rsidR="001E5AFD" w:rsidRPr="00CD645B">
        <w:rPr>
          <w:rFonts w:ascii="Times New Roman" w:hAnsi="Times New Roman" w:cs="Times New Roman"/>
          <w:sz w:val="24"/>
          <w:szCs w:val="24"/>
        </w:rPr>
        <w:t xml:space="preserve"> </w:t>
      </w:r>
      <w:r w:rsidRPr="00CD645B">
        <w:rPr>
          <w:rFonts w:ascii="Times New Roman" w:hAnsi="Times New Roman" w:cs="Times New Roman"/>
          <w:sz w:val="24"/>
          <w:szCs w:val="24"/>
        </w:rPr>
        <w:t>that certain population groups, including residents of rural geographic areas, require special consideration when it comes to researching TBI.</w:t>
      </w:r>
      <w:r w:rsidR="00B85E1D" w:rsidRPr="00CD645B">
        <w:rPr>
          <w:rStyle w:val="FootnoteReference"/>
          <w:rFonts w:ascii="Times New Roman" w:hAnsi="Times New Roman" w:cs="Times New Roman"/>
          <w:sz w:val="24"/>
          <w:szCs w:val="24"/>
        </w:rPr>
        <w:footnoteReference w:id="10"/>
      </w:r>
      <w:r w:rsidRPr="00CD645B">
        <w:rPr>
          <w:rFonts w:ascii="Times New Roman" w:hAnsi="Times New Roman" w:cs="Times New Roman"/>
          <w:sz w:val="24"/>
          <w:szCs w:val="24"/>
        </w:rPr>
        <w:t xml:space="preserve"> As such, rural disparities in TBI </w:t>
      </w:r>
      <w:r w:rsidR="00EF3AB4" w:rsidRPr="00CD645B">
        <w:rPr>
          <w:rFonts w:ascii="Times New Roman" w:hAnsi="Times New Roman" w:cs="Times New Roman"/>
          <w:sz w:val="24"/>
          <w:szCs w:val="24"/>
        </w:rPr>
        <w:t>are</w:t>
      </w:r>
      <w:r w:rsidRPr="00CD645B">
        <w:rPr>
          <w:rFonts w:ascii="Times New Roman" w:hAnsi="Times New Roman" w:cs="Times New Roman"/>
          <w:sz w:val="24"/>
          <w:szCs w:val="24"/>
        </w:rPr>
        <w:t xml:space="preserve"> </w:t>
      </w:r>
      <w:r w:rsidR="00820BCF" w:rsidRPr="00CD645B">
        <w:rPr>
          <w:rFonts w:ascii="Times New Roman" w:hAnsi="Times New Roman" w:cs="Times New Roman"/>
          <w:sz w:val="24"/>
          <w:szCs w:val="24"/>
        </w:rPr>
        <w:t>indicated as an area worthy of exploration</w:t>
      </w:r>
      <w:r w:rsidR="00820BCF" w:rsidRPr="00CD645B" w:rsidDel="00820BCF">
        <w:rPr>
          <w:rFonts w:ascii="Times New Roman" w:hAnsi="Times New Roman" w:cs="Times New Roman"/>
          <w:sz w:val="24"/>
          <w:szCs w:val="24"/>
        </w:rPr>
        <w:t xml:space="preserve"> </w:t>
      </w:r>
      <w:r w:rsidR="001E5AFD">
        <w:rPr>
          <w:rFonts w:ascii="Times New Roman" w:hAnsi="Times New Roman" w:cs="Times New Roman"/>
          <w:sz w:val="24"/>
          <w:szCs w:val="24"/>
        </w:rPr>
        <w:t>within</w:t>
      </w:r>
      <w:r w:rsidR="001E5AFD" w:rsidRPr="00CD645B">
        <w:rPr>
          <w:rFonts w:ascii="Times New Roman" w:hAnsi="Times New Roman" w:cs="Times New Roman"/>
          <w:sz w:val="24"/>
          <w:szCs w:val="24"/>
        </w:rPr>
        <w:t xml:space="preserve"> </w:t>
      </w:r>
      <w:r w:rsidRPr="00CD645B">
        <w:rPr>
          <w:rFonts w:ascii="Times New Roman" w:hAnsi="Times New Roman" w:cs="Times New Roman"/>
          <w:sz w:val="24"/>
          <w:szCs w:val="24"/>
        </w:rPr>
        <w:t xml:space="preserve">the </w:t>
      </w:r>
      <w:r w:rsidR="001E5AFD">
        <w:rPr>
          <w:rFonts w:ascii="Times New Roman" w:hAnsi="Times New Roman" w:cs="Times New Roman"/>
          <w:sz w:val="24"/>
          <w:szCs w:val="24"/>
        </w:rPr>
        <w:t xml:space="preserve">recent </w:t>
      </w:r>
      <w:r w:rsidRPr="00CD645B">
        <w:rPr>
          <w:rFonts w:ascii="Times New Roman" w:hAnsi="Times New Roman" w:cs="Times New Roman"/>
          <w:sz w:val="24"/>
          <w:szCs w:val="24"/>
        </w:rPr>
        <w:t>CDC Report to Congress</w:t>
      </w:r>
      <w:r w:rsidR="00E54D87" w:rsidRPr="00CD645B">
        <w:rPr>
          <w:rFonts w:ascii="Times New Roman" w:hAnsi="Times New Roman" w:cs="Times New Roman"/>
          <w:sz w:val="24"/>
          <w:szCs w:val="24"/>
        </w:rPr>
        <w:t xml:space="preserve"> on the Management of TBI in Children</w:t>
      </w:r>
      <w:r w:rsidRPr="00CD645B">
        <w:rPr>
          <w:rFonts w:ascii="Times New Roman" w:hAnsi="Times New Roman" w:cs="Times New Roman"/>
          <w:sz w:val="24"/>
          <w:szCs w:val="24"/>
        </w:rPr>
        <w:t>.</w:t>
      </w:r>
      <w:r w:rsidR="009B2979" w:rsidRPr="00CD645B">
        <w:rPr>
          <w:rStyle w:val="FootnoteReference"/>
          <w:rFonts w:ascii="Times New Roman" w:hAnsi="Times New Roman" w:cs="Times New Roman"/>
          <w:sz w:val="24"/>
          <w:szCs w:val="24"/>
        </w:rPr>
        <w:footnoteReference w:id="11"/>
      </w:r>
      <w:r w:rsidR="009B2979" w:rsidRPr="00CD645B" w:rsidDel="009B2979">
        <w:rPr>
          <w:rFonts w:ascii="Times New Roman" w:hAnsi="Times New Roman" w:cs="Times New Roman"/>
          <w:sz w:val="24"/>
          <w:szCs w:val="24"/>
        </w:rPr>
        <w:t xml:space="preserve"> </w:t>
      </w:r>
    </w:p>
    <w:p w14:paraId="4BEC4033" w14:textId="6951D1DD" w:rsidR="00653320" w:rsidRPr="00CD645B" w:rsidRDefault="000C67BF" w:rsidP="00D32AB7">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To this</w:t>
      </w:r>
      <w:r w:rsidR="002D23D8" w:rsidRPr="00CD645B">
        <w:rPr>
          <w:rFonts w:ascii="Times New Roman" w:hAnsi="Times New Roman" w:cs="Times New Roman"/>
          <w:sz w:val="24"/>
          <w:szCs w:val="24"/>
        </w:rPr>
        <w:t xml:space="preserve"> end</w:t>
      </w:r>
      <w:r w:rsidRPr="00CD645B">
        <w:rPr>
          <w:rFonts w:ascii="Times New Roman" w:hAnsi="Times New Roman" w:cs="Times New Roman"/>
          <w:sz w:val="24"/>
          <w:szCs w:val="24"/>
        </w:rPr>
        <w:t xml:space="preserve">, </w:t>
      </w:r>
      <w:r w:rsidR="006A299B" w:rsidRPr="00CD645B">
        <w:rPr>
          <w:rFonts w:ascii="Times New Roman" w:hAnsi="Times New Roman" w:cs="Times New Roman"/>
          <w:sz w:val="24"/>
          <w:szCs w:val="24"/>
        </w:rPr>
        <w:t>CDC’s Injury Center</w:t>
      </w:r>
      <w:r w:rsidR="002E378B" w:rsidRPr="00CD645B">
        <w:rPr>
          <w:rFonts w:ascii="Times New Roman" w:hAnsi="Times New Roman" w:cs="Times New Roman"/>
          <w:sz w:val="24"/>
          <w:szCs w:val="24"/>
        </w:rPr>
        <w:t xml:space="preserve"> is </w:t>
      </w:r>
      <w:r w:rsidR="00F86A37" w:rsidRPr="00CD645B">
        <w:rPr>
          <w:rFonts w:ascii="Times New Roman" w:hAnsi="Times New Roman" w:cs="Times New Roman"/>
          <w:sz w:val="24"/>
          <w:szCs w:val="24"/>
        </w:rPr>
        <w:t xml:space="preserve">conducting </w:t>
      </w:r>
      <w:r w:rsidR="002E378B" w:rsidRPr="00CD645B">
        <w:rPr>
          <w:rFonts w:ascii="Times New Roman" w:hAnsi="Times New Roman" w:cs="Times New Roman"/>
          <w:sz w:val="24"/>
          <w:szCs w:val="24"/>
        </w:rPr>
        <w:t>this</w:t>
      </w:r>
      <w:r w:rsidRPr="00CD645B">
        <w:rPr>
          <w:rFonts w:ascii="Times New Roman" w:hAnsi="Times New Roman" w:cs="Times New Roman"/>
          <w:sz w:val="24"/>
          <w:szCs w:val="24"/>
        </w:rPr>
        <w:t xml:space="preserve"> project </w:t>
      </w:r>
      <w:r w:rsidR="002E378B" w:rsidRPr="00CD645B">
        <w:rPr>
          <w:rFonts w:ascii="Times New Roman" w:hAnsi="Times New Roman" w:cs="Times New Roman"/>
          <w:sz w:val="24"/>
          <w:szCs w:val="24"/>
        </w:rPr>
        <w:t>to</w:t>
      </w:r>
      <w:r w:rsidRPr="00CD645B">
        <w:rPr>
          <w:rFonts w:ascii="Times New Roman" w:hAnsi="Times New Roman" w:cs="Times New Roman"/>
          <w:sz w:val="24"/>
          <w:szCs w:val="24"/>
        </w:rPr>
        <w:t xml:space="preserve"> </w:t>
      </w:r>
      <w:r w:rsidR="00781E47">
        <w:rPr>
          <w:rFonts w:ascii="Times New Roman" w:hAnsi="Times New Roman" w:cs="Times New Roman"/>
          <w:sz w:val="24"/>
          <w:szCs w:val="24"/>
        </w:rPr>
        <w:t>c</w:t>
      </w:r>
      <w:r w:rsidR="00781E47" w:rsidRPr="000C6654">
        <w:rPr>
          <w:rFonts w:ascii="Times New Roman" w:hAnsi="Times New Roman" w:cs="Times New Roman"/>
          <w:sz w:val="24"/>
          <w:szCs w:val="24"/>
        </w:rPr>
        <w:t xml:space="preserve">onduct formative research to understand challenges that rural healthcare providers face when diagnosing, treating, and </w:t>
      </w:r>
      <w:r w:rsidR="00781E47">
        <w:rPr>
          <w:rFonts w:ascii="Times New Roman" w:hAnsi="Times New Roman" w:cs="Times New Roman"/>
          <w:sz w:val="24"/>
          <w:szCs w:val="24"/>
        </w:rPr>
        <w:t>managing TBI</w:t>
      </w:r>
      <w:r w:rsidR="00D32AB7">
        <w:rPr>
          <w:rFonts w:ascii="Times New Roman" w:hAnsi="Times New Roman" w:cs="Times New Roman"/>
          <w:sz w:val="24"/>
          <w:szCs w:val="24"/>
        </w:rPr>
        <w:t>. This will allow us</w:t>
      </w:r>
      <w:r w:rsidR="00781E47" w:rsidRPr="000C6654">
        <w:rPr>
          <w:rFonts w:ascii="Times New Roman" w:hAnsi="Times New Roman" w:cs="Times New Roman"/>
          <w:sz w:val="24"/>
          <w:szCs w:val="24"/>
        </w:rPr>
        <w:t xml:space="preserve"> to modify our materials</w:t>
      </w:r>
      <w:r w:rsidR="00781E47">
        <w:rPr>
          <w:rFonts w:ascii="Times New Roman" w:hAnsi="Times New Roman" w:cs="Times New Roman"/>
          <w:sz w:val="24"/>
          <w:szCs w:val="24"/>
        </w:rPr>
        <w:t xml:space="preserve"> for the rural setting</w:t>
      </w:r>
      <w:r w:rsidR="00781E47" w:rsidRPr="000C6654">
        <w:rPr>
          <w:rFonts w:ascii="Times New Roman" w:hAnsi="Times New Roman" w:cs="Times New Roman"/>
          <w:sz w:val="24"/>
          <w:szCs w:val="24"/>
        </w:rPr>
        <w:t xml:space="preserve"> </w:t>
      </w:r>
      <w:r w:rsidR="00781E47">
        <w:rPr>
          <w:rFonts w:ascii="Times New Roman" w:hAnsi="Times New Roman" w:cs="Times New Roman"/>
          <w:sz w:val="24"/>
          <w:szCs w:val="24"/>
        </w:rPr>
        <w:t>and i</w:t>
      </w:r>
      <w:r w:rsidR="00781E47" w:rsidRPr="000C6654">
        <w:rPr>
          <w:rFonts w:ascii="Times New Roman" w:hAnsi="Times New Roman" w:cs="Times New Roman"/>
          <w:sz w:val="24"/>
          <w:szCs w:val="24"/>
        </w:rPr>
        <w:t>dentify areas for future research that will allow us to better understand these challenges and potential ways to address them</w:t>
      </w:r>
      <w:r w:rsidR="00D800A8" w:rsidRPr="00CD645B">
        <w:rPr>
          <w:rFonts w:ascii="Times New Roman" w:hAnsi="Times New Roman" w:cs="Times New Roman"/>
          <w:sz w:val="24"/>
          <w:szCs w:val="24"/>
        </w:rPr>
        <w:t xml:space="preserve">. </w:t>
      </w:r>
      <w:r w:rsidR="00653320" w:rsidRPr="00CD645B">
        <w:rPr>
          <w:rFonts w:ascii="Times New Roman" w:hAnsi="Times New Roman" w:cs="Times New Roman"/>
          <w:sz w:val="24"/>
          <w:szCs w:val="24"/>
        </w:rPr>
        <w:t xml:space="preserve">CDC is seeking approval from OMB to conduct </w:t>
      </w:r>
      <w:r w:rsidR="00E00910">
        <w:rPr>
          <w:rFonts w:ascii="Times New Roman" w:hAnsi="Times New Roman" w:cs="Times New Roman"/>
          <w:sz w:val="24"/>
          <w:szCs w:val="24"/>
        </w:rPr>
        <w:t>f</w:t>
      </w:r>
      <w:r w:rsidR="006A034D" w:rsidRPr="00E00910">
        <w:rPr>
          <w:rFonts w:ascii="Times New Roman" w:hAnsi="Times New Roman" w:cs="Times New Roman"/>
          <w:sz w:val="24"/>
          <w:szCs w:val="24"/>
        </w:rPr>
        <w:t>ocus groups</w:t>
      </w:r>
      <w:r w:rsidR="00653320" w:rsidRPr="00CD645B">
        <w:rPr>
          <w:rFonts w:ascii="Times New Roman" w:hAnsi="Times New Roman" w:cs="Times New Roman"/>
          <w:b/>
          <w:sz w:val="24"/>
          <w:szCs w:val="24"/>
        </w:rPr>
        <w:t xml:space="preserve"> </w:t>
      </w:r>
      <w:r w:rsidR="00653320" w:rsidRPr="00CD645B">
        <w:rPr>
          <w:rFonts w:ascii="Times New Roman" w:hAnsi="Times New Roman" w:cs="Times New Roman"/>
          <w:sz w:val="24"/>
          <w:szCs w:val="24"/>
        </w:rPr>
        <w:t xml:space="preserve">with </w:t>
      </w:r>
      <w:r w:rsidR="006A034D" w:rsidRPr="00CD645B">
        <w:rPr>
          <w:rFonts w:ascii="Times New Roman" w:hAnsi="Times New Roman" w:cs="Times New Roman"/>
          <w:sz w:val="24"/>
          <w:szCs w:val="24"/>
        </w:rPr>
        <w:t xml:space="preserve">clinicians practicing in rural settings to gather </w:t>
      </w:r>
      <w:r w:rsidR="002361F7" w:rsidRPr="00CD645B">
        <w:rPr>
          <w:rFonts w:ascii="Times New Roman" w:hAnsi="Times New Roman" w:cs="Times New Roman"/>
          <w:sz w:val="24"/>
          <w:szCs w:val="24"/>
        </w:rPr>
        <w:t xml:space="preserve">more </w:t>
      </w:r>
      <w:r w:rsidR="006A034D" w:rsidRPr="00CD645B">
        <w:rPr>
          <w:rFonts w:ascii="Times New Roman" w:hAnsi="Times New Roman" w:cs="Times New Roman"/>
          <w:sz w:val="24"/>
          <w:szCs w:val="24"/>
        </w:rPr>
        <w:t xml:space="preserve">detailed information on their experiences with the diagnosis, treatment, and management of </w:t>
      </w:r>
      <w:r w:rsidR="00BF0C51">
        <w:rPr>
          <w:rFonts w:ascii="Times New Roman" w:hAnsi="Times New Roman" w:cs="Times New Roman"/>
          <w:sz w:val="24"/>
          <w:szCs w:val="24"/>
        </w:rPr>
        <w:t xml:space="preserve">mild </w:t>
      </w:r>
      <w:r w:rsidR="006A034D" w:rsidRPr="00CD645B">
        <w:rPr>
          <w:rFonts w:ascii="Times New Roman" w:hAnsi="Times New Roman" w:cs="Times New Roman"/>
          <w:sz w:val="24"/>
          <w:szCs w:val="24"/>
        </w:rPr>
        <w:t>TBI, as well as identify opportunities to address gaps in services. The focus groups will gather respondents’ perspectives in a group setting</w:t>
      </w:r>
      <w:r w:rsidR="00653320" w:rsidRPr="00CD645B">
        <w:rPr>
          <w:rFonts w:ascii="Times New Roman" w:hAnsi="Times New Roman" w:cs="Times New Roman"/>
          <w:sz w:val="24"/>
          <w:szCs w:val="24"/>
        </w:rPr>
        <w:t xml:space="preserve">. </w:t>
      </w:r>
    </w:p>
    <w:p w14:paraId="4167C6FC" w14:textId="5FB170A4" w:rsidR="002D23D8" w:rsidRPr="00CD645B" w:rsidRDefault="002D23D8"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target population for the data collection effort includes physicians</w:t>
      </w:r>
      <w:r w:rsidR="00902079" w:rsidRPr="00CD645B">
        <w:rPr>
          <w:rFonts w:ascii="Times New Roman" w:hAnsi="Times New Roman" w:cs="Times New Roman"/>
          <w:sz w:val="24"/>
          <w:szCs w:val="24"/>
        </w:rPr>
        <w:t>,</w:t>
      </w:r>
      <w:r w:rsidRPr="00CD645B">
        <w:rPr>
          <w:rFonts w:ascii="Times New Roman" w:hAnsi="Times New Roman" w:cs="Times New Roman"/>
          <w:sz w:val="24"/>
          <w:szCs w:val="24"/>
        </w:rPr>
        <w:t xml:space="preserve"> nurse practitioners (NPs), and physician assistants (PAs) in selected specialties (general or family practice, emergency medicine, pediatrics) working in direct patient care in rural areas</w:t>
      </w:r>
      <w:r w:rsidR="00A84AAB">
        <w:rPr>
          <w:rFonts w:ascii="Times New Roman" w:hAnsi="Times New Roman" w:cs="Times New Roman"/>
          <w:sz w:val="24"/>
          <w:szCs w:val="24"/>
        </w:rPr>
        <w:t xml:space="preserve">. </w:t>
      </w:r>
      <w:r w:rsidR="001155F5" w:rsidRPr="00CD645B">
        <w:rPr>
          <w:rFonts w:ascii="Times New Roman" w:hAnsi="Times New Roman" w:cs="Times New Roman"/>
          <w:sz w:val="24"/>
          <w:szCs w:val="24"/>
        </w:rPr>
        <w:t>A sample of physicians, NPs, and PAs practicing in rural settings will be invited to participate in a focus group about their experiences (</w:t>
      </w:r>
      <w:r w:rsidR="001155F5" w:rsidRPr="00CD645B">
        <w:rPr>
          <w:rFonts w:ascii="Times New Roman" w:hAnsi="Times New Roman" w:cs="Times New Roman"/>
          <w:b/>
          <w:sz w:val="24"/>
          <w:szCs w:val="24"/>
        </w:rPr>
        <w:t xml:space="preserve">Attachment </w:t>
      </w:r>
      <w:r w:rsidR="00DC5CE6" w:rsidRPr="00CD645B">
        <w:rPr>
          <w:rFonts w:ascii="Times New Roman" w:hAnsi="Times New Roman" w:cs="Times New Roman"/>
          <w:b/>
          <w:sz w:val="24"/>
          <w:szCs w:val="24"/>
        </w:rPr>
        <w:t>8</w:t>
      </w:r>
      <w:r w:rsidR="001155F5" w:rsidRPr="00CD645B">
        <w:rPr>
          <w:rFonts w:ascii="Times New Roman" w:hAnsi="Times New Roman" w:cs="Times New Roman"/>
          <w:sz w:val="24"/>
          <w:szCs w:val="24"/>
        </w:rPr>
        <w:t xml:space="preserve">). </w:t>
      </w:r>
      <w:r w:rsidR="00640159" w:rsidRPr="00CD645B">
        <w:rPr>
          <w:rFonts w:ascii="Times New Roman" w:hAnsi="Times New Roman" w:cs="Times New Roman"/>
          <w:sz w:val="24"/>
          <w:szCs w:val="24"/>
        </w:rPr>
        <w:t>The</w:t>
      </w:r>
      <w:r w:rsidR="000C67BF" w:rsidRPr="00CD645B">
        <w:rPr>
          <w:rFonts w:ascii="Times New Roman" w:hAnsi="Times New Roman" w:cs="Times New Roman"/>
          <w:sz w:val="24"/>
          <w:szCs w:val="24"/>
        </w:rPr>
        <w:t xml:space="preserve"> </w:t>
      </w:r>
      <w:r w:rsidR="00BB7BE2" w:rsidRPr="00CD645B">
        <w:rPr>
          <w:rFonts w:ascii="Times New Roman" w:hAnsi="Times New Roman" w:cs="Times New Roman"/>
          <w:sz w:val="24"/>
          <w:szCs w:val="24"/>
        </w:rPr>
        <w:t xml:space="preserve">results of this </w:t>
      </w:r>
      <w:r w:rsidR="000C67BF" w:rsidRPr="00CD645B">
        <w:rPr>
          <w:rFonts w:ascii="Times New Roman" w:hAnsi="Times New Roman" w:cs="Times New Roman"/>
          <w:sz w:val="24"/>
          <w:szCs w:val="24"/>
        </w:rPr>
        <w:t xml:space="preserve">study will </w:t>
      </w:r>
      <w:r w:rsidR="00D32AB7">
        <w:rPr>
          <w:rFonts w:ascii="Times New Roman" w:hAnsi="Times New Roman" w:cs="Times New Roman"/>
          <w:sz w:val="24"/>
          <w:szCs w:val="24"/>
        </w:rPr>
        <w:t>inform CDC</w:t>
      </w:r>
      <w:r w:rsidR="001155F5" w:rsidRPr="00CD645B">
        <w:rPr>
          <w:rFonts w:ascii="Times New Roman" w:hAnsi="Times New Roman" w:cs="Times New Roman"/>
          <w:sz w:val="24"/>
          <w:szCs w:val="24"/>
        </w:rPr>
        <w:t xml:space="preserve"> Injury Center</w:t>
      </w:r>
      <w:r w:rsidR="002361F7" w:rsidRPr="00CD645B">
        <w:rPr>
          <w:rFonts w:ascii="Times New Roman" w:hAnsi="Times New Roman" w:cs="Times New Roman"/>
          <w:sz w:val="24"/>
          <w:szCs w:val="24"/>
        </w:rPr>
        <w:t>’s efforts to</w:t>
      </w:r>
      <w:r w:rsidR="001155F5" w:rsidRPr="00CD645B">
        <w:rPr>
          <w:rFonts w:ascii="Times New Roman" w:hAnsi="Times New Roman" w:cs="Times New Roman"/>
          <w:sz w:val="24"/>
          <w:szCs w:val="24"/>
        </w:rPr>
        <w:t xml:space="preserve"> </w:t>
      </w:r>
      <w:r w:rsidR="00622C43" w:rsidRPr="00CD645B">
        <w:rPr>
          <w:rFonts w:ascii="Times New Roman" w:hAnsi="Times New Roman" w:cs="Times New Roman"/>
          <w:sz w:val="24"/>
          <w:szCs w:val="24"/>
        </w:rPr>
        <w:t xml:space="preserve">improve the implementation of existing clinical guidelines and other resources for healthcare providers, as well as </w:t>
      </w:r>
      <w:r w:rsidR="001155F5" w:rsidRPr="00CD645B">
        <w:rPr>
          <w:rFonts w:ascii="Times New Roman" w:hAnsi="Times New Roman" w:cs="Times New Roman"/>
          <w:sz w:val="24"/>
          <w:szCs w:val="24"/>
        </w:rPr>
        <w:t>develop</w:t>
      </w:r>
      <w:r w:rsidR="00622C43" w:rsidRPr="00CD645B">
        <w:rPr>
          <w:rFonts w:ascii="Times New Roman" w:hAnsi="Times New Roman" w:cs="Times New Roman"/>
          <w:sz w:val="24"/>
          <w:szCs w:val="24"/>
        </w:rPr>
        <w:t xml:space="preserve"> </w:t>
      </w:r>
      <w:r w:rsidR="001155F5" w:rsidRPr="00CD645B">
        <w:rPr>
          <w:rFonts w:ascii="Times New Roman" w:hAnsi="Times New Roman" w:cs="Times New Roman"/>
          <w:sz w:val="24"/>
          <w:szCs w:val="24"/>
        </w:rPr>
        <w:t xml:space="preserve">educational offerings and programs for rural clinicians. </w:t>
      </w:r>
    </w:p>
    <w:p w14:paraId="45497EF3" w14:textId="77777777" w:rsidR="00281286" w:rsidRPr="00CD645B" w:rsidRDefault="00281286" w:rsidP="00281286">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proposed information collection is authorized by the Public Health Services Act (PHS Act) which provides the legislative means for states to advance public health across the lifespan and to reduce health disparities. Section 301 (a) of the PHS Act, 42 U.S.C. 241 (a), authorizes grants to aid “other appropriate public authorities, scientific institutions, and scientists in the conduct of, and promote the coordination of, research, investigations, experiments, demonstrations, and studies relating to the cause, diagnosis, treatment, control and prevention of physical and mental diseases and impairments of man” (</w:t>
      </w:r>
      <w:r w:rsidRPr="00CD645B">
        <w:rPr>
          <w:rFonts w:ascii="Times New Roman" w:hAnsi="Times New Roman" w:cs="Times New Roman"/>
          <w:b/>
          <w:sz w:val="24"/>
          <w:szCs w:val="24"/>
        </w:rPr>
        <w:t>Attachment 1</w:t>
      </w:r>
      <w:r w:rsidRPr="00CD645B">
        <w:rPr>
          <w:rFonts w:ascii="Times New Roman" w:hAnsi="Times New Roman" w:cs="Times New Roman"/>
          <w:sz w:val="24"/>
          <w:szCs w:val="24"/>
        </w:rPr>
        <w:t>).</w:t>
      </w:r>
    </w:p>
    <w:p w14:paraId="2F97FC1B" w14:textId="77777777" w:rsidR="00AD5A3B" w:rsidRPr="00CD645B" w:rsidRDefault="00AD5A3B" w:rsidP="00156BCB">
      <w:pPr>
        <w:pStyle w:val="Heading2"/>
        <w:spacing w:line="360" w:lineRule="auto"/>
        <w:rPr>
          <w:rFonts w:ascii="Times New Roman" w:hAnsi="Times New Roman"/>
        </w:rPr>
      </w:pPr>
      <w:bookmarkStart w:id="8" w:name="_Toc501703421"/>
    </w:p>
    <w:p w14:paraId="74AF6AC0" w14:textId="77777777" w:rsidR="009D070B" w:rsidRPr="00CD645B" w:rsidRDefault="00156BCB" w:rsidP="00156BCB">
      <w:pPr>
        <w:pStyle w:val="Heading2"/>
        <w:spacing w:line="360" w:lineRule="auto"/>
        <w:rPr>
          <w:rFonts w:ascii="Times New Roman" w:hAnsi="Times New Roman"/>
        </w:rPr>
      </w:pPr>
      <w:r w:rsidRPr="00CD645B">
        <w:rPr>
          <w:rFonts w:ascii="Times New Roman" w:hAnsi="Times New Roman"/>
        </w:rPr>
        <w:t xml:space="preserve">A.2. </w:t>
      </w:r>
      <w:r w:rsidR="009D070B" w:rsidRPr="00CD645B">
        <w:rPr>
          <w:rFonts w:ascii="Times New Roman" w:hAnsi="Times New Roman"/>
        </w:rPr>
        <w:t>Purpose and Use of Information Collection</w:t>
      </w:r>
      <w:bookmarkEnd w:id="8"/>
    </w:p>
    <w:p w14:paraId="64C9F5EE" w14:textId="4C7B93CC" w:rsidR="00062A4E" w:rsidRDefault="000B67B5" w:rsidP="00062A4E">
      <w:pPr>
        <w:spacing w:after="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purpose</w:t>
      </w:r>
      <w:r w:rsidR="003366A0" w:rsidRPr="00CD645B">
        <w:rPr>
          <w:rFonts w:ascii="Times New Roman" w:hAnsi="Times New Roman" w:cs="Times New Roman"/>
          <w:sz w:val="24"/>
          <w:szCs w:val="24"/>
        </w:rPr>
        <w:t>s</w:t>
      </w:r>
      <w:r w:rsidRPr="00CD645B">
        <w:rPr>
          <w:rFonts w:ascii="Times New Roman" w:hAnsi="Times New Roman" w:cs="Times New Roman"/>
          <w:sz w:val="24"/>
          <w:szCs w:val="24"/>
        </w:rPr>
        <w:t xml:space="preserve"> of this study </w:t>
      </w:r>
      <w:r w:rsidR="003366A0" w:rsidRPr="00CD645B">
        <w:rPr>
          <w:rFonts w:ascii="Times New Roman" w:hAnsi="Times New Roman" w:cs="Times New Roman"/>
          <w:sz w:val="24"/>
          <w:szCs w:val="24"/>
        </w:rPr>
        <w:t xml:space="preserve">are </w:t>
      </w:r>
      <w:r w:rsidRPr="00CD645B">
        <w:rPr>
          <w:rFonts w:ascii="Times New Roman" w:hAnsi="Times New Roman" w:cs="Times New Roman"/>
          <w:sz w:val="24"/>
          <w:szCs w:val="24"/>
        </w:rPr>
        <w:t xml:space="preserve">to </w:t>
      </w:r>
      <w:r w:rsidR="003366A0" w:rsidRPr="00CD645B">
        <w:rPr>
          <w:rFonts w:ascii="Times New Roman" w:hAnsi="Times New Roman" w:cs="Times New Roman"/>
          <w:sz w:val="24"/>
          <w:szCs w:val="24"/>
        </w:rPr>
        <w:t>(</w:t>
      </w:r>
      <w:r w:rsidR="00F37609" w:rsidRPr="00CD645B">
        <w:rPr>
          <w:rFonts w:ascii="Times New Roman" w:hAnsi="Times New Roman" w:cs="Times New Roman"/>
          <w:sz w:val="24"/>
          <w:szCs w:val="24"/>
        </w:rPr>
        <w:t>1</w:t>
      </w:r>
      <w:r w:rsidR="003366A0" w:rsidRPr="00CD645B">
        <w:rPr>
          <w:rFonts w:ascii="Times New Roman" w:hAnsi="Times New Roman" w:cs="Times New Roman"/>
          <w:sz w:val="24"/>
          <w:szCs w:val="24"/>
        </w:rPr>
        <w:t xml:space="preserve">) </w:t>
      </w:r>
      <w:r w:rsidR="00665200" w:rsidRPr="000C6654">
        <w:rPr>
          <w:rFonts w:ascii="Times New Roman" w:hAnsi="Times New Roman" w:cs="Times New Roman"/>
          <w:sz w:val="24"/>
          <w:szCs w:val="24"/>
        </w:rPr>
        <w:t xml:space="preserve">Conduct formative research to understand challenges that rural healthcare providers face when diagnosing, treating, and managing </w:t>
      </w:r>
      <w:r w:rsidR="00451878">
        <w:rPr>
          <w:rFonts w:ascii="Times New Roman" w:hAnsi="Times New Roman" w:cs="Times New Roman"/>
          <w:sz w:val="24"/>
          <w:szCs w:val="24"/>
        </w:rPr>
        <w:t xml:space="preserve">mild </w:t>
      </w:r>
      <w:r w:rsidR="00445EF8">
        <w:rPr>
          <w:rFonts w:ascii="Times New Roman" w:hAnsi="Times New Roman" w:cs="Times New Roman"/>
          <w:sz w:val="24"/>
          <w:szCs w:val="24"/>
        </w:rPr>
        <w:t>TBI</w:t>
      </w:r>
      <w:r w:rsidR="00665200" w:rsidRPr="000C6654">
        <w:rPr>
          <w:rFonts w:ascii="Times New Roman" w:hAnsi="Times New Roman" w:cs="Times New Roman"/>
          <w:sz w:val="24"/>
          <w:szCs w:val="24"/>
        </w:rPr>
        <w:t xml:space="preserve"> so that we are able to modify our materials (trainings, dissemination materials, messages, recommendations) for the rural setting</w:t>
      </w:r>
      <w:r w:rsidRPr="00CD645B">
        <w:rPr>
          <w:rFonts w:ascii="Times New Roman" w:hAnsi="Times New Roman" w:cs="Times New Roman"/>
          <w:sz w:val="24"/>
          <w:szCs w:val="24"/>
        </w:rPr>
        <w:t xml:space="preserve"> and</w:t>
      </w:r>
      <w:r w:rsidR="00C56F01" w:rsidRPr="00CD645B">
        <w:rPr>
          <w:rFonts w:ascii="Times New Roman" w:hAnsi="Times New Roman" w:cs="Times New Roman"/>
          <w:sz w:val="24"/>
          <w:szCs w:val="24"/>
        </w:rPr>
        <w:t xml:space="preserve"> </w:t>
      </w:r>
      <w:r w:rsidR="003366A0" w:rsidRPr="00CD645B">
        <w:rPr>
          <w:rFonts w:ascii="Times New Roman" w:hAnsi="Times New Roman" w:cs="Times New Roman"/>
          <w:sz w:val="24"/>
          <w:szCs w:val="24"/>
        </w:rPr>
        <w:t>(</w:t>
      </w:r>
      <w:r w:rsidR="00F37609" w:rsidRPr="00CD645B">
        <w:rPr>
          <w:rFonts w:ascii="Times New Roman" w:hAnsi="Times New Roman" w:cs="Times New Roman"/>
          <w:sz w:val="24"/>
          <w:szCs w:val="24"/>
        </w:rPr>
        <w:t>2</w:t>
      </w:r>
      <w:r w:rsidR="003366A0" w:rsidRPr="00CD645B">
        <w:rPr>
          <w:rFonts w:ascii="Times New Roman" w:hAnsi="Times New Roman" w:cs="Times New Roman"/>
          <w:sz w:val="24"/>
          <w:szCs w:val="24"/>
        </w:rPr>
        <w:t xml:space="preserve">) </w:t>
      </w:r>
      <w:r w:rsidR="00CE4569">
        <w:rPr>
          <w:rFonts w:ascii="Times New Roman" w:hAnsi="Times New Roman" w:cs="Times New Roman"/>
          <w:sz w:val="24"/>
          <w:szCs w:val="24"/>
        </w:rPr>
        <w:t xml:space="preserve">Identify </w:t>
      </w:r>
      <w:r w:rsidR="00665200" w:rsidRPr="000C6654">
        <w:rPr>
          <w:rFonts w:ascii="Times New Roman" w:hAnsi="Times New Roman" w:cs="Times New Roman"/>
          <w:sz w:val="24"/>
          <w:szCs w:val="24"/>
        </w:rPr>
        <w:t>areas for future research that will allow us to better understand these challenges and potential ways to address them</w:t>
      </w:r>
      <w:r w:rsidRPr="00CD645B">
        <w:rPr>
          <w:rFonts w:ascii="Times New Roman" w:hAnsi="Times New Roman" w:cs="Times New Roman"/>
          <w:sz w:val="24"/>
          <w:szCs w:val="24"/>
        </w:rPr>
        <w:t xml:space="preserve">. </w:t>
      </w:r>
      <w:r w:rsidR="00D90D74" w:rsidRPr="00CD645B">
        <w:rPr>
          <w:rFonts w:ascii="Times New Roman" w:hAnsi="Times New Roman" w:cs="Times New Roman"/>
          <w:sz w:val="24"/>
          <w:szCs w:val="24"/>
        </w:rPr>
        <w:t>The results of this information collection will inform CDC’s immediate and future outreach and education for rural healthcare providers</w:t>
      </w:r>
      <w:r w:rsidR="00F477B7" w:rsidRPr="00CD645B">
        <w:rPr>
          <w:rFonts w:ascii="Times New Roman" w:hAnsi="Times New Roman" w:cs="Times New Roman"/>
          <w:sz w:val="24"/>
          <w:szCs w:val="24"/>
        </w:rPr>
        <w:t>, including</w:t>
      </w:r>
      <w:r w:rsidR="00062A4E">
        <w:rPr>
          <w:rFonts w:ascii="Times New Roman" w:hAnsi="Times New Roman" w:cs="Times New Roman"/>
          <w:sz w:val="24"/>
          <w:szCs w:val="24"/>
        </w:rPr>
        <w:t>:</w:t>
      </w:r>
      <w:r w:rsidR="00F477B7" w:rsidRPr="00CD645B">
        <w:rPr>
          <w:rFonts w:ascii="Times New Roman" w:hAnsi="Times New Roman" w:cs="Times New Roman"/>
          <w:sz w:val="24"/>
          <w:szCs w:val="24"/>
        </w:rPr>
        <w:t xml:space="preserve"> </w:t>
      </w:r>
    </w:p>
    <w:p w14:paraId="60B8324B" w14:textId="60304662" w:rsidR="00062A4E" w:rsidRPr="00062A4E" w:rsidRDefault="00A01B3C" w:rsidP="00062A4E">
      <w:pPr>
        <w:pStyle w:val="ListParagraph"/>
        <w:numPr>
          <w:ilvl w:val="0"/>
          <w:numId w:val="17"/>
        </w:numPr>
        <w:spacing w:after="0" w:line="240" w:lineRule="auto"/>
      </w:pPr>
      <w:r w:rsidRPr="00062A4E">
        <w:rPr>
          <w:rFonts w:ascii="Times New Roman" w:hAnsi="Times New Roman" w:cs="Times New Roman"/>
          <w:sz w:val="24"/>
          <w:szCs w:val="24"/>
        </w:rPr>
        <w:t>CDC’s</w:t>
      </w:r>
      <w:r w:rsidR="00F477B7" w:rsidRPr="00062A4E">
        <w:rPr>
          <w:rFonts w:ascii="Times New Roman" w:hAnsi="Times New Roman" w:cs="Times New Roman"/>
          <w:sz w:val="24"/>
          <w:szCs w:val="24"/>
        </w:rPr>
        <w:t xml:space="preserve"> </w:t>
      </w:r>
      <w:r w:rsidR="001F18A8" w:rsidRPr="00062A4E">
        <w:rPr>
          <w:rFonts w:ascii="Times New Roman" w:hAnsi="Times New Roman" w:cs="Times New Roman"/>
          <w:sz w:val="24"/>
          <w:szCs w:val="24"/>
        </w:rPr>
        <w:t>“</w:t>
      </w:r>
      <w:r w:rsidR="00F477B7" w:rsidRPr="00062A4E">
        <w:rPr>
          <w:rFonts w:ascii="Times New Roman" w:hAnsi="Times New Roman" w:cs="Times New Roman"/>
          <w:sz w:val="24"/>
          <w:szCs w:val="24"/>
        </w:rPr>
        <w:t xml:space="preserve">HEADS UP </w:t>
      </w:r>
      <w:r w:rsidR="00F11F09" w:rsidRPr="00062A4E">
        <w:rPr>
          <w:rFonts w:ascii="Times New Roman" w:hAnsi="Times New Roman" w:cs="Times New Roman"/>
          <w:sz w:val="24"/>
          <w:szCs w:val="24"/>
        </w:rPr>
        <w:t>for</w:t>
      </w:r>
      <w:r w:rsidR="00F477B7" w:rsidRPr="00062A4E">
        <w:rPr>
          <w:rFonts w:ascii="Times New Roman" w:hAnsi="Times New Roman" w:cs="Times New Roman"/>
          <w:sz w:val="24"/>
          <w:szCs w:val="24"/>
        </w:rPr>
        <w:t xml:space="preserve"> </w:t>
      </w:r>
      <w:r w:rsidR="001F18A8" w:rsidRPr="00062A4E">
        <w:rPr>
          <w:rFonts w:ascii="Times New Roman" w:hAnsi="Times New Roman" w:cs="Times New Roman"/>
          <w:sz w:val="24"/>
          <w:szCs w:val="24"/>
        </w:rPr>
        <w:t xml:space="preserve">Healthcare Providers” </w:t>
      </w:r>
      <w:r w:rsidR="00F477B7" w:rsidRPr="00062A4E">
        <w:rPr>
          <w:rFonts w:ascii="Times New Roman" w:hAnsi="Times New Roman" w:cs="Times New Roman"/>
          <w:sz w:val="24"/>
          <w:szCs w:val="24"/>
        </w:rPr>
        <w:t xml:space="preserve">educational program </w:t>
      </w:r>
      <w:r w:rsidR="00062A4E">
        <w:rPr>
          <w:rFonts w:ascii="Times New Roman" w:hAnsi="Times New Roman" w:cs="Times New Roman"/>
          <w:sz w:val="24"/>
          <w:szCs w:val="24"/>
        </w:rPr>
        <w:t xml:space="preserve"> (</w:t>
      </w:r>
      <w:hyperlink r:id="rId9" w:history="1">
        <w:r w:rsidR="00062A4E" w:rsidRPr="008B3C8B">
          <w:rPr>
            <w:rStyle w:val="Hyperlink"/>
            <w:rFonts w:ascii="Times New Roman" w:hAnsi="Times New Roman" w:cs="Times New Roman"/>
            <w:sz w:val="24"/>
            <w:szCs w:val="24"/>
          </w:rPr>
          <w:t>https://www.cdc.gov/headsup/providers/index.html</w:t>
        </w:r>
      </w:hyperlink>
      <w:r w:rsidR="00062A4E">
        <w:rPr>
          <w:rFonts w:ascii="Times New Roman" w:hAnsi="Times New Roman" w:cs="Times New Roman"/>
          <w:sz w:val="24"/>
          <w:szCs w:val="24"/>
        </w:rPr>
        <w:t>)</w:t>
      </w:r>
    </w:p>
    <w:p w14:paraId="4E60274C" w14:textId="4F96CFC0" w:rsidR="00062A4E" w:rsidRPr="00062A4E" w:rsidRDefault="00062A4E" w:rsidP="00062A4E">
      <w:pPr>
        <w:pStyle w:val="ListParagraph"/>
        <w:numPr>
          <w:ilvl w:val="1"/>
          <w:numId w:val="17"/>
        </w:numPr>
        <w:spacing w:after="0" w:line="240" w:lineRule="auto"/>
        <w:rPr>
          <w:rFonts w:ascii="Times New Roman" w:hAnsi="Times New Roman" w:cs="Times New Roman"/>
          <w:sz w:val="24"/>
          <w:szCs w:val="24"/>
        </w:rPr>
      </w:pPr>
      <w:r w:rsidRPr="00062A4E">
        <w:rPr>
          <w:rFonts w:ascii="Times New Roman" w:hAnsi="Times New Roman" w:cs="Times New Roman"/>
          <w:sz w:val="24"/>
          <w:szCs w:val="24"/>
        </w:rPr>
        <w:t>Online concussion training for healthcare providers</w:t>
      </w:r>
    </w:p>
    <w:p w14:paraId="67ACDC2E" w14:textId="518D7F6B" w:rsidR="00062A4E" w:rsidRPr="00062A4E" w:rsidRDefault="00062A4E" w:rsidP="00062A4E">
      <w:pPr>
        <w:pStyle w:val="ListParagraph"/>
        <w:numPr>
          <w:ilvl w:val="1"/>
          <w:numId w:val="17"/>
        </w:numPr>
        <w:spacing w:after="0" w:line="240" w:lineRule="auto"/>
        <w:rPr>
          <w:rFonts w:ascii="Times New Roman" w:hAnsi="Times New Roman" w:cs="Times New Roman"/>
          <w:sz w:val="24"/>
          <w:szCs w:val="24"/>
        </w:rPr>
      </w:pPr>
      <w:r w:rsidRPr="00062A4E">
        <w:rPr>
          <w:rFonts w:ascii="Times New Roman" w:hAnsi="Times New Roman" w:cs="Times New Roman"/>
          <w:sz w:val="24"/>
          <w:szCs w:val="24"/>
        </w:rPr>
        <w:t>Tools for providers</w:t>
      </w:r>
      <w:r>
        <w:rPr>
          <w:rFonts w:ascii="Times New Roman" w:hAnsi="Times New Roman" w:cs="Times New Roman"/>
          <w:sz w:val="24"/>
          <w:szCs w:val="24"/>
        </w:rPr>
        <w:t xml:space="preserve"> (e.g. acute concussion evaluation care plans)</w:t>
      </w:r>
    </w:p>
    <w:p w14:paraId="74ECDC37" w14:textId="3D7AB59B" w:rsidR="00062A4E" w:rsidRDefault="00062A4E" w:rsidP="00062A4E">
      <w:pPr>
        <w:pStyle w:val="ListParagraph"/>
        <w:numPr>
          <w:ilvl w:val="1"/>
          <w:numId w:val="17"/>
        </w:numPr>
        <w:spacing w:after="0" w:line="240" w:lineRule="auto"/>
        <w:rPr>
          <w:rFonts w:ascii="Times New Roman" w:hAnsi="Times New Roman" w:cs="Times New Roman"/>
          <w:sz w:val="24"/>
          <w:szCs w:val="24"/>
        </w:rPr>
      </w:pPr>
      <w:r w:rsidRPr="00062A4E">
        <w:rPr>
          <w:rFonts w:ascii="Times New Roman" w:hAnsi="Times New Roman" w:cs="Times New Roman"/>
          <w:sz w:val="24"/>
          <w:szCs w:val="24"/>
        </w:rPr>
        <w:t>Discharge instructions</w:t>
      </w:r>
    </w:p>
    <w:p w14:paraId="2795CB7C" w14:textId="42513197" w:rsidR="00062A4E" w:rsidRPr="00062A4E" w:rsidRDefault="00062A4E" w:rsidP="00062A4E">
      <w:pPr>
        <w:pStyle w:val="ListParagraph"/>
        <w:numPr>
          <w:ilvl w:val="1"/>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Materials for patients (e.g. facts about concussion and brain injury)</w:t>
      </w:r>
    </w:p>
    <w:p w14:paraId="36266723" w14:textId="7226EE57" w:rsidR="00062A4E" w:rsidRPr="00062A4E" w:rsidRDefault="00062A4E" w:rsidP="00062A4E">
      <w:pPr>
        <w:pStyle w:val="ListParagraph"/>
        <w:numPr>
          <w:ilvl w:val="1"/>
          <w:numId w:val="17"/>
        </w:numPr>
        <w:spacing w:after="0" w:line="240" w:lineRule="auto"/>
        <w:rPr>
          <w:rFonts w:ascii="Times New Roman" w:hAnsi="Times New Roman" w:cs="Times New Roman"/>
          <w:sz w:val="24"/>
          <w:szCs w:val="24"/>
        </w:rPr>
      </w:pPr>
      <w:r w:rsidRPr="00062A4E">
        <w:rPr>
          <w:rFonts w:ascii="Times New Roman" w:hAnsi="Times New Roman" w:cs="Times New Roman"/>
          <w:sz w:val="24"/>
          <w:szCs w:val="24"/>
        </w:rPr>
        <w:t>Return to play management</w:t>
      </w:r>
      <w:r>
        <w:rPr>
          <w:rFonts w:ascii="Times New Roman" w:hAnsi="Times New Roman" w:cs="Times New Roman"/>
          <w:sz w:val="24"/>
          <w:szCs w:val="24"/>
        </w:rPr>
        <w:t xml:space="preserve"> advice</w:t>
      </w:r>
    </w:p>
    <w:p w14:paraId="3D1FD168" w14:textId="5D09BE6A" w:rsidR="00062A4E" w:rsidRPr="00062A4E" w:rsidRDefault="00062A4E" w:rsidP="00062A4E">
      <w:pPr>
        <w:pStyle w:val="ListParagraph"/>
        <w:numPr>
          <w:ilvl w:val="0"/>
          <w:numId w:val="17"/>
        </w:numPr>
        <w:spacing w:after="0" w:line="240" w:lineRule="auto"/>
      </w:pPr>
      <w:r>
        <w:rPr>
          <w:rFonts w:ascii="Times New Roman" w:hAnsi="Times New Roman" w:cs="Times New Roman"/>
          <w:sz w:val="24"/>
          <w:szCs w:val="24"/>
        </w:rPr>
        <w:t>R</w:t>
      </w:r>
      <w:r w:rsidR="00665200" w:rsidRPr="00062A4E">
        <w:rPr>
          <w:rFonts w:ascii="Times New Roman" w:hAnsi="Times New Roman" w:cs="Times New Roman"/>
          <w:sz w:val="24"/>
          <w:szCs w:val="24"/>
        </w:rPr>
        <w:t>ecently</w:t>
      </w:r>
      <w:r w:rsidR="00F477B7" w:rsidRPr="00062A4E">
        <w:rPr>
          <w:rFonts w:ascii="Times New Roman" w:hAnsi="Times New Roman" w:cs="Times New Roman"/>
          <w:sz w:val="24"/>
          <w:szCs w:val="24"/>
        </w:rPr>
        <w:t xml:space="preserve"> released pediatric mild TBI guidelines</w:t>
      </w:r>
      <w:r>
        <w:rPr>
          <w:rFonts w:ascii="Times New Roman" w:hAnsi="Times New Roman" w:cs="Times New Roman"/>
          <w:sz w:val="24"/>
          <w:szCs w:val="24"/>
        </w:rPr>
        <w:t xml:space="preserve"> and related materials (</w:t>
      </w:r>
      <w:hyperlink r:id="rId10" w:history="1">
        <w:r w:rsidRPr="008B3C8B">
          <w:rPr>
            <w:rStyle w:val="Hyperlink"/>
            <w:rFonts w:ascii="Times New Roman" w:hAnsi="Times New Roman" w:cs="Times New Roman"/>
            <w:sz w:val="24"/>
            <w:szCs w:val="24"/>
          </w:rPr>
          <w:t>https://www.cdc.gov/traumaticbraininjury/PediatricmTBIGuideline.html</w:t>
        </w:r>
      </w:hyperlink>
      <w:r>
        <w:rPr>
          <w:rFonts w:ascii="Times New Roman" w:hAnsi="Times New Roman" w:cs="Times New Roman"/>
          <w:sz w:val="24"/>
          <w:szCs w:val="24"/>
        </w:rPr>
        <w:t>)</w:t>
      </w:r>
      <w:r w:rsidR="00D90D74" w:rsidRPr="00062A4E">
        <w:rPr>
          <w:rFonts w:ascii="Times New Roman" w:hAnsi="Times New Roman" w:cs="Times New Roman"/>
          <w:sz w:val="24"/>
          <w:szCs w:val="24"/>
        </w:rPr>
        <w:t xml:space="preserve"> </w:t>
      </w:r>
    </w:p>
    <w:p w14:paraId="527387C6" w14:textId="507FF992" w:rsidR="00062A4E" w:rsidRPr="00062A4E" w:rsidRDefault="00062A4E" w:rsidP="00062A4E">
      <w:pPr>
        <w:pStyle w:val="ListParagraph"/>
        <w:numPr>
          <w:ilvl w:val="1"/>
          <w:numId w:val="17"/>
        </w:numPr>
        <w:spacing w:after="0" w:line="240" w:lineRule="auto"/>
      </w:pPr>
      <w:r>
        <w:rPr>
          <w:rFonts w:ascii="Times New Roman" w:hAnsi="Times New Roman" w:cs="Times New Roman"/>
          <w:sz w:val="24"/>
          <w:szCs w:val="24"/>
        </w:rPr>
        <w:t>Checklist on diagnosis and management</w:t>
      </w:r>
    </w:p>
    <w:p w14:paraId="5896308D" w14:textId="233E6A2A" w:rsidR="00062A4E" w:rsidRPr="00062A4E" w:rsidRDefault="00062A4E" w:rsidP="00062A4E">
      <w:pPr>
        <w:pStyle w:val="ListParagraph"/>
        <w:numPr>
          <w:ilvl w:val="1"/>
          <w:numId w:val="17"/>
        </w:numPr>
        <w:spacing w:after="0" w:line="240" w:lineRule="auto"/>
      </w:pPr>
      <w:r>
        <w:rPr>
          <w:rFonts w:ascii="Times New Roman" w:hAnsi="Times New Roman" w:cs="Times New Roman"/>
          <w:sz w:val="24"/>
          <w:szCs w:val="24"/>
        </w:rPr>
        <w:t>At-a-glance sheets on diagnosis, prognosis, and treatment</w:t>
      </w:r>
    </w:p>
    <w:p w14:paraId="2C7B9FAE" w14:textId="2ABED1AD" w:rsidR="00062A4E" w:rsidRPr="005E5B6A" w:rsidRDefault="00062A4E" w:rsidP="00062A4E">
      <w:pPr>
        <w:pStyle w:val="ListParagraph"/>
        <w:numPr>
          <w:ilvl w:val="1"/>
          <w:numId w:val="17"/>
        </w:numPr>
        <w:spacing w:after="0" w:line="240" w:lineRule="auto"/>
      </w:pPr>
      <w:r>
        <w:rPr>
          <w:rFonts w:ascii="Times New Roman" w:hAnsi="Times New Roman" w:cs="Times New Roman"/>
          <w:sz w:val="24"/>
          <w:szCs w:val="24"/>
        </w:rPr>
        <w:t>Letters to be filled in by healthcare providers</w:t>
      </w:r>
    </w:p>
    <w:p w14:paraId="757EAED0" w14:textId="77777777" w:rsidR="005E5B6A" w:rsidRPr="00062A4E" w:rsidRDefault="005E5B6A" w:rsidP="005E5B6A">
      <w:pPr>
        <w:pStyle w:val="ListParagraph"/>
        <w:spacing w:after="0" w:line="240" w:lineRule="auto"/>
        <w:ind w:left="1800"/>
      </w:pPr>
    </w:p>
    <w:p w14:paraId="723090A0" w14:textId="07383B5C" w:rsidR="00062A4E" w:rsidRDefault="005E5B6A" w:rsidP="00062A4E">
      <w:pPr>
        <w:spacing w:after="0" w:line="240" w:lineRule="auto"/>
        <w:rPr>
          <w:rFonts w:ascii="Times New Roman" w:hAnsi="Times New Roman" w:cs="Times New Roman"/>
          <w:sz w:val="24"/>
          <w:szCs w:val="24"/>
        </w:rPr>
      </w:pPr>
      <w:r>
        <w:rPr>
          <w:rFonts w:ascii="Times New Roman" w:hAnsi="Times New Roman" w:cs="Times New Roman"/>
          <w:sz w:val="24"/>
          <w:szCs w:val="24"/>
        </w:rPr>
        <w:t>The ability to tailor these programs and materials specifically to the needs of healthcare providers working in the rural setting will allow them to be more effective and targeted.</w:t>
      </w:r>
    </w:p>
    <w:p w14:paraId="1349F7F7" w14:textId="2D03B96B" w:rsidR="00FB6AC6" w:rsidRDefault="00FB6AC6" w:rsidP="00062A4E">
      <w:pPr>
        <w:spacing w:after="0" w:line="240" w:lineRule="auto"/>
        <w:rPr>
          <w:rFonts w:ascii="Times New Roman" w:hAnsi="Times New Roman" w:cs="Times New Roman"/>
          <w:sz w:val="24"/>
          <w:szCs w:val="24"/>
        </w:rPr>
      </w:pPr>
    </w:p>
    <w:p w14:paraId="02ED0EF3" w14:textId="14961A9C" w:rsidR="00FB6AC6" w:rsidRDefault="00FB6AC6" w:rsidP="00062A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second goal of this information collection request is identify areas for future research in this arena. </w:t>
      </w:r>
      <w:r w:rsidR="00264FA3">
        <w:rPr>
          <w:rFonts w:ascii="Times New Roman" w:hAnsi="Times New Roman" w:cs="Times New Roman"/>
          <w:sz w:val="24"/>
          <w:szCs w:val="24"/>
        </w:rPr>
        <w:t xml:space="preserve">We expect that the focus group participants will give us new insight into the challenges they face in diagnosing and managing TBI as well as possible ways they have devised to overcome some of these challenges. Additionally, we hope to garner information about the focus group participants’ current practice </w:t>
      </w:r>
      <w:r w:rsidR="001E5AFD">
        <w:rPr>
          <w:rFonts w:ascii="Times New Roman" w:hAnsi="Times New Roman" w:cs="Times New Roman"/>
          <w:sz w:val="24"/>
          <w:szCs w:val="24"/>
        </w:rPr>
        <w:t>to potentially inform</w:t>
      </w:r>
      <w:r w:rsidR="00264FA3">
        <w:rPr>
          <w:rFonts w:ascii="Times New Roman" w:hAnsi="Times New Roman" w:cs="Times New Roman"/>
          <w:sz w:val="24"/>
          <w:szCs w:val="24"/>
        </w:rPr>
        <w:t xml:space="preserve"> more specific, quantitative </w:t>
      </w:r>
      <w:r w:rsidR="001E5AFD">
        <w:rPr>
          <w:rFonts w:ascii="Times New Roman" w:hAnsi="Times New Roman" w:cs="Times New Roman"/>
          <w:sz w:val="24"/>
          <w:szCs w:val="24"/>
        </w:rPr>
        <w:t>studies related to</w:t>
      </w:r>
      <w:r w:rsidR="00264FA3">
        <w:rPr>
          <w:rFonts w:ascii="Times New Roman" w:hAnsi="Times New Roman" w:cs="Times New Roman"/>
          <w:sz w:val="24"/>
          <w:szCs w:val="24"/>
        </w:rPr>
        <w:t xml:space="preserve"> </w:t>
      </w:r>
      <w:r w:rsidR="001E5AFD">
        <w:rPr>
          <w:rFonts w:ascii="Times New Roman" w:hAnsi="Times New Roman" w:cs="Times New Roman"/>
          <w:sz w:val="24"/>
          <w:szCs w:val="24"/>
        </w:rPr>
        <w:t xml:space="preserve">understanding </w:t>
      </w:r>
      <w:r w:rsidR="00264FA3">
        <w:rPr>
          <w:rFonts w:ascii="Times New Roman" w:hAnsi="Times New Roman" w:cs="Times New Roman"/>
          <w:sz w:val="24"/>
          <w:szCs w:val="24"/>
        </w:rPr>
        <w:t>rural providers’ TBI</w:t>
      </w:r>
      <w:r w:rsidR="00D11766">
        <w:rPr>
          <w:rFonts w:ascii="Times New Roman" w:hAnsi="Times New Roman" w:cs="Times New Roman"/>
          <w:sz w:val="24"/>
          <w:szCs w:val="24"/>
        </w:rPr>
        <w:t xml:space="preserve"> </w:t>
      </w:r>
      <w:r w:rsidR="001E5AFD">
        <w:rPr>
          <w:rFonts w:ascii="Times New Roman" w:hAnsi="Times New Roman" w:cs="Times New Roman"/>
          <w:sz w:val="24"/>
          <w:szCs w:val="24"/>
        </w:rPr>
        <w:t>practices related to diagnosis and management</w:t>
      </w:r>
      <w:r w:rsidR="00264FA3">
        <w:rPr>
          <w:rFonts w:ascii="Times New Roman" w:hAnsi="Times New Roman" w:cs="Times New Roman"/>
          <w:sz w:val="24"/>
          <w:szCs w:val="24"/>
        </w:rPr>
        <w:t xml:space="preserve">. </w:t>
      </w:r>
    </w:p>
    <w:p w14:paraId="26EE92AB" w14:textId="23304596" w:rsidR="005E5B6A" w:rsidRDefault="005E5B6A" w:rsidP="00062A4E">
      <w:pPr>
        <w:spacing w:after="0" w:line="240" w:lineRule="auto"/>
        <w:rPr>
          <w:rFonts w:ascii="Times New Roman" w:hAnsi="Times New Roman" w:cs="Times New Roman"/>
          <w:sz w:val="24"/>
          <w:szCs w:val="24"/>
        </w:rPr>
      </w:pPr>
    </w:p>
    <w:p w14:paraId="458408A4" w14:textId="51DD0EF1" w:rsidR="00EA43FE" w:rsidRDefault="000B67B5" w:rsidP="00062A4E">
      <w:pPr>
        <w:spacing w:after="0" w:line="240" w:lineRule="auto"/>
        <w:rPr>
          <w:rFonts w:ascii="Times New Roman" w:hAnsi="Times New Roman" w:cs="Times New Roman"/>
          <w:sz w:val="24"/>
          <w:szCs w:val="24"/>
        </w:rPr>
      </w:pPr>
      <w:r w:rsidRPr="00062A4E">
        <w:rPr>
          <w:rFonts w:ascii="Times New Roman" w:hAnsi="Times New Roman" w:cs="Times New Roman"/>
          <w:sz w:val="24"/>
          <w:szCs w:val="24"/>
        </w:rPr>
        <w:t>The target population for the data collection effort includes physicians, nurse practitioners (NPs), and physician assistants (PAs) in selected specialties (general or family practice, emergency medicine, pediatrics) working in direct patient care in rural areas</w:t>
      </w:r>
      <w:r w:rsidR="0025127A">
        <w:rPr>
          <w:rFonts w:ascii="Times New Roman" w:hAnsi="Times New Roman" w:cs="Times New Roman"/>
          <w:sz w:val="24"/>
          <w:szCs w:val="24"/>
        </w:rPr>
        <w:t xml:space="preserve">. </w:t>
      </w:r>
      <w:r w:rsidRPr="00062A4E">
        <w:rPr>
          <w:rFonts w:ascii="Times New Roman" w:hAnsi="Times New Roman" w:cs="Times New Roman"/>
          <w:sz w:val="24"/>
          <w:szCs w:val="24"/>
        </w:rPr>
        <w:t xml:space="preserve">For this study, </w:t>
      </w:r>
      <w:r w:rsidR="00665200" w:rsidRPr="00062A4E">
        <w:rPr>
          <w:rFonts w:ascii="Times New Roman" w:hAnsi="Times New Roman" w:cs="Times New Roman"/>
          <w:sz w:val="24"/>
          <w:szCs w:val="24"/>
        </w:rPr>
        <w:t>“</w:t>
      </w:r>
      <w:r w:rsidRPr="00062A4E">
        <w:rPr>
          <w:rFonts w:ascii="Times New Roman" w:hAnsi="Times New Roman" w:cs="Times New Roman"/>
          <w:sz w:val="24"/>
          <w:szCs w:val="24"/>
        </w:rPr>
        <w:t>rural</w:t>
      </w:r>
      <w:r w:rsidR="00665200" w:rsidRPr="00062A4E">
        <w:rPr>
          <w:rFonts w:ascii="Times New Roman" w:hAnsi="Times New Roman" w:cs="Times New Roman"/>
          <w:sz w:val="24"/>
          <w:szCs w:val="24"/>
        </w:rPr>
        <w:t>”</w:t>
      </w:r>
      <w:r w:rsidRPr="00062A4E">
        <w:rPr>
          <w:rFonts w:ascii="Times New Roman" w:hAnsi="Times New Roman" w:cs="Times New Roman"/>
          <w:sz w:val="24"/>
          <w:szCs w:val="24"/>
        </w:rPr>
        <w:t xml:space="preserve"> will be defined using the </w:t>
      </w:r>
      <w:r w:rsidR="00EA43FE">
        <w:rPr>
          <w:rFonts w:ascii="Times New Roman" w:hAnsi="Times New Roman" w:cs="Times New Roman"/>
          <w:sz w:val="24"/>
          <w:szCs w:val="24"/>
        </w:rPr>
        <w:t xml:space="preserve">2013 </w:t>
      </w:r>
      <w:r w:rsidRPr="00062A4E">
        <w:rPr>
          <w:rFonts w:ascii="Times New Roman" w:hAnsi="Times New Roman" w:cs="Times New Roman"/>
          <w:sz w:val="24"/>
          <w:szCs w:val="24"/>
        </w:rPr>
        <w:t>National Center for Health Statistics (NCHS) Urban-Rural Classification Scheme for Counties</w:t>
      </w:r>
      <w:r w:rsidR="00EA43FE">
        <w:rPr>
          <w:rFonts w:ascii="Times New Roman" w:hAnsi="Times New Roman" w:cs="Times New Roman"/>
          <w:sz w:val="24"/>
          <w:szCs w:val="24"/>
        </w:rPr>
        <w:t>.</w:t>
      </w:r>
      <w:r w:rsidRPr="00CD645B">
        <w:rPr>
          <w:vertAlign w:val="superscript"/>
        </w:rPr>
        <w:footnoteReference w:id="12"/>
      </w:r>
      <w:r w:rsidR="00EA43FE">
        <w:rPr>
          <w:rFonts w:ascii="Times New Roman" w:hAnsi="Times New Roman" w:cs="Times New Roman"/>
          <w:sz w:val="24"/>
          <w:szCs w:val="24"/>
        </w:rPr>
        <w:t xml:space="preserve"> In particular, rural counties will be those defined by NCHS as being non-metropolitan (micropolitan or noncore counties). See below for full enumeration of the scheme. </w:t>
      </w:r>
    </w:p>
    <w:p w14:paraId="1047E6EF" w14:textId="77777777" w:rsidR="00EA43FE" w:rsidRDefault="00EA43FE" w:rsidP="00062A4E">
      <w:pPr>
        <w:spacing w:after="0" w:line="240" w:lineRule="auto"/>
        <w:rPr>
          <w:rFonts w:ascii="Times New Roman" w:hAnsi="Times New Roman" w:cs="Times New Roman"/>
          <w:sz w:val="24"/>
          <w:szCs w:val="24"/>
        </w:rPr>
      </w:pPr>
    </w:p>
    <w:p w14:paraId="284A6172" w14:textId="77777777" w:rsidR="00EA43FE" w:rsidRDefault="00EA43FE" w:rsidP="00EA43FE">
      <w:pPr>
        <w:pStyle w:val="ListParagraph"/>
        <w:numPr>
          <w:ilvl w:val="0"/>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u w:val="single"/>
        </w:rPr>
        <w:t>Metropolitan counties</w:t>
      </w:r>
    </w:p>
    <w:p w14:paraId="5C8441B0" w14:textId="77777777" w:rsid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rPr>
        <w:t>Large central metro counties in MSA of 1 million population that: 1) contain the entire population of the largest principal city of the MSA, or 2) are completely contained within the largest principal city of the MSA, or 3) contain at least 250,000 residents of any principal city in the MSA</w:t>
      </w:r>
    </w:p>
    <w:p w14:paraId="3924B39A" w14:textId="77777777" w:rsid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u w:val="single"/>
        </w:rPr>
        <w:t>Large fringe metro counties</w:t>
      </w:r>
      <w:r w:rsidRPr="00EA43FE">
        <w:rPr>
          <w:rFonts w:ascii="Times New Roman" w:hAnsi="Times New Roman" w:cs="Times New Roman"/>
          <w:sz w:val="24"/>
          <w:szCs w:val="24"/>
        </w:rPr>
        <w:t xml:space="preserve"> in MSA of 1 million or more population that do not qualify as large central </w:t>
      </w:r>
    </w:p>
    <w:p w14:paraId="4221FBE8" w14:textId="66432664" w:rsid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rPr>
        <w:t>Medium metro counties in MSA of 250,000-999,999 population.</w:t>
      </w:r>
    </w:p>
    <w:p w14:paraId="40F05382" w14:textId="0E17CD0C" w:rsid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u w:val="single"/>
        </w:rPr>
        <w:t>Small metro counties</w:t>
      </w:r>
      <w:r w:rsidRPr="00EA43FE">
        <w:rPr>
          <w:rFonts w:ascii="Times New Roman" w:hAnsi="Times New Roman" w:cs="Times New Roman"/>
          <w:sz w:val="24"/>
          <w:szCs w:val="24"/>
        </w:rPr>
        <w:t xml:space="preserve"> are counties in MSAs of less than 250,000 population.</w:t>
      </w:r>
    </w:p>
    <w:p w14:paraId="57245FA4" w14:textId="77777777" w:rsidR="00EA43FE" w:rsidRDefault="00EA43FE" w:rsidP="00EA43FE">
      <w:pPr>
        <w:pStyle w:val="ListParagraph"/>
        <w:numPr>
          <w:ilvl w:val="0"/>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u w:val="single"/>
        </w:rPr>
        <w:t>Nonmetropolitan counties</w:t>
      </w:r>
    </w:p>
    <w:p w14:paraId="0F74FA30" w14:textId="77777777" w:rsid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rPr>
        <w:t>Micropolitan counties in micropolitan statistical area</w:t>
      </w:r>
    </w:p>
    <w:p w14:paraId="089F4AE1" w14:textId="422D5C39" w:rsidR="0059475A" w:rsidRPr="00EA43FE" w:rsidRDefault="00EA43FE" w:rsidP="00EA43FE">
      <w:pPr>
        <w:pStyle w:val="ListParagraph"/>
        <w:numPr>
          <w:ilvl w:val="1"/>
          <w:numId w:val="19"/>
        </w:numPr>
        <w:spacing w:after="0" w:line="240" w:lineRule="auto"/>
        <w:rPr>
          <w:rFonts w:ascii="Times New Roman" w:hAnsi="Times New Roman" w:cs="Times New Roman"/>
          <w:sz w:val="24"/>
          <w:szCs w:val="24"/>
        </w:rPr>
      </w:pPr>
      <w:r w:rsidRPr="00EA43FE">
        <w:rPr>
          <w:rFonts w:ascii="Times New Roman" w:hAnsi="Times New Roman" w:cs="Times New Roman"/>
          <w:sz w:val="24"/>
          <w:szCs w:val="24"/>
        </w:rPr>
        <w:t xml:space="preserve">Noncore counties not in micropolitan statistical areas </w:t>
      </w:r>
      <w:hyperlink r:id="rId11" w:history="1"/>
      <w:r w:rsidR="000B67B5" w:rsidRPr="00EA43FE">
        <w:rPr>
          <w:rFonts w:ascii="Times New Roman" w:hAnsi="Times New Roman" w:cs="Times New Roman"/>
          <w:sz w:val="24"/>
          <w:szCs w:val="24"/>
        </w:rPr>
        <w:t xml:space="preserve"> </w:t>
      </w:r>
    </w:p>
    <w:p w14:paraId="495F768B" w14:textId="77777777" w:rsidR="00EA43FE" w:rsidRPr="00EA43FE" w:rsidRDefault="00EA43FE" w:rsidP="00062A4E">
      <w:pPr>
        <w:spacing w:after="0" w:line="240" w:lineRule="auto"/>
        <w:rPr>
          <w:rFonts w:ascii="Times New Roman" w:hAnsi="Times New Roman" w:cs="Times New Roman"/>
          <w:sz w:val="24"/>
          <w:szCs w:val="24"/>
        </w:rPr>
      </w:pPr>
    </w:p>
    <w:p w14:paraId="6208486B" w14:textId="4DB79BAD" w:rsidR="00F567E4" w:rsidRPr="00CD645B" w:rsidRDefault="00D93FEA" w:rsidP="00665200">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This study has </w:t>
      </w:r>
      <w:r w:rsidR="00665200">
        <w:rPr>
          <w:rFonts w:ascii="Times New Roman" w:hAnsi="Times New Roman" w:cs="Times New Roman"/>
          <w:sz w:val="24"/>
          <w:szCs w:val="24"/>
        </w:rPr>
        <w:t>one</w:t>
      </w:r>
      <w:r w:rsidR="00665200" w:rsidRPr="00CD645B">
        <w:rPr>
          <w:rFonts w:ascii="Times New Roman" w:hAnsi="Times New Roman" w:cs="Times New Roman"/>
          <w:sz w:val="24"/>
          <w:szCs w:val="24"/>
        </w:rPr>
        <w:t xml:space="preserve"> </w:t>
      </w:r>
      <w:r w:rsidRPr="00CD645B">
        <w:rPr>
          <w:rFonts w:ascii="Times New Roman" w:hAnsi="Times New Roman" w:cs="Times New Roman"/>
          <w:sz w:val="24"/>
          <w:szCs w:val="24"/>
        </w:rPr>
        <w:t xml:space="preserve">data collection </w:t>
      </w:r>
      <w:r w:rsidR="00B726DA" w:rsidRPr="00CD645B">
        <w:rPr>
          <w:rFonts w:ascii="Times New Roman" w:hAnsi="Times New Roman" w:cs="Times New Roman"/>
          <w:sz w:val="24"/>
          <w:szCs w:val="24"/>
        </w:rPr>
        <w:t>method</w:t>
      </w:r>
      <w:r w:rsidR="00F567E4" w:rsidRPr="00CD645B">
        <w:rPr>
          <w:rFonts w:ascii="Times New Roman" w:hAnsi="Times New Roman" w:cs="Times New Roman"/>
          <w:sz w:val="24"/>
          <w:szCs w:val="24"/>
        </w:rPr>
        <w:t>:</w:t>
      </w:r>
      <w:r w:rsidRPr="00CD645B">
        <w:rPr>
          <w:rFonts w:ascii="Times New Roman" w:hAnsi="Times New Roman" w:cs="Times New Roman"/>
          <w:sz w:val="24"/>
          <w:szCs w:val="24"/>
        </w:rPr>
        <w:t xml:space="preserve">  </w:t>
      </w:r>
    </w:p>
    <w:p w14:paraId="0CC94F0F" w14:textId="3DC3C0B4" w:rsidR="00344356" w:rsidRPr="00665200" w:rsidRDefault="00F567E4" w:rsidP="00665200">
      <w:pPr>
        <w:spacing w:after="240" w:line="240" w:lineRule="auto"/>
        <w:rPr>
          <w:rFonts w:ascii="Times New Roman" w:hAnsi="Times New Roman" w:cs="Times New Roman"/>
          <w:sz w:val="24"/>
          <w:szCs w:val="24"/>
        </w:rPr>
      </w:pPr>
      <w:r w:rsidRPr="00665200">
        <w:rPr>
          <w:rFonts w:ascii="Times New Roman" w:hAnsi="Times New Roman" w:cs="Times New Roman"/>
          <w:b/>
          <w:sz w:val="24"/>
          <w:szCs w:val="24"/>
        </w:rPr>
        <w:t>Focus Groups:</w:t>
      </w:r>
      <w:r w:rsidRPr="00665200">
        <w:rPr>
          <w:rFonts w:ascii="Times New Roman" w:hAnsi="Times New Roman" w:cs="Times New Roman"/>
          <w:sz w:val="24"/>
          <w:szCs w:val="24"/>
        </w:rPr>
        <w:t xml:space="preserve"> </w:t>
      </w:r>
      <w:r w:rsidR="000B67B5" w:rsidRPr="00665200">
        <w:rPr>
          <w:rFonts w:ascii="Times New Roman" w:hAnsi="Times New Roman" w:cs="Times New Roman"/>
          <w:sz w:val="24"/>
          <w:szCs w:val="24"/>
        </w:rPr>
        <w:t xml:space="preserve">To gain deeper insight into the context supporting and/or inhibiting access to comprehensive TBI evaluation and treatment, the study will collect qualitative data through focus </w:t>
      </w:r>
      <w:r w:rsidR="008A3B5A" w:rsidRPr="00665200">
        <w:rPr>
          <w:rFonts w:ascii="Times New Roman" w:hAnsi="Times New Roman" w:cs="Times New Roman"/>
          <w:sz w:val="24"/>
          <w:szCs w:val="24"/>
        </w:rPr>
        <w:t xml:space="preserve">groups </w:t>
      </w:r>
      <w:r w:rsidR="000B67B5" w:rsidRPr="00665200">
        <w:rPr>
          <w:rFonts w:ascii="Times New Roman" w:hAnsi="Times New Roman" w:cs="Times New Roman"/>
          <w:sz w:val="24"/>
          <w:szCs w:val="24"/>
        </w:rPr>
        <w:t>with rural clinicians.</w:t>
      </w:r>
      <w:r w:rsidR="004B5AC7" w:rsidRPr="00665200">
        <w:rPr>
          <w:rFonts w:ascii="Times New Roman" w:hAnsi="Times New Roman" w:cs="Times New Roman"/>
          <w:sz w:val="24"/>
          <w:szCs w:val="24"/>
        </w:rPr>
        <w:t xml:space="preserve"> The focus group format will allow for more thorough exploration of the key challenges for rural </w:t>
      </w:r>
      <w:r w:rsidR="00B726DA" w:rsidRPr="00665200">
        <w:rPr>
          <w:rFonts w:ascii="Times New Roman" w:hAnsi="Times New Roman" w:cs="Times New Roman"/>
          <w:sz w:val="24"/>
          <w:szCs w:val="24"/>
        </w:rPr>
        <w:t xml:space="preserve">clinicians </w:t>
      </w:r>
      <w:r w:rsidR="00E91D7D" w:rsidRPr="00665200">
        <w:rPr>
          <w:rFonts w:ascii="Times New Roman" w:hAnsi="Times New Roman" w:cs="Times New Roman"/>
          <w:sz w:val="24"/>
          <w:szCs w:val="24"/>
        </w:rPr>
        <w:t xml:space="preserve">when managing </w:t>
      </w:r>
      <w:r w:rsidR="00BF0C51">
        <w:rPr>
          <w:rFonts w:ascii="Times New Roman" w:hAnsi="Times New Roman" w:cs="Times New Roman"/>
          <w:sz w:val="24"/>
          <w:szCs w:val="24"/>
        </w:rPr>
        <w:t xml:space="preserve">mild </w:t>
      </w:r>
      <w:r w:rsidR="00E91D7D" w:rsidRPr="00665200">
        <w:rPr>
          <w:rFonts w:ascii="Times New Roman" w:hAnsi="Times New Roman" w:cs="Times New Roman"/>
          <w:sz w:val="24"/>
          <w:szCs w:val="24"/>
        </w:rPr>
        <w:t xml:space="preserve">TBIs </w:t>
      </w:r>
      <w:r w:rsidR="00B726DA" w:rsidRPr="00665200">
        <w:rPr>
          <w:rFonts w:ascii="Times New Roman" w:hAnsi="Times New Roman" w:cs="Times New Roman"/>
          <w:sz w:val="24"/>
          <w:szCs w:val="24"/>
        </w:rPr>
        <w:t>and identify opportunities for CDC to better suppor</w:t>
      </w:r>
      <w:r w:rsidR="00A454B7" w:rsidRPr="00665200">
        <w:rPr>
          <w:rFonts w:ascii="Times New Roman" w:hAnsi="Times New Roman" w:cs="Times New Roman"/>
          <w:sz w:val="24"/>
          <w:szCs w:val="24"/>
        </w:rPr>
        <w:t xml:space="preserve">t clinicians in rural settings. </w:t>
      </w:r>
      <w:r w:rsidR="005E5B6A">
        <w:rPr>
          <w:rFonts w:ascii="Times New Roman" w:hAnsi="Times New Roman" w:cs="Times New Roman"/>
          <w:sz w:val="24"/>
          <w:szCs w:val="24"/>
        </w:rPr>
        <w:t xml:space="preserve">CDC plans to convene 6 in-person focus groups composed of 8-10 providers each, for a total of up to 60 respondents. If needed, virtual focus groups will be held after the in-person ones if </w:t>
      </w:r>
      <w:r w:rsidR="00047B33">
        <w:rPr>
          <w:rFonts w:ascii="Times New Roman" w:hAnsi="Times New Roman" w:cs="Times New Roman"/>
          <w:sz w:val="24"/>
          <w:szCs w:val="24"/>
        </w:rPr>
        <w:t xml:space="preserve">initial </w:t>
      </w:r>
      <w:r w:rsidR="005E5B6A">
        <w:rPr>
          <w:rFonts w:ascii="Times New Roman" w:hAnsi="Times New Roman" w:cs="Times New Roman"/>
          <w:sz w:val="24"/>
          <w:szCs w:val="24"/>
        </w:rPr>
        <w:t xml:space="preserve">recruitment goals are not met. </w:t>
      </w:r>
      <w:r w:rsidR="00A454B7" w:rsidRPr="00665200">
        <w:rPr>
          <w:rFonts w:ascii="Times New Roman" w:hAnsi="Times New Roman" w:cs="Times New Roman"/>
          <w:sz w:val="24"/>
          <w:szCs w:val="24"/>
        </w:rPr>
        <w:t>Prior to beginning the focus group, we will ask participants to complete a written questionnaire (</w:t>
      </w:r>
      <w:r w:rsidR="00A454B7" w:rsidRPr="00665200">
        <w:rPr>
          <w:rFonts w:ascii="Times New Roman" w:hAnsi="Times New Roman" w:cs="Times New Roman"/>
          <w:b/>
          <w:sz w:val="24"/>
          <w:szCs w:val="24"/>
        </w:rPr>
        <w:t xml:space="preserve">Attachment </w:t>
      </w:r>
      <w:r w:rsidR="00F44A8C" w:rsidRPr="00665200">
        <w:rPr>
          <w:rFonts w:ascii="Times New Roman" w:hAnsi="Times New Roman" w:cs="Times New Roman"/>
          <w:b/>
          <w:sz w:val="24"/>
          <w:szCs w:val="24"/>
        </w:rPr>
        <w:t>7</w:t>
      </w:r>
      <w:r w:rsidR="00A454B7" w:rsidRPr="00665200">
        <w:rPr>
          <w:rFonts w:ascii="Times New Roman" w:hAnsi="Times New Roman" w:cs="Times New Roman"/>
          <w:sz w:val="24"/>
          <w:szCs w:val="24"/>
        </w:rPr>
        <w:t>) that includes questions about the participant</w:t>
      </w:r>
      <w:r w:rsidR="00ED3140" w:rsidRPr="00665200">
        <w:rPr>
          <w:rFonts w:ascii="Times New Roman" w:hAnsi="Times New Roman" w:cs="Times New Roman"/>
          <w:sz w:val="24"/>
          <w:szCs w:val="24"/>
        </w:rPr>
        <w:t>’</w:t>
      </w:r>
      <w:r w:rsidR="00A454B7" w:rsidRPr="00665200">
        <w:rPr>
          <w:rFonts w:ascii="Times New Roman" w:hAnsi="Times New Roman" w:cs="Times New Roman"/>
          <w:sz w:val="24"/>
          <w:szCs w:val="24"/>
        </w:rPr>
        <w:t xml:space="preserve">s experience, as well as demographic questions including race, ethnicity, and sex. </w:t>
      </w:r>
    </w:p>
    <w:p w14:paraId="21EAA8C6" w14:textId="2554B448" w:rsidR="00B3745A" w:rsidRPr="00CD645B" w:rsidRDefault="00E16C1B" w:rsidP="002F27E8">
      <w:pPr>
        <w:ind w:firstLine="360"/>
        <w:rPr>
          <w:rFonts w:ascii="Times New Roman" w:hAnsi="Times New Roman" w:cs="Times New Roman"/>
          <w:sz w:val="24"/>
          <w:szCs w:val="24"/>
        </w:rPr>
      </w:pPr>
      <w:r>
        <w:rPr>
          <w:rFonts w:ascii="Times New Roman" w:hAnsi="Times New Roman" w:cs="Times New Roman"/>
          <w:sz w:val="24"/>
          <w:szCs w:val="24"/>
        </w:rPr>
        <w:t>The data stemming from the focus groups</w:t>
      </w:r>
      <w:r w:rsidR="00B726DA" w:rsidRPr="00CD645B">
        <w:rPr>
          <w:rFonts w:ascii="Times New Roman" w:hAnsi="Times New Roman" w:cs="Times New Roman"/>
          <w:sz w:val="24"/>
          <w:szCs w:val="24"/>
        </w:rPr>
        <w:t xml:space="preserve"> will </w:t>
      </w:r>
      <w:r>
        <w:rPr>
          <w:rFonts w:ascii="Times New Roman" w:hAnsi="Times New Roman" w:cs="Times New Roman"/>
          <w:sz w:val="24"/>
          <w:szCs w:val="24"/>
        </w:rPr>
        <w:t xml:space="preserve">help to </w:t>
      </w:r>
      <w:r w:rsidR="00B726DA" w:rsidRPr="00CD645B">
        <w:rPr>
          <w:rFonts w:ascii="Times New Roman" w:hAnsi="Times New Roman" w:cs="Times New Roman"/>
          <w:sz w:val="24"/>
          <w:szCs w:val="24"/>
        </w:rPr>
        <w:t>answer research questions that address</w:t>
      </w:r>
      <w:r w:rsidR="00F859F9" w:rsidRPr="00CD645B">
        <w:rPr>
          <w:rFonts w:ascii="Times New Roman" w:hAnsi="Times New Roman" w:cs="Times New Roman"/>
          <w:sz w:val="24"/>
          <w:szCs w:val="24"/>
        </w:rPr>
        <w:t xml:space="preserve"> </w:t>
      </w:r>
      <w:r w:rsidR="00344356" w:rsidRPr="00CD645B">
        <w:rPr>
          <w:rFonts w:ascii="Times New Roman" w:hAnsi="Times New Roman" w:cs="Times New Roman"/>
          <w:sz w:val="24"/>
          <w:szCs w:val="24"/>
        </w:rPr>
        <w:t>two key topics</w:t>
      </w:r>
      <w:r w:rsidR="000B67B5" w:rsidRPr="00CD645B">
        <w:rPr>
          <w:rFonts w:ascii="Times New Roman" w:hAnsi="Times New Roman" w:cs="Times New Roman"/>
          <w:sz w:val="24"/>
          <w:szCs w:val="24"/>
        </w:rPr>
        <w:t>:</w:t>
      </w:r>
      <w:r w:rsidR="00344356" w:rsidRPr="00CD645B">
        <w:rPr>
          <w:rFonts w:ascii="Times New Roman" w:hAnsi="Times New Roman" w:cs="Times New Roman"/>
          <w:sz w:val="24"/>
          <w:szCs w:val="24"/>
        </w:rPr>
        <w:t xml:space="preserve"> 1) challenges that rural clinicians face in diagnosing and managing</w:t>
      </w:r>
      <w:r w:rsidR="00E91D7D" w:rsidRPr="00CD645B">
        <w:rPr>
          <w:rFonts w:ascii="Times New Roman" w:hAnsi="Times New Roman" w:cs="Times New Roman"/>
          <w:sz w:val="24"/>
          <w:szCs w:val="24"/>
        </w:rPr>
        <w:t xml:space="preserve"> TBI</w:t>
      </w:r>
      <w:r w:rsidR="00344356" w:rsidRPr="00CD645B">
        <w:rPr>
          <w:rFonts w:ascii="Times New Roman" w:hAnsi="Times New Roman" w:cs="Times New Roman"/>
          <w:sz w:val="24"/>
          <w:szCs w:val="24"/>
        </w:rPr>
        <w:t xml:space="preserve">, and 2) </w:t>
      </w:r>
      <w:r w:rsidRPr="000C6654">
        <w:rPr>
          <w:rFonts w:ascii="Times New Roman" w:hAnsi="Times New Roman" w:cs="Times New Roman"/>
          <w:sz w:val="24"/>
          <w:szCs w:val="24"/>
        </w:rPr>
        <w:t>areas for future research that will allow us to better understand these challenges and potential ways to address them</w:t>
      </w:r>
      <w:r w:rsidR="00344356" w:rsidRPr="00CD645B">
        <w:rPr>
          <w:rFonts w:ascii="Times New Roman" w:hAnsi="Times New Roman" w:cs="Times New Roman"/>
          <w:sz w:val="24"/>
          <w:szCs w:val="24"/>
        </w:rPr>
        <w:t xml:space="preserve">. </w:t>
      </w:r>
      <w:r w:rsidR="00B3745A" w:rsidRPr="00CD645B">
        <w:rPr>
          <w:rFonts w:ascii="Times New Roman" w:hAnsi="Times New Roman" w:cs="Times New Roman"/>
          <w:sz w:val="24"/>
          <w:szCs w:val="24"/>
        </w:rPr>
        <w:t xml:space="preserve">A cross walk of </w:t>
      </w:r>
      <w:r w:rsidR="00344356" w:rsidRPr="00CD645B">
        <w:rPr>
          <w:rFonts w:ascii="Times New Roman" w:hAnsi="Times New Roman" w:cs="Times New Roman"/>
          <w:sz w:val="24"/>
          <w:szCs w:val="24"/>
        </w:rPr>
        <w:t xml:space="preserve">the </w:t>
      </w:r>
      <w:r w:rsidR="00B3745A" w:rsidRPr="00CD645B">
        <w:rPr>
          <w:rFonts w:ascii="Times New Roman" w:hAnsi="Times New Roman" w:cs="Times New Roman"/>
          <w:sz w:val="24"/>
          <w:szCs w:val="24"/>
        </w:rPr>
        <w:t>research questions</w:t>
      </w:r>
      <w:r w:rsidR="002A7E47">
        <w:rPr>
          <w:rFonts w:ascii="Times New Roman" w:hAnsi="Times New Roman" w:cs="Times New Roman"/>
          <w:sz w:val="24"/>
          <w:szCs w:val="24"/>
        </w:rPr>
        <w:t xml:space="preserve"> and the focus group discussion questions</w:t>
      </w:r>
      <w:r w:rsidR="00344356" w:rsidRPr="00CD645B">
        <w:rPr>
          <w:rFonts w:ascii="Times New Roman" w:hAnsi="Times New Roman" w:cs="Times New Roman"/>
          <w:sz w:val="24"/>
          <w:szCs w:val="24"/>
        </w:rPr>
        <w:t xml:space="preserve"> for each topic</w:t>
      </w:r>
      <w:r w:rsidR="00B3745A" w:rsidRPr="00CD645B">
        <w:rPr>
          <w:rFonts w:ascii="Times New Roman" w:hAnsi="Times New Roman" w:cs="Times New Roman"/>
          <w:sz w:val="24"/>
          <w:szCs w:val="24"/>
        </w:rPr>
        <w:t xml:space="preserve"> is provided in Table 1</w:t>
      </w:r>
      <w:r w:rsidR="002A7E47">
        <w:rPr>
          <w:rFonts w:ascii="Times New Roman" w:hAnsi="Times New Roman" w:cs="Times New Roman"/>
          <w:sz w:val="24"/>
          <w:szCs w:val="24"/>
        </w:rPr>
        <w:t xml:space="preserve"> below</w:t>
      </w:r>
      <w:r w:rsidR="00B3745A" w:rsidRPr="00CD645B">
        <w:rPr>
          <w:rFonts w:ascii="Times New Roman" w:hAnsi="Times New Roman" w:cs="Times New Roman"/>
          <w:sz w:val="24"/>
          <w:szCs w:val="24"/>
        </w:rPr>
        <w:t xml:space="preserve">. </w:t>
      </w:r>
    </w:p>
    <w:p w14:paraId="425981DB" w14:textId="3D94E8C0" w:rsidR="000B67B5" w:rsidRPr="00CD645B" w:rsidRDefault="000B67B5" w:rsidP="000B67B5">
      <w:pPr>
        <w:spacing w:after="0" w:line="360" w:lineRule="auto"/>
        <w:rPr>
          <w:rFonts w:ascii="Times New Roman" w:hAnsi="Times New Roman" w:cs="Times New Roman"/>
          <w:b/>
          <w:sz w:val="24"/>
          <w:szCs w:val="24"/>
        </w:rPr>
      </w:pPr>
      <w:r w:rsidRPr="00CD645B">
        <w:rPr>
          <w:rFonts w:ascii="Times New Roman" w:hAnsi="Times New Roman" w:cs="Times New Roman"/>
          <w:b/>
          <w:sz w:val="24"/>
          <w:szCs w:val="24"/>
        </w:rPr>
        <w:t xml:space="preserve">Table 1. </w:t>
      </w:r>
      <w:r w:rsidR="00EF08C1">
        <w:rPr>
          <w:rFonts w:ascii="Times New Roman" w:hAnsi="Times New Roman" w:cs="Times New Roman"/>
          <w:b/>
          <w:sz w:val="24"/>
          <w:szCs w:val="24"/>
        </w:rPr>
        <w:t>Focus group guide by research question</w:t>
      </w:r>
      <w:r w:rsidRPr="00CD645B">
        <w:rPr>
          <w:rFonts w:ascii="Times New Roman" w:hAnsi="Times New Roman" w:cs="Times New Roman"/>
          <w:b/>
          <w:sz w:val="24"/>
          <w:szCs w:val="24"/>
        </w:rPr>
        <w:t xml:space="preserve"> </w:t>
      </w:r>
    </w:p>
    <w:p w14:paraId="02364CB9" w14:textId="76725E16" w:rsidR="00860008" w:rsidRDefault="00860008" w:rsidP="0059475A">
      <w:pPr>
        <w:spacing w:after="240" w:line="240" w:lineRule="auto"/>
        <w:ind w:firstLine="360"/>
        <w:rPr>
          <w:rFonts w:ascii="Times New Roman" w:hAnsi="Times New Roman" w:cs="Times New Roman"/>
          <w:sz w:val="24"/>
          <w:szCs w:val="24"/>
        </w:rPr>
      </w:pPr>
    </w:p>
    <w:p w14:paraId="1C906755" w14:textId="47445F54" w:rsidR="00EF08C1" w:rsidRDefault="00EF08C1" w:rsidP="0059475A">
      <w:pPr>
        <w:spacing w:after="240" w:line="240" w:lineRule="auto"/>
        <w:ind w:firstLine="360"/>
        <w:rPr>
          <w:rFonts w:ascii="Times New Roman" w:hAnsi="Times New Roman" w:cs="Times New Roman"/>
          <w:sz w:val="24"/>
          <w:szCs w:val="24"/>
        </w:rPr>
      </w:pPr>
    </w:p>
    <w:p w14:paraId="2509FC33" w14:textId="7F30CC3D" w:rsidR="00EF08C1" w:rsidRDefault="00EF08C1" w:rsidP="0059475A">
      <w:pPr>
        <w:spacing w:after="240" w:line="240" w:lineRule="auto"/>
        <w:ind w:firstLine="360"/>
        <w:rPr>
          <w:rFonts w:ascii="Times New Roman" w:hAnsi="Times New Roman" w:cs="Times New Roman"/>
          <w:sz w:val="24"/>
          <w:szCs w:val="24"/>
        </w:rPr>
      </w:pPr>
    </w:p>
    <w:p w14:paraId="0E183799" w14:textId="472F4C3F" w:rsidR="00EF08C1" w:rsidRDefault="00EF08C1" w:rsidP="0059475A">
      <w:pPr>
        <w:spacing w:after="240" w:line="240" w:lineRule="auto"/>
        <w:ind w:firstLine="360"/>
        <w:rPr>
          <w:rFonts w:ascii="Times New Roman" w:hAnsi="Times New Roman" w:cs="Times New Roman"/>
          <w:sz w:val="24"/>
          <w:szCs w:val="24"/>
        </w:rPr>
      </w:pPr>
    </w:p>
    <w:p w14:paraId="7C8CF2F0" w14:textId="5E2CB4D0" w:rsidR="00EF08C1" w:rsidRDefault="00EF08C1" w:rsidP="0059475A">
      <w:pPr>
        <w:spacing w:after="240" w:line="240" w:lineRule="auto"/>
        <w:ind w:firstLine="360"/>
        <w:rPr>
          <w:rFonts w:ascii="Times New Roman" w:hAnsi="Times New Roman" w:cs="Times New Roman"/>
          <w:sz w:val="24"/>
          <w:szCs w:val="24"/>
        </w:rPr>
      </w:pPr>
    </w:p>
    <w:p w14:paraId="74217982" w14:textId="5A974984" w:rsidR="00EF08C1" w:rsidRDefault="00EF08C1" w:rsidP="0059475A">
      <w:pPr>
        <w:spacing w:after="240" w:line="240" w:lineRule="auto"/>
        <w:ind w:firstLine="360"/>
        <w:rPr>
          <w:rFonts w:ascii="Times New Roman" w:hAnsi="Times New Roman" w:cs="Times New Roman"/>
          <w:sz w:val="24"/>
          <w:szCs w:val="24"/>
        </w:rPr>
      </w:pPr>
    </w:p>
    <w:p w14:paraId="78EC213F" w14:textId="448B346A" w:rsidR="00EF08C1" w:rsidRDefault="00EF08C1" w:rsidP="0059475A">
      <w:pPr>
        <w:spacing w:after="240" w:line="240" w:lineRule="auto"/>
        <w:ind w:firstLine="360"/>
        <w:rPr>
          <w:rFonts w:ascii="Times New Roman" w:hAnsi="Times New Roman" w:cs="Times New Roman"/>
          <w:sz w:val="24"/>
          <w:szCs w:val="24"/>
        </w:rPr>
      </w:pPr>
    </w:p>
    <w:p w14:paraId="2B668DD7" w14:textId="03DF6D36" w:rsidR="00EF08C1" w:rsidRDefault="00EF08C1" w:rsidP="0059475A">
      <w:pPr>
        <w:spacing w:after="240" w:line="240" w:lineRule="auto"/>
        <w:ind w:firstLine="360"/>
        <w:rPr>
          <w:rFonts w:ascii="Times New Roman" w:hAnsi="Times New Roman" w:cs="Times New Roman"/>
          <w:sz w:val="24"/>
          <w:szCs w:val="24"/>
        </w:rPr>
      </w:pPr>
    </w:p>
    <w:p w14:paraId="2D6D5748" w14:textId="2716B104" w:rsidR="00EF08C1" w:rsidRDefault="00EF08C1" w:rsidP="0059475A">
      <w:pPr>
        <w:spacing w:after="240" w:line="240" w:lineRule="auto"/>
        <w:ind w:firstLine="360"/>
        <w:rPr>
          <w:rFonts w:ascii="Times New Roman" w:hAnsi="Times New Roman" w:cs="Times New Roman"/>
          <w:sz w:val="24"/>
          <w:szCs w:val="24"/>
        </w:rPr>
      </w:pPr>
    </w:p>
    <w:p w14:paraId="2C91A625" w14:textId="1B89ABBE" w:rsidR="00EF08C1" w:rsidRDefault="00EF08C1" w:rsidP="0059475A">
      <w:pPr>
        <w:spacing w:after="240" w:line="240" w:lineRule="auto"/>
        <w:ind w:firstLine="360"/>
        <w:rPr>
          <w:rFonts w:ascii="Times New Roman" w:hAnsi="Times New Roman" w:cs="Times New Roman"/>
          <w:sz w:val="24"/>
          <w:szCs w:val="24"/>
        </w:rPr>
      </w:pPr>
    </w:p>
    <w:p w14:paraId="32B27690" w14:textId="77777777" w:rsidR="00EF08C1" w:rsidRDefault="00EF08C1" w:rsidP="005D0392">
      <w:pPr>
        <w:jc w:val="center"/>
        <w:rPr>
          <w:rFonts w:cstheme="minorHAnsi"/>
          <w:b/>
          <w:bCs/>
        </w:rPr>
        <w:sectPr w:rsidR="00EF08C1">
          <w:footerReference w:type="default" r:id="rId1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6480"/>
        <w:gridCol w:w="6696"/>
      </w:tblGrid>
      <w:tr w:rsidR="003569B7" w14:paraId="5706A57D" w14:textId="77777777" w:rsidTr="005D0392">
        <w:tc>
          <w:tcPr>
            <w:tcW w:w="13670" w:type="dxa"/>
            <w:gridSpan w:val="2"/>
          </w:tcPr>
          <w:p w14:paraId="105CE695" w14:textId="64846E3F" w:rsidR="003569B7" w:rsidRDefault="003569B7" w:rsidP="00BF0C51">
            <w:pPr>
              <w:rPr>
                <w:rFonts w:cstheme="minorHAnsi"/>
              </w:rPr>
            </w:pPr>
            <w:r w:rsidRPr="002A3973">
              <w:rPr>
                <w:rFonts w:cstheme="minorHAnsi"/>
                <w:b/>
                <w:color w:val="000000"/>
                <w:highlight w:val="cyan"/>
              </w:rPr>
              <w:t xml:space="preserve">Key </w:t>
            </w:r>
            <w:r>
              <w:rPr>
                <w:rFonts w:cstheme="minorHAnsi"/>
                <w:b/>
                <w:color w:val="000000"/>
                <w:highlight w:val="cyan"/>
              </w:rPr>
              <w:t>topic</w:t>
            </w:r>
            <w:r w:rsidRPr="002A3973">
              <w:rPr>
                <w:rFonts w:cstheme="minorHAnsi"/>
                <w:b/>
                <w:color w:val="000000"/>
                <w:highlight w:val="cyan"/>
              </w:rPr>
              <w:t xml:space="preserve">:  Challenges that Rural Clinicians Face in Diagnosing and Managing </w:t>
            </w:r>
            <w:r w:rsidR="00BF0C51">
              <w:rPr>
                <w:rFonts w:cstheme="minorHAnsi"/>
                <w:b/>
                <w:color w:val="000000"/>
                <w:highlight w:val="cyan"/>
              </w:rPr>
              <w:t>Mild</w:t>
            </w:r>
            <w:r w:rsidR="00BF0C51" w:rsidRPr="00BF0C51">
              <w:rPr>
                <w:rFonts w:cstheme="minorHAnsi"/>
                <w:b/>
                <w:color w:val="000000"/>
                <w:highlight w:val="cyan"/>
              </w:rPr>
              <w:t xml:space="preserve"> TBI</w:t>
            </w:r>
          </w:p>
        </w:tc>
      </w:tr>
      <w:tr w:rsidR="003569B7" w14:paraId="7C22AA9C" w14:textId="77777777" w:rsidTr="005D0392">
        <w:tc>
          <w:tcPr>
            <w:tcW w:w="6745" w:type="dxa"/>
          </w:tcPr>
          <w:p w14:paraId="35079190" w14:textId="77777777" w:rsidR="003569B7" w:rsidRPr="009A5C0C" w:rsidRDefault="003569B7" w:rsidP="005D0392">
            <w:pPr>
              <w:rPr>
                <w:rFonts w:cstheme="minorHAnsi"/>
                <w:shd w:val="clear" w:color="auto" w:fill="FFFFFF"/>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7E682364" w14:textId="77777777" w:rsidR="003569B7" w:rsidRDefault="003569B7" w:rsidP="005D0392">
            <w:pPr>
              <w:rPr>
                <w:rFonts w:cstheme="minorHAnsi"/>
                <w:shd w:val="clear" w:color="auto" w:fill="FFFFFF"/>
              </w:rPr>
            </w:pPr>
            <w:r w:rsidRPr="00230788">
              <w:rPr>
                <w:rFonts w:cstheme="minorHAnsi"/>
                <w:color w:val="0070C0"/>
              </w:rPr>
              <w:t>Purpose</w:t>
            </w:r>
          </w:p>
        </w:tc>
      </w:tr>
      <w:tr w:rsidR="003569B7" w14:paraId="3D66E5B6" w14:textId="77777777" w:rsidTr="005D0392">
        <w:tc>
          <w:tcPr>
            <w:tcW w:w="6745" w:type="dxa"/>
          </w:tcPr>
          <w:p w14:paraId="58F82977" w14:textId="77777777" w:rsidR="003569B7" w:rsidRPr="00244BF9" w:rsidRDefault="003569B7" w:rsidP="005D0392">
            <w:pPr>
              <w:rPr>
                <w:rFonts w:cstheme="minorHAnsi"/>
              </w:rPr>
            </w:pPr>
            <w:r>
              <w:rPr>
                <w:rFonts w:cstheme="minorHAnsi"/>
              </w:rPr>
              <w:t>A</w:t>
            </w:r>
            <w:r w:rsidRPr="00244BF9">
              <w:rPr>
                <w:rFonts w:cstheme="minorHAnsi"/>
              </w:rPr>
              <w:t xml:space="preserve">1. Tell us about the risk of concussion or </w:t>
            </w:r>
            <w:r>
              <w:rPr>
                <w:rFonts w:cstheme="minorHAnsi"/>
              </w:rPr>
              <w:t xml:space="preserve">mild </w:t>
            </w:r>
            <w:r w:rsidRPr="00244BF9">
              <w:rPr>
                <w:rFonts w:cstheme="minorHAnsi"/>
              </w:rPr>
              <w:t xml:space="preserve">TBI in your patient population. How often do you assess a potential concussion or </w:t>
            </w:r>
            <w:r>
              <w:rPr>
                <w:rFonts w:cstheme="minorHAnsi"/>
              </w:rPr>
              <w:t xml:space="preserve">mild </w:t>
            </w:r>
            <w:r w:rsidRPr="00244BF9">
              <w:rPr>
                <w:rFonts w:cstheme="minorHAnsi"/>
              </w:rPr>
              <w:t xml:space="preserve">TBI in a month? </w:t>
            </w:r>
          </w:p>
          <w:p w14:paraId="435BB1BE" w14:textId="77777777" w:rsidR="003569B7" w:rsidRPr="00244BF9" w:rsidRDefault="003569B7" w:rsidP="005D0392">
            <w:pPr>
              <w:rPr>
                <w:rFonts w:cstheme="minorHAnsi"/>
              </w:rPr>
            </w:pPr>
            <w:r>
              <w:rPr>
                <w:rFonts w:cstheme="minorHAnsi"/>
              </w:rPr>
              <w:t>A</w:t>
            </w:r>
            <w:r w:rsidRPr="00244BF9">
              <w:rPr>
                <w:rFonts w:cstheme="minorHAnsi"/>
              </w:rPr>
              <w:t xml:space="preserve">2. What are the most common causes of </w:t>
            </w:r>
            <w:r>
              <w:rPr>
                <w:rFonts w:cstheme="minorHAnsi"/>
              </w:rPr>
              <w:t xml:space="preserve">mild </w:t>
            </w:r>
            <w:r w:rsidRPr="00244BF9">
              <w:rPr>
                <w:rFonts w:cstheme="minorHAnsi"/>
              </w:rPr>
              <w:t xml:space="preserve">TBI and concussion among residents in your community? </w:t>
            </w:r>
          </w:p>
        </w:tc>
        <w:tc>
          <w:tcPr>
            <w:tcW w:w="6925" w:type="dxa"/>
          </w:tcPr>
          <w:p w14:paraId="2FBE9500" w14:textId="77777777" w:rsidR="003569B7" w:rsidRPr="00244BF9" w:rsidRDefault="003569B7" w:rsidP="005D0392">
            <w:pPr>
              <w:rPr>
                <w:rFonts w:cstheme="minorHAnsi"/>
              </w:rPr>
            </w:pPr>
            <w:r>
              <w:rPr>
                <w:rFonts w:cstheme="minorHAnsi"/>
              </w:rPr>
              <w:t>These</w:t>
            </w:r>
            <w:r w:rsidRPr="00244BF9">
              <w:rPr>
                <w:rFonts w:cstheme="minorHAnsi"/>
              </w:rPr>
              <w:t xml:space="preserve"> question</w:t>
            </w:r>
            <w:r>
              <w:rPr>
                <w:rFonts w:cstheme="minorHAnsi"/>
              </w:rPr>
              <w:t>s</w:t>
            </w:r>
            <w:r w:rsidRPr="00244BF9">
              <w:rPr>
                <w:rFonts w:cstheme="minorHAnsi"/>
              </w:rPr>
              <w:t xml:space="preserve"> will allow us to get a feel for the level of experience among the focus group participants in treating patients who have experienced a TBI.</w:t>
            </w:r>
          </w:p>
        </w:tc>
      </w:tr>
      <w:tr w:rsidR="003569B7" w14:paraId="2E4CC09F" w14:textId="77777777" w:rsidTr="005D0392">
        <w:tc>
          <w:tcPr>
            <w:tcW w:w="6745" w:type="dxa"/>
          </w:tcPr>
          <w:p w14:paraId="2F874040" w14:textId="77777777" w:rsidR="003569B7" w:rsidRDefault="003569B7" w:rsidP="005D0392">
            <w:pPr>
              <w:rPr>
                <w:rFonts w:cstheme="minorHAnsi"/>
              </w:rPr>
            </w:pPr>
          </w:p>
        </w:tc>
        <w:tc>
          <w:tcPr>
            <w:tcW w:w="6925" w:type="dxa"/>
          </w:tcPr>
          <w:p w14:paraId="72B89583" w14:textId="77777777" w:rsidR="003569B7" w:rsidRDefault="003569B7" w:rsidP="005D0392">
            <w:pPr>
              <w:rPr>
                <w:rFonts w:cstheme="minorHAnsi"/>
              </w:rPr>
            </w:pPr>
          </w:p>
        </w:tc>
      </w:tr>
      <w:tr w:rsidR="003569B7" w14:paraId="2A6A1E2D" w14:textId="77777777" w:rsidTr="005D0392">
        <w:tc>
          <w:tcPr>
            <w:tcW w:w="13670" w:type="dxa"/>
            <w:gridSpan w:val="2"/>
          </w:tcPr>
          <w:p w14:paraId="51865B51" w14:textId="77777777" w:rsidR="003569B7" w:rsidRPr="00230788" w:rsidRDefault="003569B7" w:rsidP="005D0392">
            <w:pPr>
              <w:rPr>
                <w:rFonts w:cstheme="minorHAnsi"/>
                <w:color w:val="0070C0"/>
              </w:rPr>
            </w:pPr>
            <w:r w:rsidRPr="00AA3A79">
              <w:rPr>
                <w:rFonts w:cstheme="minorHAnsi"/>
                <w:i/>
                <w:color w:val="000000"/>
                <w:highlight w:val="lightGray"/>
              </w:rPr>
              <w:t xml:space="preserve">Research Question: What are the challenges and difficulties faced by </w:t>
            </w:r>
            <w:r>
              <w:rPr>
                <w:rFonts w:cstheme="minorHAnsi"/>
                <w:i/>
                <w:color w:val="000000"/>
                <w:highlight w:val="lightGray"/>
              </w:rPr>
              <w:t>rural</w:t>
            </w:r>
            <w:r w:rsidRPr="00AA3A79">
              <w:rPr>
                <w:rFonts w:cstheme="minorHAnsi"/>
                <w:i/>
                <w:color w:val="000000"/>
                <w:highlight w:val="lightGray"/>
              </w:rPr>
              <w:t xml:space="preserve"> health care providers in diagnosing and managing/treating TBI?</w:t>
            </w:r>
          </w:p>
        </w:tc>
      </w:tr>
      <w:tr w:rsidR="003569B7" w14:paraId="641F7963" w14:textId="77777777" w:rsidTr="005D0392">
        <w:tc>
          <w:tcPr>
            <w:tcW w:w="6745" w:type="dxa"/>
          </w:tcPr>
          <w:p w14:paraId="44145F77" w14:textId="77777777" w:rsidR="003569B7" w:rsidRPr="00230788" w:rsidRDefault="003569B7" w:rsidP="005D0392">
            <w:pPr>
              <w:rPr>
                <w:rFonts w:cstheme="minorHAns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5C9F3E22"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537464F2" w14:textId="77777777" w:rsidTr="005D0392">
        <w:tc>
          <w:tcPr>
            <w:tcW w:w="6745" w:type="dxa"/>
          </w:tcPr>
          <w:p w14:paraId="2680BF68" w14:textId="77777777" w:rsidR="003569B7" w:rsidRPr="00244BF9" w:rsidRDefault="003569B7" w:rsidP="005D0392">
            <w:pPr>
              <w:autoSpaceDE w:val="0"/>
              <w:autoSpaceDN w:val="0"/>
              <w:adjustRightInd w:val="0"/>
              <w:rPr>
                <w:rFonts w:cstheme="minorHAnsi"/>
              </w:rPr>
            </w:pPr>
            <w:r>
              <w:rPr>
                <w:rFonts w:cstheme="minorHAnsi"/>
              </w:rPr>
              <w:t>B</w:t>
            </w:r>
            <w:r w:rsidRPr="00244BF9">
              <w:rPr>
                <w:rFonts w:cstheme="minorHAnsi"/>
              </w:rPr>
              <w:t xml:space="preserve">2. Do you experience any challenges or difficulties in diagnosing </w:t>
            </w:r>
            <w:r>
              <w:rPr>
                <w:rFonts w:cstheme="minorHAnsi"/>
              </w:rPr>
              <w:t xml:space="preserve">mild </w:t>
            </w:r>
            <w:r w:rsidRPr="00244BF9">
              <w:rPr>
                <w:rFonts w:cstheme="minorHAnsi"/>
              </w:rPr>
              <w:t xml:space="preserve">TBI? What is the primary challenge you face in diagnosing </w:t>
            </w:r>
            <w:r>
              <w:rPr>
                <w:rFonts w:cstheme="minorHAnsi"/>
              </w:rPr>
              <w:t xml:space="preserve">mild </w:t>
            </w:r>
            <w:r w:rsidRPr="00244BF9">
              <w:rPr>
                <w:rFonts w:cstheme="minorHAnsi"/>
              </w:rPr>
              <w:t>TBI?</w:t>
            </w:r>
          </w:p>
          <w:p w14:paraId="343BB699" w14:textId="77777777" w:rsidR="003569B7" w:rsidRPr="00244BF9" w:rsidRDefault="003569B7" w:rsidP="005D0392">
            <w:pPr>
              <w:rPr>
                <w:rFonts w:cstheme="minorHAnsi"/>
              </w:rPr>
            </w:pPr>
            <w:r>
              <w:rPr>
                <w:rFonts w:cstheme="minorHAnsi"/>
              </w:rPr>
              <w:t>B</w:t>
            </w:r>
            <w:r w:rsidRPr="00244BF9">
              <w:rPr>
                <w:rFonts w:cstheme="minorHAnsi"/>
              </w:rPr>
              <w:t xml:space="preserve">3. Are any of these challenges or difficulties unique to diagnosis of </w:t>
            </w:r>
            <w:r>
              <w:rPr>
                <w:rFonts w:cstheme="minorHAnsi"/>
              </w:rPr>
              <w:t xml:space="preserve">mild </w:t>
            </w:r>
            <w:r w:rsidRPr="00244BF9">
              <w:rPr>
                <w:rFonts w:cstheme="minorHAnsi"/>
              </w:rPr>
              <w:t xml:space="preserve">TBI in children and adolescents? </w:t>
            </w:r>
          </w:p>
          <w:p w14:paraId="71D8DFCC" w14:textId="77777777" w:rsidR="003569B7" w:rsidRPr="00244BF9" w:rsidRDefault="003569B7" w:rsidP="005D0392">
            <w:pPr>
              <w:rPr>
                <w:rFonts w:cstheme="minorHAnsi"/>
              </w:rPr>
            </w:pPr>
          </w:p>
        </w:tc>
        <w:tc>
          <w:tcPr>
            <w:tcW w:w="6925" w:type="dxa"/>
          </w:tcPr>
          <w:p w14:paraId="280E9B9C" w14:textId="77777777" w:rsidR="003569B7" w:rsidRPr="00244BF9" w:rsidRDefault="003569B7" w:rsidP="005D0392">
            <w:pPr>
              <w:rPr>
                <w:rFonts w:cstheme="minorHAnsi"/>
              </w:rPr>
            </w:pPr>
            <w:r w:rsidRPr="00244BF9">
              <w:rPr>
                <w:rFonts w:cstheme="minorHAnsi"/>
              </w:rPr>
              <w:t>These are the main questions that are used to assess challenges among the providers. If necessary, we will prompt them to speak about their challenges with equipment, staffing, training, and patient perceptions.</w:t>
            </w:r>
          </w:p>
        </w:tc>
      </w:tr>
      <w:tr w:rsidR="003569B7" w14:paraId="34626036" w14:textId="77777777" w:rsidTr="005D0392">
        <w:tc>
          <w:tcPr>
            <w:tcW w:w="6745" w:type="dxa"/>
          </w:tcPr>
          <w:p w14:paraId="33517760" w14:textId="77777777" w:rsidR="003569B7" w:rsidRDefault="003569B7" w:rsidP="005D0392">
            <w:pPr>
              <w:autoSpaceDE w:val="0"/>
              <w:autoSpaceDN w:val="0"/>
              <w:adjustRightInd w:val="0"/>
              <w:rPr>
                <w:rFonts w:cstheme="minorHAnsi"/>
              </w:rPr>
            </w:pPr>
          </w:p>
        </w:tc>
        <w:tc>
          <w:tcPr>
            <w:tcW w:w="6925" w:type="dxa"/>
          </w:tcPr>
          <w:p w14:paraId="575D6116" w14:textId="77777777" w:rsidR="003569B7" w:rsidRDefault="003569B7" w:rsidP="005D0392">
            <w:pPr>
              <w:rPr>
                <w:rFonts w:cstheme="minorHAnsi"/>
              </w:rPr>
            </w:pPr>
          </w:p>
        </w:tc>
      </w:tr>
      <w:tr w:rsidR="003569B7" w14:paraId="6C55ECF0" w14:textId="77777777" w:rsidTr="005D0392">
        <w:tc>
          <w:tcPr>
            <w:tcW w:w="13670" w:type="dxa"/>
            <w:gridSpan w:val="2"/>
          </w:tcPr>
          <w:p w14:paraId="3D11BB94" w14:textId="41D6F564" w:rsidR="003569B7" w:rsidRPr="00AA3A79" w:rsidRDefault="003569B7" w:rsidP="00BF0C51">
            <w:pPr>
              <w:rPr>
                <w:rFonts w:cstheme="minorHAnsi"/>
                <w:highlight w:val="lightGray"/>
              </w:rPr>
            </w:pPr>
            <w:r w:rsidRPr="00AA3A79">
              <w:rPr>
                <w:rFonts w:cstheme="minorHAnsi"/>
                <w:i/>
                <w:color w:val="000000"/>
                <w:highlight w:val="lightGray"/>
              </w:rPr>
              <w:t>Research Question: What challenges exist for rural providers as they relate to a</w:t>
            </w:r>
            <w:r w:rsidR="00BF0C51">
              <w:rPr>
                <w:rFonts w:cstheme="minorHAnsi"/>
                <w:i/>
                <w:color w:val="000000"/>
                <w:highlight w:val="lightGray"/>
              </w:rPr>
              <w:t>ccess to services following TBI?</w:t>
            </w:r>
          </w:p>
        </w:tc>
      </w:tr>
      <w:tr w:rsidR="003569B7" w14:paraId="78D39A57" w14:textId="77777777" w:rsidTr="005D0392">
        <w:tc>
          <w:tcPr>
            <w:tcW w:w="6745" w:type="dxa"/>
          </w:tcPr>
          <w:p w14:paraId="376F9AAA" w14:textId="77777777" w:rsidR="003569B7" w:rsidRPr="00230788" w:rsidRDefault="003569B7" w:rsidP="005D0392">
            <w:pPr>
              <w:tabs>
                <w:tab w:val="left" w:pos="144"/>
              </w:tabs>
              <w:rPr>
                <w:rFonts w:cstheme="minorHAnsi"/>
                <w: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4F8D3FC0"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6E5B4152" w14:textId="77777777" w:rsidTr="005D0392">
        <w:tc>
          <w:tcPr>
            <w:tcW w:w="6745" w:type="dxa"/>
          </w:tcPr>
          <w:p w14:paraId="68D4E387" w14:textId="77777777" w:rsidR="003569B7" w:rsidRPr="00244BF9" w:rsidRDefault="003569B7" w:rsidP="005D0392">
            <w:pPr>
              <w:rPr>
                <w:rFonts w:cstheme="minorHAnsi"/>
                <w:b/>
              </w:rPr>
            </w:pPr>
            <w:r>
              <w:rPr>
                <w:rFonts w:cstheme="minorHAnsi"/>
              </w:rPr>
              <w:t>C</w:t>
            </w:r>
            <w:r w:rsidRPr="00244BF9">
              <w:rPr>
                <w:rFonts w:cstheme="minorHAnsi"/>
              </w:rPr>
              <w:t xml:space="preserve">1. Are patients diagnosed with </w:t>
            </w:r>
            <w:r>
              <w:rPr>
                <w:rFonts w:cstheme="minorHAnsi"/>
              </w:rPr>
              <w:t xml:space="preserve">mild </w:t>
            </w:r>
            <w:r w:rsidRPr="00244BF9">
              <w:rPr>
                <w:rFonts w:cstheme="minorHAnsi"/>
              </w:rPr>
              <w:t xml:space="preserve">TBI treated and managed within your practice/organization or are they referred/transferred elsewhere? </w:t>
            </w:r>
          </w:p>
          <w:p w14:paraId="4A29AFD9" w14:textId="54B56925" w:rsidR="003569B7" w:rsidRPr="003118C4" w:rsidRDefault="003569B7" w:rsidP="005D0392">
            <w:pPr>
              <w:rPr>
                <w:rFonts w:cstheme="minorHAnsi"/>
                <w:b/>
              </w:rPr>
            </w:pPr>
            <w:r>
              <w:rPr>
                <w:rFonts w:cstheme="minorHAnsi"/>
              </w:rPr>
              <w:t>C</w:t>
            </w:r>
            <w:r w:rsidRPr="00244BF9">
              <w:rPr>
                <w:rFonts w:cstheme="minorHAnsi"/>
              </w:rPr>
              <w:t xml:space="preserve">1i. If patients are treated locally: </w:t>
            </w:r>
            <w:r w:rsidR="00711A78">
              <w:t>What</w:t>
            </w:r>
            <w:r w:rsidR="00711A78" w:rsidRPr="00B17491">
              <w:t xml:space="preserve"> challenges or difficulties </w:t>
            </w:r>
            <w:r w:rsidR="00711A78">
              <w:t xml:space="preserve">do you face </w:t>
            </w:r>
            <w:r w:rsidR="00711A78" w:rsidRPr="00B17491">
              <w:t xml:space="preserve">in treating </w:t>
            </w:r>
            <w:r w:rsidR="00711A78">
              <w:t xml:space="preserve">and managing mild </w:t>
            </w:r>
            <w:r w:rsidR="00711A78" w:rsidRPr="00B17491">
              <w:t>TBI?</w:t>
            </w:r>
            <w:r w:rsidR="00711A78">
              <w:t xml:space="preserve"> </w:t>
            </w:r>
            <w:r w:rsidR="00711A78" w:rsidRPr="00B17491">
              <w:rPr>
                <w:i/>
              </w:rPr>
              <w:t xml:space="preserve">(e.g., training, staffing, </w:t>
            </w:r>
            <w:r w:rsidR="00711A78">
              <w:rPr>
                <w:i/>
              </w:rPr>
              <w:t xml:space="preserve">systems of care, health insurance coverage, </w:t>
            </w:r>
            <w:r w:rsidR="00711A78" w:rsidRPr="00B17491">
              <w:rPr>
                <w:i/>
              </w:rPr>
              <w:t>etc.)</w:t>
            </w:r>
            <w:r w:rsidR="00711A78">
              <w:t>. How are these challenges managed?</w:t>
            </w:r>
          </w:p>
          <w:p w14:paraId="3C4BF0B3" w14:textId="4E8F87A8" w:rsidR="003569B7" w:rsidRPr="00244BF9" w:rsidRDefault="003569B7" w:rsidP="005D0392">
            <w:pPr>
              <w:rPr>
                <w:rFonts w:cstheme="minorHAnsi"/>
                <w:b/>
                <w:i/>
              </w:rPr>
            </w:pPr>
            <w:r>
              <w:rPr>
                <w:rFonts w:cstheme="minorHAnsi"/>
              </w:rPr>
              <w:t>C</w:t>
            </w:r>
            <w:r w:rsidRPr="00244BF9">
              <w:rPr>
                <w:rFonts w:cstheme="minorHAnsi"/>
              </w:rPr>
              <w:t xml:space="preserve">1ii. </w:t>
            </w:r>
            <w:r w:rsidR="00711A78">
              <w:t>We’re going to discuss patient challenges with follow up care in just a minute. The question we have now is what challenges or difficulties do you experience when</w:t>
            </w:r>
            <w:r w:rsidR="00711A78" w:rsidRPr="00B17491">
              <w:t xml:space="preserve"> referring/transferring these patients? </w:t>
            </w:r>
            <w:r w:rsidR="00711A78" w:rsidRPr="00B17491">
              <w:rPr>
                <w:i/>
              </w:rPr>
              <w:t>(e.g.,</w:t>
            </w:r>
            <w:r w:rsidR="00711A78">
              <w:rPr>
                <w:i/>
              </w:rPr>
              <w:t xml:space="preserve"> coordination with other providers, sharing information, patient’s out-of-pocket costs, health insurance coverage, out of network providers, etc.</w:t>
            </w:r>
            <w:r w:rsidR="00711A78" w:rsidRPr="00B17491">
              <w:rPr>
                <w:i/>
              </w:rPr>
              <w:t>)</w:t>
            </w:r>
            <w:r w:rsidR="00711A78">
              <w:t>. How are these challenges managed?</w:t>
            </w:r>
          </w:p>
          <w:p w14:paraId="485DC6D6" w14:textId="77777777" w:rsidR="003569B7" w:rsidRPr="00244BF9" w:rsidRDefault="003569B7" w:rsidP="005D0392">
            <w:pPr>
              <w:tabs>
                <w:tab w:val="left" w:pos="144"/>
              </w:tabs>
              <w:rPr>
                <w:rFonts w:cstheme="minorHAnsi"/>
              </w:rPr>
            </w:pPr>
          </w:p>
        </w:tc>
        <w:tc>
          <w:tcPr>
            <w:tcW w:w="6925" w:type="dxa"/>
          </w:tcPr>
          <w:p w14:paraId="50A1E857" w14:textId="77777777" w:rsidR="003569B7" w:rsidRPr="00244BF9" w:rsidRDefault="003569B7" w:rsidP="005D0392">
            <w:pPr>
              <w:rPr>
                <w:rFonts w:cstheme="minorHAnsi"/>
              </w:rPr>
            </w:pPr>
            <w:r>
              <w:rPr>
                <w:rFonts w:cstheme="minorHAnsi"/>
              </w:rPr>
              <w:t>These</w:t>
            </w:r>
            <w:r w:rsidRPr="00244BF9">
              <w:rPr>
                <w:rFonts w:cstheme="minorHAnsi"/>
              </w:rPr>
              <w:t xml:space="preserve"> question</w:t>
            </w:r>
            <w:r>
              <w:rPr>
                <w:rFonts w:cstheme="minorHAnsi"/>
              </w:rPr>
              <w:t>s</w:t>
            </w:r>
            <w:r w:rsidRPr="00244BF9">
              <w:rPr>
                <w:rFonts w:cstheme="minorHAnsi"/>
              </w:rPr>
              <w:t xml:space="preserve"> will allow us to get insight into whether the providers are able to treat patients with TBI in-house or they have to refer out for more specialized care.</w:t>
            </w:r>
          </w:p>
        </w:tc>
      </w:tr>
      <w:tr w:rsidR="003569B7" w14:paraId="21ED5FC7" w14:textId="77777777" w:rsidTr="005D0392">
        <w:tc>
          <w:tcPr>
            <w:tcW w:w="6745" w:type="dxa"/>
          </w:tcPr>
          <w:p w14:paraId="3DE5E053" w14:textId="77777777" w:rsidR="003569B7" w:rsidRPr="00C04DD2" w:rsidRDefault="003569B7" w:rsidP="005D0392">
            <w:pPr>
              <w:tabs>
                <w:tab w:val="left" w:pos="144"/>
              </w:tabs>
              <w:rPr>
                <w:rFonts w:cstheme="minorHAnsi"/>
                <w:i/>
                <w:color w:val="000000"/>
              </w:rPr>
            </w:pPr>
          </w:p>
        </w:tc>
        <w:tc>
          <w:tcPr>
            <w:tcW w:w="6925" w:type="dxa"/>
          </w:tcPr>
          <w:p w14:paraId="36DB9B9B" w14:textId="77777777" w:rsidR="003569B7" w:rsidRDefault="003569B7" w:rsidP="005D0392">
            <w:pPr>
              <w:rPr>
                <w:rFonts w:cstheme="minorHAnsi"/>
              </w:rPr>
            </w:pPr>
          </w:p>
        </w:tc>
      </w:tr>
      <w:tr w:rsidR="003569B7" w14:paraId="1063D6A2" w14:textId="77777777" w:rsidTr="005D0392">
        <w:tc>
          <w:tcPr>
            <w:tcW w:w="13670" w:type="dxa"/>
            <w:gridSpan w:val="2"/>
          </w:tcPr>
          <w:p w14:paraId="2A80204C" w14:textId="77777777" w:rsidR="003569B7" w:rsidRDefault="003569B7" w:rsidP="005D0392">
            <w:pPr>
              <w:rPr>
                <w:rFonts w:cstheme="minorHAnsi"/>
              </w:rPr>
            </w:pPr>
            <w:r w:rsidRPr="00AA3A79">
              <w:rPr>
                <w:rFonts w:cstheme="minorHAnsi"/>
                <w:i/>
                <w:color w:val="000000"/>
                <w:highlight w:val="lightGray"/>
              </w:rPr>
              <w:t xml:space="preserve">Research Question: </w:t>
            </w:r>
            <w:r w:rsidRPr="003C75D7">
              <w:rPr>
                <w:rFonts w:cstheme="minorHAnsi"/>
                <w:i/>
                <w:color w:val="000000"/>
                <w:highlight w:val="lightGray"/>
              </w:rPr>
              <w:t xml:space="preserve">What obstacles do </w:t>
            </w:r>
            <w:r>
              <w:rPr>
                <w:rFonts w:cstheme="minorHAnsi"/>
                <w:i/>
                <w:color w:val="000000"/>
                <w:highlight w:val="lightGray"/>
              </w:rPr>
              <w:t>rural</w:t>
            </w:r>
            <w:r w:rsidRPr="00AA3A79">
              <w:rPr>
                <w:rFonts w:cstheme="minorHAnsi"/>
                <w:i/>
                <w:color w:val="000000"/>
                <w:highlight w:val="lightGray"/>
              </w:rPr>
              <w:t xml:space="preserve"> </w:t>
            </w:r>
            <w:r w:rsidRPr="003C75D7">
              <w:rPr>
                <w:rFonts w:cstheme="minorHAnsi"/>
                <w:i/>
                <w:color w:val="000000"/>
                <w:highlight w:val="lightGray"/>
              </w:rPr>
              <w:t>providers see in their patients/community to either obtaining initial care following a TBI or for getting follow-up care?</w:t>
            </w:r>
          </w:p>
        </w:tc>
      </w:tr>
      <w:tr w:rsidR="003569B7" w14:paraId="6ACAE464" w14:textId="77777777" w:rsidTr="005D0392">
        <w:tc>
          <w:tcPr>
            <w:tcW w:w="6745" w:type="dxa"/>
          </w:tcPr>
          <w:p w14:paraId="612DC237" w14:textId="77777777" w:rsidR="003569B7" w:rsidRPr="00230788" w:rsidRDefault="003569B7" w:rsidP="005D0392">
            <w:pPr>
              <w:tabs>
                <w:tab w:val="left" w:pos="144"/>
              </w:tabs>
              <w:rPr>
                <w:rFonts w:cstheme="minorHAnsi"/>
                <w: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3380AF1E"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79655CD5" w14:textId="77777777" w:rsidTr="005D0392">
        <w:tc>
          <w:tcPr>
            <w:tcW w:w="6745" w:type="dxa"/>
          </w:tcPr>
          <w:p w14:paraId="04A8D003" w14:textId="77777777" w:rsidR="003569B7" w:rsidRPr="00244BF9" w:rsidRDefault="003569B7" w:rsidP="005D0392">
            <w:pPr>
              <w:tabs>
                <w:tab w:val="left" w:pos="144"/>
              </w:tabs>
              <w:rPr>
                <w:rFonts w:cstheme="minorHAnsi"/>
              </w:rPr>
            </w:pPr>
            <w:r>
              <w:rPr>
                <w:rFonts w:cstheme="minorHAnsi"/>
              </w:rPr>
              <w:t>D</w:t>
            </w:r>
            <w:r w:rsidRPr="00244BF9">
              <w:rPr>
                <w:rFonts w:cstheme="minorHAnsi"/>
              </w:rPr>
              <w:t xml:space="preserve">1. What, if any, are the patient barriers to obtaining initial care following a </w:t>
            </w:r>
            <w:r>
              <w:rPr>
                <w:rFonts w:cstheme="minorHAnsi"/>
              </w:rPr>
              <w:t xml:space="preserve">mild </w:t>
            </w:r>
            <w:r w:rsidRPr="00244BF9">
              <w:rPr>
                <w:rFonts w:cstheme="minorHAnsi"/>
              </w:rPr>
              <w:t>TBI?</w:t>
            </w:r>
          </w:p>
          <w:p w14:paraId="5B40A3FB" w14:textId="77777777" w:rsidR="003569B7" w:rsidRPr="00244BF9" w:rsidRDefault="003569B7" w:rsidP="005D0392">
            <w:pPr>
              <w:tabs>
                <w:tab w:val="left" w:pos="144"/>
              </w:tabs>
              <w:rPr>
                <w:rFonts w:cstheme="minorHAnsi"/>
              </w:rPr>
            </w:pPr>
            <w:r>
              <w:rPr>
                <w:rFonts w:cstheme="minorHAnsi"/>
              </w:rPr>
              <w:t>D</w:t>
            </w:r>
            <w:r w:rsidRPr="00244BF9">
              <w:rPr>
                <w:rFonts w:cstheme="minorHAnsi"/>
              </w:rPr>
              <w:t xml:space="preserve">2. What, if any, obstacles do patients face in getting follow-up care following a </w:t>
            </w:r>
            <w:r>
              <w:rPr>
                <w:rFonts w:cstheme="minorHAnsi"/>
              </w:rPr>
              <w:t xml:space="preserve">mild </w:t>
            </w:r>
            <w:r w:rsidRPr="00244BF9">
              <w:rPr>
                <w:rFonts w:cstheme="minorHAnsi"/>
              </w:rPr>
              <w:t>TBI?</w:t>
            </w:r>
          </w:p>
        </w:tc>
        <w:tc>
          <w:tcPr>
            <w:tcW w:w="6925" w:type="dxa"/>
          </w:tcPr>
          <w:p w14:paraId="59DFCA6B" w14:textId="77777777" w:rsidR="003569B7" w:rsidRPr="00244BF9" w:rsidRDefault="003569B7" w:rsidP="005D0392">
            <w:pPr>
              <w:rPr>
                <w:rFonts w:cstheme="minorHAnsi"/>
              </w:rPr>
            </w:pPr>
            <w:r w:rsidRPr="00244BF9">
              <w:rPr>
                <w:rFonts w:cstheme="minorHAnsi"/>
              </w:rPr>
              <w:t>These questions will allow respondents to talk about</w:t>
            </w:r>
            <w:r>
              <w:rPr>
                <w:rFonts w:cstheme="minorHAnsi"/>
              </w:rPr>
              <w:t xml:space="preserve"> barriers to care that they see</w:t>
            </w:r>
            <w:r w:rsidRPr="00244BF9">
              <w:rPr>
                <w:rFonts w:cstheme="minorHAnsi"/>
              </w:rPr>
              <w:t xml:space="preserve"> among their patients.</w:t>
            </w:r>
          </w:p>
        </w:tc>
      </w:tr>
      <w:tr w:rsidR="003569B7" w14:paraId="22D4A473" w14:textId="77777777" w:rsidTr="005D0392">
        <w:tc>
          <w:tcPr>
            <w:tcW w:w="6745" w:type="dxa"/>
          </w:tcPr>
          <w:p w14:paraId="40A76225" w14:textId="77777777" w:rsidR="003569B7" w:rsidRPr="00C04DD2" w:rsidRDefault="003569B7" w:rsidP="005D0392">
            <w:pPr>
              <w:tabs>
                <w:tab w:val="left" w:pos="144"/>
              </w:tabs>
              <w:rPr>
                <w:rFonts w:cstheme="minorHAnsi"/>
                <w:i/>
                <w:color w:val="000000"/>
              </w:rPr>
            </w:pPr>
          </w:p>
        </w:tc>
        <w:tc>
          <w:tcPr>
            <w:tcW w:w="6925" w:type="dxa"/>
          </w:tcPr>
          <w:p w14:paraId="706D0E90" w14:textId="77777777" w:rsidR="003569B7" w:rsidRDefault="003569B7" w:rsidP="005D0392">
            <w:pPr>
              <w:rPr>
                <w:rFonts w:cstheme="minorHAnsi"/>
              </w:rPr>
            </w:pPr>
          </w:p>
        </w:tc>
      </w:tr>
      <w:tr w:rsidR="003569B7" w14:paraId="18EC211D" w14:textId="77777777" w:rsidTr="005D0392">
        <w:tc>
          <w:tcPr>
            <w:tcW w:w="13670" w:type="dxa"/>
            <w:gridSpan w:val="2"/>
          </w:tcPr>
          <w:p w14:paraId="52B58640" w14:textId="77777777" w:rsidR="003569B7" w:rsidRPr="00953789" w:rsidRDefault="003569B7" w:rsidP="005D0392">
            <w:pPr>
              <w:rPr>
                <w:rFonts w:cstheme="minorHAnsi"/>
                <w:b/>
              </w:rPr>
            </w:pPr>
            <w:r>
              <w:rPr>
                <w:rFonts w:cstheme="minorHAnsi"/>
                <w:i/>
                <w:color w:val="000000"/>
                <w:highlight w:val="lightGray"/>
              </w:rPr>
              <w:t xml:space="preserve">Research Question: </w:t>
            </w:r>
            <w:r w:rsidRPr="005162FF">
              <w:rPr>
                <w:rFonts w:cstheme="minorHAnsi"/>
                <w:i/>
                <w:color w:val="000000"/>
                <w:highlight w:val="lightGray"/>
              </w:rPr>
              <w:t>What processes do rural health care providers and educators engage in to ensure that children return to school</w:t>
            </w:r>
            <w:r>
              <w:rPr>
                <w:rFonts w:cstheme="minorHAnsi"/>
                <w:i/>
                <w:color w:val="000000"/>
                <w:highlight w:val="lightGray"/>
              </w:rPr>
              <w:t xml:space="preserve"> and play</w:t>
            </w:r>
            <w:r w:rsidRPr="005162FF">
              <w:rPr>
                <w:rFonts w:cstheme="minorHAnsi"/>
                <w:i/>
                <w:color w:val="000000"/>
                <w:highlight w:val="lightGray"/>
              </w:rPr>
              <w:t xml:space="preserve"> following a TBI in a way that minimizes academic disruption? What are the unique challenges in managing this process in a rural setting, if any?</w:t>
            </w:r>
          </w:p>
        </w:tc>
      </w:tr>
      <w:tr w:rsidR="003569B7" w14:paraId="58154486" w14:textId="77777777" w:rsidTr="005D0392">
        <w:tc>
          <w:tcPr>
            <w:tcW w:w="6745" w:type="dxa"/>
          </w:tcPr>
          <w:p w14:paraId="35BF2389" w14:textId="77777777" w:rsidR="003569B7" w:rsidRPr="00C04DD2" w:rsidRDefault="003569B7" w:rsidP="005D0392">
            <w:pPr>
              <w:tabs>
                <w:tab w:val="left" w:pos="144"/>
              </w:tabs>
              <w:rPr>
                <w:rFonts w:cstheme="minorHAnsi"/>
                <w:i/>
                <w:color w:val="00000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00C31BFC" w14:textId="77777777" w:rsidR="003569B7" w:rsidRDefault="003569B7" w:rsidP="005D0392">
            <w:pPr>
              <w:rPr>
                <w:rFonts w:cstheme="minorHAnsi"/>
              </w:rPr>
            </w:pPr>
            <w:r w:rsidRPr="00230788">
              <w:rPr>
                <w:rFonts w:cstheme="minorHAnsi"/>
                <w:color w:val="0070C0"/>
              </w:rPr>
              <w:t>Purpose</w:t>
            </w:r>
          </w:p>
        </w:tc>
      </w:tr>
      <w:tr w:rsidR="003569B7" w14:paraId="50235990" w14:textId="77777777" w:rsidTr="005D0392">
        <w:tc>
          <w:tcPr>
            <w:tcW w:w="6745" w:type="dxa"/>
          </w:tcPr>
          <w:p w14:paraId="42F2A870" w14:textId="7354225A" w:rsidR="003569B7" w:rsidRDefault="003569B7" w:rsidP="005D0392">
            <w:pPr>
              <w:spacing w:after="200"/>
              <w:rPr>
                <w:rFonts w:cstheme="minorHAnsi"/>
              </w:rPr>
            </w:pPr>
            <w:r>
              <w:rPr>
                <w:rFonts w:cstheme="minorHAnsi"/>
              </w:rPr>
              <w:t>E</w:t>
            </w:r>
            <w:r w:rsidRPr="00244BF9">
              <w:rPr>
                <w:rFonts w:cstheme="minorHAnsi"/>
              </w:rPr>
              <w:t xml:space="preserve">1. Some communities have adopted what are called “return to school” or “return to learn” policies that are meant to help children and adolescents successfully transition back to school after experiencing a concussion or </w:t>
            </w:r>
            <w:r>
              <w:rPr>
                <w:rFonts w:cstheme="minorHAnsi"/>
              </w:rPr>
              <w:t xml:space="preserve">mild </w:t>
            </w:r>
            <w:r w:rsidRPr="00244BF9">
              <w:rPr>
                <w:rFonts w:cstheme="minorHAnsi"/>
              </w:rPr>
              <w:t xml:space="preserve">TBI. </w:t>
            </w:r>
            <w:r w:rsidR="00F52DD3">
              <w:t>Do your local school districts or does your state have any</w:t>
            </w:r>
            <w:r w:rsidR="00F52DD3" w:rsidRPr="00B17491">
              <w:t xml:space="preserve"> return to school policies</w:t>
            </w:r>
            <w:r w:rsidR="00F52DD3">
              <w:t xml:space="preserve"> or practices following concussions for children?</w:t>
            </w:r>
          </w:p>
          <w:p w14:paraId="391C2129" w14:textId="6316C524" w:rsidR="00F52DD3" w:rsidRPr="00244BF9" w:rsidRDefault="00F52DD3" w:rsidP="005D0392">
            <w:pPr>
              <w:spacing w:after="200"/>
              <w:rPr>
                <w:rFonts w:cstheme="minorHAnsi"/>
                <w:b/>
              </w:rPr>
            </w:pPr>
            <w:r>
              <w:rPr>
                <w:rFonts w:cstheme="minorHAnsi"/>
              </w:rPr>
              <w:t>E1i. If yes, can you tell us about them?</w:t>
            </w:r>
          </w:p>
          <w:p w14:paraId="7234BB3C" w14:textId="77777777" w:rsidR="003569B7" w:rsidRPr="00C04DD2" w:rsidRDefault="003569B7" w:rsidP="005D0392">
            <w:pPr>
              <w:tabs>
                <w:tab w:val="left" w:pos="144"/>
              </w:tabs>
              <w:rPr>
                <w:rFonts w:cstheme="minorHAnsi"/>
                <w:i/>
                <w:color w:val="000000"/>
              </w:rPr>
            </w:pPr>
          </w:p>
        </w:tc>
        <w:tc>
          <w:tcPr>
            <w:tcW w:w="6925" w:type="dxa"/>
          </w:tcPr>
          <w:p w14:paraId="6BFFD1DF" w14:textId="7DB6CD3A" w:rsidR="003569B7" w:rsidRDefault="003569B7" w:rsidP="005D0392">
            <w:pPr>
              <w:rPr>
                <w:rFonts w:cstheme="minorHAnsi"/>
              </w:rPr>
            </w:pPr>
            <w:r w:rsidRPr="00244BF9">
              <w:rPr>
                <w:rFonts w:cstheme="minorHAnsi"/>
              </w:rPr>
              <w:t>Th</w:t>
            </w:r>
            <w:r w:rsidR="00F52DD3">
              <w:rPr>
                <w:rFonts w:cstheme="minorHAnsi"/>
              </w:rPr>
              <w:t>ese</w:t>
            </w:r>
            <w:r w:rsidRPr="00244BF9">
              <w:rPr>
                <w:rFonts w:cstheme="minorHAnsi"/>
              </w:rPr>
              <w:t xml:space="preserve"> questions gauges how much the respondents know about their communities’ return-to-learn policies. It is possible that their communities have such policies but the providers do not know about them or that their communities have no such policies (both of which would provide an opening for improvement).</w:t>
            </w:r>
          </w:p>
        </w:tc>
      </w:tr>
      <w:tr w:rsidR="003569B7" w14:paraId="0AA8E986" w14:textId="77777777" w:rsidTr="005D0392">
        <w:tc>
          <w:tcPr>
            <w:tcW w:w="6745" w:type="dxa"/>
          </w:tcPr>
          <w:p w14:paraId="54BE1152" w14:textId="6D802088" w:rsidR="00F52DD3" w:rsidRDefault="003569B7" w:rsidP="00F52DD3">
            <w:pPr>
              <w:spacing w:after="200" w:line="276" w:lineRule="auto"/>
              <w:ind w:left="-30" w:firstLine="30"/>
            </w:pPr>
            <w:r w:rsidRPr="009574B9">
              <w:rPr>
                <w:rFonts w:ascii="Calibri" w:hAnsi="Calibri" w:cs="Calibri"/>
              </w:rPr>
              <w:t xml:space="preserve">E2. </w:t>
            </w:r>
            <w:r w:rsidR="00F52DD3">
              <w:t>Tell us about the processes you go through with children in regard to returning them to school after they have experienced a mild TBI.</w:t>
            </w:r>
          </w:p>
          <w:p w14:paraId="772FC565" w14:textId="492F7961" w:rsidR="003569B7" w:rsidRDefault="003569B7" w:rsidP="005D0392">
            <w:pPr>
              <w:spacing w:line="276" w:lineRule="auto"/>
              <w:rPr>
                <w:rFonts w:ascii="Calibri" w:hAnsi="Calibri" w:cs="Calibri"/>
              </w:rPr>
            </w:pPr>
          </w:p>
          <w:p w14:paraId="7EB4BCF5" w14:textId="77777777" w:rsidR="003569B7" w:rsidRPr="00C04DD2" w:rsidRDefault="003569B7" w:rsidP="005D0392">
            <w:pPr>
              <w:tabs>
                <w:tab w:val="left" w:pos="144"/>
              </w:tabs>
              <w:rPr>
                <w:rFonts w:cstheme="minorHAnsi"/>
                <w:i/>
                <w:color w:val="000000"/>
              </w:rPr>
            </w:pPr>
            <w:r w:rsidRPr="009574B9">
              <w:rPr>
                <w:rFonts w:ascii="Calibri" w:hAnsi="Calibri" w:cs="Calibri"/>
              </w:rPr>
              <w:t>E2i. What kinds of interactions have you had with parents or educators about returning children to school after experiencing a mild TBI?</w:t>
            </w:r>
          </w:p>
        </w:tc>
        <w:tc>
          <w:tcPr>
            <w:tcW w:w="6925" w:type="dxa"/>
          </w:tcPr>
          <w:p w14:paraId="76C1FA36" w14:textId="77777777" w:rsidR="003569B7" w:rsidRDefault="003569B7" w:rsidP="005D0392">
            <w:pPr>
              <w:rPr>
                <w:rFonts w:cstheme="minorHAnsi"/>
              </w:rPr>
            </w:pPr>
            <w:r w:rsidRPr="009A0E71">
              <w:rPr>
                <w:rFonts w:cstheme="minorHAnsi"/>
              </w:rPr>
              <w:t xml:space="preserve">These questions are meant to elicit the providers’ protocols, if they exist, for ensuring a safe return of students to school following a TBI and whether they coordinate with parents and educators for this process. They could also open up the discussion about challenges that these providers face in doing so, if they do not have a protocol or they have trouble getting the parents on board, for instance. </w:t>
            </w:r>
          </w:p>
        </w:tc>
      </w:tr>
      <w:tr w:rsidR="003569B7" w14:paraId="6B367029" w14:textId="77777777" w:rsidTr="005D0392">
        <w:tc>
          <w:tcPr>
            <w:tcW w:w="6745" w:type="dxa"/>
          </w:tcPr>
          <w:p w14:paraId="0D136F8E" w14:textId="3D506797" w:rsidR="003569B7" w:rsidRPr="009A0E71" w:rsidRDefault="003569B7" w:rsidP="005D0392">
            <w:pPr>
              <w:spacing w:line="276" w:lineRule="auto"/>
              <w:rPr>
                <w:rFonts w:ascii="Calibri" w:hAnsi="Calibri" w:cs="Calibri"/>
                <w:b/>
              </w:rPr>
            </w:pPr>
            <w:r w:rsidRPr="009A0E71">
              <w:rPr>
                <w:rFonts w:ascii="Calibri" w:hAnsi="Calibri" w:cs="Calibri"/>
              </w:rPr>
              <w:t xml:space="preserve">E3. </w:t>
            </w:r>
            <w:r w:rsidR="00F52DD3">
              <w:t>Tell us about the processes you go through with children in regard to returning them to playing sports after experiencing a concussion.</w:t>
            </w:r>
          </w:p>
          <w:p w14:paraId="3DAB6511" w14:textId="77777777" w:rsidR="003569B7" w:rsidRPr="009A0E71" w:rsidRDefault="003569B7" w:rsidP="005D0392">
            <w:pPr>
              <w:spacing w:line="276" w:lineRule="auto"/>
              <w:rPr>
                <w:rFonts w:ascii="Calibri" w:hAnsi="Calibri" w:cs="Calibri"/>
                <w:b/>
              </w:rPr>
            </w:pPr>
            <w:r w:rsidRPr="009A0E71">
              <w:rPr>
                <w:rFonts w:ascii="Calibri" w:hAnsi="Calibri" w:cs="Calibri"/>
              </w:rPr>
              <w:t xml:space="preserve">E3i. How do you talk with parents and coaches about this process? </w:t>
            </w:r>
          </w:p>
          <w:p w14:paraId="735105C7" w14:textId="77777777" w:rsidR="003569B7" w:rsidRPr="00C04DD2" w:rsidRDefault="003569B7" w:rsidP="005D0392">
            <w:pPr>
              <w:tabs>
                <w:tab w:val="left" w:pos="144"/>
              </w:tabs>
              <w:rPr>
                <w:rFonts w:cstheme="minorHAnsi"/>
                <w:i/>
                <w:color w:val="000000"/>
              </w:rPr>
            </w:pPr>
          </w:p>
        </w:tc>
        <w:tc>
          <w:tcPr>
            <w:tcW w:w="6925" w:type="dxa"/>
          </w:tcPr>
          <w:p w14:paraId="0657A3E0" w14:textId="77777777" w:rsidR="003569B7" w:rsidRDefault="003569B7" w:rsidP="005D0392">
            <w:pPr>
              <w:rPr>
                <w:rFonts w:cstheme="minorHAnsi"/>
              </w:rPr>
            </w:pPr>
            <w:r>
              <w:rPr>
                <w:rFonts w:cstheme="minorHAnsi"/>
              </w:rPr>
              <w:t>As a companion to E</w:t>
            </w:r>
            <w:r w:rsidRPr="00244BF9">
              <w:rPr>
                <w:rFonts w:cstheme="minorHAnsi"/>
              </w:rPr>
              <w:t xml:space="preserve">2, </w:t>
            </w:r>
            <w:r>
              <w:rPr>
                <w:rFonts w:cstheme="minorHAnsi"/>
              </w:rPr>
              <w:t>these</w:t>
            </w:r>
            <w:r w:rsidRPr="00244BF9">
              <w:rPr>
                <w:rFonts w:cstheme="minorHAnsi"/>
              </w:rPr>
              <w:t xml:space="preserve"> question asks about providers’ experience with returning youth to play/sports safely following a concussion. Often this portion is just as important as returning to school for young athletes, and presents unique challenges (for instance, if the child is serious about athletics or has a coach that is pushing for a quick return).</w:t>
            </w:r>
          </w:p>
        </w:tc>
      </w:tr>
      <w:tr w:rsidR="003569B7" w14:paraId="4932D6F8" w14:textId="77777777" w:rsidTr="005D0392">
        <w:tc>
          <w:tcPr>
            <w:tcW w:w="6745" w:type="dxa"/>
          </w:tcPr>
          <w:p w14:paraId="2279C00B" w14:textId="77777777" w:rsidR="003569B7" w:rsidRPr="00C04DD2" w:rsidRDefault="003569B7" w:rsidP="005D0392">
            <w:pPr>
              <w:tabs>
                <w:tab w:val="left" w:pos="144"/>
              </w:tabs>
              <w:rPr>
                <w:rFonts w:cstheme="minorHAnsi"/>
                <w:i/>
                <w:color w:val="000000"/>
              </w:rPr>
            </w:pPr>
          </w:p>
        </w:tc>
        <w:tc>
          <w:tcPr>
            <w:tcW w:w="6925" w:type="dxa"/>
          </w:tcPr>
          <w:p w14:paraId="33C9363F" w14:textId="77777777" w:rsidR="003569B7" w:rsidRDefault="003569B7" w:rsidP="005D0392">
            <w:pPr>
              <w:rPr>
                <w:rFonts w:cstheme="minorHAnsi"/>
              </w:rPr>
            </w:pPr>
          </w:p>
        </w:tc>
      </w:tr>
      <w:tr w:rsidR="003569B7" w14:paraId="123490D4" w14:textId="77777777" w:rsidTr="005D0392">
        <w:tc>
          <w:tcPr>
            <w:tcW w:w="13670" w:type="dxa"/>
            <w:gridSpan w:val="2"/>
          </w:tcPr>
          <w:p w14:paraId="3E6DB7E5" w14:textId="77777777" w:rsidR="003569B7" w:rsidRDefault="003569B7" w:rsidP="005D0392">
            <w:pPr>
              <w:rPr>
                <w:rFonts w:cstheme="minorHAnsi"/>
              </w:rPr>
            </w:pPr>
            <w:r w:rsidRPr="00AA3A79">
              <w:rPr>
                <w:rFonts w:cstheme="minorHAnsi"/>
                <w:i/>
                <w:color w:val="000000"/>
                <w:highlight w:val="lightGray"/>
              </w:rPr>
              <w:t xml:space="preserve">Research Question: </w:t>
            </w:r>
            <w:r w:rsidRPr="003C75D7">
              <w:rPr>
                <w:rFonts w:cstheme="minorHAnsi"/>
                <w:i/>
                <w:color w:val="000000"/>
                <w:highlight w:val="lightGray"/>
              </w:rPr>
              <w:t>What TBI-related information is lacking among rural health care providers?</w:t>
            </w:r>
          </w:p>
        </w:tc>
      </w:tr>
      <w:tr w:rsidR="003569B7" w14:paraId="6626105F" w14:textId="77777777" w:rsidTr="005D0392">
        <w:tc>
          <w:tcPr>
            <w:tcW w:w="6745" w:type="dxa"/>
          </w:tcPr>
          <w:p w14:paraId="05A4D72E" w14:textId="77777777" w:rsidR="003569B7" w:rsidRPr="00230788" w:rsidRDefault="003569B7" w:rsidP="005D0392">
            <w:pPr>
              <w:tabs>
                <w:tab w:val="left" w:pos="144"/>
              </w:tabs>
              <w:rPr>
                <w:rFonts w:cstheme="minorHAnsi"/>
                <w: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1FDFC21A"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4C155351" w14:textId="77777777" w:rsidTr="005D0392">
        <w:tc>
          <w:tcPr>
            <w:tcW w:w="6745" w:type="dxa"/>
          </w:tcPr>
          <w:p w14:paraId="5D4EFDCD" w14:textId="77777777" w:rsidR="003569B7" w:rsidRDefault="003569B7" w:rsidP="005D0392">
            <w:pPr>
              <w:spacing w:after="200"/>
              <w:rPr>
                <w:rFonts w:cstheme="minorHAnsi"/>
              </w:rPr>
            </w:pPr>
            <w:r>
              <w:rPr>
                <w:rFonts w:cstheme="minorHAnsi"/>
              </w:rPr>
              <w:t>B</w:t>
            </w:r>
            <w:r w:rsidRPr="00EE436C">
              <w:rPr>
                <w:rFonts w:cstheme="minorHAnsi"/>
              </w:rPr>
              <w:t xml:space="preserve">1. What tools do you use to diagnose </w:t>
            </w:r>
            <w:r>
              <w:rPr>
                <w:rFonts w:cstheme="minorHAnsi"/>
              </w:rPr>
              <w:t xml:space="preserve">mild </w:t>
            </w:r>
            <w:r w:rsidRPr="00EE436C">
              <w:rPr>
                <w:rFonts w:cstheme="minorHAnsi"/>
              </w:rPr>
              <w:t xml:space="preserve">TBI? </w:t>
            </w:r>
          </w:p>
        </w:tc>
        <w:tc>
          <w:tcPr>
            <w:tcW w:w="6925" w:type="dxa"/>
          </w:tcPr>
          <w:p w14:paraId="3A6B93E4" w14:textId="77777777" w:rsidR="003569B7" w:rsidRPr="00244BF9" w:rsidRDefault="003569B7" w:rsidP="005D0392">
            <w:pPr>
              <w:rPr>
                <w:rFonts w:cstheme="minorHAnsi"/>
              </w:rPr>
            </w:pPr>
            <w:r>
              <w:rPr>
                <w:rFonts w:cstheme="minorHAnsi"/>
              </w:rPr>
              <w:t xml:space="preserve">This question will allow us to see what tools the rural providers use to diagnose TBI; whether they are using up-to-date, evidence-based tools; and how we might be able to convey to them the information they would need to take advantage of these tools. </w:t>
            </w:r>
            <w:r w:rsidRPr="00EE436C">
              <w:rPr>
                <w:rFonts w:cstheme="minorHAnsi"/>
              </w:rPr>
              <w:t xml:space="preserve"> </w:t>
            </w:r>
          </w:p>
        </w:tc>
      </w:tr>
      <w:tr w:rsidR="003569B7" w14:paraId="44D19761" w14:textId="77777777" w:rsidTr="005D0392">
        <w:tc>
          <w:tcPr>
            <w:tcW w:w="6745" w:type="dxa"/>
          </w:tcPr>
          <w:p w14:paraId="692A1AD2" w14:textId="77777777" w:rsidR="003569B7" w:rsidRPr="00244BF9" w:rsidRDefault="003569B7" w:rsidP="005D0392">
            <w:pPr>
              <w:spacing w:after="200"/>
              <w:rPr>
                <w:rFonts w:cstheme="minorHAnsi"/>
                <w:b/>
              </w:rPr>
            </w:pPr>
            <w:r>
              <w:rPr>
                <w:rFonts w:cstheme="minorHAnsi"/>
              </w:rPr>
              <w:t>F2</w:t>
            </w:r>
            <w:r w:rsidRPr="00244BF9">
              <w:rPr>
                <w:rFonts w:cstheme="minorHAnsi"/>
              </w:rPr>
              <w:t xml:space="preserve">. What </w:t>
            </w:r>
            <w:r>
              <w:rPr>
                <w:rFonts w:cstheme="minorHAnsi"/>
              </w:rPr>
              <w:t xml:space="preserve">mild </w:t>
            </w:r>
            <w:r w:rsidRPr="00244BF9">
              <w:rPr>
                <w:rFonts w:cstheme="minorHAnsi"/>
              </w:rPr>
              <w:t xml:space="preserve">TBI-related information would be helpful to improve patient knowledge and awareness of TBI in your community? </w:t>
            </w:r>
          </w:p>
          <w:p w14:paraId="0F53E6AC" w14:textId="77777777" w:rsidR="003569B7" w:rsidRPr="00244BF9" w:rsidRDefault="003569B7" w:rsidP="005D0392">
            <w:pPr>
              <w:autoSpaceDE w:val="0"/>
              <w:autoSpaceDN w:val="0"/>
              <w:adjustRightInd w:val="0"/>
              <w:rPr>
                <w:rFonts w:cstheme="minorHAnsi"/>
              </w:rPr>
            </w:pPr>
          </w:p>
        </w:tc>
        <w:tc>
          <w:tcPr>
            <w:tcW w:w="6925" w:type="dxa"/>
          </w:tcPr>
          <w:p w14:paraId="20C51C0B" w14:textId="77777777" w:rsidR="003569B7" w:rsidRPr="00244BF9" w:rsidRDefault="003569B7" w:rsidP="005D0392">
            <w:pPr>
              <w:rPr>
                <w:rFonts w:cstheme="minorHAnsi"/>
              </w:rPr>
            </w:pPr>
            <w:r w:rsidRPr="00244BF9">
              <w:rPr>
                <w:rFonts w:cstheme="minorHAnsi"/>
              </w:rPr>
              <w:t>This question will allow us to directly assess what TBI information these providers think is lacking among themselves and their peers.</w:t>
            </w:r>
          </w:p>
        </w:tc>
      </w:tr>
      <w:tr w:rsidR="003569B7" w14:paraId="21853F6D" w14:textId="77777777" w:rsidTr="005D0392">
        <w:tc>
          <w:tcPr>
            <w:tcW w:w="6745" w:type="dxa"/>
          </w:tcPr>
          <w:p w14:paraId="37A945B9" w14:textId="77777777" w:rsidR="003569B7" w:rsidRPr="00C04DD2" w:rsidRDefault="003569B7" w:rsidP="005D0392">
            <w:pPr>
              <w:tabs>
                <w:tab w:val="left" w:pos="144"/>
              </w:tabs>
              <w:rPr>
                <w:rFonts w:cstheme="minorHAnsi"/>
                <w:i/>
                <w:color w:val="000000"/>
              </w:rPr>
            </w:pPr>
          </w:p>
        </w:tc>
        <w:tc>
          <w:tcPr>
            <w:tcW w:w="6925" w:type="dxa"/>
          </w:tcPr>
          <w:p w14:paraId="73E489BE" w14:textId="77777777" w:rsidR="003569B7" w:rsidRDefault="003569B7" w:rsidP="005D0392">
            <w:pPr>
              <w:rPr>
                <w:rFonts w:cstheme="minorHAnsi"/>
              </w:rPr>
            </w:pPr>
          </w:p>
        </w:tc>
      </w:tr>
      <w:tr w:rsidR="003569B7" w14:paraId="7A12B888" w14:textId="77777777" w:rsidTr="005D0392">
        <w:tc>
          <w:tcPr>
            <w:tcW w:w="13670" w:type="dxa"/>
            <w:gridSpan w:val="2"/>
            <w:vAlign w:val="center"/>
          </w:tcPr>
          <w:p w14:paraId="0FDF06C0" w14:textId="77777777" w:rsidR="003569B7" w:rsidRPr="00953789" w:rsidRDefault="003569B7" w:rsidP="005D0392">
            <w:pPr>
              <w:rPr>
                <w:rFonts w:cstheme="minorHAnsi"/>
                <w:b/>
              </w:rPr>
            </w:pPr>
            <w:r w:rsidRPr="002A3973">
              <w:rPr>
                <w:rFonts w:cstheme="minorHAnsi"/>
                <w:b/>
                <w:highlight w:val="cyan"/>
              </w:rPr>
              <w:t xml:space="preserve">Key Topic:  </w:t>
            </w:r>
            <w:r w:rsidRPr="002A3973">
              <w:rPr>
                <w:rFonts w:cstheme="minorHAnsi"/>
                <w:b/>
                <w:color w:val="000000"/>
                <w:highlight w:val="cyan"/>
              </w:rPr>
              <w:t xml:space="preserve">Identify </w:t>
            </w:r>
            <w:r w:rsidRPr="002A3973">
              <w:rPr>
                <w:rFonts w:cstheme="minorHAnsi"/>
                <w:b/>
                <w:highlight w:val="cyan"/>
              </w:rPr>
              <w:t>areas for future research that will allow us to better understand these challenges and potential ways to address them.</w:t>
            </w:r>
          </w:p>
        </w:tc>
      </w:tr>
      <w:tr w:rsidR="003569B7" w14:paraId="51DD0E71" w14:textId="77777777" w:rsidTr="005D0392">
        <w:tc>
          <w:tcPr>
            <w:tcW w:w="6745" w:type="dxa"/>
          </w:tcPr>
          <w:p w14:paraId="3B3E2FDE" w14:textId="77777777" w:rsidR="003569B7" w:rsidRPr="00230788" w:rsidRDefault="003569B7" w:rsidP="005D0392">
            <w:pPr>
              <w:tabs>
                <w:tab w:val="left" w:pos="144"/>
              </w:tabs>
              <w:rPr>
                <w:rFonts w:cstheme="minorHAns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5BBF383B"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099E1750" w14:textId="77777777" w:rsidTr="005D0392">
        <w:tc>
          <w:tcPr>
            <w:tcW w:w="6745" w:type="dxa"/>
          </w:tcPr>
          <w:p w14:paraId="287FEB2E" w14:textId="50A2CE2B" w:rsidR="003569B7" w:rsidRPr="00244BF9" w:rsidRDefault="003569B7" w:rsidP="005D0392">
            <w:pPr>
              <w:spacing w:after="200"/>
              <w:rPr>
                <w:rFonts w:cstheme="minorHAnsi"/>
              </w:rPr>
            </w:pPr>
            <w:r>
              <w:rPr>
                <w:rFonts w:cstheme="minorHAnsi"/>
              </w:rPr>
              <w:t>F</w:t>
            </w:r>
            <w:r w:rsidR="00711A78">
              <w:rPr>
                <w:rFonts w:cstheme="minorHAnsi"/>
              </w:rPr>
              <w:t>5</w:t>
            </w:r>
            <w:r w:rsidRPr="00244BF9">
              <w:rPr>
                <w:rFonts w:cstheme="minorHAnsi"/>
              </w:rPr>
              <w:t xml:space="preserve">. What do you want the CDC to know about </w:t>
            </w:r>
            <w:r>
              <w:rPr>
                <w:rFonts w:cstheme="minorHAnsi"/>
              </w:rPr>
              <w:t xml:space="preserve">mild </w:t>
            </w:r>
            <w:r w:rsidRPr="00244BF9">
              <w:rPr>
                <w:rFonts w:cstheme="minorHAnsi"/>
              </w:rPr>
              <w:t xml:space="preserve">TBI in rural communities? </w:t>
            </w:r>
          </w:p>
          <w:p w14:paraId="4E6E0D4A" w14:textId="77777777" w:rsidR="003569B7" w:rsidRPr="00244BF9" w:rsidRDefault="003569B7" w:rsidP="005D0392">
            <w:pPr>
              <w:tabs>
                <w:tab w:val="left" w:pos="144"/>
              </w:tabs>
              <w:rPr>
                <w:rFonts w:cstheme="minorHAnsi"/>
              </w:rPr>
            </w:pPr>
          </w:p>
        </w:tc>
        <w:tc>
          <w:tcPr>
            <w:tcW w:w="6925" w:type="dxa"/>
          </w:tcPr>
          <w:p w14:paraId="6F00B7F5" w14:textId="77777777" w:rsidR="003569B7" w:rsidRPr="00244BF9" w:rsidRDefault="003569B7" w:rsidP="005D0392">
            <w:pPr>
              <w:rPr>
                <w:rFonts w:cstheme="minorHAnsi"/>
              </w:rPr>
            </w:pPr>
            <w:r w:rsidRPr="00244BF9">
              <w:rPr>
                <w:rFonts w:cstheme="minorHAnsi"/>
              </w:rPr>
              <w:t>This question will allow respondents to speak to any TBI-related issue that is important to them; we hope that responses to this question will expand our view of what’s happening on the ground in rural areas and let us know exactly where the challenges and opportunities lie.</w:t>
            </w:r>
          </w:p>
        </w:tc>
      </w:tr>
      <w:tr w:rsidR="003569B7" w14:paraId="5B2825D7" w14:textId="77777777" w:rsidTr="005D0392">
        <w:tc>
          <w:tcPr>
            <w:tcW w:w="6745" w:type="dxa"/>
          </w:tcPr>
          <w:p w14:paraId="10F0FB5B" w14:textId="77777777" w:rsidR="003569B7" w:rsidRPr="00230788" w:rsidRDefault="003569B7" w:rsidP="005D0392">
            <w:pPr>
              <w:tabs>
                <w:tab w:val="left" w:pos="144"/>
              </w:tabs>
              <w:rPr>
                <w:rFonts w:cstheme="minorHAnsi"/>
                <w:color w:val="0070C0"/>
              </w:rPr>
            </w:pPr>
          </w:p>
        </w:tc>
        <w:tc>
          <w:tcPr>
            <w:tcW w:w="6925" w:type="dxa"/>
          </w:tcPr>
          <w:p w14:paraId="07E79ABE" w14:textId="77777777" w:rsidR="003569B7" w:rsidRPr="00230788" w:rsidRDefault="003569B7" w:rsidP="005D0392">
            <w:pPr>
              <w:rPr>
                <w:rFonts w:cstheme="minorHAnsi"/>
                <w:color w:val="0070C0"/>
              </w:rPr>
            </w:pPr>
          </w:p>
        </w:tc>
      </w:tr>
      <w:tr w:rsidR="003569B7" w14:paraId="7F4D88A8" w14:textId="77777777" w:rsidTr="005D0392">
        <w:tc>
          <w:tcPr>
            <w:tcW w:w="13670" w:type="dxa"/>
            <w:gridSpan w:val="2"/>
          </w:tcPr>
          <w:p w14:paraId="2E409980" w14:textId="77777777" w:rsidR="003569B7" w:rsidRPr="00BE547C" w:rsidRDefault="003569B7" w:rsidP="005D0392">
            <w:pPr>
              <w:rPr>
                <w:rFonts w:cstheme="minorHAnsi"/>
                <w:i/>
                <w:color w:val="0070C0"/>
              </w:rPr>
            </w:pPr>
            <w:r>
              <w:rPr>
                <w:rFonts w:cstheme="minorHAnsi"/>
                <w:i/>
                <w:color w:val="000000"/>
                <w:highlight w:val="lightGray"/>
              </w:rPr>
              <w:t xml:space="preserve">Research Question: </w:t>
            </w:r>
            <w:r w:rsidRPr="00BE547C">
              <w:rPr>
                <w:rFonts w:cstheme="minorHAnsi"/>
                <w:i/>
                <w:color w:val="000000"/>
                <w:highlight w:val="lightGray"/>
              </w:rPr>
              <w:t>Which, if any, innovative approaches have rural providers tried or would like to try to overcome these challenges?</w:t>
            </w:r>
          </w:p>
        </w:tc>
      </w:tr>
      <w:tr w:rsidR="003569B7" w14:paraId="2A118E14" w14:textId="77777777" w:rsidTr="005D0392">
        <w:tc>
          <w:tcPr>
            <w:tcW w:w="6745" w:type="dxa"/>
          </w:tcPr>
          <w:p w14:paraId="5C8087F8" w14:textId="77777777" w:rsidR="003569B7" w:rsidRPr="00230788" w:rsidRDefault="003569B7" w:rsidP="005D0392">
            <w:pPr>
              <w:tabs>
                <w:tab w:val="left" w:pos="144"/>
              </w:tabs>
              <w:rPr>
                <w:rFonts w:cstheme="minorHAns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49ED2782"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7D420593" w14:textId="77777777" w:rsidTr="005D0392">
        <w:tc>
          <w:tcPr>
            <w:tcW w:w="6745" w:type="dxa"/>
          </w:tcPr>
          <w:p w14:paraId="7E8465A9" w14:textId="77777777" w:rsidR="003569B7" w:rsidRPr="00244BF9" w:rsidRDefault="003569B7" w:rsidP="005D0392">
            <w:pPr>
              <w:rPr>
                <w:rFonts w:cstheme="minorHAnsi"/>
                <w:b/>
                <w:i/>
              </w:rPr>
            </w:pPr>
            <w:r>
              <w:rPr>
                <w:rFonts w:cstheme="minorHAnsi"/>
              </w:rPr>
              <w:t>B4</w:t>
            </w:r>
            <w:r w:rsidRPr="00244BF9">
              <w:rPr>
                <w:rFonts w:cstheme="minorHAnsi"/>
              </w:rPr>
              <w:t xml:space="preserve">. How do you manage these challenges? </w:t>
            </w:r>
          </w:p>
          <w:p w14:paraId="383D00C7" w14:textId="77777777" w:rsidR="003569B7" w:rsidRPr="00244BF9" w:rsidRDefault="003569B7" w:rsidP="005D0392">
            <w:pPr>
              <w:tabs>
                <w:tab w:val="left" w:pos="144"/>
              </w:tabs>
              <w:rPr>
                <w:rFonts w:cstheme="minorHAnsi"/>
              </w:rPr>
            </w:pPr>
          </w:p>
        </w:tc>
        <w:tc>
          <w:tcPr>
            <w:tcW w:w="6925" w:type="dxa"/>
          </w:tcPr>
          <w:p w14:paraId="175399DA" w14:textId="77777777" w:rsidR="003569B7" w:rsidRPr="008F116F" w:rsidRDefault="003569B7" w:rsidP="005D0392">
            <w:pPr>
              <w:rPr>
                <w:rFonts w:cstheme="minorHAnsi"/>
              </w:rPr>
            </w:pPr>
            <w:r>
              <w:rPr>
                <w:rFonts w:cstheme="minorHAnsi"/>
              </w:rPr>
              <w:t>This</w:t>
            </w:r>
            <w:r w:rsidRPr="008F116F">
              <w:rPr>
                <w:rFonts w:cstheme="minorHAnsi"/>
              </w:rPr>
              <w:t xml:space="preserve"> is a follow-up question to the general “do you experience any challenges or difficulties in diagnosing</w:t>
            </w:r>
            <w:r>
              <w:rPr>
                <w:rFonts w:cstheme="minorHAnsi"/>
              </w:rPr>
              <w:t>/treating/referring</w:t>
            </w:r>
            <w:r w:rsidRPr="008F116F">
              <w:rPr>
                <w:rFonts w:cstheme="minorHAnsi"/>
              </w:rPr>
              <w:t xml:space="preserve">” TBI question. </w:t>
            </w:r>
            <w:r>
              <w:rPr>
                <w:rFonts w:cstheme="minorHAnsi"/>
              </w:rPr>
              <w:t>B</w:t>
            </w:r>
            <w:r w:rsidRPr="008F116F">
              <w:rPr>
                <w:rFonts w:cstheme="minorHAnsi"/>
              </w:rPr>
              <w:t>4</w:t>
            </w:r>
            <w:r>
              <w:rPr>
                <w:rFonts w:cstheme="minorHAnsi"/>
              </w:rPr>
              <w:t xml:space="preserve"> </w:t>
            </w:r>
            <w:r w:rsidRPr="008F116F">
              <w:rPr>
                <w:rFonts w:cstheme="minorHAnsi"/>
              </w:rPr>
              <w:t>will allow the providers to talk about their experience and ideas about managing these challenges, in both typical and innovative ways that might be of use to other rural healthcare providers in similar situations.</w:t>
            </w:r>
          </w:p>
        </w:tc>
      </w:tr>
      <w:tr w:rsidR="003569B7" w14:paraId="7625ED33" w14:textId="77777777" w:rsidTr="005D0392">
        <w:tc>
          <w:tcPr>
            <w:tcW w:w="6745" w:type="dxa"/>
          </w:tcPr>
          <w:p w14:paraId="68DCE03F" w14:textId="10CC17F3" w:rsidR="003569B7" w:rsidRPr="003D303C" w:rsidRDefault="003569B7" w:rsidP="005D0392">
            <w:pPr>
              <w:rPr>
                <w:rFonts w:cstheme="minorHAnsi"/>
              </w:rPr>
            </w:pPr>
          </w:p>
          <w:p w14:paraId="7C93B6DC" w14:textId="77777777" w:rsidR="003569B7" w:rsidRPr="00244BF9" w:rsidRDefault="003569B7" w:rsidP="005D0392">
            <w:pPr>
              <w:rPr>
                <w:rFonts w:cstheme="minorHAnsi"/>
              </w:rPr>
            </w:pPr>
          </w:p>
        </w:tc>
        <w:tc>
          <w:tcPr>
            <w:tcW w:w="6925" w:type="dxa"/>
          </w:tcPr>
          <w:p w14:paraId="49DB1E4B" w14:textId="4AEA6868" w:rsidR="003569B7" w:rsidRPr="00230788" w:rsidRDefault="003569B7" w:rsidP="005D0392">
            <w:pPr>
              <w:rPr>
                <w:rFonts w:cstheme="minorHAnsi"/>
                <w:color w:val="0070C0"/>
              </w:rPr>
            </w:pPr>
          </w:p>
        </w:tc>
      </w:tr>
      <w:tr w:rsidR="003569B7" w14:paraId="3899B1C9" w14:textId="77777777" w:rsidTr="005D0392">
        <w:tc>
          <w:tcPr>
            <w:tcW w:w="6745" w:type="dxa"/>
          </w:tcPr>
          <w:p w14:paraId="2809A215" w14:textId="77777777" w:rsidR="003569B7" w:rsidRPr="00230788" w:rsidRDefault="003569B7" w:rsidP="005D0392">
            <w:pPr>
              <w:tabs>
                <w:tab w:val="left" w:pos="144"/>
              </w:tabs>
              <w:rPr>
                <w:rFonts w:cstheme="minorHAnsi"/>
                <w:color w:val="0070C0"/>
              </w:rPr>
            </w:pPr>
          </w:p>
        </w:tc>
        <w:tc>
          <w:tcPr>
            <w:tcW w:w="6925" w:type="dxa"/>
          </w:tcPr>
          <w:p w14:paraId="149BD07B" w14:textId="77777777" w:rsidR="003569B7" w:rsidRPr="00230788" w:rsidRDefault="003569B7" w:rsidP="005D0392">
            <w:pPr>
              <w:rPr>
                <w:rFonts w:cstheme="minorHAnsi"/>
                <w:color w:val="0070C0"/>
              </w:rPr>
            </w:pPr>
          </w:p>
        </w:tc>
      </w:tr>
      <w:tr w:rsidR="003569B7" w14:paraId="5140A29C" w14:textId="77777777" w:rsidTr="005D0392">
        <w:tc>
          <w:tcPr>
            <w:tcW w:w="13670" w:type="dxa"/>
            <w:gridSpan w:val="2"/>
          </w:tcPr>
          <w:p w14:paraId="7B464136" w14:textId="77777777" w:rsidR="003569B7" w:rsidRPr="00230788" w:rsidRDefault="003569B7" w:rsidP="005D0392">
            <w:pPr>
              <w:rPr>
                <w:rFonts w:cstheme="minorHAnsi"/>
                <w:color w:val="0070C0"/>
              </w:rPr>
            </w:pPr>
            <w:r w:rsidRPr="00AA3A79">
              <w:rPr>
                <w:rFonts w:cstheme="minorHAnsi"/>
                <w:i/>
                <w:color w:val="000000"/>
                <w:highlight w:val="lightGray"/>
              </w:rPr>
              <w:t xml:space="preserve">Research Question: </w:t>
            </w:r>
            <w:r w:rsidRPr="003C75D7">
              <w:rPr>
                <w:rFonts w:cstheme="minorHAnsi"/>
                <w:i/>
                <w:color w:val="000000"/>
                <w:highlight w:val="lightGray"/>
              </w:rPr>
              <w:t>What resources are needed for rural providers to improve their TBI-related practice, including any training and decision support tools?</w:t>
            </w:r>
          </w:p>
        </w:tc>
      </w:tr>
      <w:tr w:rsidR="003569B7" w14:paraId="395AB26E" w14:textId="77777777" w:rsidTr="005D0392">
        <w:tc>
          <w:tcPr>
            <w:tcW w:w="6745" w:type="dxa"/>
          </w:tcPr>
          <w:p w14:paraId="37AB2D63" w14:textId="77777777" w:rsidR="003569B7" w:rsidRPr="00230788" w:rsidRDefault="003569B7" w:rsidP="005D0392">
            <w:pPr>
              <w:tabs>
                <w:tab w:val="left" w:pos="144"/>
              </w:tabs>
              <w:rPr>
                <w:rFonts w:cstheme="minorHAnsi"/>
                <w:i/>
                <w:color w:val="0070C0"/>
              </w:rPr>
            </w:pPr>
            <w:r>
              <w:rPr>
                <w:rFonts w:cstheme="minorHAnsi"/>
                <w:color w:val="0070C0"/>
              </w:rPr>
              <w:t>Focus Group</w:t>
            </w:r>
            <w:r w:rsidRPr="00230788">
              <w:rPr>
                <w:rFonts w:cstheme="minorHAnsi"/>
                <w:color w:val="0070C0"/>
              </w:rPr>
              <w:t xml:space="preserve"> </w:t>
            </w:r>
            <w:r>
              <w:rPr>
                <w:rFonts w:cstheme="minorHAnsi"/>
                <w:color w:val="0070C0"/>
              </w:rPr>
              <w:t xml:space="preserve">Discussion </w:t>
            </w:r>
            <w:r w:rsidRPr="00230788">
              <w:rPr>
                <w:rFonts w:cstheme="minorHAnsi"/>
                <w:color w:val="0070C0"/>
              </w:rPr>
              <w:t>Question</w:t>
            </w:r>
          </w:p>
        </w:tc>
        <w:tc>
          <w:tcPr>
            <w:tcW w:w="6925" w:type="dxa"/>
          </w:tcPr>
          <w:p w14:paraId="3CF90C53" w14:textId="77777777" w:rsidR="003569B7" w:rsidRPr="00230788" w:rsidRDefault="003569B7" w:rsidP="005D0392">
            <w:pPr>
              <w:rPr>
                <w:rFonts w:cstheme="minorHAnsi"/>
                <w:color w:val="0070C0"/>
              </w:rPr>
            </w:pPr>
            <w:r w:rsidRPr="00230788">
              <w:rPr>
                <w:rFonts w:cstheme="minorHAnsi"/>
                <w:color w:val="0070C0"/>
              </w:rPr>
              <w:t>Purpose</w:t>
            </w:r>
          </w:p>
        </w:tc>
      </w:tr>
      <w:tr w:rsidR="003569B7" w14:paraId="472AAC51" w14:textId="77777777" w:rsidTr="005D0392">
        <w:tc>
          <w:tcPr>
            <w:tcW w:w="6745" w:type="dxa"/>
          </w:tcPr>
          <w:p w14:paraId="677BFD7A" w14:textId="1DB44928" w:rsidR="003569B7" w:rsidRPr="00244BF9" w:rsidRDefault="003569B7" w:rsidP="005D0392">
            <w:pPr>
              <w:rPr>
                <w:rFonts w:cstheme="minorHAnsi"/>
                <w:b/>
              </w:rPr>
            </w:pPr>
            <w:r>
              <w:rPr>
                <w:rFonts w:cstheme="minorHAnsi"/>
              </w:rPr>
              <w:t>A</w:t>
            </w:r>
            <w:r w:rsidRPr="00244BF9">
              <w:rPr>
                <w:rFonts w:cstheme="minorHAnsi"/>
              </w:rPr>
              <w:t xml:space="preserve">3. How prepared do you feel to diagnose and manage patients with </w:t>
            </w:r>
            <w:r>
              <w:rPr>
                <w:rFonts w:cstheme="minorHAnsi"/>
              </w:rPr>
              <w:t xml:space="preserve">mild </w:t>
            </w:r>
            <w:r w:rsidRPr="00244BF9">
              <w:rPr>
                <w:rFonts w:cstheme="minorHAnsi"/>
              </w:rPr>
              <w:t>TBI</w:t>
            </w:r>
            <w:r w:rsidR="00216BBE">
              <w:rPr>
                <w:rFonts w:cstheme="minorHAnsi"/>
              </w:rPr>
              <w:t xml:space="preserve"> </w:t>
            </w:r>
            <w:r w:rsidR="00216BBE">
              <w:t>with respect to the training you have received, opportunities for your continuing education, and the frequency with which you are able to treat concussion/mTBI in your patient population?</w:t>
            </w:r>
          </w:p>
          <w:p w14:paraId="1AB81128" w14:textId="77777777" w:rsidR="003569B7" w:rsidRPr="00244BF9" w:rsidRDefault="003569B7" w:rsidP="005D0392">
            <w:pPr>
              <w:rPr>
                <w:rFonts w:cstheme="minorHAnsi"/>
              </w:rPr>
            </w:pPr>
          </w:p>
        </w:tc>
        <w:tc>
          <w:tcPr>
            <w:tcW w:w="6925" w:type="dxa"/>
          </w:tcPr>
          <w:p w14:paraId="2276EB39" w14:textId="77777777" w:rsidR="003569B7" w:rsidRPr="00244BF9" w:rsidRDefault="003569B7" w:rsidP="005D0392">
            <w:pPr>
              <w:rPr>
                <w:rFonts w:cstheme="minorHAnsi"/>
              </w:rPr>
            </w:pPr>
            <w:r w:rsidRPr="00244BF9">
              <w:rPr>
                <w:rFonts w:cstheme="minorHAnsi"/>
              </w:rPr>
              <w:t xml:space="preserve">This question will serve as </w:t>
            </w:r>
            <w:r>
              <w:rPr>
                <w:rFonts w:cstheme="minorHAnsi"/>
              </w:rPr>
              <w:t>a way for us to learn</w:t>
            </w:r>
            <w:r w:rsidRPr="00244BF9">
              <w:rPr>
                <w:rFonts w:cstheme="minorHAnsi"/>
              </w:rPr>
              <w:t xml:space="preserve"> about challenges and difficulties the providers face in diagnosing and managing TBI in their patient populations. The participants can let </w:t>
            </w:r>
            <w:r>
              <w:rPr>
                <w:rFonts w:cstheme="minorHAnsi"/>
              </w:rPr>
              <w:t>us know if they feel unprepared, why they might feel this way, and whether training or lack of training plays a role in this feeling.</w:t>
            </w:r>
          </w:p>
        </w:tc>
      </w:tr>
      <w:tr w:rsidR="003569B7" w14:paraId="3FA67B9B" w14:textId="77777777" w:rsidTr="005D0392">
        <w:tc>
          <w:tcPr>
            <w:tcW w:w="6745" w:type="dxa"/>
          </w:tcPr>
          <w:p w14:paraId="4B218B9F" w14:textId="06B816EC" w:rsidR="003569B7" w:rsidRPr="00244BF9" w:rsidRDefault="003569B7" w:rsidP="005D0392">
            <w:pPr>
              <w:rPr>
                <w:rFonts w:cstheme="minorHAnsi"/>
              </w:rPr>
            </w:pPr>
            <w:r w:rsidRPr="00244BF9">
              <w:rPr>
                <w:rFonts w:cstheme="minorHAnsi"/>
              </w:rPr>
              <w:t xml:space="preserve"> </w:t>
            </w:r>
          </w:p>
          <w:p w14:paraId="60F637B0" w14:textId="77777777" w:rsidR="003569B7" w:rsidRPr="00244BF9" w:rsidRDefault="003569B7" w:rsidP="005D0392">
            <w:pPr>
              <w:tabs>
                <w:tab w:val="left" w:pos="144"/>
              </w:tabs>
              <w:rPr>
                <w:rFonts w:cstheme="minorHAnsi"/>
              </w:rPr>
            </w:pPr>
          </w:p>
        </w:tc>
        <w:tc>
          <w:tcPr>
            <w:tcW w:w="6925" w:type="dxa"/>
          </w:tcPr>
          <w:p w14:paraId="60C34E7A" w14:textId="5F540757" w:rsidR="003569B7" w:rsidRPr="00244BF9" w:rsidRDefault="003569B7" w:rsidP="005D0392">
            <w:pPr>
              <w:rPr>
                <w:rFonts w:cstheme="minorHAnsi"/>
              </w:rPr>
            </w:pPr>
          </w:p>
        </w:tc>
      </w:tr>
      <w:tr w:rsidR="003569B7" w14:paraId="4D505573" w14:textId="77777777" w:rsidTr="005D0392">
        <w:tc>
          <w:tcPr>
            <w:tcW w:w="6745" w:type="dxa"/>
          </w:tcPr>
          <w:p w14:paraId="2D9358C5" w14:textId="1941C11C" w:rsidR="00DA1881" w:rsidRPr="00DA1881" w:rsidRDefault="00DA1881" w:rsidP="00DA1881">
            <w:pPr>
              <w:spacing w:after="200" w:line="276" w:lineRule="auto"/>
              <w:ind w:left="60" w:hanging="60"/>
              <w:rPr>
                <w:b/>
              </w:rPr>
            </w:pPr>
            <w:r w:rsidRPr="003D303C">
              <w:rPr>
                <w:rFonts w:cstheme="minorHAnsi"/>
              </w:rPr>
              <w:t xml:space="preserve">F1. </w:t>
            </w:r>
            <w:r w:rsidRPr="00B17491">
              <w:t xml:space="preserve">What </w:t>
            </w:r>
            <w:r>
              <w:t xml:space="preserve">mild </w:t>
            </w:r>
            <w:r w:rsidRPr="00B17491">
              <w:t xml:space="preserve">TBI-related information would be helpful </w:t>
            </w:r>
            <w:r>
              <w:t>to improve patient knowledge and awareness of TBI in your community</w:t>
            </w:r>
            <w:r w:rsidRPr="00B17491">
              <w:t xml:space="preserve">? </w:t>
            </w:r>
          </w:p>
          <w:p w14:paraId="70E0C89D" w14:textId="35AA89DF" w:rsidR="003569B7" w:rsidRPr="00047943" w:rsidRDefault="003569B7" w:rsidP="005D0392">
            <w:pPr>
              <w:rPr>
                <w:rFonts w:cstheme="minorHAnsi"/>
              </w:rPr>
            </w:pPr>
            <w:r w:rsidRPr="00047943">
              <w:rPr>
                <w:rFonts w:cstheme="minorHAnsi"/>
              </w:rPr>
              <w:t>F</w:t>
            </w:r>
            <w:r w:rsidR="00DA1881">
              <w:rPr>
                <w:rFonts w:cstheme="minorHAnsi"/>
              </w:rPr>
              <w:t>2</w:t>
            </w:r>
            <w:r w:rsidRPr="00047943">
              <w:rPr>
                <w:rFonts w:cstheme="minorHAnsi"/>
              </w:rPr>
              <w:t>. What clinical training/continuing education</w:t>
            </w:r>
            <w:r w:rsidR="00DA1881">
              <w:rPr>
                <w:rFonts w:cstheme="minorHAnsi"/>
              </w:rPr>
              <w:t>, if any,</w:t>
            </w:r>
            <w:r w:rsidRPr="00047943">
              <w:rPr>
                <w:rFonts w:cstheme="minorHAnsi"/>
              </w:rPr>
              <w:t xml:space="preserve"> would be helpful to improve your mild TBI-related practice? </w:t>
            </w:r>
          </w:p>
          <w:p w14:paraId="7A7D3108" w14:textId="6A77EDC0" w:rsidR="003569B7" w:rsidRPr="00047943" w:rsidRDefault="003569B7" w:rsidP="005D0392">
            <w:pPr>
              <w:spacing w:line="276" w:lineRule="auto"/>
              <w:rPr>
                <w:rFonts w:cstheme="minorHAnsi"/>
                <w:b/>
                <w:i/>
              </w:rPr>
            </w:pPr>
            <w:r w:rsidRPr="00047943">
              <w:rPr>
                <w:rFonts w:cstheme="minorHAnsi"/>
              </w:rPr>
              <w:t>F</w:t>
            </w:r>
            <w:r w:rsidR="00DA1881">
              <w:rPr>
                <w:rFonts w:cstheme="minorHAnsi"/>
              </w:rPr>
              <w:t>3</w:t>
            </w:r>
            <w:r w:rsidRPr="00047943">
              <w:rPr>
                <w:rFonts w:cstheme="minorHAnsi"/>
              </w:rPr>
              <w:t>. What kind of mild TBI training experiences have you found helpful? These can be informal or formal.</w:t>
            </w:r>
          </w:p>
          <w:p w14:paraId="2FCF05CE" w14:textId="1FDB1E0B" w:rsidR="003569B7" w:rsidRPr="00047943" w:rsidRDefault="003569B7" w:rsidP="005D0392">
            <w:pPr>
              <w:rPr>
                <w:rFonts w:cstheme="minorHAnsi"/>
              </w:rPr>
            </w:pPr>
            <w:r w:rsidRPr="00047943">
              <w:rPr>
                <w:rFonts w:cstheme="minorHAnsi"/>
              </w:rPr>
              <w:t>F</w:t>
            </w:r>
            <w:r w:rsidR="00DA1881">
              <w:rPr>
                <w:rFonts w:cstheme="minorHAnsi"/>
              </w:rPr>
              <w:t>4</w:t>
            </w:r>
            <w:r w:rsidRPr="00047943">
              <w:rPr>
                <w:rFonts w:cstheme="minorHAnsi"/>
              </w:rPr>
              <w:t xml:space="preserve">. What other resources </w:t>
            </w:r>
            <w:r w:rsidR="00DA1881">
              <w:rPr>
                <w:rFonts w:cstheme="minorHAnsi"/>
              </w:rPr>
              <w:t>might</w:t>
            </w:r>
            <w:r w:rsidR="00DA1881" w:rsidRPr="00047943">
              <w:rPr>
                <w:rFonts w:cstheme="minorHAnsi"/>
              </w:rPr>
              <w:t xml:space="preserve"> </w:t>
            </w:r>
            <w:r w:rsidRPr="00047943">
              <w:rPr>
                <w:rFonts w:cstheme="minorHAnsi"/>
              </w:rPr>
              <w:t xml:space="preserve">be helpful to improve your </w:t>
            </w:r>
            <w:r>
              <w:rPr>
                <w:rFonts w:cstheme="minorHAnsi"/>
              </w:rPr>
              <w:t xml:space="preserve">mild </w:t>
            </w:r>
            <w:r w:rsidRPr="00047943">
              <w:rPr>
                <w:rFonts w:cstheme="minorHAnsi"/>
              </w:rPr>
              <w:t>TBI-related practice?</w:t>
            </w:r>
          </w:p>
          <w:p w14:paraId="341E7A17" w14:textId="77777777" w:rsidR="003569B7" w:rsidRPr="00244BF9" w:rsidRDefault="003569B7" w:rsidP="005D0392">
            <w:pPr>
              <w:autoSpaceDE w:val="0"/>
              <w:autoSpaceDN w:val="0"/>
              <w:adjustRightInd w:val="0"/>
              <w:rPr>
                <w:rFonts w:cstheme="minorHAnsi"/>
              </w:rPr>
            </w:pPr>
          </w:p>
        </w:tc>
        <w:tc>
          <w:tcPr>
            <w:tcW w:w="6925" w:type="dxa"/>
          </w:tcPr>
          <w:p w14:paraId="103E9E6C" w14:textId="77777777" w:rsidR="003569B7" w:rsidRPr="00244BF9" w:rsidRDefault="003569B7" w:rsidP="005D0392">
            <w:pPr>
              <w:rPr>
                <w:rFonts w:cstheme="minorHAnsi"/>
              </w:rPr>
            </w:pPr>
            <w:r w:rsidRPr="00244BF9">
              <w:rPr>
                <w:rFonts w:cstheme="minorHAnsi"/>
              </w:rPr>
              <w:t xml:space="preserve">These questions directly ask the providers what type of training </w:t>
            </w:r>
            <w:r>
              <w:rPr>
                <w:rFonts w:cstheme="minorHAnsi"/>
              </w:rPr>
              <w:t xml:space="preserve">and experiences </w:t>
            </w:r>
            <w:r w:rsidRPr="00244BF9">
              <w:rPr>
                <w:rFonts w:cstheme="minorHAnsi"/>
              </w:rPr>
              <w:t>they have had in the recent past and what they would like to see in the future to help them improve their TBI practice.</w:t>
            </w:r>
          </w:p>
        </w:tc>
      </w:tr>
    </w:tbl>
    <w:p w14:paraId="6CDCE6A0" w14:textId="77777777" w:rsidR="00EF08C1" w:rsidRDefault="00EF08C1" w:rsidP="0059475A">
      <w:pPr>
        <w:spacing w:after="240" w:line="240" w:lineRule="auto"/>
        <w:ind w:firstLine="360"/>
        <w:rPr>
          <w:rFonts w:ascii="Times New Roman" w:hAnsi="Times New Roman" w:cs="Times New Roman"/>
          <w:sz w:val="24"/>
          <w:szCs w:val="24"/>
        </w:rPr>
        <w:sectPr w:rsidR="00EF08C1" w:rsidSect="00EF08C1">
          <w:pgSz w:w="15840" w:h="12240" w:orient="landscape"/>
          <w:pgMar w:top="1440" w:right="1440" w:bottom="1440" w:left="1440" w:header="720" w:footer="720" w:gutter="0"/>
          <w:cols w:space="720"/>
          <w:docGrid w:linePitch="360"/>
        </w:sectPr>
      </w:pPr>
    </w:p>
    <w:p w14:paraId="68A3CEB8" w14:textId="77777777" w:rsidR="00884A3A" w:rsidRDefault="002E378B" w:rsidP="00C43528">
      <w:pPr>
        <w:spacing w:after="0"/>
        <w:rPr>
          <w:rFonts w:ascii="Times New Roman" w:hAnsi="Times New Roman" w:cs="Times New Roman"/>
          <w:sz w:val="24"/>
          <w:szCs w:val="24"/>
        </w:rPr>
      </w:pPr>
      <w:r w:rsidRPr="00C43528">
        <w:rPr>
          <w:rFonts w:ascii="Times New Roman" w:hAnsi="Times New Roman" w:cs="Times New Roman"/>
          <w:sz w:val="24"/>
          <w:szCs w:val="24"/>
        </w:rPr>
        <w:t>The</w:t>
      </w:r>
      <w:r w:rsidR="00E23DE7" w:rsidRPr="00C43528">
        <w:rPr>
          <w:rFonts w:ascii="Times New Roman" w:hAnsi="Times New Roman" w:cs="Times New Roman"/>
          <w:sz w:val="24"/>
          <w:szCs w:val="24"/>
        </w:rPr>
        <w:t xml:space="preserve"> study will help CDC</w:t>
      </w:r>
      <w:r w:rsidR="00707E56" w:rsidRPr="00C43528">
        <w:rPr>
          <w:rFonts w:ascii="Times New Roman" w:hAnsi="Times New Roman" w:cs="Times New Roman"/>
          <w:sz w:val="24"/>
          <w:szCs w:val="24"/>
        </w:rPr>
        <w:t xml:space="preserve"> understand the current clinical practices for the diagnosis, treatment, and management of TBI in rural settings, including the contextual factors that facilitate or inhibit rural clinicians’ ability to provide high quality care. R</w:t>
      </w:r>
      <w:r w:rsidR="00E23DE7" w:rsidRPr="00C43528">
        <w:rPr>
          <w:rFonts w:ascii="Times New Roman" w:hAnsi="Times New Roman" w:cs="Times New Roman"/>
          <w:sz w:val="24"/>
          <w:szCs w:val="24"/>
        </w:rPr>
        <w:t xml:space="preserve">esults </w:t>
      </w:r>
      <w:r w:rsidR="0089427A" w:rsidRPr="00C43528">
        <w:rPr>
          <w:rFonts w:ascii="Times New Roman" w:hAnsi="Times New Roman" w:cs="Times New Roman"/>
          <w:sz w:val="24"/>
          <w:szCs w:val="24"/>
        </w:rPr>
        <w:t xml:space="preserve">will </w:t>
      </w:r>
      <w:r w:rsidR="00E23DE7" w:rsidRPr="00C43528">
        <w:rPr>
          <w:rFonts w:ascii="Times New Roman" w:hAnsi="Times New Roman" w:cs="Times New Roman"/>
          <w:sz w:val="24"/>
          <w:szCs w:val="24"/>
        </w:rPr>
        <w:t xml:space="preserve">inform CDC’s future public health efforts, in particular, </w:t>
      </w:r>
      <w:r w:rsidR="00707E56" w:rsidRPr="00C43528">
        <w:rPr>
          <w:rFonts w:ascii="Times New Roman" w:hAnsi="Times New Roman" w:cs="Times New Roman"/>
          <w:sz w:val="24"/>
          <w:szCs w:val="24"/>
        </w:rPr>
        <w:t xml:space="preserve">research and programs regarding TBI that are tailored to the needs of rural clinicians and communities. </w:t>
      </w:r>
    </w:p>
    <w:p w14:paraId="47707C28" w14:textId="77777777" w:rsidR="00884A3A" w:rsidRDefault="00884A3A" w:rsidP="00C43528">
      <w:pPr>
        <w:spacing w:after="0"/>
        <w:rPr>
          <w:rFonts w:ascii="Times New Roman" w:hAnsi="Times New Roman" w:cs="Times New Roman"/>
          <w:sz w:val="24"/>
          <w:szCs w:val="24"/>
        </w:rPr>
      </w:pPr>
    </w:p>
    <w:p w14:paraId="320A979E" w14:textId="683852FA" w:rsidR="00C43528" w:rsidRPr="00C43528" w:rsidRDefault="00884A3A" w:rsidP="00C43528">
      <w:pPr>
        <w:spacing w:after="0"/>
        <w:rPr>
          <w:rFonts w:ascii="Times New Roman" w:hAnsi="Times New Roman" w:cs="Times New Roman"/>
          <w:sz w:val="24"/>
          <w:szCs w:val="24"/>
        </w:rPr>
      </w:pPr>
      <w:r>
        <w:rPr>
          <w:rFonts w:ascii="Times New Roman" w:hAnsi="Times New Roman" w:cs="Times New Roman"/>
          <w:sz w:val="24"/>
          <w:szCs w:val="24"/>
        </w:rPr>
        <w:t>F</w:t>
      </w:r>
      <w:r w:rsidR="001A029A" w:rsidRPr="00C43528">
        <w:rPr>
          <w:rFonts w:ascii="Times New Roman" w:hAnsi="Times New Roman" w:cs="Times New Roman"/>
          <w:sz w:val="24"/>
          <w:szCs w:val="24"/>
        </w:rPr>
        <w:t xml:space="preserve">ocus group </w:t>
      </w:r>
      <w:r>
        <w:rPr>
          <w:rFonts w:ascii="Times New Roman" w:hAnsi="Times New Roman" w:cs="Times New Roman"/>
          <w:sz w:val="24"/>
          <w:szCs w:val="24"/>
        </w:rPr>
        <w:t xml:space="preserve">results </w:t>
      </w:r>
      <w:r w:rsidR="00062628">
        <w:rPr>
          <w:rFonts w:ascii="Times New Roman" w:hAnsi="Times New Roman" w:cs="Times New Roman"/>
          <w:sz w:val="24"/>
          <w:szCs w:val="24"/>
        </w:rPr>
        <w:t xml:space="preserve">could </w:t>
      </w:r>
      <w:r w:rsidR="00F7297D">
        <w:rPr>
          <w:rFonts w:ascii="Times New Roman" w:hAnsi="Times New Roman" w:cs="Times New Roman"/>
          <w:sz w:val="24"/>
          <w:szCs w:val="24"/>
        </w:rPr>
        <w:t xml:space="preserve">also </w:t>
      </w:r>
      <w:r w:rsidR="00062628">
        <w:rPr>
          <w:rFonts w:ascii="Times New Roman" w:hAnsi="Times New Roman" w:cs="Times New Roman"/>
          <w:sz w:val="24"/>
          <w:szCs w:val="24"/>
        </w:rPr>
        <w:t>be used</w:t>
      </w:r>
      <w:r w:rsidR="001A029A" w:rsidRPr="00C43528">
        <w:rPr>
          <w:rFonts w:ascii="Times New Roman" w:hAnsi="Times New Roman" w:cs="Times New Roman"/>
          <w:sz w:val="24"/>
          <w:szCs w:val="24"/>
        </w:rPr>
        <w:t xml:space="preserve"> to generate research questions that we could test in future quantitative</w:t>
      </w:r>
      <w:r>
        <w:rPr>
          <w:rFonts w:ascii="Times New Roman" w:hAnsi="Times New Roman" w:cs="Times New Roman"/>
          <w:sz w:val="24"/>
          <w:szCs w:val="24"/>
        </w:rPr>
        <w:t xml:space="preserve"> </w:t>
      </w:r>
      <w:r w:rsidR="001A029A" w:rsidRPr="00C43528">
        <w:rPr>
          <w:rFonts w:ascii="Times New Roman" w:hAnsi="Times New Roman" w:cs="Times New Roman"/>
          <w:sz w:val="24"/>
          <w:szCs w:val="24"/>
        </w:rPr>
        <w:t xml:space="preserve">research projects. </w:t>
      </w:r>
      <w:r w:rsidR="00344580">
        <w:rPr>
          <w:rFonts w:ascii="Times New Roman" w:hAnsi="Times New Roman" w:cs="Times New Roman"/>
          <w:sz w:val="24"/>
          <w:szCs w:val="24"/>
        </w:rPr>
        <w:t>We plan to conduct</w:t>
      </w:r>
      <w:r>
        <w:rPr>
          <w:rFonts w:ascii="Times New Roman" w:hAnsi="Times New Roman" w:cs="Times New Roman"/>
          <w:sz w:val="24"/>
          <w:szCs w:val="24"/>
        </w:rPr>
        <w:t xml:space="preserve"> a quantitative </w:t>
      </w:r>
      <w:r w:rsidR="00344580">
        <w:rPr>
          <w:rFonts w:ascii="Times New Roman" w:hAnsi="Times New Roman" w:cs="Times New Roman"/>
          <w:sz w:val="24"/>
          <w:szCs w:val="24"/>
        </w:rPr>
        <w:t xml:space="preserve">web-based survey of approximately 600 rural healthcare providers </w:t>
      </w:r>
      <w:r w:rsidR="00E74EA2">
        <w:rPr>
          <w:rFonts w:ascii="Times New Roman" w:hAnsi="Times New Roman" w:cs="Times New Roman"/>
          <w:sz w:val="24"/>
          <w:szCs w:val="24"/>
        </w:rPr>
        <w:t xml:space="preserve">(approximately 150 burden hours) </w:t>
      </w:r>
      <w:r w:rsidR="00344580">
        <w:rPr>
          <w:rFonts w:ascii="Times New Roman" w:hAnsi="Times New Roman" w:cs="Times New Roman"/>
          <w:sz w:val="24"/>
          <w:szCs w:val="24"/>
        </w:rPr>
        <w:t>which</w:t>
      </w:r>
      <w:r>
        <w:rPr>
          <w:rFonts w:ascii="Times New Roman" w:hAnsi="Times New Roman" w:cs="Times New Roman"/>
          <w:sz w:val="24"/>
          <w:szCs w:val="24"/>
        </w:rPr>
        <w:t xml:space="preserve"> would</w:t>
      </w:r>
      <w:r w:rsidR="00C43528">
        <w:rPr>
          <w:rFonts w:ascii="Times New Roman" w:hAnsi="Times New Roman" w:cs="Times New Roman"/>
          <w:sz w:val="24"/>
          <w:szCs w:val="24"/>
        </w:rPr>
        <w:t xml:space="preserve"> allow CDC t</w:t>
      </w:r>
      <w:r w:rsidR="00C43528" w:rsidRPr="00C43528">
        <w:rPr>
          <w:rFonts w:ascii="Times New Roman" w:hAnsi="Times New Roman" w:cs="Times New Roman"/>
          <w:sz w:val="24"/>
          <w:szCs w:val="24"/>
        </w:rPr>
        <w:t xml:space="preserve">o gather structured data on the processes and protocols </w:t>
      </w:r>
      <w:r w:rsidR="00062628">
        <w:rPr>
          <w:rFonts w:ascii="Times New Roman" w:hAnsi="Times New Roman" w:cs="Times New Roman"/>
          <w:sz w:val="24"/>
          <w:szCs w:val="24"/>
        </w:rPr>
        <w:t>identified in the focus groups that are</w:t>
      </w:r>
      <w:r w:rsidR="009E2621">
        <w:rPr>
          <w:rFonts w:ascii="Times New Roman" w:hAnsi="Times New Roman" w:cs="Times New Roman"/>
          <w:sz w:val="24"/>
          <w:szCs w:val="24"/>
        </w:rPr>
        <w:t xml:space="preserve"> being used</w:t>
      </w:r>
      <w:r w:rsidR="00C43528" w:rsidRPr="00C43528">
        <w:rPr>
          <w:rFonts w:ascii="Times New Roman" w:hAnsi="Times New Roman" w:cs="Times New Roman"/>
          <w:sz w:val="24"/>
          <w:szCs w:val="24"/>
        </w:rPr>
        <w:t xml:space="preserve"> by rural clinicians</w:t>
      </w:r>
      <w:r w:rsidR="009E2621">
        <w:rPr>
          <w:rFonts w:ascii="Times New Roman" w:hAnsi="Times New Roman" w:cs="Times New Roman"/>
          <w:sz w:val="24"/>
          <w:szCs w:val="24"/>
        </w:rPr>
        <w:t xml:space="preserve"> </w:t>
      </w:r>
      <w:r w:rsidR="00062628">
        <w:rPr>
          <w:rFonts w:ascii="Times New Roman" w:hAnsi="Times New Roman" w:cs="Times New Roman"/>
          <w:sz w:val="24"/>
          <w:szCs w:val="24"/>
        </w:rPr>
        <w:t>to</w:t>
      </w:r>
      <w:r w:rsidR="00C43528" w:rsidRPr="00C43528">
        <w:rPr>
          <w:rFonts w:ascii="Times New Roman" w:hAnsi="Times New Roman" w:cs="Times New Roman"/>
          <w:sz w:val="24"/>
          <w:szCs w:val="24"/>
        </w:rPr>
        <w:t xml:space="preserve"> assess and treat mild TBI.</w:t>
      </w:r>
      <w:r>
        <w:rPr>
          <w:rFonts w:ascii="Times New Roman" w:hAnsi="Times New Roman" w:cs="Times New Roman"/>
          <w:sz w:val="24"/>
          <w:szCs w:val="24"/>
        </w:rPr>
        <w:t xml:space="preserve"> </w:t>
      </w:r>
      <w:r w:rsidR="00344580">
        <w:rPr>
          <w:rFonts w:ascii="Times New Roman" w:hAnsi="Times New Roman" w:cs="Times New Roman"/>
          <w:sz w:val="24"/>
          <w:szCs w:val="24"/>
        </w:rPr>
        <w:t>This</w:t>
      </w:r>
      <w:r w:rsidR="00F7297D">
        <w:rPr>
          <w:rFonts w:ascii="Times New Roman" w:hAnsi="Times New Roman" w:cs="Times New Roman"/>
          <w:sz w:val="24"/>
          <w:szCs w:val="24"/>
        </w:rPr>
        <w:t xml:space="preserve"> </w:t>
      </w:r>
      <w:r w:rsidR="00344580">
        <w:rPr>
          <w:rFonts w:ascii="Times New Roman" w:hAnsi="Times New Roman" w:cs="Times New Roman"/>
          <w:sz w:val="24"/>
          <w:szCs w:val="24"/>
        </w:rPr>
        <w:t>web-based survey</w:t>
      </w:r>
      <w:r>
        <w:rPr>
          <w:rFonts w:ascii="Times New Roman" w:hAnsi="Times New Roman" w:cs="Times New Roman"/>
          <w:sz w:val="24"/>
          <w:szCs w:val="24"/>
        </w:rPr>
        <w:t xml:space="preserve"> would </w:t>
      </w:r>
      <w:r w:rsidR="00F7297D">
        <w:rPr>
          <w:rFonts w:ascii="Times New Roman" w:hAnsi="Times New Roman" w:cs="Times New Roman"/>
          <w:sz w:val="24"/>
          <w:szCs w:val="24"/>
        </w:rPr>
        <w:t>provide an</w:t>
      </w:r>
      <w:r>
        <w:rPr>
          <w:rFonts w:ascii="Times New Roman" w:hAnsi="Times New Roman" w:cs="Times New Roman"/>
          <w:sz w:val="24"/>
          <w:szCs w:val="24"/>
        </w:rPr>
        <w:t xml:space="preserve"> opportunity to ask m</w:t>
      </w:r>
      <w:r w:rsidRPr="00C43528">
        <w:rPr>
          <w:rFonts w:ascii="Times New Roman" w:hAnsi="Times New Roman" w:cs="Times New Roman"/>
          <w:sz w:val="24"/>
          <w:szCs w:val="24"/>
        </w:rPr>
        <w:t>ore specific, fine-grained questions that may not come up in the focus group</w:t>
      </w:r>
      <w:r>
        <w:rPr>
          <w:rFonts w:ascii="Times New Roman" w:hAnsi="Times New Roman" w:cs="Times New Roman"/>
          <w:sz w:val="24"/>
          <w:szCs w:val="24"/>
        </w:rPr>
        <w:t xml:space="preserve">. </w:t>
      </w:r>
      <w:r w:rsidR="00F7297D">
        <w:rPr>
          <w:rFonts w:ascii="Times New Roman" w:hAnsi="Times New Roman" w:cs="Times New Roman"/>
          <w:sz w:val="24"/>
          <w:szCs w:val="24"/>
        </w:rPr>
        <w:t>In addition,</w:t>
      </w:r>
      <w:r w:rsidR="00F7297D" w:rsidRPr="00F7297D">
        <w:rPr>
          <w:rFonts w:ascii="Times New Roman" w:hAnsi="Times New Roman" w:cs="Times New Roman"/>
          <w:sz w:val="24"/>
          <w:szCs w:val="24"/>
        </w:rPr>
        <w:t xml:space="preserve"> focus group results from this study could be used to generate ideas fo</w:t>
      </w:r>
      <w:r w:rsidR="00F7297D">
        <w:rPr>
          <w:rFonts w:ascii="Times New Roman" w:hAnsi="Times New Roman" w:cs="Times New Roman"/>
          <w:sz w:val="24"/>
          <w:szCs w:val="24"/>
        </w:rPr>
        <w:t xml:space="preserve">r additional questions </w:t>
      </w:r>
      <w:r w:rsidR="00F7297D" w:rsidRPr="00F7297D">
        <w:rPr>
          <w:rFonts w:ascii="Times New Roman" w:hAnsi="Times New Roman" w:cs="Times New Roman"/>
          <w:sz w:val="24"/>
          <w:szCs w:val="24"/>
        </w:rPr>
        <w:t xml:space="preserve">or generate ideas for response options that we would not have known about or considered otherwise. </w:t>
      </w:r>
      <w:r w:rsidR="00F7297D">
        <w:rPr>
          <w:rFonts w:ascii="Times New Roman" w:hAnsi="Times New Roman" w:cs="Times New Roman"/>
          <w:sz w:val="24"/>
          <w:szCs w:val="24"/>
        </w:rPr>
        <w:t>For example, focus group participants might identify a unique clinical practice but only q</w:t>
      </w:r>
      <w:r w:rsidR="00F7297D" w:rsidRPr="00F7297D">
        <w:rPr>
          <w:rFonts w:ascii="Times New Roman" w:hAnsi="Times New Roman" w:cs="Times New Roman"/>
          <w:sz w:val="24"/>
          <w:szCs w:val="24"/>
        </w:rPr>
        <w:t>uanti</w:t>
      </w:r>
      <w:r w:rsidR="00A06DB1">
        <w:rPr>
          <w:rFonts w:ascii="Times New Roman" w:hAnsi="Times New Roman" w:cs="Times New Roman"/>
          <w:sz w:val="24"/>
          <w:szCs w:val="24"/>
        </w:rPr>
        <w:t>ta</w:t>
      </w:r>
      <w:r w:rsidR="00F7297D" w:rsidRPr="00F7297D">
        <w:rPr>
          <w:rFonts w:ascii="Times New Roman" w:hAnsi="Times New Roman" w:cs="Times New Roman"/>
          <w:sz w:val="24"/>
          <w:szCs w:val="24"/>
        </w:rPr>
        <w:t xml:space="preserve">tive information </w:t>
      </w:r>
      <w:r w:rsidR="00F7297D">
        <w:rPr>
          <w:rFonts w:ascii="Times New Roman" w:hAnsi="Times New Roman" w:cs="Times New Roman"/>
          <w:sz w:val="24"/>
          <w:szCs w:val="24"/>
        </w:rPr>
        <w:t>could give us an idea about how widespread that clinical practice is. Also, focus group participants might identify a particular challenge in managing TBI in the rural setting; a quantitative study could give us a better idea how common that challenge is among a larger sample of rural clinicians</w:t>
      </w:r>
      <w:r w:rsidR="00F7297D" w:rsidRPr="00F7297D">
        <w:rPr>
          <w:rFonts w:ascii="Times New Roman" w:hAnsi="Times New Roman" w:cs="Times New Roman"/>
          <w:sz w:val="24"/>
          <w:szCs w:val="24"/>
        </w:rPr>
        <w:t xml:space="preserve">. </w:t>
      </w:r>
      <w:r w:rsidR="00FA1C81">
        <w:rPr>
          <w:rFonts w:ascii="Times New Roman" w:hAnsi="Times New Roman" w:cs="Times New Roman"/>
          <w:sz w:val="24"/>
          <w:szCs w:val="24"/>
        </w:rPr>
        <w:t>This i</w:t>
      </w:r>
      <w:r w:rsidRPr="00C43528">
        <w:rPr>
          <w:rFonts w:ascii="Times New Roman" w:hAnsi="Times New Roman" w:cs="Times New Roman"/>
          <w:sz w:val="24"/>
          <w:szCs w:val="24"/>
        </w:rPr>
        <w:t>nformation</w:t>
      </w:r>
      <w:r w:rsidR="00F7297D">
        <w:rPr>
          <w:rFonts w:ascii="Times New Roman" w:hAnsi="Times New Roman" w:cs="Times New Roman"/>
          <w:sz w:val="24"/>
          <w:szCs w:val="24"/>
        </w:rPr>
        <w:t xml:space="preserve">, both qualitative and quantitative, </w:t>
      </w:r>
      <w:r w:rsidRPr="00C43528">
        <w:rPr>
          <w:rFonts w:ascii="Times New Roman" w:hAnsi="Times New Roman" w:cs="Times New Roman"/>
          <w:sz w:val="24"/>
          <w:szCs w:val="24"/>
        </w:rPr>
        <w:t xml:space="preserve">could influence </w:t>
      </w:r>
      <w:r w:rsidR="005F41E9">
        <w:rPr>
          <w:rFonts w:ascii="Times New Roman" w:hAnsi="Times New Roman" w:cs="Times New Roman"/>
          <w:sz w:val="24"/>
          <w:szCs w:val="24"/>
        </w:rPr>
        <w:t xml:space="preserve">CDC’s </w:t>
      </w:r>
      <w:r w:rsidRPr="00C43528">
        <w:rPr>
          <w:rFonts w:ascii="Times New Roman" w:hAnsi="Times New Roman" w:cs="Times New Roman"/>
          <w:sz w:val="24"/>
          <w:szCs w:val="24"/>
        </w:rPr>
        <w:t>prevention efforts</w:t>
      </w:r>
      <w:r w:rsidR="00F7297D">
        <w:rPr>
          <w:rFonts w:ascii="Times New Roman" w:hAnsi="Times New Roman" w:cs="Times New Roman"/>
          <w:sz w:val="24"/>
          <w:szCs w:val="24"/>
        </w:rPr>
        <w:t xml:space="preserve">. Further, it would allow us </w:t>
      </w:r>
      <w:r w:rsidR="003B3F66">
        <w:rPr>
          <w:rFonts w:ascii="Times New Roman" w:hAnsi="Times New Roman" w:cs="Times New Roman"/>
          <w:sz w:val="24"/>
          <w:szCs w:val="24"/>
        </w:rPr>
        <w:t xml:space="preserve">to better adapt educational </w:t>
      </w:r>
      <w:r w:rsidR="005F41E9">
        <w:rPr>
          <w:rFonts w:ascii="Times New Roman" w:hAnsi="Times New Roman" w:cs="Times New Roman"/>
          <w:sz w:val="24"/>
          <w:szCs w:val="24"/>
        </w:rPr>
        <w:t xml:space="preserve">materials </w:t>
      </w:r>
      <w:r w:rsidR="00F7297D">
        <w:rPr>
          <w:rFonts w:ascii="Times New Roman" w:hAnsi="Times New Roman" w:cs="Times New Roman"/>
          <w:sz w:val="24"/>
          <w:szCs w:val="24"/>
        </w:rPr>
        <w:t>related to recommended clinical practices</w:t>
      </w:r>
      <w:r w:rsidR="003B3F66">
        <w:rPr>
          <w:rFonts w:ascii="Times New Roman" w:hAnsi="Times New Roman" w:cs="Times New Roman"/>
          <w:sz w:val="24"/>
          <w:szCs w:val="24"/>
        </w:rPr>
        <w:t xml:space="preserve"> for rural clinicians</w:t>
      </w:r>
      <w:r w:rsidR="00F7297D">
        <w:rPr>
          <w:rFonts w:ascii="Times New Roman" w:hAnsi="Times New Roman" w:cs="Times New Roman"/>
          <w:sz w:val="24"/>
          <w:szCs w:val="24"/>
        </w:rPr>
        <w:t xml:space="preserve">.  </w:t>
      </w:r>
    </w:p>
    <w:p w14:paraId="020037B5" w14:textId="6338B648" w:rsidR="00707E56" w:rsidRPr="00CD645B" w:rsidRDefault="00707E56" w:rsidP="00BD462C"/>
    <w:p w14:paraId="5D65C2FD" w14:textId="77777777" w:rsidR="009D070B" w:rsidRPr="00CD645B" w:rsidRDefault="00707E56" w:rsidP="00AD5A3B">
      <w:pPr>
        <w:pStyle w:val="Heading2"/>
        <w:spacing w:line="360" w:lineRule="auto"/>
        <w:rPr>
          <w:rFonts w:ascii="Times New Roman" w:hAnsi="Times New Roman"/>
        </w:rPr>
      </w:pPr>
      <w:bookmarkStart w:id="9" w:name="_Toc501703422"/>
      <w:r w:rsidRPr="00CD645B">
        <w:rPr>
          <w:rFonts w:ascii="Times New Roman" w:hAnsi="Times New Roman"/>
        </w:rPr>
        <w:t xml:space="preserve">A.3. </w:t>
      </w:r>
      <w:r w:rsidR="009D070B" w:rsidRPr="00CD645B">
        <w:rPr>
          <w:rFonts w:ascii="Times New Roman" w:hAnsi="Times New Roman"/>
        </w:rPr>
        <w:t>Use of Improved Information Technology and Burden Reduction</w:t>
      </w:r>
      <w:bookmarkEnd w:id="9"/>
    </w:p>
    <w:p w14:paraId="6522DF1B" w14:textId="14B1E93E" w:rsidR="00183B32" w:rsidRPr="00183B32" w:rsidRDefault="003569B7" w:rsidP="00183B32">
      <w:pPr>
        <w:jc w:val="both"/>
        <w:rPr>
          <w:rFonts w:ascii="Times New Roman" w:hAnsi="Times New Roman" w:cs="Times New Roman"/>
          <w:color w:val="000000"/>
          <w:sz w:val="24"/>
          <w:szCs w:val="24"/>
        </w:rPr>
      </w:pPr>
      <w:r w:rsidRPr="0025127A">
        <w:rPr>
          <w:rFonts w:ascii="Times New Roman" w:hAnsi="Times New Roman" w:cs="Times New Roman"/>
          <w:sz w:val="24"/>
          <w:szCs w:val="24"/>
        </w:rPr>
        <w:t>CDC will collect qualitative data using focus groups; therefore, information technology will not be used to collect data from the individuals recruited to participate in the focus groups. Because the data collection is qualitative in nature and requires information from a relativ</w:t>
      </w:r>
      <w:r w:rsidR="007A6D92" w:rsidRPr="0025127A">
        <w:rPr>
          <w:rFonts w:ascii="Times New Roman" w:hAnsi="Times New Roman" w:cs="Times New Roman"/>
          <w:sz w:val="24"/>
          <w:szCs w:val="24"/>
        </w:rPr>
        <w:t>ely small number of individuals,</w:t>
      </w:r>
      <w:r w:rsidRPr="0025127A">
        <w:rPr>
          <w:rFonts w:ascii="Times New Roman" w:hAnsi="Times New Roman" w:cs="Times New Roman"/>
          <w:sz w:val="24"/>
          <w:szCs w:val="24"/>
        </w:rPr>
        <w:t xml:space="preserve"> it is not appropriate, practical, or cost-beneficial to build electronic instruments to collect the information. The proposed focus groups will collect only the minimum information necessary for the purposes of the project. However, </w:t>
      </w:r>
      <w:r w:rsidR="00183B32" w:rsidRPr="0025127A">
        <w:rPr>
          <w:rFonts w:ascii="Times New Roman" w:hAnsi="Times New Roman" w:cs="Times New Roman"/>
          <w:sz w:val="24"/>
          <w:szCs w:val="24"/>
        </w:rPr>
        <w:t xml:space="preserve">there are several ways in which the focus groups have been designed to decrease participant </w:t>
      </w:r>
      <w:r w:rsidRPr="0025127A">
        <w:rPr>
          <w:rFonts w:ascii="Times New Roman" w:hAnsi="Times New Roman" w:cs="Times New Roman"/>
          <w:sz w:val="24"/>
          <w:szCs w:val="24"/>
        </w:rPr>
        <w:t>burden</w:t>
      </w:r>
      <w:r w:rsidR="00183B32" w:rsidRPr="0025127A">
        <w:rPr>
          <w:rFonts w:ascii="Times New Roman" w:hAnsi="Times New Roman" w:cs="Times New Roman"/>
          <w:sz w:val="24"/>
          <w:szCs w:val="24"/>
        </w:rPr>
        <w:t>.</w:t>
      </w:r>
      <w:r w:rsidRPr="0025127A">
        <w:rPr>
          <w:rFonts w:ascii="Times New Roman" w:hAnsi="Times New Roman" w:cs="Times New Roman"/>
          <w:sz w:val="24"/>
          <w:szCs w:val="24"/>
        </w:rPr>
        <w:t xml:space="preserve"> </w:t>
      </w:r>
      <w:r w:rsidR="00183B32" w:rsidRPr="0025127A">
        <w:rPr>
          <w:rFonts w:ascii="Times New Roman" w:hAnsi="Times New Roman" w:cs="Times New Roman"/>
          <w:sz w:val="24"/>
          <w:szCs w:val="24"/>
        </w:rPr>
        <w:t>First, participation in the focus group will be combined with</w:t>
      </w:r>
      <w:r w:rsidRPr="0025127A">
        <w:rPr>
          <w:rFonts w:ascii="Times New Roman" w:hAnsi="Times New Roman" w:cs="Times New Roman"/>
          <w:sz w:val="24"/>
          <w:szCs w:val="24"/>
        </w:rPr>
        <w:t xml:space="preserve"> </w:t>
      </w:r>
      <w:r w:rsidR="00183B32" w:rsidRPr="0025127A">
        <w:rPr>
          <w:rFonts w:ascii="Times New Roman" w:hAnsi="Times New Roman" w:cs="Times New Roman"/>
          <w:sz w:val="24"/>
          <w:szCs w:val="24"/>
        </w:rPr>
        <w:t>respondents’</w:t>
      </w:r>
      <w:r w:rsidRPr="0025127A">
        <w:rPr>
          <w:rFonts w:ascii="Times New Roman" w:hAnsi="Times New Roman" w:cs="Times New Roman"/>
          <w:sz w:val="24"/>
          <w:szCs w:val="24"/>
        </w:rPr>
        <w:t xml:space="preserve"> attendance at a previously-scheduled conference.</w:t>
      </w:r>
      <w:r w:rsidR="00183B32" w:rsidRPr="0025127A">
        <w:rPr>
          <w:rFonts w:ascii="Times New Roman" w:hAnsi="Times New Roman" w:cs="Times New Roman"/>
          <w:sz w:val="24"/>
          <w:szCs w:val="24"/>
        </w:rPr>
        <w:t xml:space="preserve"> No additional travel will be necessary. Second, </w:t>
      </w:r>
      <w:r w:rsidR="009C010B" w:rsidRPr="0025127A">
        <w:rPr>
          <w:rFonts w:ascii="Times New Roman" w:hAnsi="Times New Roman" w:cs="Times New Roman"/>
          <w:sz w:val="24"/>
          <w:szCs w:val="24"/>
        </w:rPr>
        <w:t xml:space="preserve">efforts </w:t>
      </w:r>
      <w:r w:rsidR="00183B32" w:rsidRPr="0025127A">
        <w:rPr>
          <w:rFonts w:ascii="Times New Roman" w:hAnsi="Times New Roman" w:cs="Times New Roman"/>
          <w:sz w:val="24"/>
          <w:szCs w:val="24"/>
        </w:rPr>
        <w:t xml:space="preserve">have been made to design items that are easily understandable, not duplicative in nature, and least burdensome. In all instances, the number of items posed will be held to the minimum </w:t>
      </w:r>
      <w:r w:rsidR="00183B32" w:rsidRPr="00183B32">
        <w:rPr>
          <w:rFonts w:ascii="Times New Roman" w:hAnsi="Times New Roman" w:cs="Times New Roman"/>
          <w:color w:val="000000"/>
          <w:sz w:val="24"/>
          <w:szCs w:val="24"/>
        </w:rPr>
        <w:t xml:space="preserve">required in order to elicit the necessary formative or materials-testing data.  </w:t>
      </w:r>
    </w:p>
    <w:p w14:paraId="572A8840" w14:textId="5CD4A0AC" w:rsidR="003722D7" w:rsidRPr="00CD645B" w:rsidRDefault="003569B7" w:rsidP="00E97B06">
      <w:pPr>
        <w:spacing w:after="240" w:line="240" w:lineRule="auto"/>
        <w:rPr>
          <w:rFonts w:ascii="Times New Roman" w:hAnsi="Times New Roman" w:cs="Times New Roman"/>
          <w:sz w:val="24"/>
          <w:szCs w:val="24"/>
        </w:rPr>
      </w:pPr>
      <w:r>
        <w:rPr>
          <w:rFonts w:ascii="Times New Roman" w:hAnsi="Times New Roman" w:cs="Times New Roman"/>
          <w:color w:val="1F497D"/>
          <w:sz w:val="24"/>
          <w:szCs w:val="24"/>
        </w:rPr>
        <w:t xml:space="preserve"> </w:t>
      </w:r>
    </w:p>
    <w:p w14:paraId="1F7E34F4" w14:textId="77777777" w:rsidR="009D070B" w:rsidRPr="00CD645B" w:rsidRDefault="00077F23" w:rsidP="00077F23">
      <w:pPr>
        <w:pStyle w:val="Heading2"/>
        <w:rPr>
          <w:rFonts w:ascii="Times New Roman" w:hAnsi="Times New Roman"/>
        </w:rPr>
      </w:pPr>
      <w:bookmarkStart w:id="10" w:name="_Toc501703423"/>
      <w:r w:rsidRPr="00CD645B">
        <w:rPr>
          <w:rFonts w:ascii="Times New Roman" w:hAnsi="Times New Roman"/>
        </w:rPr>
        <w:t xml:space="preserve">A.4. </w:t>
      </w:r>
      <w:r w:rsidR="009D070B" w:rsidRPr="00CD645B">
        <w:rPr>
          <w:rFonts w:ascii="Times New Roman" w:hAnsi="Times New Roman"/>
        </w:rPr>
        <w:t>Efforts to Identify Duplication and Use of Similar Information</w:t>
      </w:r>
      <w:bookmarkEnd w:id="10"/>
    </w:p>
    <w:p w14:paraId="47C22FE9" w14:textId="5BB37D2F" w:rsidR="00653F7F" w:rsidRPr="00CD645B" w:rsidRDefault="00877B03"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Current sources of information about the challenges that healthcare providers in rural areas face when diagnosing and managing TBI do not exist. </w:t>
      </w:r>
      <w:r w:rsidR="00DC4C58" w:rsidRPr="00CD645B">
        <w:rPr>
          <w:rFonts w:ascii="Times New Roman" w:hAnsi="Times New Roman" w:cs="Times New Roman"/>
          <w:sz w:val="24"/>
          <w:szCs w:val="24"/>
        </w:rPr>
        <w:t>The work that is currently being done in the area of TBI by the CDC and other federal agencies is distinct from our proposed project. For example, t</w:t>
      </w:r>
      <w:r w:rsidR="00653F7F" w:rsidRPr="00CD645B">
        <w:rPr>
          <w:rFonts w:ascii="Times New Roman" w:hAnsi="Times New Roman" w:cs="Times New Roman"/>
          <w:sz w:val="24"/>
          <w:szCs w:val="24"/>
        </w:rPr>
        <w:t xml:space="preserve">he Traumatic Brain Injury team at CDC’s Injury Center is conducting several TBI projects. </w:t>
      </w:r>
      <w:r w:rsidR="00CC0F74" w:rsidRPr="00CD645B">
        <w:rPr>
          <w:rFonts w:ascii="Times New Roman" w:hAnsi="Times New Roman" w:cs="Times New Roman"/>
          <w:sz w:val="24"/>
          <w:szCs w:val="24"/>
        </w:rPr>
        <w:t>W</w:t>
      </w:r>
      <w:r w:rsidR="00DC4C58" w:rsidRPr="00CD645B">
        <w:rPr>
          <w:rFonts w:ascii="Times New Roman" w:hAnsi="Times New Roman" w:cs="Times New Roman"/>
          <w:sz w:val="24"/>
          <w:szCs w:val="24"/>
        </w:rPr>
        <w:t>e have recently concluded projects that examine states’ and individual school and healthcare systems’ return-to-</w:t>
      </w:r>
      <w:r w:rsidR="00CC0F74" w:rsidRPr="00CD645B">
        <w:rPr>
          <w:rFonts w:ascii="Times New Roman" w:hAnsi="Times New Roman" w:cs="Times New Roman"/>
          <w:sz w:val="24"/>
          <w:szCs w:val="24"/>
        </w:rPr>
        <w:t>school</w:t>
      </w:r>
      <w:r w:rsidR="00DC4C58" w:rsidRPr="00CD645B">
        <w:rPr>
          <w:rFonts w:ascii="Times New Roman" w:hAnsi="Times New Roman" w:cs="Times New Roman"/>
          <w:sz w:val="24"/>
          <w:szCs w:val="24"/>
        </w:rPr>
        <w:t xml:space="preserve"> and return-to-play policies and procedures following youth sports concussions.</w:t>
      </w:r>
      <w:r w:rsidR="00E437F7" w:rsidRPr="00CD645B">
        <w:rPr>
          <w:rFonts w:ascii="Times New Roman" w:hAnsi="Times New Roman" w:cs="Times New Roman"/>
          <w:sz w:val="24"/>
          <w:szCs w:val="24"/>
        </w:rPr>
        <w:t xml:space="preserve"> Much of the CDC’s TBI work is focused on preventing concussions. For example, the HEADS UP program (</w:t>
      </w:r>
      <w:hyperlink r:id="rId13" w:history="1">
        <w:r w:rsidR="00E437F7" w:rsidRPr="00CD645B">
          <w:rPr>
            <w:rStyle w:val="Hyperlink"/>
            <w:rFonts w:ascii="Times New Roman" w:hAnsi="Times New Roman" w:cs="Times New Roman"/>
            <w:sz w:val="24"/>
            <w:szCs w:val="24"/>
          </w:rPr>
          <w:t>https://www.cdc.gov/headsup/index.html</w:t>
        </w:r>
      </w:hyperlink>
      <w:r w:rsidR="00E437F7" w:rsidRPr="00CD645B">
        <w:rPr>
          <w:rFonts w:ascii="Times New Roman" w:hAnsi="Times New Roman" w:cs="Times New Roman"/>
          <w:sz w:val="24"/>
          <w:szCs w:val="24"/>
        </w:rPr>
        <w:t>) has fact sheets, online training courses, and even a mobile gaming application meant to teach children, parents, coaches, and healthcare providers about concussion safety.</w:t>
      </w:r>
      <w:r w:rsidR="005B06D4" w:rsidRPr="00CD645B">
        <w:rPr>
          <w:rFonts w:ascii="Times New Roman" w:hAnsi="Times New Roman" w:cs="Times New Roman"/>
          <w:sz w:val="24"/>
          <w:szCs w:val="24"/>
        </w:rPr>
        <w:t xml:space="preserve"> Finally, the Traumatic Brain Injury team has also designed a study that aims to validate a case definition for the collection of self-report data that can eventually be used for TBI surveillance</w:t>
      </w:r>
      <w:r w:rsidR="00297BF9" w:rsidRPr="00CD645B">
        <w:rPr>
          <w:rFonts w:ascii="Times New Roman" w:hAnsi="Times New Roman" w:cs="Times New Roman"/>
          <w:sz w:val="24"/>
          <w:szCs w:val="24"/>
        </w:rPr>
        <w:t xml:space="preserve"> OMB# 0920-1240</w:t>
      </w:r>
      <w:r w:rsidR="00F85750">
        <w:rPr>
          <w:rFonts w:ascii="Times New Roman" w:hAnsi="Times New Roman" w:cs="Times New Roman"/>
          <w:sz w:val="24"/>
          <w:szCs w:val="24"/>
        </w:rPr>
        <w:t>, exp. 08/31/2021</w:t>
      </w:r>
      <w:r w:rsidR="00297BF9" w:rsidRPr="00CD645B">
        <w:rPr>
          <w:rFonts w:ascii="Times New Roman" w:hAnsi="Times New Roman" w:cs="Times New Roman"/>
          <w:sz w:val="24"/>
          <w:szCs w:val="24"/>
        </w:rPr>
        <w:t xml:space="preserve"> (Traumatic Brain Injury (TBI) Surveillance System).</w:t>
      </w:r>
    </w:p>
    <w:p w14:paraId="7FB4CB1E" w14:textId="464B36EE" w:rsidR="00CA1D4C" w:rsidRPr="00CD645B" w:rsidRDefault="00E437F7" w:rsidP="0033305E">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However, these efforts have aims that are distinct from this proposed project. </w:t>
      </w:r>
      <w:r w:rsidR="00DA1133" w:rsidRPr="00CD645B">
        <w:rPr>
          <w:rFonts w:ascii="Times New Roman" w:hAnsi="Times New Roman" w:cs="Times New Roman"/>
          <w:sz w:val="24"/>
          <w:szCs w:val="24"/>
        </w:rPr>
        <w:t>The aim of the surveillance system</w:t>
      </w:r>
      <w:r w:rsidR="000B053D" w:rsidRPr="00CD645B">
        <w:rPr>
          <w:rFonts w:ascii="Times New Roman" w:hAnsi="Times New Roman" w:cs="Times New Roman"/>
          <w:sz w:val="24"/>
          <w:szCs w:val="24"/>
        </w:rPr>
        <w:t xml:space="preserve"> described above</w:t>
      </w:r>
      <w:r w:rsidR="00DA1133" w:rsidRPr="00CD645B">
        <w:rPr>
          <w:rFonts w:ascii="Times New Roman" w:hAnsi="Times New Roman" w:cs="Times New Roman"/>
          <w:sz w:val="24"/>
          <w:szCs w:val="24"/>
        </w:rPr>
        <w:t xml:space="preserve"> is </w:t>
      </w:r>
      <w:r w:rsidR="00C03353" w:rsidRPr="00CD645B">
        <w:rPr>
          <w:rFonts w:ascii="Times New Roman" w:hAnsi="Times New Roman" w:cs="Times New Roman"/>
          <w:sz w:val="24"/>
          <w:szCs w:val="24"/>
        </w:rPr>
        <w:t xml:space="preserve">to </w:t>
      </w:r>
      <w:r w:rsidR="009E4269" w:rsidRPr="00CD645B">
        <w:rPr>
          <w:rFonts w:ascii="Times New Roman" w:hAnsi="Times New Roman" w:cs="Times New Roman"/>
          <w:sz w:val="24"/>
          <w:szCs w:val="24"/>
        </w:rPr>
        <w:t>test the validity of a three-tiered case definition designed to assess whether a TBI was sustained during the last 12 months using survey data</w:t>
      </w:r>
      <w:r w:rsidR="00DA1133" w:rsidRPr="00CD645B">
        <w:rPr>
          <w:rFonts w:ascii="Times New Roman" w:hAnsi="Times New Roman" w:cs="Times New Roman"/>
          <w:sz w:val="24"/>
          <w:szCs w:val="24"/>
        </w:rPr>
        <w:t xml:space="preserve"> while the </w:t>
      </w:r>
      <w:r w:rsidR="00FB6AC6">
        <w:rPr>
          <w:rFonts w:ascii="Times New Roman" w:hAnsi="Times New Roman" w:cs="Times New Roman"/>
          <w:sz w:val="24"/>
          <w:szCs w:val="24"/>
        </w:rPr>
        <w:t xml:space="preserve">main </w:t>
      </w:r>
      <w:r w:rsidR="00DA1133" w:rsidRPr="00CD645B">
        <w:rPr>
          <w:rFonts w:ascii="Times New Roman" w:hAnsi="Times New Roman" w:cs="Times New Roman"/>
          <w:sz w:val="24"/>
          <w:szCs w:val="24"/>
        </w:rPr>
        <w:t xml:space="preserve">aim of the </w:t>
      </w:r>
      <w:r w:rsidRPr="00CD645B">
        <w:rPr>
          <w:rFonts w:ascii="Times New Roman" w:hAnsi="Times New Roman" w:cs="Times New Roman"/>
          <w:sz w:val="24"/>
          <w:szCs w:val="24"/>
        </w:rPr>
        <w:t>HEADS UP</w:t>
      </w:r>
      <w:r w:rsidR="00FB6AC6">
        <w:rPr>
          <w:rFonts w:ascii="Times New Roman" w:hAnsi="Times New Roman" w:cs="Times New Roman"/>
          <w:sz w:val="24"/>
          <w:szCs w:val="24"/>
        </w:rPr>
        <w:t xml:space="preserve"> program</w:t>
      </w:r>
      <w:r w:rsidRPr="00CD645B">
        <w:rPr>
          <w:rFonts w:ascii="Times New Roman" w:hAnsi="Times New Roman" w:cs="Times New Roman"/>
          <w:sz w:val="24"/>
          <w:szCs w:val="24"/>
        </w:rPr>
        <w:t xml:space="preserve"> is to prevent concussions from occurring, especially among children and adolescents</w:t>
      </w:r>
      <w:r w:rsidR="00A9377F" w:rsidRPr="00CD645B">
        <w:rPr>
          <w:rFonts w:ascii="Times New Roman" w:hAnsi="Times New Roman" w:cs="Times New Roman"/>
          <w:sz w:val="24"/>
          <w:szCs w:val="24"/>
        </w:rPr>
        <w:t xml:space="preserve">. </w:t>
      </w:r>
      <w:r w:rsidR="00DA1133" w:rsidRPr="00CD645B">
        <w:rPr>
          <w:rFonts w:ascii="Times New Roman" w:hAnsi="Times New Roman" w:cs="Times New Roman"/>
          <w:sz w:val="24"/>
          <w:szCs w:val="24"/>
        </w:rPr>
        <w:t>The aim of the proposed project described in this package</w:t>
      </w:r>
      <w:r w:rsidR="00A9377F" w:rsidRPr="00CD645B">
        <w:rPr>
          <w:rFonts w:ascii="Times New Roman" w:hAnsi="Times New Roman" w:cs="Times New Roman"/>
          <w:sz w:val="24"/>
          <w:szCs w:val="24"/>
        </w:rPr>
        <w:t>, on the other hand,</w:t>
      </w:r>
      <w:r w:rsidR="00DA1133" w:rsidRPr="00CD645B">
        <w:rPr>
          <w:rFonts w:ascii="Times New Roman" w:hAnsi="Times New Roman" w:cs="Times New Roman"/>
          <w:sz w:val="24"/>
          <w:szCs w:val="24"/>
        </w:rPr>
        <w:t xml:space="preserve"> is to understand t</w:t>
      </w:r>
      <w:r w:rsidR="001F18A8" w:rsidRPr="00CD645B">
        <w:rPr>
          <w:rFonts w:ascii="Times New Roman" w:hAnsi="Times New Roman" w:cs="Times New Roman"/>
          <w:sz w:val="24"/>
          <w:szCs w:val="24"/>
        </w:rPr>
        <w:t>he challenges that rural health</w:t>
      </w:r>
      <w:r w:rsidR="00DA1133" w:rsidRPr="00CD645B">
        <w:rPr>
          <w:rFonts w:ascii="Times New Roman" w:hAnsi="Times New Roman" w:cs="Times New Roman"/>
          <w:sz w:val="24"/>
          <w:szCs w:val="24"/>
        </w:rPr>
        <w:t xml:space="preserve">care providers face when diagnosing, treating, and managing TBI. </w:t>
      </w:r>
      <w:r w:rsidR="001F18A8" w:rsidRPr="00CD645B">
        <w:rPr>
          <w:rFonts w:ascii="Times New Roman" w:hAnsi="Times New Roman" w:cs="Times New Roman"/>
          <w:sz w:val="24"/>
          <w:szCs w:val="24"/>
        </w:rPr>
        <w:t xml:space="preserve">This project will </w:t>
      </w:r>
      <w:r w:rsidR="000C3C5B">
        <w:rPr>
          <w:rFonts w:ascii="Times New Roman" w:hAnsi="Times New Roman" w:cs="Times New Roman"/>
          <w:sz w:val="24"/>
          <w:szCs w:val="24"/>
        </w:rPr>
        <w:t>interview</w:t>
      </w:r>
      <w:r w:rsidR="000C3C5B" w:rsidRPr="00CD645B">
        <w:rPr>
          <w:rFonts w:ascii="Times New Roman" w:hAnsi="Times New Roman" w:cs="Times New Roman"/>
          <w:sz w:val="24"/>
          <w:szCs w:val="24"/>
        </w:rPr>
        <w:t xml:space="preserve"> </w:t>
      </w:r>
      <w:r w:rsidR="001F18A8" w:rsidRPr="00CD645B">
        <w:rPr>
          <w:rFonts w:ascii="Times New Roman" w:hAnsi="Times New Roman" w:cs="Times New Roman"/>
          <w:sz w:val="24"/>
          <w:szCs w:val="24"/>
        </w:rPr>
        <w:t>health</w:t>
      </w:r>
      <w:r w:rsidR="00A9377F" w:rsidRPr="00CD645B">
        <w:rPr>
          <w:rFonts w:ascii="Times New Roman" w:hAnsi="Times New Roman" w:cs="Times New Roman"/>
          <w:sz w:val="24"/>
          <w:szCs w:val="24"/>
        </w:rPr>
        <w:t>care providers who treat patients with TBI</w:t>
      </w:r>
      <w:r w:rsidRPr="00CD645B">
        <w:rPr>
          <w:rFonts w:ascii="Times New Roman" w:hAnsi="Times New Roman" w:cs="Times New Roman"/>
          <w:sz w:val="24"/>
          <w:szCs w:val="24"/>
        </w:rPr>
        <w:t xml:space="preserve"> while the surveillance system survey</w:t>
      </w:r>
      <w:r w:rsidR="000C3C5B">
        <w:rPr>
          <w:rFonts w:ascii="Times New Roman" w:hAnsi="Times New Roman" w:cs="Times New Roman"/>
          <w:sz w:val="24"/>
          <w:szCs w:val="24"/>
        </w:rPr>
        <w:t>s</w:t>
      </w:r>
      <w:r w:rsidRPr="00CD645B">
        <w:rPr>
          <w:rFonts w:ascii="Times New Roman" w:hAnsi="Times New Roman" w:cs="Times New Roman"/>
          <w:sz w:val="24"/>
          <w:szCs w:val="24"/>
        </w:rPr>
        <w:t xml:space="preserve"> a sample of adults and adolescents, some of whom have experienced a TBI</w:t>
      </w:r>
      <w:r w:rsidR="00A9377F" w:rsidRPr="00CD645B">
        <w:rPr>
          <w:rFonts w:ascii="Times New Roman" w:hAnsi="Times New Roman" w:cs="Times New Roman"/>
          <w:sz w:val="24"/>
          <w:szCs w:val="24"/>
        </w:rPr>
        <w:t xml:space="preserve">. </w:t>
      </w:r>
      <w:r w:rsidR="00DA1133" w:rsidRPr="00CD645B">
        <w:rPr>
          <w:rFonts w:ascii="Times New Roman" w:hAnsi="Times New Roman" w:cs="Times New Roman"/>
          <w:sz w:val="24"/>
          <w:szCs w:val="24"/>
        </w:rPr>
        <w:t xml:space="preserve">While it is possible that </w:t>
      </w:r>
      <w:r w:rsidR="005B06D4" w:rsidRPr="00CD645B">
        <w:rPr>
          <w:rFonts w:ascii="Times New Roman" w:hAnsi="Times New Roman" w:cs="Times New Roman"/>
          <w:sz w:val="24"/>
          <w:szCs w:val="24"/>
        </w:rPr>
        <w:t>a future</w:t>
      </w:r>
      <w:r w:rsidR="00DA1133" w:rsidRPr="00CD645B">
        <w:rPr>
          <w:rFonts w:ascii="Times New Roman" w:hAnsi="Times New Roman" w:cs="Times New Roman"/>
          <w:sz w:val="24"/>
          <w:szCs w:val="24"/>
        </w:rPr>
        <w:t xml:space="preserve"> surveillance system </w:t>
      </w:r>
      <w:r w:rsidR="005B06D4" w:rsidRPr="00CD645B">
        <w:rPr>
          <w:rFonts w:ascii="Times New Roman" w:hAnsi="Times New Roman" w:cs="Times New Roman"/>
          <w:sz w:val="24"/>
          <w:szCs w:val="24"/>
        </w:rPr>
        <w:t>could</w:t>
      </w:r>
      <w:r w:rsidR="00DA1133" w:rsidRPr="00CD645B">
        <w:rPr>
          <w:rFonts w:ascii="Times New Roman" w:hAnsi="Times New Roman" w:cs="Times New Roman"/>
          <w:sz w:val="24"/>
          <w:szCs w:val="24"/>
        </w:rPr>
        <w:t xml:space="preserve"> capture information about the burden of TBI in rural areas, our project is unique in that it is focusing specifically on </w:t>
      </w:r>
      <w:r w:rsidR="001F18A8" w:rsidRPr="00CD645B">
        <w:rPr>
          <w:rFonts w:ascii="Times New Roman" w:hAnsi="Times New Roman" w:cs="Times New Roman"/>
          <w:sz w:val="24"/>
          <w:szCs w:val="24"/>
        </w:rPr>
        <w:t>health</w:t>
      </w:r>
      <w:r w:rsidR="00DA1133" w:rsidRPr="00CD645B">
        <w:rPr>
          <w:rFonts w:ascii="Times New Roman" w:hAnsi="Times New Roman" w:cs="Times New Roman"/>
          <w:sz w:val="24"/>
          <w:szCs w:val="24"/>
        </w:rPr>
        <w:t xml:space="preserve">care providers in rural communities. Also, while the surveillance system </w:t>
      </w:r>
      <w:r w:rsidR="005B06D4" w:rsidRPr="00CD645B">
        <w:rPr>
          <w:rFonts w:ascii="Times New Roman" w:hAnsi="Times New Roman" w:cs="Times New Roman"/>
          <w:sz w:val="24"/>
          <w:szCs w:val="24"/>
        </w:rPr>
        <w:t>propose</w:t>
      </w:r>
      <w:r w:rsidR="000C3C5B">
        <w:rPr>
          <w:rFonts w:ascii="Times New Roman" w:hAnsi="Times New Roman" w:cs="Times New Roman"/>
          <w:sz w:val="24"/>
          <w:szCs w:val="24"/>
        </w:rPr>
        <w:t>s</w:t>
      </w:r>
      <w:r w:rsidR="00DA1133" w:rsidRPr="00CD645B">
        <w:rPr>
          <w:rFonts w:ascii="Times New Roman" w:hAnsi="Times New Roman" w:cs="Times New Roman"/>
          <w:sz w:val="24"/>
          <w:szCs w:val="24"/>
        </w:rPr>
        <w:t xml:space="preserve"> to capture numbers and percentages for those who have experienced a TBI, this project is looking at the process of TBI diagnosis and management.</w:t>
      </w:r>
    </w:p>
    <w:p w14:paraId="55E1370E" w14:textId="77777777" w:rsidR="001B46A7" w:rsidRPr="00CD645B" w:rsidRDefault="001B46A7" w:rsidP="0055519B">
      <w:pPr>
        <w:pStyle w:val="P1-StandPara"/>
        <w:tabs>
          <w:tab w:val="left" w:pos="720"/>
          <w:tab w:val="right" w:leader="dot" w:pos="9504"/>
        </w:tabs>
        <w:spacing w:before="120" w:after="120" w:line="240" w:lineRule="auto"/>
        <w:ind w:firstLine="0"/>
        <w:rPr>
          <w:sz w:val="24"/>
          <w:szCs w:val="24"/>
        </w:rPr>
      </w:pPr>
    </w:p>
    <w:p w14:paraId="3C0A0959" w14:textId="77777777" w:rsidR="00494D82" w:rsidRPr="00591AA2" w:rsidRDefault="002540F9" w:rsidP="00C03353">
      <w:pPr>
        <w:spacing w:after="240" w:line="240" w:lineRule="auto"/>
        <w:ind w:firstLine="360"/>
        <w:rPr>
          <w:rFonts w:ascii="Times New Roman" w:hAnsi="Times New Roman" w:cs="Times New Roman"/>
        </w:rPr>
      </w:pPr>
      <w:r w:rsidRPr="00591AA2">
        <w:rPr>
          <w:rFonts w:ascii="Times New Roman" w:hAnsi="Times New Roman" w:cs="Times New Roman"/>
          <w:sz w:val="24"/>
          <w:szCs w:val="24"/>
        </w:rPr>
        <w:t xml:space="preserve">Additionally, we conducted a search of the Office of Information and Regulatory Affairs website to determine </w:t>
      </w:r>
      <w:r w:rsidR="00CC04A8" w:rsidRPr="00591AA2">
        <w:rPr>
          <w:rFonts w:ascii="Times New Roman" w:hAnsi="Times New Roman" w:cs="Times New Roman"/>
          <w:sz w:val="24"/>
          <w:szCs w:val="24"/>
        </w:rPr>
        <w:t>if</w:t>
      </w:r>
      <w:r w:rsidRPr="00591AA2">
        <w:rPr>
          <w:rFonts w:ascii="Times New Roman" w:hAnsi="Times New Roman" w:cs="Times New Roman"/>
          <w:sz w:val="24"/>
          <w:szCs w:val="24"/>
        </w:rPr>
        <w:t xml:space="preserve"> other federal agencies have submitted information collection requests for TBI-related projects</w:t>
      </w:r>
      <w:r w:rsidR="00CC04A8" w:rsidRPr="00591AA2">
        <w:rPr>
          <w:rFonts w:ascii="Times New Roman" w:hAnsi="Times New Roman" w:cs="Times New Roman"/>
          <w:sz w:val="24"/>
          <w:szCs w:val="24"/>
        </w:rPr>
        <w:t xml:space="preserve"> of which we are not aware</w:t>
      </w:r>
      <w:r w:rsidRPr="00591AA2">
        <w:rPr>
          <w:rFonts w:ascii="Times New Roman" w:hAnsi="Times New Roman" w:cs="Times New Roman"/>
          <w:sz w:val="24"/>
          <w:szCs w:val="24"/>
        </w:rPr>
        <w:t xml:space="preserve">. We identified </w:t>
      </w:r>
      <w:r w:rsidR="00696569" w:rsidRPr="00591AA2">
        <w:rPr>
          <w:rFonts w:ascii="Times New Roman" w:hAnsi="Times New Roman" w:cs="Times New Roman"/>
          <w:sz w:val="24"/>
          <w:szCs w:val="24"/>
        </w:rPr>
        <w:t>one</w:t>
      </w:r>
      <w:r w:rsidRPr="00591AA2">
        <w:rPr>
          <w:rFonts w:ascii="Times New Roman" w:hAnsi="Times New Roman" w:cs="Times New Roman"/>
          <w:sz w:val="24"/>
          <w:szCs w:val="24"/>
        </w:rPr>
        <w:t xml:space="preserve"> other </w:t>
      </w:r>
      <w:r w:rsidR="006036A5" w:rsidRPr="00591AA2">
        <w:rPr>
          <w:rFonts w:ascii="Times New Roman" w:hAnsi="Times New Roman" w:cs="Times New Roman"/>
          <w:sz w:val="24"/>
          <w:szCs w:val="24"/>
        </w:rPr>
        <w:t xml:space="preserve">recent </w:t>
      </w:r>
      <w:r w:rsidR="00696569" w:rsidRPr="00591AA2">
        <w:rPr>
          <w:rFonts w:ascii="Times New Roman" w:hAnsi="Times New Roman" w:cs="Times New Roman"/>
          <w:sz w:val="24"/>
          <w:szCs w:val="24"/>
        </w:rPr>
        <w:t>federal TBI research project</w:t>
      </w:r>
      <w:r w:rsidRPr="00591AA2">
        <w:rPr>
          <w:rFonts w:ascii="Times New Roman" w:hAnsi="Times New Roman" w:cs="Times New Roman"/>
          <w:sz w:val="24"/>
          <w:szCs w:val="24"/>
        </w:rPr>
        <w:t xml:space="preserve"> in this system. The NIH is currently working on a project entitled “National Institute of Neurological Disorders and Stroke Federal Interagency Traumatic Brain Injury Research (FITBIR) Data Access Request</w:t>
      </w:r>
      <w:r w:rsidR="00517C62" w:rsidRPr="00591AA2">
        <w:rPr>
          <w:rFonts w:ascii="Times New Roman" w:hAnsi="Times New Roman" w:cs="Times New Roman"/>
          <w:sz w:val="24"/>
          <w:szCs w:val="24"/>
        </w:rPr>
        <w:t>.</w:t>
      </w:r>
      <w:r w:rsidRPr="00591AA2">
        <w:rPr>
          <w:rFonts w:ascii="Times New Roman" w:hAnsi="Times New Roman" w:cs="Times New Roman"/>
          <w:sz w:val="24"/>
          <w:szCs w:val="24"/>
        </w:rPr>
        <w:t>”</w:t>
      </w:r>
      <w:r w:rsidR="00517C62" w:rsidRPr="00591AA2">
        <w:rPr>
          <w:rFonts w:ascii="Times New Roman" w:hAnsi="Times New Roman" w:cs="Times New Roman"/>
          <w:sz w:val="24"/>
          <w:szCs w:val="24"/>
        </w:rPr>
        <w:t xml:space="preserve"> The project is focused on sharing TBI datasets</w:t>
      </w:r>
      <w:r w:rsidRPr="00591AA2">
        <w:rPr>
          <w:rFonts w:ascii="Times New Roman" w:hAnsi="Times New Roman" w:cs="Times New Roman"/>
          <w:sz w:val="24"/>
          <w:szCs w:val="24"/>
        </w:rPr>
        <w:t xml:space="preserve"> </w:t>
      </w:r>
      <w:r w:rsidR="00517C62" w:rsidRPr="00591AA2">
        <w:rPr>
          <w:rFonts w:ascii="Times New Roman" w:hAnsi="Times New Roman" w:cs="Times New Roman"/>
          <w:sz w:val="24"/>
          <w:szCs w:val="24"/>
        </w:rPr>
        <w:t>and does not have a particular focus on either rural communities or healthcare providers. Therefore, t</w:t>
      </w:r>
      <w:r w:rsidR="00494D82" w:rsidRPr="00591AA2">
        <w:rPr>
          <w:rFonts w:ascii="Times New Roman" w:hAnsi="Times New Roman" w:cs="Times New Roman"/>
          <w:sz w:val="24"/>
          <w:szCs w:val="24"/>
        </w:rPr>
        <w:t xml:space="preserve">hrough our participation </w:t>
      </w:r>
      <w:r w:rsidR="0035309F" w:rsidRPr="00591AA2">
        <w:rPr>
          <w:rFonts w:ascii="Times New Roman" w:hAnsi="Times New Roman" w:cs="Times New Roman"/>
          <w:sz w:val="24"/>
          <w:szCs w:val="24"/>
        </w:rPr>
        <w:t>with the National Research Action Plan for TBI and by reviewing the Office of Information and Regulatory Affairs’ website on current information collection requests,</w:t>
      </w:r>
      <w:r w:rsidR="00494D82" w:rsidRPr="00591AA2">
        <w:rPr>
          <w:rFonts w:ascii="Times New Roman" w:hAnsi="Times New Roman" w:cs="Times New Roman"/>
          <w:sz w:val="24"/>
          <w:szCs w:val="24"/>
        </w:rPr>
        <w:t xml:space="preserve"> we are </w:t>
      </w:r>
      <w:r w:rsidR="005B06D4" w:rsidRPr="00591AA2">
        <w:rPr>
          <w:rFonts w:ascii="Times New Roman" w:hAnsi="Times New Roman" w:cs="Times New Roman"/>
          <w:sz w:val="24"/>
          <w:szCs w:val="24"/>
        </w:rPr>
        <w:t xml:space="preserve">confident </w:t>
      </w:r>
      <w:r w:rsidR="00494D82" w:rsidRPr="00591AA2">
        <w:rPr>
          <w:rFonts w:ascii="Times New Roman" w:hAnsi="Times New Roman" w:cs="Times New Roman"/>
          <w:sz w:val="24"/>
          <w:szCs w:val="24"/>
        </w:rPr>
        <w:t>that no effort has been undertaken by other federal agencies</w:t>
      </w:r>
      <w:r w:rsidR="00CC04A8" w:rsidRPr="00591AA2">
        <w:rPr>
          <w:rFonts w:ascii="Times New Roman" w:hAnsi="Times New Roman" w:cs="Times New Roman"/>
          <w:sz w:val="24"/>
          <w:szCs w:val="24"/>
        </w:rPr>
        <w:t xml:space="preserve"> which closely</w:t>
      </w:r>
      <w:r w:rsidR="0035309F" w:rsidRPr="00591AA2">
        <w:rPr>
          <w:rFonts w:ascii="Times New Roman" w:hAnsi="Times New Roman" w:cs="Times New Roman"/>
          <w:sz w:val="24"/>
          <w:szCs w:val="24"/>
        </w:rPr>
        <w:t xml:space="preserve"> matches the one we are proposing</w:t>
      </w:r>
      <w:r w:rsidR="00494D82" w:rsidRPr="00591AA2">
        <w:rPr>
          <w:rFonts w:ascii="Times New Roman" w:hAnsi="Times New Roman" w:cs="Times New Roman"/>
          <w:sz w:val="24"/>
          <w:szCs w:val="24"/>
        </w:rPr>
        <w:t>.</w:t>
      </w:r>
    </w:p>
    <w:p w14:paraId="68157F6F" w14:textId="77777777" w:rsidR="00494D82" w:rsidRPr="00CD645B" w:rsidRDefault="00494D82" w:rsidP="00EE46CA">
      <w:pPr>
        <w:spacing w:after="0" w:line="360" w:lineRule="auto"/>
        <w:rPr>
          <w:rFonts w:ascii="Times New Roman" w:hAnsi="Times New Roman" w:cs="Times New Roman"/>
          <w:sz w:val="24"/>
          <w:szCs w:val="24"/>
        </w:rPr>
      </w:pPr>
    </w:p>
    <w:p w14:paraId="1BC6B8F1" w14:textId="77777777" w:rsidR="00A7489B" w:rsidRPr="00CD645B" w:rsidRDefault="00A7489B" w:rsidP="00AD5A3B">
      <w:pPr>
        <w:pStyle w:val="Heading2"/>
        <w:rPr>
          <w:rFonts w:ascii="Times New Roman" w:hAnsi="Times New Roman"/>
        </w:rPr>
      </w:pPr>
      <w:bookmarkStart w:id="11" w:name="_Toc501703424"/>
      <w:r w:rsidRPr="00CD645B">
        <w:rPr>
          <w:rFonts w:ascii="Times New Roman" w:hAnsi="Times New Roman"/>
        </w:rPr>
        <w:t xml:space="preserve">A.5 </w:t>
      </w:r>
      <w:r w:rsidR="009D070B" w:rsidRPr="00CD645B">
        <w:rPr>
          <w:rFonts w:ascii="Times New Roman" w:hAnsi="Times New Roman"/>
        </w:rPr>
        <w:t>Impact on Small Businesses or Other Small Entities</w:t>
      </w:r>
      <w:bookmarkEnd w:id="11"/>
    </w:p>
    <w:p w14:paraId="31B1B371" w14:textId="7574382D" w:rsidR="008C2EF6" w:rsidRPr="00CD645B" w:rsidRDefault="00A7489B"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It is possible that some participating</w:t>
      </w:r>
      <w:r w:rsidR="00623CF8" w:rsidRPr="00CD645B">
        <w:rPr>
          <w:rFonts w:ascii="Times New Roman" w:hAnsi="Times New Roman" w:cs="Times New Roman"/>
          <w:sz w:val="24"/>
          <w:szCs w:val="24"/>
        </w:rPr>
        <w:t xml:space="preserve"> healthcare</w:t>
      </w:r>
      <w:r w:rsidRPr="00CD645B">
        <w:rPr>
          <w:rFonts w:ascii="Times New Roman" w:hAnsi="Times New Roman" w:cs="Times New Roman"/>
          <w:sz w:val="24"/>
          <w:szCs w:val="24"/>
        </w:rPr>
        <w:t xml:space="preserve"> providers will be small entities; however, the </w:t>
      </w:r>
      <w:r w:rsidR="00EB0ADC" w:rsidRPr="00CD645B">
        <w:rPr>
          <w:rFonts w:ascii="Times New Roman" w:hAnsi="Times New Roman" w:cs="Times New Roman"/>
          <w:sz w:val="24"/>
          <w:szCs w:val="24"/>
        </w:rPr>
        <w:t>focus groups will be conducted during</w:t>
      </w:r>
      <w:r w:rsidR="00623CF8" w:rsidRPr="00CD645B">
        <w:rPr>
          <w:rFonts w:ascii="Times New Roman" w:hAnsi="Times New Roman" w:cs="Times New Roman"/>
          <w:sz w:val="24"/>
          <w:szCs w:val="24"/>
        </w:rPr>
        <w:t xml:space="preserve"> national</w:t>
      </w:r>
      <w:r w:rsidR="00EB0ADC" w:rsidRPr="00CD645B">
        <w:rPr>
          <w:rFonts w:ascii="Times New Roman" w:hAnsi="Times New Roman" w:cs="Times New Roman"/>
          <w:sz w:val="24"/>
          <w:szCs w:val="24"/>
        </w:rPr>
        <w:t xml:space="preserve"> conferences</w:t>
      </w:r>
      <w:r w:rsidR="00623CF8" w:rsidRPr="00CD645B">
        <w:rPr>
          <w:rFonts w:ascii="Times New Roman" w:hAnsi="Times New Roman" w:cs="Times New Roman"/>
          <w:sz w:val="24"/>
          <w:szCs w:val="24"/>
        </w:rPr>
        <w:t xml:space="preserve"> where healthcare providers will already be away from their practices</w:t>
      </w:r>
      <w:r w:rsidR="00591AA2">
        <w:rPr>
          <w:rFonts w:ascii="Times New Roman" w:hAnsi="Times New Roman" w:cs="Times New Roman"/>
          <w:sz w:val="24"/>
          <w:szCs w:val="24"/>
        </w:rPr>
        <w:t>.</w:t>
      </w:r>
      <w:r w:rsidRPr="00CD645B">
        <w:rPr>
          <w:rFonts w:ascii="Times New Roman" w:hAnsi="Times New Roman" w:cs="Times New Roman"/>
          <w:sz w:val="24"/>
          <w:szCs w:val="24"/>
        </w:rPr>
        <w:t xml:space="preserve"> </w:t>
      </w:r>
      <w:r w:rsidR="00591AA2">
        <w:rPr>
          <w:rFonts w:ascii="Times New Roman" w:hAnsi="Times New Roman" w:cs="Times New Roman"/>
          <w:sz w:val="24"/>
          <w:szCs w:val="24"/>
        </w:rPr>
        <w:t>T</w:t>
      </w:r>
      <w:r w:rsidRPr="00CD645B">
        <w:rPr>
          <w:rFonts w:ascii="Times New Roman" w:hAnsi="Times New Roman" w:cs="Times New Roman"/>
          <w:sz w:val="24"/>
          <w:szCs w:val="24"/>
        </w:rPr>
        <w:t xml:space="preserve">herefore the impact </w:t>
      </w:r>
      <w:r w:rsidR="00591AA2">
        <w:rPr>
          <w:rFonts w:ascii="Times New Roman" w:hAnsi="Times New Roman" w:cs="Times New Roman"/>
          <w:sz w:val="24"/>
          <w:szCs w:val="24"/>
        </w:rPr>
        <w:t xml:space="preserve">and burden </w:t>
      </w:r>
      <w:r w:rsidRPr="00CD645B">
        <w:rPr>
          <w:rFonts w:ascii="Times New Roman" w:hAnsi="Times New Roman" w:cs="Times New Roman"/>
          <w:sz w:val="24"/>
          <w:szCs w:val="24"/>
        </w:rPr>
        <w:t xml:space="preserve">will be minimal. This study will not unduly affect small businesses or small entities.  </w:t>
      </w:r>
    </w:p>
    <w:p w14:paraId="093DD13E" w14:textId="77777777" w:rsidR="008C2EF6" w:rsidRPr="00CD645B" w:rsidRDefault="008C2EF6" w:rsidP="0059475A">
      <w:pPr>
        <w:spacing w:after="240" w:line="240" w:lineRule="auto"/>
        <w:rPr>
          <w:rFonts w:ascii="Times New Roman" w:hAnsi="Times New Roman" w:cs="Times New Roman"/>
          <w:sz w:val="24"/>
          <w:szCs w:val="24"/>
        </w:rPr>
      </w:pPr>
    </w:p>
    <w:p w14:paraId="2390ED2D" w14:textId="77777777" w:rsidR="009D070B" w:rsidRPr="00CD645B" w:rsidRDefault="008C2EF6" w:rsidP="008C2EF6">
      <w:pPr>
        <w:pStyle w:val="Heading2"/>
        <w:rPr>
          <w:rFonts w:ascii="Times New Roman" w:hAnsi="Times New Roman"/>
        </w:rPr>
      </w:pPr>
      <w:bookmarkStart w:id="12" w:name="_Toc501703425"/>
      <w:r w:rsidRPr="00CD645B">
        <w:rPr>
          <w:rFonts w:ascii="Times New Roman" w:hAnsi="Times New Roman"/>
        </w:rPr>
        <w:t xml:space="preserve">A.6. </w:t>
      </w:r>
      <w:r w:rsidR="009D070B" w:rsidRPr="00CD645B">
        <w:rPr>
          <w:rFonts w:ascii="Times New Roman" w:hAnsi="Times New Roman"/>
        </w:rPr>
        <w:t>Consequences of Collecting the Information Less Frequently</w:t>
      </w:r>
      <w:bookmarkEnd w:id="12"/>
    </w:p>
    <w:p w14:paraId="09E78CED" w14:textId="6D7EE114" w:rsidR="00EB0ADC" w:rsidRPr="00CD645B" w:rsidRDefault="00EB0ADC"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The design of this study requires only one data collection activity per respondent. Without collecting this data, CDC will not have adequate information to understand the unique challenges facing rural clinicians in diagnosing, treating, managing, and preventing </w:t>
      </w:r>
      <w:r w:rsidR="00BF0C51">
        <w:rPr>
          <w:rFonts w:ascii="Times New Roman" w:hAnsi="Times New Roman" w:cs="Times New Roman"/>
          <w:sz w:val="24"/>
          <w:szCs w:val="24"/>
        </w:rPr>
        <w:t xml:space="preserve">mild </w:t>
      </w:r>
      <w:r w:rsidRPr="00CD645B">
        <w:rPr>
          <w:rFonts w:ascii="Times New Roman" w:hAnsi="Times New Roman" w:cs="Times New Roman"/>
          <w:sz w:val="24"/>
          <w:szCs w:val="24"/>
        </w:rPr>
        <w:t>TBI. Therefore, programs and services</w:t>
      </w:r>
      <w:r w:rsidR="004D28C1" w:rsidRPr="00CD645B">
        <w:rPr>
          <w:rFonts w:ascii="Times New Roman" w:hAnsi="Times New Roman" w:cs="Times New Roman"/>
          <w:sz w:val="24"/>
          <w:szCs w:val="24"/>
        </w:rPr>
        <w:t xml:space="preserve"> for rural healthcare providers and patients, such as </w:t>
      </w:r>
      <w:r w:rsidR="00CA44FF" w:rsidRPr="00CD645B">
        <w:rPr>
          <w:rFonts w:ascii="Times New Roman" w:hAnsi="Times New Roman" w:cs="Times New Roman"/>
          <w:sz w:val="24"/>
          <w:szCs w:val="24"/>
        </w:rPr>
        <w:t xml:space="preserve">the </w:t>
      </w:r>
      <w:r w:rsidR="004D28C1" w:rsidRPr="00CD645B">
        <w:rPr>
          <w:rFonts w:ascii="Times New Roman" w:hAnsi="Times New Roman" w:cs="Times New Roman"/>
          <w:sz w:val="24"/>
          <w:szCs w:val="24"/>
        </w:rPr>
        <w:t xml:space="preserve">Mild Traumatic Brain Injury Guidelines, Online Concussion Training, or </w:t>
      </w:r>
      <w:r w:rsidR="0058129A" w:rsidRPr="00CD645B">
        <w:rPr>
          <w:rFonts w:ascii="Times New Roman" w:hAnsi="Times New Roman" w:cs="Times New Roman"/>
          <w:sz w:val="24"/>
          <w:szCs w:val="24"/>
        </w:rPr>
        <w:t xml:space="preserve">sample </w:t>
      </w:r>
      <w:r w:rsidR="004D28C1" w:rsidRPr="00CD645B">
        <w:rPr>
          <w:rFonts w:ascii="Times New Roman" w:hAnsi="Times New Roman" w:cs="Times New Roman"/>
          <w:sz w:val="24"/>
          <w:szCs w:val="24"/>
        </w:rPr>
        <w:t>discharge instructions,</w:t>
      </w:r>
      <w:r w:rsidRPr="00CD645B">
        <w:rPr>
          <w:rFonts w:ascii="Times New Roman" w:hAnsi="Times New Roman" w:cs="Times New Roman"/>
          <w:sz w:val="24"/>
          <w:szCs w:val="24"/>
        </w:rPr>
        <w:t xml:space="preserve"> developed by CDC may not fully account for these unique challenges, reducing their utility for rural </w:t>
      </w:r>
      <w:r w:rsidR="008C2EF6" w:rsidRPr="00CD645B">
        <w:rPr>
          <w:rFonts w:ascii="Times New Roman" w:hAnsi="Times New Roman" w:cs="Times New Roman"/>
          <w:sz w:val="24"/>
          <w:szCs w:val="24"/>
        </w:rPr>
        <w:t>clinicians</w:t>
      </w:r>
      <w:r w:rsidRPr="00CD645B">
        <w:rPr>
          <w:rFonts w:ascii="Times New Roman" w:hAnsi="Times New Roman" w:cs="Times New Roman"/>
          <w:sz w:val="24"/>
          <w:szCs w:val="24"/>
        </w:rPr>
        <w:t>. The federal government will find enormous benefit in having information available that will answer the questions about how,</w:t>
      </w:r>
      <w:r w:rsidR="008C2EF6" w:rsidRPr="00CD645B">
        <w:rPr>
          <w:rFonts w:ascii="Times New Roman" w:hAnsi="Times New Roman" w:cs="Times New Roman"/>
          <w:sz w:val="24"/>
          <w:szCs w:val="24"/>
        </w:rPr>
        <w:t xml:space="preserve"> and to what extent, are current CDC programs</w:t>
      </w:r>
      <w:r w:rsidR="00D42331" w:rsidRPr="00CD645B">
        <w:rPr>
          <w:rFonts w:ascii="Times New Roman" w:hAnsi="Times New Roman" w:cs="Times New Roman"/>
          <w:sz w:val="24"/>
          <w:szCs w:val="24"/>
        </w:rPr>
        <w:t xml:space="preserve"> regarding TBI </w:t>
      </w:r>
      <w:r w:rsidRPr="00CD645B">
        <w:rPr>
          <w:rFonts w:ascii="Times New Roman" w:hAnsi="Times New Roman" w:cs="Times New Roman"/>
          <w:sz w:val="24"/>
          <w:szCs w:val="24"/>
        </w:rPr>
        <w:t>being used</w:t>
      </w:r>
      <w:r w:rsidR="008C2EF6" w:rsidRPr="00CD645B">
        <w:rPr>
          <w:rFonts w:ascii="Times New Roman" w:hAnsi="Times New Roman" w:cs="Times New Roman"/>
          <w:sz w:val="24"/>
          <w:szCs w:val="24"/>
        </w:rPr>
        <w:t xml:space="preserve"> in rural settings</w:t>
      </w:r>
      <w:r w:rsidRPr="00CD645B">
        <w:rPr>
          <w:rFonts w:ascii="Times New Roman" w:hAnsi="Times New Roman" w:cs="Times New Roman"/>
          <w:sz w:val="24"/>
          <w:szCs w:val="24"/>
        </w:rPr>
        <w:t>. Additionally</w:t>
      </w:r>
      <w:r w:rsidR="008C2EF6" w:rsidRPr="00CD645B">
        <w:rPr>
          <w:rFonts w:ascii="Times New Roman" w:hAnsi="Times New Roman" w:cs="Times New Roman"/>
          <w:sz w:val="24"/>
          <w:szCs w:val="24"/>
        </w:rPr>
        <w:t>, this</w:t>
      </w:r>
      <w:r w:rsidRPr="00CD645B">
        <w:rPr>
          <w:rFonts w:ascii="Times New Roman" w:hAnsi="Times New Roman" w:cs="Times New Roman"/>
          <w:sz w:val="24"/>
          <w:szCs w:val="24"/>
        </w:rPr>
        <w:t xml:space="preserve"> study will be the first to examine </w:t>
      </w:r>
      <w:r w:rsidR="008C2EF6" w:rsidRPr="00CD645B">
        <w:rPr>
          <w:rFonts w:ascii="Times New Roman" w:hAnsi="Times New Roman" w:cs="Times New Roman"/>
          <w:sz w:val="24"/>
          <w:szCs w:val="24"/>
        </w:rPr>
        <w:t xml:space="preserve">challenges and facilitators in rural settings and provide valuable information for future program development. </w:t>
      </w:r>
    </w:p>
    <w:p w14:paraId="13160EB5" w14:textId="77777777" w:rsidR="00285F98" w:rsidRPr="00CD645B" w:rsidRDefault="00285F98" w:rsidP="00EE46CA">
      <w:pPr>
        <w:spacing w:after="0" w:line="360" w:lineRule="auto"/>
        <w:rPr>
          <w:rFonts w:ascii="Times New Roman" w:hAnsi="Times New Roman" w:cs="Times New Roman"/>
          <w:sz w:val="24"/>
          <w:szCs w:val="24"/>
        </w:rPr>
      </w:pPr>
    </w:p>
    <w:p w14:paraId="503EE87B" w14:textId="77777777" w:rsidR="009D070B" w:rsidRPr="00CD645B" w:rsidRDefault="00284CF3" w:rsidP="00EE46CA">
      <w:pPr>
        <w:pStyle w:val="Heading2"/>
        <w:spacing w:line="360" w:lineRule="auto"/>
        <w:rPr>
          <w:rFonts w:ascii="Times New Roman" w:hAnsi="Times New Roman"/>
          <w:szCs w:val="24"/>
        </w:rPr>
      </w:pPr>
      <w:bookmarkStart w:id="13" w:name="_Toc501703426"/>
      <w:r w:rsidRPr="00CD645B">
        <w:rPr>
          <w:rFonts w:ascii="Times New Roman" w:hAnsi="Times New Roman"/>
          <w:szCs w:val="24"/>
        </w:rPr>
        <w:t xml:space="preserve">A.7. </w:t>
      </w:r>
      <w:r w:rsidR="009D070B" w:rsidRPr="00CD645B">
        <w:rPr>
          <w:rFonts w:ascii="Times New Roman" w:hAnsi="Times New Roman"/>
          <w:szCs w:val="24"/>
        </w:rPr>
        <w:t>Special Circumstances R</w:t>
      </w:r>
      <w:r w:rsidR="008F5C1C" w:rsidRPr="00CD645B">
        <w:rPr>
          <w:rFonts w:ascii="Times New Roman" w:hAnsi="Times New Roman"/>
          <w:szCs w:val="24"/>
        </w:rPr>
        <w:t>elated to the Guidelines of 5 CFR</w:t>
      </w:r>
      <w:r w:rsidR="009D070B" w:rsidRPr="00CD645B">
        <w:rPr>
          <w:rFonts w:ascii="Times New Roman" w:hAnsi="Times New Roman"/>
          <w:szCs w:val="24"/>
        </w:rPr>
        <w:t xml:space="preserve"> 1320.5</w:t>
      </w:r>
      <w:bookmarkEnd w:id="13"/>
    </w:p>
    <w:p w14:paraId="18698F67" w14:textId="77777777" w:rsidR="009D070B" w:rsidRPr="00CD645B" w:rsidRDefault="00452333"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This request fully complies with the regulation 5 CFR 1320.5.</w:t>
      </w:r>
    </w:p>
    <w:p w14:paraId="24AF184B" w14:textId="77777777" w:rsidR="00285F98" w:rsidRPr="00CD645B" w:rsidRDefault="00285F98" w:rsidP="0059475A">
      <w:pPr>
        <w:spacing w:after="240" w:line="240" w:lineRule="auto"/>
        <w:rPr>
          <w:rFonts w:ascii="Times New Roman" w:hAnsi="Times New Roman" w:cs="Times New Roman"/>
          <w:sz w:val="24"/>
          <w:szCs w:val="24"/>
        </w:rPr>
      </w:pPr>
    </w:p>
    <w:p w14:paraId="6C43BFB9" w14:textId="77777777" w:rsidR="009D070B" w:rsidRPr="00CD645B" w:rsidRDefault="00284CF3" w:rsidP="0059475A">
      <w:pPr>
        <w:pStyle w:val="Heading2"/>
      </w:pPr>
      <w:bookmarkStart w:id="14" w:name="_Toc501703427"/>
      <w:r w:rsidRPr="00CD645B">
        <w:t xml:space="preserve">A.8. </w:t>
      </w:r>
      <w:r w:rsidR="007B1CA7" w:rsidRPr="00CD645B">
        <w:t xml:space="preserve">Comments in Response to the </w:t>
      </w:r>
      <w:r w:rsidR="009D070B" w:rsidRPr="00CD645B">
        <w:t>Federal Register Notice and Efforts to Consult Outside the Agency</w:t>
      </w:r>
      <w:bookmarkEnd w:id="14"/>
    </w:p>
    <w:p w14:paraId="7E1F0B2C" w14:textId="77777777" w:rsidR="009D070B" w:rsidRPr="00CD645B" w:rsidRDefault="00452333" w:rsidP="0059475A">
      <w:pPr>
        <w:spacing w:after="240" w:line="240" w:lineRule="auto"/>
        <w:rPr>
          <w:rFonts w:ascii="Times New Roman" w:hAnsi="Times New Roman" w:cs="Times New Roman"/>
          <w:i/>
          <w:sz w:val="24"/>
          <w:szCs w:val="24"/>
        </w:rPr>
      </w:pPr>
      <w:r w:rsidRPr="00CD645B">
        <w:rPr>
          <w:rFonts w:ascii="Times New Roman" w:hAnsi="Times New Roman" w:cs="Times New Roman"/>
          <w:i/>
          <w:sz w:val="24"/>
          <w:szCs w:val="24"/>
        </w:rPr>
        <w:t xml:space="preserve">A.8.a) </w:t>
      </w:r>
      <w:r w:rsidR="005B4C07" w:rsidRPr="00CD645B">
        <w:rPr>
          <w:rFonts w:ascii="Times New Roman" w:hAnsi="Times New Roman" w:cs="Times New Roman"/>
          <w:i/>
          <w:sz w:val="24"/>
          <w:szCs w:val="24"/>
        </w:rPr>
        <w:t>Federal Register Notice</w:t>
      </w:r>
    </w:p>
    <w:p w14:paraId="07FC97A4" w14:textId="069BFDE7" w:rsidR="00452333" w:rsidRPr="00CD645B" w:rsidRDefault="00452333" w:rsidP="00487947">
      <w:r w:rsidRPr="00CD645B">
        <w:rPr>
          <w:rFonts w:ascii="Times New Roman" w:hAnsi="Times New Roman" w:cs="Times New Roman"/>
          <w:sz w:val="24"/>
          <w:szCs w:val="24"/>
        </w:rPr>
        <w:t xml:space="preserve">A 60-day Federal Register Notice was published in the Federal Register on </w:t>
      </w:r>
      <w:r w:rsidR="00A26C80" w:rsidRPr="00CD645B">
        <w:rPr>
          <w:rFonts w:ascii="Times New Roman" w:hAnsi="Times New Roman" w:cs="Times New Roman"/>
          <w:sz w:val="24"/>
          <w:szCs w:val="24"/>
        </w:rPr>
        <w:t>June</w:t>
      </w:r>
      <w:r w:rsidRPr="00CD645B">
        <w:rPr>
          <w:rFonts w:ascii="Times New Roman" w:hAnsi="Times New Roman" w:cs="Times New Roman"/>
          <w:sz w:val="24"/>
          <w:szCs w:val="24"/>
        </w:rPr>
        <w:t xml:space="preserve"> </w:t>
      </w:r>
      <w:r w:rsidR="00A26C80" w:rsidRPr="00CD645B">
        <w:rPr>
          <w:rFonts w:ascii="Times New Roman" w:hAnsi="Times New Roman" w:cs="Times New Roman"/>
          <w:sz w:val="24"/>
          <w:szCs w:val="24"/>
        </w:rPr>
        <w:t>7</w:t>
      </w:r>
      <w:r w:rsidRPr="00CD645B">
        <w:rPr>
          <w:rFonts w:ascii="Times New Roman" w:hAnsi="Times New Roman" w:cs="Times New Roman"/>
          <w:sz w:val="24"/>
          <w:szCs w:val="24"/>
        </w:rPr>
        <w:t xml:space="preserve">, </w:t>
      </w:r>
      <w:r w:rsidR="00A26C80" w:rsidRPr="00CD645B">
        <w:rPr>
          <w:rFonts w:ascii="Times New Roman" w:hAnsi="Times New Roman" w:cs="Times New Roman"/>
          <w:sz w:val="24"/>
          <w:szCs w:val="24"/>
        </w:rPr>
        <w:t>2018</w:t>
      </w:r>
      <w:r w:rsidRPr="00CD645B">
        <w:rPr>
          <w:rFonts w:ascii="Times New Roman" w:hAnsi="Times New Roman" w:cs="Times New Roman"/>
          <w:sz w:val="24"/>
          <w:szCs w:val="24"/>
        </w:rPr>
        <w:t xml:space="preserve">, vol. </w:t>
      </w:r>
      <w:r w:rsidR="00A26C80" w:rsidRPr="00CD645B">
        <w:rPr>
          <w:rFonts w:ascii="Times New Roman" w:hAnsi="Times New Roman" w:cs="Times New Roman"/>
          <w:sz w:val="24"/>
          <w:szCs w:val="24"/>
        </w:rPr>
        <w:t xml:space="preserve">83 </w:t>
      </w:r>
      <w:r w:rsidRPr="00CD645B">
        <w:rPr>
          <w:rFonts w:ascii="Times New Roman" w:hAnsi="Times New Roman" w:cs="Times New Roman"/>
          <w:sz w:val="24"/>
          <w:szCs w:val="24"/>
        </w:rPr>
        <w:t xml:space="preserve">No. </w:t>
      </w:r>
      <w:r w:rsidR="00A26C80" w:rsidRPr="00CD645B">
        <w:rPr>
          <w:rFonts w:ascii="Times New Roman" w:hAnsi="Times New Roman" w:cs="Times New Roman"/>
          <w:sz w:val="24"/>
          <w:szCs w:val="24"/>
        </w:rPr>
        <w:t>110</w:t>
      </w:r>
      <w:r w:rsidRPr="00CD645B">
        <w:rPr>
          <w:rFonts w:ascii="Times New Roman" w:hAnsi="Times New Roman" w:cs="Times New Roman"/>
          <w:sz w:val="24"/>
          <w:szCs w:val="24"/>
        </w:rPr>
        <w:t xml:space="preserve">, </w:t>
      </w:r>
      <w:r w:rsidR="00613DEC" w:rsidRPr="00CD645B">
        <w:rPr>
          <w:rFonts w:ascii="Times New Roman" w:hAnsi="Times New Roman" w:cs="Times New Roman"/>
          <w:sz w:val="24"/>
          <w:szCs w:val="24"/>
        </w:rPr>
        <w:t>and pp</w:t>
      </w:r>
      <w:r w:rsidR="00A26C80" w:rsidRPr="00CD645B">
        <w:rPr>
          <w:rFonts w:ascii="Times New Roman" w:hAnsi="Times New Roman" w:cs="Times New Roman"/>
          <w:sz w:val="24"/>
          <w:szCs w:val="24"/>
        </w:rPr>
        <w:t>. 26464-26465</w:t>
      </w:r>
      <w:r w:rsidRPr="00CD645B">
        <w:rPr>
          <w:rFonts w:ascii="Times New Roman" w:hAnsi="Times New Roman" w:cs="Times New Roman"/>
          <w:sz w:val="24"/>
          <w:szCs w:val="24"/>
        </w:rPr>
        <w:t xml:space="preserve"> (</w:t>
      </w:r>
      <w:r w:rsidRPr="00CD645B">
        <w:rPr>
          <w:rFonts w:ascii="Times New Roman" w:hAnsi="Times New Roman" w:cs="Times New Roman"/>
          <w:b/>
          <w:sz w:val="24"/>
          <w:szCs w:val="24"/>
        </w:rPr>
        <w:t xml:space="preserve">Attachment </w:t>
      </w:r>
      <w:r w:rsidR="00130CC1" w:rsidRPr="00CD645B">
        <w:rPr>
          <w:rFonts w:ascii="Times New Roman" w:hAnsi="Times New Roman" w:cs="Times New Roman"/>
          <w:b/>
          <w:sz w:val="24"/>
          <w:szCs w:val="24"/>
        </w:rPr>
        <w:t>2</w:t>
      </w:r>
      <w:r w:rsidRPr="00CD645B">
        <w:rPr>
          <w:rFonts w:ascii="Times New Roman" w:hAnsi="Times New Roman" w:cs="Times New Roman"/>
          <w:sz w:val="24"/>
          <w:szCs w:val="24"/>
        </w:rPr>
        <w:t xml:space="preserve">). </w:t>
      </w:r>
      <w:r w:rsidR="00BF1765" w:rsidRPr="00CD645B">
        <w:rPr>
          <w:rFonts w:ascii="Times New Roman" w:hAnsi="Times New Roman" w:cs="Times New Roman"/>
          <w:sz w:val="24"/>
          <w:szCs w:val="24"/>
        </w:rPr>
        <w:t>CDC received two substantive public comments</w:t>
      </w:r>
      <w:r w:rsidR="008572F9" w:rsidRPr="00CD645B">
        <w:rPr>
          <w:rFonts w:ascii="Times New Roman" w:hAnsi="Times New Roman" w:cs="Times New Roman"/>
          <w:sz w:val="24"/>
          <w:szCs w:val="24"/>
        </w:rPr>
        <w:t xml:space="preserve"> and replied with a response</w:t>
      </w:r>
      <w:r w:rsidR="00CF6561" w:rsidRPr="00CD645B">
        <w:rPr>
          <w:rFonts w:ascii="Times New Roman" w:hAnsi="Times New Roman" w:cs="Times New Roman"/>
          <w:sz w:val="24"/>
          <w:szCs w:val="24"/>
        </w:rPr>
        <w:t xml:space="preserve"> (</w:t>
      </w:r>
      <w:r w:rsidR="00CF6561" w:rsidRPr="00CD645B">
        <w:rPr>
          <w:rFonts w:ascii="Times New Roman" w:hAnsi="Times New Roman" w:cs="Times New Roman"/>
          <w:b/>
          <w:sz w:val="24"/>
          <w:szCs w:val="24"/>
        </w:rPr>
        <w:t>Attachment 3</w:t>
      </w:r>
      <w:r w:rsidR="00CF6561" w:rsidRPr="00CD645B">
        <w:rPr>
          <w:rFonts w:ascii="Times New Roman" w:hAnsi="Times New Roman" w:cs="Times New Roman"/>
          <w:sz w:val="24"/>
          <w:szCs w:val="24"/>
        </w:rPr>
        <w:t>).</w:t>
      </w:r>
      <w:r w:rsidR="008572F9" w:rsidRPr="00CD645B">
        <w:rPr>
          <w:rFonts w:ascii="Times New Roman" w:hAnsi="Times New Roman" w:cs="Times New Roman"/>
          <w:sz w:val="24"/>
          <w:szCs w:val="24"/>
        </w:rPr>
        <w:t xml:space="preserve"> Modifications to this study will not be possible under the present budget, sample size needs and timeline. However, public comments will be consider</w:t>
      </w:r>
      <w:r w:rsidR="00DA4593" w:rsidRPr="00CD645B">
        <w:rPr>
          <w:rFonts w:ascii="Times New Roman" w:hAnsi="Times New Roman" w:cs="Times New Roman"/>
          <w:sz w:val="24"/>
          <w:szCs w:val="24"/>
        </w:rPr>
        <w:t xml:space="preserve"> </w:t>
      </w:r>
      <w:r w:rsidR="008572F9" w:rsidRPr="00CD645B">
        <w:rPr>
          <w:rFonts w:ascii="Times New Roman" w:hAnsi="Times New Roman" w:cs="Times New Roman"/>
          <w:sz w:val="24"/>
          <w:szCs w:val="24"/>
        </w:rPr>
        <w:t xml:space="preserve">for future studies. </w:t>
      </w:r>
    </w:p>
    <w:p w14:paraId="00521D6A" w14:textId="77777777" w:rsidR="005B4C07" w:rsidRPr="00CD645B" w:rsidRDefault="00452333" w:rsidP="0059475A">
      <w:pPr>
        <w:spacing w:after="240" w:line="240" w:lineRule="auto"/>
        <w:rPr>
          <w:rFonts w:ascii="Times New Roman" w:hAnsi="Times New Roman" w:cs="Times New Roman"/>
          <w:i/>
          <w:sz w:val="24"/>
          <w:szCs w:val="24"/>
        </w:rPr>
      </w:pPr>
      <w:r w:rsidRPr="00CD645B">
        <w:rPr>
          <w:rFonts w:ascii="Times New Roman" w:hAnsi="Times New Roman" w:cs="Times New Roman"/>
          <w:i/>
          <w:sz w:val="24"/>
          <w:szCs w:val="24"/>
        </w:rPr>
        <w:t xml:space="preserve">A.8.b) </w:t>
      </w:r>
      <w:r w:rsidR="00F374D2" w:rsidRPr="00CD645B">
        <w:rPr>
          <w:rFonts w:ascii="Times New Roman" w:hAnsi="Times New Roman" w:cs="Times New Roman"/>
          <w:i/>
          <w:sz w:val="24"/>
          <w:szCs w:val="24"/>
        </w:rPr>
        <w:t>Efforts to consult outside the agency</w:t>
      </w:r>
    </w:p>
    <w:p w14:paraId="32D9FAA6" w14:textId="29683B98" w:rsidR="005B7B20" w:rsidRPr="00CD645B" w:rsidRDefault="005B7B20" w:rsidP="00982F8F">
      <w:pPr>
        <w:pStyle w:val="P1-StandPara"/>
        <w:tabs>
          <w:tab w:val="left" w:pos="720"/>
          <w:tab w:val="right" w:leader="dot" w:pos="9504"/>
        </w:tabs>
        <w:spacing w:before="120" w:after="120" w:line="240" w:lineRule="auto"/>
        <w:ind w:firstLine="0"/>
        <w:rPr>
          <w:sz w:val="24"/>
          <w:szCs w:val="24"/>
        </w:rPr>
      </w:pPr>
      <w:r w:rsidRPr="00CD645B">
        <w:rPr>
          <w:sz w:val="24"/>
          <w:szCs w:val="24"/>
        </w:rPr>
        <w:tab/>
        <w:t xml:space="preserve">In order to stay informed about TBI work that is happening outside of the agency, </w:t>
      </w:r>
      <w:r w:rsidR="00D825DD" w:rsidRPr="00CD645B">
        <w:rPr>
          <w:sz w:val="24"/>
          <w:szCs w:val="24"/>
        </w:rPr>
        <w:t>CDC has</w:t>
      </w:r>
      <w:r w:rsidRPr="00CD645B">
        <w:rPr>
          <w:sz w:val="24"/>
          <w:szCs w:val="24"/>
        </w:rPr>
        <w:t xml:space="preserve"> representation on the National Research Action Plan for TBI, an Executive Order-created workgroup that coordinates federal TBI research and response. In addition to CDC, the federal agencies represented on this group include the Department of Defense, Veterans Administration, National Institutes of Health (NIH), and the National Institute on Disability, Independent Living, and Rehabilitation within the Administration for Community Living of the Department of Health and Human Services. Beyond monthly teleconferences in which projects are discussed, representatives of this group participate in a yearly “Review and Analysis” of all federally-funded TBI-focused projects. The portfolio of TBI-focused projects is presented to higher-level agency representatives as a means to account for the work that has been done and to set direction for future TBI-focused work. None of the agencies listed above are currently working on assessing the challenges that rural healthcare providers face i</w:t>
      </w:r>
      <w:r w:rsidR="00982F8F">
        <w:rPr>
          <w:sz w:val="24"/>
          <w:szCs w:val="24"/>
        </w:rPr>
        <w:t xml:space="preserve">n diagnosing and managing TBI. </w:t>
      </w:r>
    </w:p>
    <w:p w14:paraId="6F7177B0" w14:textId="3A88956D" w:rsidR="00B2541C" w:rsidRPr="00CD645B" w:rsidRDefault="00B2541C" w:rsidP="00C03353">
      <w:pPr>
        <w:spacing w:after="240" w:line="240" w:lineRule="auto"/>
        <w:ind w:firstLine="720"/>
        <w:rPr>
          <w:rFonts w:ascii="Times New Roman" w:hAnsi="Times New Roman" w:cs="Times New Roman"/>
          <w:sz w:val="24"/>
          <w:szCs w:val="24"/>
        </w:rPr>
      </w:pPr>
      <w:r w:rsidRPr="00CD645B">
        <w:rPr>
          <w:rFonts w:ascii="Times New Roman" w:hAnsi="Times New Roman" w:cs="Times New Roman"/>
          <w:sz w:val="24"/>
          <w:szCs w:val="24"/>
        </w:rPr>
        <w:t xml:space="preserve">In an effort to consult with experts both inside and outside of the U.S. Department of Health and Human Services, CDC is contracting with NORC to collect and analyze and focus group data. NORC has </w:t>
      </w:r>
      <w:r w:rsidR="00AA0339" w:rsidRPr="00CD645B">
        <w:rPr>
          <w:rFonts w:ascii="Times New Roman" w:hAnsi="Times New Roman" w:cs="Times New Roman"/>
          <w:sz w:val="24"/>
          <w:szCs w:val="24"/>
        </w:rPr>
        <w:t xml:space="preserve">also </w:t>
      </w:r>
      <w:r w:rsidRPr="00CD645B">
        <w:rPr>
          <w:rFonts w:ascii="Times New Roman" w:hAnsi="Times New Roman" w:cs="Times New Roman"/>
          <w:sz w:val="24"/>
          <w:szCs w:val="24"/>
        </w:rPr>
        <w:t xml:space="preserve">partnered with the National Rural Health Association (NRHA) to identify potential focus group participants. </w:t>
      </w:r>
      <w:r w:rsidR="0058129A" w:rsidRPr="00CD645B">
        <w:rPr>
          <w:rFonts w:ascii="Times New Roman" w:hAnsi="Times New Roman" w:cs="Times New Roman"/>
          <w:sz w:val="24"/>
          <w:szCs w:val="24"/>
        </w:rPr>
        <w:t xml:space="preserve">NRHA is a national nonprofit membership organization with more than 21,000 members. The association’s mission is to provide leadership on rural health issues through advocacy, communications, education, and research. NRHA membership consists of a diverse collection of individuals and organizations, including healthcare providers, all of whom share the common bond of an interest in rural health. </w:t>
      </w:r>
      <w:r w:rsidRPr="00CD645B">
        <w:rPr>
          <w:rFonts w:ascii="Times New Roman" w:hAnsi="Times New Roman" w:cs="Times New Roman"/>
          <w:sz w:val="24"/>
          <w:szCs w:val="24"/>
        </w:rPr>
        <w:t>NORC is responsible for all data collection activities, including administrative oversight, data collection, and data analysis.</w:t>
      </w:r>
    </w:p>
    <w:p w14:paraId="6F097C6B" w14:textId="3F18140F" w:rsidR="00B04287" w:rsidRPr="00CD645B" w:rsidRDefault="00452333" w:rsidP="00C03353">
      <w:pPr>
        <w:spacing w:after="240" w:line="240" w:lineRule="auto"/>
        <w:ind w:firstLine="720"/>
        <w:rPr>
          <w:rFonts w:ascii="Times New Roman" w:hAnsi="Times New Roman" w:cs="Times New Roman"/>
          <w:sz w:val="24"/>
          <w:szCs w:val="24"/>
        </w:rPr>
      </w:pPr>
      <w:r w:rsidRPr="00CD645B">
        <w:rPr>
          <w:rFonts w:ascii="Times New Roman" w:hAnsi="Times New Roman" w:cs="Times New Roman"/>
          <w:sz w:val="24"/>
          <w:szCs w:val="24"/>
        </w:rPr>
        <w:t xml:space="preserve">CDC Injury Center’s staff reviewed the focus group protocol and provided feedback on the electronic versions of the instruments during conference calls and via email. </w:t>
      </w:r>
      <w:r w:rsidR="0093349E" w:rsidRPr="00CD645B">
        <w:rPr>
          <w:rFonts w:ascii="Times New Roman" w:hAnsi="Times New Roman" w:cs="Times New Roman"/>
          <w:sz w:val="24"/>
          <w:szCs w:val="24"/>
        </w:rPr>
        <w:t xml:space="preserve">NORC </w:t>
      </w:r>
      <w:r w:rsidR="00AD1C6E" w:rsidRPr="00CD645B">
        <w:rPr>
          <w:rFonts w:ascii="Times New Roman" w:hAnsi="Times New Roman" w:cs="Times New Roman"/>
          <w:sz w:val="24"/>
          <w:szCs w:val="24"/>
        </w:rPr>
        <w:t>also sought the input of</w:t>
      </w:r>
      <w:r w:rsidR="00FE663A" w:rsidRPr="00CD645B">
        <w:rPr>
          <w:rFonts w:ascii="Times New Roman" w:hAnsi="Times New Roman" w:cs="Times New Roman"/>
          <w:sz w:val="24"/>
          <w:szCs w:val="24"/>
        </w:rPr>
        <w:t xml:space="preserve"> Yaser B. Freij</w:t>
      </w:r>
      <w:r w:rsidR="00AD1C6E" w:rsidRPr="00CD645B">
        <w:rPr>
          <w:rFonts w:ascii="Times New Roman" w:hAnsi="Times New Roman" w:cs="Times New Roman"/>
          <w:sz w:val="24"/>
          <w:szCs w:val="24"/>
        </w:rPr>
        <w:t>,</w:t>
      </w:r>
      <w:r w:rsidR="00FE663A" w:rsidRPr="00CD645B">
        <w:rPr>
          <w:rFonts w:ascii="Times New Roman" w:hAnsi="Times New Roman" w:cs="Times New Roman"/>
          <w:sz w:val="24"/>
          <w:szCs w:val="24"/>
        </w:rPr>
        <w:t xml:space="preserve"> MD,</w:t>
      </w:r>
      <w:r w:rsidR="00AD1C6E" w:rsidRPr="00CD645B">
        <w:rPr>
          <w:rFonts w:ascii="Times New Roman" w:hAnsi="Times New Roman" w:cs="Times New Roman"/>
          <w:sz w:val="24"/>
          <w:szCs w:val="24"/>
        </w:rPr>
        <w:t xml:space="preserve"> a rural physician</w:t>
      </w:r>
      <w:r w:rsidR="00DC4288" w:rsidRPr="00CD645B">
        <w:rPr>
          <w:rFonts w:ascii="Times New Roman" w:hAnsi="Times New Roman" w:cs="Times New Roman"/>
          <w:sz w:val="24"/>
          <w:szCs w:val="24"/>
        </w:rPr>
        <w:t xml:space="preserve">. </w:t>
      </w:r>
      <w:r w:rsidR="0058129A" w:rsidRPr="00CD645B">
        <w:rPr>
          <w:rFonts w:ascii="Times New Roman" w:hAnsi="Times New Roman" w:cs="Times New Roman"/>
          <w:sz w:val="24"/>
          <w:szCs w:val="24"/>
        </w:rPr>
        <w:t>Dr.</w:t>
      </w:r>
      <w:r w:rsidR="00FE663A" w:rsidRPr="00CD645B">
        <w:rPr>
          <w:rFonts w:ascii="Times New Roman" w:hAnsi="Times New Roman" w:cs="Times New Roman"/>
          <w:sz w:val="24"/>
          <w:szCs w:val="24"/>
        </w:rPr>
        <w:t xml:space="preserve"> Freij</w:t>
      </w:r>
      <w:r w:rsidR="00FE663A" w:rsidRPr="00CD645B" w:rsidDel="00FE663A">
        <w:rPr>
          <w:rFonts w:ascii="Times New Roman" w:hAnsi="Times New Roman" w:cs="Times New Roman"/>
          <w:sz w:val="24"/>
          <w:szCs w:val="24"/>
        </w:rPr>
        <w:t xml:space="preserve"> </w:t>
      </w:r>
      <w:r w:rsidR="000C60E4" w:rsidRPr="00CD645B">
        <w:rPr>
          <w:rFonts w:ascii="Times New Roman" w:hAnsi="Times New Roman" w:cs="Times New Roman"/>
          <w:sz w:val="24"/>
          <w:szCs w:val="24"/>
        </w:rPr>
        <w:t xml:space="preserve">also </w:t>
      </w:r>
      <w:r w:rsidR="0058129A" w:rsidRPr="00CD645B">
        <w:rPr>
          <w:rFonts w:ascii="Times New Roman" w:hAnsi="Times New Roman" w:cs="Times New Roman"/>
          <w:sz w:val="24"/>
          <w:szCs w:val="24"/>
        </w:rPr>
        <w:t xml:space="preserve">reviewed the data collection instruments. </w:t>
      </w:r>
      <w:r w:rsidR="000053ED" w:rsidRPr="00CD645B" w:rsidDel="0055519B">
        <w:rPr>
          <w:rFonts w:ascii="Times New Roman" w:hAnsi="Times New Roman" w:cs="Times New Roman"/>
          <w:sz w:val="24"/>
          <w:szCs w:val="24"/>
        </w:rPr>
        <w:t xml:space="preserve"> </w:t>
      </w:r>
    </w:p>
    <w:p w14:paraId="59F6FAD9" w14:textId="77777777" w:rsidR="0042644B" w:rsidRPr="00CD645B" w:rsidRDefault="0042644B" w:rsidP="0059475A">
      <w:pPr>
        <w:spacing w:after="240" w:line="240" w:lineRule="auto"/>
      </w:pPr>
    </w:p>
    <w:p w14:paraId="730238E9" w14:textId="77777777" w:rsidR="009D070B" w:rsidRPr="00CD645B" w:rsidRDefault="004E1167" w:rsidP="004E1167">
      <w:pPr>
        <w:pStyle w:val="Heading2"/>
        <w:rPr>
          <w:rFonts w:ascii="Times New Roman" w:hAnsi="Times New Roman"/>
          <w:szCs w:val="24"/>
        </w:rPr>
      </w:pPr>
      <w:bookmarkStart w:id="15" w:name="_Toc501703428"/>
      <w:r w:rsidRPr="00CD645B">
        <w:rPr>
          <w:rFonts w:ascii="Times New Roman" w:hAnsi="Times New Roman"/>
          <w:szCs w:val="24"/>
        </w:rPr>
        <w:t xml:space="preserve">A.9. </w:t>
      </w:r>
      <w:r w:rsidR="009D070B" w:rsidRPr="00CD645B">
        <w:rPr>
          <w:rFonts w:ascii="Times New Roman" w:hAnsi="Times New Roman"/>
          <w:szCs w:val="24"/>
        </w:rPr>
        <w:t>Explanation of Any Payment or Gift to Respondent</w:t>
      </w:r>
      <w:bookmarkEnd w:id="15"/>
    </w:p>
    <w:p w14:paraId="374E39EE" w14:textId="77777777" w:rsidR="002D7A64" w:rsidRPr="00CD645B" w:rsidRDefault="004E1167"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There will be no payments or gifts to respondents.</w:t>
      </w:r>
    </w:p>
    <w:p w14:paraId="4F113FE5" w14:textId="77777777" w:rsidR="00EA59EB" w:rsidRPr="00CD645B" w:rsidRDefault="00EA59EB" w:rsidP="00EE46CA">
      <w:pPr>
        <w:spacing w:after="0" w:line="360" w:lineRule="auto"/>
        <w:rPr>
          <w:rFonts w:ascii="Times New Roman" w:hAnsi="Times New Roman" w:cs="Times New Roman"/>
          <w:sz w:val="24"/>
          <w:szCs w:val="24"/>
        </w:rPr>
      </w:pPr>
    </w:p>
    <w:p w14:paraId="63CD0543" w14:textId="77777777" w:rsidR="009D070B" w:rsidRPr="00CD645B" w:rsidRDefault="00FE1C5B" w:rsidP="00EE46CA">
      <w:pPr>
        <w:pStyle w:val="Heading2"/>
        <w:spacing w:line="360" w:lineRule="auto"/>
        <w:rPr>
          <w:rFonts w:ascii="Times New Roman" w:hAnsi="Times New Roman"/>
          <w:szCs w:val="24"/>
        </w:rPr>
      </w:pPr>
      <w:bookmarkStart w:id="16" w:name="_Toc501703429"/>
      <w:r w:rsidRPr="00CD645B">
        <w:rPr>
          <w:rFonts w:ascii="Times New Roman" w:hAnsi="Times New Roman"/>
          <w:szCs w:val="24"/>
        </w:rPr>
        <w:t xml:space="preserve">A.10. </w:t>
      </w:r>
      <w:r w:rsidR="0082277A" w:rsidRPr="00CD645B">
        <w:rPr>
          <w:rFonts w:ascii="Times New Roman" w:hAnsi="Times New Roman"/>
          <w:szCs w:val="24"/>
        </w:rPr>
        <w:t xml:space="preserve">Protection of the Privacy and </w:t>
      </w:r>
      <w:r w:rsidR="00952216" w:rsidRPr="00CD645B">
        <w:rPr>
          <w:rFonts w:ascii="Times New Roman" w:hAnsi="Times New Roman"/>
          <w:szCs w:val="24"/>
        </w:rPr>
        <w:t>Security</w:t>
      </w:r>
      <w:r w:rsidR="0082277A" w:rsidRPr="00CD645B">
        <w:rPr>
          <w:rFonts w:ascii="Times New Roman" w:hAnsi="Times New Roman"/>
          <w:szCs w:val="24"/>
        </w:rPr>
        <w:t xml:space="preserve"> of Information Provided by Respondents</w:t>
      </w:r>
      <w:bookmarkEnd w:id="16"/>
    </w:p>
    <w:p w14:paraId="4B4FC9B5" w14:textId="25F1864E" w:rsidR="00AC7936" w:rsidRPr="00CD645B" w:rsidRDefault="00730453"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w:t>
      </w:r>
      <w:r w:rsidR="00EF6282" w:rsidRPr="00CD645B">
        <w:rPr>
          <w:rFonts w:ascii="Times New Roman" w:hAnsi="Times New Roman" w:cs="Times New Roman"/>
          <w:sz w:val="24"/>
          <w:szCs w:val="24"/>
        </w:rPr>
        <w:t xml:space="preserve"> </w:t>
      </w:r>
      <w:r w:rsidRPr="00CD645B">
        <w:rPr>
          <w:rFonts w:ascii="Times New Roman" w:hAnsi="Times New Roman" w:cs="Times New Roman"/>
          <w:sz w:val="24"/>
          <w:szCs w:val="24"/>
        </w:rPr>
        <w:t xml:space="preserve">Office of the Chief Information Officer </w:t>
      </w:r>
      <w:r w:rsidR="00487947" w:rsidRPr="00CD645B">
        <w:rPr>
          <w:rFonts w:ascii="Times New Roman" w:hAnsi="Times New Roman" w:cs="Times New Roman"/>
          <w:sz w:val="24"/>
          <w:szCs w:val="24"/>
        </w:rPr>
        <w:t>at the CDC</w:t>
      </w:r>
      <w:r w:rsidR="00EF6282" w:rsidRPr="00CD645B">
        <w:rPr>
          <w:rFonts w:ascii="Times New Roman" w:hAnsi="Times New Roman" w:cs="Times New Roman"/>
          <w:sz w:val="24"/>
          <w:szCs w:val="24"/>
        </w:rPr>
        <w:t xml:space="preserve"> </w:t>
      </w:r>
      <w:r w:rsidRPr="00CD645B">
        <w:rPr>
          <w:rFonts w:ascii="Times New Roman" w:hAnsi="Times New Roman" w:cs="Times New Roman"/>
          <w:sz w:val="24"/>
          <w:szCs w:val="24"/>
        </w:rPr>
        <w:t>has determined that the Privacy Act does apply. The Privacy Impact Assessment (PIA) is attached</w:t>
      </w:r>
      <w:r w:rsidR="00746421" w:rsidRPr="00CD645B">
        <w:rPr>
          <w:rFonts w:ascii="Times New Roman" w:hAnsi="Times New Roman" w:cs="Times New Roman"/>
          <w:sz w:val="24"/>
          <w:szCs w:val="24"/>
        </w:rPr>
        <w:t xml:space="preserve"> (</w:t>
      </w:r>
      <w:r w:rsidR="00746421" w:rsidRPr="00CD645B">
        <w:rPr>
          <w:rFonts w:ascii="Times New Roman" w:hAnsi="Times New Roman" w:cs="Times New Roman"/>
          <w:b/>
          <w:sz w:val="24"/>
          <w:szCs w:val="24"/>
        </w:rPr>
        <w:t xml:space="preserve">Attachment </w:t>
      </w:r>
      <w:r w:rsidR="005E042F">
        <w:rPr>
          <w:rFonts w:ascii="Times New Roman" w:hAnsi="Times New Roman" w:cs="Times New Roman"/>
          <w:b/>
          <w:sz w:val="24"/>
          <w:szCs w:val="24"/>
        </w:rPr>
        <w:t>9</w:t>
      </w:r>
      <w:r w:rsidR="00CC52AD" w:rsidRPr="00CD645B">
        <w:rPr>
          <w:rFonts w:ascii="Times New Roman" w:hAnsi="Times New Roman" w:cs="Times New Roman"/>
          <w:sz w:val="24"/>
          <w:szCs w:val="24"/>
        </w:rPr>
        <w:t>).</w:t>
      </w:r>
      <w:r w:rsidR="00254452" w:rsidRPr="00CD645B">
        <w:rPr>
          <w:rFonts w:ascii="Times New Roman" w:hAnsi="Times New Roman" w:cs="Times New Roman"/>
          <w:sz w:val="24"/>
          <w:szCs w:val="24"/>
        </w:rPr>
        <w:t xml:space="preserve"> </w:t>
      </w:r>
      <w:r w:rsidR="009E44C7" w:rsidRPr="00CD645B">
        <w:rPr>
          <w:rFonts w:ascii="Times New Roman" w:hAnsi="Times New Roman" w:cs="Times New Roman"/>
          <w:sz w:val="24"/>
          <w:szCs w:val="24"/>
        </w:rPr>
        <w:t>During data collection, the contractor</w:t>
      </w:r>
      <w:r w:rsidR="00570404" w:rsidRPr="00CD645B">
        <w:rPr>
          <w:rFonts w:ascii="Times New Roman" w:hAnsi="Times New Roman" w:cs="Times New Roman"/>
          <w:sz w:val="24"/>
          <w:szCs w:val="24"/>
        </w:rPr>
        <w:t xml:space="preserve"> </w:t>
      </w:r>
      <w:r w:rsidR="009E44C7" w:rsidRPr="00CD645B">
        <w:rPr>
          <w:rFonts w:ascii="Times New Roman" w:hAnsi="Times New Roman" w:cs="Times New Roman"/>
          <w:sz w:val="24"/>
          <w:szCs w:val="24"/>
        </w:rPr>
        <w:t xml:space="preserve">will have access to personally identifiable information used to contact potential participants to invite them to participate in the focus groups. </w:t>
      </w:r>
      <w:r w:rsidR="00AC7936" w:rsidRPr="00CD645B">
        <w:rPr>
          <w:rFonts w:ascii="Times New Roman" w:hAnsi="Times New Roman" w:cs="Times New Roman"/>
          <w:sz w:val="24"/>
          <w:szCs w:val="24"/>
        </w:rPr>
        <w:t xml:space="preserve">For the focus groups, personal information is secondary data, previously collected. CDC and the contractor will work with the National Rural Health Association to identify a convenience sample during one or more NRHA national meetings. A SORN is not needed </w:t>
      </w:r>
      <w:r w:rsidR="00CC1879" w:rsidRPr="00CD645B">
        <w:rPr>
          <w:rFonts w:ascii="Times New Roman" w:hAnsi="Times New Roman" w:cs="Times New Roman"/>
          <w:sz w:val="24"/>
          <w:szCs w:val="24"/>
        </w:rPr>
        <w:t>because CDC</w:t>
      </w:r>
      <w:r w:rsidR="00AC7936" w:rsidRPr="00CD645B">
        <w:rPr>
          <w:rFonts w:ascii="Times New Roman" w:hAnsi="Times New Roman" w:cs="Times New Roman"/>
          <w:sz w:val="24"/>
          <w:szCs w:val="24"/>
        </w:rPr>
        <w:t xml:space="preserve"> and the contractor will be contacting participants by using secondary data already collected.</w:t>
      </w:r>
    </w:p>
    <w:p w14:paraId="4EFA13F2" w14:textId="4F25CBC7" w:rsidR="0059475A" w:rsidRPr="00CD645B" w:rsidRDefault="00F469F5"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This system collects and maintains names, e-mail address, mailing address, phone number, gender, age, race/ethnicity from physicians, physician assistants, and nurse practitioners living in rural areas. No personal health information will be collected or maintained. R</w:t>
      </w:r>
      <w:r w:rsidR="009E44C7" w:rsidRPr="00CD645B">
        <w:rPr>
          <w:rFonts w:ascii="Times New Roman" w:hAnsi="Times New Roman" w:cs="Times New Roman"/>
          <w:sz w:val="24"/>
          <w:szCs w:val="24"/>
        </w:rPr>
        <w:t xml:space="preserve">espondents will be assigned a study ID for use on data collection instrument and all data files shared with CDC will be </w:t>
      </w:r>
      <w:r w:rsidR="00570404" w:rsidRPr="00CD645B">
        <w:rPr>
          <w:rFonts w:ascii="Times New Roman" w:hAnsi="Times New Roman" w:cs="Times New Roman"/>
          <w:sz w:val="24"/>
          <w:szCs w:val="24"/>
        </w:rPr>
        <w:t>de</w:t>
      </w:r>
      <w:r w:rsidR="002755B7" w:rsidRPr="00CD645B">
        <w:rPr>
          <w:rFonts w:ascii="Times New Roman" w:hAnsi="Times New Roman" w:cs="Times New Roman"/>
          <w:sz w:val="24"/>
          <w:szCs w:val="24"/>
        </w:rPr>
        <w:t>-</w:t>
      </w:r>
      <w:r w:rsidR="00570404" w:rsidRPr="00CD645B">
        <w:rPr>
          <w:rFonts w:ascii="Times New Roman" w:hAnsi="Times New Roman" w:cs="Times New Roman"/>
          <w:sz w:val="24"/>
          <w:szCs w:val="24"/>
        </w:rPr>
        <w:t>identified</w:t>
      </w:r>
      <w:r w:rsidR="009E44C7" w:rsidRPr="00CD645B">
        <w:rPr>
          <w:rFonts w:ascii="Times New Roman" w:hAnsi="Times New Roman" w:cs="Times New Roman"/>
          <w:sz w:val="24"/>
          <w:szCs w:val="24"/>
        </w:rPr>
        <w:t xml:space="preserve"> to maintain the privacy of those who participated in the study. Additionally, data files will be delivered using a secure file transfer protocol (SFTP) site. All data collected from the focus groups will be treated in a secure manner and will not be disclosed, unless otherwise compelled by law.</w:t>
      </w:r>
    </w:p>
    <w:p w14:paraId="6ADC1A08" w14:textId="053D8BCC" w:rsidR="00746421" w:rsidRPr="00CD645B" w:rsidRDefault="00746421" w:rsidP="00746421">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Participation in </w:t>
      </w:r>
      <w:r w:rsidR="00062133">
        <w:rPr>
          <w:rFonts w:ascii="Times New Roman" w:hAnsi="Times New Roman" w:cs="Times New Roman"/>
          <w:sz w:val="24"/>
          <w:szCs w:val="24"/>
        </w:rPr>
        <w:t>the focus groups</w:t>
      </w:r>
      <w:r w:rsidRPr="00CD645B">
        <w:rPr>
          <w:rFonts w:ascii="Times New Roman" w:hAnsi="Times New Roman" w:cs="Times New Roman"/>
          <w:sz w:val="24"/>
          <w:szCs w:val="24"/>
        </w:rPr>
        <w:t xml:space="preserve"> will be voluntary for all respondents. Potential participants will be sent information about the study and what is required for participation. The elements of consent will be explained in these communications (</w:t>
      </w:r>
      <w:r w:rsidRPr="00CD645B">
        <w:rPr>
          <w:rFonts w:ascii="Times New Roman" w:hAnsi="Times New Roman" w:cs="Times New Roman"/>
          <w:b/>
          <w:sz w:val="24"/>
          <w:szCs w:val="24"/>
        </w:rPr>
        <w:t xml:space="preserve">Attachment </w:t>
      </w:r>
      <w:r w:rsidR="008A4D9D" w:rsidRPr="00CD645B">
        <w:rPr>
          <w:rFonts w:ascii="Times New Roman" w:hAnsi="Times New Roman" w:cs="Times New Roman"/>
          <w:b/>
          <w:sz w:val="24"/>
          <w:szCs w:val="24"/>
        </w:rPr>
        <w:t>4</w:t>
      </w:r>
      <w:r w:rsidRPr="00CD645B">
        <w:rPr>
          <w:rFonts w:ascii="Times New Roman" w:hAnsi="Times New Roman" w:cs="Times New Roman"/>
          <w:sz w:val="24"/>
          <w:szCs w:val="24"/>
        </w:rPr>
        <w:t xml:space="preserve">). Personally identifiable information (PII), such as the name of the respondent and his/her contact information will not be stored in the initial focus group data files at any time. Unique identifiers will be assigned to each case in the data files as data are collected and participants removed from contact lists when their focus group participation is complete. </w:t>
      </w:r>
      <w:r w:rsidR="00062133">
        <w:rPr>
          <w:rFonts w:ascii="Times New Roman" w:hAnsi="Times New Roman" w:cs="Times New Roman"/>
          <w:sz w:val="24"/>
          <w:szCs w:val="24"/>
        </w:rPr>
        <w:t>F</w:t>
      </w:r>
      <w:r w:rsidRPr="00CD645B">
        <w:rPr>
          <w:rFonts w:ascii="Times New Roman" w:hAnsi="Times New Roman" w:cs="Times New Roman"/>
          <w:sz w:val="24"/>
          <w:szCs w:val="24"/>
        </w:rPr>
        <w:t>ocus group data will be stored by</w:t>
      </w:r>
      <w:r w:rsidR="00203E25" w:rsidRPr="00CD645B">
        <w:rPr>
          <w:rFonts w:ascii="Times New Roman" w:hAnsi="Times New Roman" w:cs="Times New Roman"/>
          <w:sz w:val="24"/>
          <w:szCs w:val="24"/>
        </w:rPr>
        <w:t xml:space="preserve"> the contractor </w:t>
      </w:r>
      <w:r w:rsidRPr="00CD645B">
        <w:rPr>
          <w:rFonts w:ascii="Times New Roman" w:hAnsi="Times New Roman" w:cs="Times New Roman"/>
          <w:sz w:val="24"/>
          <w:szCs w:val="24"/>
        </w:rPr>
        <w:t xml:space="preserve">in secure servers. </w:t>
      </w:r>
    </w:p>
    <w:p w14:paraId="18DF8D0F" w14:textId="77777777" w:rsidR="009E44C7" w:rsidRPr="00CD645B" w:rsidRDefault="009E44C7"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All respondents will be told during the consent process </w:t>
      </w:r>
      <w:r w:rsidR="00203E25" w:rsidRPr="00CD645B">
        <w:rPr>
          <w:rFonts w:ascii="Times New Roman" w:hAnsi="Times New Roman" w:cs="Times New Roman"/>
          <w:sz w:val="24"/>
          <w:szCs w:val="24"/>
        </w:rPr>
        <w:t>(</w:t>
      </w:r>
      <w:r w:rsidR="00203E25" w:rsidRPr="00CD645B">
        <w:rPr>
          <w:rFonts w:ascii="Times New Roman" w:hAnsi="Times New Roman" w:cs="Times New Roman"/>
          <w:b/>
          <w:sz w:val="24"/>
          <w:szCs w:val="24"/>
        </w:rPr>
        <w:t xml:space="preserve">Attachment </w:t>
      </w:r>
      <w:r w:rsidR="001F7153" w:rsidRPr="00CD645B">
        <w:rPr>
          <w:rFonts w:ascii="Times New Roman" w:hAnsi="Times New Roman" w:cs="Times New Roman"/>
          <w:b/>
          <w:sz w:val="24"/>
          <w:szCs w:val="24"/>
        </w:rPr>
        <w:t>6</w:t>
      </w:r>
      <w:r w:rsidR="00203E25" w:rsidRPr="00CD645B">
        <w:rPr>
          <w:rFonts w:ascii="Times New Roman" w:hAnsi="Times New Roman" w:cs="Times New Roman"/>
          <w:b/>
          <w:sz w:val="24"/>
          <w:szCs w:val="24"/>
        </w:rPr>
        <w:t xml:space="preserve">) </w:t>
      </w:r>
      <w:r w:rsidRPr="00CD645B">
        <w:rPr>
          <w:rFonts w:ascii="Times New Roman" w:hAnsi="Times New Roman" w:cs="Times New Roman"/>
          <w:sz w:val="24"/>
          <w:szCs w:val="24"/>
        </w:rPr>
        <w:t xml:space="preserve">that the data they provide will be treated in a secure manner to the extent allowed by law. They also will be informed that participation is voluntary, that they may refuse to answer any question, and can stop at any time without risk. In addition, names of participants in any component of the study will not be provided to the federal government. Instead, a unique ID will be assigned to each participant. </w:t>
      </w:r>
    </w:p>
    <w:p w14:paraId="53333E82" w14:textId="6E5C899C" w:rsidR="009E44C7" w:rsidRPr="00CD645B" w:rsidRDefault="009E44C7"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Below is an overview of the steps taken to ensure the privacy of respondents for </w:t>
      </w:r>
      <w:r w:rsidR="00062133">
        <w:rPr>
          <w:rFonts w:ascii="Times New Roman" w:hAnsi="Times New Roman" w:cs="Times New Roman"/>
          <w:sz w:val="24"/>
          <w:szCs w:val="24"/>
        </w:rPr>
        <w:t xml:space="preserve">the focus groups </w:t>
      </w:r>
      <w:r w:rsidRPr="00CD645B">
        <w:rPr>
          <w:rFonts w:ascii="Times New Roman" w:hAnsi="Times New Roman" w:cs="Times New Roman"/>
          <w:sz w:val="24"/>
          <w:szCs w:val="24"/>
        </w:rPr>
        <w:t xml:space="preserve">under this request for OMB clearance, including targeted respondents; identifiable information to be collected; parties responsible for data collection, transmission, and storage; and parties with access to the data and uses of the data. </w:t>
      </w:r>
    </w:p>
    <w:p w14:paraId="2B7997D8" w14:textId="3B0082CF" w:rsidR="009E44C7" w:rsidRPr="00626774" w:rsidRDefault="002F1A12" w:rsidP="00626774">
      <w:pPr>
        <w:spacing w:after="240" w:line="240" w:lineRule="auto"/>
        <w:rPr>
          <w:rFonts w:ascii="Times New Roman" w:hAnsi="Times New Roman" w:cs="Times New Roman"/>
          <w:sz w:val="24"/>
          <w:szCs w:val="24"/>
        </w:rPr>
      </w:pPr>
      <w:r w:rsidRPr="00626774">
        <w:rPr>
          <w:rFonts w:ascii="Times New Roman" w:hAnsi="Times New Roman" w:cs="Times New Roman"/>
          <w:sz w:val="24"/>
          <w:szCs w:val="24"/>
        </w:rPr>
        <w:t>Focus Groups</w:t>
      </w:r>
      <w:r w:rsidR="009E44C7" w:rsidRPr="00626774">
        <w:rPr>
          <w:rFonts w:ascii="Times New Roman" w:hAnsi="Times New Roman" w:cs="Times New Roman"/>
          <w:sz w:val="24"/>
          <w:szCs w:val="24"/>
        </w:rPr>
        <w:t xml:space="preserve"> (</w:t>
      </w:r>
      <w:r w:rsidR="009E44C7" w:rsidRPr="00626774">
        <w:rPr>
          <w:rFonts w:ascii="Times New Roman" w:hAnsi="Times New Roman" w:cs="Times New Roman"/>
          <w:b/>
          <w:sz w:val="24"/>
          <w:szCs w:val="24"/>
        </w:rPr>
        <w:t xml:space="preserve">Attachment </w:t>
      </w:r>
      <w:r w:rsidR="00F96C92" w:rsidRPr="00626774">
        <w:rPr>
          <w:rFonts w:ascii="Times New Roman" w:hAnsi="Times New Roman" w:cs="Times New Roman"/>
          <w:b/>
          <w:sz w:val="24"/>
          <w:szCs w:val="24"/>
        </w:rPr>
        <w:t>8</w:t>
      </w:r>
      <w:r w:rsidR="009E44C7" w:rsidRPr="00626774">
        <w:rPr>
          <w:rFonts w:ascii="Times New Roman" w:hAnsi="Times New Roman" w:cs="Times New Roman"/>
          <w:sz w:val="24"/>
          <w:szCs w:val="24"/>
        </w:rPr>
        <w:t>) will include discussions</w:t>
      </w:r>
      <w:r w:rsidRPr="00626774">
        <w:rPr>
          <w:rFonts w:ascii="Times New Roman" w:hAnsi="Times New Roman" w:cs="Times New Roman"/>
          <w:sz w:val="24"/>
          <w:szCs w:val="24"/>
        </w:rPr>
        <w:t xml:space="preserve"> with rural primary care and emergency physicians, nurse practitioners, and physician assistants. </w:t>
      </w:r>
      <w:r w:rsidR="005F44B9" w:rsidRPr="00626774">
        <w:rPr>
          <w:rFonts w:ascii="Times New Roman" w:hAnsi="Times New Roman" w:cs="Times New Roman"/>
          <w:sz w:val="24"/>
          <w:szCs w:val="24"/>
        </w:rPr>
        <w:t xml:space="preserve">Contracting </w:t>
      </w:r>
      <w:r w:rsidR="009E44C7" w:rsidRPr="00626774">
        <w:rPr>
          <w:rFonts w:ascii="Times New Roman" w:hAnsi="Times New Roman" w:cs="Times New Roman"/>
          <w:sz w:val="24"/>
          <w:szCs w:val="24"/>
        </w:rPr>
        <w:t xml:space="preserve">staff will conduct the </w:t>
      </w:r>
      <w:r w:rsidRPr="00626774">
        <w:rPr>
          <w:rFonts w:ascii="Times New Roman" w:hAnsi="Times New Roman" w:cs="Times New Roman"/>
          <w:sz w:val="24"/>
          <w:szCs w:val="24"/>
        </w:rPr>
        <w:t>focus groups</w:t>
      </w:r>
      <w:r w:rsidR="009E44C7" w:rsidRPr="00626774">
        <w:rPr>
          <w:rFonts w:ascii="Times New Roman" w:hAnsi="Times New Roman" w:cs="Times New Roman"/>
          <w:sz w:val="24"/>
          <w:szCs w:val="24"/>
        </w:rPr>
        <w:t xml:space="preserve">. The </w:t>
      </w:r>
      <w:r w:rsidRPr="00626774">
        <w:rPr>
          <w:rFonts w:ascii="Times New Roman" w:hAnsi="Times New Roman" w:cs="Times New Roman"/>
          <w:sz w:val="24"/>
          <w:szCs w:val="24"/>
        </w:rPr>
        <w:t>discussions</w:t>
      </w:r>
      <w:r w:rsidR="009E44C7" w:rsidRPr="00626774">
        <w:rPr>
          <w:rFonts w:ascii="Times New Roman" w:hAnsi="Times New Roman" w:cs="Times New Roman"/>
          <w:sz w:val="24"/>
          <w:szCs w:val="24"/>
        </w:rPr>
        <w:t xml:space="preserve"> will be recorded and transcribed (only first names</w:t>
      </w:r>
      <w:r w:rsidR="006C3065" w:rsidRPr="00626774">
        <w:rPr>
          <w:rFonts w:ascii="Times New Roman" w:hAnsi="Times New Roman" w:cs="Times New Roman"/>
          <w:sz w:val="24"/>
          <w:szCs w:val="24"/>
        </w:rPr>
        <w:t xml:space="preserve"> or nicknames</w:t>
      </w:r>
      <w:r w:rsidR="009E44C7" w:rsidRPr="00626774">
        <w:rPr>
          <w:rFonts w:ascii="Times New Roman" w:hAnsi="Times New Roman" w:cs="Times New Roman"/>
          <w:sz w:val="24"/>
          <w:szCs w:val="24"/>
        </w:rPr>
        <w:t xml:space="preserve"> of respondents will be collected); all information will be transmitted and stored securely on the</w:t>
      </w:r>
      <w:r w:rsidR="005F44B9" w:rsidRPr="00626774">
        <w:rPr>
          <w:rFonts w:ascii="Times New Roman" w:hAnsi="Times New Roman" w:cs="Times New Roman"/>
          <w:sz w:val="24"/>
          <w:szCs w:val="24"/>
        </w:rPr>
        <w:t xml:space="preserve"> contractor’s </w:t>
      </w:r>
      <w:r w:rsidR="009E44C7" w:rsidRPr="00626774">
        <w:rPr>
          <w:rFonts w:ascii="Times New Roman" w:hAnsi="Times New Roman" w:cs="Times New Roman"/>
          <w:sz w:val="24"/>
          <w:szCs w:val="24"/>
        </w:rPr>
        <w:t xml:space="preserve">servers. </w:t>
      </w:r>
      <w:r w:rsidRPr="00626774">
        <w:rPr>
          <w:rFonts w:ascii="Times New Roman" w:hAnsi="Times New Roman" w:cs="Times New Roman"/>
          <w:sz w:val="24"/>
          <w:szCs w:val="24"/>
        </w:rPr>
        <w:t>Focus group</w:t>
      </w:r>
      <w:r w:rsidR="009E44C7" w:rsidRPr="00626774">
        <w:rPr>
          <w:rFonts w:ascii="Times New Roman" w:hAnsi="Times New Roman" w:cs="Times New Roman"/>
          <w:sz w:val="24"/>
          <w:szCs w:val="24"/>
        </w:rPr>
        <w:t xml:space="preserve"> transcriptions will be </w:t>
      </w:r>
      <w:r w:rsidRPr="00626774">
        <w:rPr>
          <w:rFonts w:ascii="Times New Roman" w:hAnsi="Times New Roman" w:cs="Times New Roman"/>
          <w:sz w:val="24"/>
          <w:szCs w:val="24"/>
        </w:rPr>
        <w:t xml:space="preserve">uploaded and </w:t>
      </w:r>
      <w:r w:rsidR="009E44C7" w:rsidRPr="00626774">
        <w:rPr>
          <w:rFonts w:ascii="Times New Roman" w:hAnsi="Times New Roman" w:cs="Times New Roman"/>
          <w:sz w:val="24"/>
          <w:szCs w:val="24"/>
        </w:rPr>
        <w:t xml:space="preserve">coded and </w:t>
      </w:r>
      <w:r w:rsidRPr="00626774">
        <w:rPr>
          <w:rFonts w:ascii="Times New Roman" w:hAnsi="Times New Roman" w:cs="Times New Roman"/>
          <w:sz w:val="24"/>
          <w:szCs w:val="24"/>
        </w:rPr>
        <w:t>in</w:t>
      </w:r>
      <w:r w:rsidR="009E44C7" w:rsidRPr="00626774">
        <w:rPr>
          <w:rFonts w:ascii="Times New Roman" w:hAnsi="Times New Roman" w:cs="Times New Roman"/>
          <w:sz w:val="24"/>
          <w:szCs w:val="24"/>
        </w:rPr>
        <w:t xml:space="preserve"> a qualitative database, using </w:t>
      </w:r>
      <w:r w:rsidRPr="00626774">
        <w:rPr>
          <w:rFonts w:ascii="Times New Roman" w:hAnsi="Times New Roman" w:cs="Times New Roman"/>
          <w:sz w:val="24"/>
          <w:szCs w:val="24"/>
        </w:rPr>
        <w:t>QSR NVivo software</w:t>
      </w:r>
      <w:r w:rsidR="005F44B9" w:rsidRPr="00626774">
        <w:rPr>
          <w:rFonts w:ascii="Times New Roman" w:hAnsi="Times New Roman" w:cs="Times New Roman"/>
          <w:sz w:val="24"/>
          <w:szCs w:val="24"/>
        </w:rPr>
        <w:t xml:space="preserve">. </w:t>
      </w:r>
      <w:r w:rsidR="009E44C7" w:rsidRPr="00626774">
        <w:rPr>
          <w:rFonts w:ascii="Times New Roman" w:hAnsi="Times New Roman" w:cs="Times New Roman"/>
          <w:sz w:val="24"/>
          <w:szCs w:val="24"/>
        </w:rPr>
        <w:t xml:space="preserve">Key themes will be developed based on the qualitative data analysis. Such identified themes and quotes may be included in reports; specific quotes will not be attributed to any single person in any reports. </w:t>
      </w:r>
      <w:r w:rsidR="00D1659A">
        <w:rPr>
          <w:rFonts w:ascii="Times New Roman" w:hAnsi="Times New Roman" w:cs="Times New Roman"/>
          <w:sz w:val="24"/>
          <w:szCs w:val="24"/>
        </w:rPr>
        <w:t xml:space="preserve">During the consent process, participants will be made aware that the CDC may report the results of the focus groups in aggregate. They will be informed that their names will not be used with individual responses. Any publications stemming from this data collection will be shared with participants when possible. </w:t>
      </w:r>
    </w:p>
    <w:p w14:paraId="72C2F196" w14:textId="115221C3" w:rsidR="009E44C7" w:rsidRPr="00CD645B" w:rsidRDefault="009E44C7"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Only approved members of the project team will have access to the data collected through the </w:t>
      </w:r>
      <w:r w:rsidR="00D70636">
        <w:rPr>
          <w:rFonts w:ascii="Times New Roman" w:hAnsi="Times New Roman" w:cs="Times New Roman"/>
          <w:sz w:val="24"/>
          <w:szCs w:val="24"/>
        </w:rPr>
        <w:t>focus groups</w:t>
      </w:r>
      <w:r w:rsidRPr="00CD645B">
        <w:rPr>
          <w:rFonts w:ascii="Times New Roman" w:hAnsi="Times New Roman" w:cs="Times New Roman"/>
          <w:sz w:val="24"/>
          <w:szCs w:val="24"/>
        </w:rPr>
        <w:t xml:space="preserve"> for the purposes of analysis and reporting. </w:t>
      </w:r>
      <w:r w:rsidR="000A469F" w:rsidRPr="00CD645B">
        <w:rPr>
          <w:rFonts w:ascii="Times New Roman" w:hAnsi="Times New Roman" w:cs="Times New Roman"/>
          <w:sz w:val="24"/>
          <w:szCs w:val="24"/>
        </w:rPr>
        <w:t xml:space="preserve">Focus group discussions will be transcribed and coded for analysis. </w:t>
      </w:r>
      <w:r w:rsidRPr="00CD645B">
        <w:rPr>
          <w:rFonts w:ascii="Times New Roman" w:hAnsi="Times New Roman" w:cs="Times New Roman"/>
          <w:sz w:val="24"/>
          <w:szCs w:val="24"/>
        </w:rPr>
        <w:t xml:space="preserve">Activities of specific </w:t>
      </w:r>
      <w:r w:rsidR="00D7087D" w:rsidRPr="00CD645B">
        <w:rPr>
          <w:rFonts w:ascii="Times New Roman" w:hAnsi="Times New Roman" w:cs="Times New Roman"/>
          <w:sz w:val="24"/>
          <w:szCs w:val="24"/>
        </w:rPr>
        <w:t>respondents</w:t>
      </w:r>
      <w:r w:rsidRPr="00CD645B">
        <w:rPr>
          <w:rFonts w:ascii="Times New Roman" w:hAnsi="Times New Roman" w:cs="Times New Roman"/>
          <w:sz w:val="24"/>
          <w:szCs w:val="24"/>
        </w:rPr>
        <w:t xml:space="preserve"> may be mentioned; however, individual respondents will not be identified in any materials. At the end of data collection and analysis, </w:t>
      </w:r>
      <w:r w:rsidR="005F44B9" w:rsidRPr="00CD645B">
        <w:rPr>
          <w:rFonts w:ascii="Times New Roman" w:hAnsi="Times New Roman" w:cs="Times New Roman"/>
          <w:sz w:val="24"/>
          <w:szCs w:val="24"/>
        </w:rPr>
        <w:t xml:space="preserve">the contractor </w:t>
      </w:r>
      <w:r w:rsidRPr="00CD645B">
        <w:rPr>
          <w:rFonts w:ascii="Times New Roman" w:hAnsi="Times New Roman" w:cs="Times New Roman"/>
          <w:sz w:val="24"/>
          <w:szCs w:val="24"/>
        </w:rPr>
        <w:t xml:space="preserve">will securely transmit data to CDC and data will be permanently destroyed on the contractor servers. In addition, original recordings and transcriptions from the </w:t>
      </w:r>
      <w:r w:rsidR="00D7087D" w:rsidRPr="00CD645B">
        <w:rPr>
          <w:rFonts w:ascii="Times New Roman" w:hAnsi="Times New Roman" w:cs="Times New Roman"/>
          <w:sz w:val="24"/>
          <w:szCs w:val="24"/>
        </w:rPr>
        <w:t>focus groups</w:t>
      </w:r>
      <w:r w:rsidRPr="00CD645B">
        <w:rPr>
          <w:rFonts w:ascii="Times New Roman" w:hAnsi="Times New Roman" w:cs="Times New Roman"/>
          <w:sz w:val="24"/>
          <w:szCs w:val="24"/>
        </w:rPr>
        <w:t xml:space="preserve"> will not be shared with CDC to protect key informant privacy though the database of codes for each observation may be shared with CDC. </w:t>
      </w:r>
      <w:r w:rsidR="000A3798" w:rsidRPr="00CD645B">
        <w:rPr>
          <w:rFonts w:ascii="Times New Roman" w:hAnsi="Times New Roman" w:cs="Times New Roman"/>
          <w:sz w:val="24"/>
          <w:szCs w:val="24"/>
        </w:rPr>
        <w:t xml:space="preserve">Upon contract termination and per the terms of the contract, </w:t>
      </w:r>
      <w:r w:rsidR="005F44B9" w:rsidRPr="00CD645B">
        <w:rPr>
          <w:rFonts w:ascii="Times New Roman" w:hAnsi="Times New Roman" w:cs="Times New Roman"/>
          <w:sz w:val="24"/>
          <w:szCs w:val="24"/>
        </w:rPr>
        <w:t xml:space="preserve">the contractor </w:t>
      </w:r>
      <w:r w:rsidR="000A3798" w:rsidRPr="00CD645B">
        <w:rPr>
          <w:rFonts w:ascii="Times New Roman" w:hAnsi="Times New Roman" w:cs="Times New Roman"/>
          <w:sz w:val="24"/>
          <w:szCs w:val="24"/>
        </w:rPr>
        <w:t>will archive any data collected as part of the study. CDC will retain and destroy records in accordance with the applicable CDC Records Control Schedule.</w:t>
      </w:r>
    </w:p>
    <w:p w14:paraId="3BBB0991" w14:textId="77777777" w:rsidR="00C76925" w:rsidRPr="00CD645B" w:rsidRDefault="00C76925" w:rsidP="0059475A">
      <w:pPr>
        <w:widowControl w:val="0"/>
        <w:spacing w:after="240" w:line="240" w:lineRule="auto"/>
        <w:contextualSpacing/>
        <w:rPr>
          <w:rFonts w:ascii="Times New Roman" w:hAnsi="Times New Roman" w:cs="Times New Roman"/>
          <w:color w:val="000000"/>
          <w:sz w:val="24"/>
          <w:szCs w:val="24"/>
        </w:rPr>
      </w:pPr>
    </w:p>
    <w:p w14:paraId="116AE61B" w14:textId="77777777" w:rsidR="00285F98" w:rsidRPr="00CD645B" w:rsidRDefault="00D95D52" w:rsidP="0056766C">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The appropriate security controls and Rules of Behavior will be incorporated to protect the security of information and personally identifiable information that </w:t>
      </w:r>
      <w:r w:rsidR="005F44B9" w:rsidRPr="00CD645B">
        <w:rPr>
          <w:rFonts w:ascii="Times New Roman" w:hAnsi="Times New Roman" w:cs="Times New Roman"/>
          <w:sz w:val="24"/>
          <w:szCs w:val="24"/>
        </w:rPr>
        <w:t xml:space="preserve">the contractor  </w:t>
      </w:r>
      <w:r w:rsidRPr="00CD645B">
        <w:rPr>
          <w:rFonts w:ascii="Times New Roman" w:hAnsi="Times New Roman" w:cs="Times New Roman"/>
          <w:sz w:val="24"/>
          <w:szCs w:val="24"/>
        </w:rPr>
        <w:t>may come in contact with during the performance of this contract.</w:t>
      </w:r>
      <w:r w:rsidRPr="00CD645B">
        <w:t xml:space="preserve"> </w:t>
      </w:r>
      <w:r w:rsidR="000A469F" w:rsidRPr="00CD645B">
        <w:rPr>
          <w:rFonts w:ascii="Times New Roman" w:hAnsi="Times New Roman" w:cs="Times New Roman"/>
          <w:sz w:val="24"/>
          <w:szCs w:val="24"/>
        </w:rPr>
        <w:t xml:space="preserve">All data will be stored within the internal </w:t>
      </w:r>
      <w:r w:rsidR="005F44B9" w:rsidRPr="00CD645B">
        <w:rPr>
          <w:rFonts w:ascii="Times New Roman" w:hAnsi="Times New Roman" w:cs="Times New Roman"/>
          <w:sz w:val="24"/>
          <w:szCs w:val="24"/>
        </w:rPr>
        <w:t xml:space="preserve">contractor’s </w:t>
      </w:r>
      <w:r w:rsidR="000A469F" w:rsidRPr="00CD645B">
        <w:rPr>
          <w:rFonts w:ascii="Times New Roman" w:hAnsi="Times New Roman" w:cs="Times New Roman"/>
          <w:sz w:val="24"/>
          <w:szCs w:val="24"/>
        </w:rPr>
        <w:t xml:space="preserve">secured file server and will be maintained by </w:t>
      </w:r>
      <w:r w:rsidR="005F44B9" w:rsidRPr="00CD645B">
        <w:rPr>
          <w:rFonts w:ascii="Times New Roman" w:hAnsi="Times New Roman" w:cs="Times New Roman"/>
          <w:sz w:val="24"/>
          <w:szCs w:val="24"/>
        </w:rPr>
        <w:t xml:space="preserve">the contractor </w:t>
      </w:r>
      <w:r w:rsidR="000A469F" w:rsidRPr="00CD645B">
        <w:rPr>
          <w:rFonts w:ascii="Times New Roman" w:hAnsi="Times New Roman" w:cs="Times New Roman"/>
          <w:sz w:val="24"/>
          <w:szCs w:val="24"/>
        </w:rPr>
        <w:t xml:space="preserve">on behalf of CDC. Only approved members of the project team will have access to the data collected. Recordings will not be shared with CDC. </w:t>
      </w:r>
    </w:p>
    <w:p w14:paraId="4D0A58E6" w14:textId="77777777" w:rsidR="00F722FB" w:rsidRPr="00CD645B" w:rsidRDefault="00F722FB" w:rsidP="00EE46CA">
      <w:pPr>
        <w:spacing w:after="0" w:line="360" w:lineRule="auto"/>
        <w:rPr>
          <w:rFonts w:ascii="Times New Roman" w:hAnsi="Times New Roman" w:cs="Times New Roman"/>
          <w:sz w:val="24"/>
          <w:szCs w:val="24"/>
        </w:rPr>
      </w:pPr>
    </w:p>
    <w:p w14:paraId="21014726" w14:textId="77777777" w:rsidR="009D070B" w:rsidRPr="00CD645B" w:rsidRDefault="00D7087D" w:rsidP="00EE46CA">
      <w:pPr>
        <w:pStyle w:val="Heading2"/>
        <w:spacing w:line="360" w:lineRule="auto"/>
        <w:rPr>
          <w:rFonts w:ascii="Times New Roman" w:hAnsi="Times New Roman"/>
          <w:szCs w:val="24"/>
        </w:rPr>
      </w:pPr>
      <w:bookmarkStart w:id="17" w:name="_Toc501703430"/>
      <w:r w:rsidRPr="00CD645B">
        <w:rPr>
          <w:rFonts w:ascii="Times New Roman" w:hAnsi="Times New Roman"/>
          <w:szCs w:val="24"/>
        </w:rPr>
        <w:t xml:space="preserve">A.11. </w:t>
      </w:r>
      <w:r w:rsidR="00D926A1" w:rsidRPr="00CD645B">
        <w:rPr>
          <w:rFonts w:ascii="Times New Roman" w:hAnsi="Times New Roman"/>
          <w:szCs w:val="24"/>
        </w:rPr>
        <w:t xml:space="preserve">Institutional Review Board (IRB) and </w:t>
      </w:r>
      <w:r w:rsidR="009D070B" w:rsidRPr="00CD645B">
        <w:rPr>
          <w:rFonts w:ascii="Times New Roman" w:hAnsi="Times New Roman"/>
          <w:szCs w:val="24"/>
        </w:rPr>
        <w:t>Justification for Sensitive Questions</w:t>
      </w:r>
      <w:bookmarkEnd w:id="17"/>
      <w:r w:rsidR="009D070B" w:rsidRPr="00CD645B">
        <w:rPr>
          <w:rFonts w:ascii="Times New Roman" w:hAnsi="Times New Roman"/>
          <w:szCs w:val="24"/>
        </w:rPr>
        <w:t xml:space="preserve"> </w:t>
      </w:r>
    </w:p>
    <w:p w14:paraId="49133D3E" w14:textId="77777777" w:rsidR="00D926A1" w:rsidRPr="00CD645B" w:rsidRDefault="00D926A1" w:rsidP="0059475A">
      <w:pPr>
        <w:spacing w:after="240" w:line="240" w:lineRule="auto"/>
        <w:rPr>
          <w:rFonts w:ascii="Times New Roman" w:hAnsi="Times New Roman" w:cs="Times New Roman"/>
          <w:sz w:val="24"/>
          <w:szCs w:val="24"/>
          <w:u w:val="single"/>
        </w:rPr>
      </w:pPr>
      <w:r w:rsidRPr="00CD645B">
        <w:rPr>
          <w:rFonts w:ascii="Times New Roman" w:hAnsi="Times New Roman" w:cs="Times New Roman"/>
          <w:sz w:val="24"/>
          <w:szCs w:val="24"/>
          <w:u w:val="single"/>
        </w:rPr>
        <w:t>IRB Approval</w:t>
      </w:r>
    </w:p>
    <w:p w14:paraId="02215575" w14:textId="16E5F037" w:rsidR="0081423B" w:rsidRPr="00CD645B" w:rsidRDefault="00746421" w:rsidP="0032523B">
      <w:pPr>
        <w:pStyle w:val="Default"/>
        <w:rPr>
          <w:rFonts w:ascii="Times New Roman" w:hAnsi="Times New Roman" w:cs="Times New Roman"/>
        </w:rPr>
      </w:pPr>
      <w:r w:rsidRPr="00CD645B">
        <w:rPr>
          <w:rFonts w:ascii="Times New Roman" w:hAnsi="Times New Roman" w:cs="Times New Roman"/>
        </w:rPr>
        <w:t xml:space="preserve">CDC has received IRB approval </w:t>
      </w:r>
      <w:r w:rsidR="00CB568D" w:rsidRPr="00CD645B">
        <w:rPr>
          <w:rFonts w:ascii="Times New Roman" w:hAnsi="Times New Roman" w:cs="Times New Roman"/>
        </w:rPr>
        <w:t xml:space="preserve">for this </w:t>
      </w:r>
      <w:r w:rsidR="00613DEC" w:rsidRPr="00CD645B">
        <w:rPr>
          <w:rFonts w:ascii="Times New Roman" w:hAnsi="Times New Roman" w:cs="Times New Roman"/>
        </w:rPr>
        <w:t xml:space="preserve">exempt </w:t>
      </w:r>
      <w:r w:rsidR="00CB568D" w:rsidRPr="00CD645B">
        <w:rPr>
          <w:rFonts w:ascii="Times New Roman" w:hAnsi="Times New Roman" w:cs="Times New Roman"/>
        </w:rPr>
        <w:t>research activity involving human subjects where CDC is not engage</w:t>
      </w:r>
      <w:r w:rsidR="001924E6">
        <w:rPr>
          <w:rFonts w:ascii="Times New Roman" w:hAnsi="Times New Roman" w:cs="Times New Roman"/>
        </w:rPr>
        <w:t>d</w:t>
      </w:r>
      <w:r w:rsidR="00CB568D" w:rsidRPr="00CD645B">
        <w:rPr>
          <w:rFonts w:ascii="Times New Roman" w:hAnsi="Times New Roman" w:cs="Times New Roman"/>
        </w:rPr>
        <w:t xml:space="preserve">. NORC has its own IRB, which meets all of the Federal requirements as specified in 45 CFR 46, </w:t>
      </w:r>
      <w:r w:rsidR="00962CDB" w:rsidRPr="00CD645B">
        <w:rPr>
          <w:rFonts w:ascii="Times New Roman" w:hAnsi="Times New Roman" w:cs="Times New Roman"/>
        </w:rPr>
        <w:t>registered</w:t>
      </w:r>
      <w:r w:rsidR="00CB568D" w:rsidRPr="00CD645B">
        <w:rPr>
          <w:rFonts w:ascii="Times New Roman" w:hAnsi="Times New Roman" w:cs="Times New Roman"/>
        </w:rPr>
        <w:t xml:space="preserve"> with the Office for Human Research Protections </w:t>
      </w:r>
      <w:r w:rsidR="00962CDB" w:rsidRPr="00CD645B">
        <w:rPr>
          <w:rFonts w:ascii="Times New Roman" w:hAnsi="Times New Roman" w:cs="Times New Roman"/>
        </w:rPr>
        <w:t>and with Federal</w:t>
      </w:r>
      <w:r w:rsidR="00CB568D" w:rsidRPr="00CD645B">
        <w:rPr>
          <w:rFonts w:ascii="Times New Roman" w:hAnsi="Times New Roman" w:cs="Times New Roman"/>
        </w:rPr>
        <w:t xml:space="preserve"> Wide Assurance (</w:t>
      </w:r>
      <w:r w:rsidR="0032523B" w:rsidRPr="00CD645B">
        <w:rPr>
          <w:rFonts w:ascii="Times New Roman" w:hAnsi="Times New Roman" w:cs="Times New Roman"/>
        </w:rPr>
        <w:t>FWA00000142</w:t>
      </w:r>
      <w:r w:rsidR="00CB568D" w:rsidRPr="00CD645B">
        <w:rPr>
          <w:rFonts w:ascii="Times New Roman" w:hAnsi="Times New Roman" w:cs="Times New Roman"/>
        </w:rPr>
        <w:t>). This ensures that all of its projects involving human subjects comply with Federal regulations.</w:t>
      </w:r>
      <w:r w:rsidR="00D926A1" w:rsidRPr="00CD645B">
        <w:rPr>
          <w:rFonts w:ascii="Times New Roman" w:hAnsi="Times New Roman" w:cs="Times New Roman"/>
        </w:rPr>
        <w:t xml:space="preserve"> (</w:t>
      </w:r>
      <w:r w:rsidR="00D926A1" w:rsidRPr="00CD645B">
        <w:rPr>
          <w:rFonts w:ascii="Times New Roman" w:hAnsi="Times New Roman" w:cs="Times New Roman"/>
          <w:b/>
        </w:rPr>
        <w:t>Attachment</w:t>
      </w:r>
      <w:r w:rsidR="00130CC1" w:rsidRPr="00CD645B">
        <w:rPr>
          <w:rFonts w:ascii="Times New Roman" w:hAnsi="Times New Roman" w:cs="Times New Roman"/>
          <w:b/>
        </w:rPr>
        <w:t xml:space="preserve"> </w:t>
      </w:r>
      <w:r w:rsidR="00241C49" w:rsidRPr="00CD645B">
        <w:rPr>
          <w:rFonts w:ascii="Times New Roman" w:hAnsi="Times New Roman" w:cs="Times New Roman"/>
          <w:b/>
        </w:rPr>
        <w:t>1</w:t>
      </w:r>
      <w:r w:rsidR="005E042F">
        <w:rPr>
          <w:rFonts w:ascii="Times New Roman" w:hAnsi="Times New Roman" w:cs="Times New Roman"/>
          <w:b/>
        </w:rPr>
        <w:t>0</w:t>
      </w:r>
      <w:r w:rsidR="00D926A1" w:rsidRPr="00CD645B">
        <w:rPr>
          <w:rFonts w:ascii="Times New Roman" w:hAnsi="Times New Roman" w:cs="Times New Roman"/>
        </w:rPr>
        <w:t xml:space="preserve">). </w:t>
      </w:r>
    </w:p>
    <w:p w14:paraId="53D82C7D" w14:textId="77777777" w:rsidR="0032523B" w:rsidRPr="00CD645B" w:rsidRDefault="0032523B" w:rsidP="0032523B">
      <w:pPr>
        <w:pStyle w:val="Default"/>
        <w:rPr>
          <w:rFonts w:ascii="Times New Roman" w:hAnsi="Times New Roman" w:cs="Times New Roman"/>
        </w:rPr>
      </w:pPr>
    </w:p>
    <w:p w14:paraId="272FA017" w14:textId="77777777" w:rsidR="0081423B" w:rsidRPr="00CD645B" w:rsidRDefault="00252409" w:rsidP="0059475A">
      <w:pPr>
        <w:spacing w:after="240" w:line="240" w:lineRule="auto"/>
        <w:rPr>
          <w:rFonts w:ascii="Times New Roman" w:hAnsi="Times New Roman" w:cs="Times New Roman"/>
          <w:sz w:val="24"/>
          <w:szCs w:val="24"/>
          <w:u w:val="single"/>
        </w:rPr>
      </w:pPr>
      <w:r w:rsidRPr="00CD645B">
        <w:rPr>
          <w:rFonts w:ascii="Times New Roman" w:hAnsi="Times New Roman" w:cs="Times New Roman"/>
          <w:sz w:val="24"/>
          <w:szCs w:val="24"/>
          <w:u w:val="single"/>
        </w:rPr>
        <w:t>Sensitive Questions</w:t>
      </w:r>
    </w:p>
    <w:p w14:paraId="691D5351" w14:textId="6074C3F8" w:rsidR="00285F98" w:rsidRPr="00CD645B" w:rsidRDefault="002A71D5" w:rsidP="00DF3A1C">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In general, the </w:t>
      </w:r>
      <w:r w:rsidR="00E73F88">
        <w:rPr>
          <w:rFonts w:ascii="Times New Roman" w:hAnsi="Times New Roman" w:cs="Times New Roman"/>
          <w:sz w:val="24"/>
          <w:szCs w:val="24"/>
        </w:rPr>
        <w:t>focus group guide</w:t>
      </w:r>
      <w:r w:rsidR="00E73F88" w:rsidRPr="00CD645B">
        <w:rPr>
          <w:rFonts w:ascii="Times New Roman" w:hAnsi="Times New Roman" w:cs="Times New Roman"/>
          <w:sz w:val="24"/>
          <w:szCs w:val="24"/>
        </w:rPr>
        <w:t xml:space="preserve"> </w:t>
      </w:r>
      <w:r w:rsidR="00E73F88">
        <w:rPr>
          <w:rFonts w:ascii="Times New Roman" w:hAnsi="Times New Roman" w:cs="Times New Roman"/>
          <w:sz w:val="24"/>
          <w:szCs w:val="24"/>
        </w:rPr>
        <w:t xml:space="preserve">and related questionnaire </w:t>
      </w:r>
      <w:r w:rsidRPr="00CD645B">
        <w:rPr>
          <w:rFonts w:ascii="Times New Roman" w:hAnsi="Times New Roman" w:cs="Times New Roman"/>
          <w:sz w:val="24"/>
          <w:szCs w:val="24"/>
        </w:rPr>
        <w:t>designed for this data collection effort do not contain sensitive questions about topics such as sexual behavior or drug use. However, for some individuals, demographic questions</w:t>
      </w:r>
      <w:r w:rsidR="00DF3A1C" w:rsidRPr="00CD645B">
        <w:rPr>
          <w:rFonts w:ascii="Times New Roman" w:hAnsi="Times New Roman" w:cs="Times New Roman"/>
          <w:sz w:val="24"/>
          <w:szCs w:val="24"/>
        </w:rPr>
        <w:t xml:space="preserve">, including age, sex, </w:t>
      </w:r>
      <w:r w:rsidR="00D7087D" w:rsidRPr="00CD645B">
        <w:rPr>
          <w:rFonts w:ascii="Times New Roman" w:hAnsi="Times New Roman" w:cs="Times New Roman"/>
          <w:sz w:val="24"/>
          <w:szCs w:val="24"/>
        </w:rPr>
        <w:t>race/ethnicity</w:t>
      </w:r>
      <w:r w:rsidR="00DF3A1C" w:rsidRPr="00CD645B">
        <w:rPr>
          <w:rFonts w:ascii="Times New Roman" w:hAnsi="Times New Roman" w:cs="Times New Roman"/>
          <w:sz w:val="24"/>
          <w:szCs w:val="24"/>
        </w:rPr>
        <w:t>, and geographic location</w:t>
      </w:r>
      <w:r w:rsidR="00D7087D" w:rsidRPr="00CD645B">
        <w:rPr>
          <w:rFonts w:ascii="Times New Roman" w:hAnsi="Times New Roman" w:cs="Times New Roman"/>
          <w:sz w:val="24"/>
          <w:szCs w:val="24"/>
        </w:rPr>
        <w:t xml:space="preserve"> of the respondent</w:t>
      </w:r>
      <w:r w:rsidR="00DF3A1C" w:rsidRPr="00CD645B">
        <w:rPr>
          <w:rFonts w:ascii="Times New Roman" w:hAnsi="Times New Roman" w:cs="Times New Roman"/>
          <w:sz w:val="24"/>
          <w:szCs w:val="24"/>
        </w:rPr>
        <w:t>,</w:t>
      </w:r>
      <w:r w:rsidR="00D7087D" w:rsidRPr="00CD645B">
        <w:rPr>
          <w:rFonts w:ascii="Times New Roman" w:hAnsi="Times New Roman" w:cs="Times New Roman"/>
          <w:sz w:val="24"/>
          <w:szCs w:val="24"/>
        </w:rPr>
        <w:t xml:space="preserve"> </w:t>
      </w:r>
      <w:r w:rsidR="0011295B" w:rsidRPr="00CD645B">
        <w:rPr>
          <w:rFonts w:ascii="Times New Roman" w:hAnsi="Times New Roman" w:cs="Times New Roman"/>
          <w:sz w:val="24"/>
          <w:szCs w:val="24"/>
        </w:rPr>
        <w:t>are thou</w:t>
      </w:r>
      <w:r w:rsidR="00D7087D" w:rsidRPr="00CD645B">
        <w:rPr>
          <w:rFonts w:ascii="Times New Roman" w:hAnsi="Times New Roman" w:cs="Times New Roman"/>
          <w:sz w:val="24"/>
          <w:szCs w:val="24"/>
        </w:rPr>
        <w:t xml:space="preserve">ght to be of a sensitive nature. </w:t>
      </w:r>
      <w:r w:rsidR="00DF3A1C" w:rsidRPr="00CD645B">
        <w:rPr>
          <w:rFonts w:ascii="Times New Roman" w:hAnsi="Times New Roman" w:cs="Times New Roman"/>
          <w:sz w:val="24"/>
          <w:szCs w:val="24"/>
        </w:rPr>
        <w:t xml:space="preserve">This information will help CDC to explore if responses differ based on the demographic characteristics of the healthcare provider. We will use this information to </w:t>
      </w:r>
      <w:r w:rsidR="00E73F88">
        <w:rPr>
          <w:rFonts w:ascii="Times New Roman" w:hAnsi="Times New Roman" w:cs="Times New Roman"/>
          <w:sz w:val="24"/>
          <w:szCs w:val="24"/>
        </w:rPr>
        <w:t>explore whether there are patterns in</w:t>
      </w:r>
      <w:r w:rsidR="00E73F88" w:rsidRPr="00CD645B">
        <w:rPr>
          <w:rFonts w:ascii="Times New Roman" w:hAnsi="Times New Roman" w:cs="Times New Roman"/>
          <w:sz w:val="24"/>
          <w:szCs w:val="24"/>
        </w:rPr>
        <w:t xml:space="preserve"> </w:t>
      </w:r>
      <w:r w:rsidR="00DF3A1C" w:rsidRPr="00CD645B">
        <w:rPr>
          <w:rFonts w:ascii="Times New Roman" w:hAnsi="Times New Roman" w:cs="Times New Roman"/>
          <w:sz w:val="24"/>
          <w:szCs w:val="24"/>
        </w:rPr>
        <w:t xml:space="preserve">the qualitative data from the focus groups, to the extent possible, by age, sex, race, ethnicity, and geographic location. We will explain to study participants that these questions are asked for analysis purposes only. Participants may decline to respond to the questions, and they will still be able to participate in the study. The informed consent for the focus groups </w:t>
      </w:r>
      <w:r w:rsidR="001F7153" w:rsidRPr="00CD645B">
        <w:rPr>
          <w:rFonts w:ascii="Times New Roman" w:hAnsi="Times New Roman" w:cs="Times New Roman"/>
          <w:sz w:val="24"/>
          <w:szCs w:val="24"/>
        </w:rPr>
        <w:t>(</w:t>
      </w:r>
      <w:r w:rsidR="001F7153" w:rsidRPr="00CD645B">
        <w:rPr>
          <w:rFonts w:ascii="Times New Roman" w:hAnsi="Times New Roman" w:cs="Times New Roman"/>
          <w:b/>
          <w:sz w:val="24"/>
          <w:szCs w:val="24"/>
        </w:rPr>
        <w:t xml:space="preserve">Attachment 6) </w:t>
      </w:r>
      <w:r w:rsidR="00DF3A1C" w:rsidRPr="00CD645B">
        <w:rPr>
          <w:rFonts w:ascii="Times New Roman" w:hAnsi="Times New Roman" w:cs="Times New Roman"/>
          <w:sz w:val="24"/>
          <w:szCs w:val="24"/>
        </w:rPr>
        <w:t>explains that participants can refrain from answering any questions. All questions are voluntary in nature. There will be no negative consequences to any respondent, should they choose not to answer one or all of the questions. In the informed consent, we will inform all study participants that all data collected will be treated in a secure manner.</w:t>
      </w:r>
    </w:p>
    <w:p w14:paraId="251236C6" w14:textId="77777777" w:rsidR="00285F98" w:rsidRPr="00CD645B" w:rsidRDefault="00285F98" w:rsidP="00EE46CA">
      <w:pPr>
        <w:spacing w:after="0" w:line="360" w:lineRule="auto"/>
        <w:rPr>
          <w:rFonts w:ascii="Times New Roman" w:hAnsi="Times New Roman" w:cs="Times New Roman"/>
          <w:sz w:val="24"/>
          <w:szCs w:val="24"/>
          <w:u w:val="single"/>
        </w:rPr>
      </w:pPr>
    </w:p>
    <w:p w14:paraId="1E856543" w14:textId="23F1B4CB" w:rsidR="0059475A" w:rsidRPr="00CD645B" w:rsidRDefault="00BC1185" w:rsidP="0025127A">
      <w:pPr>
        <w:pStyle w:val="Heading2"/>
        <w:spacing w:line="360" w:lineRule="auto"/>
        <w:rPr>
          <w:rFonts w:ascii="Times New Roman" w:hAnsi="Times New Roman"/>
          <w:szCs w:val="24"/>
        </w:rPr>
      </w:pPr>
      <w:bookmarkStart w:id="18" w:name="_Toc501703431"/>
      <w:r w:rsidRPr="00CD645B">
        <w:rPr>
          <w:rFonts w:ascii="Times New Roman" w:hAnsi="Times New Roman"/>
          <w:szCs w:val="24"/>
        </w:rPr>
        <w:t xml:space="preserve">A.12. </w:t>
      </w:r>
      <w:r w:rsidR="009D070B" w:rsidRPr="00CD645B">
        <w:rPr>
          <w:rFonts w:ascii="Times New Roman" w:hAnsi="Times New Roman"/>
          <w:szCs w:val="24"/>
        </w:rPr>
        <w:t>Estimates of Annualized Burden Hours and Cost</w:t>
      </w:r>
      <w:bookmarkEnd w:id="18"/>
    </w:p>
    <w:p w14:paraId="7E8A7302" w14:textId="754AFDE9" w:rsidR="00E90628" w:rsidRPr="00CD645B" w:rsidRDefault="00370163" w:rsidP="00E90628">
      <w:pPr>
        <w:spacing w:after="240" w:line="240" w:lineRule="auto"/>
        <w:ind w:firstLine="360"/>
        <w:rPr>
          <w:rFonts w:ascii="Times New Roman" w:hAnsi="Times New Roman" w:cs="Times New Roman"/>
          <w:sz w:val="24"/>
          <w:szCs w:val="24"/>
        </w:rPr>
      </w:pPr>
      <w:r>
        <w:rPr>
          <w:rFonts w:ascii="Times New Roman" w:hAnsi="Times New Roman" w:cs="Times New Roman"/>
          <w:sz w:val="24"/>
          <w:szCs w:val="24"/>
        </w:rPr>
        <w:t>Rural healthcare providers referred from NHRA</w:t>
      </w:r>
      <w:r w:rsidR="00E90628" w:rsidRPr="00CD645B">
        <w:rPr>
          <w:rFonts w:ascii="Times New Roman" w:hAnsi="Times New Roman" w:cs="Times New Roman"/>
          <w:sz w:val="24"/>
          <w:szCs w:val="24"/>
        </w:rPr>
        <w:t xml:space="preserve"> will be invited by email to participate in the focus groups (</w:t>
      </w:r>
      <w:r w:rsidR="00E90628" w:rsidRPr="00CD645B">
        <w:rPr>
          <w:rFonts w:ascii="Times New Roman" w:hAnsi="Times New Roman" w:cs="Times New Roman"/>
          <w:b/>
          <w:sz w:val="24"/>
          <w:szCs w:val="24"/>
        </w:rPr>
        <w:t xml:space="preserve">Attachment </w:t>
      </w:r>
      <w:r w:rsidR="00F96C92" w:rsidRPr="00CD645B">
        <w:rPr>
          <w:rFonts w:ascii="Times New Roman" w:hAnsi="Times New Roman" w:cs="Times New Roman"/>
          <w:b/>
          <w:sz w:val="24"/>
          <w:szCs w:val="24"/>
        </w:rPr>
        <w:t>4</w:t>
      </w:r>
      <w:r w:rsidR="00E90628" w:rsidRPr="00CD645B">
        <w:rPr>
          <w:rFonts w:ascii="Times New Roman" w:hAnsi="Times New Roman" w:cs="Times New Roman"/>
          <w:sz w:val="24"/>
          <w:szCs w:val="24"/>
        </w:rPr>
        <w:t>)</w:t>
      </w:r>
      <w:r w:rsidR="00DC3D4F" w:rsidRPr="00CD645B">
        <w:rPr>
          <w:rFonts w:ascii="Times New Roman" w:hAnsi="Times New Roman" w:cs="Times New Roman"/>
          <w:sz w:val="24"/>
          <w:szCs w:val="24"/>
        </w:rPr>
        <w:t xml:space="preserve"> and their eligibility will be confirmed with a focus group screener before the focus groups are scheduled (</w:t>
      </w:r>
      <w:r w:rsidR="00DC3D4F" w:rsidRPr="00CD645B">
        <w:rPr>
          <w:rFonts w:ascii="Times New Roman" w:hAnsi="Times New Roman" w:cs="Times New Roman"/>
          <w:b/>
          <w:sz w:val="24"/>
          <w:szCs w:val="24"/>
        </w:rPr>
        <w:t>Attachment 5</w:t>
      </w:r>
      <w:r w:rsidR="00DC3D4F" w:rsidRPr="00CD645B">
        <w:rPr>
          <w:rFonts w:ascii="Times New Roman" w:hAnsi="Times New Roman" w:cs="Times New Roman"/>
          <w:sz w:val="24"/>
          <w:szCs w:val="24"/>
        </w:rPr>
        <w:t>)</w:t>
      </w:r>
      <w:r w:rsidR="00707D1B" w:rsidRPr="00CD645B">
        <w:rPr>
          <w:rFonts w:ascii="Times New Roman" w:hAnsi="Times New Roman" w:cs="Times New Roman"/>
          <w:sz w:val="24"/>
          <w:szCs w:val="24"/>
        </w:rPr>
        <w:t>.</w:t>
      </w:r>
    </w:p>
    <w:p w14:paraId="46AC0600" w14:textId="7CED7093" w:rsidR="00B945CC" w:rsidRPr="00CD645B" w:rsidRDefault="00E43C41" w:rsidP="00DC0FCD">
      <w:pPr>
        <w:spacing w:after="240" w:line="240" w:lineRule="auto"/>
        <w:ind w:firstLine="360"/>
        <w:rPr>
          <w:rFonts w:ascii="Times New Roman" w:hAnsi="Times New Roman" w:cs="Times New Roman"/>
          <w:sz w:val="24"/>
          <w:szCs w:val="24"/>
        </w:rPr>
      </w:pPr>
      <w:r>
        <w:rPr>
          <w:rFonts w:ascii="Times New Roman" w:hAnsi="Times New Roman" w:cs="Times New Roman"/>
          <w:color w:val="000000" w:themeColor="text1"/>
          <w:sz w:val="24"/>
          <w:szCs w:val="24"/>
        </w:rPr>
        <w:t xml:space="preserve">In order to be recruited for the focus groups, the rural healthcare providers will first need to complete and send back a screener form. We estimate that the screener will take </w:t>
      </w:r>
      <w:r w:rsidR="0094156D">
        <w:rPr>
          <w:rFonts w:ascii="Times New Roman" w:hAnsi="Times New Roman" w:cs="Times New Roman"/>
          <w:color w:val="000000" w:themeColor="text1"/>
          <w:sz w:val="24"/>
          <w:szCs w:val="24"/>
        </w:rPr>
        <w:t>about</w:t>
      </w:r>
      <w:r>
        <w:rPr>
          <w:rFonts w:ascii="Times New Roman" w:hAnsi="Times New Roman" w:cs="Times New Roman"/>
          <w:color w:val="000000" w:themeColor="text1"/>
          <w:sz w:val="24"/>
          <w:szCs w:val="24"/>
        </w:rPr>
        <w:t xml:space="preserve"> </w:t>
      </w:r>
      <w:r w:rsidR="0094156D">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minutes to complete. While most healthcare providers will be eligible, not all will be, so the screener will be completed by more providers than the rest of the material. </w:t>
      </w:r>
      <w:r w:rsidR="00047CEF">
        <w:rPr>
          <w:rFonts w:ascii="Times New Roman" w:hAnsi="Times New Roman" w:cs="Times New Roman"/>
          <w:color w:val="000000" w:themeColor="text1"/>
          <w:sz w:val="24"/>
          <w:szCs w:val="24"/>
        </w:rPr>
        <w:t xml:space="preserve">During </w:t>
      </w:r>
      <w:r w:rsidR="00047CEF" w:rsidRPr="00CD645B">
        <w:rPr>
          <w:rFonts w:ascii="Times New Roman" w:hAnsi="Times New Roman" w:cs="Times New Roman"/>
          <w:color w:val="000000" w:themeColor="text1"/>
          <w:sz w:val="24"/>
          <w:szCs w:val="24"/>
        </w:rPr>
        <w:t>the</w:t>
      </w:r>
      <w:r w:rsidR="00411702" w:rsidRPr="00CD645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actual </w:t>
      </w:r>
      <w:r w:rsidR="00411702" w:rsidRPr="00CD645B">
        <w:rPr>
          <w:rFonts w:ascii="Times New Roman" w:hAnsi="Times New Roman" w:cs="Times New Roman"/>
          <w:color w:val="000000" w:themeColor="text1"/>
          <w:sz w:val="24"/>
          <w:szCs w:val="24"/>
        </w:rPr>
        <w:t xml:space="preserve">focus group, the participants will be asked to complete a set of 10 demographic and background questions before the discussion begins. We estimate that this will take each participants 5 minutes to complete. </w:t>
      </w:r>
      <w:r w:rsidR="009D54B5">
        <w:rPr>
          <w:rFonts w:ascii="Times New Roman" w:hAnsi="Times New Roman" w:cs="Times New Roman"/>
          <w:color w:val="000000" w:themeColor="text1"/>
          <w:sz w:val="24"/>
          <w:szCs w:val="24"/>
        </w:rPr>
        <w:t xml:space="preserve">We estimate that reading through and signing the consent will also take 5 minutes. </w:t>
      </w:r>
      <w:r w:rsidR="00411702" w:rsidRPr="00CD645B">
        <w:rPr>
          <w:rFonts w:ascii="Times New Roman" w:hAnsi="Times New Roman" w:cs="Times New Roman"/>
          <w:color w:val="000000" w:themeColor="text1"/>
          <w:sz w:val="24"/>
          <w:szCs w:val="24"/>
        </w:rPr>
        <w:t>The time needed to complete each focus group discussion is estimated to be 8</w:t>
      </w:r>
      <w:r w:rsidR="00EF2376">
        <w:rPr>
          <w:rFonts w:ascii="Times New Roman" w:hAnsi="Times New Roman" w:cs="Times New Roman"/>
          <w:color w:val="000000" w:themeColor="text1"/>
          <w:sz w:val="24"/>
          <w:szCs w:val="24"/>
        </w:rPr>
        <w:t>0</w:t>
      </w:r>
      <w:r w:rsidR="00411702" w:rsidRPr="00CD645B">
        <w:rPr>
          <w:rFonts w:ascii="Times New Roman" w:hAnsi="Times New Roman" w:cs="Times New Roman"/>
          <w:color w:val="000000" w:themeColor="text1"/>
          <w:sz w:val="24"/>
          <w:szCs w:val="24"/>
        </w:rPr>
        <w:t xml:space="preserve"> minutes. </w:t>
      </w:r>
      <w:r w:rsidR="00BC1185" w:rsidRPr="00CD645B">
        <w:rPr>
          <w:rFonts w:ascii="Times New Roman" w:hAnsi="Times New Roman" w:cs="Times New Roman"/>
          <w:sz w:val="24"/>
          <w:szCs w:val="24"/>
        </w:rPr>
        <w:t xml:space="preserve">The </w:t>
      </w:r>
      <w:r w:rsidR="00DB0341" w:rsidRPr="00CD645B">
        <w:rPr>
          <w:rFonts w:ascii="Times New Roman" w:hAnsi="Times New Roman" w:cs="Times New Roman"/>
          <w:sz w:val="24"/>
          <w:szCs w:val="24"/>
        </w:rPr>
        <w:t>focus groups</w:t>
      </w:r>
      <w:r w:rsidR="00957088" w:rsidRPr="00CD645B">
        <w:rPr>
          <w:rFonts w:ascii="Times New Roman" w:hAnsi="Times New Roman" w:cs="Times New Roman"/>
          <w:sz w:val="24"/>
          <w:szCs w:val="24"/>
        </w:rPr>
        <w:t xml:space="preserve"> will occur during national conferences at which respondents have separately registered to attend. If needed, additional focus groups will be conducted by conference call</w:t>
      </w:r>
      <w:r w:rsidR="00A852A2" w:rsidRPr="00CD645B">
        <w:rPr>
          <w:rFonts w:ascii="Times New Roman" w:hAnsi="Times New Roman" w:cs="Times New Roman"/>
          <w:sz w:val="24"/>
          <w:szCs w:val="24"/>
        </w:rPr>
        <w:t xml:space="preserve"> or webinar</w:t>
      </w:r>
      <w:r w:rsidR="00957088" w:rsidRPr="00CD645B">
        <w:rPr>
          <w:rFonts w:ascii="Times New Roman" w:hAnsi="Times New Roman" w:cs="Times New Roman"/>
          <w:sz w:val="24"/>
          <w:szCs w:val="24"/>
        </w:rPr>
        <w:t xml:space="preserve">. </w:t>
      </w:r>
      <w:r w:rsidR="00DC0FCD" w:rsidRPr="00CD645B">
        <w:rPr>
          <w:rFonts w:ascii="Times New Roman" w:hAnsi="Times New Roman" w:cs="Times New Roman"/>
          <w:sz w:val="24"/>
          <w:szCs w:val="24"/>
        </w:rPr>
        <w:t xml:space="preserve">We are planning to conduct this data collection over a two-year time period, therefore the sample numbers for each strata are divided in half. </w:t>
      </w:r>
    </w:p>
    <w:p w14:paraId="4C4ACEC5" w14:textId="77777777" w:rsidR="00294726" w:rsidRPr="00CD645B" w:rsidRDefault="00DC0FCD" w:rsidP="004518DD">
      <w:pPr>
        <w:spacing w:after="0" w:line="360" w:lineRule="auto"/>
      </w:pPr>
      <w:r w:rsidRPr="00CD645B">
        <w:rPr>
          <w:rFonts w:ascii="Times New Roman" w:hAnsi="Times New Roman" w:cs="Times New Roman"/>
          <w:b/>
          <w:sz w:val="24"/>
          <w:szCs w:val="24"/>
        </w:rPr>
        <w:t>T</w:t>
      </w:r>
      <w:r w:rsidR="00577925" w:rsidRPr="00CD645B">
        <w:rPr>
          <w:rFonts w:ascii="Times New Roman" w:hAnsi="Times New Roman" w:cs="Times New Roman"/>
          <w:b/>
          <w:sz w:val="24"/>
          <w:szCs w:val="24"/>
        </w:rPr>
        <w:t xml:space="preserve">able </w:t>
      </w:r>
      <w:r w:rsidR="002F27D6" w:rsidRPr="00CD645B">
        <w:rPr>
          <w:rFonts w:ascii="Times New Roman" w:hAnsi="Times New Roman" w:cs="Times New Roman"/>
          <w:b/>
          <w:sz w:val="24"/>
          <w:szCs w:val="24"/>
        </w:rPr>
        <w:t>4</w:t>
      </w:r>
      <w:r w:rsidR="003E1BB4" w:rsidRPr="00CD645B">
        <w:rPr>
          <w:rFonts w:ascii="Times New Roman" w:hAnsi="Times New Roman" w:cs="Times New Roman"/>
          <w:b/>
          <w:sz w:val="24"/>
          <w:szCs w:val="24"/>
        </w:rPr>
        <w:t>. Estimated annualized burden hours</w:t>
      </w:r>
    </w:p>
    <w:p w14:paraId="076953A3" w14:textId="3921E8FF" w:rsidR="003C0512" w:rsidRDefault="003C0512" w:rsidP="0025127A">
      <w:pPr>
        <w:pStyle w:val="Bulleted"/>
      </w:pPr>
    </w:p>
    <w:tbl>
      <w:tblPr>
        <w:tblStyle w:val="TableGrid"/>
        <w:tblW w:w="9805" w:type="dxa"/>
        <w:tblLook w:val="04A0" w:firstRow="1" w:lastRow="0" w:firstColumn="1" w:lastColumn="0" w:noHBand="0" w:noVBand="1"/>
      </w:tblPr>
      <w:tblGrid>
        <w:gridCol w:w="1939"/>
        <w:gridCol w:w="2361"/>
        <w:gridCol w:w="1437"/>
        <w:gridCol w:w="1427"/>
        <w:gridCol w:w="1579"/>
        <w:gridCol w:w="1062"/>
      </w:tblGrid>
      <w:tr w:rsidR="009F5E39" w:rsidRPr="003D6A8E" w14:paraId="07DD2672" w14:textId="77777777" w:rsidTr="00471C85">
        <w:tc>
          <w:tcPr>
            <w:tcW w:w="1737" w:type="dxa"/>
            <w:vAlign w:val="center"/>
          </w:tcPr>
          <w:p w14:paraId="0060EB81" w14:textId="77777777" w:rsidR="009F5E39" w:rsidRPr="003D6A8E" w:rsidRDefault="009F5E39" w:rsidP="0025127A">
            <w:pPr>
              <w:pStyle w:val="Bulleted"/>
              <w:rPr>
                <w:sz w:val="22"/>
                <w:szCs w:val="22"/>
              </w:rPr>
            </w:pPr>
            <w:r w:rsidRPr="003D6A8E">
              <w:rPr>
                <w:sz w:val="22"/>
                <w:szCs w:val="22"/>
              </w:rPr>
              <w:t>Type of Respondent</w:t>
            </w:r>
          </w:p>
        </w:tc>
        <w:tc>
          <w:tcPr>
            <w:tcW w:w="2488" w:type="dxa"/>
            <w:vAlign w:val="center"/>
          </w:tcPr>
          <w:p w14:paraId="213752E3" w14:textId="77777777" w:rsidR="009F5E39" w:rsidRPr="003D6A8E" w:rsidRDefault="009F5E39" w:rsidP="00471C85">
            <w:pPr>
              <w:rPr>
                <w:rFonts w:ascii="Arial" w:hAnsi="Arial" w:cs="Arial"/>
                <w:b/>
                <w:bCs/>
              </w:rPr>
            </w:pPr>
          </w:p>
          <w:p w14:paraId="62738995" w14:textId="77777777" w:rsidR="009F5E39" w:rsidRPr="003D6A8E" w:rsidRDefault="009F5E39" w:rsidP="0025127A">
            <w:pPr>
              <w:pStyle w:val="Bulleted"/>
              <w:rPr>
                <w:sz w:val="22"/>
                <w:szCs w:val="22"/>
              </w:rPr>
            </w:pPr>
            <w:r w:rsidRPr="003D6A8E">
              <w:rPr>
                <w:sz w:val="22"/>
                <w:szCs w:val="22"/>
              </w:rPr>
              <w:t>Form Name</w:t>
            </w:r>
          </w:p>
        </w:tc>
        <w:tc>
          <w:tcPr>
            <w:tcW w:w="1440" w:type="dxa"/>
            <w:vAlign w:val="center"/>
          </w:tcPr>
          <w:p w14:paraId="05720D6C" w14:textId="77777777" w:rsidR="009F5E39" w:rsidRPr="003D6A8E" w:rsidRDefault="009F5E39" w:rsidP="0025127A">
            <w:pPr>
              <w:pStyle w:val="Bulleted"/>
              <w:rPr>
                <w:sz w:val="22"/>
                <w:szCs w:val="22"/>
              </w:rPr>
            </w:pPr>
            <w:r w:rsidRPr="003D6A8E">
              <w:rPr>
                <w:sz w:val="22"/>
                <w:szCs w:val="22"/>
              </w:rPr>
              <w:t>Number of Respondents</w:t>
            </w:r>
          </w:p>
        </w:tc>
        <w:tc>
          <w:tcPr>
            <w:tcW w:w="1440" w:type="dxa"/>
            <w:vAlign w:val="center"/>
          </w:tcPr>
          <w:p w14:paraId="0379981E" w14:textId="77777777" w:rsidR="009F5E39" w:rsidRPr="003D6A8E" w:rsidRDefault="009F5E39" w:rsidP="0025127A">
            <w:pPr>
              <w:pStyle w:val="Bulleted"/>
              <w:rPr>
                <w:sz w:val="22"/>
                <w:szCs w:val="22"/>
              </w:rPr>
            </w:pPr>
            <w:r w:rsidRPr="003D6A8E">
              <w:rPr>
                <w:sz w:val="22"/>
                <w:szCs w:val="22"/>
              </w:rPr>
              <w:t>Number of Responses per Respondent</w:t>
            </w:r>
          </w:p>
        </w:tc>
        <w:tc>
          <w:tcPr>
            <w:tcW w:w="1620" w:type="dxa"/>
            <w:vAlign w:val="center"/>
          </w:tcPr>
          <w:p w14:paraId="6ACD6CFF" w14:textId="77777777" w:rsidR="009F5E39" w:rsidRPr="003D6A8E" w:rsidRDefault="009F5E39" w:rsidP="00471C85">
            <w:pPr>
              <w:rPr>
                <w:rFonts w:ascii="Arial" w:hAnsi="Arial" w:cs="Arial"/>
                <w:b/>
                <w:bCs/>
              </w:rPr>
            </w:pPr>
            <w:r w:rsidRPr="003D6A8E">
              <w:rPr>
                <w:rFonts w:ascii="Arial" w:hAnsi="Arial" w:cs="Arial"/>
                <w:b/>
                <w:bCs/>
              </w:rPr>
              <w:t>Average Burden per Response</w:t>
            </w:r>
          </w:p>
          <w:p w14:paraId="65DB5205" w14:textId="77777777" w:rsidR="009F5E39" w:rsidRPr="003D6A8E" w:rsidRDefault="009F5E39" w:rsidP="0025127A">
            <w:pPr>
              <w:pStyle w:val="Bulleted"/>
              <w:rPr>
                <w:sz w:val="22"/>
                <w:szCs w:val="22"/>
              </w:rPr>
            </w:pPr>
            <w:r w:rsidRPr="003D6A8E">
              <w:rPr>
                <w:sz w:val="22"/>
                <w:szCs w:val="22"/>
              </w:rPr>
              <w:t>(in hours)</w:t>
            </w:r>
          </w:p>
        </w:tc>
        <w:tc>
          <w:tcPr>
            <w:tcW w:w="1080" w:type="dxa"/>
            <w:vAlign w:val="center"/>
          </w:tcPr>
          <w:p w14:paraId="29E66C80" w14:textId="77777777" w:rsidR="009F5E39" w:rsidRPr="003D6A8E" w:rsidRDefault="009F5E39" w:rsidP="0025127A">
            <w:pPr>
              <w:pStyle w:val="Bulleted"/>
              <w:rPr>
                <w:sz w:val="22"/>
                <w:szCs w:val="22"/>
              </w:rPr>
            </w:pPr>
            <w:r w:rsidRPr="003D6A8E">
              <w:rPr>
                <w:sz w:val="22"/>
                <w:szCs w:val="22"/>
              </w:rPr>
              <w:t>Total Burden (in hours)</w:t>
            </w:r>
          </w:p>
        </w:tc>
      </w:tr>
      <w:tr w:rsidR="00C75120" w:rsidRPr="003D6A8E" w14:paraId="04588FAC" w14:textId="77777777" w:rsidTr="00471C85">
        <w:tc>
          <w:tcPr>
            <w:tcW w:w="1737" w:type="dxa"/>
            <w:vMerge w:val="restart"/>
          </w:tcPr>
          <w:p w14:paraId="60D87C16" w14:textId="1BF22D55" w:rsidR="00C75120" w:rsidRPr="003D6A8E" w:rsidRDefault="00C75120" w:rsidP="0025127A">
            <w:pPr>
              <w:pStyle w:val="Bulleted"/>
              <w:rPr>
                <w:b w:val="0"/>
                <w:sz w:val="22"/>
                <w:szCs w:val="22"/>
              </w:rPr>
            </w:pPr>
            <w:r w:rsidRPr="003D6A8E">
              <w:rPr>
                <w:b w:val="0"/>
                <w:sz w:val="22"/>
                <w:szCs w:val="22"/>
              </w:rPr>
              <w:t>Health care providers  (Primary Care Physician, Emergency Physician, Nurse Practitioner and Physician Assistant)</w:t>
            </w:r>
          </w:p>
        </w:tc>
        <w:tc>
          <w:tcPr>
            <w:tcW w:w="2488" w:type="dxa"/>
            <w:vAlign w:val="center"/>
          </w:tcPr>
          <w:p w14:paraId="6C1D43E3" w14:textId="6EBBEF5C" w:rsidR="00C75120" w:rsidRPr="003D6A8E" w:rsidRDefault="00C75120" w:rsidP="0025127A">
            <w:pPr>
              <w:pStyle w:val="Bulleted"/>
              <w:rPr>
                <w:b w:val="0"/>
                <w:sz w:val="22"/>
                <w:szCs w:val="22"/>
              </w:rPr>
            </w:pPr>
            <w:r w:rsidRPr="003D6A8E">
              <w:rPr>
                <w:b w:val="0"/>
                <w:sz w:val="22"/>
                <w:szCs w:val="22"/>
              </w:rPr>
              <w:t>Focus group screener (Att. 5)</w:t>
            </w:r>
          </w:p>
        </w:tc>
        <w:tc>
          <w:tcPr>
            <w:tcW w:w="1440" w:type="dxa"/>
          </w:tcPr>
          <w:p w14:paraId="39C24AE2" w14:textId="5552E94A" w:rsidR="00C75120" w:rsidRPr="003D6A8E" w:rsidRDefault="00AC0FC2" w:rsidP="0025127A">
            <w:pPr>
              <w:pStyle w:val="Bulleted"/>
              <w:rPr>
                <w:b w:val="0"/>
                <w:sz w:val="22"/>
                <w:szCs w:val="22"/>
              </w:rPr>
            </w:pPr>
            <w:r w:rsidRPr="003D6A8E">
              <w:rPr>
                <w:b w:val="0"/>
                <w:sz w:val="22"/>
                <w:szCs w:val="22"/>
              </w:rPr>
              <w:t>34</w:t>
            </w:r>
          </w:p>
        </w:tc>
        <w:tc>
          <w:tcPr>
            <w:tcW w:w="1440" w:type="dxa"/>
          </w:tcPr>
          <w:p w14:paraId="6DBF9DD6" w14:textId="5C2FAAEF" w:rsidR="00C75120" w:rsidRPr="003D6A8E" w:rsidRDefault="00C75120" w:rsidP="0025127A">
            <w:pPr>
              <w:pStyle w:val="Bulleted"/>
              <w:rPr>
                <w:b w:val="0"/>
                <w:sz w:val="22"/>
                <w:szCs w:val="22"/>
              </w:rPr>
            </w:pPr>
            <w:r w:rsidRPr="003D6A8E">
              <w:rPr>
                <w:b w:val="0"/>
                <w:sz w:val="22"/>
                <w:szCs w:val="22"/>
              </w:rPr>
              <w:t>1</w:t>
            </w:r>
          </w:p>
        </w:tc>
        <w:tc>
          <w:tcPr>
            <w:tcW w:w="1620" w:type="dxa"/>
          </w:tcPr>
          <w:p w14:paraId="6B16FD7F" w14:textId="3C04A28D" w:rsidR="00C75120" w:rsidRPr="003D6A8E" w:rsidRDefault="0094156D" w:rsidP="0025127A">
            <w:pPr>
              <w:pStyle w:val="Bulleted"/>
              <w:rPr>
                <w:b w:val="0"/>
                <w:sz w:val="22"/>
                <w:szCs w:val="22"/>
              </w:rPr>
            </w:pPr>
            <w:r>
              <w:rPr>
                <w:b w:val="0"/>
                <w:sz w:val="22"/>
                <w:szCs w:val="22"/>
              </w:rPr>
              <w:t>3</w:t>
            </w:r>
            <w:r w:rsidR="00C75120" w:rsidRPr="003D6A8E">
              <w:rPr>
                <w:b w:val="0"/>
                <w:sz w:val="22"/>
                <w:szCs w:val="22"/>
              </w:rPr>
              <w:t>/60</w:t>
            </w:r>
          </w:p>
        </w:tc>
        <w:tc>
          <w:tcPr>
            <w:tcW w:w="1080" w:type="dxa"/>
          </w:tcPr>
          <w:p w14:paraId="6C07DA8F" w14:textId="18DCCB79" w:rsidR="00C75120" w:rsidRPr="003D6A8E" w:rsidRDefault="0094156D" w:rsidP="0025127A">
            <w:pPr>
              <w:pStyle w:val="Bulleted"/>
              <w:rPr>
                <w:b w:val="0"/>
                <w:sz w:val="22"/>
                <w:szCs w:val="22"/>
              </w:rPr>
            </w:pPr>
            <w:r>
              <w:rPr>
                <w:b w:val="0"/>
                <w:sz w:val="22"/>
                <w:szCs w:val="22"/>
              </w:rPr>
              <w:t>2</w:t>
            </w:r>
          </w:p>
        </w:tc>
      </w:tr>
      <w:tr w:rsidR="00C75120" w:rsidRPr="003D6A8E" w14:paraId="643F1D39" w14:textId="77777777" w:rsidTr="00471C85">
        <w:tc>
          <w:tcPr>
            <w:tcW w:w="1737" w:type="dxa"/>
            <w:vMerge/>
          </w:tcPr>
          <w:p w14:paraId="4A18A2E1" w14:textId="56B5EA81" w:rsidR="00C75120" w:rsidRPr="003D6A8E" w:rsidRDefault="00C75120" w:rsidP="0025127A">
            <w:pPr>
              <w:pStyle w:val="Bulleted"/>
              <w:rPr>
                <w:b w:val="0"/>
                <w:sz w:val="22"/>
                <w:szCs w:val="22"/>
              </w:rPr>
            </w:pPr>
          </w:p>
        </w:tc>
        <w:tc>
          <w:tcPr>
            <w:tcW w:w="2488" w:type="dxa"/>
            <w:vAlign w:val="center"/>
          </w:tcPr>
          <w:p w14:paraId="2E2D65CF" w14:textId="74A19EF5" w:rsidR="00C75120" w:rsidRPr="003D6A8E" w:rsidRDefault="00C75120" w:rsidP="0025127A">
            <w:pPr>
              <w:pStyle w:val="Bulleted"/>
              <w:rPr>
                <w:b w:val="0"/>
                <w:sz w:val="22"/>
                <w:szCs w:val="22"/>
              </w:rPr>
            </w:pPr>
            <w:r w:rsidRPr="003D6A8E">
              <w:rPr>
                <w:b w:val="0"/>
                <w:sz w:val="22"/>
                <w:szCs w:val="22"/>
              </w:rPr>
              <w:t>Focus group consent (Att. 6)</w:t>
            </w:r>
          </w:p>
        </w:tc>
        <w:tc>
          <w:tcPr>
            <w:tcW w:w="1440" w:type="dxa"/>
          </w:tcPr>
          <w:p w14:paraId="1EA78866" w14:textId="044EF846" w:rsidR="00C75120" w:rsidRPr="003D6A8E" w:rsidRDefault="00C75120" w:rsidP="0025127A">
            <w:pPr>
              <w:pStyle w:val="Bulleted"/>
              <w:rPr>
                <w:b w:val="0"/>
                <w:sz w:val="22"/>
                <w:szCs w:val="22"/>
              </w:rPr>
            </w:pPr>
            <w:r w:rsidRPr="003D6A8E">
              <w:rPr>
                <w:b w:val="0"/>
                <w:sz w:val="22"/>
                <w:szCs w:val="22"/>
              </w:rPr>
              <w:t>30</w:t>
            </w:r>
          </w:p>
        </w:tc>
        <w:tc>
          <w:tcPr>
            <w:tcW w:w="1440" w:type="dxa"/>
          </w:tcPr>
          <w:p w14:paraId="1C286E80" w14:textId="77777777" w:rsidR="00C75120" w:rsidRPr="003D6A8E" w:rsidRDefault="00C75120" w:rsidP="0025127A">
            <w:pPr>
              <w:pStyle w:val="Bulleted"/>
              <w:rPr>
                <w:b w:val="0"/>
                <w:sz w:val="22"/>
                <w:szCs w:val="22"/>
              </w:rPr>
            </w:pPr>
            <w:r w:rsidRPr="003D6A8E">
              <w:rPr>
                <w:b w:val="0"/>
                <w:sz w:val="22"/>
                <w:szCs w:val="22"/>
              </w:rPr>
              <w:t>1</w:t>
            </w:r>
          </w:p>
        </w:tc>
        <w:tc>
          <w:tcPr>
            <w:tcW w:w="1620" w:type="dxa"/>
          </w:tcPr>
          <w:p w14:paraId="5623D5E0" w14:textId="77777777" w:rsidR="00C75120" w:rsidRPr="003D6A8E" w:rsidRDefault="00C75120" w:rsidP="0025127A">
            <w:pPr>
              <w:pStyle w:val="Bulleted"/>
              <w:rPr>
                <w:b w:val="0"/>
                <w:sz w:val="22"/>
                <w:szCs w:val="22"/>
              </w:rPr>
            </w:pPr>
            <w:r w:rsidRPr="003D6A8E">
              <w:rPr>
                <w:b w:val="0"/>
                <w:sz w:val="22"/>
                <w:szCs w:val="22"/>
              </w:rPr>
              <w:t>5/60</w:t>
            </w:r>
          </w:p>
        </w:tc>
        <w:tc>
          <w:tcPr>
            <w:tcW w:w="1080" w:type="dxa"/>
          </w:tcPr>
          <w:p w14:paraId="37D0E71D" w14:textId="77777777" w:rsidR="00C75120" w:rsidRPr="003D6A8E" w:rsidRDefault="00C75120" w:rsidP="0025127A">
            <w:pPr>
              <w:pStyle w:val="Bulleted"/>
              <w:rPr>
                <w:b w:val="0"/>
                <w:sz w:val="22"/>
                <w:szCs w:val="22"/>
              </w:rPr>
            </w:pPr>
            <w:r w:rsidRPr="003D6A8E">
              <w:rPr>
                <w:b w:val="0"/>
                <w:sz w:val="22"/>
                <w:szCs w:val="22"/>
              </w:rPr>
              <w:t>3</w:t>
            </w:r>
          </w:p>
        </w:tc>
      </w:tr>
      <w:tr w:rsidR="00C75120" w:rsidRPr="003D6A8E" w14:paraId="070EDC70" w14:textId="77777777" w:rsidTr="00471C85">
        <w:tc>
          <w:tcPr>
            <w:tcW w:w="1737" w:type="dxa"/>
            <w:vMerge/>
          </w:tcPr>
          <w:p w14:paraId="6450FDCE" w14:textId="77777777" w:rsidR="00C75120" w:rsidRPr="003D6A8E" w:rsidRDefault="00C75120" w:rsidP="0025127A">
            <w:pPr>
              <w:pStyle w:val="Bulleted"/>
              <w:rPr>
                <w:b w:val="0"/>
                <w:sz w:val="22"/>
                <w:szCs w:val="22"/>
              </w:rPr>
            </w:pPr>
          </w:p>
        </w:tc>
        <w:tc>
          <w:tcPr>
            <w:tcW w:w="2488" w:type="dxa"/>
          </w:tcPr>
          <w:p w14:paraId="1225A978" w14:textId="1F308D6B" w:rsidR="00C75120" w:rsidRPr="003D6A8E" w:rsidRDefault="00C75120" w:rsidP="0025127A">
            <w:pPr>
              <w:pStyle w:val="Bulleted"/>
              <w:rPr>
                <w:b w:val="0"/>
                <w:sz w:val="22"/>
                <w:szCs w:val="22"/>
              </w:rPr>
            </w:pPr>
            <w:r w:rsidRPr="003D6A8E">
              <w:rPr>
                <w:b w:val="0"/>
                <w:sz w:val="22"/>
                <w:szCs w:val="22"/>
              </w:rPr>
              <w:t>Focus group questionnaire (Att. 7)</w:t>
            </w:r>
          </w:p>
        </w:tc>
        <w:tc>
          <w:tcPr>
            <w:tcW w:w="1440" w:type="dxa"/>
          </w:tcPr>
          <w:p w14:paraId="49E32E12" w14:textId="69F33787" w:rsidR="00C75120" w:rsidRPr="003D6A8E" w:rsidRDefault="00C75120" w:rsidP="0025127A">
            <w:pPr>
              <w:pStyle w:val="Bulleted"/>
              <w:rPr>
                <w:b w:val="0"/>
                <w:sz w:val="22"/>
                <w:szCs w:val="22"/>
              </w:rPr>
            </w:pPr>
            <w:r w:rsidRPr="003D6A8E">
              <w:rPr>
                <w:b w:val="0"/>
                <w:sz w:val="22"/>
                <w:szCs w:val="22"/>
              </w:rPr>
              <w:t>30</w:t>
            </w:r>
          </w:p>
        </w:tc>
        <w:tc>
          <w:tcPr>
            <w:tcW w:w="1440" w:type="dxa"/>
          </w:tcPr>
          <w:p w14:paraId="2B6B3B56" w14:textId="77777777" w:rsidR="00C75120" w:rsidRPr="003D6A8E" w:rsidRDefault="00C75120" w:rsidP="0025127A">
            <w:pPr>
              <w:pStyle w:val="Bulleted"/>
              <w:rPr>
                <w:b w:val="0"/>
                <w:sz w:val="22"/>
                <w:szCs w:val="22"/>
              </w:rPr>
            </w:pPr>
            <w:r w:rsidRPr="003D6A8E">
              <w:rPr>
                <w:b w:val="0"/>
                <w:sz w:val="22"/>
                <w:szCs w:val="22"/>
              </w:rPr>
              <w:t>1</w:t>
            </w:r>
          </w:p>
        </w:tc>
        <w:tc>
          <w:tcPr>
            <w:tcW w:w="1620" w:type="dxa"/>
          </w:tcPr>
          <w:p w14:paraId="4BD02111" w14:textId="77777777" w:rsidR="00C75120" w:rsidRPr="003D6A8E" w:rsidRDefault="00C75120" w:rsidP="0025127A">
            <w:pPr>
              <w:pStyle w:val="Bulleted"/>
              <w:rPr>
                <w:b w:val="0"/>
                <w:sz w:val="22"/>
                <w:szCs w:val="22"/>
              </w:rPr>
            </w:pPr>
            <w:r w:rsidRPr="003D6A8E">
              <w:rPr>
                <w:b w:val="0"/>
                <w:sz w:val="22"/>
                <w:szCs w:val="22"/>
              </w:rPr>
              <w:t>5/60</w:t>
            </w:r>
          </w:p>
        </w:tc>
        <w:tc>
          <w:tcPr>
            <w:tcW w:w="1080" w:type="dxa"/>
          </w:tcPr>
          <w:p w14:paraId="0A916651" w14:textId="77777777" w:rsidR="00C75120" w:rsidRPr="003D6A8E" w:rsidRDefault="00C75120" w:rsidP="0025127A">
            <w:pPr>
              <w:pStyle w:val="Bulleted"/>
              <w:rPr>
                <w:b w:val="0"/>
                <w:sz w:val="22"/>
                <w:szCs w:val="22"/>
              </w:rPr>
            </w:pPr>
            <w:r w:rsidRPr="003D6A8E">
              <w:rPr>
                <w:b w:val="0"/>
                <w:sz w:val="22"/>
                <w:szCs w:val="22"/>
              </w:rPr>
              <w:t>3</w:t>
            </w:r>
          </w:p>
        </w:tc>
      </w:tr>
      <w:tr w:rsidR="00C75120" w:rsidRPr="003D6A8E" w14:paraId="5AAD393F" w14:textId="77777777" w:rsidTr="00471C85">
        <w:tc>
          <w:tcPr>
            <w:tcW w:w="1737" w:type="dxa"/>
            <w:vMerge/>
          </w:tcPr>
          <w:p w14:paraId="602B7234" w14:textId="77777777" w:rsidR="00C75120" w:rsidRPr="003D6A8E" w:rsidRDefault="00C75120" w:rsidP="0025127A">
            <w:pPr>
              <w:pStyle w:val="Bulleted"/>
              <w:rPr>
                <w:b w:val="0"/>
                <w:sz w:val="22"/>
                <w:szCs w:val="22"/>
              </w:rPr>
            </w:pPr>
          </w:p>
        </w:tc>
        <w:tc>
          <w:tcPr>
            <w:tcW w:w="2488" w:type="dxa"/>
          </w:tcPr>
          <w:p w14:paraId="7DC91399" w14:textId="189014E5" w:rsidR="00C75120" w:rsidRPr="003D6A8E" w:rsidRDefault="00C75120" w:rsidP="0025127A">
            <w:pPr>
              <w:pStyle w:val="Bulleted"/>
              <w:rPr>
                <w:b w:val="0"/>
                <w:sz w:val="22"/>
                <w:szCs w:val="22"/>
              </w:rPr>
            </w:pPr>
            <w:r w:rsidRPr="003D6A8E">
              <w:rPr>
                <w:b w:val="0"/>
                <w:sz w:val="22"/>
                <w:szCs w:val="22"/>
              </w:rPr>
              <w:t>Focus group discussion guide (Att. 8)</w:t>
            </w:r>
          </w:p>
        </w:tc>
        <w:tc>
          <w:tcPr>
            <w:tcW w:w="1440" w:type="dxa"/>
          </w:tcPr>
          <w:p w14:paraId="483CC847" w14:textId="7133E49E" w:rsidR="00C75120" w:rsidRPr="003D6A8E" w:rsidRDefault="00C75120" w:rsidP="0025127A">
            <w:pPr>
              <w:pStyle w:val="Bulleted"/>
              <w:rPr>
                <w:b w:val="0"/>
                <w:sz w:val="22"/>
                <w:szCs w:val="22"/>
              </w:rPr>
            </w:pPr>
            <w:r w:rsidRPr="003D6A8E">
              <w:rPr>
                <w:b w:val="0"/>
                <w:sz w:val="22"/>
                <w:szCs w:val="22"/>
              </w:rPr>
              <w:t>30</w:t>
            </w:r>
          </w:p>
          <w:p w14:paraId="2601C533" w14:textId="3F6CB3DC" w:rsidR="00C75120" w:rsidRPr="003D6A8E" w:rsidRDefault="00C75120" w:rsidP="0025127A">
            <w:pPr>
              <w:pStyle w:val="Bulleted"/>
              <w:rPr>
                <w:b w:val="0"/>
                <w:sz w:val="22"/>
                <w:szCs w:val="22"/>
              </w:rPr>
            </w:pPr>
          </w:p>
        </w:tc>
        <w:tc>
          <w:tcPr>
            <w:tcW w:w="1440" w:type="dxa"/>
          </w:tcPr>
          <w:p w14:paraId="2CF70FAB" w14:textId="77777777" w:rsidR="00C75120" w:rsidRPr="003D6A8E" w:rsidRDefault="00C75120" w:rsidP="0025127A">
            <w:pPr>
              <w:pStyle w:val="Bulleted"/>
              <w:rPr>
                <w:b w:val="0"/>
                <w:sz w:val="22"/>
                <w:szCs w:val="22"/>
              </w:rPr>
            </w:pPr>
            <w:r w:rsidRPr="003D6A8E">
              <w:rPr>
                <w:b w:val="0"/>
                <w:sz w:val="22"/>
                <w:szCs w:val="22"/>
              </w:rPr>
              <w:t>1</w:t>
            </w:r>
          </w:p>
        </w:tc>
        <w:tc>
          <w:tcPr>
            <w:tcW w:w="1620" w:type="dxa"/>
          </w:tcPr>
          <w:p w14:paraId="1D20DA4E" w14:textId="67AC07D0" w:rsidR="00C75120" w:rsidRPr="003D6A8E" w:rsidRDefault="00C75120" w:rsidP="0025127A">
            <w:pPr>
              <w:pStyle w:val="Bulleted"/>
              <w:rPr>
                <w:b w:val="0"/>
                <w:sz w:val="22"/>
                <w:szCs w:val="22"/>
              </w:rPr>
            </w:pPr>
            <w:r w:rsidRPr="003D6A8E">
              <w:rPr>
                <w:b w:val="0"/>
                <w:sz w:val="22"/>
                <w:szCs w:val="22"/>
              </w:rPr>
              <w:t>80/60</w:t>
            </w:r>
          </w:p>
        </w:tc>
        <w:tc>
          <w:tcPr>
            <w:tcW w:w="1080" w:type="dxa"/>
          </w:tcPr>
          <w:p w14:paraId="1063AB3F" w14:textId="4DB4A7DB" w:rsidR="00C75120" w:rsidRPr="003D6A8E" w:rsidRDefault="00C75120" w:rsidP="0025127A">
            <w:pPr>
              <w:pStyle w:val="Bulleted"/>
              <w:rPr>
                <w:b w:val="0"/>
                <w:sz w:val="22"/>
                <w:szCs w:val="22"/>
              </w:rPr>
            </w:pPr>
            <w:r w:rsidRPr="003D6A8E">
              <w:rPr>
                <w:b w:val="0"/>
                <w:sz w:val="22"/>
                <w:szCs w:val="22"/>
              </w:rPr>
              <w:t>40</w:t>
            </w:r>
          </w:p>
        </w:tc>
      </w:tr>
      <w:tr w:rsidR="009F5E39" w:rsidRPr="003D6A8E" w14:paraId="1C98E90C" w14:textId="77777777" w:rsidTr="00471C85">
        <w:trPr>
          <w:trHeight w:val="368"/>
        </w:trPr>
        <w:tc>
          <w:tcPr>
            <w:tcW w:w="8725" w:type="dxa"/>
            <w:gridSpan w:val="5"/>
          </w:tcPr>
          <w:p w14:paraId="427A09EB" w14:textId="77777777" w:rsidR="009F5E39" w:rsidRPr="003D6A8E" w:rsidRDefault="009F5E39" w:rsidP="0025127A">
            <w:pPr>
              <w:pStyle w:val="Bulleted"/>
              <w:rPr>
                <w:sz w:val="22"/>
                <w:szCs w:val="22"/>
              </w:rPr>
            </w:pPr>
            <w:r w:rsidRPr="003D6A8E">
              <w:rPr>
                <w:sz w:val="22"/>
                <w:szCs w:val="22"/>
              </w:rPr>
              <w:t>Total</w:t>
            </w:r>
          </w:p>
        </w:tc>
        <w:tc>
          <w:tcPr>
            <w:tcW w:w="1080" w:type="dxa"/>
          </w:tcPr>
          <w:p w14:paraId="5EDB42A7" w14:textId="083FB46F" w:rsidR="009F5E39" w:rsidRPr="003D6A8E" w:rsidRDefault="0094156D" w:rsidP="0094156D">
            <w:pPr>
              <w:pStyle w:val="Bulleted"/>
              <w:rPr>
                <w:b w:val="0"/>
                <w:sz w:val="22"/>
                <w:szCs w:val="22"/>
              </w:rPr>
            </w:pPr>
            <w:r w:rsidRPr="003D6A8E">
              <w:rPr>
                <w:b w:val="0"/>
                <w:sz w:val="22"/>
                <w:szCs w:val="22"/>
              </w:rPr>
              <w:t>4</w:t>
            </w:r>
            <w:r>
              <w:rPr>
                <w:b w:val="0"/>
                <w:sz w:val="22"/>
                <w:szCs w:val="22"/>
              </w:rPr>
              <w:t>8</w:t>
            </w:r>
          </w:p>
        </w:tc>
      </w:tr>
    </w:tbl>
    <w:p w14:paraId="64F46284" w14:textId="34CD33B9" w:rsidR="00E73F88" w:rsidRDefault="00E73F88" w:rsidP="0025127A">
      <w:pPr>
        <w:pStyle w:val="Bulleted"/>
      </w:pPr>
    </w:p>
    <w:p w14:paraId="3F460C7C" w14:textId="68C71BE5" w:rsidR="007A347F" w:rsidRDefault="007A347F" w:rsidP="0025127A">
      <w:pPr>
        <w:pStyle w:val="Bulleted"/>
      </w:pPr>
    </w:p>
    <w:p w14:paraId="398614B5" w14:textId="56EE000D" w:rsidR="0025127A" w:rsidRDefault="0025127A" w:rsidP="0025127A">
      <w:pPr>
        <w:pStyle w:val="Bulleted"/>
      </w:pPr>
    </w:p>
    <w:p w14:paraId="0384D449" w14:textId="1EEC2A3F" w:rsidR="0025127A" w:rsidRDefault="0025127A" w:rsidP="0025127A">
      <w:pPr>
        <w:pStyle w:val="Bulleted"/>
      </w:pPr>
    </w:p>
    <w:p w14:paraId="651D74E6" w14:textId="77777777" w:rsidR="0025127A" w:rsidRPr="00CD645B" w:rsidRDefault="0025127A" w:rsidP="0025127A">
      <w:pPr>
        <w:pStyle w:val="Bulleted"/>
      </w:pPr>
    </w:p>
    <w:p w14:paraId="6EBA3E06" w14:textId="77777777" w:rsidR="003C0512" w:rsidRPr="00CD645B" w:rsidRDefault="003C0512" w:rsidP="0025127A">
      <w:pPr>
        <w:pStyle w:val="Bulleted"/>
      </w:pPr>
    </w:p>
    <w:p w14:paraId="79EA53A7" w14:textId="77777777" w:rsidR="0021638B" w:rsidRPr="0025127A" w:rsidRDefault="00C84AEB" w:rsidP="0025127A">
      <w:pPr>
        <w:pStyle w:val="Bulleted"/>
        <w:rPr>
          <w:sz w:val="24"/>
          <w:szCs w:val="24"/>
        </w:rPr>
      </w:pPr>
      <w:r w:rsidRPr="0025127A">
        <w:rPr>
          <w:sz w:val="24"/>
          <w:szCs w:val="24"/>
        </w:rPr>
        <w:t>Annual Burden Cost</w:t>
      </w:r>
    </w:p>
    <w:p w14:paraId="2D982807" w14:textId="77777777" w:rsidR="00C84AEB" w:rsidRPr="00CD645B" w:rsidRDefault="00C84AEB" w:rsidP="0025127A">
      <w:pPr>
        <w:pStyle w:val="Bulleted"/>
      </w:pPr>
      <w:r w:rsidRPr="00CD645B">
        <w:t xml:space="preserve"> </w:t>
      </w:r>
    </w:p>
    <w:p w14:paraId="41445FD9" w14:textId="59F768C9" w:rsidR="00C84AEB" w:rsidRPr="00CD645B" w:rsidRDefault="00C84AEB" w:rsidP="0021638B">
      <w:pPr>
        <w:spacing w:after="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annualized hour and cost burden is estimated to be $91.58 based on the BLS median hourly wage for family and general practitioners,</w:t>
      </w:r>
      <w:r w:rsidRPr="00CD645B">
        <w:rPr>
          <w:rFonts w:ascii="Times New Roman" w:hAnsi="Times New Roman" w:cs="Times New Roman"/>
          <w:sz w:val="24"/>
          <w:szCs w:val="24"/>
          <w:vertAlign w:val="superscript"/>
        </w:rPr>
        <w:t xml:space="preserve"> </w:t>
      </w:r>
      <w:r w:rsidRPr="00CD645B">
        <w:rPr>
          <w:rFonts w:ascii="Times New Roman" w:hAnsi="Times New Roman" w:cs="Times New Roman"/>
          <w:sz w:val="24"/>
          <w:szCs w:val="24"/>
          <w:vertAlign w:val="superscript"/>
        </w:rPr>
        <w:footnoteReference w:id="13"/>
      </w:r>
      <w:r w:rsidRPr="00CD645B">
        <w:rPr>
          <w:rFonts w:ascii="Times New Roman" w:hAnsi="Times New Roman" w:cs="Times New Roman"/>
          <w:sz w:val="24"/>
          <w:szCs w:val="24"/>
        </w:rPr>
        <w:t xml:space="preserve">  $99.48</w:t>
      </w:r>
      <w:r w:rsidRPr="00CD645B">
        <w:t xml:space="preserve"> </w:t>
      </w:r>
      <w:r w:rsidRPr="00CD645B">
        <w:rPr>
          <w:rFonts w:ascii="Times New Roman" w:hAnsi="Times New Roman" w:cs="Times New Roman"/>
          <w:sz w:val="24"/>
          <w:szCs w:val="24"/>
        </w:rPr>
        <w:t>based on the BLS median hourly wage for physicians and surgeons (all other</w:t>
      </w:r>
      <w:r w:rsidR="00370163">
        <w:rPr>
          <w:rFonts w:ascii="Times New Roman" w:hAnsi="Times New Roman" w:cs="Times New Roman"/>
          <w:sz w:val="24"/>
          <w:szCs w:val="24"/>
        </w:rPr>
        <w:t>, including emergency physicians</w:t>
      </w:r>
      <w:r w:rsidRPr="00CD645B">
        <w:rPr>
          <w:rFonts w:ascii="Times New Roman" w:hAnsi="Times New Roman" w:cs="Times New Roman"/>
          <w:sz w:val="24"/>
          <w:szCs w:val="24"/>
        </w:rPr>
        <w:t>),</w:t>
      </w:r>
      <w:r w:rsidRPr="00CD645B">
        <w:rPr>
          <w:rStyle w:val="FootnoteReference"/>
          <w:rFonts w:ascii="Times New Roman" w:hAnsi="Times New Roman" w:cs="Times New Roman"/>
          <w:sz w:val="24"/>
          <w:szCs w:val="24"/>
        </w:rPr>
        <w:footnoteReference w:id="14"/>
      </w:r>
      <w:r w:rsidRPr="00CD645B">
        <w:rPr>
          <w:rFonts w:ascii="Times New Roman" w:hAnsi="Times New Roman" w:cs="Times New Roman"/>
          <w:sz w:val="24"/>
          <w:szCs w:val="24"/>
        </w:rPr>
        <w:t xml:space="preserve"> $48.52 based on the BLS median hourly wage for nurse practitioners,</w:t>
      </w:r>
      <w:r w:rsidRPr="00CD645B">
        <w:rPr>
          <w:rStyle w:val="FootnoteReference"/>
          <w:rFonts w:ascii="Times New Roman" w:hAnsi="Times New Roman" w:cs="Times New Roman"/>
          <w:sz w:val="24"/>
          <w:szCs w:val="24"/>
        </w:rPr>
        <w:footnoteReference w:id="15"/>
      </w:r>
      <w:r w:rsidRPr="00CD645B">
        <w:rPr>
          <w:rFonts w:ascii="Times New Roman" w:hAnsi="Times New Roman" w:cs="Times New Roman"/>
          <w:sz w:val="24"/>
          <w:szCs w:val="24"/>
        </w:rPr>
        <w:t xml:space="preserve"> and $48.79 based on the BLS median hourly wage for physician assistants</w:t>
      </w:r>
      <w:r w:rsidRPr="00CD645B">
        <w:rPr>
          <w:rStyle w:val="FootnoteReference"/>
          <w:rFonts w:ascii="Times New Roman" w:hAnsi="Times New Roman" w:cs="Times New Roman"/>
          <w:sz w:val="24"/>
          <w:szCs w:val="24"/>
        </w:rPr>
        <w:footnoteReference w:id="16"/>
      </w:r>
      <w:r w:rsidRPr="00CD645B">
        <w:rPr>
          <w:rFonts w:ascii="Times New Roman" w:hAnsi="Times New Roman" w:cs="Times New Roman"/>
          <w:sz w:val="24"/>
          <w:szCs w:val="24"/>
        </w:rPr>
        <w:t xml:space="preserve"> as of 2017. The data collection instrument is the same for all respondents. There are no direct costs to respondents associated with this information collection. </w:t>
      </w:r>
    </w:p>
    <w:p w14:paraId="771DD05C" w14:textId="77777777" w:rsidR="00C84AEB" w:rsidRPr="00CD645B" w:rsidRDefault="00C84AEB" w:rsidP="00C84AEB">
      <w:pPr>
        <w:spacing w:after="240" w:line="240" w:lineRule="auto"/>
        <w:ind w:firstLine="360"/>
        <w:rPr>
          <w:rFonts w:ascii="Times New Roman" w:hAnsi="Times New Roman" w:cs="Times New Roman"/>
          <w:sz w:val="24"/>
          <w:szCs w:val="24"/>
        </w:rPr>
      </w:pPr>
    </w:p>
    <w:p w14:paraId="4DCF5308" w14:textId="39DEF649" w:rsidR="00D3281E" w:rsidRPr="00CD645B" w:rsidRDefault="00D3281E" w:rsidP="0059475A">
      <w:pPr>
        <w:spacing w:line="360" w:lineRule="auto"/>
        <w:ind w:firstLine="360"/>
        <w:rPr>
          <w:rFonts w:ascii="Times New Roman" w:hAnsi="Times New Roman" w:cs="Times New Roman"/>
          <w:szCs w:val="24"/>
        </w:rPr>
      </w:pPr>
      <w:r w:rsidRPr="00CD645B">
        <w:rPr>
          <w:rFonts w:ascii="Times New Roman" w:eastAsiaTheme="minorEastAsia" w:hAnsi="Times New Roman" w:cs="Times New Roman"/>
          <w:sz w:val="24"/>
        </w:rPr>
        <w:t>The total estimated annualized cost to respondents is $</w:t>
      </w:r>
      <w:r w:rsidR="00AC0FC2">
        <w:rPr>
          <w:rFonts w:ascii="Times New Roman" w:eastAsiaTheme="minorEastAsia" w:hAnsi="Times New Roman" w:cs="Times New Roman"/>
          <w:sz w:val="24"/>
        </w:rPr>
        <w:t>3,745</w:t>
      </w:r>
      <w:r w:rsidRPr="00CD645B">
        <w:rPr>
          <w:rFonts w:ascii="Times New Roman" w:eastAsiaTheme="minorEastAsia" w:hAnsi="Times New Roman" w:cs="Times New Roman"/>
          <w:sz w:val="24"/>
        </w:rPr>
        <w:t>.</w:t>
      </w:r>
    </w:p>
    <w:p w14:paraId="25B12C41" w14:textId="77777777" w:rsidR="00211393" w:rsidRPr="00CD645B" w:rsidRDefault="00577925" w:rsidP="00EE46CA">
      <w:pPr>
        <w:spacing w:after="0" w:line="360" w:lineRule="auto"/>
        <w:rPr>
          <w:rFonts w:ascii="Times New Roman" w:hAnsi="Times New Roman" w:cs="Times New Roman"/>
          <w:b/>
          <w:sz w:val="24"/>
          <w:szCs w:val="24"/>
        </w:rPr>
      </w:pPr>
      <w:r w:rsidRPr="00CD645B">
        <w:rPr>
          <w:rFonts w:ascii="Times New Roman" w:hAnsi="Times New Roman" w:cs="Times New Roman"/>
          <w:b/>
          <w:sz w:val="24"/>
          <w:szCs w:val="24"/>
        </w:rPr>
        <w:t xml:space="preserve">Table </w:t>
      </w:r>
      <w:r w:rsidR="002F27D6" w:rsidRPr="00CD645B">
        <w:rPr>
          <w:rFonts w:ascii="Times New Roman" w:hAnsi="Times New Roman" w:cs="Times New Roman"/>
          <w:b/>
          <w:sz w:val="24"/>
          <w:szCs w:val="24"/>
        </w:rPr>
        <w:t>5</w:t>
      </w:r>
      <w:r w:rsidR="00211393" w:rsidRPr="00CD645B">
        <w:rPr>
          <w:rFonts w:ascii="Times New Roman" w:hAnsi="Times New Roman" w:cs="Times New Roman"/>
          <w:b/>
          <w:sz w:val="24"/>
          <w:szCs w:val="24"/>
        </w:rPr>
        <w:t>. Estimated annualized burden costs</w:t>
      </w:r>
    </w:p>
    <w:tbl>
      <w:tblPr>
        <w:tblStyle w:val="TableGrid"/>
        <w:tblW w:w="0" w:type="auto"/>
        <w:tblLook w:val="04A0" w:firstRow="1" w:lastRow="0" w:firstColumn="1" w:lastColumn="0" w:noHBand="0" w:noVBand="1"/>
      </w:tblPr>
      <w:tblGrid>
        <w:gridCol w:w="1357"/>
        <w:gridCol w:w="1357"/>
        <w:gridCol w:w="1319"/>
        <w:gridCol w:w="1357"/>
        <w:gridCol w:w="1322"/>
        <w:gridCol w:w="1321"/>
        <w:gridCol w:w="1317"/>
      </w:tblGrid>
      <w:tr w:rsidR="00FF44A2" w:rsidRPr="003B7BCD" w14:paraId="657EA999" w14:textId="77777777" w:rsidTr="00471C85">
        <w:tc>
          <w:tcPr>
            <w:tcW w:w="1357" w:type="dxa"/>
          </w:tcPr>
          <w:p w14:paraId="044652E7"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Type of Respondents</w:t>
            </w:r>
          </w:p>
        </w:tc>
        <w:tc>
          <w:tcPr>
            <w:tcW w:w="1357" w:type="dxa"/>
          </w:tcPr>
          <w:p w14:paraId="18E728A9"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Specific type of Respondents</w:t>
            </w:r>
          </w:p>
        </w:tc>
        <w:tc>
          <w:tcPr>
            <w:tcW w:w="1319" w:type="dxa"/>
          </w:tcPr>
          <w:p w14:paraId="770F8C78"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Form Name</w:t>
            </w:r>
          </w:p>
        </w:tc>
        <w:tc>
          <w:tcPr>
            <w:tcW w:w="1357" w:type="dxa"/>
          </w:tcPr>
          <w:p w14:paraId="2A8CD6D3"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No. of Respondents</w:t>
            </w:r>
          </w:p>
        </w:tc>
        <w:tc>
          <w:tcPr>
            <w:tcW w:w="1322" w:type="dxa"/>
          </w:tcPr>
          <w:p w14:paraId="781A209C" w14:textId="77777777" w:rsidR="00FF44A2" w:rsidRPr="003B7BCD" w:rsidRDefault="00FF44A2" w:rsidP="00471C85">
            <w:pPr>
              <w:widowControl w:val="0"/>
              <w:tabs>
                <w:tab w:val="left" w:pos="0"/>
              </w:tabs>
              <w:spacing w:before="20" w:after="20"/>
              <w:jc w:val="center"/>
              <w:rPr>
                <w:rFonts w:ascii="Arial" w:hAnsi="Arial" w:cs="Arial"/>
                <w:b/>
                <w:color w:val="000000"/>
                <w:sz w:val="18"/>
                <w:szCs w:val="18"/>
              </w:rPr>
            </w:pPr>
            <w:r w:rsidRPr="003B7BCD">
              <w:rPr>
                <w:rFonts w:ascii="Arial" w:hAnsi="Arial" w:cs="Arial"/>
                <w:b/>
                <w:color w:val="000000"/>
                <w:sz w:val="18"/>
                <w:szCs w:val="18"/>
              </w:rPr>
              <w:t xml:space="preserve">Total Burden </w:t>
            </w:r>
          </w:p>
          <w:p w14:paraId="1D61F736" w14:textId="77777777" w:rsidR="00FF44A2" w:rsidRPr="003B7BCD" w:rsidRDefault="00FF44A2" w:rsidP="00A31B47">
            <w:pPr>
              <w:spacing w:line="360" w:lineRule="auto"/>
              <w:jc w:val="center"/>
              <w:rPr>
                <w:rFonts w:ascii="Arial" w:hAnsi="Arial" w:cs="Arial"/>
                <w:sz w:val="18"/>
                <w:szCs w:val="18"/>
              </w:rPr>
            </w:pPr>
            <w:r w:rsidRPr="003B7BCD">
              <w:rPr>
                <w:rFonts w:ascii="Arial" w:hAnsi="Arial" w:cs="Arial"/>
                <w:b/>
                <w:color w:val="000000"/>
                <w:sz w:val="18"/>
                <w:szCs w:val="18"/>
              </w:rPr>
              <w:t>(in hrs.)</w:t>
            </w:r>
          </w:p>
        </w:tc>
        <w:tc>
          <w:tcPr>
            <w:tcW w:w="1321" w:type="dxa"/>
          </w:tcPr>
          <w:p w14:paraId="525593E1"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Hourly Wage Rate</w:t>
            </w:r>
          </w:p>
        </w:tc>
        <w:tc>
          <w:tcPr>
            <w:tcW w:w="1317" w:type="dxa"/>
          </w:tcPr>
          <w:p w14:paraId="38170098" w14:textId="77777777" w:rsidR="00FF44A2" w:rsidRPr="003B7BCD" w:rsidRDefault="00FF44A2" w:rsidP="00471C85">
            <w:pPr>
              <w:spacing w:line="360" w:lineRule="auto"/>
              <w:rPr>
                <w:rFonts w:ascii="Arial" w:hAnsi="Arial" w:cs="Arial"/>
                <w:sz w:val="18"/>
                <w:szCs w:val="18"/>
              </w:rPr>
            </w:pPr>
            <w:r w:rsidRPr="003B7BCD">
              <w:rPr>
                <w:rFonts w:ascii="Arial" w:hAnsi="Arial" w:cs="Arial"/>
                <w:b/>
                <w:color w:val="000000"/>
                <w:sz w:val="18"/>
                <w:szCs w:val="18"/>
              </w:rPr>
              <w:t>Total Cost</w:t>
            </w:r>
          </w:p>
        </w:tc>
      </w:tr>
      <w:tr w:rsidR="00FF44A2" w:rsidRPr="003B7BCD" w14:paraId="43280BCF" w14:textId="77777777" w:rsidTr="00471C85">
        <w:tc>
          <w:tcPr>
            <w:tcW w:w="1357" w:type="dxa"/>
            <w:vMerge w:val="restart"/>
            <w:vAlign w:val="center"/>
          </w:tcPr>
          <w:p w14:paraId="473D3F61" w14:textId="77777777" w:rsidR="00FF44A2" w:rsidRPr="00F629AB" w:rsidRDefault="00FF44A2" w:rsidP="00471C85">
            <w:pPr>
              <w:spacing w:line="360" w:lineRule="auto"/>
              <w:rPr>
                <w:rFonts w:ascii="Arial" w:hAnsi="Arial" w:cs="Arial"/>
                <w:b/>
                <w:sz w:val="18"/>
                <w:szCs w:val="18"/>
              </w:rPr>
            </w:pPr>
            <w:r w:rsidRPr="00F629AB">
              <w:rPr>
                <w:rFonts w:ascii="Arial" w:hAnsi="Arial" w:cs="Arial"/>
                <w:b/>
                <w:sz w:val="18"/>
                <w:szCs w:val="18"/>
              </w:rPr>
              <w:t>Healthcare Providers</w:t>
            </w:r>
          </w:p>
        </w:tc>
        <w:tc>
          <w:tcPr>
            <w:tcW w:w="1357" w:type="dxa"/>
            <w:vMerge w:val="restart"/>
            <w:vAlign w:val="center"/>
          </w:tcPr>
          <w:p w14:paraId="13B53C31" w14:textId="77777777" w:rsidR="00FF44A2" w:rsidRPr="003B7BCD" w:rsidRDefault="00FF44A2" w:rsidP="00471C85">
            <w:pPr>
              <w:spacing w:line="360" w:lineRule="auto"/>
              <w:rPr>
                <w:rFonts w:ascii="Arial" w:hAnsi="Arial" w:cs="Arial"/>
                <w:sz w:val="18"/>
                <w:szCs w:val="18"/>
              </w:rPr>
            </w:pPr>
            <w:r w:rsidRPr="003B7BCD">
              <w:rPr>
                <w:rFonts w:ascii="Arial" w:hAnsi="Arial" w:cs="Arial"/>
                <w:color w:val="000000"/>
                <w:sz w:val="18"/>
                <w:szCs w:val="18"/>
              </w:rPr>
              <w:t>Primary Care Physician</w:t>
            </w:r>
          </w:p>
        </w:tc>
        <w:tc>
          <w:tcPr>
            <w:tcW w:w="1319" w:type="dxa"/>
          </w:tcPr>
          <w:p w14:paraId="2AD2D003"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Screener</w:t>
            </w:r>
          </w:p>
        </w:tc>
        <w:tc>
          <w:tcPr>
            <w:tcW w:w="1357" w:type="dxa"/>
          </w:tcPr>
          <w:p w14:paraId="7482BD02" w14:textId="32863B2B" w:rsidR="00FF44A2" w:rsidRPr="003B7BCD" w:rsidRDefault="00AC0FC2" w:rsidP="00471C85">
            <w:pPr>
              <w:spacing w:line="360" w:lineRule="auto"/>
              <w:rPr>
                <w:rFonts w:ascii="Arial" w:hAnsi="Arial" w:cs="Arial"/>
                <w:sz w:val="18"/>
                <w:szCs w:val="18"/>
              </w:rPr>
            </w:pPr>
            <w:r>
              <w:rPr>
                <w:rFonts w:ascii="Arial" w:hAnsi="Arial" w:cs="Arial"/>
                <w:sz w:val="18"/>
                <w:szCs w:val="18"/>
              </w:rPr>
              <w:t>9</w:t>
            </w:r>
          </w:p>
        </w:tc>
        <w:tc>
          <w:tcPr>
            <w:tcW w:w="1322" w:type="dxa"/>
          </w:tcPr>
          <w:p w14:paraId="5699DF39"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68158451"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$91.58</w:t>
            </w:r>
          </w:p>
        </w:tc>
        <w:tc>
          <w:tcPr>
            <w:tcW w:w="1317" w:type="dxa"/>
          </w:tcPr>
          <w:p w14:paraId="1C8205DF"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$92</w:t>
            </w:r>
          </w:p>
        </w:tc>
      </w:tr>
      <w:tr w:rsidR="00FF44A2" w:rsidRPr="003B7BCD" w14:paraId="0D2D9419" w14:textId="77777777" w:rsidTr="00471C85">
        <w:tc>
          <w:tcPr>
            <w:tcW w:w="1357" w:type="dxa"/>
            <w:vMerge/>
          </w:tcPr>
          <w:p w14:paraId="7259EF32" w14:textId="77777777" w:rsidR="00FF44A2" w:rsidRPr="003B7BCD" w:rsidRDefault="00FF44A2" w:rsidP="00471C85">
            <w:pPr>
              <w:spacing w:line="360" w:lineRule="auto"/>
              <w:rPr>
                <w:rFonts w:ascii="Arial" w:hAnsi="Arial" w:cs="Arial"/>
                <w:sz w:val="18"/>
                <w:szCs w:val="18"/>
              </w:rPr>
            </w:pPr>
          </w:p>
        </w:tc>
        <w:tc>
          <w:tcPr>
            <w:tcW w:w="1357" w:type="dxa"/>
            <w:vMerge/>
          </w:tcPr>
          <w:p w14:paraId="7F3A39AF" w14:textId="77777777" w:rsidR="00FF44A2" w:rsidRPr="003B7BCD" w:rsidRDefault="00FF44A2" w:rsidP="00471C85">
            <w:pPr>
              <w:spacing w:line="360" w:lineRule="auto"/>
              <w:rPr>
                <w:rFonts w:ascii="Arial" w:hAnsi="Arial" w:cs="Arial"/>
                <w:sz w:val="18"/>
                <w:szCs w:val="18"/>
              </w:rPr>
            </w:pPr>
          </w:p>
        </w:tc>
        <w:tc>
          <w:tcPr>
            <w:tcW w:w="1319" w:type="dxa"/>
          </w:tcPr>
          <w:p w14:paraId="77C3FDC2"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consent</w:t>
            </w:r>
          </w:p>
        </w:tc>
        <w:tc>
          <w:tcPr>
            <w:tcW w:w="1357" w:type="dxa"/>
          </w:tcPr>
          <w:p w14:paraId="34EB002D" w14:textId="250BC71B" w:rsidR="00FF44A2" w:rsidRPr="003B7BCD" w:rsidRDefault="00B73930" w:rsidP="00471C85">
            <w:pPr>
              <w:spacing w:line="360" w:lineRule="auto"/>
              <w:rPr>
                <w:rFonts w:ascii="Arial" w:hAnsi="Arial" w:cs="Arial"/>
                <w:sz w:val="18"/>
                <w:szCs w:val="18"/>
              </w:rPr>
            </w:pPr>
            <w:r>
              <w:rPr>
                <w:rFonts w:ascii="Arial" w:hAnsi="Arial" w:cs="Arial"/>
                <w:sz w:val="18"/>
                <w:szCs w:val="18"/>
              </w:rPr>
              <w:t>8</w:t>
            </w:r>
          </w:p>
        </w:tc>
        <w:tc>
          <w:tcPr>
            <w:tcW w:w="1322" w:type="dxa"/>
          </w:tcPr>
          <w:p w14:paraId="36728C33"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63794FCD"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$91.58</w:t>
            </w:r>
          </w:p>
        </w:tc>
        <w:tc>
          <w:tcPr>
            <w:tcW w:w="1317" w:type="dxa"/>
          </w:tcPr>
          <w:p w14:paraId="3FF74C0E"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$92</w:t>
            </w:r>
          </w:p>
        </w:tc>
      </w:tr>
      <w:tr w:rsidR="00FF44A2" w:rsidRPr="003B7BCD" w14:paraId="1CB88F87" w14:textId="77777777" w:rsidTr="00471C85">
        <w:tc>
          <w:tcPr>
            <w:tcW w:w="1357" w:type="dxa"/>
            <w:vMerge/>
          </w:tcPr>
          <w:p w14:paraId="289742D9" w14:textId="77777777" w:rsidR="00FF44A2" w:rsidRPr="003B7BCD" w:rsidRDefault="00FF44A2" w:rsidP="00471C85">
            <w:pPr>
              <w:spacing w:line="360" w:lineRule="auto"/>
              <w:rPr>
                <w:rFonts w:ascii="Arial" w:hAnsi="Arial" w:cs="Arial"/>
                <w:sz w:val="18"/>
                <w:szCs w:val="18"/>
              </w:rPr>
            </w:pPr>
          </w:p>
        </w:tc>
        <w:tc>
          <w:tcPr>
            <w:tcW w:w="1357" w:type="dxa"/>
            <w:vMerge/>
          </w:tcPr>
          <w:p w14:paraId="4DEC4869" w14:textId="77777777" w:rsidR="00FF44A2" w:rsidRPr="003B7BCD" w:rsidRDefault="00FF44A2" w:rsidP="00471C85">
            <w:pPr>
              <w:spacing w:line="360" w:lineRule="auto"/>
              <w:rPr>
                <w:rFonts w:ascii="Arial" w:hAnsi="Arial" w:cs="Arial"/>
                <w:sz w:val="18"/>
                <w:szCs w:val="18"/>
              </w:rPr>
            </w:pPr>
          </w:p>
        </w:tc>
        <w:tc>
          <w:tcPr>
            <w:tcW w:w="1319" w:type="dxa"/>
          </w:tcPr>
          <w:p w14:paraId="7CA2CC37"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questionnaire</w:t>
            </w:r>
          </w:p>
        </w:tc>
        <w:tc>
          <w:tcPr>
            <w:tcW w:w="1357" w:type="dxa"/>
          </w:tcPr>
          <w:p w14:paraId="0C8165A6" w14:textId="211B6A0D" w:rsidR="00FF44A2" w:rsidRPr="003B7BCD" w:rsidRDefault="00B73930" w:rsidP="00471C85">
            <w:pPr>
              <w:spacing w:line="360" w:lineRule="auto"/>
              <w:rPr>
                <w:rFonts w:ascii="Arial" w:hAnsi="Arial" w:cs="Arial"/>
                <w:sz w:val="18"/>
                <w:szCs w:val="18"/>
              </w:rPr>
            </w:pPr>
            <w:r>
              <w:rPr>
                <w:rFonts w:ascii="Arial" w:hAnsi="Arial" w:cs="Arial"/>
                <w:sz w:val="18"/>
                <w:szCs w:val="18"/>
              </w:rPr>
              <w:t>8</w:t>
            </w:r>
          </w:p>
        </w:tc>
        <w:tc>
          <w:tcPr>
            <w:tcW w:w="1322" w:type="dxa"/>
          </w:tcPr>
          <w:p w14:paraId="5B255AF5"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431F580C"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$91.58</w:t>
            </w:r>
          </w:p>
        </w:tc>
        <w:tc>
          <w:tcPr>
            <w:tcW w:w="1317" w:type="dxa"/>
          </w:tcPr>
          <w:p w14:paraId="2481A58B"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$92</w:t>
            </w:r>
          </w:p>
        </w:tc>
      </w:tr>
      <w:tr w:rsidR="00FF44A2" w:rsidRPr="003B7BCD" w14:paraId="0FB8A7FC" w14:textId="77777777" w:rsidTr="00471C85">
        <w:tc>
          <w:tcPr>
            <w:tcW w:w="1357" w:type="dxa"/>
            <w:vMerge/>
          </w:tcPr>
          <w:p w14:paraId="6F66F333" w14:textId="77777777" w:rsidR="00FF44A2" w:rsidRPr="003B7BCD" w:rsidRDefault="00FF44A2" w:rsidP="00471C85">
            <w:pPr>
              <w:spacing w:line="360" w:lineRule="auto"/>
              <w:rPr>
                <w:rFonts w:ascii="Arial" w:hAnsi="Arial" w:cs="Arial"/>
                <w:sz w:val="18"/>
                <w:szCs w:val="18"/>
              </w:rPr>
            </w:pPr>
          </w:p>
        </w:tc>
        <w:tc>
          <w:tcPr>
            <w:tcW w:w="1357" w:type="dxa"/>
            <w:vMerge/>
          </w:tcPr>
          <w:p w14:paraId="5B8CDE77" w14:textId="77777777" w:rsidR="00FF44A2" w:rsidRPr="003B7BCD" w:rsidRDefault="00FF44A2" w:rsidP="00471C85">
            <w:pPr>
              <w:spacing w:line="360" w:lineRule="auto"/>
              <w:rPr>
                <w:rFonts w:ascii="Arial" w:hAnsi="Arial" w:cs="Arial"/>
                <w:sz w:val="18"/>
                <w:szCs w:val="18"/>
              </w:rPr>
            </w:pPr>
          </w:p>
        </w:tc>
        <w:tc>
          <w:tcPr>
            <w:tcW w:w="1319" w:type="dxa"/>
          </w:tcPr>
          <w:p w14:paraId="463F6DA5"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discussion guide</w:t>
            </w:r>
          </w:p>
        </w:tc>
        <w:tc>
          <w:tcPr>
            <w:tcW w:w="1357" w:type="dxa"/>
          </w:tcPr>
          <w:p w14:paraId="0A5E3ACC" w14:textId="3A4C56E6" w:rsidR="00FF44A2" w:rsidRPr="003B7BCD" w:rsidRDefault="00B73930" w:rsidP="00471C85">
            <w:pPr>
              <w:spacing w:line="360" w:lineRule="auto"/>
              <w:rPr>
                <w:rFonts w:ascii="Arial" w:hAnsi="Arial" w:cs="Arial"/>
                <w:sz w:val="18"/>
                <w:szCs w:val="18"/>
              </w:rPr>
            </w:pPr>
            <w:r>
              <w:rPr>
                <w:rFonts w:ascii="Arial" w:hAnsi="Arial" w:cs="Arial"/>
                <w:sz w:val="18"/>
                <w:szCs w:val="18"/>
              </w:rPr>
              <w:t>8</w:t>
            </w:r>
          </w:p>
        </w:tc>
        <w:tc>
          <w:tcPr>
            <w:tcW w:w="1322" w:type="dxa"/>
          </w:tcPr>
          <w:p w14:paraId="5C024E25" w14:textId="054F4E37" w:rsidR="00FF44A2" w:rsidRPr="003B7BCD" w:rsidRDefault="00B73930" w:rsidP="00471C85">
            <w:pPr>
              <w:spacing w:line="360" w:lineRule="auto"/>
              <w:rPr>
                <w:rFonts w:ascii="Arial" w:hAnsi="Arial" w:cs="Arial"/>
                <w:sz w:val="18"/>
                <w:szCs w:val="18"/>
              </w:rPr>
            </w:pPr>
            <w:r>
              <w:rPr>
                <w:rFonts w:ascii="Arial" w:hAnsi="Arial" w:cs="Arial"/>
                <w:sz w:val="18"/>
                <w:szCs w:val="18"/>
              </w:rPr>
              <w:t>11</w:t>
            </w:r>
          </w:p>
        </w:tc>
        <w:tc>
          <w:tcPr>
            <w:tcW w:w="1321" w:type="dxa"/>
          </w:tcPr>
          <w:p w14:paraId="5F7CB775"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$91.58</w:t>
            </w:r>
          </w:p>
        </w:tc>
        <w:tc>
          <w:tcPr>
            <w:tcW w:w="1317" w:type="dxa"/>
          </w:tcPr>
          <w:p w14:paraId="4E96F16C" w14:textId="4E8F4A0C" w:rsidR="00FF44A2" w:rsidRPr="003B7BCD" w:rsidRDefault="00FF44A2" w:rsidP="0016683D">
            <w:pPr>
              <w:spacing w:line="360" w:lineRule="auto"/>
              <w:rPr>
                <w:rFonts w:ascii="Arial" w:hAnsi="Arial" w:cs="Arial"/>
                <w:sz w:val="18"/>
                <w:szCs w:val="18"/>
              </w:rPr>
            </w:pPr>
            <w:r w:rsidRPr="00CD645B">
              <w:rPr>
                <w:rFonts w:ascii="Arial" w:hAnsi="Arial" w:cs="Arial"/>
                <w:color w:val="000000"/>
                <w:sz w:val="18"/>
                <w:szCs w:val="18"/>
              </w:rPr>
              <w:t>$</w:t>
            </w:r>
            <w:r w:rsidR="0016683D">
              <w:rPr>
                <w:rFonts w:ascii="Arial" w:hAnsi="Arial" w:cs="Arial"/>
                <w:color w:val="000000"/>
                <w:sz w:val="18"/>
                <w:szCs w:val="18"/>
              </w:rPr>
              <w:t>1,008</w:t>
            </w:r>
          </w:p>
        </w:tc>
      </w:tr>
      <w:tr w:rsidR="00FF44A2" w:rsidRPr="003B7BCD" w14:paraId="365D21F2" w14:textId="77777777" w:rsidTr="00471C85">
        <w:tc>
          <w:tcPr>
            <w:tcW w:w="1357" w:type="dxa"/>
            <w:vMerge/>
          </w:tcPr>
          <w:p w14:paraId="3A1129AA" w14:textId="77777777" w:rsidR="00FF44A2" w:rsidRPr="003B7BCD" w:rsidRDefault="00FF44A2" w:rsidP="00471C85">
            <w:pPr>
              <w:spacing w:line="360" w:lineRule="auto"/>
              <w:rPr>
                <w:rFonts w:ascii="Arial" w:hAnsi="Arial" w:cs="Arial"/>
                <w:sz w:val="18"/>
                <w:szCs w:val="18"/>
              </w:rPr>
            </w:pPr>
          </w:p>
        </w:tc>
        <w:tc>
          <w:tcPr>
            <w:tcW w:w="1357" w:type="dxa"/>
            <w:vMerge w:val="restart"/>
            <w:vAlign w:val="center"/>
          </w:tcPr>
          <w:p w14:paraId="3F7844A9" w14:textId="77777777" w:rsidR="00FF44A2" w:rsidRPr="003B7BCD" w:rsidRDefault="00FF44A2" w:rsidP="00471C85">
            <w:pPr>
              <w:spacing w:line="360" w:lineRule="auto"/>
              <w:rPr>
                <w:rFonts w:ascii="Arial" w:hAnsi="Arial" w:cs="Arial"/>
                <w:sz w:val="18"/>
                <w:szCs w:val="18"/>
              </w:rPr>
            </w:pPr>
            <w:r w:rsidRPr="003B7BCD">
              <w:rPr>
                <w:rFonts w:ascii="Arial" w:hAnsi="Arial" w:cs="Arial"/>
                <w:color w:val="000000"/>
                <w:sz w:val="18"/>
                <w:szCs w:val="18"/>
              </w:rPr>
              <w:t>Emergency Physician</w:t>
            </w:r>
          </w:p>
        </w:tc>
        <w:tc>
          <w:tcPr>
            <w:tcW w:w="1319" w:type="dxa"/>
          </w:tcPr>
          <w:p w14:paraId="03EEE270"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Screener</w:t>
            </w:r>
          </w:p>
        </w:tc>
        <w:tc>
          <w:tcPr>
            <w:tcW w:w="1357" w:type="dxa"/>
          </w:tcPr>
          <w:p w14:paraId="7E718A65" w14:textId="6FBA43A7" w:rsidR="00FF44A2" w:rsidRPr="003B7BCD" w:rsidRDefault="00AC0FC2" w:rsidP="00471C85">
            <w:pPr>
              <w:spacing w:line="360" w:lineRule="auto"/>
              <w:rPr>
                <w:rFonts w:ascii="Arial" w:hAnsi="Arial" w:cs="Arial"/>
                <w:sz w:val="18"/>
                <w:szCs w:val="18"/>
              </w:rPr>
            </w:pPr>
            <w:r>
              <w:rPr>
                <w:rFonts w:ascii="Arial" w:hAnsi="Arial" w:cs="Arial"/>
                <w:sz w:val="18"/>
                <w:szCs w:val="18"/>
              </w:rPr>
              <w:t>7</w:t>
            </w:r>
          </w:p>
        </w:tc>
        <w:tc>
          <w:tcPr>
            <w:tcW w:w="1322" w:type="dxa"/>
          </w:tcPr>
          <w:p w14:paraId="64D74F3B"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33078518"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$99.48</w:t>
            </w:r>
          </w:p>
        </w:tc>
        <w:tc>
          <w:tcPr>
            <w:tcW w:w="1317" w:type="dxa"/>
          </w:tcPr>
          <w:p w14:paraId="4289AA75"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$100</w:t>
            </w:r>
          </w:p>
        </w:tc>
      </w:tr>
      <w:tr w:rsidR="00FF44A2" w:rsidRPr="003B7BCD" w14:paraId="7444263C" w14:textId="77777777" w:rsidTr="00471C85">
        <w:tc>
          <w:tcPr>
            <w:tcW w:w="1357" w:type="dxa"/>
            <w:vMerge/>
          </w:tcPr>
          <w:p w14:paraId="2DEC19C8" w14:textId="77777777" w:rsidR="00FF44A2" w:rsidRPr="003B7BCD" w:rsidRDefault="00FF44A2" w:rsidP="00471C85">
            <w:pPr>
              <w:spacing w:line="360" w:lineRule="auto"/>
              <w:rPr>
                <w:rFonts w:ascii="Arial" w:hAnsi="Arial" w:cs="Arial"/>
                <w:sz w:val="18"/>
                <w:szCs w:val="18"/>
              </w:rPr>
            </w:pPr>
          </w:p>
        </w:tc>
        <w:tc>
          <w:tcPr>
            <w:tcW w:w="1357" w:type="dxa"/>
            <w:vMerge/>
          </w:tcPr>
          <w:p w14:paraId="55A5D177" w14:textId="77777777" w:rsidR="00FF44A2" w:rsidRPr="003B7BCD" w:rsidRDefault="00FF44A2" w:rsidP="00471C85">
            <w:pPr>
              <w:spacing w:line="360" w:lineRule="auto"/>
              <w:rPr>
                <w:rFonts w:ascii="Arial" w:hAnsi="Arial" w:cs="Arial"/>
                <w:sz w:val="18"/>
                <w:szCs w:val="18"/>
              </w:rPr>
            </w:pPr>
          </w:p>
        </w:tc>
        <w:tc>
          <w:tcPr>
            <w:tcW w:w="1319" w:type="dxa"/>
          </w:tcPr>
          <w:p w14:paraId="5561AAD4"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consent</w:t>
            </w:r>
          </w:p>
        </w:tc>
        <w:tc>
          <w:tcPr>
            <w:tcW w:w="1357" w:type="dxa"/>
          </w:tcPr>
          <w:p w14:paraId="1EE376BC"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6</w:t>
            </w:r>
          </w:p>
        </w:tc>
        <w:tc>
          <w:tcPr>
            <w:tcW w:w="1322" w:type="dxa"/>
          </w:tcPr>
          <w:p w14:paraId="174EDD78"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47930FE6"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$99.48</w:t>
            </w:r>
          </w:p>
        </w:tc>
        <w:tc>
          <w:tcPr>
            <w:tcW w:w="1317" w:type="dxa"/>
          </w:tcPr>
          <w:p w14:paraId="6FD5B315"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$100</w:t>
            </w:r>
          </w:p>
        </w:tc>
      </w:tr>
      <w:tr w:rsidR="00FF44A2" w:rsidRPr="003B7BCD" w14:paraId="2267603C" w14:textId="77777777" w:rsidTr="00471C85">
        <w:tc>
          <w:tcPr>
            <w:tcW w:w="1357" w:type="dxa"/>
            <w:vMerge/>
          </w:tcPr>
          <w:p w14:paraId="757BC481" w14:textId="77777777" w:rsidR="00FF44A2" w:rsidRPr="003B7BCD" w:rsidRDefault="00FF44A2" w:rsidP="00471C85">
            <w:pPr>
              <w:spacing w:line="360" w:lineRule="auto"/>
              <w:rPr>
                <w:rFonts w:ascii="Arial" w:hAnsi="Arial" w:cs="Arial"/>
                <w:sz w:val="18"/>
                <w:szCs w:val="18"/>
              </w:rPr>
            </w:pPr>
          </w:p>
        </w:tc>
        <w:tc>
          <w:tcPr>
            <w:tcW w:w="1357" w:type="dxa"/>
            <w:vMerge/>
          </w:tcPr>
          <w:p w14:paraId="282E7AAE" w14:textId="77777777" w:rsidR="00FF44A2" w:rsidRPr="003B7BCD" w:rsidRDefault="00FF44A2" w:rsidP="00471C85">
            <w:pPr>
              <w:spacing w:line="360" w:lineRule="auto"/>
              <w:rPr>
                <w:rFonts w:ascii="Arial" w:hAnsi="Arial" w:cs="Arial"/>
                <w:sz w:val="18"/>
                <w:szCs w:val="18"/>
              </w:rPr>
            </w:pPr>
          </w:p>
        </w:tc>
        <w:tc>
          <w:tcPr>
            <w:tcW w:w="1319" w:type="dxa"/>
          </w:tcPr>
          <w:p w14:paraId="1A253BC1"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questionnaire</w:t>
            </w:r>
          </w:p>
        </w:tc>
        <w:tc>
          <w:tcPr>
            <w:tcW w:w="1357" w:type="dxa"/>
          </w:tcPr>
          <w:p w14:paraId="21722D16"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6</w:t>
            </w:r>
          </w:p>
        </w:tc>
        <w:tc>
          <w:tcPr>
            <w:tcW w:w="1322" w:type="dxa"/>
          </w:tcPr>
          <w:p w14:paraId="343873E5"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74C2D5EE"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$99.48</w:t>
            </w:r>
          </w:p>
        </w:tc>
        <w:tc>
          <w:tcPr>
            <w:tcW w:w="1317" w:type="dxa"/>
          </w:tcPr>
          <w:p w14:paraId="7195FF13"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$100</w:t>
            </w:r>
          </w:p>
        </w:tc>
      </w:tr>
      <w:tr w:rsidR="00FF44A2" w:rsidRPr="003B7BCD" w14:paraId="4117DF59" w14:textId="77777777" w:rsidTr="00471C85">
        <w:tc>
          <w:tcPr>
            <w:tcW w:w="1357" w:type="dxa"/>
            <w:vMerge/>
          </w:tcPr>
          <w:p w14:paraId="72E399A9" w14:textId="77777777" w:rsidR="00FF44A2" w:rsidRPr="003B7BCD" w:rsidRDefault="00FF44A2" w:rsidP="00471C85">
            <w:pPr>
              <w:spacing w:line="360" w:lineRule="auto"/>
              <w:rPr>
                <w:rFonts w:ascii="Arial" w:hAnsi="Arial" w:cs="Arial"/>
                <w:sz w:val="18"/>
                <w:szCs w:val="18"/>
              </w:rPr>
            </w:pPr>
          </w:p>
        </w:tc>
        <w:tc>
          <w:tcPr>
            <w:tcW w:w="1357" w:type="dxa"/>
            <w:vMerge/>
          </w:tcPr>
          <w:p w14:paraId="208AED9F" w14:textId="77777777" w:rsidR="00FF44A2" w:rsidRPr="003B7BCD" w:rsidRDefault="00FF44A2" w:rsidP="00471C85">
            <w:pPr>
              <w:spacing w:line="360" w:lineRule="auto"/>
              <w:rPr>
                <w:rFonts w:ascii="Arial" w:hAnsi="Arial" w:cs="Arial"/>
                <w:sz w:val="18"/>
                <w:szCs w:val="18"/>
              </w:rPr>
            </w:pPr>
          </w:p>
        </w:tc>
        <w:tc>
          <w:tcPr>
            <w:tcW w:w="1319" w:type="dxa"/>
          </w:tcPr>
          <w:p w14:paraId="0CCA9EBE"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discussion guide</w:t>
            </w:r>
          </w:p>
        </w:tc>
        <w:tc>
          <w:tcPr>
            <w:tcW w:w="1357" w:type="dxa"/>
          </w:tcPr>
          <w:p w14:paraId="5438986B"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6</w:t>
            </w:r>
          </w:p>
        </w:tc>
        <w:tc>
          <w:tcPr>
            <w:tcW w:w="1322" w:type="dxa"/>
          </w:tcPr>
          <w:p w14:paraId="1A3C1FF5" w14:textId="12E91F49" w:rsidR="00FF44A2" w:rsidRPr="003B7BCD" w:rsidRDefault="00B73930" w:rsidP="00471C85">
            <w:pPr>
              <w:spacing w:line="360" w:lineRule="auto"/>
              <w:rPr>
                <w:rFonts w:ascii="Arial" w:hAnsi="Arial" w:cs="Arial"/>
                <w:sz w:val="18"/>
                <w:szCs w:val="18"/>
              </w:rPr>
            </w:pPr>
            <w:r>
              <w:rPr>
                <w:rFonts w:ascii="Arial" w:hAnsi="Arial" w:cs="Arial"/>
                <w:sz w:val="18"/>
                <w:szCs w:val="18"/>
              </w:rPr>
              <w:t>8</w:t>
            </w:r>
          </w:p>
        </w:tc>
        <w:tc>
          <w:tcPr>
            <w:tcW w:w="1321" w:type="dxa"/>
          </w:tcPr>
          <w:p w14:paraId="0FA2C0BD"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$99.48</w:t>
            </w:r>
          </w:p>
        </w:tc>
        <w:tc>
          <w:tcPr>
            <w:tcW w:w="1317" w:type="dxa"/>
          </w:tcPr>
          <w:p w14:paraId="71C8D81E" w14:textId="070F5EF9" w:rsidR="00FF44A2" w:rsidRPr="003B7BCD" w:rsidRDefault="00FF44A2" w:rsidP="00B73930">
            <w:pPr>
              <w:spacing w:line="360" w:lineRule="auto"/>
              <w:rPr>
                <w:rFonts w:ascii="Arial" w:hAnsi="Arial" w:cs="Arial"/>
                <w:sz w:val="18"/>
                <w:szCs w:val="18"/>
              </w:rPr>
            </w:pPr>
            <w:r w:rsidRPr="00CD645B">
              <w:rPr>
                <w:rFonts w:ascii="Arial" w:hAnsi="Arial" w:cs="Arial"/>
                <w:color w:val="000000"/>
                <w:sz w:val="18"/>
                <w:szCs w:val="18"/>
              </w:rPr>
              <w:t>$</w:t>
            </w:r>
            <w:r w:rsidR="00B73930">
              <w:rPr>
                <w:rFonts w:ascii="Arial" w:hAnsi="Arial" w:cs="Arial"/>
                <w:color w:val="000000"/>
                <w:sz w:val="18"/>
                <w:szCs w:val="18"/>
              </w:rPr>
              <w:t>796</w:t>
            </w:r>
          </w:p>
        </w:tc>
      </w:tr>
      <w:tr w:rsidR="00FF44A2" w:rsidRPr="003B7BCD" w14:paraId="19A90F49" w14:textId="77777777" w:rsidTr="00471C85">
        <w:tc>
          <w:tcPr>
            <w:tcW w:w="1357" w:type="dxa"/>
            <w:vMerge/>
          </w:tcPr>
          <w:p w14:paraId="4BE03B43" w14:textId="77777777" w:rsidR="00FF44A2" w:rsidRPr="003B7BCD" w:rsidRDefault="00FF44A2" w:rsidP="00471C85">
            <w:pPr>
              <w:spacing w:line="360" w:lineRule="auto"/>
              <w:rPr>
                <w:rFonts w:ascii="Arial" w:hAnsi="Arial" w:cs="Arial"/>
                <w:sz w:val="18"/>
                <w:szCs w:val="18"/>
              </w:rPr>
            </w:pPr>
          </w:p>
        </w:tc>
        <w:tc>
          <w:tcPr>
            <w:tcW w:w="1357" w:type="dxa"/>
            <w:vMerge w:val="restart"/>
            <w:vAlign w:val="center"/>
          </w:tcPr>
          <w:p w14:paraId="744E62B0" w14:textId="77777777" w:rsidR="00FF44A2" w:rsidRPr="003B7BCD" w:rsidRDefault="00FF44A2" w:rsidP="00471C85">
            <w:pPr>
              <w:spacing w:line="360" w:lineRule="auto"/>
              <w:rPr>
                <w:rFonts w:ascii="Arial" w:hAnsi="Arial" w:cs="Arial"/>
                <w:sz w:val="18"/>
                <w:szCs w:val="18"/>
              </w:rPr>
            </w:pPr>
            <w:r w:rsidRPr="003B7BCD">
              <w:rPr>
                <w:rFonts w:ascii="Arial" w:hAnsi="Arial" w:cs="Arial"/>
                <w:color w:val="000000"/>
                <w:sz w:val="18"/>
                <w:szCs w:val="18"/>
              </w:rPr>
              <w:t>Nurse Practitioner</w:t>
            </w:r>
          </w:p>
        </w:tc>
        <w:tc>
          <w:tcPr>
            <w:tcW w:w="1319" w:type="dxa"/>
          </w:tcPr>
          <w:p w14:paraId="7E2CE29C"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Screener</w:t>
            </w:r>
          </w:p>
        </w:tc>
        <w:tc>
          <w:tcPr>
            <w:tcW w:w="1357" w:type="dxa"/>
          </w:tcPr>
          <w:p w14:paraId="1AFE7170"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9</w:t>
            </w:r>
          </w:p>
        </w:tc>
        <w:tc>
          <w:tcPr>
            <w:tcW w:w="1322" w:type="dxa"/>
          </w:tcPr>
          <w:p w14:paraId="2E52856B"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2ED52866"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$48.52</w:t>
            </w:r>
          </w:p>
        </w:tc>
        <w:tc>
          <w:tcPr>
            <w:tcW w:w="1317" w:type="dxa"/>
          </w:tcPr>
          <w:p w14:paraId="427B9251"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278A630A" w14:textId="77777777" w:rsidTr="00471C85">
        <w:tc>
          <w:tcPr>
            <w:tcW w:w="1357" w:type="dxa"/>
            <w:vMerge/>
          </w:tcPr>
          <w:p w14:paraId="05BC1F8A" w14:textId="77777777" w:rsidR="00FF44A2" w:rsidRPr="003B7BCD" w:rsidRDefault="00FF44A2" w:rsidP="00471C85">
            <w:pPr>
              <w:spacing w:line="360" w:lineRule="auto"/>
              <w:rPr>
                <w:rFonts w:ascii="Arial" w:hAnsi="Arial" w:cs="Arial"/>
                <w:sz w:val="18"/>
                <w:szCs w:val="18"/>
              </w:rPr>
            </w:pPr>
          </w:p>
        </w:tc>
        <w:tc>
          <w:tcPr>
            <w:tcW w:w="1357" w:type="dxa"/>
            <w:vMerge/>
          </w:tcPr>
          <w:p w14:paraId="1D12B791" w14:textId="77777777" w:rsidR="00FF44A2" w:rsidRPr="003B7BCD" w:rsidRDefault="00FF44A2" w:rsidP="00471C85">
            <w:pPr>
              <w:spacing w:line="360" w:lineRule="auto"/>
              <w:rPr>
                <w:rFonts w:ascii="Arial" w:hAnsi="Arial" w:cs="Arial"/>
                <w:sz w:val="18"/>
                <w:szCs w:val="18"/>
              </w:rPr>
            </w:pPr>
          </w:p>
        </w:tc>
        <w:tc>
          <w:tcPr>
            <w:tcW w:w="1319" w:type="dxa"/>
          </w:tcPr>
          <w:p w14:paraId="7219059F"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consent</w:t>
            </w:r>
          </w:p>
        </w:tc>
        <w:tc>
          <w:tcPr>
            <w:tcW w:w="1357" w:type="dxa"/>
          </w:tcPr>
          <w:p w14:paraId="44F99DB2"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37239619"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6B420E27"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$48.52</w:t>
            </w:r>
          </w:p>
        </w:tc>
        <w:tc>
          <w:tcPr>
            <w:tcW w:w="1317" w:type="dxa"/>
          </w:tcPr>
          <w:p w14:paraId="6025DC89"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07683400" w14:textId="77777777" w:rsidTr="00471C85">
        <w:tc>
          <w:tcPr>
            <w:tcW w:w="1357" w:type="dxa"/>
            <w:vMerge/>
          </w:tcPr>
          <w:p w14:paraId="0306465C" w14:textId="77777777" w:rsidR="00FF44A2" w:rsidRPr="003B7BCD" w:rsidRDefault="00FF44A2" w:rsidP="00471C85">
            <w:pPr>
              <w:spacing w:line="360" w:lineRule="auto"/>
              <w:rPr>
                <w:rFonts w:ascii="Arial" w:hAnsi="Arial" w:cs="Arial"/>
                <w:sz w:val="18"/>
                <w:szCs w:val="18"/>
              </w:rPr>
            </w:pPr>
          </w:p>
        </w:tc>
        <w:tc>
          <w:tcPr>
            <w:tcW w:w="1357" w:type="dxa"/>
            <w:vMerge/>
          </w:tcPr>
          <w:p w14:paraId="22C5F517" w14:textId="77777777" w:rsidR="00FF44A2" w:rsidRPr="003B7BCD" w:rsidRDefault="00FF44A2" w:rsidP="00471C85">
            <w:pPr>
              <w:spacing w:line="360" w:lineRule="auto"/>
              <w:rPr>
                <w:rFonts w:ascii="Arial" w:hAnsi="Arial" w:cs="Arial"/>
                <w:sz w:val="18"/>
                <w:szCs w:val="18"/>
              </w:rPr>
            </w:pPr>
          </w:p>
        </w:tc>
        <w:tc>
          <w:tcPr>
            <w:tcW w:w="1319" w:type="dxa"/>
          </w:tcPr>
          <w:p w14:paraId="1F5839A5"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questionnaire</w:t>
            </w:r>
          </w:p>
        </w:tc>
        <w:tc>
          <w:tcPr>
            <w:tcW w:w="1357" w:type="dxa"/>
          </w:tcPr>
          <w:p w14:paraId="16A82199"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4B1D95F7"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490F0517"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$48.52</w:t>
            </w:r>
          </w:p>
        </w:tc>
        <w:tc>
          <w:tcPr>
            <w:tcW w:w="1317" w:type="dxa"/>
          </w:tcPr>
          <w:p w14:paraId="60430D75"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54D7F44B" w14:textId="77777777" w:rsidTr="00471C85">
        <w:tc>
          <w:tcPr>
            <w:tcW w:w="1357" w:type="dxa"/>
            <w:vMerge/>
          </w:tcPr>
          <w:p w14:paraId="439F8618" w14:textId="77777777" w:rsidR="00FF44A2" w:rsidRPr="003B7BCD" w:rsidRDefault="00FF44A2" w:rsidP="00471C85">
            <w:pPr>
              <w:spacing w:line="360" w:lineRule="auto"/>
              <w:rPr>
                <w:rFonts w:ascii="Arial" w:hAnsi="Arial" w:cs="Arial"/>
                <w:sz w:val="18"/>
                <w:szCs w:val="18"/>
              </w:rPr>
            </w:pPr>
          </w:p>
        </w:tc>
        <w:tc>
          <w:tcPr>
            <w:tcW w:w="1357" w:type="dxa"/>
            <w:vMerge/>
          </w:tcPr>
          <w:p w14:paraId="59E812FF" w14:textId="77777777" w:rsidR="00FF44A2" w:rsidRPr="003B7BCD" w:rsidRDefault="00FF44A2" w:rsidP="00471C85">
            <w:pPr>
              <w:spacing w:line="360" w:lineRule="auto"/>
              <w:rPr>
                <w:rFonts w:ascii="Arial" w:hAnsi="Arial" w:cs="Arial"/>
                <w:sz w:val="18"/>
                <w:szCs w:val="18"/>
              </w:rPr>
            </w:pPr>
          </w:p>
        </w:tc>
        <w:tc>
          <w:tcPr>
            <w:tcW w:w="1319" w:type="dxa"/>
          </w:tcPr>
          <w:p w14:paraId="372D9708"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discussion guide</w:t>
            </w:r>
          </w:p>
        </w:tc>
        <w:tc>
          <w:tcPr>
            <w:tcW w:w="1357" w:type="dxa"/>
          </w:tcPr>
          <w:p w14:paraId="6B07D1F0"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260DE1B2" w14:textId="152D84D9" w:rsidR="00FF44A2" w:rsidRPr="003B7BCD" w:rsidRDefault="0016683D" w:rsidP="00471C85">
            <w:pPr>
              <w:spacing w:line="360" w:lineRule="auto"/>
              <w:rPr>
                <w:rFonts w:ascii="Arial" w:hAnsi="Arial" w:cs="Arial"/>
                <w:sz w:val="18"/>
                <w:szCs w:val="18"/>
              </w:rPr>
            </w:pPr>
            <w:r>
              <w:rPr>
                <w:rFonts w:ascii="Arial" w:hAnsi="Arial" w:cs="Arial"/>
                <w:sz w:val="18"/>
                <w:szCs w:val="18"/>
              </w:rPr>
              <w:t>11</w:t>
            </w:r>
          </w:p>
        </w:tc>
        <w:tc>
          <w:tcPr>
            <w:tcW w:w="1321" w:type="dxa"/>
          </w:tcPr>
          <w:p w14:paraId="7D9826BA"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$48.52</w:t>
            </w:r>
          </w:p>
        </w:tc>
        <w:tc>
          <w:tcPr>
            <w:tcW w:w="1317" w:type="dxa"/>
          </w:tcPr>
          <w:p w14:paraId="5112AF32" w14:textId="1895731D" w:rsidR="00FF44A2" w:rsidRPr="003B7BCD" w:rsidRDefault="00FF44A2" w:rsidP="0016683D">
            <w:pPr>
              <w:spacing w:line="360" w:lineRule="auto"/>
              <w:rPr>
                <w:rFonts w:ascii="Arial" w:hAnsi="Arial" w:cs="Arial"/>
                <w:sz w:val="18"/>
                <w:szCs w:val="18"/>
              </w:rPr>
            </w:pPr>
            <w:r>
              <w:rPr>
                <w:rFonts w:ascii="Arial" w:hAnsi="Arial" w:cs="Arial"/>
                <w:color w:val="000000"/>
                <w:sz w:val="18"/>
                <w:szCs w:val="18"/>
              </w:rPr>
              <w:t>$5</w:t>
            </w:r>
            <w:r w:rsidR="0016683D">
              <w:rPr>
                <w:rFonts w:ascii="Arial" w:hAnsi="Arial" w:cs="Arial"/>
                <w:color w:val="000000"/>
                <w:sz w:val="18"/>
                <w:szCs w:val="18"/>
              </w:rPr>
              <w:t>34</w:t>
            </w:r>
          </w:p>
        </w:tc>
      </w:tr>
      <w:tr w:rsidR="00FF44A2" w:rsidRPr="003B7BCD" w14:paraId="4E2643A7" w14:textId="77777777" w:rsidTr="00471C85">
        <w:tc>
          <w:tcPr>
            <w:tcW w:w="1357" w:type="dxa"/>
            <w:vMerge/>
          </w:tcPr>
          <w:p w14:paraId="7BC3C6FF" w14:textId="77777777" w:rsidR="00FF44A2" w:rsidRPr="003B7BCD" w:rsidRDefault="00FF44A2" w:rsidP="00471C85">
            <w:pPr>
              <w:spacing w:line="360" w:lineRule="auto"/>
              <w:rPr>
                <w:rFonts w:ascii="Arial" w:hAnsi="Arial" w:cs="Arial"/>
                <w:sz w:val="18"/>
                <w:szCs w:val="18"/>
              </w:rPr>
            </w:pPr>
          </w:p>
        </w:tc>
        <w:tc>
          <w:tcPr>
            <w:tcW w:w="1357" w:type="dxa"/>
            <w:vMerge w:val="restart"/>
            <w:vAlign w:val="center"/>
          </w:tcPr>
          <w:p w14:paraId="20B6181A"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Physician Assistant</w:t>
            </w:r>
          </w:p>
        </w:tc>
        <w:tc>
          <w:tcPr>
            <w:tcW w:w="1319" w:type="dxa"/>
          </w:tcPr>
          <w:p w14:paraId="04C773D7"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Screener</w:t>
            </w:r>
          </w:p>
        </w:tc>
        <w:tc>
          <w:tcPr>
            <w:tcW w:w="1357" w:type="dxa"/>
          </w:tcPr>
          <w:p w14:paraId="72B3C323"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9</w:t>
            </w:r>
          </w:p>
        </w:tc>
        <w:tc>
          <w:tcPr>
            <w:tcW w:w="1322" w:type="dxa"/>
          </w:tcPr>
          <w:p w14:paraId="75521338"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68B82EC5"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$48.79</w:t>
            </w:r>
          </w:p>
        </w:tc>
        <w:tc>
          <w:tcPr>
            <w:tcW w:w="1317" w:type="dxa"/>
          </w:tcPr>
          <w:p w14:paraId="7CE73D44"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1C0B8EF7" w14:textId="77777777" w:rsidTr="00471C85">
        <w:tc>
          <w:tcPr>
            <w:tcW w:w="1357" w:type="dxa"/>
            <w:vMerge/>
          </w:tcPr>
          <w:p w14:paraId="2CFE3184" w14:textId="77777777" w:rsidR="00FF44A2" w:rsidRPr="003B7BCD" w:rsidRDefault="00FF44A2" w:rsidP="00471C85">
            <w:pPr>
              <w:spacing w:line="360" w:lineRule="auto"/>
              <w:rPr>
                <w:rFonts w:ascii="Arial" w:hAnsi="Arial" w:cs="Arial"/>
                <w:sz w:val="18"/>
                <w:szCs w:val="18"/>
              </w:rPr>
            </w:pPr>
          </w:p>
        </w:tc>
        <w:tc>
          <w:tcPr>
            <w:tcW w:w="1357" w:type="dxa"/>
            <w:vMerge/>
          </w:tcPr>
          <w:p w14:paraId="2EBE523F" w14:textId="77777777" w:rsidR="00FF44A2" w:rsidRPr="003B7BCD" w:rsidRDefault="00FF44A2" w:rsidP="00471C85">
            <w:pPr>
              <w:spacing w:line="360" w:lineRule="auto"/>
              <w:rPr>
                <w:rFonts w:ascii="Arial" w:hAnsi="Arial" w:cs="Arial"/>
                <w:sz w:val="18"/>
                <w:szCs w:val="18"/>
              </w:rPr>
            </w:pPr>
          </w:p>
        </w:tc>
        <w:tc>
          <w:tcPr>
            <w:tcW w:w="1319" w:type="dxa"/>
          </w:tcPr>
          <w:p w14:paraId="566604B1"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consent</w:t>
            </w:r>
          </w:p>
        </w:tc>
        <w:tc>
          <w:tcPr>
            <w:tcW w:w="1357" w:type="dxa"/>
          </w:tcPr>
          <w:p w14:paraId="22CED0EC"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7331A04F"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51DFE7D7"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$48.79</w:t>
            </w:r>
          </w:p>
        </w:tc>
        <w:tc>
          <w:tcPr>
            <w:tcW w:w="1317" w:type="dxa"/>
          </w:tcPr>
          <w:p w14:paraId="15CE07BD"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364DD195" w14:textId="77777777" w:rsidTr="00471C85">
        <w:tc>
          <w:tcPr>
            <w:tcW w:w="1357" w:type="dxa"/>
            <w:vMerge/>
          </w:tcPr>
          <w:p w14:paraId="02786124" w14:textId="77777777" w:rsidR="00FF44A2" w:rsidRPr="003B7BCD" w:rsidRDefault="00FF44A2" w:rsidP="00471C85">
            <w:pPr>
              <w:spacing w:line="360" w:lineRule="auto"/>
              <w:rPr>
                <w:rFonts w:ascii="Arial" w:hAnsi="Arial" w:cs="Arial"/>
                <w:sz w:val="18"/>
                <w:szCs w:val="18"/>
              </w:rPr>
            </w:pPr>
          </w:p>
        </w:tc>
        <w:tc>
          <w:tcPr>
            <w:tcW w:w="1357" w:type="dxa"/>
            <w:vMerge/>
          </w:tcPr>
          <w:p w14:paraId="5F335986" w14:textId="77777777" w:rsidR="00FF44A2" w:rsidRPr="003B7BCD" w:rsidRDefault="00FF44A2" w:rsidP="00471C85">
            <w:pPr>
              <w:spacing w:line="360" w:lineRule="auto"/>
              <w:rPr>
                <w:rFonts w:ascii="Arial" w:hAnsi="Arial" w:cs="Arial"/>
                <w:sz w:val="18"/>
                <w:szCs w:val="18"/>
              </w:rPr>
            </w:pPr>
          </w:p>
        </w:tc>
        <w:tc>
          <w:tcPr>
            <w:tcW w:w="1319" w:type="dxa"/>
          </w:tcPr>
          <w:p w14:paraId="4FFE5368"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questionnaire</w:t>
            </w:r>
          </w:p>
        </w:tc>
        <w:tc>
          <w:tcPr>
            <w:tcW w:w="1357" w:type="dxa"/>
          </w:tcPr>
          <w:p w14:paraId="6AD29292"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2B4DEA6B"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1</w:t>
            </w:r>
          </w:p>
        </w:tc>
        <w:tc>
          <w:tcPr>
            <w:tcW w:w="1321" w:type="dxa"/>
          </w:tcPr>
          <w:p w14:paraId="6726DC9E"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$48.79</w:t>
            </w:r>
          </w:p>
        </w:tc>
        <w:tc>
          <w:tcPr>
            <w:tcW w:w="1317" w:type="dxa"/>
          </w:tcPr>
          <w:p w14:paraId="58EA79C1"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$49</w:t>
            </w:r>
          </w:p>
        </w:tc>
      </w:tr>
      <w:tr w:rsidR="00FF44A2" w:rsidRPr="003B7BCD" w14:paraId="73164ED2" w14:textId="77777777" w:rsidTr="00471C85">
        <w:tc>
          <w:tcPr>
            <w:tcW w:w="1357" w:type="dxa"/>
            <w:vMerge/>
          </w:tcPr>
          <w:p w14:paraId="626E0D41" w14:textId="77777777" w:rsidR="00FF44A2" w:rsidRPr="003B7BCD" w:rsidRDefault="00FF44A2" w:rsidP="00471C85">
            <w:pPr>
              <w:spacing w:line="360" w:lineRule="auto"/>
              <w:rPr>
                <w:rFonts w:ascii="Arial" w:hAnsi="Arial" w:cs="Arial"/>
                <w:sz w:val="18"/>
                <w:szCs w:val="18"/>
              </w:rPr>
            </w:pPr>
          </w:p>
        </w:tc>
        <w:tc>
          <w:tcPr>
            <w:tcW w:w="1357" w:type="dxa"/>
            <w:vMerge/>
          </w:tcPr>
          <w:p w14:paraId="32FF656F" w14:textId="77777777" w:rsidR="00FF44A2" w:rsidRPr="003B7BCD" w:rsidRDefault="00FF44A2" w:rsidP="00471C85">
            <w:pPr>
              <w:spacing w:line="360" w:lineRule="auto"/>
              <w:rPr>
                <w:rFonts w:ascii="Arial" w:hAnsi="Arial" w:cs="Arial"/>
                <w:sz w:val="18"/>
                <w:szCs w:val="18"/>
              </w:rPr>
            </w:pPr>
          </w:p>
        </w:tc>
        <w:tc>
          <w:tcPr>
            <w:tcW w:w="1319" w:type="dxa"/>
          </w:tcPr>
          <w:p w14:paraId="0AE31F9B" w14:textId="77777777" w:rsidR="00FF44A2" w:rsidRPr="003B7BCD" w:rsidRDefault="00FF44A2" w:rsidP="00471C85">
            <w:pPr>
              <w:spacing w:line="360" w:lineRule="auto"/>
              <w:rPr>
                <w:rFonts w:ascii="Arial" w:hAnsi="Arial" w:cs="Arial"/>
                <w:sz w:val="18"/>
                <w:szCs w:val="18"/>
              </w:rPr>
            </w:pPr>
            <w:r w:rsidRPr="003B7BCD">
              <w:rPr>
                <w:rFonts w:ascii="Arial" w:hAnsi="Arial" w:cs="Arial"/>
                <w:sz w:val="18"/>
                <w:szCs w:val="18"/>
              </w:rPr>
              <w:t>Focus group discussion guide</w:t>
            </w:r>
          </w:p>
        </w:tc>
        <w:tc>
          <w:tcPr>
            <w:tcW w:w="1357" w:type="dxa"/>
          </w:tcPr>
          <w:p w14:paraId="46402D56" w14:textId="77777777" w:rsidR="00FF44A2" w:rsidRPr="003B7BCD" w:rsidRDefault="00FF44A2" w:rsidP="00471C85">
            <w:pPr>
              <w:spacing w:line="360" w:lineRule="auto"/>
              <w:rPr>
                <w:rFonts w:ascii="Arial" w:hAnsi="Arial" w:cs="Arial"/>
                <w:sz w:val="18"/>
                <w:szCs w:val="18"/>
              </w:rPr>
            </w:pPr>
            <w:r>
              <w:rPr>
                <w:rFonts w:ascii="Arial" w:hAnsi="Arial" w:cs="Arial"/>
                <w:sz w:val="18"/>
                <w:szCs w:val="18"/>
              </w:rPr>
              <w:t>8</w:t>
            </w:r>
          </w:p>
        </w:tc>
        <w:tc>
          <w:tcPr>
            <w:tcW w:w="1322" w:type="dxa"/>
          </w:tcPr>
          <w:p w14:paraId="271826A4" w14:textId="57D7E419" w:rsidR="00FF44A2" w:rsidRPr="003B7BCD" w:rsidRDefault="0016683D" w:rsidP="00471C85">
            <w:pPr>
              <w:spacing w:line="360" w:lineRule="auto"/>
              <w:rPr>
                <w:rFonts w:ascii="Arial" w:hAnsi="Arial" w:cs="Arial"/>
                <w:sz w:val="18"/>
                <w:szCs w:val="18"/>
              </w:rPr>
            </w:pPr>
            <w:r>
              <w:rPr>
                <w:rFonts w:ascii="Arial" w:hAnsi="Arial" w:cs="Arial"/>
                <w:sz w:val="18"/>
                <w:szCs w:val="18"/>
              </w:rPr>
              <w:t>11</w:t>
            </w:r>
          </w:p>
        </w:tc>
        <w:tc>
          <w:tcPr>
            <w:tcW w:w="1321" w:type="dxa"/>
          </w:tcPr>
          <w:p w14:paraId="648F38B8" w14:textId="77777777" w:rsidR="00FF44A2" w:rsidRPr="003B7BCD" w:rsidRDefault="00FF44A2" w:rsidP="00471C85">
            <w:pPr>
              <w:spacing w:line="360" w:lineRule="auto"/>
              <w:rPr>
                <w:rFonts w:ascii="Arial" w:hAnsi="Arial" w:cs="Arial"/>
                <w:sz w:val="18"/>
                <w:szCs w:val="18"/>
              </w:rPr>
            </w:pPr>
            <w:r w:rsidRPr="00CD645B">
              <w:rPr>
                <w:rFonts w:ascii="Arial" w:hAnsi="Arial" w:cs="Arial"/>
                <w:color w:val="000000"/>
                <w:sz w:val="18"/>
                <w:szCs w:val="18"/>
              </w:rPr>
              <w:t>$48.79</w:t>
            </w:r>
          </w:p>
        </w:tc>
        <w:tc>
          <w:tcPr>
            <w:tcW w:w="1317" w:type="dxa"/>
          </w:tcPr>
          <w:p w14:paraId="657FCE32" w14:textId="52566AFB" w:rsidR="00FF44A2" w:rsidRPr="003B7BCD" w:rsidRDefault="00FF44A2" w:rsidP="0016683D">
            <w:pPr>
              <w:spacing w:line="360" w:lineRule="auto"/>
              <w:rPr>
                <w:rFonts w:ascii="Arial" w:hAnsi="Arial" w:cs="Arial"/>
                <w:sz w:val="18"/>
                <w:szCs w:val="18"/>
              </w:rPr>
            </w:pPr>
            <w:r w:rsidRPr="00CD645B">
              <w:rPr>
                <w:rFonts w:ascii="Arial" w:hAnsi="Arial" w:cs="Arial"/>
                <w:color w:val="000000"/>
                <w:sz w:val="18"/>
                <w:szCs w:val="18"/>
              </w:rPr>
              <w:t>$</w:t>
            </w:r>
            <w:r w:rsidR="0016683D">
              <w:rPr>
                <w:rFonts w:ascii="Arial" w:hAnsi="Arial" w:cs="Arial"/>
                <w:color w:val="000000"/>
                <w:sz w:val="18"/>
                <w:szCs w:val="18"/>
              </w:rPr>
              <w:t>537</w:t>
            </w:r>
          </w:p>
        </w:tc>
      </w:tr>
      <w:tr w:rsidR="00FF44A2" w:rsidRPr="003B7BCD" w14:paraId="31C2C023" w14:textId="77777777" w:rsidTr="00471C85">
        <w:tc>
          <w:tcPr>
            <w:tcW w:w="1357" w:type="dxa"/>
          </w:tcPr>
          <w:p w14:paraId="39DAB564" w14:textId="77777777" w:rsidR="00FF44A2" w:rsidRPr="003B7BCD" w:rsidRDefault="00FF44A2" w:rsidP="00471C85">
            <w:pPr>
              <w:spacing w:line="360" w:lineRule="auto"/>
              <w:rPr>
                <w:rFonts w:ascii="Arial" w:hAnsi="Arial" w:cs="Arial"/>
                <w:sz w:val="18"/>
                <w:szCs w:val="18"/>
              </w:rPr>
            </w:pPr>
          </w:p>
        </w:tc>
        <w:tc>
          <w:tcPr>
            <w:tcW w:w="6676" w:type="dxa"/>
            <w:gridSpan w:val="5"/>
          </w:tcPr>
          <w:p w14:paraId="166D94C6" w14:textId="77777777" w:rsidR="00FF44A2" w:rsidRPr="00F629AB" w:rsidRDefault="00FF44A2" w:rsidP="00471C85">
            <w:pPr>
              <w:spacing w:line="360" w:lineRule="auto"/>
              <w:jc w:val="right"/>
              <w:rPr>
                <w:rFonts w:ascii="Arial" w:hAnsi="Arial" w:cs="Arial"/>
                <w:b/>
                <w:sz w:val="18"/>
                <w:szCs w:val="18"/>
              </w:rPr>
            </w:pPr>
            <w:r>
              <w:rPr>
                <w:rFonts w:ascii="Arial" w:hAnsi="Arial" w:cs="Arial"/>
                <w:b/>
                <w:sz w:val="18"/>
                <w:szCs w:val="18"/>
              </w:rPr>
              <w:t>Total</w:t>
            </w:r>
          </w:p>
        </w:tc>
        <w:tc>
          <w:tcPr>
            <w:tcW w:w="1317" w:type="dxa"/>
          </w:tcPr>
          <w:p w14:paraId="04F1226F" w14:textId="479C7845" w:rsidR="00FF44A2" w:rsidRPr="003B7BCD" w:rsidRDefault="00FF44A2" w:rsidP="00596112">
            <w:pPr>
              <w:spacing w:line="360" w:lineRule="auto"/>
              <w:rPr>
                <w:rFonts w:ascii="Arial" w:hAnsi="Arial" w:cs="Arial"/>
                <w:sz w:val="18"/>
                <w:szCs w:val="18"/>
              </w:rPr>
            </w:pPr>
            <w:r>
              <w:rPr>
                <w:rFonts w:ascii="Arial" w:hAnsi="Arial" w:cs="Arial"/>
                <w:sz w:val="18"/>
                <w:szCs w:val="18"/>
              </w:rPr>
              <w:t>$</w:t>
            </w:r>
            <w:r w:rsidR="00596112">
              <w:rPr>
                <w:rFonts w:ascii="Arial" w:hAnsi="Arial" w:cs="Arial"/>
                <w:sz w:val="18"/>
                <w:szCs w:val="18"/>
              </w:rPr>
              <w:t>3,745</w:t>
            </w:r>
          </w:p>
        </w:tc>
      </w:tr>
    </w:tbl>
    <w:p w14:paraId="24045EA1" w14:textId="36806D54" w:rsidR="008A066D" w:rsidRPr="00CD645B" w:rsidRDefault="008A066D" w:rsidP="00EE46CA">
      <w:pPr>
        <w:spacing w:after="0" w:line="360" w:lineRule="auto"/>
        <w:rPr>
          <w:rFonts w:ascii="Times New Roman" w:hAnsi="Times New Roman" w:cs="Times New Roman"/>
          <w:sz w:val="24"/>
          <w:szCs w:val="24"/>
        </w:rPr>
      </w:pPr>
    </w:p>
    <w:p w14:paraId="56AF067A" w14:textId="77777777" w:rsidR="009D070B" w:rsidRPr="00CD645B" w:rsidRDefault="00A836B0" w:rsidP="00EE46CA">
      <w:pPr>
        <w:pStyle w:val="Heading2"/>
        <w:spacing w:line="360" w:lineRule="auto"/>
        <w:rPr>
          <w:rFonts w:ascii="Times New Roman" w:hAnsi="Times New Roman"/>
          <w:szCs w:val="24"/>
        </w:rPr>
      </w:pPr>
      <w:bookmarkStart w:id="19" w:name="_Toc501703432"/>
      <w:r w:rsidRPr="00CD645B">
        <w:rPr>
          <w:rFonts w:ascii="Times New Roman" w:hAnsi="Times New Roman"/>
          <w:szCs w:val="24"/>
        </w:rPr>
        <w:t xml:space="preserve">A.13. </w:t>
      </w:r>
      <w:r w:rsidR="009D070B" w:rsidRPr="00CD645B">
        <w:rPr>
          <w:rFonts w:ascii="Times New Roman" w:hAnsi="Times New Roman"/>
          <w:szCs w:val="24"/>
        </w:rPr>
        <w:t>Estimates of Other Total Annual</w:t>
      </w:r>
      <w:r w:rsidR="001D50C0" w:rsidRPr="00CD645B">
        <w:rPr>
          <w:rFonts w:ascii="Times New Roman" w:hAnsi="Times New Roman"/>
          <w:szCs w:val="24"/>
        </w:rPr>
        <w:t xml:space="preserve"> Cost Burden to Respondents or </w:t>
      </w:r>
      <w:r w:rsidR="009D070B" w:rsidRPr="00CD645B">
        <w:rPr>
          <w:rFonts w:ascii="Times New Roman" w:hAnsi="Times New Roman"/>
          <w:szCs w:val="24"/>
        </w:rPr>
        <w:t>Record Keepers</w:t>
      </w:r>
      <w:bookmarkEnd w:id="19"/>
    </w:p>
    <w:p w14:paraId="139854CF" w14:textId="6AFA3BC9" w:rsidR="00B945CC" w:rsidRPr="00CD645B" w:rsidRDefault="00B945CC" w:rsidP="009B1D49">
      <w:pPr>
        <w:ind w:firstLine="720"/>
        <w:rPr>
          <w:rFonts w:ascii="Times New Roman" w:hAnsi="Times New Roman" w:cs="Times New Roman"/>
          <w:sz w:val="24"/>
          <w:szCs w:val="24"/>
        </w:rPr>
      </w:pPr>
      <w:r w:rsidRPr="00CD645B">
        <w:rPr>
          <w:rFonts w:ascii="Times New Roman" w:hAnsi="Times New Roman" w:cs="Times New Roman"/>
          <w:sz w:val="24"/>
          <w:szCs w:val="24"/>
        </w:rPr>
        <w:t xml:space="preserve">The requested data collection does not impose a financial burden on respondents, nor will respondents incur any expense other than the time spent </w:t>
      </w:r>
      <w:r w:rsidR="009C010B">
        <w:rPr>
          <w:rFonts w:ascii="Times New Roman" w:hAnsi="Times New Roman" w:cs="Times New Roman"/>
          <w:sz w:val="24"/>
          <w:szCs w:val="24"/>
        </w:rPr>
        <w:t>participating in the focus group</w:t>
      </w:r>
      <w:r w:rsidRPr="00CD645B">
        <w:rPr>
          <w:rFonts w:ascii="Times New Roman" w:hAnsi="Times New Roman" w:cs="Times New Roman"/>
          <w:sz w:val="24"/>
          <w:szCs w:val="24"/>
        </w:rPr>
        <w:t>. Therefore, there are no additional respondent costs associated with start-up or capital investments. There are also no operational, maintenance, or equipment respondent costs associated with continued participation in the assessment.</w:t>
      </w:r>
    </w:p>
    <w:p w14:paraId="55FA3E8C" w14:textId="77777777" w:rsidR="0059475A" w:rsidRPr="00CD645B" w:rsidRDefault="0059475A" w:rsidP="007D7E88">
      <w:pPr>
        <w:spacing w:after="240" w:line="240" w:lineRule="auto"/>
        <w:rPr>
          <w:rFonts w:ascii="Times New Roman" w:hAnsi="Times New Roman" w:cs="Times New Roman"/>
          <w:sz w:val="24"/>
          <w:szCs w:val="24"/>
        </w:rPr>
      </w:pPr>
    </w:p>
    <w:p w14:paraId="7C3E6748" w14:textId="77777777" w:rsidR="009D070B" w:rsidRPr="00CD645B" w:rsidRDefault="00D3281E" w:rsidP="00EE46CA">
      <w:pPr>
        <w:pStyle w:val="Heading2"/>
        <w:spacing w:line="360" w:lineRule="auto"/>
        <w:rPr>
          <w:rFonts w:ascii="Times New Roman" w:hAnsi="Times New Roman"/>
          <w:szCs w:val="24"/>
        </w:rPr>
      </w:pPr>
      <w:bookmarkStart w:id="20" w:name="_Toc501703433"/>
      <w:r w:rsidRPr="00CD645B">
        <w:rPr>
          <w:rFonts w:ascii="Times New Roman" w:hAnsi="Times New Roman"/>
          <w:szCs w:val="24"/>
        </w:rPr>
        <w:t xml:space="preserve">A.14. </w:t>
      </w:r>
      <w:r w:rsidR="009D070B" w:rsidRPr="00CD645B">
        <w:rPr>
          <w:rFonts w:ascii="Times New Roman" w:hAnsi="Times New Roman"/>
          <w:szCs w:val="24"/>
        </w:rPr>
        <w:t>Annualized Cost to the Government</w:t>
      </w:r>
      <w:bookmarkEnd w:id="20"/>
    </w:p>
    <w:p w14:paraId="6D41BDEC" w14:textId="038C03AB" w:rsidR="005565DC" w:rsidRPr="00CD645B" w:rsidRDefault="005565DC" w:rsidP="005565DC">
      <w:pPr>
        <w:spacing w:after="240" w:line="276"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The total </w:t>
      </w:r>
      <w:r>
        <w:rPr>
          <w:rFonts w:ascii="Times New Roman" w:hAnsi="Times New Roman" w:cs="Times New Roman"/>
          <w:sz w:val="24"/>
          <w:szCs w:val="24"/>
        </w:rPr>
        <w:t xml:space="preserve">two-year </w:t>
      </w:r>
      <w:r w:rsidRPr="00CD645B">
        <w:rPr>
          <w:rFonts w:ascii="Times New Roman" w:hAnsi="Times New Roman" w:cs="Times New Roman"/>
          <w:sz w:val="24"/>
          <w:szCs w:val="24"/>
        </w:rPr>
        <w:t>cost of the study to the government is $</w:t>
      </w:r>
      <w:r>
        <w:rPr>
          <w:rFonts w:ascii="Times New Roman" w:hAnsi="Times New Roman" w:cs="Times New Roman"/>
          <w:sz w:val="24"/>
          <w:szCs w:val="24"/>
        </w:rPr>
        <w:t>52,672</w:t>
      </w:r>
      <w:r w:rsidRPr="00CD645B">
        <w:rPr>
          <w:rFonts w:ascii="Times New Roman" w:hAnsi="Times New Roman" w:cs="Times New Roman"/>
          <w:sz w:val="24"/>
          <w:szCs w:val="24"/>
        </w:rPr>
        <w:t xml:space="preserve">, which includes the amount awarded via contract to NORC for the </w:t>
      </w:r>
      <w:r>
        <w:rPr>
          <w:rFonts w:ascii="Times New Roman" w:hAnsi="Times New Roman" w:cs="Times New Roman"/>
          <w:sz w:val="24"/>
          <w:szCs w:val="24"/>
        </w:rPr>
        <w:t>focus groups</w:t>
      </w:r>
      <w:r w:rsidRPr="00CD645B">
        <w:rPr>
          <w:rFonts w:ascii="Times New Roman" w:hAnsi="Times New Roman" w:cs="Times New Roman"/>
          <w:sz w:val="24"/>
          <w:szCs w:val="24"/>
        </w:rPr>
        <w:t xml:space="preserve"> ($</w:t>
      </w:r>
      <w:r>
        <w:rPr>
          <w:rFonts w:ascii="Times New Roman" w:hAnsi="Times New Roman" w:cs="Times New Roman"/>
          <w:sz w:val="24"/>
          <w:szCs w:val="24"/>
        </w:rPr>
        <w:t>24,360</w:t>
      </w:r>
      <w:r w:rsidRPr="00CD645B">
        <w:rPr>
          <w:rFonts w:ascii="Times New Roman" w:hAnsi="Times New Roman" w:cs="Times New Roman"/>
          <w:sz w:val="24"/>
          <w:szCs w:val="24"/>
        </w:rPr>
        <w:t>) and CDC staff time/resources ($</w:t>
      </w:r>
      <w:r>
        <w:rPr>
          <w:rFonts w:ascii="Times New Roman" w:hAnsi="Times New Roman" w:cs="Times New Roman"/>
          <w:sz w:val="24"/>
          <w:szCs w:val="24"/>
        </w:rPr>
        <w:t>28,312).</w:t>
      </w:r>
      <w:r w:rsidRPr="00CD645B">
        <w:rPr>
          <w:rFonts w:ascii="Times New Roman" w:hAnsi="Times New Roman" w:cs="Times New Roman"/>
          <w:sz w:val="24"/>
          <w:szCs w:val="24"/>
        </w:rPr>
        <w:t xml:space="preserve"> </w:t>
      </w:r>
      <w:r w:rsidRPr="00CD645B">
        <w:rPr>
          <w:rFonts w:ascii="Times New Roman" w:hAnsi="Times New Roman" w:cs="Times New Roman"/>
          <w:color w:val="000000" w:themeColor="text1"/>
          <w:sz w:val="24"/>
          <w:szCs w:val="24"/>
        </w:rPr>
        <w:t xml:space="preserve">It is estimated that two CDC employees (one GS-13 health scientist and one GS-13 behavioral scientist) will be involved for approximately </w:t>
      </w:r>
      <w:r>
        <w:rPr>
          <w:rFonts w:ascii="Times New Roman" w:hAnsi="Times New Roman" w:cs="Times New Roman"/>
          <w:color w:val="000000" w:themeColor="text1"/>
          <w:sz w:val="24"/>
          <w:szCs w:val="24"/>
        </w:rPr>
        <w:t>10</w:t>
      </w:r>
      <w:r w:rsidRPr="00CD645B">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5</w:t>
      </w:r>
      <w:r w:rsidRPr="00CD645B">
        <w:rPr>
          <w:rFonts w:ascii="Times New Roman" w:hAnsi="Times New Roman" w:cs="Times New Roman"/>
          <w:color w:val="000000" w:themeColor="text1"/>
          <w:sz w:val="24"/>
          <w:szCs w:val="24"/>
        </w:rPr>
        <w:t xml:space="preserve">% of their time, respectively (for federal personnel 100% time = 2,080 hours annually). The two salaries are </w:t>
      </w:r>
      <w:r>
        <w:rPr>
          <w:rFonts w:ascii="Times New Roman" w:hAnsi="Times New Roman" w:cs="Times New Roman"/>
          <w:color w:val="000000" w:themeColor="text1"/>
          <w:sz w:val="24"/>
          <w:szCs w:val="24"/>
        </w:rPr>
        <w:t xml:space="preserve">both $45.37  </w:t>
      </w:r>
      <w:r w:rsidRPr="00CD645B">
        <w:rPr>
          <w:rFonts w:ascii="Times New Roman" w:hAnsi="Times New Roman" w:cs="Times New Roman"/>
          <w:color w:val="000000" w:themeColor="text1"/>
          <w:sz w:val="24"/>
          <w:szCs w:val="24"/>
        </w:rPr>
        <w:t xml:space="preserve"> per hour. The direct annual costs in CDC staff time will be approximately $</w:t>
      </w:r>
      <w:r>
        <w:rPr>
          <w:rFonts w:ascii="Times New Roman" w:hAnsi="Times New Roman" w:cs="Times New Roman"/>
          <w:color w:val="000000" w:themeColor="text1"/>
          <w:sz w:val="24"/>
          <w:szCs w:val="24"/>
        </w:rPr>
        <w:t>14,156 annually</w:t>
      </w:r>
      <w:r w:rsidRPr="00CD645B">
        <w:rPr>
          <w:rFonts w:ascii="Times New Roman" w:hAnsi="Times New Roman" w:cs="Times New Roman"/>
          <w:color w:val="000000" w:themeColor="text1"/>
          <w:sz w:val="24"/>
          <w:szCs w:val="24"/>
        </w:rPr>
        <w:t xml:space="preserve">. </w:t>
      </w:r>
      <w:r w:rsidRPr="00CD645B">
        <w:rPr>
          <w:rFonts w:ascii="Times New Roman" w:hAnsi="Times New Roman" w:cs="Times New Roman"/>
          <w:sz w:val="24"/>
          <w:szCs w:val="24"/>
        </w:rPr>
        <w:t>The annualized contract cost has been determined to be $</w:t>
      </w:r>
      <w:r>
        <w:rPr>
          <w:rFonts w:ascii="Times New Roman" w:hAnsi="Times New Roman" w:cs="Times New Roman"/>
          <w:sz w:val="24"/>
          <w:szCs w:val="24"/>
        </w:rPr>
        <w:t>26,336</w:t>
      </w:r>
      <w:r w:rsidRPr="00CD645B">
        <w:rPr>
          <w:rFonts w:ascii="Times New Roman" w:hAnsi="Times New Roman" w:cs="Times New Roman"/>
          <w:sz w:val="24"/>
          <w:szCs w:val="24"/>
        </w:rPr>
        <w:t xml:space="preserve"> per year by dividing the total funded amount by two years. Data collection and data delivery costs for conducting this project</w:t>
      </w:r>
      <w:r w:rsidRPr="00CD645B" w:rsidDel="003D55C9">
        <w:rPr>
          <w:rFonts w:ascii="Times New Roman" w:hAnsi="Times New Roman" w:cs="Times New Roman"/>
          <w:sz w:val="24"/>
          <w:szCs w:val="24"/>
        </w:rPr>
        <w:t xml:space="preserve"> </w:t>
      </w:r>
      <w:r w:rsidRPr="00CD645B">
        <w:rPr>
          <w:rFonts w:ascii="Times New Roman" w:hAnsi="Times New Roman" w:cs="Times New Roman"/>
          <w:sz w:val="24"/>
          <w:szCs w:val="24"/>
        </w:rPr>
        <w:t>are included in the contract between NORC and the CDC under contract number HHSD2002013M53955B.</w:t>
      </w:r>
      <w:r>
        <w:rPr>
          <w:rFonts w:ascii="Times New Roman" w:hAnsi="Times New Roman" w:cs="Times New Roman"/>
          <w:sz w:val="24"/>
          <w:szCs w:val="24"/>
        </w:rPr>
        <w:t xml:space="preserve"> </w:t>
      </w:r>
    </w:p>
    <w:p w14:paraId="0E20060A" w14:textId="77777777" w:rsidR="005565DC" w:rsidRPr="00CD645B" w:rsidRDefault="005565DC" w:rsidP="005565DC">
      <w:pPr>
        <w:pStyle w:val="TableTitle"/>
        <w:spacing w:line="360" w:lineRule="auto"/>
      </w:pPr>
      <w:bookmarkStart w:id="21" w:name="_Toc346023991"/>
      <w:bookmarkStart w:id="22" w:name="_Toc354391761"/>
      <w:r w:rsidRPr="00CD645B">
        <w:t>Table 6.</w:t>
      </w:r>
      <w:r w:rsidRPr="00CD645B">
        <w:tab/>
        <w:t xml:space="preserve">Annualized Costs to the Federal Government </w:t>
      </w:r>
      <w:bookmarkEnd w:id="21"/>
      <w:bookmarkEnd w:id="22"/>
    </w:p>
    <w:tbl>
      <w:tblPr>
        <w:tblStyle w:val="TableGrid"/>
        <w:tblW w:w="9150" w:type="dxa"/>
        <w:tblLook w:val="04A0" w:firstRow="1" w:lastRow="0" w:firstColumn="1" w:lastColumn="0" w:noHBand="0" w:noVBand="1"/>
      </w:tblPr>
      <w:tblGrid>
        <w:gridCol w:w="2355"/>
        <w:gridCol w:w="4680"/>
        <w:gridCol w:w="2115"/>
      </w:tblGrid>
      <w:tr w:rsidR="005565DC" w:rsidRPr="00CD645B" w14:paraId="150C8028" w14:textId="77777777" w:rsidTr="00CE5F37">
        <w:trPr>
          <w:trHeight w:val="58"/>
        </w:trPr>
        <w:tc>
          <w:tcPr>
            <w:tcW w:w="2355" w:type="dxa"/>
            <w:hideMark/>
          </w:tcPr>
          <w:p w14:paraId="7D94787C" w14:textId="77777777" w:rsidR="005565DC" w:rsidRPr="00CD645B" w:rsidRDefault="005565DC" w:rsidP="00CE5F37">
            <w:pPr>
              <w:pStyle w:val="TableHeaders"/>
              <w:spacing w:before="20" w:after="20"/>
              <w:rPr>
                <w:rFonts w:ascii="Arial" w:hAnsi="Arial" w:cs="Arial"/>
                <w:sz w:val="18"/>
                <w:szCs w:val="18"/>
              </w:rPr>
            </w:pPr>
            <w:r w:rsidRPr="00CD645B">
              <w:rPr>
                <w:rFonts w:ascii="Arial" w:hAnsi="Arial" w:cs="Arial"/>
                <w:sz w:val="18"/>
                <w:szCs w:val="18"/>
              </w:rPr>
              <w:t>Agency</w:t>
            </w:r>
          </w:p>
        </w:tc>
        <w:tc>
          <w:tcPr>
            <w:tcW w:w="4680" w:type="dxa"/>
            <w:hideMark/>
          </w:tcPr>
          <w:p w14:paraId="43DF187F" w14:textId="77777777" w:rsidR="005565DC" w:rsidRPr="00CD645B" w:rsidRDefault="005565DC" w:rsidP="00CE5F37">
            <w:pPr>
              <w:pStyle w:val="TableHeaders"/>
              <w:spacing w:before="20" w:after="20"/>
              <w:rPr>
                <w:rFonts w:ascii="Arial" w:hAnsi="Arial" w:cs="Arial"/>
                <w:sz w:val="18"/>
                <w:szCs w:val="18"/>
              </w:rPr>
            </w:pPr>
            <w:r w:rsidRPr="00CD645B">
              <w:rPr>
                <w:rFonts w:ascii="Arial" w:hAnsi="Arial" w:cs="Arial"/>
                <w:sz w:val="18"/>
                <w:szCs w:val="18"/>
              </w:rPr>
              <w:t>Task</w:t>
            </w:r>
          </w:p>
        </w:tc>
        <w:tc>
          <w:tcPr>
            <w:tcW w:w="2115" w:type="dxa"/>
            <w:hideMark/>
          </w:tcPr>
          <w:p w14:paraId="60BB85E5" w14:textId="77777777" w:rsidR="005565DC" w:rsidRPr="00CD645B" w:rsidRDefault="005565DC" w:rsidP="00CE5F37">
            <w:pPr>
              <w:pStyle w:val="TableHeaders"/>
              <w:spacing w:before="20" w:after="20"/>
              <w:rPr>
                <w:rFonts w:ascii="Arial" w:hAnsi="Arial" w:cs="Arial"/>
                <w:sz w:val="18"/>
                <w:szCs w:val="18"/>
              </w:rPr>
            </w:pPr>
            <w:r w:rsidRPr="00CD645B">
              <w:rPr>
                <w:rFonts w:ascii="Arial" w:hAnsi="Arial" w:cs="Arial"/>
                <w:sz w:val="18"/>
                <w:szCs w:val="18"/>
              </w:rPr>
              <w:t>Total Cost Amount</w:t>
            </w:r>
          </w:p>
        </w:tc>
      </w:tr>
      <w:tr w:rsidR="005565DC" w:rsidRPr="00CD645B" w14:paraId="06FB0E9A" w14:textId="77777777" w:rsidTr="00CE5F37">
        <w:tc>
          <w:tcPr>
            <w:tcW w:w="2355" w:type="dxa"/>
            <w:hideMark/>
          </w:tcPr>
          <w:p w14:paraId="1B9D2978" w14:textId="77777777" w:rsidR="005565DC" w:rsidRPr="00CD645B" w:rsidRDefault="005565DC" w:rsidP="00CE5F37">
            <w:pPr>
              <w:pStyle w:val="TableText"/>
              <w:spacing w:before="20" w:after="20"/>
              <w:rPr>
                <w:rFonts w:ascii="Arial" w:hAnsi="Arial" w:cs="Arial"/>
                <w:sz w:val="18"/>
                <w:szCs w:val="18"/>
              </w:rPr>
            </w:pPr>
            <w:r w:rsidRPr="00CD645B">
              <w:rPr>
                <w:rFonts w:ascii="Arial" w:hAnsi="Arial" w:cs="Arial"/>
                <w:sz w:val="18"/>
                <w:szCs w:val="18"/>
              </w:rPr>
              <w:t>Contractor</w:t>
            </w:r>
          </w:p>
        </w:tc>
        <w:tc>
          <w:tcPr>
            <w:tcW w:w="4680" w:type="dxa"/>
            <w:hideMark/>
          </w:tcPr>
          <w:p w14:paraId="774C9723" w14:textId="77777777" w:rsidR="005565DC" w:rsidRPr="00CD645B" w:rsidRDefault="005565DC" w:rsidP="00CE5F37">
            <w:pPr>
              <w:pStyle w:val="TableText"/>
              <w:spacing w:before="20" w:after="20"/>
              <w:rPr>
                <w:rFonts w:ascii="Arial" w:hAnsi="Arial" w:cs="Arial"/>
                <w:sz w:val="18"/>
                <w:szCs w:val="18"/>
              </w:rPr>
            </w:pPr>
            <w:r w:rsidRPr="00CD645B">
              <w:rPr>
                <w:rFonts w:ascii="Arial" w:hAnsi="Arial" w:cs="Arial"/>
                <w:sz w:val="18"/>
                <w:szCs w:val="18"/>
              </w:rPr>
              <w:t>Develop study design; participant recruitment; focus group discussion guide development; data collection; data analysis; development of report; delivery of data files</w:t>
            </w:r>
          </w:p>
        </w:tc>
        <w:tc>
          <w:tcPr>
            <w:tcW w:w="2115" w:type="dxa"/>
          </w:tcPr>
          <w:p w14:paraId="504F22E8" w14:textId="77777777" w:rsidR="005565DC" w:rsidRPr="00CD645B" w:rsidRDefault="005565DC" w:rsidP="00CE5F37">
            <w:pPr>
              <w:pStyle w:val="TableText"/>
              <w:tabs>
                <w:tab w:val="decimal" w:pos="1332"/>
              </w:tabs>
              <w:spacing w:before="20" w:after="20"/>
              <w:rPr>
                <w:rFonts w:ascii="Arial" w:hAnsi="Arial" w:cs="Arial"/>
                <w:sz w:val="18"/>
                <w:szCs w:val="18"/>
              </w:rPr>
            </w:pPr>
            <w:r w:rsidRPr="00CD645B">
              <w:rPr>
                <w:rFonts w:ascii="Arial" w:hAnsi="Arial" w:cs="Arial"/>
                <w:sz w:val="18"/>
                <w:szCs w:val="18"/>
              </w:rPr>
              <w:t>$</w:t>
            </w:r>
            <w:r>
              <w:rPr>
                <w:rFonts w:ascii="Arial" w:hAnsi="Arial" w:cs="Arial"/>
                <w:sz w:val="18"/>
                <w:szCs w:val="18"/>
              </w:rPr>
              <w:t>12,180</w:t>
            </w:r>
          </w:p>
        </w:tc>
      </w:tr>
      <w:tr w:rsidR="005565DC" w:rsidRPr="00CD645B" w14:paraId="0CE9BBB5" w14:textId="77777777" w:rsidTr="00CE5F37">
        <w:tc>
          <w:tcPr>
            <w:tcW w:w="2355" w:type="dxa"/>
          </w:tcPr>
          <w:p w14:paraId="686BE822" w14:textId="77777777" w:rsidR="005565DC" w:rsidRPr="00CD645B" w:rsidRDefault="005565DC" w:rsidP="00CE5F37">
            <w:pPr>
              <w:pStyle w:val="TableText"/>
              <w:spacing w:before="20" w:after="20"/>
              <w:rPr>
                <w:rFonts w:ascii="Arial" w:hAnsi="Arial" w:cs="Arial"/>
                <w:sz w:val="18"/>
                <w:szCs w:val="18"/>
              </w:rPr>
            </w:pPr>
            <w:r w:rsidRPr="00CD645B">
              <w:rPr>
                <w:rFonts w:ascii="Arial" w:hAnsi="Arial" w:cs="Arial"/>
                <w:sz w:val="18"/>
                <w:szCs w:val="18"/>
              </w:rPr>
              <w:t>Government</w:t>
            </w:r>
          </w:p>
        </w:tc>
        <w:tc>
          <w:tcPr>
            <w:tcW w:w="4680" w:type="dxa"/>
          </w:tcPr>
          <w:p w14:paraId="0EB5576A" w14:textId="77777777" w:rsidR="005565DC" w:rsidRPr="00CD645B" w:rsidRDefault="005565DC" w:rsidP="00CE5F37">
            <w:pPr>
              <w:pStyle w:val="TableText"/>
              <w:spacing w:before="20" w:after="20"/>
              <w:rPr>
                <w:rFonts w:ascii="Arial" w:hAnsi="Arial" w:cs="Arial"/>
                <w:sz w:val="18"/>
                <w:szCs w:val="18"/>
              </w:rPr>
            </w:pPr>
            <w:r w:rsidRPr="00CD645B">
              <w:rPr>
                <w:rFonts w:ascii="Arial" w:hAnsi="Arial" w:cs="Arial"/>
                <w:sz w:val="18"/>
                <w:szCs w:val="18"/>
              </w:rPr>
              <w:t>Oversee study; review all study-related materials, including instruments, consent forms, recruitment materials; liaise with government regulatory entities.</w:t>
            </w:r>
          </w:p>
        </w:tc>
        <w:tc>
          <w:tcPr>
            <w:tcW w:w="2115" w:type="dxa"/>
          </w:tcPr>
          <w:p w14:paraId="5DE74909" w14:textId="77777777" w:rsidR="005565DC" w:rsidRPr="00CD645B" w:rsidRDefault="005565DC" w:rsidP="00CE5F37">
            <w:pPr>
              <w:pStyle w:val="TableText"/>
              <w:tabs>
                <w:tab w:val="decimal" w:pos="1332"/>
              </w:tabs>
              <w:spacing w:before="20" w:after="20"/>
              <w:rPr>
                <w:rFonts w:ascii="Arial" w:hAnsi="Arial" w:cs="Arial"/>
                <w:sz w:val="18"/>
                <w:szCs w:val="18"/>
              </w:rPr>
            </w:pPr>
            <w:r w:rsidRPr="00CD645B">
              <w:rPr>
                <w:rFonts w:ascii="Arial" w:hAnsi="Arial" w:cs="Arial"/>
                <w:sz w:val="18"/>
                <w:szCs w:val="18"/>
              </w:rPr>
              <w:t>$</w:t>
            </w:r>
            <w:r>
              <w:rPr>
                <w:rFonts w:ascii="Arial" w:hAnsi="Arial" w:cs="Arial"/>
                <w:sz w:val="18"/>
                <w:szCs w:val="18"/>
              </w:rPr>
              <w:t>14,156</w:t>
            </w:r>
          </w:p>
        </w:tc>
      </w:tr>
      <w:tr w:rsidR="005565DC" w:rsidRPr="00CD645B" w14:paraId="5BF6BDF4" w14:textId="77777777" w:rsidTr="00CE5F37">
        <w:tc>
          <w:tcPr>
            <w:tcW w:w="7035" w:type="dxa"/>
            <w:gridSpan w:val="2"/>
          </w:tcPr>
          <w:p w14:paraId="7DD2D5A2" w14:textId="77777777" w:rsidR="005565DC" w:rsidRPr="00CD645B" w:rsidRDefault="005565DC" w:rsidP="00CE5F37">
            <w:pPr>
              <w:pStyle w:val="TableText"/>
              <w:spacing w:before="20" w:after="20"/>
              <w:rPr>
                <w:rFonts w:ascii="Arial" w:hAnsi="Arial" w:cs="Arial"/>
                <w:sz w:val="18"/>
                <w:szCs w:val="18"/>
              </w:rPr>
            </w:pPr>
            <w:r w:rsidRPr="00CD645B">
              <w:rPr>
                <w:rFonts w:ascii="Arial" w:hAnsi="Arial" w:cs="Arial"/>
                <w:sz w:val="18"/>
                <w:szCs w:val="18"/>
              </w:rPr>
              <w:t>Total Annualized Cost</w:t>
            </w:r>
          </w:p>
        </w:tc>
        <w:tc>
          <w:tcPr>
            <w:tcW w:w="2115" w:type="dxa"/>
          </w:tcPr>
          <w:p w14:paraId="1C5AA19D" w14:textId="77777777" w:rsidR="005565DC" w:rsidRPr="00CD645B" w:rsidRDefault="005565DC" w:rsidP="00CE5F37">
            <w:pPr>
              <w:pStyle w:val="TableText"/>
              <w:tabs>
                <w:tab w:val="decimal" w:pos="1332"/>
              </w:tabs>
              <w:spacing w:before="20" w:after="20"/>
              <w:rPr>
                <w:rFonts w:ascii="Arial" w:hAnsi="Arial" w:cs="Arial"/>
                <w:sz w:val="18"/>
                <w:szCs w:val="18"/>
              </w:rPr>
            </w:pPr>
            <w:r w:rsidRPr="00CD645B">
              <w:rPr>
                <w:rFonts w:ascii="Arial" w:hAnsi="Arial" w:cs="Arial"/>
                <w:sz w:val="18"/>
                <w:szCs w:val="18"/>
              </w:rPr>
              <w:t>$</w:t>
            </w:r>
            <w:r>
              <w:rPr>
                <w:rFonts w:ascii="Arial" w:hAnsi="Arial" w:cs="Arial"/>
                <w:sz w:val="18"/>
                <w:szCs w:val="18"/>
              </w:rPr>
              <w:t>26,336</w:t>
            </w:r>
          </w:p>
        </w:tc>
      </w:tr>
    </w:tbl>
    <w:p w14:paraId="0D202822" w14:textId="77777777" w:rsidR="00137296" w:rsidRPr="00CD645B" w:rsidRDefault="00137296" w:rsidP="00EE46CA">
      <w:pPr>
        <w:spacing w:after="0" w:line="360" w:lineRule="auto"/>
        <w:rPr>
          <w:rFonts w:ascii="Times New Roman" w:hAnsi="Times New Roman" w:cs="Times New Roman"/>
          <w:sz w:val="24"/>
          <w:szCs w:val="24"/>
        </w:rPr>
      </w:pPr>
    </w:p>
    <w:p w14:paraId="25B05A20" w14:textId="5328350C" w:rsidR="00730511" w:rsidRPr="00CD645B" w:rsidRDefault="009D3A28" w:rsidP="00730511">
      <w:pPr>
        <w:spacing w:after="0" w:line="240" w:lineRule="auto"/>
        <w:rPr>
          <w:rFonts w:ascii="Times New Roman" w:hAnsi="Times New Roman" w:cs="Times New Roman"/>
          <w:sz w:val="24"/>
          <w:szCs w:val="24"/>
        </w:rPr>
      </w:pPr>
      <w:r w:rsidRPr="00CD645B">
        <w:rPr>
          <w:rFonts w:ascii="Times New Roman" w:hAnsi="Times New Roman" w:cs="Times New Roman"/>
          <w:sz w:val="24"/>
          <w:szCs w:val="24"/>
        </w:rPr>
        <w:t xml:space="preserve">The total cost </w:t>
      </w:r>
      <w:r w:rsidR="00893117" w:rsidRPr="00CD645B">
        <w:rPr>
          <w:rFonts w:ascii="Times New Roman" w:hAnsi="Times New Roman" w:cs="Times New Roman"/>
          <w:sz w:val="24"/>
          <w:szCs w:val="24"/>
        </w:rPr>
        <w:t>to the government</w:t>
      </w:r>
      <w:r w:rsidR="00CB3FA2" w:rsidRPr="00CD645B">
        <w:rPr>
          <w:rFonts w:ascii="Times New Roman" w:hAnsi="Times New Roman" w:cs="Times New Roman"/>
          <w:sz w:val="24"/>
          <w:szCs w:val="24"/>
        </w:rPr>
        <w:t xml:space="preserve"> over the two year study period</w:t>
      </w:r>
      <w:r w:rsidR="00893117" w:rsidRPr="00CD645B">
        <w:rPr>
          <w:rFonts w:ascii="Times New Roman" w:hAnsi="Times New Roman" w:cs="Times New Roman"/>
          <w:sz w:val="24"/>
          <w:szCs w:val="24"/>
        </w:rPr>
        <w:t xml:space="preserve"> is $</w:t>
      </w:r>
      <w:r w:rsidR="005565DC">
        <w:rPr>
          <w:rFonts w:ascii="Times New Roman" w:hAnsi="Times New Roman" w:cs="Times New Roman"/>
          <w:sz w:val="24"/>
          <w:szCs w:val="24"/>
        </w:rPr>
        <w:t>52,672</w:t>
      </w:r>
      <w:r w:rsidR="00893117" w:rsidRPr="00CD645B">
        <w:rPr>
          <w:rFonts w:ascii="Times New Roman" w:hAnsi="Times New Roman" w:cs="Times New Roman"/>
          <w:sz w:val="24"/>
          <w:szCs w:val="24"/>
        </w:rPr>
        <w:t>.</w:t>
      </w:r>
    </w:p>
    <w:p w14:paraId="797E32D2" w14:textId="77777777" w:rsidR="00730511" w:rsidRPr="00CD645B" w:rsidRDefault="00730511" w:rsidP="00730511">
      <w:pPr>
        <w:spacing w:after="0" w:line="240" w:lineRule="auto"/>
        <w:rPr>
          <w:rFonts w:ascii="Times New Roman" w:hAnsi="Times New Roman" w:cs="Times New Roman"/>
          <w:sz w:val="24"/>
          <w:szCs w:val="24"/>
        </w:rPr>
      </w:pPr>
    </w:p>
    <w:p w14:paraId="7970A124" w14:textId="700791A9" w:rsidR="00285F98" w:rsidRPr="00CD645B" w:rsidRDefault="00730511" w:rsidP="00730511">
      <w:pPr>
        <w:spacing w:after="0" w:line="240" w:lineRule="auto"/>
        <w:rPr>
          <w:rFonts w:ascii="Times New Roman" w:hAnsi="Times New Roman" w:cs="Times New Roman"/>
          <w:sz w:val="24"/>
          <w:szCs w:val="24"/>
        </w:rPr>
      </w:pPr>
      <w:r w:rsidRPr="00CD645B">
        <w:rPr>
          <w:rFonts w:ascii="Times New Roman" w:hAnsi="Times New Roman" w:cs="Times New Roman"/>
          <w:sz w:val="24"/>
          <w:szCs w:val="24"/>
        </w:rPr>
        <w:t xml:space="preserve">The CDC is </w:t>
      </w:r>
      <w:r w:rsidR="00C535C1" w:rsidRPr="00CD645B">
        <w:rPr>
          <w:rFonts w:ascii="Times New Roman" w:hAnsi="Times New Roman" w:cs="Times New Roman"/>
          <w:sz w:val="24"/>
          <w:szCs w:val="24"/>
        </w:rPr>
        <w:t xml:space="preserve">currently </w:t>
      </w:r>
      <w:r w:rsidRPr="00CD645B">
        <w:rPr>
          <w:rFonts w:ascii="Times New Roman" w:hAnsi="Times New Roman" w:cs="Times New Roman"/>
          <w:sz w:val="24"/>
          <w:szCs w:val="24"/>
        </w:rPr>
        <w:t xml:space="preserve">engaged in a contract with NORC for data collection and data analysis. The current </w:t>
      </w:r>
      <w:r w:rsidR="00C535C1" w:rsidRPr="00CD645B">
        <w:rPr>
          <w:rFonts w:ascii="Times New Roman" w:hAnsi="Times New Roman" w:cs="Times New Roman"/>
          <w:sz w:val="24"/>
          <w:szCs w:val="24"/>
        </w:rPr>
        <w:t>deliverable and payment schedule</w:t>
      </w:r>
      <w:r w:rsidRPr="00CD645B">
        <w:rPr>
          <w:rFonts w:ascii="Times New Roman" w:hAnsi="Times New Roman" w:cs="Times New Roman"/>
          <w:sz w:val="24"/>
          <w:szCs w:val="24"/>
        </w:rPr>
        <w:t xml:space="preserve"> states that NORC will </w:t>
      </w:r>
      <w:r w:rsidR="00DF219A" w:rsidRPr="00CD645B">
        <w:rPr>
          <w:rFonts w:ascii="Times New Roman" w:hAnsi="Times New Roman" w:cs="Times New Roman"/>
          <w:sz w:val="24"/>
          <w:szCs w:val="24"/>
        </w:rPr>
        <w:t>begin</w:t>
      </w:r>
      <w:r w:rsidRPr="00CD645B">
        <w:rPr>
          <w:rFonts w:ascii="Times New Roman" w:hAnsi="Times New Roman" w:cs="Times New Roman"/>
          <w:sz w:val="24"/>
          <w:szCs w:val="24"/>
        </w:rPr>
        <w:t xml:space="preserve"> data collection </w:t>
      </w:r>
      <w:r w:rsidR="00C535C1" w:rsidRPr="00CD645B">
        <w:rPr>
          <w:rFonts w:ascii="Times New Roman" w:hAnsi="Times New Roman" w:cs="Times New Roman"/>
          <w:sz w:val="24"/>
          <w:szCs w:val="24"/>
        </w:rPr>
        <w:t>by</w:t>
      </w:r>
      <w:r w:rsidRPr="00CD645B">
        <w:rPr>
          <w:rFonts w:ascii="Times New Roman" w:hAnsi="Times New Roman" w:cs="Times New Roman"/>
          <w:sz w:val="24"/>
          <w:szCs w:val="24"/>
        </w:rPr>
        <w:t xml:space="preserve"> </w:t>
      </w:r>
      <w:r w:rsidR="00230B24">
        <w:rPr>
          <w:rFonts w:ascii="Times New Roman" w:hAnsi="Times New Roman" w:cs="Times New Roman"/>
          <w:sz w:val="24"/>
          <w:szCs w:val="24"/>
        </w:rPr>
        <w:t>May</w:t>
      </w:r>
      <w:r w:rsidR="00230B24" w:rsidRPr="00CD645B">
        <w:rPr>
          <w:rFonts w:ascii="Times New Roman" w:hAnsi="Times New Roman" w:cs="Times New Roman"/>
          <w:sz w:val="24"/>
          <w:szCs w:val="24"/>
        </w:rPr>
        <w:t xml:space="preserve"> </w:t>
      </w:r>
      <w:r w:rsidR="00DF219A" w:rsidRPr="00CD645B">
        <w:rPr>
          <w:rFonts w:ascii="Times New Roman" w:hAnsi="Times New Roman" w:cs="Times New Roman"/>
          <w:sz w:val="24"/>
          <w:szCs w:val="24"/>
        </w:rPr>
        <w:t>of 201</w:t>
      </w:r>
      <w:r w:rsidR="00230B24">
        <w:rPr>
          <w:rFonts w:ascii="Times New Roman" w:hAnsi="Times New Roman" w:cs="Times New Roman"/>
          <w:sz w:val="24"/>
          <w:szCs w:val="24"/>
        </w:rPr>
        <w:t>9</w:t>
      </w:r>
      <w:r w:rsidRPr="00CD645B">
        <w:rPr>
          <w:rFonts w:ascii="Times New Roman" w:hAnsi="Times New Roman" w:cs="Times New Roman"/>
          <w:sz w:val="24"/>
          <w:szCs w:val="24"/>
        </w:rPr>
        <w:t xml:space="preserve">. </w:t>
      </w:r>
      <w:r w:rsidR="00C535C1" w:rsidRPr="00CD645B">
        <w:rPr>
          <w:rFonts w:ascii="Times New Roman" w:hAnsi="Times New Roman" w:cs="Times New Roman"/>
          <w:sz w:val="24"/>
          <w:szCs w:val="24"/>
        </w:rPr>
        <w:t>Data</w:t>
      </w:r>
      <w:r w:rsidRPr="00CD645B">
        <w:rPr>
          <w:rFonts w:ascii="Times New Roman" w:hAnsi="Times New Roman" w:cs="Times New Roman"/>
          <w:sz w:val="24"/>
          <w:szCs w:val="24"/>
        </w:rPr>
        <w:t xml:space="preserve"> collection </w:t>
      </w:r>
      <w:r w:rsidR="00C535C1" w:rsidRPr="00CD645B">
        <w:rPr>
          <w:rFonts w:ascii="Times New Roman" w:hAnsi="Times New Roman" w:cs="Times New Roman"/>
          <w:sz w:val="24"/>
          <w:szCs w:val="24"/>
        </w:rPr>
        <w:t xml:space="preserve">will need to begin by </w:t>
      </w:r>
      <w:r w:rsidR="00DF219A" w:rsidRPr="00CD645B">
        <w:rPr>
          <w:rFonts w:ascii="Times New Roman" w:hAnsi="Times New Roman" w:cs="Times New Roman"/>
          <w:sz w:val="24"/>
          <w:szCs w:val="24"/>
        </w:rPr>
        <w:t>this time</w:t>
      </w:r>
      <w:r w:rsidR="00C535C1" w:rsidRPr="00CD645B">
        <w:rPr>
          <w:rFonts w:ascii="Times New Roman" w:hAnsi="Times New Roman" w:cs="Times New Roman"/>
          <w:sz w:val="24"/>
          <w:szCs w:val="24"/>
        </w:rPr>
        <w:t xml:space="preserve"> in order to avoid</w:t>
      </w:r>
      <w:r w:rsidRPr="00CD645B">
        <w:rPr>
          <w:rFonts w:ascii="Times New Roman" w:hAnsi="Times New Roman" w:cs="Times New Roman"/>
          <w:sz w:val="24"/>
          <w:szCs w:val="24"/>
        </w:rPr>
        <w:t xml:space="preserve"> modification </w:t>
      </w:r>
      <w:r w:rsidR="00C535C1" w:rsidRPr="00CD645B">
        <w:rPr>
          <w:rFonts w:ascii="Times New Roman" w:hAnsi="Times New Roman" w:cs="Times New Roman"/>
          <w:sz w:val="24"/>
          <w:szCs w:val="24"/>
        </w:rPr>
        <w:t xml:space="preserve">to the contract </w:t>
      </w:r>
      <w:r w:rsidRPr="00CD645B">
        <w:rPr>
          <w:rFonts w:ascii="Times New Roman" w:hAnsi="Times New Roman" w:cs="Times New Roman"/>
          <w:sz w:val="24"/>
          <w:szCs w:val="24"/>
        </w:rPr>
        <w:t xml:space="preserve">and potentially additional </w:t>
      </w:r>
      <w:r w:rsidR="00C535C1" w:rsidRPr="00CD645B">
        <w:rPr>
          <w:rFonts w:ascii="Times New Roman" w:hAnsi="Times New Roman" w:cs="Times New Roman"/>
          <w:sz w:val="24"/>
          <w:szCs w:val="24"/>
        </w:rPr>
        <w:t>costs to the government</w:t>
      </w:r>
      <w:r w:rsidRPr="00CD645B">
        <w:rPr>
          <w:rFonts w:ascii="Times New Roman" w:hAnsi="Times New Roman" w:cs="Times New Roman"/>
          <w:sz w:val="24"/>
          <w:szCs w:val="24"/>
        </w:rPr>
        <w:t>.</w:t>
      </w:r>
    </w:p>
    <w:p w14:paraId="70E2CFD8" w14:textId="77777777" w:rsidR="00730511" w:rsidRPr="00CD645B" w:rsidRDefault="00730511" w:rsidP="00730511">
      <w:pPr>
        <w:spacing w:after="0" w:line="240" w:lineRule="auto"/>
        <w:rPr>
          <w:rFonts w:ascii="Times New Roman" w:hAnsi="Times New Roman" w:cs="Times New Roman"/>
          <w:sz w:val="24"/>
          <w:szCs w:val="24"/>
        </w:rPr>
      </w:pPr>
    </w:p>
    <w:p w14:paraId="484C95B8" w14:textId="77777777" w:rsidR="009D070B" w:rsidRPr="00CD645B" w:rsidRDefault="00E27E74" w:rsidP="00EE46CA">
      <w:pPr>
        <w:pStyle w:val="Heading2"/>
        <w:spacing w:line="360" w:lineRule="auto"/>
        <w:rPr>
          <w:rFonts w:ascii="Times New Roman" w:hAnsi="Times New Roman"/>
          <w:szCs w:val="24"/>
        </w:rPr>
      </w:pPr>
      <w:bookmarkStart w:id="23" w:name="_Toc501703434"/>
      <w:r w:rsidRPr="00CD645B">
        <w:rPr>
          <w:rFonts w:ascii="Times New Roman" w:hAnsi="Times New Roman"/>
          <w:szCs w:val="24"/>
        </w:rPr>
        <w:t xml:space="preserve">A.15. </w:t>
      </w:r>
      <w:r w:rsidR="009D070B" w:rsidRPr="00CD645B">
        <w:rPr>
          <w:rFonts w:ascii="Times New Roman" w:hAnsi="Times New Roman"/>
          <w:szCs w:val="24"/>
        </w:rPr>
        <w:t>Explanation for Program Changes or Adjustments</w:t>
      </w:r>
      <w:bookmarkEnd w:id="23"/>
    </w:p>
    <w:p w14:paraId="3D187E40" w14:textId="77777777" w:rsidR="009D070B" w:rsidRPr="00CD645B" w:rsidRDefault="00E870A4" w:rsidP="0059475A">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This is a new </w:t>
      </w:r>
      <w:r w:rsidR="00E27E74" w:rsidRPr="00CD645B">
        <w:rPr>
          <w:rFonts w:ascii="Times New Roman" w:hAnsi="Times New Roman" w:cs="Times New Roman"/>
          <w:sz w:val="24"/>
          <w:szCs w:val="24"/>
        </w:rPr>
        <w:t xml:space="preserve">information collection. </w:t>
      </w:r>
    </w:p>
    <w:p w14:paraId="6FB01EE2" w14:textId="77777777" w:rsidR="00285F98" w:rsidRPr="00CD645B" w:rsidRDefault="00285F98" w:rsidP="0059475A">
      <w:pPr>
        <w:spacing w:after="240" w:line="240" w:lineRule="auto"/>
        <w:rPr>
          <w:rFonts w:ascii="Times New Roman" w:hAnsi="Times New Roman" w:cs="Times New Roman"/>
          <w:sz w:val="24"/>
          <w:szCs w:val="24"/>
        </w:rPr>
      </w:pPr>
    </w:p>
    <w:p w14:paraId="529DC8CC" w14:textId="77777777" w:rsidR="009D070B" w:rsidRPr="00CD645B" w:rsidRDefault="00E27E74" w:rsidP="00EE46CA">
      <w:pPr>
        <w:pStyle w:val="Heading2"/>
        <w:spacing w:line="360" w:lineRule="auto"/>
        <w:rPr>
          <w:rFonts w:ascii="Times New Roman" w:hAnsi="Times New Roman"/>
          <w:szCs w:val="24"/>
        </w:rPr>
      </w:pPr>
      <w:bookmarkStart w:id="24" w:name="_Toc501703435"/>
      <w:r w:rsidRPr="00CD645B">
        <w:rPr>
          <w:rFonts w:ascii="Times New Roman" w:hAnsi="Times New Roman"/>
          <w:szCs w:val="24"/>
        </w:rPr>
        <w:t xml:space="preserve">A.16. </w:t>
      </w:r>
      <w:r w:rsidR="009D070B" w:rsidRPr="00CD645B">
        <w:rPr>
          <w:rFonts w:ascii="Times New Roman" w:hAnsi="Times New Roman"/>
          <w:szCs w:val="24"/>
        </w:rPr>
        <w:t>Plans for Tabulation and Publication and Project Time Schedule</w:t>
      </w:r>
      <w:bookmarkEnd w:id="24"/>
    </w:p>
    <w:p w14:paraId="0A2D2E54" w14:textId="77777777" w:rsidR="005421EA" w:rsidRPr="00CD645B" w:rsidRDefault="005421EA" w:rsidP="00B24A81">
      <w:pPr>
        <w:spacing w:after="240" w:line="240" w:lineRule="auto"/>
        <w:rPr>
          <w:rFonts w:ascii="Times New Roman" w:hAnsi="Times New Roman" w:cs="Times New Roman"/>
          <w:sz w:val="24"/>
          <w:szCs w:val="24"/>
        </w:rPr>
      </w:pPr>
      <w:r w:rsidRPr="00CD645B">
        <w:rPr>
          <w:rFonts w:ascii="Times New Roman" w:hAnsi="Times New Roman" w:cs="Times New Roman"/>
          <w:sz w:val="24"/>
          <w:szCs w:val="24"/>
        </w:rPr>
        <w:t>16.1 Time schedule</w:t>
      </w:r>
    </w:p>
    <w:p w14:paraId="0256F56E" w14:textId="77777777" w:rsidR="001E3999" w:rsidRPr="00CD645B" w:rsidRDefault="00823C6C" w:rsidP="00B24A81">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 xml:space="preserve">Table </w:t>
      </w:r>
      <w:r w:rsidR="00577925" w:rsidRPr="00CD645B">
        <w:rPr>
          <w:rFonts w:ascii="Times New Roman" w:hAnsi="Times New Roman" w:cs="Times New Roman"/>
          <w:sz w:val="24"/>
          <w:szCs w:val="24"/>
        </w:rPr>
        <w:t>7</w:t>
      </w:r>
      <w:r w:rsidRPr="00CD645B">
        <w:rPr>
          <w:rFonts w:ascii="Times New Roman" w:hAnsi="Times New Roman" w:cs="Times New Roman"/>
          <w:sz w:val="24"/>
          <w:szCs w:val="24"/>
        </w:rPr>
        <w:t xml:space="preserve"> below shows</w:t>
      </w:r>
      <w:r w:rsidR="00180021" w:rsidRPr="00CD645B">
        <w:rPr>
          <w:rFonts w:ascii="Times New Roman" w:hAnsi="Times New Roman" w:cs="Times New Roman"/>
          <w:sz w:val="24"/>
          <w:szCs w:val="24"/>
        </w:rPr>
        <w:t xml:space="preserve"> the timeline after OMB approval. </w:t>
      </w:r>
    </w:p>
    <w:p w14:paraId="5D12372E" w14:textId="77777777" w:rsidR="00823C6C" w:rsidRPr="00CD645B" w:rsidRDefault="00577925" w:rsidP="00B24A81">
      <w:pPr>
        <w:spacing w:after="240" w:line="240" w:lineRule="auto"/>
        <w:rPr>
          <w:rFonts w:ascii="Times New Roman" w:hAnsi="Times New Roman" w:cs="Times New Roman"/>
          <w:b/>
          <w:sz w:val="24"/>
          <w:szCs w:val="24"/>
        </w:rPr>
      </w:pPr>
      <w:r w:rsidRPr="00CD645B">
        <w:rPr>
          <w:rFonts w:ascii="Times New Roman" w:hAnsi="Times New Roman" w:cs="Times New Roman"/>
          <w:b/>
          <w:sz w:val="24"/>
          <w:szCs w:val="24"/>
        </w:rPr>
        <w:t>Table 7</w:t>
      </w:r>
      <w:r w:rsidR="00823C6C" w:rsidRPr="00CD645B">
        <w:rPr>
          <w:rFonts w:ascii="Times New Roman" w:hAnsi="Times New Roman" w:cs="Times New Roman"/>
          <w:b/>
          <w:sz w:val="24"/>
          <w:szCs w:val="24"/>
        </w:rPr>
        <w:t>. Project Timeline</w:t>
      </w:r>
    </w:p>
    <w:tbl>
      <w:tblPr>
        <w:tblStyle w:val="TableGrid"/>
        <w:tblW w:w="0" w:type="auto"/>
        <w:tblLook w:val="04A0" w:firstRow="1" w:lastRow="0" w:firstColumn="1" w:lastColumn="0" w:noHBand="0" w:noVBand="1"/>
      </w:tblPr>
      <w:tblGrid>
        <w:gridCol w:w="4495"/>
        <w:gridCol w:w="4230"/>
      </w:tblGrid>
      <w:tr w:rsidR="00823C6C" w:rsidRPr="00CD645B" w14:paraId="35F65856" w14:textId="77777777" w:rsidTr="00180021">
        <w:tc>
          <w:tcPr>
            <w:tcW w:w="4495" w:type="dxa"/>
          </w:tcPr>
          <w:p w14:paraId="1EDBBEBA" w14:textId="77777777" w:rsidR="00823C6C" w:rsidRPr="00CD645B" w:rsidRDefault="00823C6C" w:rsidP="00B24A81">
            <w:pPr>
              <w:spacing w:before="20" w:after="20"/>
              <w:rPr>
                <w:rFonts w:ascii="Arial" w:hAnsi="Arial" w:cs="Arial"/>
                <w:b/>
                <w:sz w:val="18"/>
                <w:szCs w:val="18"/>
              </w:rPr>
            </w:pPr>
            <w:r w:rsidRPr="00CD645B">
              <w:rPr>
                <w:rFonts w:ascii="Arial" w:hAnsi="Arial" w:cs="Arial"/>
                <w:b/>
                <w:sz w:val="18"/>
                <w:szCs w:val="18"/>
              </w:rPr>
              <w:t>Activity</w:t>
            </w:r>
          </w:p>
        </w:tc>
        <w:tc>
          <w:tcPr>
            <w:tcW w:w="4230" w:type="dxa"/>
          </w:tcPr>
          <w:p w14:paraId="6F3095F9" w14:textId="77777777" w:rsidR="00823C6C" w:rsidRPr="00CD645B" w:rsidRDefault="00823C6C" w:rsidP="00B24A81">
            <w:pPr>
              <w:spacing w:before="20" w:after="20"/>
              <w:rPr>
                <w:rFonts w:ascii="Arial" w:hAnsi="Arial" w:cs="Arial"/>
                <w:b/>
                <w:sz w:val="18"/>
                <w:szCs w:val="18"/>
              </w:rPr>
            </w:pPr>
            <w:r w:rsidRPr="00CD645B">
              <w:rPr>
                <w:rFonts w:ascii="Arial" w:hAnsi="Arial" w:cs="Arial"/>
                <w:b/>
                <w:sz w:val="18"/>
                <w:szCs w:val="18"/>
              </w:rPr>
              <w:t>Schedule</w:t>
            </w:r>
          </w:p>
        </w:tc>
      </w:tr>
      <w:tr w:rsidR="00823C6C" w:rsidRPr="00CD645B" w14:paraId="1A990142" w14:textId="77777777" w:rsidTr="00180021">
        <w:tc>
          <w:tcPr>
            <w:tcW w:w="4495" w:type="dxa"/>
          </w:tcPr>
          <w:p w14:paraId="46A79DDA" w14:textId="77777777" w:rsidR="00823C6C" w:rsidRPr="00CD645B" w:rsidRDefault="001E3999" w:rsidP="00B24A81">
            <w:pPr>
              <w:spacing w:before="20" w:after="20"/>
              <w:rPr>
                <w:rFonts w:ascii="Arial" w:hAnsi="Arial" w:cs="Arial"/>
                <w:sz w:val="18"/>
                <w:szCs w:val="18"/>
              </w:rPr>
            </w:pPr>
            <w:r w:rsidRPr="00CD645B">
              <w:rPr>
                <w:rFonts w:ascii="Arial" w:hAnsi="Arial" w:cs="Arial"/>
                <w:sz w:val="18"/>
                <w:szCs w:val="18"/>
              </w:rPr>
              <w:t>Data Collection</w:t>
            </w:r>
          </w:p>
        </w:tc>
        <w:tc>
          <w:tcPr>
            <w:tcW w:w="4230" w:type="dxa"/>
          </w:tcPr>
          <w:p w14:paraId="275FA065" w14:textId="77777777" w:rsidR="00823C6C" w:rsidRPr="00CD645B" w:rsidRDefault="001E3999" w:rsidP="00652912">
            <w:pPr>
              <w:spacing w:before="20" w:after="20"/>
              <w:rPr>
                <w:rFonts w:ascii="Arial" w:hAnsi="Arial" w:cs="Arial"/>
                <w:sz w:val="18"/>
                <w:szCs w:val="18"/>
              </w:rPr>
            </w:pPr>
            <w:r w:rsidRPr="00CD645B">
              <w:rPr>
                <w:rFonts w:ascii="Arial" w:hAnsi="Arial" w:cs="Arial"/>
                <w:sz w:val="18"/>
                <w:szCs w:val="18"/>
              </w:rPr>
              <w:t xml:space="preserve">1 – </w:t>
            </w:r>
            <w:r w:rsidR="00652912" w:rsidRPr="00CD645B">
              <w:rPr>
                <w:rFonts w:ascii="Arial" w:hAnsi="Arial" w:cs="Arial"/>
                <w:sz w:val="18"/>
                <w:szCs w:val="18"/>
              </w:rPr>
              <w:t xml:space="preserve">24 </w:t>
            </w:r>
            <w:r w:rsidR="00823C6C" w:rsidRPr="00CD645B">
              <w:rPr>
                <w:rFonts w:ascii="Arial" w:hAnsi="Arial" w:cs="Arial"/>
                <w:sz w:val="18"/>
                <w:szCs w:val="18"/>
              </w:rPr>
              <w:t>months after OMB approval</w:t>
            </w:r>
          </w:p>
        </w:tc>
      </w:tr>
      <w:tr w:rsidR="00230B24" w:rsidRPr="00CD645B" w14:paraId="2D0B0087" w14:textId="77777777" w:rsidTr="00180021">
        <w:tc>
          <w:tcPr>
            <w:tcW w:w="4495" w:type="dxa"/>
          </w:tcPr>
          <w:p w14:paraId="7AD20E26" w14:textId="61BC1235" w:rsidR="00230B24" w:rsidRPr="00CD645B" w:rsidRDefault="00230B24" w:rsidP="00442677">
            <w:pPr>
              <w:spacing w:before="20" w:after="20"/>
              <w:ind w:firstLine="337"/>
              <w:rPr>
                <w:rFonts w:ascii="Arial" w:hAnsi="Arial" w:cs="Arial"/>
                <w:sz w:val="18"/>
                <w:szCs w:val="18"/>
              </w:rPr>
            </w:pPr>
            <w:r w:rsidRPr="00CD645B">
              <w:rPr>
                <w:rFonts w:ascii="Arial" w:hAnsi="Arial" w:cs="Arial"/>
                <w:sz w:val="18"/>
                <w:szCs w:val="18"/>
              </w:rPr>
              <w:t>Focus groups</w:t>
            </w:r>
          </w:p>
        </w:tc>
        <w:tc>
          <w:tcPr>
            <w:tcW w:w="4230" w:type="dxa"/>
          </w:tcPr>
          <w:p w14:paraId="6775CB74" w14:textId="071375EA" w:rsidR="00230B24" w:rsidRPr="00CD645B" w:rsidRDefault="00230B24" w:rsidP="00652912">
            <w:pPr>
              <w:spacing w:before="20" w:after="20"/>
              <w:rPr>
                <w:rFonts w:ascii="Arial" w:hAnsi="Arial" w:cs="Arial"/>
                <w:sz w:val="18"/>
                <w:szCs w:val="18"/>
              </w:rPr>
            </w:pPr>
            <w:r w:rsidRPr="00CD645B">
              <w:rPr>
                <w:rFonts w:ascii="Arial" w:hAnsi="Arial" w:cs="Arial"/>
                <w:sz w:val="18"/>
                <w:szCs w:val="18"/>
              </w:rPr>
              <w:t>1 – 24 months after OMB approval (pending conference dates)</w:t>
            </w:r>
          </w:p>
        </w:tc>
      </w:tr>
      <w:tr w:rsidR="00230B24" w:rsidRPr="00CD645B" w14:paraId="60686981" w14:textId="77777777" w:rsidTr="00180021">
        <w:tc>
          <w:tcPr>
            <w:tcW w:w="4495" w:type="dxa"/>
          </w:tcPr>
          <w:p w14:paraId="1A1FF74A" w14:textId="109F52C0" w:rsidR="00230B24" w:rsidRPr="00CD645B" w:rsidRDefault="00230B24" w:rsidP="00442677">
            <w:pPr>
              <w:spacing w:before="20" w:after="20"/>
              <w:ind w:firstLine="337"/>
              <w:rPr>
                <w:rFonts w:ascii="Arial" w:hAnsi="Arial" w:cs="Arial"/>
                <w:sz w:val="18"/>
                <w:szCs w:val="18"/>
              </w:rPr>
            </w:pPr>
            <w:r w:rsidRPr="00CD645B">
              <w:rPr>
                <w:rFonts w:ascii="Arial" w:hAnsi="Arial" w:cs="Arial"/>
                <w:sz w:val="18"/>
                <w:szCs w:val="18"/>
              </w:rPr>
              <w:t>Data Analysis</w:t>
            </w:r>
          </w:p>
        </w:tc>
        <w:tc>
          <w:tcPr>
            <w:tcW w:w="4230" w:type="dxa"/>
          </w:tcPr>
          <w:p w14:paraId="575E86DB" w14:textId="4B3640D4" w:rsidR="00230B24" w:rsidRPr="00CD645B" w:rsidRDefault="00230B24" w:rsidP="00652912">
            <w:pPr>
              <w:spacing w:before="20" w:after="20"/>
              <w:rPr>
                <w:rFonts w:ascii="Arial" w:hAnsi="Arial" w:cs="Arial"/>
                <w:sz w:val="18"/>
                <w:szCs w:val="18"/>
              </w:rPr>
            </w:pPr>
            <w:r w:rsidRPr="00CD645B">
              <w:rPr>
                <w:rFonts w:ascii="Arial" w:hAnsi="Arial" w:cs="Arial"/>
                <w:sz w:val="18"/>
                <w:szCs w:val="18"/>
              </w:rPr>
              <w:t>13 – 24 months after OMB approval</w:t>
            </w:r>
          </w:p>
        </w:tc>
      </w:tr>
      <w:tr w:rsidR="00230B24" w:rsidRPr="00CD645B" w14:paraId="7A38062F" w14:textId="77777777" w:rsidTr="00180021">
        <w:tc>
          <w:tcPr>
            <w:tcW w:w="4495" w:type="dxa"/>
          </w:tcPr>
          <w:p w14:paraId="20A473EC" w14:textId="7B61DDE1" w:rsidR="00230B24" w:rsidRPr="00CD645B" w:rsidRDefault="00230B24" w:rsidP="00B24A81">
            <w:pPr>
              <w:spacing w:before="20" w:after="20"/>
              <w:rPr>
                <w:rFonts w:ascii="Arial" w:hAnsi="Arial" w:cs="Arial"/>
                <w:sz w:val="18"/>
                <w:szCs w:val="18"/>
              </w:rPr>
            </w:pPr>
            <w:r w:rsidRPr="00CD645B">
              <w:rPr>
                <w:rFonts w:ascii="Arial" w:hAnsi="Arial" w:cs="Arial"/>
                <w:sz w:val="18"/>
                <w:szCs w:val="18"/>
              </w:rPr>
              <w:t>Reporting</w:t>
            </w:r>
          </w:p>
        </w:tc>
        <w:tc>
          <w:tcPr>
            <w:tcW w:w="4230" w:type="dxa"/>
          </w:tcPr>
          <w:p w14:paraId="5FFFFA73" w14:textId="7489EAE9" w:rsidR="00230B24" w:rsidRPr="00CD645B" w:rsidRDefault="00230B24" w:rsidP="00652912">
            <w:pPr>
              <w:spacing w:before="20" w:after="20"/>
              <w:rPr>
                <w:rFonts w:ascii="Arial" w:hAnsi="Arial" w:cs="Arial"/>
                <w:sz w:val="18"/>
                <w:szCs w:val="18"/>
              </w:rPr>
            </w:pPr>
            <w:r w:rsidRPr="00CD645B">
              <w:rPr>
                <w:rFonts w:ascii="Arial" w:hAnsi="Arial" w:cs="Arial"/>
                <w:sz w:val="18"/>
                <w:szCs w:val="18"/>
              </w:rPr>
              <w:t>24 months after OMB approval</w:t>
            </w:r>
          </w:p>
        </w:tc>
      </w:tr>
      <w:tr w:rsidR="00230B24" w:rsidRPr="00CD645B" w14:paraId="7717C427" w14:textId="77777777" w:rsidTr="00180021">
        <w:tc>
          <w:tcPr>
            <w:tcW w:w="4495" w:type="dxa"/>
          </w:tcPr>
          <w:p w14:paraId="5252354E" w14:textId="6A05D551" w:rsidR="00230B24" w:rsidRPr="00CD645B" w:rsidRDefault="00230B24" w:rsidP="00B24A81">
            <w:pPr>
              <w:spacing w:before="20" w:after="20"/>
              <w:rPr>
                <w:rFonts w:ascii="Arial" w:hAnsi="Arial" w:cs="Arial"/>
                <w:sz w:val="18"/>
                <w:szCs w:val="18"/>
              </w:rPr>
            </w:pPr>
          </w:p>
        </w:tc>
        <w:tc>
          <w:tcPr>
            <w:tcW w:w="4230" w:type="dxa"/>
          </w:tcPr>
          <w:p w14:paraId="36D3D178" w14:textId="7CD57B2F" w:rsidR="00230B24" w:rsidRPr="00CD645B" w:rsidRDefault="00230B24" w:rsidP="005C6FB8">
            <w:pPr>
              <w:spacing w:before="20" w:after="20"/>
              <w:rPr>
                <w:rFonts w:ascii="Arial" w:hAnsi="Arial" w:cs="Arial"/>
                <w:sz w:val="18"/>
                <w:szCs w:val="18"/>
              </w:rPr>
            </w:pPr>
          </w:p>
        </w:tc>
      </w:tr>
    </w:tbl>
    <w:p w14:paraId="65CD0B05" w14:textId="77777777" w:rsidR="00823C6C" w:rsidRPr="00CD645B" w:rsidRDefault="00823C6C" w:rsidP="00B24A81">
      <w:pPr>
        <w:spacing w:after="240" w:line="240" w:lineRule="auto"/>
        <w:rPr>
          <w:rFonts w:ascii="Times New Roman" w:hAnsi="Times New Roman" w:cs="Times New Roman"/>
          <w:sz w:val="24"/>
          <w:szCs w:val="24"/>
        </w:rPr>
      </w:pPr>
    </w:p>
    <w:p w14:paraId="062CAC97" w14:textId="357AEB4D" w:rsidR="00B24A81" w:rsidRPr="00CD645B" w:rsidRDefault="005421EA" w:rsidP="00B24A81">
      <w:pPr>
        <w:pStyle w:val="BodyText"/>
        <w:spacing w:line="240" w:lineRule="auto"/>
        <w:ind w:firstLine="360"/>
        <w:rPr>
          <w:sz w:val="24"/>
          <w:szCs w:val="24"/>
        </w:rPr>
      </w:pPr>
      <w:r w:rsidRPr="00CD645B">
        <w:rPr>
          <w:sz w:val="24"/>
          <w:szCs w:val="24"/>
        </w:rPr>
        <w:t>D</w:t>
      </w:r>
      <w:r w:rsidR="00823C6C" w:rsidRPr="00CD645B">
        <w:rPr>
          <w:sz w:val="24"/>
          <w:szCs w:val="24"/>
        </w:rPr>
        <w:t>ata analysis will focus on identifying results of the key research questions.</w:t>
      </w:r>
      <w:r w:rsidR="00454999" w:rsidRPr="00CD645B">
        <w:rPr>
          <w:sz w:val="24"/>
          <w:szCs w:val="24"/>
        </w:rPr>
        <w:t xml:space="preserve"> </w:t>
      </w:r>
    </w:p>
    <w:p w14:paraId="7AE5D44D" w14:textId="47A1CB21" w:rsidR="00BC6C4B" w:rsidRPr="00CD645B" w:rsidRDefault="00362C2E" w:rsidP="00B24A81">
      <w:pPr>
        <w:pStyle w:val="BodyText"/>
        <w:spacing w:line="240" w:lineRule="auto"/>
        <w:ind w:firstLine="360"/>
        <w:rPr>
          <w:sz w:val="24"/>
          <w:szCs w:val="24"/>
        </w:rPr>
      </w:pPr>
      <w:r w:rsidRPr="00CD645B">
        <w:rPr>
          <w:sz w:val="24"/>
          <w:szCs w:val="24"/>
        </w:rPr>
        <w:t>The qualitative analysis will focus on the open-ended questions from the focus groups. We will conduct qualitative analysis using the NVivo 11 software. We will utilize a theme-based approach to analyzing qualitative data, guided by the research questions, specifically focusing on the facilitators and barriers identified by rural healthcare providers in diagnosing, treating, referring, and managing TBI.</w:t>
      </w:r>
    </w:p>
    <w:p w14:paraId="5E0E77B2" w14:textId="77777777" w:rsidR="004518DD" w:rsidRPr="00CD645B" w:rsidRDefault="004518DD" w:rsidP="00EE46CA">
      <w:pPr>
        <w:pStyle w:val="Heading2"/>
        <w:spacing w:line="360" w:lineRule="auto"/>
        <w:rPr>
          <w:rFonts w:ascii="Times New Roman" w:hAnsi="Times New Roman"/>
          <w:szCs w:val="24"/>
        </w:rPr>
      </w:pPr>
      <w:bookmarkStart w:id="25" w:name="_Toc501703436"/>
    </w:p>
    <w:p w14:paraId="6C12CCE4" w14:textId="77777777" w:rsidR="009D070B" w:rsidRPr="00CD645B" w:rsidRDefault="00D72A9F" w:rsidP="00EE46CA">
      <w:pPr>
        <w:pStyle w:val="Heading2"/>
        <w:spacing w:line="360" w:lineRule="auto"/>
        <w:rPr>
          <w:rFonts w:ascii="Times New Roman" w:hAnsi="Times New Roman"/>
          <w:szCs w:val="24"/>
        </w:rPr>
      </w:pPr>
      <w:r w:rsidRPr="00CD645B">
        <w:rPr>
          <w:rFonts w:ascii="Times New Roman" w:hAnsi="Times New Roman"/>
          <w:szCs w:val="24"/>
        </w:rPr>
        <w:t xml:space="preserve">A.17. </w:t>
      </w:r>
      <w:r w:rsidR="009D070B" w:rsidRPr="00CD645B">
        <w:rPr>
          <w:rFonts w:ascii="Times New Roman" w:hAnsi="Times New Roman"/>
          <w:szCs w:val="24"/>
        </w:rPr>
        <w:t>Reason(s) Display of OMB Expiration Date is Inappropriate</w:t>
      </w:r>
      <w:bookmarkEnd w:id="25"/>
    </w:p>
    <w:p w14:paraId="284B2FE1" w14:textId="77777777" w:rsidR="009D070B" w:rsidRPr="00CD645B" w:rsidRDefault="00E870A4" w:rsidP="00B24A81">
      <w:pPr>
        <w:spacing w:after="240" w:line="240" w:lineRule="auto"/>
        <w:ind w:firstLine="360"/>
        <w:rPr>
          <w:rFonts w:ascii="Times New Roman" w:hAnsi="Times New Roman" w:cs="Times New Roman"/>
          <w:sz w:val="24"/>
          <w:szCs w:val="24"/>
        </w:rPr>
      </w:pPr>
      <w:r w:rsidRPr="00CD645B">
        <w:rPr>
          <w:rFonts w:ascii="Times New Roman" w:hAnsi="Times New Roman" w:cs="Times New Roman"/>
          <w:sz w:val="24"/>
          <w:szCs w:val="24"/>
        </w:rPr>
        <w:t>The display of the OMB expiration date is not inappropriate.</w:t>
      </w:r>
      <w:r w:rsidR="0089485A" w:rsidRPr="00CD645B">
        <w:rPr>
          <w:rFonts w:ascii="Times New Roman" w:hAnsi="Times New Roman" w:cs="Times New Roman"/>
          <w:sz w:val="24"/>
          <w:szCs w:val="24"/>
        </w:rPr>
        <w:t xml:space="preserve"> </w:t>
      </w:r>
    </w:p>
    <w:p w14:paraId="677897B0" w14:textId="77777777" w:rsidR="00285F98" w:rsidRPr="00CD645B" w:rsidRDefault="00285F98" w:rsidP="00B24A81">
      <w:pPr>
        <w:spacing w:after="240" w:line="240" w:lineRule="auto"/>
        <w:rPr>
          <w:rFonts w:ascii="Times New Roman" w:hAnsi="Times New Roman" w:cs="Times New Roman"/>
          <w:sz w:val="24"/>
          <w:szCs w:val="24"/>
        </w:rPr>
      </w:pPr>
    </w:p>
    <w:p w14:paraId="186029AF" w14:textId="77777777" w:rsidR="009D070B" w:rsidRPr="00CD645B" w:rsidRDefault="00D72A9F" w:rsidP="00EE46CA">
      <w:pPr>
        <w:pStyle w:val="Heading2"/>
        <w:spacing w:line="360" w:lineRule="auto"/>
        <w:rPr>
          <w:rFonts w:ascii="Times New Roman" w:hAnsi="Times New Roman"/>
          <w:szCs w:val="24"/>
        </w:rPr>
      </w:pPr>
      <w:bookmarkStart w:id="26" w:name="_Toc501703437"/>
      <w:r w:rsidRPr="00CD645B">
        <w:rPr>
          <w:rFonts w:ascii="Times New Roman" w:hAnsi="Times New Roman"/>
          <w:szCs w:val="24"/>
        </w:rPr>
        <w:t xml:space="preserve">A.18. </w:t>
      </w:r>
      <w:r w:rsidR="009D070B" w:rsidRPr="00CD645B">
        <w:rPr>
          <w:rFonts w:ascii="Times New Roman" w:hAnsi="Times New Roman"/>
          <w:szCs w:val="24"/>
        </w:rPr>
        <w:t>Exceptions to Certification for Paperwork Reduction Act Submission</w:t>
      </w:r>
      <w:bookmarkEnd w:id="26"/>
    </w:p>
    <w:p w14:paraId="7AD22F9D" w14:textId="44B41FAC" w:rsidR="00AF2AF0" w:rsidRPr="00BB2FA9" w:rsidRDefault="00E870A4" w:rsidP="00B24A81">
      <w:pPr>
        <w:spacing w:after="240" w:line="240" w:lineRule="auto"/>
        <w:ind w:firstLine="360"/>
        <w:rPr>
          <w:rFonts w:ascii="Times New Roman" w:hAnsi="Times New Roman" w:cs="Times New Roman"/>
          <w:b/>
          <w:sz w:val="24"/>
          <w:szCs w:val="24"/>
        </w:rPr>
      </w:pPr>
      <w:r w:rsidRPr="00CD645B">
        <w:rPr>
          <w:rFonts w:ascii="Times New Roman" w:hAnsi="Times New Roman" w:cs="Times New Roman"/>
          <w:sz w:val="24"/>
          <w:szCs w:val="24"/>
        </w:rPr>
        <w:t>There are no exceptions to the certification statement.</w:t>
      </w:r>
      <w:r w:rsidR="00984DC6" w:rsidRPr="00CD645B">
        <w:rPr>
          <w:rFonts w:ascii="Times New Roman" w:hAnsi="Times New Roman" w:cs="Times New Roman"/>
          <w:b/>
          <w:noProof/>
          <w:sz w:val="24"/>
          <w:szCs w:val="24"/>
        </w:rPr>
        <w:fldChar w:fldCharType="begin"/>
      </w:r>
      <w:r w:rsidR="00984DC6" w:rsidRPr="00CD645B">
        <w:rPr>
          <w:rFonts w:ascii="Times New Roman" w:hAnsi="Times New Roman" w:cs="Times New Roman"/>
          <w:b/>
          <w:sz w:val="24"/>
          <w:szCs w:val="24"/>
        </w:rPr>
        <w:instrText xml:space="preserve"> ADDIN EN.REFLIST </w:instrText>
      </w:r>
      <w:r w:rsidR="00984DC6" w:rsidRPr="00CD645B">
        <w:rPr>
          <w:rFonts w:ascii="Times New Roman" w:hAnsi="Times New Roman" w:cs="Times New Roman"/>
          <w:b/>
          <w:noProof/>
          <w:sz w:val="24"/>
          <w:szCs w:val="24"/>
        </w:rPr>
        <w:fldChar w:fldCharType="end"/>
      </w:r>
    </w:p>
    <w:sectPr w:rsidR="00AF2AF0" w:rsidRPr="00BB2FA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98CFD" w16cid:durableId="1F4D2825"/>
  <w16cid:commentId w16cid:paraId="5FF89F59" w16cid:durableId="1F4D2881"/>
  <w16cid:commentId w16cid:paraId="43A75F86" w16cid:durableId="1F4D2B9E"/>
  <w16cid:commentId w16cid:paraId="7A193B52" w16cid:durableId="1F4D2D22"/>
  <w16cid:commentId w16cid:paraId="38CF8F7F" w16cid:durableId="1F4D2F74"/>
  <w16cid:commentId w16cid:paraId="7CF74706" w16cid:durableId="1F4D41D1"/>
  <w16cid:commentId w16cid:paraId="008EC7B1" w16cid:durableId="1F4D34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64268" w14:textId="77777777" w:rsidR="005F41E9" w:rsidRDefault="005F41E9" w:rsidP="0053170A">
      <w:pPr>
        <w:spacing w:after="0" w:line="240" w:lineRule="auto"/>
      </w:pPr>
      <w:r>
        <w:separator/>
      </w:r>
    </w:p>
  </w:endnote>
  <w:endnote w:type="continuationSeparator" w:id="0">
    <w:p w14:paraId="19A61825" w14:textId="77777777" w:rsidR="005F41E9" w:rsidRDefault="005F41E9" w:rsidP="0053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01377"/>
      <w:docPartObj>
        <w:docPartGallery w:val="Page Numbers (Bottom of Page)"/>
        <w:docPartUnique/>
      </w:docPartObj>
    </w:sdtPr>
    <w:sdtEndPr>
      <w:rPr>
        <w:noProof/>
      </w:rPr>
    </w:sdtEndPr>
    <w:sdtContent>
      <w:p w14:paraId="1ED393B4" w14:textId="58985581" w:rsidR="005F41E9" w:rsidRDefault="005F41E9">
        <w:pPr>
          <w:pStyle w:val="Footer"/>
          <w:jc w:val="right"/>
        </w:pPr>
        <w:r>
          <w:fldChar w:fldCharType="begin"/>
        </w:r>
        <w:r>
          <w:instrText xml:space="preserve"> PAGE   \* MERGEFORMAT </w:instrText>
        </w:r>
        <w:r>
          <w:fldChar w:fldCharType="separate"/>
        </w:r>
        <w:r w:rsidR="00163B3C">
          <w:rPr>
            <w:noProof/>
          </w:rPr>
          <w:t>1</w:t>
        </w:r>
        <w:r>
          <w:rPr>
            <w:noProof/>
          </w:rPr>
          <w:fldChar w:fldCharType="end"/>
        </w:r>
      </w:p>
    </w:sdtContent>
  </w:sdt>
  <w:p w14:paraId="35D61118" w14:textId="77777777" w:rsidR="005F41E9" w:rsidRDefault="005F4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44B21" w14:textId="77777777" w:rsidR="005F41E9" w:rsidRDefault="005F41E9" w:rsidP="0053170A">
      <w:pPr>
        <w:spacing w:after="0" w:line="240" w:lineRule="auto"/>
      </w:pPr>
      <w:r>
        <w:separator/>
      </w:r>
    </w:p>
  </w:footnote>
  <w:footnote w:type="continuationSeparator" w:id="0">
    <w:p w14:paraId="7468C283" w14:textId="77777777" w:rsidR="005F41E9" w:rsidRDefault="005F41E9" w:rsidP="0053170A">
      <w:pPr>
        <w:spacing w:after="0" w:line="240" w:lineRule="auto"/>
      </w:pPr>
      <w:r>
        <w:continuationSeparator/>
      </w:r>
    </w:p>
  </w:footnote>
  <w:footnote w:id="1">
    <w:p w14:paraId="70D3776E" w14:textId="0B65B96E" w:rsidR="005F41E9" w:rsidRPr="006B70B8" w:rsidRDefault="005F41E9" w:rsidP="00B85E1D">
      <w:pPr>
        <w:pStyle w:val="FootnoteText"/>
        <w:rPr>
          <w:rFonts w:ascii="Times New Roman" w:hAnsi="Times New Roman"/>
        </w:rPr>
      </w:pPr>
      <w:r w:rsidRPr="006038AE">
        <w:rPr>
          <w:rStyle w:val="FootnoteReference"/>
          <w:rFonts w:ascii="Times New Roman" w:hAnsi="Times New Roman"/>
        </w:rPr>
        <w:footnoteRef/>
      </w:r>
      <w:r w:rsidRPr="006038AE">
        <w:rPr>
          <w:rFonts w:ascii="Times New Roman" w:hAnsi="Times New Roman"/>
        </w:rPr>
        <w:t xml:space="preserve"> </w:t>
      </w:r>
      <w:r>
        <w:rPr>
          <w:rFonts w:ascii="Times New Roman" w:hAnsi="Times New Roman"/>
        </w:rPr>
        <w:t>Chapital A.D</w:t>
      </w:r>
      <w:r w:rsidRPr="006038AE">
        <w:rPr>
          <w:rFonts w:ascii="Times New Roman" w:hAnsi="Times New Roman"/>
        </w:rPr>
        <w:t>. (20</w:t>
      </w:r>
      <w:r>
        <w:rPr>
          <w:rFonts w:ascii="Times New Roman" w:hAnsi="Times New Roman"/>
        </w:rPr>
        <w:t>05</w:t>
      </w:r>
      <w:r w:rsidRPr="006038AE">
        <w:rPr>
          <w:rFonts w:ascii="Times New Roman" w:hAnsi="Times New Roman"/>
        </w:rPr>
        <w:t xml:space="preserve">). </w:t>
      </w:r>
      <w:r>
        <w:rPr>
          <w:rFonts w:ascii="Times New Roman" w:hAnsi="Times New Roman"/>
        </w:rPr>
        <w:t>Traumatic brain injury: outcomes of a rural versus urban population over a 5 year period</w:t>
      </w:r>
      <w:r w:rsidRPr="006038AE">
        <w:rPr>
          <w:rFonts w:ascii="Times New Roman" w:hAnsi="Times New Roman"/>
        </w:rPr>
        <w:t xml:space="preserve">. </w:t>
      </w:r>
      <w:r w:rsidRPr="00DA114E">
        <w:rPr>
          <w:rFonts w:ascii="Times New Roman" w:hAnsi="Times New Roman"/>
        </w:rPr>
        <w:t xml:space="preserve">University of </w:t>
      </w:r>
      <w:r w:rsidRPr="006B70B8">
        <w:rPr>
          <w:rFonts w:ascii="Times New Roman" w:hAnsi="Times New Roman"/>
        </w:rPr>
        <w:t>Hawaii, Manoa, Hawaii.</w:t>
      </w:r>
    </w:p>
  </w:footnote>
  <w:footnote w:id="2">
    <w:p w14:paraId="3979BEB2" w14:textId="68718B1C" w:rsidR="005F41E9" w:rsidRPr="006B70B8" w:rsidRDefault="005F41E9">
      <w:pPr>
        <w:pStyle w:val="FootnoteText"/>
        <w:rPr>
          <w:rFonts w:ascii="Times New Roman" w:hAnsi="Times New Roman"/>
        </w:rPr>
      </w:pPr>
      <w:r w:rsidRPr="006B70B8">
        <w:rPr>
          <w:rStyle w:val="FootnoteReference"/>
          <w:rFonts w:ascii="Times New Roman" w:hAnsi="Times New Roman"/>
        </w:rPr>
        <w:footnoteRef/>
      </w:r>
      <w:r w:rsidRPr="006B70B8">
        <w:rPr>
          <w:rFonts w:ascii="Times New Roman" w:hAnsi="Times New Roman"/>
        </w:rPr>
        <w:t xml:space="preserve"> Bazarian JJ, McClung J, Shah MN, Chen YT, Flesher W, Kraus J. (2003). Mild traumatic brain injury in the United States, 1998-2000. </w:t>
      </w:r>
      <w:r w:rsidRPr="006B70B8">
        <w:rPr>
          <w:rFonts w:ascii="Times New Roman" w:hAnsi="Times New Roman"/>
          <w:i/>
        </w:rPr>
        <w:t>Brain Injury, 19(2)</w:t>
      </w:r>
      <w:r w:rsidRPr="006B70B8">
        <w:rPr>
          <w:rFonts w:ascii="Times New Roman" w:hAnsi="Times New Roman"/>
        </w:rPr>
        <w:t>: 85-91.</w:t>
      </w:r>
    </w:p>
  </w:footnote>
  <w:footnote w:id="3">
    <w:p w14:paraId="7B99B849" w14:textId="77777777" w:rsidR="005F41E9" w:rsidRPr="00D8082B" w:rsidRDefault="005F41E9" w:rsidP="00B85E1D">
      <w:pPr>
        <w:pStyle w:val="FootnoteText"/>
        <w:rPr>
          <w:rFonts w:ascii="Times New Roman" w:hAnsi="Times New Roman"/>
        </w:rPr>
      </w:pPr>
      <w:r w:rsidRPr="006B70B8">
        <w:rPr>
          <w:rStyle w:val="FootnoteReference"/>
          <w:rFonts w:ascii="Times New Roman" w:hAnsi="Times New Roman"/>
        </w:rPr>
        <w:footnoteRef/>
      </w:r>
      <w:r w:rsidRPr="006B70B8">
        <w:rPr>
          <w:rFonts w:ascii="Times New Roman" w:hAnsi="Times New Roman"/>
        </w:rPr>
        <w:t xml:space="preserve"> Johnstone, B., Nossaman, L. D., Schopp, L. H., Holmquist, L., &amp; Rupright, S. J. (2002). Distribution of services and supports for people with traumatic brain injury in rural</w:t>
      </w:r>
      <w:r w:rsidRPr="003569B7">
        <w:rPr>
          <w:rFonts w:ascii="Times New Roman" w:hAnsi="Times New Roman"/>
        </w:rPr>
        <w:t xml:space="preserve"> and urban Missouri. </w:t>
      </w:r>
      <w:r w:rsidRPr="003569B7">
        <w:rPr>
          <w:rFonts w:ascii="Times New Roman" w:hAnsi="Times New Roman"/>
          <w:i/>
        </w:rPr>
        <w:t>The Journal of Rural Health, 18</w:t>
      </w:r>
      <w:r w:rsidRPr="00D8082B">
        <w:rPr>
          <w:rFonts w:ascii="Times New Roman" w:hAnsi="Times New Roman"/>
        </w:rPr>
        <w:t>(1), 109-117.</w:t>
      </w:r>
    </w:p>
  </w:footnote>
  <w:footnote w:id="4">
    <w:p w14:paraId="247DE811" w14:textId="5B34BADE" w:rsidR="005F41E9" w:rsidRPr="006B70B8" w:rsidRDefault="005F41E9">
      <w:pPr>
        <w:pStyle w:val="FootnoteText"/>
        <w:rPr>
          <w:i/>
        </w:rPr>
      </w:pPr>
      <w:r w:rsidRPr="006B70B8">
        <w:rPr>
          <w:rStyle w:val="FootnoteReference"/>
          <w:rFonts w:ascii="Times New Roman" w:hAnsi="Times New Roman"/>
        </w:rPr>
        <w:footnoteRef/>
      </w:r>
      <w:r w:rsidRPr="006B70B8">
        <w:rPr>
          <w:rFonts w:ascii="Times New Roman" w:hAnsi="Times New Roman"/>
        </w:rPr>
        <w:t xml:space="preserve"> Leonhard MJ, Wright DA, Fu R, Lehrfeld DP, Carlson KF. (2015). Urban/rural disparities in Oregon pediatric traumatic brain injury. </w:t>
      </w:r>
      <w:r w:rsidRPr="006B70B8">
        <w:rPr>
          <w:rFonts w:ascii="Times New Roman" w:hAnsi="Times New Roman"/>
          <w:i/>
        </w:rPr>
        <w:t xml:space="preserve">Injury Epidemiology 2: </w:t>
      </w:r>
      <w:r w:rsidRPr="006B70B8">
        <w:rPr>
          <w:rFonts w:ascii="Times New Roman" w:hAnsi="Times New Roman"/>
        </w:rPr>
        <w:t>32.</w:t>
      </w:r>
    </w:p>
  </w:footnote>
  <w:footnote w:id="5">
    <w:p w14:paraId="533FB624" w14:textId="77777777" w:rsidR="005F41E9" w:rsidRPr="006038AE" w:rsidRDefault="005F41E9" w:rsidP="00B85E1D">
      <w:pPr>
        <w:pStyle w:val="FootnoteText"/>
        <w:rPr>
          <w:rFonts w:ascii="Times New Roman" w:hAnsi="Times New Roman"/>
        </w:rPr>
      </w:pPr>
      <w:r w:rsidRPr="006038AE">
        <w:rPr>
          <w:rStyle w:val="FootnoteReference"/>
          <w:rFonts w:ascii="Times New Roman" w:hAnsi="Times New Roman"/>
        </w:rPr>
        <w:footnoteRef/>
      </w:r>
      <w:r w:rsidRPr="006038AE">
        <w:rPr>
          <w:rFonts w:ascii="Times New Roman" w:hAnsi="Times New Roman"/>
        </w:rPr>
        <w:t xml:space="preserve"> Kaye SH (1997). </w:t>
      </w:r>
      <w:r w:rsidRPr="006038AE">
        <w:rPr>
          <w:rFonts w:ascii="Times New Roman" w:hAnsi="Times New Roman"/>
          <w:i/>
          <w:iCs/>
        </w:rPr>
        <w:t xml:space="preserve">Disability Watch: The Status of People with Disabilities in the US. </w:t>
      </w:r>
      <w:r w:rsidRPr="006038AE">
        <w:rPr>
          <w:rFonts w:ascii="Times New Roman" w:hAnsi="Times New Roman"/>
        </w:rPr>
        <w:t xml:space="preserve">Volcano Press., Inc., Volcano, CA. Sponsored by National Institute on Disability and Rehabilitation Research, Washington, DC. </w:t>
      </w:r>
    </w:p>
  </w:footnote>
  <w:footnote w:id="6">
    <w:p w14:paraId="66E20E27" w14:textId="14890A20" w:rsidR="005F41E9" w:rsidRDefault="005F41E9" w:rsidP="006A2B06">
      <w:pPr>
        <w:pStyle w:val="FootnoteText"/>
      </w:pPr>
      <w:r>
        <w:rPr>
          <w:rStyle w:val="FootnoteReference"/>
        </w:rPr>
        <w:footnoteRef/>
      </w:r>
      <w:r>
        <w:t xml:space="preserve"> </w:t>
      </w:r>
      <w:r w:rsidRPr="006A2B06">
        <w:rPr>
          <w:rFonts w:ascii="Times New Roman" w:hAnsi="Times New Roman"/>
          <w:lang w:val="en"/>
        </w:rPr>
        <w:t xml:space="preserve">Carroll L.J. et al. Prognosis for mild traumatic brain injury: Results of the WHO Collaborating Centre Task Force on Mild Traumatic Brain Injury. </w:t>
      </w:r>
      <w:r w:rsidRPr="006A2B06">
        <w:rPr>
          <w:rStyle w:val="ref-journal"/>
          <w:rFonts w:ascii="Times New Roman" w:hAnsi="Times New Roman"/>
          <w:lang w:val="en"/>
        </w:rPr>
        <w:t xml:space="preserve">J Rehabil Med. </w:t>
      </w:r>
      <w:r w:rsidRPr="006A2B06">
        <w:rPr>
          <w:rFonts w:ascii="Times New Roman" w:hAnsi="Times New Roman"/>
          <w:lang w:val="en"/>
        </w:rPr>
        <w:t>2004;</w:t>
      </w:r>
      <w:r w:rsidRPr="006A2B06">
        <w:rPr>
          <w:rStyle w:val="ref-vol"/>
          <w:rFonts w:ascii="Times New Roman" w:hAnsi="Times New Roman"/>
          <w:lang w:val="en"/>
        </w:rPr>
        <w:t>43</w:t>
      </w:r>
      <w:r w:rsidRPr="006A2B06">
        <w:rPr>
          <w:rFonts w:ascii="Times New Roman" w:hAnsi="Times New Roman"/>
          <w:lang w:val="en"/>
        </w:rPr>
        <w:t xml:space="preserve"> (Suppl):84–105.</w:t>
      </w:r>
    </w:p>
  </w:footnote>
  <w:footnote w:id="7">
    <w:p w14:paraId="4BDECA17" w14:textId="76A20C80" w:rsidR="005F41E9" w:rsidRDefault="005F41E9">
      <w:pPr>
        <w:pStyle w:val="FootnoteText"/>
      </w:pPr>
      <w:r>
        <w:rPr>
          <w:rStyle w:val="FootnoteReference"/>
        </w:rPr>
        <w:footnoteRef/>
      </w:r>
      <w:r>
        <w:t xml:space="preserve"> </w:t>
      </w:r>
      <w:r w:rsidRPr="00B007CD">
        <w:rPr>
          <w:rFonts w:ascii="Times New Roman" w:hAnsi="Times New Roman"/>
          <w:color w:val="222222"/>
        </w:rPr>
        <w:t xml:space="preserve">Stewart, T. C., Gilliland, J., &amp; Fraser, D. D. (2014). An epidemiologic profile of pediatric concussions: identifying urban and rural differences. </w:t>
      </w:r>
      <w:r w:rsidRPr="00B007CD">
        <w:rPr>
          <w:rFonts w:ascii="Times New Roman" w:hAnsi="Times New Roman"/>
          <w:i/>
          <w:iCs/>
          <w:color w:val="222222"/>
        </w:rPr>
        <w:t>Journal of trauma and acute care surgery</w:t>
      </w:r>
      <w:r w:rsidRPr="00B007CD">
        <w:rPr>
          <w:rFonts w:ascii="Times New Roman" w:hAnsi="Times New Roman"/>
          <w:color w:val="222222"/>
        </w:rPr>
        <w:t xml:space="preserve">, </w:t>
      </w:r>
      <w:r w:rsidRPr="00B007CD">
        <w:rPr>
          <w:rFonts w:ascii="Times New Roman" w:hAnsi="Times New Roman"/>
          <w:i/>
          <w:iCs/>
          <w:color w:val="222222"/>
        </w:rPr>
        <w:t>76</w:t>
      </w:r>
      <w:r w:rsidRPr="00B007CD">
        <w:rPr>
          <w:rFonts w:ascii="Times New Roman" w:hAnsi="Times New Roman"/>
          <w:color w:val="222222"/>
        </w:rPr>
        <w:t>(3), 736-742.</w:t>
      </w:r>
    </w:p>
  </w:footnote>
  <w:footnote w:id="8">
    <w:p w14:paraId="4E3B5307" w14:textId="77777777" w:rsidR="005F41E9" w:rsidRPr="006038AE" w:rsidRDefault="005F41E9" w:rsidP="00B85E1D">
      <w:pPr>
        <w:pStyle w:val="FootnoteText"/>
        <w:rPr>
          <w:rFonts w:ascii="Times New Roman" w:hAnsi="Times New Roman"/>
        </w:rPr>
      </w:pPr>
      <w:r w:rsidRPr="006038AE">
        <w:rPr>
          <w:rStyle w:val="FootnoteReference"/>
          <w:rFonts w:ascii="Times New Roman" w:hAnsi="Times New Roman"/>
        </w:rPr>
        <w:footnoteRef/>
      </w:r>
      <w:r w:rsidRPr="006038AE">
        <w:rPr>
          <w:rFonts w:ascii="Times New Roman" w:hAnsi="Times New Roman"/>
        </w:rPr>
        <w:t xml:space="preserve"> Johnstone B, Vessell R, Bounds T, Hoskins S, &amp; Sherman A (2003). </w:t>
      </w:r>
      <w:r w:rsidRPr="00C17DE0">
        <w:rPr>
          <w:rFonts w:ascii="Times New Roman" w:hAnsi="Times New Roman"/>
          <w:iCs/>
        </w:rPr>
        <w:t xml:space="preserve">Predictors of success for state vocational rehabilitation clients with traumatic brain injury. </w:t>
      </w:r>
      <w:r w:rsidRPr="00C17DE0">
        <w:rPr>
          <w:rFonts w:ascii="Times New Roman" w:hAnsi="Times New Roman"/>
          <w:i/>
        </w:rPr>
        <w:t>Arch Phys Med Rehabil; 84</w:t>
      </w:r>
      <w:r w:rsidRPr="006038AE">
        <w:rPr>
          <w:rFonts w:ascii="Times New Roman" w:hAnsi="Times New Roman"/>
        </w:rPr>
        <w:t xml:space="preserve">(2):161-7. </w:t>
      </w:r>
    </w:p>
  </w:footnote>
  <w:footnote w:id="9">
    <w:p w14:paraId="54ED061D" w14:textId="77777777" w:rsidR="005F41E9" w:rsidRPr="00C17DE0" w:rsidRDefault="005F41E9" w:rsidP="00B85E1D">
      <w:pPr>
        <w:pStyle w:val="FootnoteText"/>
      </w:pPr>
      <w:r w:rsidRPr="006038AE">
        <w:rPr>
          <w:rStyle w:val="FootnoteReference"/>
          <w:rFonts w:ascii="Times New Roman" w:hAnsi="Times New Roman"/>
        </w:rPr>
        <w:footnoteRef/>
      </w:r>
      <w:r w:rsidRPr="006038AE">
        <w:rPr>
          <w:rFonts w:ascii="Times New Roman" w:hAnsi="Times New Roman"/>
        </w:rPr>
        <w:t xml:space="preserve"> Spearman RC, Stamm BH, &amp; Tivis LJ (2007). </w:t>
      </w:r>
      <w:r w:rsidRPr="00C17DE0">
        <w:rPr>
          <w:rFonts w:ascii="Times New Roman" w:hAnsi="Times New Roman"/>
          <w:iCs/>
        </w:rPr>
        <w:t>Traumatic brain injury state planning grant: Preparing for change in a rural state</w:t>
      </w:r>
      <w:r w:rsidRPr="00C17DE0">
        <w:rPr>
          <w:rFonts w:ascii="Times New Roman" w:hAnsi="Times New Roman"/>
          <w:i/>
          <w:iCs/>
        </w:rPr>
        <w:t xml:space="preserve">. </w:t>
      </w:r>
      <w:r w:rsidRPr="00C17DE0">
        <w:rPr>
          <w:rFonts w:ascii="Times New Roman" w:hAnsi="Times New Roman"/>
          <w:i/>
        </w:rPr>
        <w:t>Brain Injury; 21</w:t>
      </w:r>
      <w:r w:rsidRPr="00C17DE0">
        <w:rPr>
          <w:rFonts w:ascii="Times New Roman" w:hAnsi="Times New Roman"/>
        </w:rPr>
        <w:t>(8).</w:t>
      </w:r>
    </w:p>
  </w:footnote>
  <w:footnote w:id="10">
    <w:p w14:paraId="241066D2" w14:textId="77777777" w:rsidR="005F41E9" w:rsidRPr="006C5750" w:rsidRDefault="005F41E9" w:rsidP="00B85E1D">
      <w:pPr>
        <w:pStyle w:val="FootnoteText"/>
        <w:rPr>
          <w:rStyle w:val="FootnoteReference"/>
        </w:rPr>
      </w:pPr>
      <w:r w:rsidRPr="006C5750">
        <w:rPr>
          <w:rStyle w:val="FootnoteReference"/>
          <w:rFonts w:ascii="Times New Roman" w:hAnsi="Times New Roman"/>
        </w:rPr>
        <w:footnoteRef/>
      </w:r>
      <w:r w:rsidRPr="006C5750">
        <w:rPr>
          <w:rFonts w:ascii="Times New Roman" w:hAnsi="Times New Roman"/>
        </w:rPr>
        <w:t xml:space="preserve"> Centers for Disease Control and Prevention. (2015). Report to Congress on Traumatic Brain Injury in the United States: Epidemiology and Rehabilitation. National Center for Injury Prevention and Control; Division of Unintentional Injury Prevention. Atlanta, GA. Accessed: </w:t>
      </w:r>
      <w:hyperlink r:id="rId1" w:history="1">
        <w:r w:rsidRPr="006B26A7">
          <w:rPr>
            <w:rStyle w:val="Hyperlink"/>
            <w:rFonts w:ascii="Times New Roman" w:hAnsi="Times New Roman"/>
          </w:rPr>
          <w:t>https://www.cdc.gov/traumaticbraininjury/pdf/tbi_report_to_congress_epi_and_rehab-a.pdf</w:t>
        </w:r>
      </w:hyperlink>
      <w:r w:rsidRPr="006C5750">
        <w:rPr>
          <w:rFonts w:ascii="Times New Roman" w:hAnsi="Times New Roman"/>
        </w:rPr>
        <w:t>.</w:t>
      </w:r>
      <w:r>
        <w:rPr>
          <w:rStyle w:val="FootnoteReference"/>
        </w:rPr>
        <w:t xml:space="preserve"> </w:t>
      </w:r>
      <w:r w:rsidRPr="006C5750">
        <w:rPr>
          <w:rStyle w:val="FootnoteReference"/>
        </w:rPr>
        <w:t xml:space="preserve"> </w:t>
      </w:r>
    </w:p>
  </w:footnote>
  <w:footnote w:id="11">
    <w:p w14:paraId="2445496D" w14:textId="77777777" w:rsidR="005F41E9" w:rsidRPr="009B2979" w:rsidRDefault="005F41E9" w:rsidP="009B2979">
      <w:pPr>
        <w:pStyle w:val="FootnoteText"/>
        <w:rPr>
          <w:rFonts w:ascii="Times New Roman" w:hAnsi="Times New Roman"/>
        </w:rPr>
      </w:pPr>
      <w:r w:rsidRPr="009B2979">
        <w:rPr>
          <w:rStyle w:val="FootnoteReference"/>
          <w:rFonts w:ascii="Times New Roman" w:hAnsi="Times New Roman"/>
        </w:rPr>
        <w:footnoteRef/>
      </w:r>
      <w:r w:rsidRPr="009B2979">
        <w:rPr>
          <w:rFonts w:ascii="Times New Roman" w:hAnsi="Times New Roman"/>
        </w:rPr>
        <w:t xml:space="preserve"> </w:t>
      </w:r>
      <w:r w:rsidRPr="009B2979">
        <w:rPr>
          <w:rFonts w:ascii="Times New Roman" w:hAnsi="Times New Roman"/>
          <w:noProof/>
        </w:rPr>
        <w:t>Centers for Disease Control and Prevention. Report to Congress: The Management of Traumatic Brain Injury in Children. Atlanta, GA: National Center for Injury Prevention and Control; Division of Unintentional Injury Prevention,, 2018.</w:t>
      </w:r>
    </w:p>
  </w:footnote>
  <w:footnote w:id="12">
    <w:p w14:paraId="111EAAD9" w14:textId="77777777" w:rsidR="005F41E9" w:rsidRPr="00424042" w:rsidRDefault="005F41E9" w:rsidP="000B67B5">
      <w:pPr>
        <w:pStyle w:val="FootnoteText"/>
        <w:rPr>
          <w:rFonts w:ascii="Times New Roman" w:hAnsi="Times New Roman"/>
        </w:rPr>
      </w:pPr>
      <w:r w:rsidRPr="00424042">
        <w:rPr>
          <w:rStyle w:val="FootnoteReference"/>
          <w:rFonts w:ascii="Times New Roman" w:hAnsi="Times New Roman"/>
        </w:rPr>
        <w:footnoteRef/>
      </w:r>
      <w:r w:rsidRPr="00424042">
        <w:rPr>
          <w:rFonts w:ascii="Times New Roman" w:hAnsi="Times New Roman"/>
        </w:rPr>
        <w:t xml:space="preserve"> Centers for Disease Control and Prevention. (2017, June 1). NCHS Urban-Rural Classification Scheme for Counties. Retrieved from </w:t>
      </w:r>
      <w:hyperlink r:id="rId2" w:history="1">
        <w:r w:rsidRPr="00424042">
          <w:rPr>
            <w:rStyle w:val="Hyperlink"/>
            <w:rFonts w:ascii="Times New Roman" w:hAnsi="Times New Roman"/>
          </w:rPr>
          <w:t>https://www.cdc.gov/nchs/data_access/urban_rural.htm</w:t>
        </w:r>
      </w:hyperlink>
      <w:r w:rsidRPr="00424042">
        <w:rPr>
          <w:rFonts w:ascii="Times New Roman" w:hAnsi="Times New Roman"/>
        </w:rPr>
        <w:t xml:space="preserve">. </w:t>
      </w:r>
    </w:p>
  </w:footnote>
  <w:footnote w:id="13">
    <w:p w14:paraId="608D0EE9" w14:textId="77777777" w:rsidR="005F41E9" w:rsidRPr="00DB0341" w:rsidRDefault="005F41E9" w:rsidP="00C84AEB">
      <w:pPr>
        <w:pStyle w:val="FootnoteText"/>
        <w:rPr>
          <w:rFonts w:ascii="Times New Roman" w:hAnsi="Times New Roman"/>
        </w:rPr>
      </w:pPr>
      <w:r w:rsidRPr="00DB0341">
        <w:rPr>
          <w:rStyle w:val="FootnoteReference"/>
          <w:rFonts w:ascii="Times New Roman" w:hAnsi="Times New Roman"/>
        </w:rPr>
        <w:footnoteRef/>
      </w:r>
      <w:r w:rsidRPr="00DB0341">
        <w:rPr>
          <w:rFonts w:ascii="Times New Roman" w:hAnsi="Times New Roman"/>
        </w:rPr>
        <w:t xml:space="preserve"> Source: BLS Website, as of December 18, 2017. [https://www.bls.gov/oes/current/oes291062.htm] </w:t>
      </w:r>
    </w:p>
  </w:footnote>
  <w:footnote w:id="14">
    <w:p w14:paraId="1E81F6CF" w14:textId="77777777" w:rsidR="005F41E9" w:rsidRPr="00DB0341" w:rsidRDefault="005F41E9" w:rsidP="00C84AEB">
      <w:pPr>
        <w:pStyle w:val="FootnoteText"/>
        <w:rPr>
          <w:rFonts w:ascii="Times New Roman" w:hAnsi="Times New Roman"/>
        </w:rPr>
      </w:pPr>
      <w:r w:rsidRPr="00DB0341">
        <w:rPr>
          <w:rStyle w:val="FootnoteReference"/>
          <w:rFonts w:ascii="Times New Roman" w:hAnsi="Times New Roman"/>
        </w:rPr>
        <w:footnoteRef/>
      </w:r>
      <w:r w:rsidRPr="00DB0341">
        <w:rPr>
          <w:rFonts w:ascii="Times New Roman" w:hAnsi="Times New Roman"/>
        </w:rPr>
        <w:t xml:space="preserve"> Source: BLS Website, as of December 18, 2017. [https://www.bls.gov/oes/current/oes291069.htm]</w:t>
      </w:r>
    </w:p>
  </w:footnote>
  <w:footnote w:id="15">
    <w:p w14:paraId="7AE627D5" w14:textId="77777777" w:rsidR="005F41E9" w:rsidRPr="00DB0341" w:rsidRDefault="005F41E9" w:rsidP="00C84AEB">
      <w:pPr>
        <w:pStyle w:val="FootnoteText"/>
        <w:rPr>
          <w:rFonts w:ascii="Times New Roman" w:hAnsi="Times New Roman"/>
        </w:rPr>
      </w:pPr>
      <w:r w:rsidRPr="00DB0341">
        <w:rPr>
          <w:rStyle w:val="FootnoteReference"/>
          <w:rFonts w:ascii="Times New Roman" w:hAnsi="Times New Roman"/>
        </w:rPr>
        <w:footnoteRef/>
      </w:r>
      <w:r w:rsidRPr="00DB0341">
        <w:rPr>
          <w:rFonts w:ascii="Times New Roman" w:hAnsi="Times New Roman"/>
        </w:rPr>
        <w:t xml:space="preserve"> Source: BLS Website, as of December 18, 2017. [https://www.bls.gov/oes/current/oes291171.htm]</w:t>
      </w:r>
    </w:p>
  </w:footnote>
  <w:footnote w:id="16">
    <w:p w14:paraId="6A92FEE7" w14:textId="77777777" w:rsidR="005F41E9" w:rsidRPr="00DB0341" w:rsidRDefault="005F41E9" w:rsidP="00C84AEB">
      <w:pPr>
        <w:pStyle w:val="FootnoteText"/>
        <w:rPr>
          <w:rFonts w:ascii="Times New Roman" w:hAnsi="Times New Roman"/>
        </w:rPr>
      </w:pPr>
      <w:r w:rsidRPr="00DB0341">
        <w:rPr>
          <w:rStyle w:val="FootnoteReference"/>
          <w:rFonts w:ascii="Times New Roman" w:hAnsi="Times New Roman"/>
        </w:rPr>
        <w:footnoteRef/>
      </w:r>
      <w:r w:rsidRPr="00DB0341">
        <w:rPr>
          <w:rFonts w:ascii="Times New Roman" w:hAnsi="Times New Roman"/>
        </w:rPr>
        <w:t xml:space="preserve"> Source: BLS Website, as of December 18, 2017. [https://www.bls.gov/oes/current/oes291071.htm]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3137E"/>
    <w:multiLevelType w:val="hybridMultilevel"/>
    <w:tmpl w:val="9172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50CEC"/>
    <w:multiLevelType w:val="hybridMultilevel"/>
    <w:tmpl w:val="6BAE7FF6"/>
    <w:lvl w:ilvl="0" w:tplc="DD00C462">
      <w:start w:val="2"/>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64F5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nsid w:val="0B1B3B36"/>
    <w:multiLevelType w:val="hybridMultilevel"/>
    <w:tmpl w:val="A2FC299C"/>
    <w:lvl w:ilvl="0" w:tplc="E12E371E">
      <w:start w:val="1"/>
      <w:numFmt w:val="decimal"/>
      <w:pStyle w:val="NORCTableList1"/>
      <w:lvlText w:val="%1."/>
      <w:lvlJc w:val="left"/>
      <w:pPr>
        <w:tabs>
          <w:tab w:val="num" w:pos="216"/>
        </w:tabs>
        <w:ind w:left="216" w:hanging="216"/>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755E84"/>
    <w:multiLevelType w:val="hybridMultilevel"/>
    <w:tmpl w:val="D8E69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CC44DFC">
      <w:start w:val="1"/>
      <w:numFmt w:val="decimal"/>
      <w:lvlText w:val="%3."/>
      <w:lvlJc w:val="left"/>
      <w:pPr>
        <w:ind w:left="2160" w:hanging="360"/>
      </w:pPr>
      <w:rPr>
        <w:rFonts w:asciiTheme="minorHAnsi" w:eastAsiaTheme="minorHAnsi" w:hAnsiTheme="minorHAnsi" w:cstheme="minorBidi"/>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E288C"/>
    <w:multiLevelType w:val="hybridMultilevel"/>
    <w:tmpl w:val="1CFE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AF065C"/>
    <w:multiLevelType w:val="hybridMultilevel"/>
    <w:tmpl w:val="6DB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F2677"/>
    <w:multiLevelType w:val="hybridMultilevel"/>
    <w:tmpl w:val="B7DE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87C08"/>
    <w:multiLevelType w:val="hybridMultilevel"/>
    <w:tmpl w:val="469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BD3348"/>
    <w:multiLevelType w:val="hybridMultilevel"/>
    <w:tmpl w:val="6D40C524"/>
    <w:lvl w:ilvl="0" w:tplc="9EB28E9E">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4728A"/>
    <w:multiLevelType w:val="hybridMultilevel"/>
    <w:tmpl w:val="ABFA1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692E28"/>
    <w:multiLevelType w:val="hybridMultilevel"/>
    <w:tmpl w:val="4A1EAEE2"/>
    <w:lvl w:ilvl="0" w:tplc="8BC45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7806C7"/>
    <w:multiLevelType w:val="hybridMultilevel"/>
    <w:tmpl w:val="40FA0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13F4A"/>
    <w:multiLevelType w:val="hybridMultilevel"/>
    <w:tmpl w:val="5A66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F15FD"/>
    <w:multiLevelType w:val="hybridMultilevel"/>
    <w:tmpl w:val="5DC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73F72"/>
    <w:multiLevelType w:val="hybridMultilevel"/>
    <w:tmpl w:val="9938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C600D"/>
    <w:multiLevelType w:val="hybridMultilevel"/>
    <w:tmpl w:val="29F29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B7B84"/>
    <w:multiLevelType w:val="hybridMultilevel"/>
    <w:tmpl w:val="25F0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221B0E"/>
    <w:multiLevelType w:val="hybridMultilevel"/>
    <w:tmpl w:val="21CA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9E6BC0"/>
    <w:multiLevelType w:val="hybridMultilevel"/>
    <w:tmpl w:val="3770341E"/>
    <w:lvl w:ilvl="0" w:tplc="E760E9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607A59"/>
    <w:multiLevelType w:val="hybridMultilevel"/>
    <w:tmpl w:val="6BF63D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0525EA"/>
    <w:multiLevelType w:val="hybridMultilevel"/>
    <w:tmpl w:val="91CA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CD1C87"/>
    <w:multiLevelType w:val="hybridMultilevel"/>
    <w:tmpl w:val="3334CE8E"/>
    <w:lvl w:ilvl="0" w:tplc="95C67AD0">
      <w:start w:val="1"/>
      <w:numFmt w:val="bullet"/>
      <w:pStyle w:val="NORCBullet3TimesNewRomanRound"/>
      <w:lvlText w:val="●"/>
      <w:lvlJc w:val="left"/>
      <w:pPr>
        <w:ind w:left="1440" w:hanging="360"/>
      </w:pPr>
      <w:rPr>
        <w:rFonts w:ascii="Times New Roman" w:hAnsi="Times New Roman" w:cs="Times New Roman" w:hint="default"/>
        <w:color w:val="F3901D"/>
        <w:sz w:val="18"/>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9D3071"/>
    <w:multiLevelType w:val="hybridMultilevel"/>
    <w:tmpl w:val="35B84874"/>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2"/>
  </w:num>
  <w:num w:numId="4">
    <w:abstractNumId w:val="3"/>
  </w:num>
  <w:num w:numId="5">
    <w:abstractNumId w:val="6"/>
  </w:num>
  <w:num w:numId="6">
    <w:abstractNumId w:val="15"/>
  </w:num>
  <w:num w:numId="7">
    <w:abstractNumId w:val="19"/>
  </w:num>
  <w:num w:numId="8">
    <w:abstractNumId w:val="7"/>
  </w:num>
  <w:num w:numId="9">
    <w:abstractNumId w:val="0"/>
  </w:num>
  <w:num w:numId="10">
    <w:abstractNumId w:val="17"/>
  </w:num>
  <w:num w:numId="11">
    <w:abstractNumId w:val="14"/>
  </w:num>
  <w:num w:numId="12">
    <w:abstractNumId w:val="5"/>
  </w:num>
  <w:num w:numId="13">
    <w:abstractNumId w:val="12"/>
  </w:num>
  <w:num w:numId="14">
    <w:abstractNumId w:val="1"/>
  </w:num>
  <w:num w:numId="15">
    <w:abstractNumId w:val="11"/>
  </w:num>
  <w:num w:numId="16">
    <w:abstractNumId w:val="20"/>
  </w:num>
  <w:num w:numId="17">
    <w:abstractNumId w:val="10"/>
  </w:num>
  <w:num w:numId="18">
    <w:abstractNumId w:val="21"/>
  </w:num>
  <w:num w:numId="19">
    <w:abstractNumId w:val="16"/>
  </w:num>
  <w:num w:numId="20">
    <w:abstractNumId w:val="4"/>
  </w:num>
  <w:num w:numId="21">
    <w:abstractNumId w:val="8"/>
  </w:num>
  <w:num w:numId="22">
    <w:abstractNumId w:val="18"/>
  </w:num>
  <w:num w:numId="23">
    <w:abstractNumId w:val="13"/>
  </w:num>
  <w:num w:numId="2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5exxfxvdvdr1ev0ap5xarczv0zexz0a2pp&quot;&gt;TBI library&lt;record-ids&gt;&lt;item&gt;390&lt;/item&gt;&lt;/record-ids&gt;&lt;/item&gt;&lt;/Libraries&gt;"/>
  </w:docVars>
  <w:rsids>
    <w:rsidRoot w:val="00757284"/>
    <w:rsid w:val="00003A9B"/>
    <w:rsid w:val="000053ED"/>
    <w:rsid w:val="00005E7E"/>
    <w:rsid w:val="00006871"/>
    <w:rsid w:val="00012B32"/>
    <w:rsid w:val="00014C7D"/>
    <w:rsid w:val="00016522"/>
    <w:rsid w:val="00020383"/>
    <w:rsid w:val="0002119E"/>
    <w:rsid w:val="000233A7"/>
    <w:rsid w:val="000343F0"/>
    <w:rsid w:val="00035319"/>
    <w:rsid w:val="00036BF5"/>
    <w:rsid w:val="00037CC2"/>
    <w:rsid w:val="00042323"/>
    <w:rsid w:val="00043136"/>
    <w:rsid w:val="00043E9A"/>
    <w:rsid w:val="000449BB"/>
    <w:rsid w:val="00046AA2"/>
    <w:rsid w:val="00047B33"/>
    <w:rsid w:val="00047CEF"/>
    <w:rsid w:val="00050FFB"/>
    <w:rsid w:val="00051BFF"/>
    <w:rsid w:val="000524B5"/>
    <w:rsid w:val="00052CE1"/>
    <w:rsid w:val="000533BB"/>
    <w:rsid w:val="000549D5"/>
    <w:rsid w:val="0005629D"/>
    <w:rsid w:val="00062133"/>
    <w:rsid w:val="000625F1"/>
    <w:rsid w:val="00062628"/>
    <w:rsid w:val="0006268B"/>
    <w:rsid w:val="00062A4E"/>
    <w:rsid w:val="000638CE"/>
    <w:rsid w:val="00066676"/>
    <w:rsid w:val="00067DDD"/>
    <w:rsid w:val="00070CA4"/>
    <w:rsid w:val="000728A5"/>
    <w:rsid w:val="00074159"/>
    <w:rsid w:val="0007581F"/>
    <w:rsid w:val="00076D93"/>
    <w:rsid w:val="00077BCD"/>
    <w:rsid w:val="00077D02"/>
    <w:rsid w:val="00077F23"/>
    <w:rsid w:val="00080306"/>
    <w:rsid w:val="000853F7"/>
    <w:rsid w:val="00086EF8"/>
    <w:rsid w:val="0009098A"/>
    <w:rsid w:val="00090E9C"/>
    <w:rsid w:val="00092F91"/>
    <w:rsid w:val="00093B64"/>
    <w:rsid w:val="00095327"/>
    <w:rsid w:val="000A1A08"/>
    <w:rsid w:val="000A265E"/>
    <w:rsid w:val="000A3519"/>
    <w:rsid w:val="000A3798"/>
    <w:rsid w:val="000A469F"/>
    <w:rsid w:val="000B053D"/>
    <w:rsid w:val="000B2C71"/>
    <w:rsid w:val="000B3481"/>
    <w:rsid w:val="000B4344"/>
    <w:rsid w:val="000B67B5"/>
    <w:rsid w:val="000C0A8C"/>
    <w:rsid w:val="000C1F1B"/>
    <w:rsid w:val="000C3029"/>
    <w:rsid w:val="000C3AA4"/>
    <w:rsid w:val="000C3C5B"/>
    <w:rsid w:val="000C3EB5"/>
    <w:rsid w:val="000C60E4"/>
    <w:rsid w:val="000C6407"/>
    <w:rsid w:val="000C67BF"/>
    <w:rsid w:val="000C79AC"/>
    <w:rsid w:val="000D0C31"/>
    <w:rsid w:val="000D3E54"/>
    <w:rsid w:val="000D638E"/>
    <w:rsid w:val="000D65FC"/>
    <w:rsid w:val="000E096F"/>
    <w:rsid w:val="000E7A98"/>
    <w:rsid w:val="000F0602"/>
    <w:rsid w:val="000F61BA"/>
    <w:rsid w:val="001019D2"/>
    <w:rsid w:val="00103CC8"/>
    <w:rsid w:val="0010441F"/>
    <w:rsid w:val="00105277"/>
    <w:rsid w:val="00106E58"/>
    <w:rsid w:val="001074A1"/>
    <w:rsid w:val="00110FB6"/>
    <w:rsid w:val="00111E91"/>
    <w:rsid w:val="0011295B"/>
    <w:rsid w:val="001155F5"/>
    <w:rsid w:val="001159D7"/>
    <w:rsid w:val="00116DF6"/>
    <w:rsid w:val="00117A36"/>
    <w:rsid w:val="00120761"/>
    <w:rsid w:val="00121BB9"/>
    <w:rsid w:val="00124A84"/>
    <w:rsid w:val="00127849"/>
    <w:rsid w:val="00127878"/>
    <w:rsid w:val="00130CC1"/>
    <w:rsid w:val="00135CBD"/>
    <w:rsid w:val="00137296"/>
    <w:rsid w:val="00137960"/>
    <w:rsid w:val="0014159C"/>
    <w:rsid w:val="0014182D"/>
    <w:rsid w:val="00141AB8"/>
    <w:rsid w:val="001422C5"/>
    <w:rsid w:val="00142ED4"/>
    <w:rsid w:val="00143F19"/>
    <w:rsid w:val="0014422D"/>
    <w:rsid w:val="001446C2"/>
    <w:rsid w:val="0015113B"/>
    <w:rsid w:val="001527A0"/>
    <w:rsid w:val="00152CE0"/>
    <w:rsid w:val="00154DD4"/>
    <w:rsid w:val="00156BCB"/>
    <w:rsid w:val="00163B3C"/>
    <w:rsid w:val="0016683D"/>
    <w:rsid w:val="00167B04"/>
    <w:rsid w:val="00167EB6"/>
    <w:rsid w:val="00171A39"/>
    <w:rsid w:val="001724FD"/>
    <w:rsid w:val="00172AD8"/>
    <w:rsid w:val="00173B70"/>
    <w:rsid w:val="00180021"/>
    <w:rsid w:val="0018102D"/>
    <w:rsid w:val="00181C51"/>
    <w:rsid w:val="00183B32"/>
    <w:rsid w:val="0018584F"/>
    <w:rsid w:val="0018588C"/>
    <w:rsid w:val="00187C07"/>
    <w:rsid w:val="001903B2"/>
    <w:rsid w:val="00190985"/>
    <w:rsid w:val="001924E6"/>
    <w:rsid w:val="00195363"/>
    <w:rsid w:val="00196082"/>
    <w:rsid w:val="0019640E"/>
    <w:rsid w:val="001A029A"/>
    <w:rsid w:val="001A07E5"/>
    <w:rsid w:val="001A125E"/>
    <w:rsid w:val="001A41F5"/>
    <w:rsid w:val="001A79CC"/>
    <w:rsid w:val="001B2C73"/>
    <w:rsid w:val="001B4345"/>
    <w:rsid w:val="001B46A7"/>
    <w:rsid w:val="001B5DD8"/>
    <w:rsid w:val="001B7617"/>
    <w:rsid w:val="001C0608"/>
    <w:rsid w:val="001C0A6E"/>
    <w:rsid w:val="001C1737"/>
    <w:rsid w:val="001C443F"/>
    <w:rsid w:val="001C6786"/>
    <w:rsid w:val="001C6DB5"/>
    <w:rsid w:val="001D17BD"/>
    <w:rsid w:val="001D17E1"/>
    <w:rsid w:val="001D50C0"/>
    <w:rsid w:val="001D67C2"/>
    <w:rsid w:val="001E0583"/>
    <w:rsid w:val="001E226C"/>
    <w:rsid w:val="001E25E7"/>
    <w:rsid w:val="001E3999"/>
    <w:rsid w:val="001E530A"/>
    <w:rsid w:val="001E5AFD"/>
    <w:rsid w:val="001E5CC1"/>
    <w:rsid w:val="001E7954"/>
    <w:rsid w:val="001F18A8"/>
    <w:rsid w:val="001F7153"/>
    <w:rsid w:val="002036BA"/>
    <w:rsid w:val="00203E25"/>
    <w:rsid w:val="00204BDA"/>
    <w:rsid w:val="002107AE"/>
    <w:rsid w:val="00211393"/>
    <w:rsid w:val="002117AA"/>
    <w:rsid w:val="00212432"/>
    <w:rsid w:val="00213943"/>
    <w:rsid w:val="0021638B"/>
    <w:rsid w:val="00216BBE"/>
    <w:rsid w:val="0021758D"/>
    <w:rsid w:val="002230FA"/>
    <w:rsid w:val="00226756"/>
    <w:rsid w:val="002270B2"/>
    <w:rsid w:val="00227A78"/>
    <w:rsid w:val="00230080"/>
    <w:rsid w:val="00230B24"/>
    <w:rsid w:val="002361F7"/>
    <w:rsid w:val="0023733A"/>
    <w:rsid w:val="002379D7"/>
    <w:rsid w:val="002404BB"/>
    <w:rsid w:val="00241C49"/>
    <w:rsid w:val="0024520E"/>
    <w:rsid w:val="00245446"/>
    <w:rsid w:val="002468B2"/>
    <w:rsid w:val="0025127A"/>
    <w:rsid w:val="00252409"/>
    <w:rsid w:val="00252CBB"/>
    <w:rsid w:val="00253B84"/>
    <w:rsid w:val="002540F9"/>
    <w:rsid w:val="00254452"/>
    <w:rsid w:val="00255985"/>
    <w:rsid w:val="002566C3"/>
    <w:rsid w:val="0025720F"/>
    <w:rsid w:val="002576AA"/>
    <w:rsid w:val="00257B9E"/>
    <w:rsid w:val="00261B75"/>
    <w:rsid w:val="002632DD"/>
    <w:rsid w:val="00264ABF"/>
    <w:rsid w:val="00264FA3"/>
    <w:rsid w:val="00270393"/>
    <w:rsid w:val="00272396"/>
    <w:rsid w:val="0027333F"/>
    <w:rsid w:val="002755B7"/>
    <w:rsid w:val="00275EF2"/>
    <w:rsid w:val="00281286"/>
    <w:rsid w:val="00282ACA"/>
    <w:rsid w:val="00283D2F"/>
    <w:rsid w:val="00284CF3"/>
    <w:rsid w:val="00285F98"/>
    <w:rsid w:val="002869ED"/>
    <w:rsid w:val="002879A6"/>
    <w:rsid w:val="00292FA8"/>
    <w:rsid w:val="0029341A"/>
    <w:rsid w:val="00294726"/>
    <w:rsid w:val="002948EE"/>
    <w:rsid w:val="00294FA3"/>
    <w:rsid w:val="002956F0"/>
    <w:rsid w:val="00296064"/>
    <w:rsid w:val="00297BF9"/>
    <w:rsid w:val="00297D39"/>
    <w:rsid w:val="002A17FF"/>
    <w:rsid w:val="002A3480"/>
    <w:rsid w:val="002A49B2"/>
    <w:rsid w:val="002A5612"/>
    <w:rsid w:val="002A71D5"/>
    <w:rsid w:val="002A7E47"/>
    <w:rsid w:val="002B0E63"/>
    <w:rsid w:val="002B1386"/>
    <w:rsid w:val="002B4EFB"/>
    <w:rsid w:val="002B5909"/>
    <w:rsid w:val="002C17AB"/>
    <w:rsid w:val="002C43AB"/>
    <w:rsid w:val="002C6F71"/>
    <w:rsid w:val="002D1628"/>
    <w:rsid w:val="002D23D8"/>
    <w:rsid w:val="002D7A64"/>
    <w:rsid w:val="002E35AF"/>
    <w:rsid w:val="002E378B"/>
    <w:rsid w:val="002E3CA1"/>
    <w:rsid w:val="002F15C7"/>
    <w:rsid w:val="002F1A12"/>
    <w:rsid w:val="002F27D6"/>
    <w:rsid w:val="002F27E8"/>
    <w:rsid w:val="002F33B3"/>
    <w:rsid w:val="002F35AC"/>
    <w:rsid w:val="002F53E6"/>
    <w:rsid w:val="00301316"/>
    <w:rsid w:val="00304925"/>
    <w:rsid w:val="00305061"/>
    <w:rsid w:val="00305D6A"/>
    <w:rsid w:val="00306D1D"/>
    <w:rsid w:val="00311E48"/>
    <w:rsid w:val="003163FE"/>
    <w:rsid w:val="0031776A"/>
    <w:rsid w:val="0032523B"/>
    <w:rsid w:val="00327F8A"/>
    <w:rsid w:val="00331843"/>
    <w:rsid w:val="0033305E"/>
    <w:rsid w:val="003358B0"/>
    <w:rsid w:val="003366A0"/>
    <w:rsid w:val="00344356"/>
    <w:rsid w:val="00344580"/>
    <w:rsid w:val="00345976"/>
    <w:rsid w:val="00350436"/>
    <w:rsid w:val="0035309F"/>
    <w:rsid w:val="003569B7"/>
    <w:rsid w:val="00357FFA"/>
    <w:rsid w:val="003627EC"/>
    <w:rsid w:val="00362C2E"/>
    <w:rsid w:val="00370163"/>
    <w:rsid w:val="00371F5B"/>
    <w:rsid w:val="003722D7"/>
    <w:rsid w:val="00374AFD"/>
    <w:rsid w:val="00375AEA"/>
    <w:rsid w:val="0037697E"/>
    <w:rsid w:val="00377F9F"/>
    <w:rsid w:val="003823E9"/>
    <w:rsid w:val="003826AD"/>
    <w:rsid w:val="00382E15"/>
    <w:rsid w:val="00384546"/>
    <w:rsid w:val="003846EC"/>
    <w:rsid w:val="00384D3C"/>
    <w:rsid w:val="00387753"/>
    <w:rsid w:val="00393AFE"/>
    <w:rsid w:val="00396B4C"/>
    <w:rsid w:val="003A0453"/>
    <w:rsid w:val="003B27C4"/>
    <w:rsid w:val="003B3F66"/>
    <w:rsid w:val="003B7BCD"/>
    <w:rsid w:val="003C0512"/>
    <w:rsid w:val="003C1AB6"/>
    <w:rsid w:val="003C1F72"/>
    <w:rsid w:val="003D2EF4"/>
    <w:rsid w:val="003D6A8E"/>
    <w:rsid w:val="003E1BB4"/>
    <w:rsid w:val="003E31A1"/>
    <w:rsid w:val="003E4044"/>
    <w:rsid w:val="003E5E02"/>
    <w:rsid w:val="003E6F02"/>
    <w:rsid w:val="003F299E"/>
    <w:rsid w:val="003F5C73"/>
    <w:rsid w:val="003F60B5"/>
    <w:rsid w:val="003F6B2D"/>
    <w:rsid w:val="004031B9"/>
    <w:rsid w:val="00411702"/>
    <w:rsid w:val="0041721D"/>
    <w:rsid w:val="00417435"/>
    <w:rsid w:val="00421EC6"/>
    <w:rsid w:val="00424042"/>
    <w:rsid w:val="00425042"/>
    <w:rsid w:val="0042644B"/>
    <w:rsid w:val="0042762B"/>
    <w:rsid w:val="00430AA9"/>
    <w:rsid w:val="00433769"/>
    <w:rsid w:val="00436CF1"/>
    <w:rsid w:val="00436F47"/>
    <w:rsid w:val="00437FE4"/>
    <w:rsid w:val="00442677"/>
    <w:rsid w:val="00445EF8"/>
    <w:rsid w:val="00446497"/>
    <w:rsid w:val="00451878"/>
    <w:rsid w:val="004518DD"/>
    <w:rsid w:val="00451C6B"/>
    <w:rsid w:val="00452333"/>
    <w:rsid w:val="00454999"/>
    <w:rsid w:val="004615DD"/>
    <w:rsid w:val="00462235"/>
    <w:rsid w:val="0046265C"/>
    <w:rsid w:val="00462DF2"/>
    <w:rsid w:val="00466FF0"/>
    <w:rsid w:val="004679BE"/>
    <w:rsid w:val="00471C85"/>
    <w:rsid w:val="00475691"/>
    <w:rsid w:val="00476469"/>
    <w:rsid w:val="00480A02"/>
    <w:rsid w:val="0048633D"/>
    <w:rsid w:val="0048672C"/>
    <w:rsid w:val="00487947"/>
    <w:rsid w:val="00487948"/>
    <w:rsid w:val="00487B02"/>
    <w:rsid w:val="00491780"/>
    <w:rsid w:val="00492CDB"/>
    <w:rsid w:val="00493EB5"/>
    <w:rsid w:val="00494D82"/>
    <w:rsid w:val="004A09F4"/>
    <w:rsid w:val="004A0ADF"/>
    <w:rsid w:val="004A0FB3"/>
    <w:rsid w:val="004A1D74"/>
    <w:rsid w:val="004A1E45"/>
    <w:rsid w:val="004A4BF4"/>
    <w:rsid w:val="004A596B"/>
    <w:rsid w:val="004B2BAC"/>
    <w:rsid w:val="004B5AC7"/>
    <w:rsid w:val="004B5CEC"/>
    <w:rsid w:val="004B7C04"/>
    <w:rsid w:val="004B7F19"/>
    <w:rsid w:val="004C152E"/>
    <w:rsid w:val="004C676E"/>
    <w:rsid w:val="004C720A"/>
    <w:rsid w:val="004C7A76"/>
    <w:rsid w:val="004D28C1"/>
    <w:rsid w:val="004D2CB0"/>
    <w:rsid w:val="004D6C79"/>
    <w:rsid w:val="004E1167"/>
    <w:rsid w:val="004E5B6F"/>
    <w:rsid w:val="004E76B8"/>
    <w:rsid w:val="004F1C3C"/>
    <w:rsid w:val="004F23BE"/>
    <w:rsid w:val="004F6042"/>
    <w:rsid w:val="004F7BE5"/>
    <w:rsid w:val="0050157C"/>
    <w:rsid w:val="00506F83"/>
    <w:rsid w:val="0051055F"/>
    <w:rsid w:val="005114A1"/>
    <w:rsid w:val="00516CB8"/>
    <w:rsid w:val="00517C62"/>
    <w:rsid w:val="00522AE8"/>
    <w:rsid w:val="005248A4"/>
    <w:rsid w:val="00525FEF"/>
    <w:rsid w:val="00530A2B"/>
    <w:rsid w:val="00531102"/>
    <w:rsid w:val="0053150E"/>
    <w:rsid w:val="0053170A"/>
    <w:rsid w:val="00537659"/>
    <w:rsid w:val="005421EA"/>
    <w:rsid w:val="0054565C"/>
    <w:rsid w:val="00547C60"/>
    <w:rsid w:val="00550431"/>
    <w:rsid w:val="0055305A"/>
    <w:rsid w:val="00553312"/>
    <w:rsid w:val="00553C68"/>
    <w:rsid w:val="00554F22"/>
    <w:rsid w:val="0055519B"/>
    <w:rsid w:val="005565DC"/>
    <w:rsid w:val="0055718E"/>
    <w:rsid w:val="005630DE"/>
    <w:rsid w:val="005643DD"/>
    <w:rsid w:val="0056440E"/>
    <w:rsid w:val="005655A8"/>
    <w:rsid w:val="00565A68"/>
    <w:rsid w:val="0056766C"/>
    <w:rsid w:val="00570404"/>
    <w:rsid w:val="00574B78"/>
    <w:rsid w:val="005760D2"/>
    <w:rsid w:val="00577733"/>
    <w:rsid w:val="00577925"/>
    <w:rsid w:val="0058129A"/>
    <w:rsid w:val="00583D65"/>
    <w:rsid w:val="005845C1"/>
    <w:rsid w:val="0058503E"/>
    <w:rsid w:val="00585E61"/>
    <w:rsid w:val="00586D21"/>
    <w:rsid w:val="00586D8B"/>
    <w:rsid w:val="00590099"/>
    <w:rsid w:val="005916D7"/>
    <w:rsid w:val="00591AA2"/>
    <w:rsid w:val="005929A1"/>
    <w:rsid w:val="0059475A"/>
    <w:rsid w:val="00596112"/>
    <w:rsid w:val="005A0D28"/>
    <w:rsid w:val="005A1551"/>
    <w:rsid w:val="005A7596"/>
    <w:rsid w:val="005B06D4"/>
    <w:rsid w:val="005B0D89"/>
    <w:rsid w:val="005B492D"/>
    <w:rsid w:val="005B492F"/>
    <w:rsid w:val="005B4C07"/>
    <w:rsid w:val="005B5C95"/>
    <w:rsid w:val="005B7B20"/>
    <w:rsid w:val="005C6DC9"/>
    <w:rsid w:val="005C6FB8"/>
    <w:rsid w:val="005D0392"/>
    <w:rsid w:val="005D03F0"/>
    <w:rsid w:val="005D427D"/>
    <w:rsid w:val="005E042F"/>
    <w:rsid w:val="005E5B6A"/>
    <w:rsid w:val="005E793C"/>
    <w:rsid w:val="005E7B47"/>
    <w:rsid w:val="005F3364"/>
    <w:rsid w:val="005F41E9"/>
    <w:rsid w:val="005F44B9"/>
    <w:rsid w:val="00600824"/>
    <w:rsid w:val="006029CF"/>
    <w:rsid w:val="006036A5"/>
    <w:rsid w:val="00603925"/>
    <w:rsid w:val="00605269"/>
    <w:rsid w:val="00613C96"/>
    <w:rsid w:val="00613DEC"/>
    <w:rsid w:val="00622C43"/>
    <w:rsid w:val="00623CF8"/>
    <w:rsid w:val="00623E1B"/>
    <w:rsid w:val="0062610A"/>
    <w:rsid w:val="00626774"/>
    <w:rsid w:val="006271F2"/>
    <w:rsid w:val="00631A8E"/>
    <w:rsid w:val="006325A4"/>
    <w:rsid w:val="00632A19"/>
    <w:rsid w:val="00633A3B"/>
    <w:rsid w:val="006372D0"/>
    <w:rsid w:val="00640159"/>
    <w:rsid w:val="006413EC"/>
    <w:rsid w:val="00645336"/>
    <w:rsid w:val="006511BA"/>
    <w:rsid w:val="00652912"/>
    <w:rsid w:val="00653320"/>
    <w:rsid w:val="0065343D"/>
    <w:rsid w:val="00653F7F"/>
    <w:rsid w:val="00655748"/>
    <w:rsid w:val="00661611"/>
    <w:rsid w:val="00663264"/>
    <w:rsid w:val="00665200"/>
    <w:rsid w:val="006766F5"/>
    <w:rsid w:val="0067761D"/>
    <w:rsid w:val="006874AA"/>
    <w:rsid w:val="00692CFD"/>
    <w:rsid w:val="0069326B"/>
    <w:rsid w:val="00694967"/>
    <w:rsid w:val="0069553A"/>
    <w:rsid w:val="0069575D"/>
    <w:rsid w:val="00696569"/>
    <w:rsid w:val="006A034D"/>
    <w:rsid w:val="006A299B"/>
    <w:rsid w:val="006A2B06"/>
    <w:rsid w:val="006B16A7"/>
    <w:rsid w:val="006B5DF5"/>
    <w:rsid w:val="006B665B"/>
    <w:rsid w:val="006B6A71"/>
    <w:rsid w:val="006B70B8"/>
    <w:rsid w:val="006C12E1"/>
    <w:rsid w:val="006C1F6C"/>
    <w:rsid w:val="006C3065"/>
    <w:rsid w:val="006C4D7B"/>
    <w:rsid w:val="006C4F2B"/>
    <w:rsid w:val="006C4F37"/>
    <w:rsid w:val="006C559F"/>
    <w:rsid w:val="006C5B7C"/>
    <w:rsid w:val="006C6E8D"/>
    <w:rsid w:val="006C790B"/>
    <w:rsid w:val="006C7BBA"/>
    <w:rsid w:val="006D2171"/>
    <w:rsid w:val="006D3E5C"/>
    <w:rsid w:val="006D4369"/>
    <w:rsid w:val="006D5A42"/>
    <w:rsid w:val="006D7652"/>
    <w:rsid w:val="006E0EA6"/>
    <w:rsid w:val="006E6FEC"/>
    <w:rsid w:val="00707716"/>
    <w:rsid w:val="00707D1B"/>
    <w:rsid w:val="00707E56"/>
    <w:rsid w:val="00711A78"/>
    <w:rsid w:val="00714619"/>
    <w:rsid w:val="0072056F"/>
    <w:rsid w:val="00724915"/>
    <w:rsid w:val="00730453"/>
    <w:rsid w:val="00730511"/>
    <w:rsid w:val="00732689"/>
    <w:rsid w:val="00741372"/>
    <w:rsid w:val="0074597C"/>
    <w:rsid w:val="00745DC0"/>
    <w:rsid w:val="00746421"/>
    <w:rsid w:val="0075085B"/>
    <w:rsid w:val="00750D46"/>
    <w:rsid w:val="007548FD"/>
    <w:rsid w:val="00755742"/>
    <w:rsid w:val="00757284"/>
    <w:rsid w:val="00760901"/>
    <w:rsid w:val="00764097"/>
    <w:rsid w:val="007644CF"/>
    <w:rsid w:val="0077234B"/>
    <w:rsid w:val="00774262"/>
    <w:rsid w:val="007749CD"/>
    <w:rsid w:val="0077746B"/>
    <w:rsid w:val="00781E47"/>
    <w:rsid w:val="00786714"/>
    <w:rsid w:val="00791E61"/>
    <w:rsid w:val="00795356"/>
    <w:rsid w:val="007A18B1"/>
    <w:rsid w:val="007A1D06"/>
    <w:rsid w:val="007A1EAC"/>
    <w:rsid w:val="007A347F"/>
    <w:rsid w:val="007A6D92"/>
    <w:rsid w:val="007A798D"/>
    <w:rsid w:val="007B05CC"/>
    <w:rsid w:val="007B1CA7"/>
    <w:rsid w:val="007C16AE"/>
    <w:rsid w:val="007C7562"/>
    <w:rsid w:val="007C7E80"/>
    <w:rsid w:val="007D1485"/>
    <w:rsid w:val="007D426A"/>
    <w:rsid w:val="007D47CC"/>
    <w:rsid w:val="007D575F"/>
    <w:rsid w:val="007D7E29"/>
    <w:rsid w:val="007D7E88"/>
    <w:rsid w:val="007E1717"/>
    <w:rsid w:val="007E2EEA"/>
    <w:rsid w:val="007E4679"/>
    <w:rsid w:val="007E60D0"/>
    <w:rsid w:val="007F5E15"/>
    <w:rsid w:val="007F5E7F"/>
    <w:rsid w:val="007F77F9"/>
    <w:rsid w:val="007F7A14"/>
    <w:rsid w:val="008051CF"/>
    <w:rsid w:val="00811873"/>
    <w:rsid w:val="008129C2"/>
    <w:rsid w:val="008129CE"/>
    <w:rsid w:val="0081423B"/>
    <w:rsid w:val="008148BA"/>
    <w:rsid w:val="00814F10"/>
    <w:rsid w:val="008173FC"/>
    <w:rsid w:val="00820B53"/>
    <w:rsid w:val="00820BCF"/>
    <w:rsid w:val="00820C65"/>
    <w:rsid w:val="00822548"/>
    <w:rsid w:val="0082277A"/>
    <w:rsid w:val="00822AF5"/>
    <w:rsid w:val="00823C6C"/>
    <w:rsid w:val="00823D01"/>
    <w:rsid w:val="008247A5"/>
    <w:rsid w:val="00824C51"/>
    <w:rsid w:val="00826C95"/>
    <w:rsid w:val="0082729D"/>
    <w:rsid w:val="00837319"/>
    <w:rsid w:val="008409B0"/>
    <w:rsid w:val="008544FA"/>
    <w:rsid w:val="008572F9"/>
    <w:rsid w:val="00857D5B"/>
    <w:rsid w:val="00860008"/>
    <w:rsid w:val="00866A62"/>
    <w:rsid w:val="00867A68"/>
    <w:rsid w:val="00867E17"/>
    <w:rsid w:val="00872347"/>
    <w:rsid w:val="00875D5E"/>
    <w:rsid w:val="008768A4"/>
    <w:rsid w:val="00877599"/>
    <w:rsid w:val="00877B03"/>
    <w:rsid w:val="00880750"/>
    <w:rsid w:val="00881127"/>
    <w:rsid w:val="00884A3A"/>
    <w:rsid w:val="00890C42"/>
    <w:rsid w:val="00893117"/>
    <w:rsid w:val="008933FD"/>
    <w:rsid w:val="008940C9"/>
    <w:rsid w:val="0089427A"/>
    <w:rsid w:val="0089485A"/>
    <w:rsid w:val="008A01FF"/>
    <w:rsid w:val="008A066D"/>
    <w:rsid w:val="008A3B40"/>
    <w:rsid w:val="008A3B5A"/>
    <w:rsid w:val="008A4D9D"/>
    <w:rsid w:val="008A6266"/>
    <w:rsid w:val="008B290E"/>
    <w:rsid w:val="008B4C60"/>
    <w:rsid w:val="008B61F1"/>
    <w:rsid w:val="008B7839"/>
    <w:rsid w:val="008C2EF6"/>
    <w:rsid w:val="008C6CA3"/>
    <w:rsid w:val="008D2002"/>
    <w:rsid w:val="008D491A"/>
    <w:rsid w:val="008D546F"/>
    <w:rsid w:val="008D6B20"/>
    <w:rsid w:val="008E1123"/>
    <w:rsid w:val="008E296B"/>
    <w:rsid w:val="008E6A88"/>
    <w:rsid w:val="008E6F51"/>
    <w:rsid w:val="008E748A"/>
    <w:rsid w:val="008F299C"/>
    <w:rsid w:val="008F4D4A"/>
    <w:rsid w:val="008F5C1C"/>
    <w:rsid w:val="00901C9F"/>
    <w:rsid w:val="00902079"/>
    <w:rsid w:val="0090398D"/>
    <w:rsid w:val="00905AED"/>
    <w:rsid w:val="00907A7E"/>
    <w:rsid w:val="00910E57"/>
    <w:rsid w:val="00912398"/>
    <w:rsid w:val="009206CC"/>
    <w:rsid w:val="00920CE8"/>
    <w:rsid w:val="0092108A"/>
    <w:rsid w:val="00921E23"/>
    <w:rsid w:val="0092493A"/>
    <w:rsid w:val="009270DB"/>
    <w:rsid w:val="00927D2E"/>
    <w:rsid w:val="00932701"/>
    <w:rsid w:val="0093349E"/>
    <w:rsid w:val="00934EA1"/>
    <w:rsid w:val="009365F3"/>
    <w:rsid w:val="00940D25"/>
    <w:rsid w:val="0094156D"/>
    <w:rsid w:val="00941D5D"/>
    <w:rsid w:val="009456F2"/>
    <w:rsid w:val="0094717E"/>
    <w:rsid w:val="00947AF3"/>
    <w:rsid w:val="00952216"/>
    <w:rsid w:val="00952A00"/>
    <w:rsid w:val="009548DB"/>
    <w:rsid w:val="0095541D"/>
    <w:rsid w:val="00957088"/>
    <w:rsid w:val="00962CDB"/>
    <w:rsid w:val="0096373F"/>
    <w:rsid w:val="009661A6"/>
    <w:rsid w:val="00967D00"/>
    <w:rsid w:val="009705C2"/>
    <w:rsid w:val="0097148E"/>
    <w:rsid w:val="009755C5"/>
    <w:rsid w:val="009772CE"/>
    <w:rsid w:val="00982996"/>
    <w:rsid w:val="00982F8F"/>
    <w:rsid w:val="0098395F"/>
    <w:rsid w:val="00984DC6"/>
    <w:rsid w:val="009903B9"/>
    <w:rsid w:val="009911B7"/>
    <w:rsid w:val="00991F77"/>
    <w:rsid w:val="009940DE"/>
    <w:rsid w:val="00995B85"/>
    <w:rsid w:val="00997DC0"/>
    <w:rsid w:val="009A120B"/>
    <w:rsid w:val="009A5C47"/>
    <w:rsid w:val="009A6E7E"/>
    <w:rsid w:val="009B126E"/>
    <w:rsid w:val="009B1D49"/>
    <w:rsid w:val="009B2979"/>
    <w:rsid w:val="009C010B"/>
    <w:rsid w:val="009C3CE5"/>
    <w:rsid w:val="009C5312"/>
    <w:rsid w:val="009C67C0"/>
    <w:rsid w:val="009C7BD8"/>
    <w:rsid w:val="009C7F13"/>
    <w:rsid w:val="009D070B"/>
    <w:rsid w:val="009D0FA6"/>
    <w:rsid w:val="009D2831"/>
    <w:rsid w:val="009D2880"/>
    <w:rsid w:val="009D356F"/>
    <w:rsid w:val="009D365F"/>
    <w:rsid w:val="009D3A28"/>
    <w:rsid w:val="009D3BEA"/>
    <w:rsid w:val="009D54B5"/>
    <w:rsid w:val="009D63EE"/>
    <w:rsid w:val="009E229C"/>
    <w:rsid w:val="009E2621"/>
    <w:rsid w:val="009E4269"/>
    <w:rsid w:val="009E44C7"/>
    <w:rsid w:val="009E719F"/>
    <w:rsid w:val="009E7232"/>
    <w:rsid w:val="009F1877"/>
    <w:rsid w:val="009F26ED"/>
    <w:rsid w:val="009F3F1A"/>
    <w:rsid w:val="009F5E39"/>
    <w:rsid w:val="009F7EE8"/>
    <w:rsid w:val="00A01B3C"/>
    <w:rsid w:val="00A06DB1"/>
    <w:rsid w:val="00A108A7"/>
    <w:rsid w:val="00A132F2"/>
    <w:rsid w:val="00A235DF"/>
    <w:rsid w:val="00A2525A"/>
    <w:rsid w:val="00A2527E"/>
    <w:rsid w:val="00A256AC"/>
    <w:rsid w:val="00A25D92"/>
    <w:rsid w:val="00A25D93"/>
    <w:rsid w:val="00A26C38"/>
    <w:rsid w:val="00A26C80"/>
    <w:rsid w:val="00A31B47"/>
    <w:rsid w:val="00A33256"/>
    <w:rsid w:val="00A36779"/>
    <w:rsid w:val="00A42694"/>
    <w:rsid w:val="00A4504E"/>
    <w:rsid w:val="00A454B7"/>
    <w:rsid w:val="00A455D2"/>
    <w:rsid w:val="00A473AC"/>
    <w:rsid w:val="00A6149D"/>
    <w:rsid w:val="00A6297F"/>
    <w:rsid w:val="00A62AC8"/>
    <w:rsid w:val="00A637F9"/>
    <w:rsid w:val="00A67AFF"/>
    <w:rsid w:val="00A7489B"/>
    <w:rsid w:val="00A7635B"/>
    <w:rsid w:val="00A76FFF"/>
    <w:rsid w:val="00A83350"/>
    <w:rsid w:val="00A836B0"/>
    <w:rsid w:val="00A83B76"/>
    <w:rsid w:val="00A84AAB"/>
    <w:rsid w:val="00A852A2"/>
    <w:rsid w:val="00A87171"/>
    <w:rsid w:val="00A87470"/>
    <w:rsid w:val="00A933CB"/>
    <w:rsid w:val="00A9377F"/>
    <w:rsid w:val="00AA0339"/>
    <w:rsid w:val="00AB0400"/>
    <w:rsid w:val="00AB0A92"/>
    <w:rsid w:val="00AB2FE4"/>
    <w:rsid w:val="00AB3130"/>
    <w:rsid w:val="00AB349F"/>
    <w:rsid w:val="00AB406E"/>
    <w:rsid w:val="00AB4121"/>
    <w:rsid w:val="00AB6264"/>
    <w:rsid w:val="00AC0FC2"/>
    <w:rsid w:val="00AC5BC3"/>
    <w:rsid w:val="00AC7936"/>
    <w:rsid w:val="00AD1C6E"/>
    <w:rsid w:val="00AD5A3B"/>
    <w:rsid w:val="00AE122B"/>
    <w:rsid w:val="00AE2D5B"/>
    <w:rsid w:val="00AE60C4"/>
    <w:rsid w:val="00AF2AF0"/>
    <w:rsid w:val="00AF4E6C"/>
    <w:rsid w:val="00B007CD"/>
    <w:rsid w:val="00B04287"/>
    <w:rsid w:val="00B125DA"/>
    <w:rsid w:val="00B20AAC"/>
    <w:rsid w:val="00B22278"/>
    <w:rsid w:val="00B2311D"/>
    <w:rsid w:val="00B24A81"/>
    <w:rsid w:val="00B2510D"/>
    <w:rsid w:val="00B2541C"/>
    <w:rsid w:val="00B27857"/>
    <w:rsid w:val="00B3360B"/>
    <w:rsid w:val="00B3463E"/>
    <w:rsid w:val="00B34C26"/>
    <w:rsid w:val="00B3745A"/>
    <w:rsid w:val="00B44ED3"/>
    <w:rsid w:val="00B457C3"/>
    <w:rsid w:val="00B46C76"/>
    <w:rsid w:val="00B5149D"/>
    <w:rsid w:val="00B53E25"/>
    <w:rsid w:val="00B55267"/>
    <w:rsid w:val="00B61871"/>
    <w:rsid w:val="00B61930"/>
    <w:rsid w:val="00B62450"/>
    <w:rsid w:val="00B64632"/>
    <w:rsid w:val="00B64B61"/>
    <w:rsid w:val="00B6734D"/>
    <w:rsid w:val="00B7218F"/>
    <w:rsid w:val="00B726DA"/>
    <w:rsid w:val="00B73930"/>
    <w:rsid w:val="00B73D2C"/>
    <w:rsid w:val="00B7539F"/>
    <w:rsid w:val="00B75A57"/>
    <w:rsid w:val="00B76E91"/>
    <w:rsid w:val="00B85E1D"/>
    <w:rsid w:val="00B866FE"/>
    <w:rsid w:val="00B86B34"/>
    <w:rsid w:val="00B9152A"/>
    <w:rsid w:val="00B916BC"/>
    <w:rsid w:val="00B945CC"/>
    <w:rsid w:val="00B95747"/>
    <w:rsid w:val="00BA364E"/>
    <w:rsid w:val="00BA3E93"/>
    <w:rsid w:val="00BA48A7"/>
    <w:rsid w:val="00BA4E74"/>
    <w:rsid w:val="00BA50C1"/>
    <w:rsid w:val="00BA64D1"/>
    <w:rsid w:val="00BA6BDA"/>
    <w:rsid w:val="00BA7E45"/>
    <w:rsid w:val="00BB2FA9"/>
    <w:rsid w:val="00BB3ADA"/>
    <w:rsid w:val="00BB3AE0"/>
    <w:rsid w:val="00BB3B8B"/>
    <w:rsid w:val="00BB5EE5"/>
    <w:rsid w:val="00BB7BE2"/>
    <w:rsid w:val="00BB7FA2"/>
    <w:rsid w:val="00BC1185"/>
    <w:rsid w:val="00BC3431"/>
    <w:rsid w:val="00BC392C"/>
    <w:rsid w:val="00BC6101"/>
    <w:rsid w:val="00BC6C4B"/>
    <w:rsid w:val="00BD0696"/>
    <w:rsid w:val="00BD14B3"/>
    <w:rsid w:val="00BD2058"/>
    <w:rsid w:val="00BD2658"/>
    <w:rsid w:val="00BD4054"/>
    <w:rsid w:val="00BD462C"/>
    <w:rsid w:val="00BD4E25"/>
    <w:rsid w:val="00BD6709"/>
    <w:rsid w:val="00BD6DF0"/>
    <w:rsid w:val="00BE3618"/>
    <w:rsid w:val="00BE5C6B"/>
    <w:rsid w:val="00BF0C51"/>
    <w:rsid w:val="00BF170C"/>
    <w:rsid w:val="00BF1765"/>
    <w:rsid w:val="00BF3ABA"/>
    <w:rsid w:val="00BF6A6E"/>
    <w:rsid w:val="00BF7025"/>
    <w:rsid w:val="00C00CF3"/>
    <w:rsid w:val="00C03353"/>
    <w:rsid w:val="00C04075"/>
    <w:rsid w:val="00C1202E"/>
    <w:rsid w:val="00C12A2C"/>
    <w:rsid w:val="00C17DE0"/>
    <w:rsid w:val="00C21368"/>
    <w:rsid w:val="00C22184"/>
    <w:rsid w:val="00C24F5E"/>
    <w:rsid w:val="00C26E5F"/>
    <w:rsid w:val="00C34A56"/>
    <w:rsid w:val="00C3582A"/>
    <w:rsid w:val="00C35A3A"/>
    <w:rsid w:val="00C35B5F"/>
    <w:rsid w:val="00C40886"/>
    <w:rsid w:val="00C40DC9"/>
    <w:rsid w:val="00C43528"/>
    <w:rsid w:val="00C44911"/>
    <w:rsid w:val="00C51F26"/>
    <w:rsid w:val="00C535C1"/>
    <w:rsid w:val="00C5455D"/>
    <w:rsid w:val="00C56814"/>
    <w:rsid w:val="00C56F01"/>
    <w:rsid w:val="00C578C8"/>
    <w:rsid w:val="00C71F7E"/>
    <w:rsid w:val="00C74945"/>
    <w:rsid w:val="00C75117"/>
    <w:rsid w:val="00C75120"/>
    <w:rsid w:val="00C76469"/>
    <w:rsid w:val="00C76925"/>
    <w:rsid w:val="00C77748"/>
    <w:rsid w:val="00C82274"/>
    <w:rsid w:val="00C84AEB"/>
    <w:rsid w:val="00C95FC9"/>
    <w:rsid w:val="00CA1D4C"/>
    <w:rsid w:val="00CA41C5"/>
    <w:rsid w:val="00CA44FF"/>
    <w:rsid w:val="00CA69F0"/>
    <w:rsid w:val="00CB3FA2"/>
    <w:rsid w:val="00CB568D"/>
    <w:rsid w:val="00CB5FB7"/>
    <w:rsid w:val="00CB7034"/>
    <w:rsid w:val="00CC04A8"/>
    <w:rsid w:val="00CC0F27"/>
    <w:rsid w:val="00CC0F74"/>
    <w:rsid w:val="00CC1879"/>
    <w:rsid w:val="00CC1BAB"/>
    <w:rsid w:val="00CC342E"/>
    <w:rsid w:val="00CC3657"/>
    <w:rsid w:val="00CC4CF6"/>
    <w:rsid w:val="00CC52AD"/>
    <w:rsid w:val="00CC70A1"/>
    <w:rsid w:val="00CD0573"/>
    <w:rsid w:val="00CD1485"/>
    <w:rsid w:val="00CD645B"/>
    <w:rsid w:val="00CD7A74"/>
    <w:rsid w:val="00CE4569"/>
    <w:rsid w:val="00CE46DD"/>
    <w:rsid w:val="00CE5F37"/>
    <w:rsid w:val="00CF253F"/>
    <w:rsid w:val="00CF63AA"/>
    <w:rsid w:val="00CF6561"/>
    <w:rsid w:val="00CF7DC7"/>
    <w:rsid w:val="00D0099D"/>
    <w:rsid w:val="00D03BB2"/>
    <w:rsid w:val="00D04097"/>
    <w:rsid w:val="00D04335"/>
    <w:rsid w:val="00D057E3"/>
    <w:rsid w:val="00D108E5"/>
    <w:rsid w:val="00D11766"/>
    <w:rsid w:val="00D11BCA"/>
    <w:rsid w:val="00D13AB1"/>
    <w:rsid w:val="00D14078"/>
    <w:rsid w:val="00D14535"/>
    <w:rsid w:val="00D15EFA"/>
    <w:rsid w:val="00D16404"/>
    <w:rsid w:val="00D1659A"/>
    <w:rsid w:val="00D23DA2"/>
    <w:rsid w:val="00D23EAE"/>
    <w:rsid w:val="00D32013"/>
    <w:rsid w:val="00D32400"/>
    <w:rsid w:val="00D3281E"/>
    <w:rsid w:val="00D32AB7"/>
    <w:rsid w:val="00D32D68"/>
    <w:rsid w:val="00D3365E"/>
    <w:rsid w:val="00D34191"/>
    <w:rsid w:val="00D42331"/>
    <w:rsid w:val="00D45CCD"/>
    <w:rsid w:val="00D46F02"/>
    <w:rsid w:val="00D53767"/>
    <w:rsid w:val="00D563D8"/>
    <w:rsid w:val="00D57D88"/>
    <w:rsid w:val="00D60CEC"/>
    <w:rsid w:val="00D64162"/>
    <w:rsid w:val="00D64D60"/>
    <w:rsid w:val="00D66DC5"/>
    <w:rsid w:val="00D70375"/>
    <w:rsid w:val="00D70636"/>
    <w:rsid w:val="00D7087D"/>
    <w:rsid w:val="00D70E86"/>
    <w:rsid w:val="00D70EA4"/>
    <w:rsid w:val="00D72A9F"/>
    <w:rsid w:val="00D74208"/>
    <w:rsid w:val="00D754C1"/>
    <w:rsid w:val="00D76A89"/>
    <w:rsid w:val="00D76D9A"/>
    <w:rsid w:val="00D77783"/>
    <w:rsid w:val="00D800A8"/>
    <w:rsid w:val="00D8082B"/>
    <w:rsid w:val="00D80847"/>
    <w:rsid w:val="00D825DD"/>
    <w:rsid w:val="00D83F1E"/>
    <w:rsid w:val="00D87EC2"/>
    <w:rsid w:val="00D90D74"/>
    <w:rsid w:val="00D926A1"/>
    <w:rsid w:val="00D9304F"/>
    <w:rsid w:val="00D93FEA"/>
    <w:rsid w:val="00D95D52"/>
    <w:rsid w:val="00D97B4A"/>
    <w:rsid w:val="00DA1133"/>
    <w:rsid w:val="00DA114E"/>
    <w:rsid w:val="00DA1434"/>
    <w:rsid w:val="00DA1881"/>
    <w:rsid w:val="00DA2416"/>
    <w:rsid w:val="00DA3A97"/>
    <w:rsid w:val="00DA4593"/>
    <w:rsid w:val="00DA5830"/>
    <w:rsid w:val="00DA5A5C"/>
    <w:rsid w:val="00DA7ADB"/>
    <w:rsid w:val="00DB0341"/>
    <w:rsid w:val="00DB3792"/>
    <w:rsid w:val="00DB3DFA"/>
    <w:rsid w:val="00DB420A"/>
    <w:rsid w:val="00DB430A"/>
    <w:rsid w:val="00DB5B47"/>
    <w:rsid w:val="00DC0FCD"/>
    <w:rsid w:val="00DC1EAE"/>
    <w:rsid w:val="00DC2057"/>
    <w:rsid w:val="00DC2645"/>
    <w:rsid w:val="00DC3D4F"/>
    <w:rsid w:val="00DC4288"/>
    <w:rsid w:val="00DC4C58"/>
    <w:rsid w:val="00DC5CE6"/>
    <w:rsid w:val="00DC7278"/>
    <w:rsid w:val="00DD3C1C"/>
    <w:rsid w:val="00DD7D44"/>
    <w:rsid w:val="00DE2F93"/>
    <w:rsid w:val="00DE4593"/>
    <w:rsid w:val="00DF1256"/>
    <w:rsid w:val="00DF15DA"/>
    <w:rsid w:val="00DF219A"/>
    <w:rsid w:val="00DF3A1C"/>
    <w:rsid w:val="00E00910"/>
    <w:rsid w:val="00E02A1D"/>
    <w:rsid w:val="00E04404"/>
    <w:rsid w:val="00E0511B"/>
    <w:rsid w:val="00E076A2"/>
    <w:rsid w:val="00E15962"/>
    <w:rsid w:val="00E1623D"/>
    <w:rsid w:val="00E16C1B"/>
    <w:rsid w:val="00E174F2"/>
    <w:rsid w:val="00E17D21"/>
    <w:rsid w:val="00E2159F"/>
    <w:rsid w:val="00E215D9"/>
    <w:rsid w:val="00E21FF2"/>
    <w:rsid w:val="00E229D9"/>
    <w:rsid w:val="00E23DE7"/>
    <w:rsid w:val="00E2440B"/>
    <w:rsid w:val="00E256AB"/>
    <w:rsid w:val="00E2751E"/>
    <w:rsid w:val="00E27E74"/>
    <w:rsid w:val="00E331CA"/>
    <w:rsid w:val="00E333FF"/>
    <w:rsid w:val="00E36EA1"/>
    <w:rsid w:val="00E37AF8"/>
    <w:rsid w:val="00E403D8"/>
    <w:rsid w:val="00E437F7"/>
    <w:rsid w:val="00E43C41"/>
    <w:rsid w:val="00E458F9"/>
    <w:rsid w:val="00E50A74"/>
    <w:rsid w:val="00E5197F"/>
    <w:rsid w:val="00E52261"/>
    <w:rsid w:val="00E54D87"/>
    <w:rsid w:val="00E600AF"/>
    <w:rsid w:val="00E61EE1"/>
    <w:rsid w:val="00E662AB"/>
    <w:rsid w:val="00E73F88"/>
    <w:rsid w:val="00E74EA2"/>
    <w:rsid w:val="00E83553"/>
    <w:rsid w:val="00E870A4"/>
    <w:rsid w:val="00E90628"/>
    <w:rsid w:val="00E91D7D"/>
    <w:rsid w:val="00E940D7"/>
    <w:rsid w:val="00E97B06"/>
    <w:rsid w:val="00EA236A"/>
    <w:rsid w:val="00EA3168"/>
    <w:rsid w:val="00EA416E"/>
    <w:rsid w:val="00EA43DC"/>
    <w:rsid w:val="00EA43FE"/>
    <w:rsid w:val="00EA59EB"/>
    <w:rsid w:val="00EA5B14"/>
    <w:rsid w:val="00EB0ADC"/>
    <w:rsid w:val="00EB3E04"/>
    <w:rsid w:val="00EB52C5"/>
    <w:rsid w:val="00EB5729"/>
    <w:rsid w:val="00EB670C"/>
    <w:rsid w:val="00EC5092"/>
    <w:rsid w:val="00EC6536"/>
    <w:rsid w:val="00ED04D8"/>
    <w:rsid w:val="00ED2528"/>
    <w:rsid w:val="00ED2B2D"/>
    <w:rsid w:val="00ED3140"/>
    <w:rsid w:val="00ED6021"/>
    <w:rsid w:val="00ED75CD"/>
    <w:rsid w:val="00EE0967"/>
    <w:rsid w:val="00EE46CA"/>
    <w:rsid w:val="00EE70D5"/>
    <w:rsid w:val="00EF08C1"/>
    <w:rsid w:val="00EF092C"/>
    <w:rsid w:val="00EF2349"/>
    <w:rsid w:val="00EF2376"/>
    <w:rsid w:val="00EF303E"/>
    <w:rsid w:val="00EF3AB4"/>
    <w:rsid w:val="00EF6282"/>
    <w:rsid w:val="00EF6BA7"/>
    <w:rsid w:val="00EF7A89"/>
    <w:rsid w:val="00F0292E"/>
    <w:rsid w:val="00F05063"/>
    <w:rsid w:val="00F054AE"/>
    <w:rsid w:val="00F05992"/>
    <w:rsid w:val="00F06578"/>
    <w:rsid w:val="00F111D3"/>
    <w:rsid w:val="00F11F09"/>
    <w:rsid w:val="00F123B3"/>
    <w:rsid w:val="00F127C5"/>
    <w:rsid w:val="00F1383D"/>
    <w:rsid w:val="00F139F5"/>
    <w:rsid w:val="00F15E4C"/>
    <w:rsid w:val="00F202DF"/>
    <w:rsid w:val="00F212D4"/>
    <w:rsid w:val="00F21ABB"/>
    <w:rsid w:val="00F31395"/>
    <w:rsid w:val="00F320C7"/>
    <w:rsid w:val="00F3289C"/>
    <w:rsid w:val="00F328DE"/>
    <w:rsid w:val="00F34077"/>
    <w:rsid w:val="00F365BC"/>
    <w:rsid w:val="00F374D2"/>
    <w:rsid w:val="00F37609"/>
    <w:rsid w:val="00F41A29"/>
    <w:rsid w:val="00F41CB5"/>
    <w:rsid w:val="00F432FE"/>
    <w:rsid w:val="00F44A8C"/>
    <w:rsid w:val="00F469F5"/>
    <w:rsid w:val="00F477B7"/>
    <w:rsid w:val="00F52DD3"/>
    <w:rsid w:val="00F549E8"/>
    <w:rsid w:val="00F54D4C"/>
    <w:rsid w:val="00F54F08"/>
    <w:rsid w:val="00F567E4"/>
    <w:rsid w:val="00F57593"/>
    <w:rsid w:val="00F61DA6"/>
    <w:rsid w:val="00F629AB"/>
    <w:rsid w:val="00F64372"/>
    <w:rsid w:val="00F64E17"/>
    <w:rsid w:val="00F66807"/>
    <w:rsid w:val="00F70D55"/>
    <w:rsid w:val="00F71B08"/>
    <w:rsid w:val="00F722FB"/>
    <w:rsid w:val="00F7270F"/>
    <w:rsid w:val="00F7297D"/>
    <w:rsid w:val="00F740CF"/>
    <w:rsid w:val="00F8361E"/>
    <w:rsid w:val="00F85750"/>
    <w:rsid w:val="00F859F9"/>
    <w:rsid w:val="00F86A37"/>
    <w:rsid w:val="00F90569"/>
    <w:rsid w:val="00F923BD"/>
    <w:rsid w:val="00F94256"/>
    <w:rsid w:val="00F94544"/>
    <w:rsid w:val="00F9623D"/>
    <w:rsid w:val="00F96C92"/>
    <w:rsid w:val="00FA1C81"/>
    <w:rsid w:val="00FA23DB"/>
    <w:rsid w:val="00FA2E41"/>
    <w:rsid w:val="00FA6473"/>
    <w:rsid w:val="00FB0CDE"/>
    <w:rsid w:val="00FB1C50"/>
    <w:rsid w:val="00FB2154"/>
    <w:rsid w:val="00FB36AF"/>
    <w:rsid w:val="00FB3B57"/>
    <w:rsid w:val="00FB655A"/>
    <w:rsid w:val="00FB6AC6"/>
    <w:rsid w:val="00FC0096"/>
    <w:rsid w:val="00FC06E2"/>
    <w:rsid w:val="00FC1857"/>
    <w:rsid w:val="00FC35D6"/>
    <w:rsid w:val="00FC362B"/>
    <w:rsid w:val="00FC5651"/>
    <w:rsid w:val="00FC6338"/>
    <w:rsid w:val="00FC666A"/>
    <w:rsid w:val="00FD034C"/>
    <w:rsid w:val="00FD0A0B"/>
    <w:rsid w:val="00FD3C3C"/>
    <w:rsid w:val="00FD5390"/>
    <w:rsid w:val="00FE1C5B"/>
    <w:rsid w:val="00FE3576"/>
    <w:rsid w:val="00FE5B5D"/>
    <w:rsid w:val="00FE6416"/>
    <w:rsid w:val="00FE663A"/>
    <w:rsid w:val="00FF01AC"/>
    <w:rsid w:val="00FF44A2"/>
    <w:rsid w:val="00FF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58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077F23"/>
    <w:pPr>
      <w:ind w:left="0"/>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53170A"/>
    <w:rPr>
      <w:vertAlign w:val="superscript"/>
    </w:rPr>
  </w:style>
  <w:style w:type="table" w:styleId="TableGrid">
    <w:name w:val="Table Grid"/>
    <w:basedOn w:val="TableNormal"/>
    <w:uiPriority w:val="3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right" w:leader="dot" w:pos="9350"/>
      </w:tabs>
      <w:spacing w:after="0" w:line="480" w:lineRule="auto"/>
      <w:contextualSpacing/>
    </w:pPr>
    <w:rPr>
      <w:rFonts w:ascii="Times New Roman" w:hAnsi="Times New Roman" w:cs="Times New Roman"/>
    </w:rPr>
  </w:style>
  <w:style w:type="paragraph" w:styleId="TOC2">
    <w:name w:val="toc 2"/>
    <w:basedOn w:val="Normal"/>
    <w:next w:val="Normal"/>
    <w:autoRedefine/>
    <w:uiPriority w:val="39"/>
    <w:unhideWhenUsed/>
    <w:rsid w:val="009C3CE5"/>
    <w:pPr>
      <w:tabs>
        <w:tab w:val="left" w:pos="660"/>
        <w:tab w:val="right" w:leader="dot" w:pos="9350"/>
      </w:tabs>
      <w:spacing w:after="100" w:line="480" w:lineRule="auto"/>
      <w:ind w:left="220"/>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
      </w:numPr>
    </w:pPr>
  </w:style>
  <w:style w:type="paragraph" w:customStyle="1" w:styleId="NORCTableList1">
    <w:name w:val="NORC Table List 1"/>
    <w:rsid w:val="00823C6C"/>
    <w:pPr>
      <w:keepLines/>
      <w:numPr>
        <w:numId w:val="4"/>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137296"/>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
    <w:name w:val="Grid Table 1 Light"/>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BText">
    <w:name w:val="OMB Text"/>
    <w:basedOn w:val="Normal"/>
    <w:qFormat/>
    <w:rsid w:val="00137960"/>
    <w:pPr>
      <w:autoSpaceDE w:val="0"/>
      <w:autoSpaceDN w:val="0"/>
      <w:adjustRightInd w:val="0"/>
      <w:spacing w:after="240" w:line="240" w:lineRule="auto"/>
    </w:pPr>
    <w:rPr>
      <w:rFonts w:ascii="Times New Roman" w:hAnsi="Times New Roman"/>
      <w:sz w:val="24"/>
    </w:rPr>
  </w:style>
  <w:style w:type="paragraph" w:customStyle="1" w:styleId="Bulleted">
    <w:name w:val="Bulleted"/>
    <w:basedOn w:val="Normal"/>
    <w:autoRedefine/>
    <w:rsid w:val="0025127A"/>
    <w:pPr>
      <w:tabs>
        <w:tab w:val="left" w:pos="720"/>
      </w:tabs>
      <w:spacing w:after="0" w:line="240" w:lineRule="auto"/>
    </w:pPr>
    <w:rPr>
      <w:rFonts w:ascii="Times New Roman" w:eastAsia="Times New Roman" w:hAnsi="Times New Roman" w:cs="Times New Roman"/>
      <w:b/>
      <w:sz w:val="18"/>
      <w:szCs w:val="18"/>
    </w:rPr>
  </w:style>
  <w:style w:type="paragraph" w:customStyle="1" w:styleId="P1-StandPara">
    <w:name w:val="P1-Stand Para"/>
    <w:link w:val="P1-StandParaChar"/>
    <w:rsid w:val="002540F9"/>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locked/>
    <w:rsid w:val="002540F9"/>
    <w:rPr>
      <w:rFonts w:ascii="Times New Roman" w:eastAsia="Times New Roman" w:hAnsi="Times New Roman" w:cs="Times New Roman"/>
      <w:szCs w:val="20"/>
    </w:rPr>
  </w:style>
  <w:style w:type="paragraph" w:customStyle="1" w:styleId="EndNoteBibliographyTitle">
    <w:name w:val="EndNote Bibliography Title"/>
    <w:basedOn w:val="Normal"/>
    <w:link w:val="EndNoteBibliographyTitleChar"/>
    <w:rsid w:val="00984DC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84DC6"/>
    <w:rPr>
      <w:rFonts w:ascii="Calibri" w:hAnsi="Calibri" w:cs="Calibri"/>
      <w:noProof/>
    </w:rPr>
  </w:style>
  <w:style w:type="paragraph" w:customStyle="1" w:styleId="EndNoteBibliography">
    <w:name w:val="EndNote Bibliography"/>
    <w:basedOn w:val="Normal"/>
    <w:link w:val="EndNoteBibliographyChar"/>
    <w:rsid w:val="00984DC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84DC6"/>
    <w:rPr>
      <w:rFonts w:ascii="Calibri" w:hAnsi="Calibri" w:cs="Calibri"/>
      <w:noProof/>
    </w:rPr>
  </w:style>
  <w:style w:type="paragraph" w:customStyle="1" w:styleId="Default">
    <w:name w:val="Default"/>
    <w:rsid w:val="0032523B"/>
    <w:pPr>
      <w:autoSpaceDE w:val="0"/>
      <w:autoSpaceDN w:val="0"/>
      <w:adjustRightInd w:val="0"/>
      <w:spacing w:after="0" w:line="240" w:lineRule="auto"/>
    </w:pPr>
    <w:rPr>
      <w:rFonts w:ascii="Verdana" w:hAnsi="Verdana" w:cs="Verdana"/>
      <w:color w:val="000000"/>
      <w:sz w:val="24"/>
      <w:szCs w:val="24"/>
    </w:rPr>
  </w:style>
  <w:style w:type="character" w:customStyle="1" w:styleId="ref-journal">
    <w:name w:val="ref-journal"/>
    <w:basedOn w:val="DefaultParagraphFont"/>
    <w:rsid w:val="006A2B06"/>
  </w:style>
  <w:style w:type="character" w:customStyle="1" w:styleId="ref-vol">
    <w:name w:val="ref-vol"/>
    <w:basedOn w:val="DefaultParagraphFont"/>
    <w:rsid w:val="006A2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Outline List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0B"/>
  </w:style>
  <w:style w:type="paragraph" w:styleId="Heading1">
    <w:name w:val="heading 1"/>
    <w:basedOn w:val="ListParagraph"/>
    <w:next w:val="Normal"/>
    <w:link w:val="Heading1Char"/>
    <w:uiPriority w:val="9"/>
    <w:qFormat/>
    <w:rsid w:val="00BB3ADA"/>
    <w:pPr>
      <w:numPr>
        <w:numId w:val="1"/>
      </w:numPr>
      <w:ind w:hanging="720"/>
      <w:outlineLvl w:val="0"/>
    </w:pPr>
    <w:rPr>
      <w:rFonts w:ascii="Garamond" w:hAnsi="Garamond" w:cs="Times New Roman"/>
      <w:b/>
      <w:smallCaps/>
      <w:sz w:val="26"/>
      <w:szCs w:val="24"/>
    </w:rPr>
  </w:style>
  <w:style w:type="paragraph" w:styleId="Heading2">
    <w:name w:val="heading 2"/>
    <w:basedOn w:val="ListParagraph"/>
    <w:next w:val="Normal"/>
    <w:link w:val="Heading2Char"/>
    <w:uiPriority w:val="9"/>
    <w:unhideWhenUsed/>
    <w:qFormat/>
    <w:rsid w:val="00077F23"/>
    <w:pPr>
      <w:ind w:left="0"/>
      <w:outlineLvl w:val="1"/>
    </w:pPr>
    <w:rPr>
      <w:rFonts w:ascii="Garamond" w:hAnsi="Garamond" w:cs="Times New Roman"/>
      <w:b/>
      <w:i/>
      <w:sz w:val="24"/>
    </w:rPr>
  </w:style>
  <w:style w:type="paragraph" w:styleId="Heading3">
    <w:name w:val="heading 3"/>
    <w:basedOn w:val="Normal"/>
    <w:next w:val="Normal"/>
    <w:link w:val="Heading3Char"/>
    <w:uiPriority w:val="9"/>
    <w:semiHidden/>
    <w:unhideWhenUsed/>
    <w:qFormat/>
    <w:rsid w:val="00823C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C6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C6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23C6C"/>
    <w:pPr>
      <w:numPr>
        <w:ilvl w:val="5"/>
        <w:numId w:val="3"/>
      </w:numPr>
      <w:spacing w:before="240" w:after="60" w:line="240" w:lineRule="auto"/>
      <w:outlineLvl w:val="5"/>
    </w:pPr>
    <w:rPr>
      <w:rFonts w:ascii="Times New Roman" w:eastAsia="Times New Roman" w:hAnsi="Times New Roman" w:cs="Times New Roman"/>
      <w:b/>
      <w:bCs/>
      <w:szCs w:val="20"/>
      <w:lang w:val="x-none" w:eastAsia="x-none"/>
    </w:rPr>
  </w:style>
  <w:style w:type="paragraph" w:styleId="Heading7">
    <w:name w:val="heading 7"/>
    <w:basedOn w:val="Normal"/>
    <w:next w:val="Normal"/>
    <w:link w:val="Heading7Char"/>
    <w:qFormat/>
    <w:rsid w:val="00823C6C"/>
    <w:pPr>
      <w:numPr>
        <w:ilvl w:val="6"/>
        <w:numId w:val="3"/>
      </w:numPr>
      <w:spacing w:before="300" w:after="0" w:line="260" w:lineRule="exact"/>
      <w:outlineLvl w:val="6"/>
    </w:pPr>
    <w:rPr>
      <w:rFonts w:ascii="Times New Roman" w:eastAsia="Times New Roman" w:hAnsi="Times New Roman" w:cs="Times New Roman"/>
      <w:caps/>
      <w:color w:val="3E3E67"/>
      <w:spacing w:val="10"/>
      <w:szCs w:val="20"/>
      <w:lang w:val="x-none" w:eastAsia="x-none" w:bidi="en-US"/>
    </w:rPr>
  </w:style>
  <w:style w:type="paragraph" w:styleId="Heading8">
    <w:name w:val="heading 8"/>
    <w:basedOn w:val="Normal"/>
    <w:next w:val="Normal"/>
    <w:link w:val="Heading8Char"/>
    <w:qFormat/>
    <w:rsid w:val="00823C6C"/>
    <w:pPr>
      <w:numPr>
        <w:ilvl w:val="7"/>
        <w:numId w:val="3"/>
      </w:numPr>
      <w:spacing w:before="300" w:after="0" w:line="260" w:lineRule="exact"/>
      <w:outlineLvl w:val="7"/>
    </w:pPr>
    <w:rPr>
      <w:rFonts w:ascii="Times New Roman" w:eastAsia="Times New Roman" w:hAnsi="Times New Roman" w:cs="Times New Roman"/>
      <w:caps/>
      <w:spacing w:val="10"/>
      <w:sz w:val="18"/>
      <w:szCs w:val="18"/>
      <w:lang w:val="x-none" w:eastAsia="x-none" w:bidi="en-US"/>
    </w:rPr>
  </w:style>
  <w:style w:type="paragraph" w:styleId="Heading9">
    <w:name w:val="heading 9"/>
    <w:basedOn w:val="Normal"/>
    <w:next w:val="Normal"/>
    <w:link w:val="Heading9Char"/>
    <w:qFormat/>
    <w:rsid w:val="00823C6C"/>
    <w:pPr>
      <w:numPr>
        <w:ilvl w:val="8"/>
        <w:numId w:val="3"/>
      </w:numPr>
      <w:spacing w:before="300" w:after="0" w:line="260" w:lineRule="exact"/>
      <w:outlineLvl w:val="8"/>
    </w:pPr>
    <w:rPr>
      <w:rFonts w:ascii="Times New Roman" w:eastAsia="Times New Roman" w:hAnsi="Times New Roman" w:cs="Times New Roman"/>
      <w:i/>
      <w:caps/>
      <w:spacing w:val="10"/>
      <w:sz w:val="18"/>
      <w:szCs w:val="1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3ADA"/>
    <w:pPr>
      <w:ind w:left="720"/>
      <w:contextualSpacing/>
    </w:pPr>
  </w:style>
  <w:style w:type="character" w:customStyle="1" w:styleId="Heading1Char">
    <w:name w:val="Heading 1 Char"/>
    <w:basedOn w:val="DefaultParagraphFont"/>
    <w:link w:val="Heading1"/>
    <w:uiPriority w:val="9"/>
    <w:rsid w:val="00BB3ADA"/>
    <w:rPr>
      <w:rFonts w:ascii="Garamond" w:hAnsi="Garamond" w:cs="Times New Roman"/>
      <w:b/>
      <w:smallCaps/>
      <w:sz w:val="26"/>
      <w:szCs w:val="24"/>
    </w:rPr>
  </w:style>
  <w:style w:type="character" w:customStyle="1" w:styleId="Heading2Char">
    <w:name w:val="Heading 2 Char"/>
    <w:basedOn w:val="DefaultParagraphFont"/>
    <w:link w:val="Heading2"/>
    <w:uiPriority w:val="5"/>
    <w:rsid w:val="00BB3ADA"/>
    <w:rPr>
      <w:rFonts w:ascii="Garamond" w:hAnsi="Garamond" w:cs="Times New Roman"/>
      <w:b/>
      <w:i/>
      <w:sz w:val="24"/>
    </w:rPr>
  </w:style>
  <w:style w:type="character" w:styleId="Emphasis">
    <w:name w:val="Emphasis"/>
    <w:basedOn w:val="DefaultParagraphFont"/>
    <w:qFormat/>
    <w:rsid w:val="00BB3ADA"/>
    <w:rPr>
      <w:rFonts w:cs="Times New Roman"/>
      <w:i/>
      <w:iCs/>
    </w:rPr>
  </w:style>
  <w:style w:type="paragraph" w:styleId="FootnoteText">
    <w:name w:val="footnote text"/>
    <w:basedOn w:val="Normal"/>
    <w:link w:val="FootnoteTextChar"/>
    <w:unhideWhenUsed/>
    <w:rsid w:val="0053170A"/>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53170A"/>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53170A"/>
    <w:rPr>
      <w:vertAlign w:val="superscript"/>
    </w:rPr>
  </w:style>
  <w:style w:type="table" w:styleId="TableGrid">
    <w:name w:val="Table Grid"/>
    <w:basedOn w:val="TableNormal"/>
    <w:uiPriority w:val="39"/>
    <w:rsid w:val="0053170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170A"/>
  </w:style>
  <w:style w:type="paragraph" w:styleId="TOCHeading">
    <w:name w:val="TOC Heading"/>
    <w:basedOn w:val="Heading1"/>
    <w:next w:val="Normal"/>
    <w:uiPriority w:val="39"/>
    <w:unhideWhenUsed/>
    <w:qFormat/>
    <w:rsid w:val="00E15962"/>
    <w:pPr>
      <w:keepNext/>
      <w:keepLines/>
      <w:numPr>
        <w:numId w:val="0"/>
      </w:numPr>
      <w:spacing w:before="240" w:after="0"/>
      <w:contextualSpacing w:val="0"/>
      <w:outlineLvl w:val="9"/>
    </w:pPr>
    <w:rPr>
      <w:rFonts w:asciiTheme="majorHAnsi" w:eastAsiaTheme="majorEastAsia" w:hAnsiTheme="majorHAnsi" w:cstheme="majorBidi"/>
      <w:b w:val="0"/>
      <w:smallCaps w:val="0"/>
      <w:color w:val="2E74B5" w:themeColor="accent1" w:themeShade="BF"/>
      <w:sz w:val="32"/>
      <w:szCs w:val="32"/>
    </w:rPr>
  </w:style>
  <w:style w:type="paragraph" w:styleId="TOC1">
    <w:name w:val="toc 1"/>
    <w:basedOn w:val="Normal"/>
    <w:next w:val="Normal"/>
    <w:autoRedefine/>
    <w:uiPriority w:val="39"/>
    <w:unhideWhenUsed/>
    <w:rsid w:val="000E096F"/>
    <w:pPr>
      <w:tabs>
        <w:tab w:val="right" w:leader="dot" w:pos="9350"/>
      </w:tabs>
      <w:spacing w:after="0" w:line="480" w:lineRule="auto"/>
      <w:contextualSpacing/>
    </w:pPr>
    <w:rPr>
      <w:rFonts w:ascii="Times New Roman" w:hAnsi="Times New Roman" w:cs="Times New Roman"/>
    </w:rPr>
  </w:style>
  <w:style w:type="paragraph" w:styleId="TOC2">
    <w:name w:val="toc 2"/>
    <w:basedOn w:val="Normal"/>
    <w:next w:val="Normal"/>
    <w:autoRedefine/>
    <w:uiPriority w:val="39"/>
    <w:unhideWhenUsed/>
    <w:rsid w:val="009C3CE5"/>
    <w:pPr>
      <w:tabs>
        <w:tab w:val="left" w:pos="660"/>
        <w:tab w:val="right" w:leader="dot" w:pos="9350"/>
      </w:tabs>
      <w:spacing w:after="100" w:line="480" w:lineRule="auto"/>
      <w:ind w:left="220"/>
    </w:pPr>
  </w:style>
  <w:style w:type="character" w:styleId="Hyperlink">
    <w:name w:val="Hyperlink"/>
    <w:basedOn w:val="DefaultParagraphFont"/>
    <w:uiPriority w:val="99"/>
    <w:unhideWhenUsed/>
    <w:rsid w:val="00E15962"/>
    <w:rPr>
      <w:color w:val="0563C1" w:themeColor="hyperlink"/>
      <w:u w:val="single"/>
    </w:rPr>
  </w:style>
  <w:style w:type="character" w:customStyle="1" w:styleId="Heading4Char">
    <w:name w:val="Heading 4 Char"/>
    <w:basedOn w:val="DefaultParagraphFont"/>
    <w:link w:val="Heading4"/>
    <w:uiPriority w:val="9"/>
    <w:semiHidden/>
    <w:rsid w:val="00823C6C"/>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rsid w:val="00823C6C"/>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rsid w:val="00823C6C"/>
    <w:rPr>
      <w:rFonts w:ascii="Times New Roman" w:eastAsia="Times New Roman" w:hAnsi="Times New Roman" w:cs="Times New Roman"/>
      <w:caps/>
      <w:color w:val="3E3E67"/>
      <w:spacing w:val="10"/>
      <w:szCs w:val="20"/>
      <w:lang w:val="x-none" w:eastAsia="x-none" w:bidi="en-US"/>
    </w:rPr>
  </w:style>
  <w:style w:type="character" w:customStyle="1" w:styleId="Heading8Char">
    <w:name w:val="Heading 8 Char"/>
    <w:basedOn w:val="DefaultParagraphFont"/>
    <w:link w:val="Heading8"/>
    <w:rsid w:val="00823C6C"/>
    <w:rPr>
      <w:rFonts w:ascii="Times New Roman" w:eastAsia="Times New Roman" w:hAnsi="Times New Roman" w:cs="Times New Roman"/>
      <w:caps/>
      <w:spacing w:val="10"/>
      <w:sz w:val="18"/>
      <w:szCs w:val="18"/>
      <w:lang w:val="x-none" w:eastAsia="x-none" w:bidi="en-US"/>
    </w:rPr>
  </w:style>
  <w:style w:type="character" w:customStyle="1" w:styleId="Heading9Char">
    <w:name w:val="Heading 9 Char"/>
    <w:basedOn w:val="DefaultParagraphFont"/>
    <w:link w:val="Heading9"/>
    <w:rsid w:val="00823C6C"/>
    <w:rPr>
      <w:rFonts w:ascii="Times New Roman" w:eastAsia="Times New Roman" w:hAnsi="Times New Roman" w:cs="Times New Roman"/>
      <w:i/>
      <w:caps/>
      <w:spacing w:val="10"/>
      <w:sz w:val="18"/>
      <w:szCs w:val="18"/>
      <w:lang w:val="x-none" w:eastAsia="x-none" w:bidi="en-US"/>
    </w:rPr>
  </w:style>
  <w:style w:type="paragraph" w:customStyle="1" w:styleId="NORCBullet3TimesNewRomanRound">
    <w:name w:val="NORC Bullet 3 (Times New Roman Round)"/>
    <w:qFormat/>
    <w:rsid w:val="00823C6C"/>
    <w:pPr>
      <w:keepLines/>
      <w:numPr>
        <w:numId w:val="2"/>
      </w:numPr>
      <w:spacing w:after="0" w:line="360" w:lineRule="auto"/>
    </w:pPr>
    <w:rPr>
      <w:rFonts w:ascii="Times New Roman" w:eastAsia="Times New Roman" w:hAnsi="Times New Roman" w:cs="Times New Roman"/>
    </w:rPr>
  </w:style>
  <w:style w:type="paragraph" w:styleId="BodyText">
    <w:name w:val="Body Text"/>
    <w:basedOn w:val="Normal"/>
    <w:link w:val="BodyTextChar"/>
    <w:uiPriority w:val="99"/>
    <w:rsid w:val="00823C6C"/>
    <w:pPr>
      <w:spacing w:after="240" w:line="360" w:lineRule="auto"/>
    </w:pPr>
    <w:rPr>
      <w:rFonts w:ascii="Times New Roman" w:eastAsia="Calibri" w:hAnsi="Times New Roman" w:cs="Times New Roman"/>
    </w:rPr>
  </w:style>
  <w:style w:type="character" w:customStyle="1" w:styleId="BodyTextChar">
    <w:name w:val="Body Text Char"/>
    <w:basedOn w:val="DefaultParagraphFont"/>
    <w:link w:val="BodyText"/>
    <w:uiPriority w:val="99"/>
    <w:rsid w:val="00823C6C"/>
    <w:rPr>
      <w:rFonts w:ascii="Times New Roman" w:eastAsia="Calibri" w:hAnsi="Times New Roman" w:cs="Times New Roman"/>
    </w:rPr>
  </w:style>
  <w:style w:type="character" w:styleId="CommentReference">
    <w:name w:val="annotation reference"/>
    <w:basedOn w:val="DefaultParagraphFont"/>
    <w:uiPriority w:val="99"/>
    <w:unhideWhenUsed/>
    <w:rsid w:val="00823C6C"/>
    <w:rPr>
      <w:sz w:val="16"/>
      <w:szCs w:val="16"/>
    </w:rPr>
  </w:style>
  <w:style w:type="paragraph" w:styleId="CommentText">
    <w:name w:val="annotation text"/>
    <w:basedOn w:val="Normal"/>
    <w:link w:val="CommentTextChar"/>
    <w:uiPriority w:val="99"/>
    <w:rsid w:val="00823C6C"/>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823C6C"/>
    <w:rPr>
      <w:rFonts w:ascii="Calibri" w:eastAsia="Times New Roman" w:hAnsi="Calibri" w:cs="Times New Roman"/>
      <w:szCs w:val="20"/>
    </w:rPr>
  </w:style>
  <w:style w:type="character" w:customStyle="1" w:styleId="Heading3Char">
    <w:name w:val="Heading 3 Char"/>
    <w:basedOn w:val="DefaultParagraphFont"/>
    <w:link w:val="Heading3"/>
    <w:uiPriority w:val="9"/>
    <w:semiHidden/>
    <w:rsid w:val="00823C6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23C6C"/>
    <w:rPr>
      <w:rFonts w:asciiTheme="majorHAnsi" w:eastAsiaTheme="majorEastAsia" w:hAnsiTheme="majorHAnsi" w:cstheme="majorBidi"/>
      <w:color w:val="2E74B5" w:themeColor="accent1" w:themeShade="BF"/>
    </w:rPr>
  </w:style>
  <w:style w:type="numbering" w:styleId="ArticleSection">
    <w:name w:val="Outline List 3"/>
    <w:basedOn w:val="NoList"/>
    <w:rsid w:val="00823C6C"/>
    <w:pPr>
      <w:numPr>
        <w:numId w:val="3"/>
      </w:numPr>
    </w:pPr>
  </w:style>
  <w:style w:type="paragraph" w:customStyle="1" w:styleId="NORCTableList1">
    <w:name w:val="NORC Table List 1"/>
    <w:rsid w:val="00823C6C"/>
    <w:pPr>
      <w:keepLines/>
      <w:numPr>
        <w:numId w:val="4"/>
      </w:numPr>
      <w:spacing w:before="40" w:after="40" w:line="240" w:lineRule="auto"/>
    </w:pPr>
    <w:rPr>
      <w:rFonts w:ascii="Arial" w:eastAsia="Calibri" w:hAnsi="Arial" w:cs="Times New Roman"/>
      <w:sz w:val="18"/>
    </w:rPr>
  </w:style>
  <w:style w:type="paragraph" w:customStyle="1" w:styleId="NORCCaption-Exhibit">
    <w:name w:val="NORC Caption - Exhibit"/>
    <w:basedOn w:val="Normal"/>
    <w:qFormat/>
    <w:rsid w:val="00823C6C"/>
    <w:pPr>
      <w:keepNext/>
      <w:keepLines/>
      <w:pBdr>
        <w:top w:val="single" w:sz="4" w:space="5" w:color="BFB6AC"/>
        <w:bottom w:val="single" w:sz="4" w:space="3" w:color="BFB6AC"/>
      </w:pBdr>
      <w:tabs>
        <w:tab w:val="left" w:pos="1224"/>
      </w:tabs>
      <w:spacing w:before="320" w:after="120" w:line="240" w:lineRule="auto"/>
    </w:pPr>
    <w:rPr>
      <w:rFonts w:ascii="Arial" w:eastAsia="Times New Roman" w:hAnsi="Arial" w:cs="Arial"/>
      <w:color w:val="000000" w:themeColor="text1"/>
      <w:szCs w:val="24"/>
    </w:rPr>
  </w:style>
  <w:style w:type="character" w:customStyle="1" w:styleId="NORCCaption-Color">
    <w:name w:val="NORC Caption - Color"/>
    <w:qFormat/>
    <w:rsid w:val="00823C6C"/>
    <w:rPr>
      <w:rFonts w:ascii="Arial" w:hAnsi="Arial"/>
      <w:b/>
      <w:color w:val="F3901D"/>
      <w:sz w:val="22"/>
    </w:rPr>
  </w:style>
  <w:style w:type="paragraph" w:customStyle="1" w:styleId="NORCProposalBodyDoubleSpacing-Garamond">
    <w:name w:val="NORC Proposal Body Double Spacing - Garamond"/>
    <w:basedOn w:val="Normal"/>
    <w:qFormat/>
    <w:rsid w:val="00823C6C"/>
    <w:pPr>
      <w:tabs>
        <w:tab w:val="right" w:pos="9360"/>
      </w:tabs>
      <w:spacing w:after="240" w:line="480" w:lineRule="auto"/>
    </w:pPr>
    <w:rPr>
      <w:rFonts w:ascii="Garamond" w:eastAsia="Times New Roman" w:hAnsi="Garamond" w:cs="AGaramond-Regular"/>
      <w:szCs w:val="20"/>
    </w:rPr>
  </w:style>
  <w:style w:type="paragraph" w:styleId="BalloonText">
    <w:name w:val="Balloon Text"/>
    <w:basedOn w:val="Normal"/>
    <w:link w:val="BalloonTextChar"/>
    <w:uiPriority w:val="99"/>
    <w:semiHidden/>
    <w:unhideWhenUsed/>
    <w:rsid w:val="00823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C6C"/>
    <w:rPr>
      <w:rFonts w:ascii="Segoe UI" w:hAnsi="Segoe UI" w:cs="Segoe UI"/>
      <w:sz w:val="18"/>
      <w:szCs w:val="18"/>
    </w:rPr>
  </w:style>
  <w:style w:type="paragraph" w:styleId="Header">
    <w:name w:val="header"/>
    <w:basedOn w:val="Normal"/>
    <w:link w:val="HeaderChar"/>
    <w:uiPriority w:val="99"/>
    <w:unhideWhenUsed/>
    <w:rsid w:val="000C3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AA4"/>
  </w:style>
  <w:style w:type="paragraph" w:styleId="Footer">
    <w:name w:val="footer"/>
    <w:basedOn w:val="Normal"/>
    <w:link w:val="FooterChar"/>
    <w:uiPriority w:val="99"/>
    <w:unhideWhenUsed/>
    <w:rsid w:val="000C3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AA4"/>
  </w:style>
  <w:style w:type="paragraph" w:styleId="CommentSubject">
    <w:name w:val="annotation subject"/>
    <w:basedOn w:val="CommentText"/>
    <w:next w:val="CommentText"/>
    <w:link w:val="CommentSubjectChar"/>
    <w:uiPriority w:val="99"/>
    <w:semiHidden/>
    <w:unhideWhenUsed/>
    <w:rsid w:val="0043376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33769"/>
    <w:rPr>
      <w:rFonts w:ascii="Calibri" w:eastAsia="Times New Roman" w:hAnsi="Calibri" w:cs="Times New Roman"/>
      <w:b/>
      <w:bCs/>
      <w:sz w:val="20"/>
      <w:szCs w:val="20"/>
    </w:rPr>
  </w:style>
  <w:style w:type="paragraph" w:styleId="Revision">
    <w:name w:val="Revision"/>
    <w:hidden/>
    <w:uiPriority w:val="99"/>
    <w:semiHidden/>
    <w:rsid w:val="0089427A"/>
    <w:pPr>
      <w:spacing w:after="0" w:line="240" w:lineRule="auto"/>
    </w:pPr>
  </w:style>
  <w:style w:type="paragraph" w:customStyle="1" w:styleId="TableTitle">
    <w:name w:val="Table Title"/>
    <w:basedOn w:val="Caption"/>
    <w:rsid w:val="00137296"/>
    <w:pPr>
      <w:keepNext/>
      <w:keepLines/>
      <w:spacing w:before="240" w:after="240"/>
      <w:ind w:left="1080" w:hanging="1080"/>
    </w:pPr>
    <w:rPr>
      <w:rFonts w:ascii="Times New Roman" w:eastAsia="Times New Roman" w:hAnsi="Times New Roman" w:cs="Times New Roman"/>
      <w:b/>
      <w:i w:val="0"/>
      <w:iCs w:val="0"/>
      <w:color w:val="auto"/>
      <w:sz w:val="24"/>
      <w:szCs w:val="20"/>
    </w:rPr>
  </w:style>
  <w:style w:type="paragraph" w:customStyle="1" w:styleId="TableHeaders">
    <w:name w:val="Table Headers"/>
    <w:basedOn w:val="Normal"/>
    <w:qFormat/>
    <w:rsid w:val="00137296"/>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137296"/>
    <w:pPr>
      <w:spacing w:before="60" w:after="60" w:line="240" w:lineRule="auto"/>
    </w:pPr>
    <w:rPr>
      <w:rFonts w:ascii="Times New Roman" w:eastAsia="MS Mincho" w:hAnsi="Times New Roman" w:cs="Times New Roman"/>
      <w:sz w:val="21"/>
      <w:szCs w:val="20"/>
    </w:rPr>
  </w:style>
  <w:style w:type="table" w:customStyle="1" w:styleId="TableGrid1">
    <w:name w:val="Table Grid1"/>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729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137296"/>
    <w:pPr>
      <w:spacing w:after="200" w:line="240" w:lineRule="auto"/>
    </w:pPr>
    <w:rPr>
      <w:i/>
      <w:iCs/>
      <w:color w:val="44546A" w:themeColor="text2"/>
      <w:sz w:val="18"/>
      <w:szCs w:val="18"/>
    </w:rPr>
  </w:style>
  <w:style w:type="paragraph" w:styleId="EndnoteText">
    <w:name w:val="endnote text"/>
    <w:basedOn w:val="Normal"/>
    <w:link w:val="EndnoteTextChar"/>
    <w:uiPriority w:val="99"/>
    <w:unhideWhenUsed/>
    <w:rsid w:val="00BF170C"/>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uiPriority w:val="99"/>
    <w:rsid w:val="00BF170C"/>
    <w:rPr>
      <w:rFonts w:eastAsiaTheme="minorEastAsia"/>
      <w:sz w:val="20"/>
      <w:szCs w:val="20"/>
      <w:lang w:bidi="en-US"/>
    </w:rPr>
  </w:style>
  <w:style w:type="character" w:styleId="EndnoteReference">
    <w:name w:val="endnote reference"/>
    <w:basedOn w:val="DefaultParagraphFont"/>
    <w:uiPriority w:val="99"/>
    <w:semiHidden/>
    <w:unhideWhenUsed/>
    <w:rsid w:val="00BF170C"/>
    <w:rPr>
      <w:vertAlign w:val="superscript"/>
    </w:rPr>
  </w:style>
  <w:style w:type="paragraph" w:styleId="TOC3">
    <w:name w:val="toc 3"/>
    <w:basedOn w:val="Normal"/>
    <w:next w:val="Normal"/>
    <w:autoRedefine/>
    <w:uiPriority w:val="39"/>
    <w:unhideWhenUsed/>
    <w:rsid w:val="009270D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9270DB"/>
    <w:rPr>
      <w:color w:val="954F72" w:themeColor="followedHyperlink"/>
      <w:u w:val="single"/>
    </w:rPr>
  </w:style>
  <w:style w:type="table" w:customStyle="1" w:styleId="GridTable1Light">
    <w:name w:val="Grid Table 1 Light"/>
    <w:basedOn w:val="TableNormal"/>
    <w:uiPriority w:val="46"/>
    <w:rsid w:val="009327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BText">
    <w:name w:val="OMB Text"/>
    <w:basedOn w:val="Normal"/>
    <w:qFormat/>
    <w:rsid w:val="00137960"/>
    <w:pPr>
      <w:autoSpaceDE w:val="0"/>
      <w:autoSpaceDN w:val="0"/>
      <w:adjustRightInd w:val="0"/>
      <w:spacing w:after="240" w:line="240" w:lineRule="auto"/>
    </w:pPr>
    <w:rPr>
      <w:rFonts w:ascii="Times New Roman" w:hAnsi="Times New Roman"/>
      <w:sz w:val="24"/>
    </w:rPr>
  </w:style>
  <w:style w:type="paragraph" w:customStyle="1" w:styleId="Bulleted">
    <w:name w:val="Bulleted"/>
    <w:basedOn w:val="Normal"/>
    <w:autoRedefine/>
    <w:rsid w:val="0025127A"/>
    <w:pPr>
      <w:tabs>
        <w:tab w:val="left" w:pos="720"/>
      </w:tabs>
      <w:spacing w:after="0" w:line="240" w:lineRule="auto"/>
    </w:pPr>
    <w:rPr>
      <w:rFonts w:ascii="Times New Roman" w:eastAsia="Times New Roman" w:hAnsi="Times New Roman" w:cs="Times New Roman"/>
      <w:b/>
      <w:sz w:val="18"/>
      <w:szCs w:val="18"/>
    </w:rPr>
  </w:style>
  <w:style w:type="paragraph" w:customStyle="1" w:styleId="P1-StandPara">
    <w:name w:val="P1-Stand Para"/>
    <w:link w:val="P1-StandParaChar"/>
    <w:rsid w:val="002540F9"/>
    <w:pPr>
      <w:spacing w:after="0" w:line="480" w:lineRule="auto"/>
      <w:ind w:firstLine="720"/>
    </w:pPr>
    <w:rPr>
      <w:rFonts w:ascii="Times New Roman" w:eastAsia="Times New Roman" w:hAnsi="Times New Roman" w:cs="Times New Roman"/>
      <w:szCs w:val="20"/>
    </w:rPr>
  </w:style>
  <w:style w:type="character" w:customStyle="1" w:styleId="P1-StandParaChar">
    <w:name w:val="P1-Stand Para Char"/>
    <w:link w:val="P1-StandPara"/>
    <w:locked/>
    <w:rsid w:val="002540F9"/>
    <w:rPr>
      <w:rFonts w:ascii="Times New Roman" w:eastAsia="Times New Roman" w:hAnsi="Times New Roman" w:cs="Times New Roman"/>
      <w:szCs w:val="20"/>
    </w:rPr>
  </w:style>
  <w:style w:type="paragraph" w:customStyle="1" w:styleId="EndNoteBibliographyTitle">
    <w:name w:val="EndNote Bibliography Title"/>
    <w:basedOn w:val="Normal"/>
    <w:link w:val="EndNoteBibliographyTitleChar"/>
    <w:rsid w:val="00984DC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84DC6"/>
    <w:rPr>
      <w:rFonts w:ascii="Calibri" w:hAnsi="Calibri" w:cs="Calibri"/>
      <w:noProof/>
    </w:rPr>
  </w:style>
  <w:style w:type="paragraph" w:customStyle="1" w:styleId="EndNoteBibliography">
    <w:name w:val="EndNote Bibliography"/>
    <w:basedOn w:val="Normal"/>
    <w:link w:val="EndNoteBibliographyChar"/>
    <w:rsid w:val="00984DC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84DC6"/>
    <w:rPr>
      <w:rFonts w:ascii="Calibri" w:hAnsi="Calibri" w:cs="Calibri"/>
      <w:noProof/>
    </w:rPr>
  </w:style>
  <w:style w:type="paragraph" w:customStyle="1" w:styleId="Default">
    <w:name w:val="Default"/>
    <w:rsid w:val="0032523B"/>
    <w:pPr>
      <w:autoSpaceDE w:val="0"/>
      <w:autoSpaceDN w:val="0"/>
      <w:adjustRightInd w:val="0"/>
      <w:spacing w:after="0" w:line="240" w:lineRule="auto"/>
    </w:pPr>
    <w:rPr>
      <w:rFonts w:ascii="Verdana" w:hAnsi="Verdana" w:cs="Verdana"/>
      <w:color w:val="000000"/>
      <w:sz w:val="24"/>
      <w:szCs w:val="24"/>
    </w:rPr>
  </w:style>
  <w:style w:type="character" w:customStyle="1" w:styleId="ref-journal">
    <w:name w:val="ref-journal"/>
    <w:basedOn w:val="DefaultParagraphFont"/>
    <w:rsid w:val="006A2B06"/>
  </w:style>
  <w:style w:type="character" w:customStyle="1" w:styleId="ref-vol">
    <w:name w:val="ref-vol"/>
    <w:basedOn w:val="DefaultParagraphFont"/>
    <w:rsid w:val="006A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9237">
      <w:bodyDiv w:val="1"/>
      <w:marLeft w:val="0"/>
      <w:marRight w:val="0"/>
      <w:marTop w:val="0"/>
      <w:marBottom w:val="0"/>
      <w:divBdr>
        <w:top w:val="none" w:sz="0" w:space="0" w:color="auto"/>
        <w:left w:val="none" w:sz="0" w:space="0" w:color="auto"/>
        <w:bottom w:val="none" w:sz="0" w:space="0" w:color="auto"/>
        <w:right w:val="none" w:sz="0" w:space="0" w:color="auto"/>
      </w:divBdr>
    </w:div>
    <w:div w:id="190726569">
      <w:bodyDiv w:val="1"/>
      <w:marLeft w:val="0"/>
      <w:marRight w:val="0"/>
      <w:marTop w:val="0"/>
      <w:marBottom w:val="0"/>
      <w:divBdr>
        <w:top w:val="none" w:sz="0" w:space="0" w:color="auto"/>
        <w:left w:val="none" w:sz="0" w:space="0" w:color="auto"/>
        <w:bottom w:val="none" w:sz="0" w:space="0" w:color="auto"/>
        <w:right w:val="none" w:sz="0" w:space="0" w:color="auto"/>
      </w:divBdr>
    </w:div>
    <w:div w:id="234366473">
      <w:bodyDiv w:val="1"/>
      <w:marLeft w:val="0"/>
      <w:marRight w:val="0"/>
      <w:marTop w:val="0"/>
      <w:marBottom w:val="0"/>
      <w:divBdr>
        <w:top w:val="none" w:sz="0" w:space="0" w:color="auto"/>
        <w:left w:val="none" w:sz="0" w:space="0" w:color="auto"/>
        <w:bottom w:val="none" w:sz="0" w:space="0" w:color="auto"/>
        <w:right w:val="none" w:sz="0" w:space="0" w:color="auto"/>
      </w:divBdr>
    </w:div>
    <w:div w:id="310062586">
      <w:bodyDiv w:val="1"/>
      <w:marLeft w:val="0"/>
      <w:marRight w:val="0"/>
      <w:marTop w:val="0"/>
      <w:marBottom w:val="0"/>
      <w:divBdr>
        <w:top w:val="none" w:sz="0" w:space="0" w:color="auto"/>
        <w:left w:val="none" w:sz="0" w:space="0" w:color="auto"/>
        <w:bottom w:val="none" w:sz="0" w:space="0" w:color="auto"/>
        <w:right w:val="none" w:sz="0" w:space="0" w:color="auto"/>
      </w:divBdr>
    </w:div>
    <w:div w:id="373193678">
      <w:bodyDiv w:val="1"/>
      <w:marLeft w:val="0"/>
      <w:marRight w:val="0"/>
      <w:marTop w:val="0"/>
      <w:marBottom w:val="0"/>
      <w:divBdr>
        <w:top w:val="none" w:sz="0" w:space="0" w:color="auto"/>
        <w:left w:val="none" w:sz="0" w:space="0" w:color="auto"/>
        <w:bottom w:val="none" w:sz="0" w:space="0" w:color="auto"/>
        <w:right w:val="none" w:sz="0" w:space="0" w:color="auto"/>
      </w:divBdr>
    </w:div>
    <w:div w:id="452789644">
      <w:bodyDiv w:val="1"/>
      <w:marLeft w:val="0"/>
      <w:marRight w:val="0"/>
      <w:marTop w:val="0"/>
      <w:marBottom w:val="0"/>
      <w:divBdr>
        <w:top w:val="none" w:sz="0" w:space="0" w:color="auto"/>
        <w:left w:val="none" w:sz="0" w:space="0" w:color="auto"/>
        <w:bottom w:val="none" w:sz="0" w:space="0" w:color="auto"/>
        <w:right w:val="none" w:sz="0" w:space="0" w:color="auto"/>
      </w:divBdr>
    </w:div>
    <w:div w:id="628627088">
      <w:bodyDiv w:val="1"/>
      <w:marLeft w:val="0"/>
      <w:marRight w:val="0"/>
      <w:marTop w:val="0"/>
      <w:marBottom w:val="0"/>
      <w:divBdr>
        <w:top w:val="none" w:sz="0" w:space="0" w:color="auto"/>
        <w:left w:val="none" w:sz="0" w:space="0" w:color="auto"/>
        <w:bottom w:val="none" w:sz="0" w:space="0" w:color="auto"/>
        <w:right w:val="none" w:sz="0" w:space="0" w:color="auto"/>
      </w:divBdr>
    </w:div>
    <w:div w:id="685060582">
      <w:bodyDiv w:val="1"/>
      <w:marLeft w:val="0"/>
      <w:marRight w:val="0"/>
      <w:marTop w:val="0"/>
      <w:marBottom w:val="0"/>
      <w:divBdr>
        <w:top w:val="none" w:sz="0" w:space="0" w:color="auto"/>
        <w:left w:val="none" w:sz="0" w:space="0" w:color="auto"/>
        <w:bottom w:val="none" w:sz="0" w:space="0" w:color="auto"/>
        <w:right w:val="none" w:sz="0" w:space="0" w:color="auto"/>
      </w:divBdr>
    </w:div>
    <w:div w:id="824202590">
      <w:bodyDiv w:val="1"/>
      <w:marLeft w:val="0"/>
      <w:marRight w:val="0"/>
      <w:marTop w:val="0"/>
      <w:marBottom w:val="0"/>
      <w:divBdr>
        <w:top w:val="none" w:sz="0" w:space="0" w:color="auto"/>
        <w:left w:val="none" w:sz="0" w:space="0" w:color="auto"/>
        <w:bottom w:val="none" w:sz="0" w:space="0" w:color="auto"/>
        <w:right w:val="none" w:sz="0" w:space="0" w:color="auto"/>
      </w:divBdr>
    </w:div>
    <w:div w:id="1012877255">
      <w:bodyDiv w:val="1"/>
      <w:marLeft w:val="0"/>
      <w:marRight w:val="0"/>
      <w:marTop w:val="0"/>
      <w:marBottom w:val="0"/>
      <w:divBdr>
        <w:top w:val="none" w:sz="0" w:space="0" w:color="auto"/>
        <w:left w:val="none" w:sz="0" w:space="0" w:color="auto"/>
        <w:bottom w:val="none" w:sz="0" w:space="0" w:color="auto"/>
        <w:right w:val="none" w:sz="0" w:space="0" w:color="auto"/>
      </w:divBdr>
    </w:div>
    <w:div w:id="1361662964">
      <w:bodyDiv w:val="1"/>
      <w:marLeft w:val="0"/>
      <w:marRight w:val="0"/>
      <w:marTop w:val="0"/>
      <w:marBottom w:val="0"/>
      <w:divBdr>
        <w:top w:val="none" w:sz="0" w:space="0" w:color="auto"/>
        <w:left w:val="none" w:sz="0" w:space="0" w:color="auto"/>
        <w:bottom w:val="none" w:sz="0" w:space="0" w:color="auto"/>
        <w:right w:val="none" w:sz="0" w:space="0" w:color="auto"/>
      </w:divBdr>
    </w:div>
    <w:div w:id="1464999775">
      <w:bodyDiv w:val="1"/>
      <w:marLeft w:val="0"/>
      <w:marRight w:val="0"/>
      <w:marTop w:val="0"/>
      <w:marBottom w:val="0"/>
      <w:divBdr>
        <w:top w:val="none" w:sz="0" w:space="0" w:color="auto"/>
        <w:left w:val="none" w:sz="0" w:space="0" w:color="auto"/>
        <w:bottom w:val="none" w:sz="0" w:space="0" w:color="auto"/>
        <w:right w:val="none" w:sz="0" w:space="0" w:color="auto"/>
      </w:divBdr>
    </w:div>
    <w:div w:id="1465931928">
      <w:bodyDiv w:val="1"/>
      <w:marLeft w:val="0"/>
      <w:marRight w:val="0"/>
      <w:marTop w:val="0"/>
      <w:marBottom w:val="0"/>
      <w:divBdr>
        <w:top w:val="none" w:sz="0" w:space="0" w:color="auto"/>
        <w:left w:val="none" w:sz="0" w:space="0" w:color="auto"/>
        <w:bottom w:val="none" w:sz="0" w:space="0" w:color="auto"/>
        <w:right w:val="none" w:sz="0" w:space="0" w:color="auto"/>
      </w:divBdr>
    </w:div>
    <w:div w:id="184296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headsup/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data_access/urban_rural.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traumaticbraininjury/PediatricmTBIGuideline.html" TargetMode="External"/><Relationship Id="rId4" Type="http://schemas.microsoft.com/office/2007/relationships/stylesWithEffects" Target="stylesWithEffects.xml"/><Relationship Id="rId9" Type="http://schemas.openxmlformats.org/officeDocument/2006/relationships/hyperlink" Target="https://www.cdc.gov/headsup/providers/index.html" TargetMode="External"/><Relationship Id="rId14" Type="http://schemas.openxmlformats.org/officeDocument/2006/relationships/fontTable" Target="fontTable.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nchs/data_access/urban_rural.htm" TargetMode="External"/><Relationship Id="rId1" Type="http://schemas.openxmlformats.org/officeDocument/2006/relationships/hyperlink" Target="https://www.cdc.gov/traumaticbraininjury/pdf/tbi_report_to_congress_epi_and_rehab-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DAFA3-42EC-420E-891A-DE01654C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7210</Words>
  <Characters>41101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2019-04-01T16:09:00Z</dcterms:created>
  <dcterms:modified xsi:type="dcterms:W3CDTF">2019-04-01T16:09:00Z</dcterms:modified>
</cp:coreProperties>
</file>