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BF5" w:rsidRPr="0087185A" w:rsidRDefault="00313BF5" w:rsidP="0087185A">
      <w:pPr>
        <w:pStyle w:val="Heading1"/>
        <w:keepNext w:val="0"/>
        <w:spacing w:before="0" w:after="0"/>
        <w:rPr>
          <w:rFonts w:ascii="Verdana" w:hAnsi="Verdana"/>
          <w:sz w:val="22"/>
          <w:szCs w:val="20"/>
        </w:rPr>
      </w:pPr>
      <w:bookmarkStart w:id="0" w:name="_Toc365037583"/>
      <w:bookmarkStart w:id="1" w:name="_Toc365038362"/>
      <w:bookmarkStart w:id="2" w:name="_Toc365473627"/>
      <w:bookmarkStart w:id="3" w:name="_GoBack"/>
      <w:bookmarkEnd w:id="3"/>
      <w:r w:rsidRPr="0087185A">
        <w:rPr>
          <w:rFonts w:ascii="Verdana" w:hAnsi="Verdana"/>
          <w:sz w:val="22"/>
          <w:szCs w:val="20"/>
        </w:rPr>
        <w:t>Attachment 4: Incentives</w:t>
      </w:r>
    </w:p>
    <w:p w:rsidR="00313BF5" w:rsidRPr="00313BF5" w:rsidRDefault="00313BF5" w:rsidP="00313BF5"/>
    <w:p w:rsidR="00463620" w:rsidRPr="0087185A" w:rsidRDefault="00313BF5" w:rsidP="00463620">
      <w:pPr>
        <w:pStyle w:val="SurveyHeading1"/>
        <w:rPr>
          <w:sz w:val="22"/>
          <w:szCs w:val="24"/>
        </w:rPr>
      </w:pPr>
      <w:r w:rsidRPr="0087185A">
        <w:rPr>
          <w:caps/>
          <w:sz w:val="22"/>
          <w:szCs w:val="24"/>
        </w:rPr>
        <w:t xml:space="preserve">Research </w:t>
      </w:r>
      <w:r w:rsidR="00397C9B" w:rsidRPr="0087185A">
        <w:rPr>
          <w:caps/>
          <w:sz w:val="22"/>
          <w:szCs w:val="24"/>
        </w:rPr>
        <w:t>and Evaluation Survey for the Public Education Campaign on Tobacco among LGBT</w:t>
      </w:r>
      <w:r w:rsidRPr="0087185A">
        <w:rPr>
          <w:sz w:val="22"/>
          <w:szCs w:val="24"/>
        </w:rPr>
        <w:t xml:space="preserve"> (RESPECT)</w:t>
      </w:r>
    </w:p>
    <w:p w:rsidR="00463620" w:rsidRPr="0087185A" w:rsidRDefault="00463620" w:rsidP="0087185A"/>
    <w:bookmarkEnd w:id="0"/>
    <w:bookmarkEnd w:id="1"/>
    <w:bookmarkEnd w:id="2"/>
    <w:p w:rsidR="005F7F3A" w:rsidRPr="00B90A7F" w:rsidRDefault="005F7F3A" w:rsidP="00313BF5">
      <w:pPr>
        <w:rPr>
          <w:rFonts w:ascii="Verdana" w:hAnsi="Verdana"/>
          <w:sz w:val="20"/>
          <w:szCs w:val="20"/>
        </w:rPr>
      </w:pPr>
    </w:p>
    <w:p w:rsidR="00E641D7" w:rsidRDefault="0068317A" w:rsidP="00300BF3">
      <w:pPr>
        <w:pStyle w:val="Appheading2"/>
        <w:numPr>
          <w:ilvl w:val="0"/>
          <w:numId w:val="0"/>
        </w:numPr>
        <w:spacing w:after="0"/>
        <w:rPr>
          <w:rFonts w:ascii="Verdana" w:hAnsi="Verdana" w:cs="Times New Roman"/>
          <w:caps/>
          <w:sz w:val="20"/>
          <w:szCs w:val="20"/>
        </w:rPr>
      </w:pPr>
      <w:r w:rsidRPr="00B90A7F">
        <w:rPr>
          <w:rFonts w:ascii="Verdana" w:hAnsi="Verdana" w:cs="Times New Roman"/>
          <w:caps/>
          <w:sz w:val="20"/>
          <w:szCs w:val="20"/>
        </w:rPr>
        <w:t>Incentive Plan</w:t>
      </w:r>
      <w:r w:rsidR="00E641D7" w:rsidRPr="00B90A7F">
        <w:rPr>
          <w:rFonts w:ascii="Verdana" w:hAnsi="Verdana" w:cs="Times New Roman"/>
          <w:caps/>
          <w:sz w:val="20"/>
          <w:szCs w:val="20"/>
        </w:rPr>
        <w:t xml:space="preserve"> for </w:t>
      </w:r>
      <w:r w:rsidR="00397C9B" w:rsidRPr="00B90A7F">
        <w:rPr>
          <w:rFonts w:ascii="Verdana" w:hAnsi="Verdana" w:cs="Times New Roman"/>
          <w:caps/>
          <w:sz w:val="20"/>
          <w:szCs w:val="20"/>
        </w:rPr>
        <w:t>Research and Evaluation Survey for the Public Education Campaign on Tobacco among LGBT (RESPECT LGBT)</w:t>
      </w:r>
    </w:p>
    <w:p w:rsidR="000E2181" w:rsidRPr="00B90A7F" w:rsidRDefault="000E2181" w:rsidP="00300BF3">
      <w:pPr>
        <w:pStyle w:val="Appheading2"/>
        <w:numPr>
          <w:ilvl w:val="0"/>
          <w:numId w:val="0"/>
        </w:numPr>
        <w:spacing w:after="0"/>
        <w:rPr>
          <w:rFonts w:ascii="Verdana" w:hAnsi="Verdana" w:cs="Times New Roman"/>
          <w:caps/>
          <w:sz w:val="20"/>
          <w:szCs w:val="20"/>
        </w:rPr>
      </w:pPr>
    </w:p>
    <w:p w:rsidR="000F58ED" w:rsidRPr="00B90A7F" w:rsidRDefault="007C7037" w:rsidP="00300BF3">
      <w:pPr>
        <w:pStyle w:val="Appheading2"/>
        <w:numPr>
          <w:ilvl w:val="0"/>
          <w:numId w:val="0"/>
        </w:numPr>
        <w:spacing w:after="0"/>
        <w:rPr>
          <w:rFonts w:ascii="Verdana" w:hAnsi="Verdana" w:cs="Times New Roman"/>
          <w:b w:val="0"/>
          <w:sz w:val="20"/>
          <w:szCs w:val="20"/>
        </w:rPr>
      </w:pPr>
      <w:r w:rsidRPr="00B90A7F">
        <w:rPr>
          <w:rFonts w:ascii="Verdana" w:hAnsi="Verdana" w:cs="Times New Roman"/>
          <w:b w:val="0"/>
          <w:sz w:val="20"/>
          <w:szCs w:val="20"/>
        </w:rPr>
        <w:t xml:space="preserve">This section </w:t>
      </w:r>
      <w:r w:rsidR="00300BF3" w:rsidRPr="00B90A7F">
        <w:rPr>
          <w:rFonts w:ascii="Verdana" w:hAnsi="Verdana" w:cs="Times New Roman"/>
          <w:b w:val="0"/>
          <w:sz w:val="20"/>
          <w:szCs w:val="20"/>
        </w:rPr>
        <w:t xml:space="preserve">presents the rationale for the incentives we propose for participation in </w:t>
      </w:r>
      <w:r w:rsidR="00397C9B" w:rsidRPr="00B90A7F">
        <w:rPr>
          <w:rFonts w:ascii="Verdana" w:hAnsi="Verdana" w:cs="Times New Roman"/>
          <w:b w:val="0"/>
          <w:sz w:val="20"/>
          <w:szCs w:val="20"/>
        </w:rPr>
        <w:t xml:space="preserve">RESPECT LGBT </w:t>
      </w:r>
      <w:r w:rsidR="00300BF3" w:rsidRPr="00B90A7F">
        <w:rPr>
          <w:rFonts w:ascii="Verdana" w:hAnsi="Verdana" w:cs="Times New Roman"/>
          <w:b w:val="0"/>
          <w:sz w:val="20"/>
          <w:szCs w:val="20"/>
        </w:rPr>
        <w:t>surveys.</w:t>
      </w:r>
      <w:r w:rsidR="001566AD" w:rsidRPr="00B90A7F">
        <w:rPr>
          <w:rFonts w:ascii="Verdana" w:hAnsi="Verdana" w:cs="Times New Roman"/>
          <w:b w:val="0"/>
          <w:sz w:val="20"/>
          <w:szCs w:val="20"/>
        </w:rPr>
        <w:t xml:space="preserve"> Incentives will be provided t</w:t>
      </w:r>
      <w:r w:rsidR="002D067E">
        <w:rPr>
          <w:rFonts w:ascii="Verdana" w:hAnsi="Verdana" w:cs="Times New Roman"/>
          <w:b w:val="0"/>
          <w:sz w:val="20"/>
          <w:szCs w:val="20"/>
        </w:rPr>
        <w:t>o encourage completion of the 5-</w:t>
      </w:r>
      <w:r w:rsidR="001566AD" w:rsidRPr="00B90A7F">
        <w:rPr>
          <w:rFonts w:ascii="Verdana" w:hAnsi="Verdana" w:cs="Times New Roman"/>
          <w:b w:val="0"/>
          <w:sz w:val="20"/>
          <w:szCs w:val="20"/>
        </w:rPr>
        <w:t xml:space="preserve">minute </w:t>
      </w:r>
      <w:r w:rsidR="00397C9B" w:rsidRPr="00B90A7F">
        <w:rPr>
          <w:rFonts w:ascii="Verdana" w:hAnsi="Verdana" w:cs="Times New Roman"/>
          <w:b w:val="0"/>
          <w:sz w:val="20"/>
          <w:szCs w:val="20"/>
        </w:rPr>
        <w:t xml:space="preserve">in-person </w:t>
      </w:r>
      <w:r w:rsidR="001566AD" w:rsidRPr="00B90A7F">
        <w:rPr>
          <w:rFonts w:ascii="Verdana" w:hAnsi="Verdana" w:cs="Times New Roman"/>
          <w:b w:val="0"/>
          <w:sz w:val="20"/>
          <w:szCs w:val="20"/>
        </w:rPr>
        <w:t>screener survey ($</w:t>
      </w:r>
      <w:r w:rsidR="0001123E" w:rsidRPr="00B90A7F">
        <w:rPr>
          <w:rFonts w:ascii="Verdana" w:hAnsi="Verdana" w:cs="Times New Roman"/>
          <w:b w:val="0"/>
          <w:sz w:val="20"/>
          <w:szCs w:val="20"/>
        </w:rPr>
        <w:t>10</w:t>
      </w:r>
      <w:r w:rsidR="001566AD" w:rsidRPr="00B90A7F">
        <w:rPr>
          <w:rFonts w:ascii="Verdana" w:hAnsi="Verdana" w:cs="Times New Roman"/>
          <w:b w:val="0"/>
          <w:sz w:val="20"/>
          <w:szCs w:val="20"/>
        </w:rPr>
        <w:t>)</w:t>
      </w:r>
      <w:r w:rsidR="0076053E" w:rsidRPr="00B90A7F">
        <w:rPr>
          <w:rFonts w:ascii="Verdana" w:hAnsi="Verdana" w:cs="Times New Roman"/>
          <w:b w:val="0"/>
          <w:sz w:val="20"/>
          <w:szCs w:val="20"/>
        </w:rPr>
        <w:t>,</w:t>
      </w:r>
      <w:r w:rsidR="002D067E">
        <w:rPr>
          <w:rFonts w:ascii="Verdana" w:hAnsi="Verdana" w:cs="Times New Roman"/>
          <w:b w:val="0"/>
          <w:sz w:val="20"/>
          <w:szCs w:val="20"/>
        </w:rPr>
        <w:t xml:space="preserve"> the 30-</w:t>
      </w:r>
      <w:r w:rsidR="001566AD" w:rsidRPr="00B90A7F">
        <w:rPr>
          <w:rFonts w:ascii="Verdana" w:hAnsi="Verdana" w:cs="Times New Roman"/>
          <w:b w:val="0"/>
          <w:sz w:val="20"/>
          <w:szCs w:val="20"/>
        </w:rPr>
        <w:t xml:space="preserve">minute </w:t>
      </w:r>
      <w:r w:rsidR="00ED67FE">
        <w:rPr>
          <w:rFonts w:ascii="Verdana" w:hAnsi="Verdana" w:cs="Times New Roman"/>
          <w:b w:val="0"/>
          <w:sz w:val="20"/>
          <w:szCs w:val="20"/>
        </w:rPr>
        <w:t>baseline (</w:t>
      </w:r>
      <w:r w:rsidR="001566AD" w:rsidRPr="00B90A7F">
        <w:rPr>
          <w:rFonts w:ascii="Verdana" w:hAnsi="Verdana" w:cs="Times New Roman"/>
          <w:b w:val="0"/>
          <w:sz w:val="20"/>
          <w:szCs w:val="20"/>
        </w:rPr>
        <w:t>pre-campaign launch</w:t>
      </w:r>
      <w:r w:rsidR="00ED67FE">
        <w:rPr>
          <w:rFonts w:ascii="Verdana" w:hAnsi="Verdana" w:cs="Times New Roman"/>
          <w:b w:val="0"/>
          <w:sz w:val="20"/>
          <w:szCs w:val="20"/>
        </w:rPr>
        <w:t>)</w:t>
      </w:r>
      <w:r w:rsidR="001566AD" w:rsidRPr="00B90A7F">
        <w:rPr>
          <w:rFonts w:ascii="Verdana" w:hAnsi="Verdana" w:cs="Times New Roman"/>
          <w:b w:val="0"/>
          <w:sz w:val="20"/>
          <w:szCs w:val="20"/>
        </w:rPr>
        <w:t xml:space="preserve"> </w:t>
      </w:r>
      <w:r w:rsidR="00A767EC" w:rsidRPr="00B90A7F">
        <w:rPr>
          <w:rFonts w:ascii="Verdana" w:hAnsi="Verdana" w:cs="Times New Roman"/>
          <w:b w:val="0"/>
          <w:sz w:val="20"/>
          <w:szCs w:val="20"/>
        </w:rPr>
        <w:t xml:space="preserve">web </w:t>
      </w:r>
      <w:r w:rsidR="001566AD" w:rsidRPr="00B90A7F">
        <w:rPr>
          <w:rFonts w:ascii="Verdana" w:hAnsi="Verdana" w:cs="Times New Roman"/>
          <w:b w:val="0"/>
          <w:sz w:val="20"/>
          <w:szCs w:val="20"/>
        </w:rPr>
        <w:t xml:space="preserve">survey </w:t>
      </w:r>
      <w:r w:rsidR="0076053E" w:rsidRPr="00B90A7F">
        <w:rPr>
          <w:rFonts w:ascii="Verdana" w:hAnsi="Verdana" w:cs="Times New Roman"/>
          <w:b w:val="0"/>
          <w:sz w:val="20"/>
          <w:szCs w:val="20"/>
        </w:rPr>
        <w:t>(</w:t>
      </w:r>
      <w:r w:rsidR="001D05AD" w:rsidRPr="00B90A7F">
        <w:rPr>
          <w:rFonts w:ascii="Verdana" w:hAnsi="Verdana" w:cs="Times New Roman"/>
          <w:b w:val="0"/>
          <w:sz w:val="20"/>
          <w:szCs w:val="20"/>
        </w:rPr>
        <w:t xml:space="preserve">promised </w:t>
      </w:r>
      <w:r w:rsidR="00397C9B" w:rsidRPr="00B90A7F">
        <w:rPr>
          <w:rFonts w:ascii="Verdana" w:hAnsi="Verdana" w:cs="Times New Roman"/>
          <w:b w:val="0"/>
          <w:sz w:val="20"/>
          <w:szCs w:val="20"/>
        </w:rPr>
        <w:t>$20</w:t>
      </w:r>
      <w:r w:rsidR="001D05AD" w:rsidRPr="00B90A7F">
        <w:rPr>
          <w:rFonts w:ascii="Verdana" w:hAnsi="Verdana" w:cs="Times New Roman"/>
          <w:b w:val="0"/>
          <w:sz w:val="20"/>
          <w:szCs w:val="20"/>
        </w:rPr>
        <w:t xml:space="preserve"> incentive </w:t>
      </w:r>
      <w:r w:rsidR="00397C9B" w:rsidRPr="00B90A7F">
        <w:rPr>
          <w:rFonts w:ascii="Verdana" w:hAnsi="Verdana" w:cs="Times New Roman"/>
          <w:b w:val="0"/>
          <w:sz w:val="20"/>
          <w:szCs w:val="20"/>
        </w:rPr>
        <w:t xml:space="preserve">with a $5 </w:t>
      </w:r>
      <w:r w:rsidR="00D23885" w:rsidRPr="00B90A7F">
        <w:rPr>
          <w:rFonts w:ascii="Verdana" w:hAnsi="Verdana" w:cs="Times New Roman"/>
          <w:b w:val="0"/>
          <w:sz w:val="20"/>
          <w:szCs w:val="20"/>
        </w:rPr>
        <w:t>“early response” bonus</w:t>
      </w:r>
      <w:r w:rsidR="00397C9B" w:rsidRPr="00B90A7F">
        <w:rPr>
          <w:rFonts w:ascii="Verdana" w:hAnsi="Verdana" w:cs="Times New Roman"/>
          <w:b w:val="0"/>
          <w:sz w:val="20"/>
          <w:szCs w:val="20"/>
        </w:rPr>
        <w:t xml:space="preserve"> for completing the survey within 2 days of invitation</w:t>
      </w:r>
      <w:r w:rsidR="0076053E" w:rsidRPr="00B90A7F">
        <w:rPr>
          <w:rFonts w:ascii="Verdana" w:hAnsi="Verdana" w:cs="Times New Roman"/>
          <w:b w:val="0"/>
          <w:sz w:val="20"/>
          <w:szCs w:val="20"/>
        </w:rPr>
        <w:t>) and the</w:t>
      </w:r>
      <w:r w:rsidR="001566AD" w:rsidRPr="00B90A7F">
        <w:rPr>
          <w:rFonts w:ascii="Verdana" w:hAnsi="Verdana" w:cs="Times New Roman"/>
          <w:b w:val="0"/>
          <w:sz w:val="20"/>
          <w:szCs w:val="20"/>
        </w:rPr>
        <w:t xml:space="preserve"> 4</w:t>
      </w:r>
      <w:r w:rsidR="00A767EC" w:rsidRPr="00B90A7F">
        <w:rPr>
          <w:rFonts w:ascii="Verdana" w:hAnsi="Verdana" w:cs="Times New Roman"/>
          <w:b w:val="0"/>
          <w:sz w:val="20"/>
          <w:szCs w:val="20"/>
        </w:rPr>
        <w:t>0</w:t>
      </w:r>
      <w:r w:rsidR="002D067E">
        <w:rPr>
          <w:rFonts w:ascii="Verdana" w:hAnsi="Verdana" w:cs="Times New Roman"/>
          <w:b w:val="0"/>
          <w:sz w:val="20"/>
          <w:szCs w:val="20"/>
        </w:rPr>
        <w:t>-</w:t>
      </w:r>
      <w:r w:rsidR="001566AD" w:rsidRPr="00B90A7F">
        <w:rPr>
          <w:rFonts w:ascii="Verdana" w:hAnsi="Verdana" w:cs="Times New Roman"/>
          <w:b w:val="0"/>
          <w:sz w:val="20"/>
          <w:szCs w:val="20"/>
        </w:rPr>
        <w:t xml:space="preserve">minute </w:t>
      </w:r>
      <w:r w:rsidR="00ED67FE">
        <w:rPr>
          <w:rFonts w:ascii="Verdana" w:hAnsi="Verdana" w:cs="Times New Roman"/>
          <w:b w:val="0"/>
          <w:sz w:val="20"/>
          <w:szCs w:val="20"/>
        </w:rPr>
        <w:t>follow-up (</w:t>
      </w:r>
      <w:r w:rsidR="001566AD" w:rsidRPr="00B90A7F">
        <w:rPr>
          <w:rFonts w:ascii="Verdana" w:hAnsi="Verdana" w:cs="Times New Roman"/>
          <w:b w:val="0"/>
          <w:sz w:val="20"/>
          <w:szCs w:val="20"/>
        </w:rPr>
        <w:t>post-campaign launch</w:t>
      </w:r>
      <w:r w:rsidR="00ED67FE">
        <w:rPr>
          <w:rFonts w:ascii="Verdana" w:hAnsi="Verdana" w:cs="Times New Roman"/>
          <w:b w:val="0"/>
          <w:sz w:val="20"/>
          <w:szCs w:val="20"/>
        </w:rPr>
        <w:t>)</w:t>
      </w:r>
      <w:r w:rsidR="001566AD" w:rsidRPr="00B90A7F">
        <w:rPr>
          <w:rFonts w:ascii="Verdana" w:hAnsi="Verdana" w:cs="Times New Roman"/>
          <w:b w:val="0"/>
          <w:sz w:val="20"/>
          <w:szCs w:val="20"/>
        </w:rPr>
        <w:t xml:space="preserve"> surveys</w:t>
      </w:r>
      <w:r w:rsidR="0076053E" w:rsidRPr="00B90A7F">
        <w:rPr>
          <w:rFonts w:ascii="Verdana" w:hAnsi="Verdana" w:cs="Times New Roman"/>
          <w:b w:val="0"/>
          <w:sz w:val="20"/>
          <w:szCs w:val="20"/>
        </w:rPr>
        <w:t xml:space="preserve"> (</w:t>
      </w:r>
      <w:r w:rsidR="001D05AD" w:rsidRPr="00B90A7F">
        <w:rPr>
          <w:rFonts w:ascii="Verdana" w:hAnsi="Verdana" w:cs="Times New Roman"/>
          <w:b w:val="0"/>
          <w:sz w:val="20"/>
          <w:szCs w:val="20"/>
        </w:rPr>
        <w:t xml:space="preserve">promised </w:t>
      </w:r>
      <w:r w:rsidR="00397C9B" w:rsidRPr="00B90A7F">
        <w:rPr>
          <w:rFonts w:ascii="Verdana" w:hAnsi="Verdana" w:cs="Times New Roman"/>
          <w:b w:val="0"/>
          <w:sz w:val="20"/>
          <w:szCs w:val="20"/>
        </w:rPr>
        <w:t xml:space="preserve">$20 with a $5 </w:t>
      </w:r>
      <w:r w:rsidR="00D23885" w:rsidRPr="00B90A7F">
        <w:rPr>
          <w:rFonts w:ascii="Verdana" w:hAnsi="Verdana" w:cs="Times New Roman"/>
          <w:b w:val="0"/>
          <w:sz w:val="20"/>
          <w:szCs w:val="20"/>
        </w:rPr>
        <w:t xml:space="preserve">“early response” bonus </w:t>
      </w:r>
      <w:r w:rsidR="00397C9B" w:rsidRPr="00B90A7F">
        <w:rPr>
          <w:rFonts w:ascii="Verdana" w:hAnsi="Verdana" w:cs="Times New Roman"/>
          <w:b w:val="0"/>
          <w:sz w:val="20"/>
          <w:szCs w:val="20"/>
        </w:rPr>
        <w:t>for completing the survey within 2 days of invitation</w:t>
      </w:r>
      <w:r w:rsidR="0076053E" w:rsidRPr="00B90A7F">
        <w:rPr>
          <w:rFonts w:ascii="Verdana" w:hAnsi="Verdana" w:cs="Times New Roman"/>
          <w:b w:val="0"/>
          <w:sz w:val="20"/>
          <w:szCs w:val="20"/>
        </w:rPr>
        <w:t>)</w:t>
      </w:r>
      <w:r w:rsidR="001566AD" w:rsidRPr="00B90A7F">
        <w:rPr>
          <w:rFonts w:ascii="Verdana" w:hAnsi="Verdana" w:cs="Times New Roman"/>
          <w:b w:val="0"/>
          <w:sz w:val="20"/>
          <w:szCs w:val="20"/>
        </w:rPr>
        <w:t>.</w:t>
      </w:r>
    </w:p>
    <w:p w:rsidR="00B524CF" w:rsidRPr="00B90A7F" w:rsidRDefault="00B524CF" w:rsidP="00300BF3">
      <w:pPr>
        <w:pStyle w:val="Appheading2"/>
        <w:numPr>
          <w:ilvl w:val="0"/>
          <w:numId w:val="0"/>
        </w:numPr>
        <w:spacing w:after="0"/>
        <w:rPr>
          <w:rFonts w:ascii="Verdana" w:hAnsi="Verdana" w:cs="Times New Roman"/>
          <w:b w:val="0"/>
          <w:sz w:val="20"/>
          <w:szCs w:val="20"/>
        </w:rPr>
      </w:pPr>
    </w:p>
    <w:p w:rsidR="00254072" w:rsidRPr="00B90A7F" w:rsidRDefault="00D91E1F" w:rsidP="00300BF3">
      <w:pPr>
        <w:pStyle w:val="Appheading2"/>
        <w:numPr>
          <w:ilvl w:val="0"/>
          <w:numId w:val="0"/>
        </w:numPr>
        <w:spacing w:after="0"/>
        <w:rPr>
          <w:rFonts w:ascii="Verdana" w:hAnsi="Verdana" w:cs="Times New Roman"/>
          <w:b w:val="0"/>
          <w:sz w:val="20"/>
          <w:szCs w:val="20"/>
        </w:rPr>
      </w:pPr>
      <w:r w:rsidRPr="00B90A7F">
        <w:rPr>
          <w:rFonts w:ascii="Verdana" w:hAnsi="Verdana" w:cs="Times New Roman"/>
          <w:b w:val="0"/>
          <w:sz w:val="20"/>
          <w:szCs w:val="20"/>
        </w:rPr>
        <w:t>The incentive plan for this study is based o</w:t>
      </w:r>
      <w:r w:rsidR="002D067E">
        <w:rPr>
          <w:rFonts w:ascii="Verdana" w:hAnsi="Verdana" w:cs="Times New Roman"/>
          <w:b w:val="0"/>
          <w:sz w:val="20"/>
          <w:szCs w:val="20"/>
        </w:rPr>
        <w:t>n the need to ensure cooperation</w:t>
      </w:r>
      <w:r w:rsidRPr="00B90A7F">
        <w:rPr>
          <w:rFonts w:ascii="Verdana" w:hAnsi="Verdana" w:cs="Times New Roman"/>
          <w:b w:val="0"/>
          <w:sz w:val="20"/>
          <w:szCs w:val="20"/>
        </w:rPr>
        <w:t xml:space="preserve"> from this hard-to-reach and specific population of </w:t>
      </w:r>
      <w:r w:rsidR="00397C9B" w:rsidRPr="00B90A7F">
        <w:rPr>
          <w:rFonts w:ascii="Verdana" w:hAnsi="Verdana" w:cs="Times New Roman"/>
          <w:b w:val="0"/>
          <w:sz w:val="20"/>
          <w:szCs w:val="20"/>
        </w:rPr>
        <w:t xml:space="preserve">young adult </w:t>
      </w:r>
      <w:r w:rsidR="00E34FED">
        <w:rPr>
          <w:rFonts w:ascii="Verdana" w:hAnsi="Verdana" w:cs="Times New Roman"/>
          <w:b w:val="0"/>
          <w:sz w:val="20"/>
          <w:szCs w:val="20"/>
        </w:rPr>
        <w:t>(18</w:t>
      </w:r>
      <w:r w:rsidR="000E2181">
        <w:rPr>
          <w:rFonts w:ascii="Verdana" w:hAnsi="Verdana" w:cs="Times New Roman"/>
          <w:b w:val="0"/>
          <w:sz w:val="20"/>
          <w:szCs w:val="20"/>
        </w:rPr>
        <w:t>-</w:t>
      </w:r>
      <w:r w:rsidR="00E34FED">
        <w:rPr>
          <w:rFonts w:ascii="Verdana" w:hAnsi="Verdana" w:cs="Times New Roman"/>
          <w:b w:val="0"/>
          <w:sz w:val="20"/>
          <w:szCs w:val="20"/>
        </w:rPr>
        <w:t xml:space="preserve"> to 24-year-old) </w:t>
      </w:r>
      <w:r w:rsidR="00397C9B" w:rsidRPr="00B90A7F">
        <w:rPr>
          <w:rFonts w:ascii="Verdana" w:hAnsi="Verdana" w:cs="Times New Roman"/>
          <w:b w:val="0"/>
          <w:sz w:val="20"/>
          <w:szCs w:val="20"/>
        </w:rPr>
        <w:t>members of the LGBT community</w:t>
      </w:r>
      <w:r w:rsidRPr="00B90A7F">
        <w:rPr>
          <w:rFonts w:ascii="Verdana" w:hAnsi="Verdana" w:cs="Times New Roman"/>
          <w:b w:val="0"/>
          <w:sz w:val="20"/>
          <w:szCs w:val="20"/>
        </w:rPr>
        <w:t xml:space="preserve">. </w:t>
      </w:r>
      <w:r w:rsidR="00FB1DA2" w:rsidRPr="00B90A7F">
        <w:rPr>
          <w:rFonts w:ascii="Verdana" w:hAnsi="Verdana" w:cs="Times New Roman"/>
          <w:b w:val="0"/>
          <w:sz w:val="20"/>
          <w:szCs w:val="20"/>
        </w:rPr>
        <w:t>Proposed</w:t>
      </w:r>
      <w:r w:rsidR="001E42BB" w:rsidRPr="00B90A7F">
        <w:rPr>
          <w:rFonts w:ascii="Verdana" w:hAnsi="Verdana" w:cs="Times New Roman"/>
          <w:b w:val="0"/>
          <w:sz w:val="20"/>
          <w:szCs w:val="20"/>
        </w:rPr>
        <w:t xml:space="preserve"> </w:t>
      </w:r>
      <w:r w:rsidR="00FB1DA2" w:rsidRPr="00B90A7F">
        <w:rPr>
          <w:rFonts w:ascii="Verdana" w:hAnsi="Verdana" w:cs="Times New Roman"/>
          <w:b w:val="0"/>
          <w:sz w:val="20"/>
          <w:szCs w:val="20"/>
        </w:rPr>
        <w:t>incentives are</w:t>
      </w:r>
      <w:r w:rsidR="001E42BB" w:rsidRPr="00B90A7F">
        <w:rPr>
          <w:rFonts w:ascii="Verdana" w:hAnsi="Verdana" w:cs="Times New Roman"/>
          <w:b w:val="0"/>
          <w:sz w:val="20"/>
          <w:szCs w:val="20"/>
        </w:rPr>
        <w:t xml:space="preserve"> i</w:t>
      </w:r>
      <w:r w:rsidR="000F58ED" w:rsidRPr="00B90A7F">
        <w:rPr>
          <w:rFonts w:ascii="Verdana" w:hAnsi="Verdana" w:cs="Times New Roman"/>
          <w:b w:val="0"/>
          <w:sz w:val="20"/>
          <w:szCs w:val="20"/>
        </w:rPr>
        <w:t>ntended to recognize the time burden placed on participants, encourage their cooperation, and convey appreciation for contr</w:t>
      </w:r>
      <w:r w:rsidR="00CB37DA" w:rsidRPr="00B90A7F">
        <w:rPr>
          <w:rFonts w:ascii="Verdana" w:hAnsi="Verdana" w:cs="Times New Roman"/>
          <w:b w:val="0"/>
          <w:sz w:val="20"/>
          <w:szCs w:val="20"/>
        </w:rPr>
        <w:t>i</w:t>
      </w:r>
      <w:r w:rsidR="000E2181">
        <w:rPr>
          <w:rFonts w:ascii="Verdana" w:hAnsi="Verdana" w:cs="Times New Roman"/>
          <w:b w:val="0"/>
          <w:sz w:val="20"/>
          <w:szCs w:val="20"/>
        </w:rPr>
        <w:t>buting to this important study.</w:t>
      </w:r>
    </w:p>
    <w:p w:rsidR="00E65779" w:rsidRPr="00B90A7F" w:rsidRDefault="00E65779" w:rsidP="00300BF3">
      <w:pPr>
        <w:rPr>
          <w:rFonts w:ascii="Verdana" w:hAnsi="Verdana"/>
          <w:sz w:val="20"/>
          <w:szCs w:val="20"/>
        </w:rPr>
      </w:pPr>
    </w:p>
    <w:p w:rsidR="00790E0B" w:rsidRDefault="00790E0B" w:rsidP="00C9609C">
      <w:pPr>
        <w:rPr>
          <w:rFonts w:ascii="Verdana" w:hAnsi="Verdana"/>
          <w:sz w:val="20"/>
          <w:szCs w:val="20"/>
          <w:u w:val="single"/>
        </w:rPr>
      </w:pPr>
      <w:r w:rsidRPr="00B90A7F">
        <w:rPr>
          <w:rFonts w:ascii="Verdana" w:hAnsi="Verdana"/>
          <w:sz w:val="20"/>
          <w:szCs w:val="20"/>
          <w:u w:val="single"/>
        </w:rPr>
        <w:t>Overarching Finding</w:t>
      </w:r>
    </w:p>
    <w:p w:rsidR="00CE1E23" w:rsidRPr="00B90A7F" w:rsidRDefault="00CE1E23" w:rsidP="00C9609C">
      <w:pPr>
        <w:rPr>
          <w:rFonts w:ascii="Verdana" w:hAnsi="Verdana"/>
          <w:sz w:val="20"/>
          <w:szCs w:val="20"/>
          <w:u w:val="single"/>
        </w:rPr>
      </w:pPr>
    </w:p>
    <w:p w:rsidR="00C9609C" w:rsidRPr="00B90A7F" w:rsidRDefault="00C9609C" w:rsidP="00C9609C">
      <w:pPr>
        <w:rPr>
          <w:rFonts w:ascii="Verdana" w:hAnsi="Verdana"/>
          <w:b/>
          <w:sz w:val="20"/>
          <w:szCs w:val="20"/>
        </w:rPr>
      </w:pPr>
      <w:r w:rsidRPr="00B90A7F">
        <w:rPr>
          <w:rFonts w:ascii="Verdana" w:hAnsi="Verdana"/>
          <w:b/>
          <w:sz w:val="20"/>
          <w:szCs w:val="20"/>
        </w:rPr>
        <w:t>Evidence Supports Use of Incentives to Increase Response Rates and Reduce Costs</w:t>
      </w:r>
    </w:p>
    <w:p w:rsidR="00C9609C" w:rsidRPr="00B90A7F" w:rsidRDefault="00C9609C" w:rsidP="00C9609C">
      <w:pPr>
        <w:rPr>
          <w:rFonts w:ascii="Verdana" w:hAnsi="Verdana"/>
          <w:sz w:val="20"/>
          <w:szCs w:val="20"/>
        </w:rPr>
      </w:pPr>
      <w:r w:rsidRPr="00B90A7F">
        <w:rPr>
          <w:rFonts w:ascii="Verdana" w:hAnsi="Verdana"/>
          <w:sz w:val="20"/>
          <w:szCs w:val="20"/>
        </w:rPr>
        <w:t>Studies indicate that incentives</w:t>
      </w:r>
      <w:r w:rsidR="00397C9B" w:rsidRPr="00B90A7F">
        <w:rPr>
          <w:rFonts w:ascii="Verdana" w:hAnsi="Verdana"/>
          <w:sz w:val="20"/>
          <w:szCs w:val="20"/>
        </w:rPr>
        <w:t xml:space="preserve"> </w:t>
      </w:r>
      <w:r w:rsidRPr="00B90A7F">
        <w:rPr>
          <w:rFonts w:ascii="Verdana" w:hAnsi="Verdana"/>
          <w:sz w:val="20"/>
          <w:szCs w:val="20"/>
        </w:rPr>
        <w:t>significantly improve response rates</w:t>
      </w:r>
      <w:r w:rsidR="00A02150" w:rsidRPr="00B90A7F">
        <w:rPr>
          <w:rFonts w:ascii="Verdana" w:hAnsi="Verdana"/>
          <w:sz w:val="20"/>
          <w:szCs w:val="20"/>
        </w:rPr>
        <w:t xml:space="preserve"> and retention </w:t>
      </w:r>
      <w:r w:rsidR="002E3271">
        <w:rPr>
          <w:rFonts w:ascii="Verdana" w:hAnsi="Verdana"/>
          <w:sz w:val="20"/>
          <w:szCs w:val="20"/>
        </w:rPr>
        <w:t>(Kulka et al. 2005, Singer &amp; Ye 2013,</w:t>
      </w:r>
      <w:r w:rsidR="0001123E" w:rsidRPr="00B90A7F">
        <w:rPr>
          <w:rFonts w:ascii="Verdana" w:hAnsi="Verdana"/>
          <w:sz w:val="20"/>
          <w:szCs w:val="20"/>
        </w:rPr>
        <w:t xml:space="preserve"> Trussell &amp; Lavrakas 2004)</w:t>
      </w:r>
      <w:r w:rsidRPr="00B90A7F">
        <w:rPr>
          <w:rFonts w:ascii="Verdana" w:hAnsi="Verdana"/>
          <w:sz w:val="20"/>
          <w:szCs w:val="20"/>
        </w:rPr>
        <w:t xml:space="preserve">. </w:t>
      </w:r>
      <w:r w:rsidR="00BB25A6" w:rsidRPr="00B90A7F">
        <w:rPr>
          <w:rFonts w:ascii="Verdana" w:hAnsi="Verdana"/>
          <w:sz w:val="20"/>
          <w:szCs w:val="20"/>
        </w:rPr>
        <w:t xml:space="preserve">Studies also show that </w:t>
      </w:r>
      <w:r w:rsidRPr="00B90A7F">
        <w:rPr>
          <w:rFonts w:ascii="Verdana" w:hAnsi="Verdana"/>
          <w:sz w:val="20"/>
          <w:szCs w:val="20"/>
        </w:rPr>
        <w:t xml:space="preserve">incentives reduce the cost per survey completed </w:t>
      </w:r>
      <w:r w:rsidR="00BB25A6" w:rsidRPr="00B90A7F">
        <w:rPr>
          <w:rFonts w:ascii="Verdana" w:hAnsi="Verdana"/>
          <w:sz w:val="20"/>
          <w:szCs w:val="20"/>
        </w:rPr>
        <w:t>through their influence on the amount of effort that is required to achieve a completed interview</w:t>
      </w:r>
      <w:r w:rsidR="001F501C" w:rsidRPr="00B90A7F">
        <w:rPr>
          <w:rFonts w:ascii="Verdana" w:hAnsi="Verdana"/>
          <w:sz w:val="20"/>
          <w:szCs w:val="20"/>
        </w:rPr>
        <w:t xml:space="preserve"> (Beebe et al</w:t>
      </w:r>
      <w:r w:rsidR="002E3271">
        <w:rPr>
          <w:rFonts w:ascii="Verdana" w:hAnsi="Verdana"/>
          <w:sz w:val="20"/>
          <w:szCs w:val="20"/>
        </w:rPr>
        <w:t>. 2005, Kennet et al.</w:t>
      </w:r>
      <w:r w:rsidR="001F501C" w:rsidRPr="00B90A7F">
        <w:rPr>
          <w:rFonts w:ascii="Verdana" w:hAnsi="Verdana"/>
          <w:sz w:val="20"/>
          <w:szCs w:val="20"/>
        </w:rPr>
        <w:t xml:space="preserve"> 2005)</w:t>
      </w:r>
      <w:r w:rsidR="00BB25A6" w:rsidRPr="00B90A7F">
        <w:rPr>
          <w:rFonts w:ascii="Verdana" w:hAnsi="Verdana"/>
          <w:sz w:val="20"/>
          <w:szCs w:val="20"/>
        </w:rPr>
        <w:t xml:space="preserve">. </w:t>
      </w:r>
      <w:r w:rsidR="0001123E" w:rsidRPr="00B90A7F">
        <w:rPr>
          <w:rFonts w:ascii="Verdana" w:hAnsi="Verdana"/>
          <w:sz w:val="20"/>
          <w:szCs w:val="20"/>
        </w:rPr>
        <w:t xml:space="preserve">There is little evidence to suggest negative effects of incentives on data quality, sample composition, and response distribution (Singer &amp; Ye 2013). </w:t>
      </w:r>
      <w:r w:rsidRPr="00B90A7F">
        <w:rPr>
          <w:rFonts w:ascii="Verdana" w:hAnsi="Verdana"/>
          <w:sz w:val="20"/>
          <w:szCs w:val="20"/>
        </w:rPr>
        <w:t xml:space="preserve">For these reasons and because of the large body of evidence supporting these findings, incentives have </w:t>
      </w:r>
      <w:r w:rsidR="00C954C0" w:rsidRPr="00B90A7F">
        <w:rPr>
          <w:rFonts w:ascii="Verdana" w:hAnsi="Verdana"/>
          <w:sz w:val="20"/>
          <w:szCs w:val="20"/>
        </w:rPr>
        <w:t>been supported</w:t>
      </w:r>
      <w:r w:rsidRPr="00B90A7F">
        <w:rPr>
          <w:rFonts w:ascii="Verdana" w:hAnsi="Verdana"/>
          <w:sz w:val="20"/>
          <w:szCs w:val="20"/>
        </w:rPr>
        <w:t xml:space="preserve"> in </w:t>
      </w:r>
      <w:r w:rsidR="00075566" w:rsidRPr="00B90A7F">
        <w:rPr>
          <w:rFonts w:ascii="Verdana" w:hAnsi="Verdana"/>
          <w:sz w:val="20"/>
          <w:szCs w:val="20"/>
        </w:rPr>
        <w:t xml:space="preserve">many </w:t>
      </w:r>
      <w:r w:rsidRPr="00B90A7F">
        <w:rPr>
          <w:rFonts w:ascii="Verdana" w:hAnsi="Verdana"/>
          <w:sz w:val="20"/>
          <w:szCs w:val="20"/>
        </w:rPr>
        <w:t>OMB-approved information collection efforts</w:t>
      </w:r>
      <w:r w:rsidR="00FF295D" w:rsidRPr="00B90A7F">
        <w:rPr>
          <w:rFonts w:ascii="Verdana" w:hAnsi="Verdana"/>
          <w:sz w:val="20"/>
          <w:szCs w:val="20"/>
        </w:rPr>
        <w:t>.</w:t>
      </w:r>
    </w:p>
    <w:p w:rsidR="00C9609C" w:rsidRPr="00B90A7F" w:rsidRDefault="00C9609C" w:rsidP="00C9609C">
      <w:pPr>
        <w:rPr>
          <w:rFonts w:ascii="Verdana" w:hAnsi="Verdana"/>
          <w:sz w:val="20"/>
          <w:szCs w:val="20"/>
        </w:rPr>
      </w:pPr>
    </w:p>
    <w:p w:rsidR="00790E0B" w:rsidRPr="00B90A7F" w:rsidRDefault="00790E0B" w:rsidP="00C9609C">
      <w:pPr>
        <w:rPr>
          <w:rFonts w:ascii="Verdana" w:hAnsi="Verdana"/>
          <w:sz w:val="20"/>
          <w:szCs w:val="20"/>
          <w:u w:val="single"/>
        </w:rPr>
      </w:pPr>
      <w:r w:rsidRPr="00B90A7F">
        <w:rPr>
          <w:rFonts w:ascii="Verdana" w:hAnsi="Verdana"/>
          <w:sz w:val="20"/>
          <w:szCs w:val="20"/>
          <w:u w:val="single"/>
        </w:rPr>
        <w:t>Detailed Findings</w:t>
      </w:r>
    </w:p>
    <w:p w:rsidR="00031B35" w:rsidRPr="00B90A7F" w:rsidRDefault="00031B35" w:rsidP="00492BA4">
      <w:pPr>
        <w:rPr>
          <w:rFonts w:ascii="Verdana" w:hAnsi="Verdana"/>
          <w:sz w:val="20"/>
          <w:szCs w:val="20"/>
        </w:rPr>
      </w:pPr>
    </w:p>
    <w:p w:rsidR="00397C9B" w:rsidRPr="00B90A7F" w:rsidRDefault="00397C9B" w:rsidP="00634ED0">
      <w:pPr>
        <w:rPr>
          <w:rFonts w:ascii="Verdana" w:hAnsi="Verdana"/>
          <w:b/>
          <w:sz w:val="20"/>
          <w:szCs w:val="20"/>
        </w:rPr>
      </w:pPr>
      <w:r w:rsidRPr="00B90A7F">
        <w:rPr>
          <w:rFonts w:ascii="Verdana" w:hAnsi="Verdana"/>
          <w:b/>
          <w:sz w:val="20"/>
          <w:szCs w:val="20"/>
        </w:rPr>
        <w:t xml:space="preserve">Evidence for the Effectiveness of Incentives for </w:t>
      </w:r>
      <w:r w:rsidR="00106EED" w:rsidRPr="00B90A7F">
        <w:rPr>
          <w:rFonts w:ascii="Verdana" w:hAnsi="Verdana"/>
          <w:b/>
          <w:sz w:val="20"/>
          <w:szCs w:val="20"/>
        </w:rPr>
        <w:t xml:space="preserve">In-Person </w:t>
      </w:r>
      <w:r w:rsidRPr="00B90A7F">
        <w:rPr>
          <w:rFonts w:ascii="Verdana" w:hAnsi="Verdana"/>
          <w:b/>
          <w:sz w:val="20"/>
          <w:szCs w:val="20"/>
        </w:rPr>
        <w:t>Intercept Surveys</w:t>
      </w:r>
    </w:p>
    <w:p w:rsidR="00E54E12" w:rsidRPr="00B90A7F" w:rsidRDefault="00692F2E" w:rsidP="00634ED0">
      <w:pPr>
        <w:rPr>
          <w:rFonts w:ascii="Verdana" w:hAnsi="Verdana"/>
          <w:sz w:val="20"/>
          <w:szCs w:val="20"/>
        </w:rPr>
      </w:pPr>
      <w:r w:rsidRPr="00B90A7F">
        <w:rPr>
          <w:rFonts w:ascii="Verdana" w:hAnsi="Verdana"/>
          <w:sz w:val="20"/>
          <w:szCs w:val="20"/>
        </w:rPr>
        <w:t>Incentives are particularly important in intercept surveys.  By definition, intercept respondents are busy doing something else at the time they are intercepted.  In the case of this study, when intercepted</w:t>
      </w:r>
      <w:r w:rsidR="00B90A7F">
        <w:rPr>
          <w:rFonts w:ascii="Verdana" w:hAnsi="Verdana"/>
          <w:sz w:val="20"/>
          <w:szCs w:val="20"/>
        </w:rPr>
        <w:t>,</w:t>
      </w:r>
      <w:r w:rsidRPr="00B90A7F">
        <w:rPr>
          <w:rFonts w:ascii="Verdana" w:hAnsi="Verdana"/>
          <w:sz w:val="20"/>
          <w:szCs w:val="20"/>
        </w:rPr>
        <w:t xml:space="preserve"> respondents will be entering a bar, leaving the bar to go elsewhere, or are likely to be otherwise engaged in interacti</w:t>
      </w:r>
      <w:r w:rsidR="00B90A7F">
        <w:rPr>
          <w:rFonts w:ascii="Verdana" w:hAnsi="Verdana"/>
          <w:sz w:val="20"/>
          <w:szCs w:val="20"/>
        </w:rPr>
        <w:t>ons</w:t>
      </w:r>
      <w:r w:rsidRPr="00B90A7F">
        <w:rPr>
          <w:rFonts w:ascii="Verdana" w:hAnsi="Verdana"/>
          <w:sz w:val="20"/>
          <w:szCs w:val="20"/>
        </w:rPr>
        <w:t xml:space="preserve"> with others inside the bar.  Unlike a mail or web survey that can be done at the respondent’s leisure, or a telephone or in-person interview that can be scheduled at the respondent’s convenience, in an intercept study the invitation to participate is a relatively immediate one, and respondents are likely to </w:t>
      </w:r>
      <w:r w:rsidR="00B90A7F">
        <w:rPr>
          <w:rFonts w:ascii="Verdana" w:hAnsi="Verdana"/>
          <w:sz w:val="20"/>
          <w:szCs w:val="20"/>
        </w:rPr>
        <w:t>require</w:t>
      </w:r>
      <w:r w:rsidRPr="00B90A7F">
        <w:rPr>
          <w:rFonts w:ascii="Verdana" w:hAnsi="Verdana"/>
          <w:sz w:val="20"/>
          <w:szCs w:val="20"/>
        </w:rPr>
        <w:t xml:space="preserve"> motivation to stop what they are doing.  While there is little published experimental research that examines the effective</w:t>
      </w:r>
      <w:r w:rsidR="00DF423F">
        <w:rPr>
          <w:rFonts w:ascii="Verdana" w:hAnsi="Verdana"/>
          <w:sz w:val="20"/>
          <w:szCs w:val="20"/>
        </w:rPr>
        <w:t>ness</w:t>
      </w:r>
      <w:r w:rsidRPr="00B90A7F">
        <w:rPr>
          <w:rFonts w:ascii="Verdana" w:hAnsi="Verdana"/>
          <w:sz w:val="20"/>
          <w:szCs w:val="20"/>
        </w:rPr>
        <w:t xml:space="preserve"> of incentives vs. no incentives</w:t>
      </w:r>
      <w:r w:rsidR="00B90A7F">
        <w:rPr>
          <w:rFonts w:ascii="Verdana" w:hAnsi="Verdana"/>
          <w:sz w:val="20"/>
          <w:szCs w:val="20"/>
        </w:rPr>
        <w:t xml:space="preserve"> with intercept surveys</w:t>
      </w:r>
      <w:r w:rsidRPr="00B90A7F">
        <w:rPr>
          <w:rFonts w:ascii="Verdana" w:hAnsi="Verdana"/>
          <w:sz w:val="20"/>
          <w:szCs w:val="20"/>
        </w:rPr>
        <w:t xml:space="preserve">, there are numerous examples of public health research that </w:t>
      </w:r>
      <w:r w:rsidR="00DF423F">
        <w:rPr>
          <w:rFonts w:ascii="Verdana" w:hAnsi="Verdana"/>
          <w:sz w:val="20"/>
          <w:szCs w:val="20"/>
        </w:rPr>
        <w:t xml:space="preserve">has </w:t>
      </w:r>
      <w:r w:rsidRPr="00B90A7F">
        <w:rPr>
          <w:rFonts w:ascii="Verdana" w:hAnsi="Verdana"/>
          <w:sz w:val="20"/>
          <w:szCs w:val="20"/>
        </w:rPr>
        <w:t xml:space="preserve">used </w:t>
      </w:r>
      <w:r w:rsidR="00ED2A4C" w:rsidRPr="00B90A7F">
        <w:rPr>
          <w:rFonts w:ascii="Verdana" w:hAnsi="Verdana"/>
          <w:sz w:val="20"/>
          <w:szCs w:val="20"/>
        </w:rPr>
        <w:t xml:space="preserve">cash </w:t>
      </w:r>
      <w:r w:rsidRPr="00B90A7F">
        <w:rPr>
          <w:rFonts w:ascii="Verdana" w:hAnsi="Verdana"/>
          <w:sz w:val="20"/>
          <w:szCs w:val="20"/>
        </w:rPr>
        <w:t>incentives when intercepting respondents at bars or other “party”</w:t>
      </w:r>
      <w:r w:rsidR="00ED2A4C" w:rsidRPr="00B90A7F">
        <w:rPr>
          <w:rFonts w:ascii="Verdana" w:hAnsi="Verdana"/>
          <w:sz w:val="20"/>
          <w:szCs w:val="20"/>
        </w:rPr>
        <w:t xml:space="preserve"> venues.  </w:t>
      </w:r>
      <w:r w:rsidRPr="00B90A7F">
        <w:rPr>
          <w:rFonts w:ascii="Verdana" w:hAnsi="Verdana"/>
          <w:sz w:val="20"/>
          <w:szCs w:val="20"/>
        </w:rPr>
        <w:t>Incentives within this literature tend to range from $</w:t>
      </w:r>
      <w:r w:rsidR="00ED2A4C" w:rsidRPr="00B90A7F">
        <w:rPr>
          <w:rFonts w:ascii="Verdana" w:hAnsi="Verdana"/>
          <w:sz w:val="20"/>
          <w:szCs w:val="20"/>
        </w:rPr>
        <w:t>5</w:t>
      </w:r>
      <w:r w:rsidRPr="00B90A7F">
        <w:rPr>
          <w:rFonts w:ascii="Verdana" w:hAnsi="Verdana"/>
          <w:sz w:val="20"/>
          <w:szCs w:val="20"/>
        </w:rPr>
        <w:t>-$</w:t>
      </w:r>
      <w:r w:rsidR="00ED2A4C" w:rsidRPr="00B90A7F">
        <w:rPr>
          <w:rFonts w:ascii="Verdana" w:hAnsi="Verdana"/>
          <w:sz w:val="20"/>
          <w:szCs w:val="20"/>
        </w:rPr>
        <w:t xml:space="preserve">10 for completing a brief survey when entering </w:t>
      </w:r>
      <w:r w:rsidR="00ED2A4C" w:rsidRPr="00B90A7F">
        <w:rPr>
          <w:rFonts w:ascii="Verdana" w:hAnsi="Verdana"/>
          <w:sz w:val="20"/>
          <w:szCs w:val="20"/>
        </w:rPr>
        <w:lastRenderedPageBreak/>
        <w:t>the venue (</w:t>
      </w:r>
      <w:r w:rsidR="000E2181">
        <w:rPr>
          <w:rFonts w:ascii="Verdana" w:hAnsi="Verdana"/>
          <w:sz w:val="20"/>
          <w:szCs w:val="20"/>
        </w:rPr>
        <w:t>e.g.,</w:t>
      </w:r>
      <w:r w:rsidR="00ED2A4C" w:rsidRPr="00B90A7F">
        <w:rPr>
          <w:rFonts w:ascii="Verdana" w:hAnsi="Verdana"/>
          <w:sz w:val="20"/>
          <w:szCs w:val="20"/>
        </w:rPr>
        <w:t xml:space="preserve"> Bourdeau et al. 2015, Guillory et al. 2015, Miller et al. 2003, Voas et al. 2013) and were typically $20 when both survey data and</w:t>
      </w:r>
      <w:r w:rsidRPr="00B90A7F">
        <w:rPr>
          <w:rFonts w:ascii="Verdana" w:hAnsi="Verdana"/>
          <w:sz w:val="20"/>
          <w:szCs w:val="20"/>
        </w:rPr>
        <w:t xml:space="preserve"> b</w:t>
      </w:r>
      <w:r w:rsidR="00ED2A4C" w:rsidRPr="00B90A7F">
        <w:rPr>
          <w:rFonts w:ascii="Verdana" w:hAnsi="Verdana"/>
          <w:sz w:val="20"/>
          <w:szCs w:val="20"/>
        </w:rPr>
        <w:t>iological measures we</w:t>
      </w:r>
      <w:r w:rsidRPr="00B90A7F">
        <w:rPr>
          <w:rFonts w:ascii="Verdana" w:hAnsi="Verdana"/>
          <w:sz w:val="20"/>
          <w:szCs w:val="20"/>
        </w:rPr>
        <w:t xml:space="preserve">re collected </w:t>
      </w:r>
      <w:r w:rsidR="00ED2A4C" w:rsidRPr="00B90A7F">
        <w:rPr>
          <w:rFonts w:ascii="Verdana" w:hAnsi="Verdana"/>
          <w:sz w:val="20"/>
          <w:szCs w:val="20"/>
        </w:rPr>
        <w:t>upon leaving the venue</w:t>
      </w:r>
      <w:r w:rsidRPr="00B90A7F">
        <w:rPr>
          <w:rFonts w:ascii="Verdana" w:hAnsi="Verdana"/>
          <w:sz w:val="20"/>
          <w:szCs w:val="20"/>
        </w:rPr>
        <w:t xml:space="preserve"> data</w:t>
      </w:r>
      <w:r w:rsidR="00ED2A4C" w:rsidRPr="00B90A7F">
        <w:rPr>
          <w:rFonts w:ascii="Verdana" w:hAnsi="Verdana"/>
          <w:sz w:val="20"/>
          <w:szCs w:val="20"/>
        </w:rPr>
        <w:t xml:space="preserve"> (</w:t>
      </w:r>
      <w:r w:rsidR="000E2181">
        <w:rPr>
          <w:rFonts w:ascii="Verdana" w:hAnsi="Verdana"/>
          <w:sz w:val="20"/>
          <w:szCs w:val="20"/>
        </w:rPr>
        <w:t>e.g.,</w:t>
      </w:r>
      <w:r w:rsidR="00ED2A4C" w:rsidRPr="00B90A7F">
        <w:rPr>
          <w:rFonts w:ascii="Verdana" w:hAnsi="Verdana"/>
          <w:sz w:val="20"/>
          <w:szCs w:val="20"/>
        </w:rPr>
        <w:t xml:space="preserve"> Bourdeau et al. 2015, Miller et al. 2003, Voas et al. 2013)</w:t>
      </w:r>
      <w:r w:rsidRPr="00B90A7F">
        <w:rPr>
          <w:rFonts w:ascii="Verdana" w:hAnsi="Verdana"/>
          <w:sz w:val="20"/>
          <w:szCs w:val="20"/>
        </w:rPr>
        <w:t>.</w:t>
      </w:r>
      <w:r w:rsidR="00547401">
        <w:rPr>
          <w:rFonts w:ascii="Verdana" w:hAnsi="Verdana"/>
          <w:sz w:val="20"/>
          <w:szCs w:val="20"/>
        </w:rPr>
        <w:t xml:space="preserve"> </w:t>
      </w:r>
      <w:r w:rsidR="009C1388">
        <w:rPr>
          <w:rFonts w:ascii="Verdana" w:hAnsi="Verdana"/>
          <w:sz w:val="20"/>
          <w:szCs w:val="20"/>
        </w:rPr>
        <w:t>A meta-analysis of incentive use during intercept studies in the transportation field suggests that i</w:t>
      </w:r>
      <w:r w:rsidR="00E54E12" w:rsidRPr="00E54E12">
        <w:rPr>
          <w:rFonts w:ascii="Verdana" w:hAnsi="Verdana"/>
          <w:sz w:val="20"/>
          <w:szCs w:val="20"/>
        </w:rPr>
        <w:t>ncentives that are paid at the time of completion have a larger impact on response rates tha</w:t>
      </w:r>
      <w:r w:rsidR="002E3271">
        <w:rPr>
          <w:rFonts w:ascii="Verdana" w:hAnsi="Verdana"/>
          <w:sz w:val="20"/>
          <w:szCs w:val="20"/>
        </w:rPr>
        <w:t>n promised incentives (Schaller</w:t>
      </w:r>
      <w:r w:rsidR="00E54E12" w:rsidRPr="00E54E12">
        <w:rPr>
          <w:rFonts w:ascii="Verdana" w:hAnsi="Verdana"/>
          <w:sz w:val="20"/>
          <w:szCs w:val="20"/>
        </w:rPr>
        <w:t xml:space="preserve"> 2005).</w:t>
      </w:r>
    </w:p>
    <w:p w:rsidR="00397C9B" w:rsidRPr="00B90A7F" w:rsidRDefault="00397C9B" w:rsidP="00634ED0">
      <w:pPr>
        <w:rPr>
          <w:rFonts w:ascii="Verdana" w:hAnsi="Verdana"/>
          <w:b/>
          <w:sz w:val="20"/>
          <w:szCs w:val="20"/>
        </w:rPr>
      </w:pPr>
    </w:p>
    <w:p w:rsidR="00634ED0" w:rsidRPr="00B90A7F" w:rsidRDefault="009D4C9A" w:rsidP="00634ED0">
      <w:pPr>
        <w:rPr>
          <w:rFonts w:ascii="Verdana" w:hAnsi="Verdana"/>
          <w:sz w:val="20"/>
          <w:szCs w:val="20"/>
        </w:rPr>
      </w:pPr>
      <w:r w:rsidRPr="00B90A7F">
        <w:rPr>
          <w:rFonts w:ascii="Verdana" w:hAnsi="Verdana"/>
          <w:b/>
          <w:sz w:val="20"/>
          <w:szCs w:val="20"/>
        </w:rPr>
        <w:t xml:space="preserve">Evidence for the Effectiveness of </w:t>
      </w:r>
      <w:r w:rsidR="00634ED0" w:rsidRPr="00B90A7F">
        <w:rPr>
          <w:rFonts w:ascii="Verdana" w:hAnsi="Verdana"/>
          <w:b/>
          <w:sz w:val="20"/>
          <w:szCs w:val="20"/>
        </w:rPr>
        <w:t xml:space="preserve">Promised Incentives to Complete </w:t>
      </w:r>
      <w:r w:rsidR="00106EED" w:rsidRPr="00B90A7F">
        <w:rPr>
          <w:rFonts w:ascii="Verdana" w:hAnsi="Verdana"/>
          <w:b/>
          <w:sz w:val="20"/>
          <w:szCs w:val="20"/>
        </w:rPr>
        <w:t xml:space="preserve">Web </w:t>
      </w:r>
      <w:r w:rsidR="00634ED0" w:rsidRPr="00B90A7F">
        <w:rPr>
          <w:rFonts w:ascii="Verdana" w:hAnsi="Verdana"/>
          <w:b/>
          <w:sz w:val="20"/>
          <w:szCs w:val="20"/>
        </w:rPr>
        <w:t xml:space="preserve">Surveys </w:t>
      </w:r>
    </w:p>
    <w:p w:rsidR="00634ED0" w:rsidRPr="00B90A7F" w:rsidRDefault="00106EED" w:rsidP="00634ED0">
      <w:pPr>
        <w:rPr>
          <w:rFonts w:ascii="Verdana" w:hAnsi="Verdana"/>
          <w:sz w:val="20"/>
          <w:szCs w:val="20"/>
        </w:rPr>
      </w:pPr>
      <w:r w:rsidRPr="00B90A7F">
        <w:rPr>
          <w:rFonts w:ascii="Verdana" w:hAnsi="Verdana"/>
          <w:sz w:val="20"/>
          <w:szCs w:val="20"/>
        </w:rPr>
        <w:t>Promised incentives are a</w:t>
      </w:r>
      <w:r w:rsidR="001F501C" w:rsidRPr="00B90A7F">
        <w:rPr>
          <w:rFonts w:ascii="Verdana" w:hAnsi="Verdana"/>
          <w:sz w:val="20"/>
          <w:szCs w:val="20"/>
        </w:rPr>
        <w:t>n especially</w:t>
      </w:r>
      <w:r w:rsidRPr="00B90A7F">
        <w:rPr>
          <w:rFonts w:ascii="Verdana" w:hAnsi="Verdana"/>
          <w:sz w:val="20"/>
          <w:szCs w:val="20"/>
        </w:rPr>
        <w:t xml:space="preserve"> practical </w:t>
      </w:r>
      <w:r w:rsidR="001F501C" w:rsidRPr="00B90A7F">
        <w:rPr>
          <w:rFonts w:ascii="Verdana" w:hAnsi="Verdana"/>
          <w:sz w:val="20"/>
          <w:szCs w:val="20"/>
        </w:rPr>
        <w:t xml:space="preserve">and effective </w:t>
      </w:r>
      <w:r w:rsidRPr="00B90A7F">
        <w:rPr>
          <w:rFonts w:ascii="Verdana" w:hAnsi="Verdana"/>
          <w:sz w:val="20"/>
          <w:szCs w:val="20"/>
        </w:rPr>
        <w:t xml:space="preserve">means for maximizing response for web </w:t>
      </w:r>
      <w:r w:rsidR="00F87F5C" w:rsidRPr="00B90A7F">
        <w:rPr>
          <w:rFonts w:ascii="Verdana" w:hAnsi="Verdana"/>
          <w:sz w:val="20"/>
          <w:szCs w:val="20"/>
        </w:rPr>
        <w:t>surveys</w:t>
      </w:r>
      <w:r w:rsidRPr="00B90A7F">
        <w:rPr>
          <w:rFonts w:ascii="Verdana" w:hAnsi="Verdana"/>
          <w:sz w:val="20"/>
          <w:szCs w:val="20"/>
        </w:rPr>
        <w:t xml:space="preserve"> (</w:t>
      </w:r>
      <w:r w:rsidR="000E2181">
        <w:rPr>
          <w:rFonts w:ascii="Verdana" w:hAnsi="Verdana"/>
          <w:sz w:val="20"/>
          <w:szCs w:val="20"/>
        </w:rPr>
        <w:t>e.g.</w:t>
      </w:r>
      <w:r w:rsidR="002E3271">
        <w:rPr>
          <w:rFonts w:ascii="Verdana" w:hAnsi="Verdana"/>
          <w:sz w:val="20"/>
          <w:szCs w:val="20"/>
        </w:rPr>
        <w:t>,</w:t>
      </w:r>
      <w:r w:rsidRPr="00B90A7F">
        <w:rPr>
          <w:rFonts w:ascii="Verdana" w:hAnsi="Verdana"/>
          <w:sz w:val="20"/>
          <w:szCs w:val="20"/>
        </w:rPr>
        <w:t xml:space="preserve"> Birnholtz </w:t>
      </w:r>
      <w:r w:rsidR="002E3271">
        <w:rPr>
          <w:rFonts w:ascii="Verdana" w:hAnsi="Verdana"/>
          <w:sz w:val="20"/>
          <w:szCs w:val="20"/>
        </w:rPr>
        <w:t>et al.</w:t>
      </w:r>
      <w:r w:rsidRPr="00B90A7F">
        <w:rPr>
          <w:rFonts w:ascii="Verdana" w:hAnsi="Verdana"/>
          <w:sz w:val="20"/>
          <w:szCs w:val="20"/>
        </w:rPr>
        <w:t xml:space="preserve"> 2004</w:t>
      </w:r>
      <w:r w:rsidR="002E3271">
        <w:rPr>
          <w:rFonts w:ascii="Verdana" w:hAnsi="Verdana"/>
          <w:sz w:val="20"/>
          <w:szCs w:val="20"/>
        </w:rPr>
        <w:t>,</w:t>
      </w:r>
      <w:r w:rsidRPr="00B90A7F">
        <w:rPr>
          <w:rFonts w:ascii="Verdana" w:hAnsi="Verdana"/>
          <w:sz w:val="20"/>
          <w:szCs w:val="20"/>
        </w:rPr>
        <w:t xml:space="preserve"> Bosnjak &amp; Tuten</w:t>
      </w:r>
      <w:r w:rsidR="002E3271">
        <w:rPr>
          <w:rFonts w:ascii="Verdana" w:hAnsi="Verdana"/>
          <w:sz w:val="20"/>
          <w:szCs w:val="20"/>
        </w:rPr>
        <w:t xml:space="preserve"> 2</w:t>
      </w:r>
      <w:r w:rsidRPr="00B90A7F">
        <w:rPr>
          <w:rFonts w:ascii="Verdana" w:hAnsi="Verdana"/>
          <w:sz w:val="20"/>
          <w:szCs w:val="20"/>
        </w:rPr>
        <w:t>003</w:t>
      </w:r>
      <w:r w:rsidR="002E3271">
        <w:rPr>
          <w:rFonts w:ascii="Verdana" w:hAnsi="Verdana"/>
          <w:sz w:val="20"/>
          <w:szCs w:val="20"/>
        </w:rPr>
        <w:t>,</w:t>
      </w:r>
      <w:r w:rsidRPr="00B90A7F">
        <w:rPr>
          <w:rFonts w:ascii="Verdana" w:hAnsi="Verdana"/>
          <w:sz w:val="20"/>
          <w:szCs w:val="20"/>
        </w:rPr>
        <w:t xml:space="preserve"> Gajic </w:t>
      </w:r>
      <w:r w:rsidR="002E3271">
        <w:rPr>
          <w:rFonts w:ascii="Verdana" w:hAnsi="Verdana"/>
          <w:sz w:val="20"/>
          <w:szCs w:val="20"/>
        </w:rPr>
        <w:t>et al.</w:t>
      </w:r>
      <w:r w:rsidRPr="00B90A7F">
        <w:rPr>
          <w:rFonts w:ascii="Verdana" w:hAnsi="Verdana"/>
          <w:sz w:val="20"/>
          <w:szCs w:val="20"/>
        </w:rPr>
        <w:t xml:space="preserve"> 2012</w:t>
      </w:r>
      <w:r w:rsidR="00B90A7F">
        <w:rPr>
          <w:rFonts w:ascii="Verdana" w:hAnsi="Verdana"/>
          <w:sz w:val="20"/>
          <w:szCs w:val="20"/>
        </w:rPr>
        <w:t xml:space="preserve">).  </w:t>
      </w:r>
      <w:r w:rsidR="004E5520">
        <w:rPr>
          <w:rFonts w:ascii="Verdana" w:hAnsi="Verdana"/>
          <w:sz w:val="20"/>
          <w:szCs w:val="20"/>
        </w:rPr>
        <w:t>Two meta-analyse</w:t>
      </w:r>
      <w:r w:rsidR="00B90A7F" w:rsidRPr="00B90A7F">
        <w:rPr>
          <w:rFonts w:ascii="Verdana" w:hAnsi="Verdana"/>
          <w:sz w:val="20"/>
          <w:szCs w:val="20"/>
        </w:rPr>
        <w:t>s conducted by Goritz (2006) found that incentives increase</w:t>
      </w:r>
      <w:r w:rsidR="004E5520">
        <w:rPr>
          <w:rFonts w:ascii="Verdana" w:hAnsi="Verdana"/>
          <w:sz w:val="20"/>
          <w:szCs w:val="20"/>
        </w:rPr>
        <w:t>d</w:t>
      </w:r>
      <w:r w:rsidR="00B90A7F" w:rsidRPr="00B90A7F">
        <w:rPr>
          <w:rFonts w:ascii="Verdana" w:hAnsi="Verdana"/>
          <w:sz w:val="20"/>
          <w:szCs w:val="20"/>
        </w:rPr>
        <w:t xml:space="preserve"> the odds that a person </w:t>
      </w:r>
      <w:r w:rsidR="004E5520">
        <w:rPr>
          <w:rFonts w:ascii="Verdana" w:hAnsi="Verdana"/>
          <w:sz w:val="20"/>
          <w:szCs w:val="20"/>
        </w:rPr>
        <w:t>would</w:t>
      </w:r>
      <w:r w:rsidR="00B90A7F" w:rsidRPr="00B90A7F">
        <w:rPr>
          <w:rFonts w:ascii="Verdana" w:hAnsi="Verdana"/>
          <w:sz w:val="20"/>
          <w:szCs w:val="20"/>
        </w:rPr>
        <w:t xml:space="preserve"> start a web survey by 19</w:t>
      </w:r>
      <w:r w:rsidR="00337730">
        <w:rPr>
          <w:rFonts w:ascii="Verdana" w:hAnsi="Verdana"/>
          <w:sz w:val="20"/>
          <w:szCs w:val="20"/>
        </w:rPr>
        <w:t xml:space="preserve"> percent</w:t>
      </w:r>
      <w:r w:rsidR="00B90A7F" w:rsidRPr="00B90A7F">
        <w:rPr>
          <w:rFonts w:ascii="Verdana" w:hAnsi="Verdana"/>
          <w:sz w:val="20"/>
          <w:szCs w:val="20"/>
        </w:rPr>
        <w:t xml:space="preserve"> and increase</w:t>
      </w:r>
      <w:r w:rsidR="004E5520">
        <w:rPr>
          <w:rFonts w:ascii="Verdana" w:hAnsi="Verdana"/>
          <w:sz w:val="20"/>
          <w:szCs w:val="20"/>
        </w:rPr>
        <w:t>d</w:t>
      </w:r>
      <w:r w:rsidR="00B90A7F" w:rsidRPr="00B90A7F">
        <w:rPr>
          <w:rFonts w:ascii="Verdana" w:hAnsi="Verdana"/>
          <w:sz w:val="20"/>
          <w:szCs w:val="20"/>
        </w:rPr>
        <w:t xml:space="preserve"> the odds that a person </w:t>
      </w:r>
      <w:r w:rsidR="004E5520">
        <w:rPr>
          <w:rFonts w:ascii="Verdana" w:hAnsi="Verdana"/>
          <w:sz w:val="20"/>
          <w:szCs w:val="20"/>
        </w:rPr>
        <w:t>would</w:t>
      </w:r>
      <w:r w:rsidR="00B90A7F" w:rsidRPr="00B90A7F">
        <w:rPr>
          <w:rFonts w:ascii="Verdana" w:hAnsi="Verdana"/>
          <w:sz w:val="20"/>
          <w:szCs w:val="20"/>
        </w:rPr>
        <w:t xml:space="preserve"> complete a web survey by 27</w:t>
      </w:r>
      <w:r w:rsidR="00337730">
        <w:rPr>
          <w:rFonts w:ascii="Verdana" w:hAnsi="Verdana"/>
          <w:sz w:val="20"/>
          <w:szCs w:val="20"/>
        </w:rPr>
        <w:t xml:space="preserve"> percent</w:t>
      </w:r>
      <w:r w:rsidR="00B90A7F" w:rsidRPr="00B90A7F">
        <w:rPr>
          <w:rFonts w:ascii="Verdana" w:hAnsi="Verdana"/>
          <w:sz w:val="20"/>
          <w:szCs w:val="20"/>
        </w:rPr>
        <w:t>.</w:t>
      </w:r>
    </w:p>
    <w:p w:rsidR="00634ED0" w:rsidRPr="00B90A7F" w:rsidRDefault="00634ED0" w:rsidP="005A3438">
      <w:pPr>
        <w:rPr>
          <w:rFonts w:ascii="Verdana" w:hAnsi="Verdana"/>
          <w:b/>
          <w:sz w:val="20"/>
          <w:szCs w:val="20"/>
        </w:rPr>
      </w:pPr>
    </w:p>
    <w:p w:rsidR="00F87F5C" w:rsidRPr="00B90A7F" w:rsidRDefault="00F87F5C" w:rsidP="005A3438">
      <w:pPr>
        <w:rPr>
          <w:rFonts w:ascii="Verdana" w:hAnsi="Verdana"/>
          <w:b/>
          <w:sz w:val="20"/>
          <w:szCs w:val="20"/>
        </w:rPr>
      </w:pPr>
      <w:r w:rsidRPr="00B90A7F">
        <w:rPr>
          <w:rFonts w:ascii="Verdana" w:hAnsi="Verdana"/>
          <w:b/>
          <w:sz w:val="20"/>
          <w:szCs w:val="20"/>
        </w:rPr>
        <w:t>Evidence for Effectiveness of Promised “Early Response”</w:t>
      </w:r>
      <w:r w:rsidR="003F4D51" w:rsidRPr="00B90A7F">
        <w:rPr>
          <w:rFonts w:ascii="Verdana" w:hAnsi="Verdana"/>
          <w:b/>
          <w:sz w:val="20"/>
          <w:szCs w:val="20"/>
        </w:rPr>
        <w:t xml:space="preserve"> Bonus Incentives</w:t>
      </w:r>
    </w:p>
    <w:p w:rsidR="00F87F5C" w:rsidRPr="00B90A7F" w:rsidRDefault="001F501C" w:rsidP="005A3438">
      <w:pPr>
        <w:rPr>
          <w:rFonts w:ascii="Verdana" w:hAnsi="Verdana"/>
          <w:sz w:val="20"/>
          <w:szCs w:val="20"/>
        </w:rPr>
      </w:pPr>
      <w:r w:rsidRPr="00B90A7F">
        <w:rPr>
          <w:rFonts w:ascii="Verdana" w:hAnsi="Verdana"/>
          <w:sz w:val="20"/>
          <w:szCs w:val="20"/>
        </w:rPr>
        <w:t>An important strategy for cost containment is to encourage participants to respond</w:t>
      </w:r>
      <w:r w:rsidR="00B90A7F">
        <w:rPr>
          <w:rFonts w:ascii="Verdana" w:hAnsi="Verdana"/>
          <w:sz w:val="20"/>
          <w:szCs w:val="20"/>
        </w:rPr>
        <w:t>,</w:t>
      </w:r>
      <w:r w:rsidRPr="00B90A7F">
        <w:rPr>
          <w:rFonts w:ascii="Verdana" w:hAnsi="Verdana"/>
          <w:sz w:val="20"/>
          <w:szCs w:val="20"/>
        </w:rPr>
        <w:t xml:space="preserve"> and respond quickly</w:t>
      </w:r>
      <w:r w:rsidR="00B90A7F">
        <w:rPr>
          <w:rFonts w:ascii="Verdana" w:hAnsi="Verdana"/>
          <w:sz w:val="20"/>
          <w:szCs w:val="20"/>
        </w:rPr>
        <w:t>,</w:t>
      </w:r>
      <w:r w:rsidRPr="00B90A7F">
        <w:rPr>
          <w:rFonts w:ascii="Verdana" w:hAnsi="Verdana"/>
          <w:sz w:val="20"/>
          <w:szCs w:val="20"/>
        </w:rPr>
        <w:t xml:space="preserve"> with minimal additional prompting.  </w:t>
      </w:r>
      <w:r w:rsidR="00F87F5C" w:rsidRPr="00B90A7F">
        <w:rPr>
          <w:rFonts w:ascii="Verdana" w:hAnsi="Verdana"/>
          <w:sz w:val="20"/>
          <w:szCs w:val="20"/>
        </w:rPr>
        <w:t xml:space="preserve">LeClere et al. </w:t>
      </w:r>
      <w:r w:rsidR="00C56B97" w:rsidRPr="00B90A7F">
        <w:rPr>
          <w:rFonts w:ascii="Verdana" w:hAnsi="Verdana"/>
          <w:sz w:val="20"/>
          <w:szCs w:val="20"/>
        </w:rPr>
        <w:t>(</w:t>
      </w:r>
      <w:r w:rsidR="00F87F5C" w:rsidRPr="00B90A7F">
        <w:rPr>
          <w:rFonts w:ascii="Verdana" w:hAnsi="Verdana"/>
          <w:sz w:val="20"/>
          <w:szCs w:val="20"/>
        </w:rPr>
        <w:t>2012</w:t>
      </w:r>
      <w:r w:rsidR="00C56B97" w:rsidRPr="00B90A7F">
        <w:rPr>
          <w:rFonts w:ascii="Verdana" w:hAnsi="Verdana"/>
          <w:sz w:val="20"/>
          <w:szCs w:val="20"/>
        </w:rPr>
        <w:t>)</w:t>
      </w:r>
      <w:r w:rsidR="00F87F5C" w:rsidRPr="00B90A7F">
        <w:rPr>
          <w:rFonts w:ascii="Verdana" w:hAnsi="Verdana"/>
          <w:sz w:val="20"/>
          <w:szCs w:val="20"/>
        </w:rPr>
        <w:t xml:space="preserve"> </w:t>
      </w:r>
      <w:r w:rsidR="00C56B97" w:rsidRPr="00B90A7F">
        <w:rPr>
          <w:rFonts w:ascii="Verdana" w:hAnsi="Verdana"/>
          <w:sz w:val="20"/>
          <w:szCs w:val="20"/>
        </w:rPr>
        <w:t>f</w:t>
      </w:r>
      <w:r w:rsidR="00F87F5C" w:rsidRPr="00B90A7F">
        <w:rPr>
          <w:rFonts w:ascii="Verdana" w:hAnsi="Verdana"/>
          <w:sz w:val="20"/>
          <w:szCs w:val="20"/>
        </w:rPr>
        <w:t xml:space="preserve">ound that respondents who were offered an “early response” bonus were more likely to respond than those not offered </w:t>
      </w:r>
      <w:r w:rsidR="003F4D51" w:rsidRPr="00B90A7F">
        <w:rPr>
          <w:rFonts w:ascii="Verdana" w:hAnsi="Verdana"/>
          <w:sz w:val="20"/>
          <w:szCs w:val="20"/>
        </w:rPr>
        <w:t>an</w:t>
      </w:r>
      <w:r w:rsidR="00F87F5C" w:rsidRPr="00B90A7F">
        <w:rPr>
          <w:rFonts w:ascii="Verdana" w:hAnsi="Verdana"/>
          <w:sz w:val="20"/>
          <w:szCs w:val="20"/>
        </w:rPr>
        <w:t xml:space="preserve"> incentive or who were offered a pre-paid incentive.  In addition, responders in the “early response” category responded more quickly</w:t>
      </w:r>
      <w:r w:rsidR="009E2D5D">
        <w:rPr>
          <w:rFonts w:ascii="Verdana" w:hAnsi="Verdana"/>
          <w:sz w:val="20"/>
          <w:szCs w:val="20"/>
        </w:rPr>
        <w:t xml:space="preserve"> </w:t>
      </w:r>
      <w:r w:rsidR="009E2D5D" w:rsidRPr="00B90A7F">
        <w:rPr>
          <w:rFonts w:ascii="Verdana" w:hAnsi="Verdana"/>
          <w:sz w:val="20"/>
          <w:szCs w:val="20"/>
        </w:rPr>
        <w:t>than responders who were not offered the early response bonus</w:t>
      </w:r>
      <w:r w:rsidR="00F87F5C" w:rsidRPr="00B90A7F">
        <w:rPr>
          <w:rFonts w:ascii="Verdana" w:hAnsi="Verdana"/>
          <w:sz w:val="20"/>
          <w:szCs w:val="20"/>
        </w:rPr>
        <w:t>, reducing the cost of follow-up attempts</w:t>
      </w:r>
      <w:r w:rsidR="009E2D5D">
        <w:rPr>
          <w:rFonts w:ascii="Verdana" w:hAnsi="Verdana"/>
          <w:sz w:val="20"/>
          <w:szCs w:val="20"/>
        </w:rPr>
        <w:t xml:space="preserve"> for respondents offered this “early response” bonus</w:t>
      </w:r>
      <w:r w:rsidR="00F87F5C" w:rsidRPr="00B90A7F">
        <w:rPr>
          <w:rFonts w:ascii="Verdana" w:hAnsi="Verdana"/>
          <w:sz w:val="20"/>
          <w:szCs w:val="20"/>
        </w:rPr>
        <w:t>.</w:t>
      </w:r>
      <w:r w:rsidR="00C56B97" w:rsidRPr="00B90A7F">
        <w:rPr>
          <w:rFonts w:ascii="Verdana" w:hAnsi="Verdana"/>
          <w:sz w:val="20"/>
          <w:szCs w:val="20"/>
        </w:rPr>
        <w:t xml:space="preserve">  Similarly, Coopers</w:t>
      </w:r>
      <w:r w:rsidR="004B5739">
        <w:rPr>
          <w:rFonts w:ascii="Verdana" w:hAnsi="Verdana"/>
          <w:sz w:val="20"/>
          <w:szCs w:val="20"/>
        </w:rPr>
        <w:t xml:space="preserve">mith et al. (2014) found that </w:t>
      </w:r>
      <w:r w:rsidR="00C56B97" w:rsidRPr="00B90A7F">
        <w:rPr>
          <w:rFonts w:ascii="Verdana" w:hAnsi="Verdana"/>
          <w:sz w:val="20"/>
          <w:szCs w:val="20"/>
        </w:rPr>
        <w:t>promised early response bonus incentives yielded both higher response rates and faster response</w:t>
      </w:r>
      <w:r w:rsidR="004B5739">
        <w:rPr>
          <w:rFonts w:ascii="Verdana" w:hAnsi="Verdana"/>
          <w:sz w:val="20"/>
          <w:szCs w:val="20"/>
        </w:rPr>
        <w:t>s</w:t>
      </w:r>
      <w:r w:rsidR="003F4D51" w:rsidRPr="00B90A7F">
        <w:rPr>
          <w:rFonts w:ascii="Verdana" w:hAnsi="Verdana"/>
          <w:sz w:val="20"/>
          <w:szCs w:val="20"/>
        </w:rPr>
        <w:t xml:space="preserve"> to a web survey</w:t>
      </w:r>
      <w:r w:rsidR="00C56B97" w:rsidRPr="00B90A7F">
        <w:rPr>
          <w:rFonts w:ascii="Verdana" w:hAnsi="Verdana"/>
          <w:sz w:val="20"/>
          <w:szCs w:val="20"/>
        </w:rPr>
        <w:t xml:space="preserve"> compared to a promised incentive with no bonus, a pre-paid incentive, or a non-response conversion incentive.</w:t>
      </w:r>
    </w:p>
    <w:p w:rsidR="00271489" w:rsidRPr="00B90A7F" w:rsidRDefault="00271489" w:rsidP="00271489">
      <w:pPr>
        <w:rPr>
          <w:rFonts w:ascii="Verdana" w:hAnsi="Verdana"/>
          <w:sz w:val="20"/>
          <w:szCs w:val="20"/>
        </w:rPr>
      </w:pPr>
    </w:p>
    <w:p w:rsidR="00AD1CBF" w:rsidRPr="00B90A7F" w:rsidRDefault="00472215" w:rsidP="00AD1CBF">
      <w:pPr>
        <w:pStyle w:val="bodytextpsg"/>
        <w:rPr>
          <w:rFonts w:ascii="Verdana" w:hAnsi="Verdana" w:cs="Times New Roman"/>
          <w:b/>
          <w:sz w:val="20"/>
          <w:szCs w:val="20"/>
          <w:lang w:val="en-US"/>
        </w:rPr>
      </w:pPr>
      <w:r w:rsidRPr="00B90A7F">
        <w:rPr>
          <w:rFonts w:ascii="Verdana" w:hAnsi="Verdana"/>
          <w:b/>
          <w:sz w:val="20"/>
          <w:szCs w:val="20"/>
        </w:rPr>
        <w:t xml:space="preserve">Evidence for Effectiveness of </w:t>
      </w:r>
      <w:r w:rsidR="00AD1CBF" w:rsidRPr="00B90A7F">
        <w:rPr>
          <w:rFonts w:ascii="Verdana" w:hAnsi="Verdana" w:cs="Times New Roman"/>
          <w:b/>
          <w:sz w:val="20"/>
          <w:szCs w:val="20"/>
          <w:lang w:val="en-US"/>
        </w:rPr>
        <w:t xml:space="preserve">Incentives in </w:t>
      </w:r>
      <w:r w:rsidRPr="00B90A7F">
        <w:rPr>
          <w:rFonts w:ascii="Verdana" w:hAnsi="Verdana" w:cs="Times New Roman"/>
          <w:b/>
          <w:sz w:val="20"/>
          <w:szCs w:val="20"/>
          <w:lang w:val="en-US"/>
        </w:rPr>
        <w:t>Minimizing Attrition in</w:t>
      </w:r>
      <w:r w:rsidR="00AE75EF" w:rsidRPr="00B90A7F">
        <w:rPr>
          <w:rFonts w:ascii="Verdana" w:hAnsi="Verdana" w:cs="Times New Roman"/>
          <w:b/>
          <w:sz w:val="20"/>
          <w:szCs w:val="20"/>
          <w:lang w:val="en-US"/>
        </w:rPr>
        <w:t xml:space="preserve"> </w:t>
      </w:r>
      <w:r w:rsidR="00AD1CBF" w:rsidRPr="00B90A7F">
        <w:rPr>
          <w:rFonts w:ascii="Verdana" w:hAnsi="Verdana" w:cs="Times New Roman"/>
          <w:b/>
          <w:sz w:val="20"/>
          <w:szCs w:val="20"/>
          <w:lang w:val="en-US"/>
        </w:rPr>
        <w:t>Longitudinal Surveys</w:t>
      </w:r>
    </w:p>
    <w:p w:rsidR="00AD1CBF" w:rsidRPr="00B90A7F" w:rsidRDefault="00C12DDA" w:rsidP="00472215">
      <w:pPr>
        <w:rPr>
          <w:rFonts w:ascii="Verdana" w:hAnsi="Verdana"/>
          <w:sz w:val="20"/>
          <w:szCs w:val="20"/>
        </w:rPr>
      </w:pPr>
      <w:r w:rsidRPr="00B90A7F">
        <w:rPr>
          <w:rFonts w:ascii="Verdana" w:hAnsi="Verdana"/>
          <w:sz w:val="20"/>
          <w:szCs w:val="20"/>
        </w:rPr>
        <w:t>Multiple s</w:t>
      </w:r>
      <w:r w:rsidR="00AD1CBF" w:rsidRPr="00B90A7F">
        <w:rPr>
          <w:rFonts w:ascii="Verdana" w:hAnsi="Verdana"/>
          <w:sz w:val="20"/>
          <w:szCs w:val="20"/>
        </w:rPr>
        <w:t>tudies indicate that incentives for completion of the baseline survey lowered nonresponse and increased retention over the life of the study (</w:t>
      </w:r>
      <w:r w:rsidR="000D7561" w:rsidRPr="00B90A7F">
        <w:rPr>
          <w:rFonts w:ascii="Verdana" w:hAnsi="Verdana"/>
          <w:sz w:val="20"/>
          <w:szCs w:val="20"/>
        </w:rPr>
        <w:t>James 1997</w:t>
      </w:r>
      <w:r w:rsidR="002E3271">
        <w:rPr>
          <w:rFonts w:ascii="Verdana" w:hAnsi="Verdana"/>
          <w:sz w:val="20"/>
          <w:szCs w:val="20"/>
        </w:rPr>
        <w:t>,</w:t>
      </w:r>
      <w:r w:rsidR="000D7561" w:rsidRPr="00B90A7F">
        <w:rPr>
          <w:rFonts w:ascii="Verdana" w:hAnsi="Verdana"/>
          <w:sz w:val="20"/>
          <w:szCs w:val="20"/>
        </w:rPr>
        <w:t xml:space="preserve"> </w:t>
      </w:r>
      <w:r w:rsidR="00FB1D13">
        <w:rPr>
          <w:rFonts w:ascii="Verdana" w:hAnsi="Verdana"/>
          <w:sz w:val="20"/>
          <w:szCs w:val="20"/>
        </w:rPr>
        <w:t xml:space="preserve">Singer </w:t>
      </w:r>
      <w:r w:rsidR="002E3271">
        <w:rPr>
          <w:rFonts w:ascii="Verdana" w:hAnsi="Verdana"/>
          <w:sz w:val="20"/>
          <w:szCs w:val="20"/>
        </w:rPr>
        <w:t>et al.</w:t>
      </w:r>
      <w:r w:rsidR="00FB1D13">
        <w:rPr>
          <w:rFonts w:ascii="Verdana" w:hAnsi="Verdana"/>
          <w:sz w:val="20"/>
          <w:szCs w:val="20"/>
        </w:rPr>
        <w:t xml:space="preserve"> 1999</w:t>
      </w:r>
      <w:r w:rsidR="002E3271">
        <w:rPr>
          <w:rFonts w:ascii="Verdana" w:hAnsi="Verdana"/>
          <w:sz w:val="20"/>
          <w:szCs w:val="20"/>
        </w:rPr>
        <w:t>,</w:t>
      </w:r>
      <w:r w:rsidR="000D7561" w:rsidRPr="00B90A7F">
        <w:rPr>
          <w:rFonts w:ascii="Verdana" w:hAnsi="Verdana"/>
          <w:sz w:val="20"/>
          <w:szCs w:val="20"/>
        </w:rPr>
        <w:t xml:space="preserve"> Singer and Kulka 2002</w:t>
      </w:r>
      <w:r w:rsidR="002E3271">
        <w:rPr>
          <w:rFonts w:ascii="Verdana" w:hAnsi="Verdana"/>
          <w:sz w:val="20"/>
          <w:szCs w:val="20"/>
        </w:rPr>
        <w:t>,</w:t>
      </w:r>
      <w:r w:rsidR="000D7561" w:rsidRPr="00B90A7F">
        <w:rPr>
          <w:rFonts w:ascii="Verdana" w:hAnsi="Verdana"/>
          <w:sz w:val="20"/>
          <w:szCs w:val="20"/>
        </w:rPr>
        <w:t xml:space="preserve"> McGrath 2006</w:t>
      </w:r>
      <w:r w:rsidR="002E3271">
        <w:rPr>
          <w:rFonts w:ascii="Verdana" w:hAnsi="Verdana"/>
          <w:sz w:val="20"/>
          <w:szCs w:val="20"/>
        </w:rPr>
        <w:t>,</w:t>
      </w:r>
      <w:r w:rsidR="000D7561" w:rsidRPr="00B90A7F">
        <w:rPr>
          <w:rFonts w:ascii="Verdana" w:hAnsi="Verdana"/>
          <w:sz w:val="20"/>
          <w:szCs w:val="20"/>
        </w:rPr>
        <w:t xml:space="preserve"> Goldenberg et al. 2009</w:t>
      </w:r>
      <w:r w:rsidR="00AD1CBF" w:rsidRPr="00B90A7F">
        <w:rPr>
          <w:rFonts w:ascii="Verdana" w:hAnsi="Verdana"/>
          <w:sz w:val="20"/>
          <w:szCs w:val="20"/>
        </w:rPr>
        <w:t xml:space="preserve">). </w:t>
      </w:r>
      <w:r w:rsidR="000D7561" w:rsidRPr="00B90A7F">
        <w:rPr>
          <w:rFonts w:ascii="Verdana" w:hAnsi="Verdana"/>
          <w:sz w:val="20"/>
          <w:szCs w:val="20"/>
        </w:rPr>
        <w:t xml:space="preserve"> </w:t>
      </w:r>
      <w:r w:rsidR="00A767EC" w:rsidRPr="00B90A7F">
        <w:rPr>
          <w:rFonts w:ascii="Verdana" w:hAnsi="Verdana"/>
          <w:sz w:val="20"/>
          <w:szCs w:val="20"/>
        </w:rPr>
        <w:t xml:space="preserve">For example, the U.S. Census Bureau has also experimented with and begun offering incentives for several of its longitudinal panel surveys, including </w:t>
      </w:r>
      <w:r w:rsidR="00337730">
        <w:rPr>
          <w:rFonts w:ascii="Verdana" w:hAnsi="Verdana"/>
          <w:sz w:val="20"/>
          <w:szCs w:val="20"/>
        </w:rPr>
        <w:t>the Survey of Income and Program Participation (</w:t>
      </w:r>
      <w:r w:rsidR="00A767EC" w:rsidRPr="00B90A7F">
        <w:rPr>
          <w:rFonts w:ascii="Verdana" w:hAnsi="Verdana"/>
          <w:sz w:val="20"/>
          <w:szCs w:val="20"/>
        </w:rPr>
        <w:t>SIPP</w:t>
      </w:r>
      <w:r w:rsidR="00337730">
        <w:rPr>
          <w:rFonts w:ascii="Verdana" w:hAnsi="Verdana"/>
          <w:sz w:val="20"/>
          <w:szCs w:val="20"/>
        </w:rPr>
        <w:t>)</w:t>
      </w:r>
      <w:r w:rsidR="00A767EC" w:rsidRPr="00B90A7F">
        <w:rPr>
          <w:rFonts w:ascii="Verdana" w:hAnsi="Verdana"/>
          <w:sz w:val="20"/>
          <w:szCs w:val="20"/>
        </w:rPr>
        <w:t xml:space="preserve"> and the </w:t>
      </w:r>
      <w:r w:rsidR="00A767EC" w:rsidRPr="00B90A7F">
        <w:rPr>
          <w:rFonts w:ascii="Verdana" w:eastAsia="Calibri" w:hAnsi="Verdana"/>
          <w:sz w:val="20"/>
          <w:szCs w:val="20"/>
        </w:rPr>
        <w:t>Survey of Program Dynamics (SPD). SIPP has conducted several multi-wave incentive studies, most recently with their 2008 panel, comparing results of $10, $20, and $40 incentive amounts to those of the $0 control group. The study has examined response rate outcomes in various subgroups of interest (</w:t>
      </w:r>
      <w:r w:rsidR="000E2181">
        <w:rPr>
          <w:rFonts w:ascii="Verdana" w:eastAsia="Calibri" w:hAnsi="Verdana"/>
          <w:sz w:val="20"/>
          <w:szCs w:val="20"/>
        </w:rPr>
        <w:t>e.g.</w:t>
      </w:r>
      <w:r w:rsidR="002E3271">
        <w:rPr>
          <w:rFonts w:ascii="Verdana" w:eastAsia="Calibri" w:hAnsi="Verdana"/>
          <w:sz w:val="20"/>
          <w:szCs w:val="20"/>
        </w:rPr>
        <w:t>,</w:t>
      </w:r>
      <w:r w:rsidR="00A767EC" w:rsidRPr="00B90A7F">
        <w:rPr>
          <w:rFonts w:ascii="Verdana" w:eastAsia="Calibri" w:hAnsi="Verdana"/>
          <w:sz w:val="20"/>
          <w:szCs w:val="20"/>
        </w:rPr>
        <w:t xml:space="preserve"> the poverty stratum), use of targeted incentives for non-interview cases, and the impact of base wave incentives on participation in later waves of data collection. Overall, the results suggest that $20 incentives increase response rates and also improve the conversion rate for non-interview cases.  Similarly, SPD has conducted four incentive studies, testing $20, $40, $50, and $100 amounts in an effort to minimize attrition in subsequent waves of the study. Incentives were found to have a positive impact on both response and attrition rates</w:t>
      </w:r>
      <w:r w:rsidR="002E3271">
        <w:rPr>
          <w:rFonts w:ascii="Verdana" w:eastAsia="Calibri" w:hAnsi="Verdana"/>
          <w:sz w:val="20"/>
          <w:szCs w:val="20"/>
        </w:rPr>
        <w:t>,</w:t>
      </w:r>
      <w:r w:rsidR="00A767EC" w:rsidRPr="00B90A7F">
        <w:rPr>
          <w:rFonts w:ascii="Verdana" w:eastAsia="Calibri" w:hAnsi="Verdana"/>
          <w:sz w:val="20"/>
          <w:szCs w:val="20"/>
        </w:rPr>
        <w:t xml:space="preserve"> most recently, </w:t>
      </w:r>
      <w:r w:rsidR="009E2DB1">
        <w:rPr>
          <w:rFonts w:ascii="Verdana" w:eastAsia="Calibri" w:hAnsi="Verdana"/>
          <w:sz w:val="20"/>
          <w:szCs w:val="20"/>
        </w:rPr>
        <w:t>a</w:t>
      </w:r>
      <w:r w:rsidR="00A767EC" w:rsidRPr="00B90A7F">
        <w:rPr>
          <w:rFonts w:ascii="Verdana" w:eastAsia="Calibri" w:hAnsi="Verdana"/>
          <w:sz w:val="20"/>
          <w:szCs w:val="20"/>
        </w:rPr>
        <w:t xml:space="preserve"> fourth incentive study</w:t>
      </w:r>
      <w:r w:rsidR="00A767EC" w:rsidRPr="00B90A7F">
        <w:rPr>
          <w:rFonts w:ascii="Verdana" w:hAnsi="Verdana"/>
          <w:sz w:val="20"/>
          <w:szCs w:val="20"/>
        </w:rPr>
        <w:t xml:space="preserve"> found that the average interview rate greatly increased with the use of ince</w:t>
      </w:r>
      <w:r w:rsidR="00472215" w:rsidRPr="00B90A7F">
        <w:rPr>
          <w:rFonts w:ascii="Verdana" w:hAnsi="Verdana"/>
          <w:sz w:val="20"/>
          <w:szCs w:val="20"/>
        </w:rPr>
        <w:t xml:space="preserve">ntives (Creighton </w:t>
      </w:r>
      <w:r w:rsidR="002E3271">
        <w:rPr>
          <w:rFonts w:ascii="Verdana" w:hAnsi="Verdana"/>
          <w:sz w:val="20"/>
          <w:szCs w:val="20"/>
        </w:rPr>
        <w:t>et al.</w:t>
      </w:r>
      <w:r w:rsidR="00472215" w:rsidRPr="00B90A7F">
        <w:rPr>
          <w:rFonts w:ascii="Verdana" w:hAnsi="Verdana"/>
          <w:sz w:val="20"/>
          <w:szCs w:val="20"/>
        </w:rPr>
        <w:t xml:space="preserve"> 2007).  </w:t>
      </w:r>
      <w:r w:rsidR="00A767EC" w:rsidRPr="00B90A7F">
        <w:rPr>
          <w:rFonts w:ascii="Verdana" w:hAnsi="Verdana"/>
          <w:sz w:val="20"/>
          <w:szCs w:val="20"/>
        </w:rPr>
        <w:t xml:space="preserve">Similarly, </w:t>
      </w:r>
      <w:r w:rsidR="00CA2173" w:rsidRPr="00CA2173">
        <w:rPr>
          <w:rFonts w:ascii="Verdana" w:hAnsi="Verdana"/>
          <w:sz w:val="20"/>
          <w:szCs w:val="20"/>
        </w:rPr>
        <w:t xml:space="preserve">Jäckle </w:t>
      </w:r>
      <w:r w:rsidR="000D7561" w:rsidRPr="00B90A7F">
        <w:rPr>
          <w:rFonts w:ascii="Verdana" w:hAnsi="Verdana"/>
          <w:sz w:val="20"/>
          <w:szCs w:val="20"/>
        </w:rPr>
        <w:t>and Lynn (2008) found that incentives at multiple waves significantly reduced attrition at all waves.</w:t>
      </w:r>
    </w:p>
    <w:p w:rsidR="00AD1CBF" w:rsidRPr="00B90A7F" w:rsidRDefault="00AD1CBF" w:rsidP="00271489">
      <w:pPr>
        <w:rPr>
          <w:rFonts w:ascii="Verdana" w:hAnsi="Verdana"/>
          <w:b/>
          <w:sz w:val="20"/>
          <w:szCs w:val="20"/>
        </w:rPr>
      </w:pPr>
    </w:p>
    <w:p w:rsidR="00472215" w:rsidRPr="00B90A7F" w:rsidRDefault="00472215" w:rsidP="00472215">
      <w:pPr>
        <w:pStyle w:val="bodytextpsg"/>
        <w:rPr>
          <w:rFonts w:ascii="Verdana" w:hAnsi="Verdana" w:cs="Times New Roman"/>
          <w:b/>
          <w:sz w:val="20"/>
          <w:szCs w:val="20"/>
          <w:lang w:val="en-US"/>
        </w:rPr>
      </w:pPr>
      <w:r w:rsidRPr="00B90A7F">
        <w:rPr>
          <w:rFonts w:ascii="Verdana" w:hAnsi="Verdana"/>
          <w:b/>
          <w:sz w:val="20"/>
          <w:szCs w:val="20"/>
        </w:rPr>
        <w:t xml:space="preserve">Evidence for Effectiveness of </w:t>
      </w:r>
      <w:r w:rsidRPr="00B90A7F">
        <w:rPr>
          <w:rFonts w:ascii="Verdana" w:hAnsi="Verdana" w:cs="Times New Roman"/>
          <w:b/>
          <w:sz w:val="20"/>
          <w:szCs w:val="20"/>
          <w:lang w:val="en-US"/>
        </w:rPr>
        <w:t>Incentives in Reducing Cost Per Completed Interview</w:t>
      </w:r>
    </w:p>
    <w:p w:rsidR="00472215" w:rsidRPr="00B90A7F" w:rsidRDefault="00472215" w:rsidP="00472215">
      <w:pPr>
        <w:pStyle w:val="bodytextpsg"/>
        <w:rPr>
          <w:rFonts w:ascii="Verdana" w:hAnsi="Verdana" w:cs="Times New Roman"/>
          <w:sz w:val="20"/>
          <w:szCs w:val="20"/>
          <w:lang w:val="en-US"/>
        </w:rPr>
      </w:pPr>
      <w:r w:rsidRPr="00B90A7F">
        <w:rPr>
          <w:rFonts w:ascii="Verdana" w:hAnsi="Verdana" w:cs="Times New Roman"/>
          <w:sz w:val="20"/>
          <w:szCs w:val="20"/>
          <w:lang w:val="en-US"/>
        </w:rPr>
        <w:t>Incentives, and the amount of incentive</w:t>
      </w:r>
      <w:r w:rsidR="00610315">
        <w:rPr>
          <w:rFonts w:ascii="Verdana" w:hAnsi="Verdana" w:cs="Times New Roman"/>
          <w:sz w:val="20"/>
          <w:szCs w:val="20"/>
          <w:lang w:val="en-US"/>
        </w:rPr>
        <w:t>s</w:t>
      </w:r>
      <w:r w:rsidRPr="00B90A7F">
        <w:rPr>
          <w:rFonts w:ascii="Verdana" w:hAnsi="Verdana" w:cs="Times New Roman"/>
          <w:sz w:val="20"/>
          <w:szCs w:val="20"/>
          <w:lang w:val="en-US"/>
        </w:rPr>
        <w:t xml:space="preserve">, can reduce the cost per case completed through their influence on the amount of effort that is required to achieve a completed interview. Evidence in support of this conclusion is provided by the incentive experiments conducted for the National Survey on Drug Use and Health (NSDUH, </w:t>
      </w:r>
      <w:r w:rsidRPr="00382509">
        <w:rPr>
          <w:rFonts w:ascii="Verdana" w:hAnsi="Verdana" w:cs="Times New Roman"/>
          <w:i/>
          <w:sz w:val="20"/>
          <w:szCs w:val="20"/>
          <w:lang w:val="en-US"/>
        </w:rPr>
        <w:t>Substance Abuse and Mental Health Services Administration</w:t>
      </w:r>
      <w:r w:rsidRPr="00B90A7F">
        <w:rPr>
          <w:rFonts w:ascii="Verdana" w:hAnsi="Verdana" w:cs="Times New Roman"/>
          <w:sz w:val="20"/>
          <w:szCs w:val="20"/>
          <w:lang w:val="en-US"/>
        </w:rPr>
        <w:t xml:space="preserve">). Cost per interview in the $20 group was 5 percent lower </w:t>
      </w:r>
      <w:r w:rsidRPr="00B90A7F">
        <w:rPr>
          <w:rFonts w:ascii="Verdana" w:hAnsi="Verdana" w:cs="Times New Roman"/>
          <w:sz w:val="20"/>
          <w:szCs w:val="20"/>
          <w:lang w:val="en-US"/>
        </w:rPr>
        <w:lastRenderedPageBreak/>
        <w:t xml:space="preserve">than the control (no incentive), and in the $40 group costs were 4 percent lower than the control. The cost savings were gained by interviewers spending less time trying to obtain cooperation from respondents (Kennet </w:t>
      </w:r>
      <w:r w:rsidR="002E3271">
        <w:rPr>
          <w:rFonts w:ascii="Verdana" w:hAnsi="Verdana" w:cs="Times New Roman"/>
          <w:sz w:val="20"/>
          <w:szCs w:val="20"/>
          <w:lang w:val="en-US"/>
        </w:rPr>
        <w:t>et al.</w:t>
      </w:r>
      <w:r w:rsidRPr="00B90A7F">
        <w:rPr>
          <w:rFonts w:ascii="Verdana" w:hAnsi="Verdana" w:cs="Times New Roman"/>
          <w:sz w:val="20"/>
          <w:szCs w:val="20"/>
          <w:lang w:val="en-US"/>
        </w:rPr>
        <w:t xml:space="preserve"> 2005). These savings were realized through reduced interviewer labor as well as reduced travel costs (mileage, tolls, parking, etc.)</w:t>
      </w:r>
      <w:r w:rsidR="00610315">
        <w:rPr>
          <w:rFonts w:ascii="Verdana" w:hAnsi="Verdana" w:cs="Times New Roman"/>
          <w:sz w:val="20"/>
          <w:szCs w:val="20"/>
          <w:lang w:val="en-US"/>
        </w:rPr>
        <w:t>.</w:t>
      </w:r>
      <w:r w:rsidRPr="00B90A7F">
        <w:rPr>
          <w:rFonts w:ascii="Verdana" w:hAnsi="Verdana" w:cs="Times New Roman"/>
          <w:sz w:val="20"/>
          <w:szCs w:val="20"/>
          <w:lang w:val="en-US"/>
        </w:rPr>
        <w:t xml:space="preserve"> A similar finding was produced by an incentive experiment conducted for the National Survey of Family Growth (NSFG, </w:t>
      </w:r>
      <w:r w:rsidRPr="00B90A7F">
        <w:rPr>
          <w:rFonts w:ascii="Verdana" w:hAnsi="Verdana" w:cs="Times New Roman"/>
          <w:i/>
          <w:sz w:val="20"/>
          <w:szCs w:val="20"/>
          <w:lang w:val="en-US"/>
        </w:rPr>
        <w:t>National Center for Health Statistics</w:t>
      </w:r>
      <w:r w:rsidRPr="00B90A7F">
        <w:rPr>
          <w:rFonts w:ascii="Verdana" w:hAnsi="Verdana" w:cs="Times New Roman"/>
          <w:sz w:val="20"/>
          <w:szCs w:val="20"/>
          <w:lang w:val="en-US"/>
        </w:rPr>
        <w:t xml:space="preserve">) Cycle 5 Pretest which examined $0, $20, and $40 incentive amounts. As in the NSDUH experiments, the additional incentive costs were more than offset by savings in interviewer labor and travel costs (Duffer </w:t>
      </w:r>
      <w:r w:rsidR="002E3271">
        <w:rPr>
          <w:rFonts w:ascii="Verdana" w:hAnsi="Verdana" w:cs="Times New Roman"/>
          <w:sz w:val="20"/>
          <w:szCs w:val="20"/>
          <w:lang w:val="en-US"/>
        </w:rPr>
        <w:t>et al.</w:t>
      </w:r>
      <w:r w:rsidRPr="00B90A7F">
        <w:rPr>
          <w:rFonts w:ascii="Verdana" w:hAnsi="Verdana" w:cs="Times New Roman"/>
          <w:sz w:val="20"/>
          <w:szCs w:val="20"/>
          <w:lang w:val="en-US"/>
        </w:rPr>
        <w:t xml:space="preserve"> 1994).</w:t>
      </w:r>
    </w:p>
    <w:p w:rsidR="00472215" w:rsidRPr="00B90A7F" w:rsidRDefault="00472215" w:rsidP="00472215">
      <w:pPr>
        <w:pStyle w:val="bodytextpsg"/>
        <w:rPr>
          <w:rFonts w:ascii="Verdana" w:hAnsi="Verdana" w:cs="Times New Roman"/>
          <w:sz w:val="20"/>
          <w:szCs w:val="20"/>
          <w:lang w:val="en-US"/>
        </w:rPr>
      </w:pPr>
    </w:p>
    <w:p w:rsidR="00472215" w:rsidRPr="00B90A7F" w:rsidRDefault="00472215" w:rsidP="00472215">
      <w:pPr>
        <w:rPr>
          <w:rFonts w:ascii="Verdana" w:hAnsi="Verdana"/>
          <w:sz w:val="20"/>
          <w:szCs w:val="20"/>
        </w:rPr>
      </w:pPr>
      <w:r w:rsidRPr="00B90A7F">
        <w:rPr>
          <w:rFonts w:ascii="Verdana" w:hAnsi="Verdana"/>
          <w:sz w:val="20"/>
          <w:szCs w:val="20"/>
        </w:rPr>
        <w:t xml:space="preserve">Respondents to a telephone study in the </w:t>
      </w:r>
      <w:r w:rsidR="00337730">
        <w:rPr>
          <w:rFonts w:ascii="Verdana" w:hAnsi="Verdana"/>
          <w:sz w:val="20"/>
          <w:szCs w:val="20"/>
        </w:rPr>
        <w:t>Washington, D.C.,</w:t>
      </w:r>
      <w:r w:rsidR="00337730" w:rsidRPr="00B90A7F">
        <w:rPr>
          <w:rFonts w:ascii="Verdana" w:hAnsi="Verdana"/>
          <w:sz w:val="20"/>
          <w:szCs w:val="20"/>
        </w:rPr>
        <w:t xml:space="preserve"> </w:t>
      </w:r>
      <w:r w:rsidRPr="00B90A7F">
        <w:rPr>
          <w:rFonts w:ascii="Verdana" w:hAnsi="Verdana"/>
          <w:sz w:val="20"/>
          <w:szCs w:val="20"/>
        </w:rPr>
        <w:t>area about experience with TANF recipiency received a pre</w:t>
      </w:r>
      <w:r w:rsidR="00E75ECB">
        <w:rPr>
          <w:rFonts w:ascii="Verdana" w:hAnsi="Verdana"/>
          <w:sz w:val="20"/>
          <w:szCs w:val="20"/>
        </w:rPr>
        <w:t>-</w:t>
      </w:r>
      <w:r w:rsidRPr="00B90A7F">
        <w:rPr>
          <w:rFonts w:ascii="Verdana" w:hAnsi="Verdana"/>
          <w:sz w:val="20"/>
          <w:szCs w:val="20"/>
        </w:rPr>
        <w:t>notification letter containing $2 (Markesich &amp; Kovac</w:t>
      </w:r>
      <w:r w:rsidR="002E3271">
        <w:rPr>
          <w:rFonts w:ascii="Verdana" w:hAnsi="Verdana"/>
          <w:sz w:val="20"/>
          <w:szCs w:val="20"/>
        </w:rPr>
        <w:t xml:space="preserve"> 2</w:t>
      </w:r>
      <w:r w:rsidRPr="00B90A7F">
        <w:rPr>
          <w:rFonts w:ascii="Verdana" w:hAnsi="Verdana"/>
          <w:sz w:val="20"/>
          <w:szCs w:val="20"/>
        </w:rPr>
        <w:t>003). The letter noted that upon completion of the telephone interview, the respondent would receive either another $18 or another $33. While the small sample size and uneven distribution of the experimental conditions prevented the response rates among the two incentive amounts from differing significantly, there was a difference in the level of effort needed to achieve desired response rate targets. Those individuals who were offered $35 for completing an interview achieved a 68.7 percent response rate about 2 ½ weeks faster, and with fewer contact attempts, than did those sample members who were offered $20.</w:t>
      </w:r>
    </w:p>
    <w:p w:rsidR="00472215" w:rsidRPr="00B90A7F" w:rsidRDefault="00472215" w:rsidP="00472215">
      <w:pPr>
        <w:rPr>
          <w:rFonts w:ascii="Verdana" w:hAnsi="Verdana"/>
          <w:sz w:val="20"/>
          <w:szCs w:val="20"/>
        </w:rPr>
      </w:pPr>
    </w:p>
    <w:p w:rsidR="00472215" w:rsidRPr="00B90A7F" w:rsidRDefault="00472215" w:rsidP="00472215">
      <w:pPr>
        <w:rPr>
          <w:rFonts w:ascii="Verdana" w:hAnsi="Verdana"/>
          <w:sz w:val="20"/>
          <w:szCs w:val="20"/>
        </w:rPr>
      </w:pPr>
      <w:r w:rsidRPr="00B90A7F">
        <w:rPr>
          <w:rFonts w:ascii="Verdana" w:hAnsi="Verdana"/>
          <w:sz w:val="20"/>
          <w:szCs w:val="20"/>
        </w:rPr>
        <w:t xml:space="preserve">The Mayo Clinic study of Medicaid recipients, previously cited, similarly found that the overall cost per complete of surveys in the incentive group were </w:t>
      </w:r>
      <w:r w:rsidRPr="00B90A7F">
        <w:rPr>
          <w:rFonts w:ascii="Verdana" w:hAnsi="Verdana"/>
          <w:i/>
          <w:sz w:val="20"/>
          <w:szCs w:val="20"/>
        </w:rPr>
        <w:t xml:space="preserve">lower </w:t>
      </w:r>
      <w:r w:rsidRPr="00B90A7F">
        <w:rPr>
          <w:rFonts w:ascii="Verdana" w:hAnsi="Verdana"/>
          <w:sz w:val="20"/>
          <w:szCs w:val="20"/>
        </w:rPr>
        <w:t>than in the group that did not receive an incentive (Beebe et al</w:t>
      </w:r>
      <w:r w:rsidR="00C53647">
        <w:rPr>
          <w:rFonts w:ascii="Verdana" w:hAnsi="Verdana"/>
          <w:sz w:val="20"/>
          <w:szCs w:val="20"/>
        </w:rPr>
        <w:t>.</w:t>
      </w:r>
      <w:r w:rsidRPr="00B90A7F">
        <w:rPr>
          <w:rFonts w:ascii="Verdana" w:hAnsi="Verdana"/>
          <w:sz w:val="20"/>
          <w:szCs w:val="20"/>
        </w:rPr>
        <w:t xml:space="preserve"> 2005). This group required fewer contacts and fewer expensive telephone follow ups.  The Latino subgroup was an exception to this finding, with the cost for completed interviews being more in the incentive group.</w:t>
      </w:r>
    </w:p>
    <w:p w:rsidR="00472215" w:rsidRPr="00B90A7F" w:rsidRDefault="00472215" w:rsidP="00271489">
      <w:pPr>
        <w:rPr>
          <w:rFonts w:ascii="Verdana" w:hAnsi="Verdana"/>
          <w:b/>
          <w:sz w:val="20"/>
          <w:szCs w:val="20"/>
        </w:rPr>
      </w:pPr>
    </w:p>
    <w:p w:rsidR="00634ED0" w:rsidRPr="00B90A7F" w:rsidRDefault="00634ED0" w:rsidP="00271489">
      <w:pPr>
        <w:rPr>
          <w:rFonts w:ascii="Verdana" w:hAnsi="Verdana"/>
          <w:b/>
          <w:sz w:val="20"/>
          <w:szCs w:val="20"/>
        </w:rPr>
      </w:pPr>
      <w:r w:rsidRPr="00B90A7F">
        <w:rPr>
          <w:rFonts w:ascii="Verdana" w:hAnsi="Verdana"/>
          <w:b/>
          <w:sz w:val="20"/>
          <w:szCs w:val="20"/>
        </w:rPr>
        <w:t xml:space="preserve">Incentive Amounts Offered by Other Federally-Funded Surveys </w:t>
      </w:r>
    </w:p>
    <w:p w:rsidR="00E772A7" w:rsidRDefault="00634ED0" w:rsidP="00634ED0">
      <w:pPr>
        <w:pStyle w:val="bodytextpsg"/>
        <w:rPr>
          <w:rFonts w:ascii="Verdana" w:hAnsi="Verdana" w:cs="Times New Roman"/>
          <w:sz w:val="20"/>
          <w:szCs w:val="20"/>
          <w:lang w:val="en-US"/>
        </w:rPr>
      </w:pPr>
      <w:r w:rsidRPr="00B90A7F">
        <w:rPr>
          <w:rFonts w:ascii="Verdana" w:hAnsi="Verdana" w:cs="Times New Roman"/>
          <w:sz w:val="20"/>
          <w:szCs w:val="20"/>
          <w:lang w:val="en-US"/>
        </w:rPr>
        <w:t xml:space="preserve">Many federally-sponsored surveys offer incentives to gain cooperation, and these incentives range from $15 to $125, depending on respondent burden. The National Immunization Survey (NIS, </w:t>
      </w:r>
      <w:r w:rsidRPr="00B90A7F">
        <w:rPr>
          <w:rFonts w:ascii="Verdana" w:hAnsi="Verdana" w:cs="Times New Roman"/>
          <w:i/>
          <w:sz w:val="20"/>
          <w:szCs w:val="20"/>
          <w:lang w:val="en-US"/>
        </w:rPr>
        <w:t>National Center for Immunizations and Respiratory Diseases)</w:t>
      </w:r>
      <w:r w:rsidRPr="00B90A7F">
        <w:rPr>
          <w:rFonts w:ascii="Verdana" w:hAnsi="Verdana" w:cs="Times New Roman"/>
          <w:sz w:val="20"/>
          <w:szCs w:val="20"/>
          <w:lang w:val="en-US"/>
        </w:rPr>
        <w:t xml:space="preserve">, for example, offers a combination of $5 </w:t>
      </w:r>
      <w:r w:rsidR="00271489" w:rsidRPr="00B90A7F">
        <w:rPr>
          <w:rFonts w:ascii="Verdana" w:hAnsi="Verdana" w:cs="Times New Roman"/>
          <w:sz w:val="20"/>
          <w:szCs w:val="20"/>
          <w:lang w:val="en-US"/>
        </w:rPr>
        <w:t>pre-paid</w:t>
      </w:r>
      <w:r w:rsidRPr="00B90A7F">
        <w:rPr>
          <w:rFonts w:ascii="Verdana" w:hAnsi="Verdana" w:cs="Times New Roman"/>
          <w:sz w:val="20"/>
          <w:szCs w:val="20"/>
          <w:lang w:val="en-US"/>
        </w:rPr>
        <w:t xml:space="preserve"> and $10 promised incentives to encourage eligible nonrespondents to participate. The National Survey of Adoptive Parents of Children with Special Health Care Needs (</w:t>
      </w:r>
      <w:r w:rsidRPr="00B90A7F">
        <w:rPr>
          <w:rFonts w:ascii="Verdana" w:hAnsi="Verdana" w:cs="Times New Roman"/>
          <w:i/>
          <w:sz w:val="20"/>
          <w:szCs w:val="20"/>
          <w:lang w:val="en-US"/>
        </w:rPr>
        <w:t>Department of Health and Human Services</w:t>
      </w:r>
      <w:r w:rsidRPr="00B90A7F">
        <w:rPr>
          <w:rFonts w:ascii="Verdana" w:hAnsi="Verdana" w:cs="Times New Roman"/>
          <w:sz w:val="20"/>
          <w:szCs w:val="20"/>
          <w:lang w:val="en-US"/>
        </w:rPr>
        <w:t xml:space="preserve">) offers parents $25 for participation in a 35-minute telephone survey. Interviewers in the NSDUH currently offer $30 for an interview that averages 60 minutes, and the National Survey of Family Growth (NSFG, </w:t>
      </w:r>
      <w:r w:rsidRPr="00B90A7F">
        <w:rPr>
          <w:rFonts w:ascii="Verdana" w:hAnsi="Verdana" w:cs="Times New Roman"/>
          <w:i/>
          <w:sz w:val="20"/>
          <w:szCs w:val="20"/>
          <w:lang w:val="en-US"/>
        </w:rPr>
        <w:t>Centers for Disease Control and Prevention</w:t>
      </w:r>
      <w:r w:rsidRPr="00B90A7F">
        <w:rPr>
          <w:rFonts w:ascii="Verdana" w:hAnsi="Verdana" w:cs="Times New Roman"/>
          <w:sz w:val="20"/>
          <w:szCs w:val="20"/>
          <w:lang w:val="en-US"/>
        </w:rPr>
        <w:t>) offer</w:t>
      </w:r>
      <w:r w:rsidR="00186235">
        <w:rPr>
          <w:rFonts w:ascii="Verdana" w:hAnsi="Verdana" w:cs="Times New Roman"/>
          <w:sz w:val="20"/>
          <w:szCs w:val="20"/>
          <w:lang w:val="en-US"/>
        </w:rPr>
        <w:t>s</w:t>
      </w:r>
      <w:r w:rsidRPr="00B90A7F">
        <w:rPr>
          <w:rFonts w:ascii="Verdana" w:hAnsi="Verdana" w:cs="Times New Roman"/>
          <w:sz w:val="20"/>
          <w:szCs w:val="20"/>
          <w:lang w:val="en-US"/>
        </w:rPr>
        <w:t xml:space="preserve"> $40 for interviews that are about 60 minutes for males and 80 minutes for females. Over rounds 1 through 10 of the National Longitudinal Survey of Youth 1997 cohort (NLSY97, </w:t>
      </w:r>
      <w:r w:rsidRPr="00B90A7F">
        <w:rPr>
          <w:rFonts w:ascii="Verdana" w:hAnsi="Verdana" w:cs="Times New Roman"/>
          <w:i/>
          <w:sz w:val="20"/>
          <w:szCs w:val="20"/>
          <w:lang w:val="en-US"/>
        </w:rPr>
        <w:t>Bureau of Labor Statistics</w:t>
      </w:r>
      <w:r w:rsidRPr="00B90A7F">
        <w:rPr>
          <w:rFonts w:ascii="Verdana" w:hAnsi="Verdana" w:cs="Times New Roman"/>
          <w:sz w:val="20"/>
          <w:szCs w:val="20"/>
          <w:lang w:val="en-US"/>
        </w:rPr>
        <w:t xml:space="preserve">), incentives offered to respondents ranged from $10 to $50 in an attempt to minimize attrition across waves of data collection. In order to improve response rates, reduce the number of contacts required to gain cooperation, and address respondent concerns about interview burden, the National Survey of Child and Adolescent Well-Being (NSCAW, </w:t>
      </w:r>
      <w:r w:rsidRPr="00B90A7F">
        <w:rPr>
          <w:rFonts w:ascii="Verdana" w:hAnsi="Verdana" w:cs="Times New Roman"/>
          <w:i/>
          <w:sz w:val="20"/>
          <w:szCs w:val="20"/>
          <w:lang w:val="en-US"/>
        </w:rPr>
        <w:t>Administration for Children and Families</w:t>
      </w:r>
      <w:r w:rsidRPr="00B90A7F">
        <w:rPr>
          <w:rFonts w:ascii="Verdana" w:hAnsi="Verdana" w:cs="Times New Roman"/>
          <w:sz w:val="20"/>
          <w:szCs w:val="20"/>
          <w:lang w:val="en-US"/>
        </w:rPr>
        <w:t>) in 2002 doubled the incentive offered to respondents from $25 to $50.</w:t>
      </w:r>
      <w:r w:rsidR="000E2181">
        <w:rPr>
          <w:rFonts w:ascii="Verdana" w:hAnsi="Verdana" w:cs="Times New Roman"/>
          <w:sz w:val="20"/>
          <w:szCs w:val="20"/>
          <w:lang w:val="en-US"/>
        </w:rPr>
        <w:t xml:space="preserve"> </w:t>
      </w:r>
      <w:r w:rsidRPr="00B90A7F">
        <w:rPr>
          <w:rFonts w:ascii="Verdana" w:hAnsi="Verdana" w:cs="Times New Roman"/>
          <w:sz w:val="20"/>
          <w:szCs w:val="20"/>
          <w:lang w:val="en-US"/>
        </w:rPr>
        <w:t xml:space="preserve">The Early Childhood Longitudinal Study-Birth Cohort (ECLS-B, </w:t>
      </w:r>
      <w:r w:rsidRPr="00B90A7F">
        <w:rPr>
          <w:rFonts w:ascii="Verdana" w:hAnsi="Verdana" w:cs="Times New Roman"/>
          <w:i/>
          <w:sz w:val="20"/>
          <w:szCs w:val="20"/>
          <w:lang w:val="en-US"/>
        </w:rPr>
        <w:t>U.S. Department of Education</w:t>
      </w:r>
      <w:r w:rsidRPr="00B90A7F">
        <w:rPr>
          <w:rFonts w:ascii="Verdana" w:hAnsi="Verdana" w:cs="Times New Roman"/>
          <w:sz w:val="20"/>
          <w:szCs w:val="20"/>
          <w:lang w:val="en-US"/>
        </w:rPr>
        <w:t xml:space="preserve">) offered parent participants $50 and a children’s book for the first wave and $30 and a children’s book for subsequent waves of data collection. Incentives on the National Health and Nutrition Examination Survey (NHANES, </w:t>
      </w:r>
      <w:r w:rsidRPr="00B90A7F">
        <w:rPr>
          <w:rFonts w:ascii="Verdana" w:hAnsi="Verdana" w:cs="Times New Roman"/>
          <w:i/>
          <w:sz w:val="20"/>
          <w:szCs w:val="20"/>
          <w:lang w:val="en-US"/>
        </w:rPr>
        <w:t>National Center for Health Statistics</w:t>
      </w:r>
      <w:r w:rsidRPr="00B90A7F">
        <w:rPr>
          <w:rFonts w:ascii="Verdana" w:hAnsi="Verdana" w:cs="Times New Roman"/>
          <w:sz w:val="20"/>
          <w:szCs w:val="20"/>
          <w:lang w:val="en-US"/>
        </w:rPr>
        <w:t xml:space="preserve">) range from $20 to $125 depending on the survey and physical exam components in which respondents agree to participate. </w:t>
      </w:r>
      <w:r w:rsidR="001F501C" w:rsidRPr="00B90A7F">
        <w:rPr>
          <w:rFonts w:ascii="Verdana" w:hAnsi="Verdana" w:cs="Times New Roman"/>
          <w:sz w:val="20"/>
          <w:szCs w:val="20"/>
          <w:lang w:val="en-US"/>
        </w:rPr>
        <w:t xml:space="preserve"> The Evaluation of the Public Education Campaign on Teen Tobacco (ExPECTT, </w:t>
      </w:r>
      <w:r w:rsidR="001F501C" w:rsidRPr="00B90A7F">
        <w:rPr>
          <w:rFonts w:ascii="Verdana" w:hAnsi="Verdana" w:cs="Times New Roman"/>
          <w:i/>
          <w:sz w:val="20"/>
          <w:szCs w:val="20"/>
          <w:lang w:val="en-US"/>
        </w:rPr>
        <w:t>Food and Drug Administration</w:t>
      </w:r>
      <w:r w:rsidR="001F501C" w:rsidRPr="00B90A7F">
        <w:rPr>
          <w:rFonts w:ascii="Verdana" w:hAnsi="Verdana" w:cs="Times New Roman"/>
          <w:sz w:val="20"/>
          <w:szCs w:val="20"/>
          <w:lang w:val="en-US"/>
        </w:rPr>
        <w:t xml:space="preserve">) employs a $20 promised incentive for </w:t>
      </w:r>
      <w:r w:rsidR="00472215" w:rsidRPr="00B90A7F">
        <w:rPr>
          <w:rFonts w:ascii="Verdana" w:hAnsi="Verdana" w:cs="Times New Roman"/>
          <w:sz w:val="20"/>
          <w:szCs w:val="20"/>
          <w:lang w:val="en-US"/>
        </w:rPr>
        <w:t xml:space="preserve">30 and 45 minute </w:t>
      </w:r>
      <w:r w:rsidR="001F501C" w:rsidRPr="00B90A7F">
        <w:rPr>
          <w:rFonts w:ascii="Verdana" w:hAnsi="Verdana" w:cs="Times New Roman"/>
          <w:sz w:val="20"/>
          <w:szCs w:val="20"/>
          <w:lang w:val="en-US"/>
        </w:rPr>
        <w:t>in-person or web surveys.</w:t>
      </w:r>
      <w:r w:rsidR="00472215" w:rsidRPr="00B90A7F">
        <w:rPr>
          <w:rFonts w:ascii="Verdana" w:hAnsi="Verdana" w:cs="Times New Roman"/>
          <w:sz w:val="20"/>
          <w:szCs w:val="20"/>
          <w:lang w:val="en-US"/>
        </w:rPr>
        <w:t xml:space="preserve">  Likewise, t</w:t>
      </w:r>
      <w:r w:rsidR="001F501C" w:rsidRPr="00B90A7F">
        <w:rPr>
          <w:rFonts w:ascii="Verdana" w:hAnsi="Verdana" w:cs="Times New Roman"/>
          <w:sz w:val="20"/>
          <w:szCs w:val="20"/>
          <w:lang w:val="en-US"/>
        </w:rPr>
        <w:t xml:space="preserve">he Evaluation of the Fresh Empire Campaign on Tobacco (EFECT, </w:t>
      </w:r>
      <w:r w:rsidR="001F501C" w:rsidRPr="00B90A7F">
        <w:rPr>
          <w:rFonts w:ascii="Verdana" w:hAnsi="Verdana" w:cs="Times New Roman"/>
          <w:i/>
          <w:sz w:val="20"/>
          <w:szCs w:val="20"/>
          <w:lang w:val="en-US"/>
        </w:rPr>
        <w:t>Food and Drug Administration</w:t>
      </w:r>
      <w:r w:rsidR="001F501C" w:rsidRPr="00B90A7F">
        <w:rPr>
          <w:rFonts w:ascii="Verdana" w:hAnsi="Verdana" w:cs="Times New Roman"/>
          <w:sz w:val="20"/>
          <w:szCs w:val="20"/>
          <w:lang w:val="en-US"/>
        </w:rPr>
        <w:t>) employs a $</w:t>
      </w:r>
      <w:r w:rsidR="00472215" w:rsidRPr="00B90A7F">
        <w:rPr>
          <w:rFonts w:ascii="Verdana" w:hAnsi="Verdana" w:cs="Times New Roman"/>
          <w:sz w:val="20"/>
          <w:szCs w:val="20"/>
          <w:lang w:val="en-US"/>
        </w:rPr>
        <w:t>25 promised incentive for 30 and 45 minute in-person or web surveys.</w:t>
      </w:r>
    </w:p>
    <w:p w:rsidR="00E772A7" w:rsidRDefault="00E772A7" w:rsidP="00634ED0">
      <w:pPr>
        <w:pStyle w:val="bodytextpsg"/>
        <w:rPr>
          <w:rFonts w:ascii="Verdana" w:hAnsi="Verdana" w:cs="Times New Roman"/>
          <w:sz w:val="20"/>
          <w:szCs w:val="20"/>
          <w:lang w:val="en-US"/>
        </w:rPr>
      </w:pPr>
    </w:p>
    <w:p w:rsidR="00CD05E4" w:rsidRDefault="00E772A7" w:rsidP="00634ED0">
      <w:pPr>
        <w:pStyle w:val="bodytextpsg"/>
        <w:rPr>
          <w:rFonts w:ascii="Verdana" w:hAnsi="Verdana" w:cs="Times New Roman"/>
          <w:b/>
          <w:sz w:val="20"/>
          <w:szCs w:val="20"/>
          <w:lang w:val="en-US"/>
        </w:rPr>
      </w:pPr>
      <w:r w:rsidRPr="00B90A7F">
        <w:rPr>
          <w:rFonts w:ascii="Verdana" w:hAnsi="Verdana"/>
          <w:b/>
          <w:sz w:val="20"/>
          <w:szCs w:val="20"/>
        </w:rPr>
        <w:t xml:space="preserve">Evidence for Effectiveness of </w:t>
      </w:r>
      <w:r w:rsidRPr="00B90A7F">
        <w:rPr>
          <w:rFonts w:ascii="Verdana" w:hAnsi="Verdana" w:cs="Times New Roman"/>
          <w:b/>
          <w:sz w:val="20"/>
          <w:szCs w:val="20"/>
          <w:lang w:val="en-US"/>
        </w:rPr>
        <w:t xml:space="preserve">Incentives </w:t>
      </w:r>
      <w:r>
        <w:rPr>
          <w:rFonts w:ascii="Verdana" w:hAnsi="Verdana" w:cs="Times New Roman"/>
          <w:b/>
          <w:sz w:val="20"/>
          <w:szCs w:val="20"/>
          <w:lang w:val="en-US"/>
        </w:rPr>
        <w:t xml:space="preserve">to Recruit LGBT </w:t>
      </w:r>
      <w:r w:rsidR="00F52847">
        <w:rPr>
          <w:rFonts w:ascii="Verdana" w:hAnsi="Verdana" w:cs="Times New Roman"/>
          <w:b/>
          <w:sz w:val="20"/>
          <w:szCs w:val="20"/>
          <w:lang w:val="en-US"/>
        </w:rPr>
        <w:t xml:space="preserve">Young Adult </w:t>
      </w:r>
      <w:r>
        <w:rPr>
          <w:rFonts w:ascii="Verdana" w:hAnsi="Verdana" w:cs="Times New Roman"/>
          <w:b/>
          <w:sz w:val="20"/>
          <w:szCs w:val="20"/>
          <w:lang w:val="en-US"/>
        </w:rPr>
        <w:t>Populations</w:t>
      </w:r>
      <w:r w:rsidR="009B2815">
        <w:rPr>
          <w:rFonts w:ascii="Verdana" w:hAnsi="Verdana" w:cs="Times New Roman"/>
          <w:b/>
          <w:sz w:val="20"/>
          <w:szCs w:val="20"/>
          <w:lang w:val="en-US"/>
        </w:rPr>
        <w:t xml:space="preserve"> for Research Studies</w:t>
      </w:r>
    </w:p>
    <w:p w:rsidR="00634ED0" w:rsidRPr="00CD05E4" w:rsidRDefault="009F6E73" w:rsidP="00634ED0">
      <w:pPr>
        <w:pStyle w:val="bodytextpsg"/>
        <w:rPr>
          <w:rFonts w:ascii="Verdana" w:hAnsi="Verdana" w:cs="Times New Roman"/>
          <w:b/>
          <w:sz w:val="20"/>
          <w:szCs w:val="20"/>
          <w:lang w:val="en-US"/>
        </w:rPr>
      </w:pPr>
      <w:r w:rsidRPr="009F6E73">
        <w:rPr>
          <w:rFonts w:ascii="Verdana" w:hAnsi="Verdana" w:cs="Times New Roman"/>
          <w:sz w:val="20"/>
          <w:szCs w:val="20"/>
          <w:lang w:val="en-US"/>
        </w:rPr>
        <w:t xml:space="preserve">Additional research studies have used similar incentives </w:t>
      </w:r>
      <w:r w:rsidR="00712B95">
        <w:rPr>
          <w:rFonts w:ascii="Verdana" w:hAnsi="Verdana" w:cs="Times New Roman"/>
          <w:sz w:val="20"/>
          <w:szCs w:val="20"/>
          <w:lang w:val="en-US"/>
        </w:rPr>
        <w:t xml:space="preserve">to the federally-funded studies discussed above </w:t>
      </w:r>
      <w:r w:rsidRPr="009F6E73">
        <w:rPr>
          <w:rFonts w:ascii="Verdana" w:hAnsi="Verdana" w:cs="Times New Roman"/>
          <w:sz w:val="20"/>
          <w:szCs w:val="20"/>
          <w:lang w:val="en-US"/>
        </w:rPr>
        <w:t>to effectively recruit members of the LGBT community, noting that members of the LGBT community are a particularly difficult-to-reach population and that incentives for participating in research are an important component of recruiting research participants (Meyer &amp; Wilson</w:t>
      </w:r>
      <w:r w:rsidR="002E3271">
        <w:rPr>
          <w:rFonts w:ascii="Verdana" w:hAnsi="Verdana" w:cs="Times New Roman"/>
          <w:sz w:val="20"/>
          <w:szCs w:val="20"/>
          <w:lang w:val="en-US"/>
        </w:rPr>
        <w:t xml:space="preserve"> 2</w:t>
      </w:r>
      <w:r w:rsidRPr="009F6E73">
        <w:rPr>
          <w:rFonts w:ascii="Verdana" w:hAnsi="Verdana" w:cs="Times New Roman"/>
          <w:sz w:val="20"/>
          <w:szCs w:val="20"/>
          <w:lang w:val="en-US"/>
        </w:rPr>
        <w:t>009).  Jones et al. (2008) provided 18-</w:t>
      </w:r>
      <w:r w:rsidR="00382509">
        <w:rPr>
          <w:rFonts w:ascii="Verdana" w:hAnsi="Verdana" w:cs="Times New Roman"/>
          <w:sz w:val="20"/>
          <w:szCs w:val="20"/>
          <w:lang w:val="en-US"/>
        </w:rPr>
        <w:t xml:space="preserve"> to </w:t>
      </w:r>
      <w:r w:rsidRPr="009F6E73">
        <w:rPr>
          <w:rFonts w:ascii="Verdana" w:hAnsi="Verdana" w:cs="Times New Roman"/>
          <w:sz w:val="20"/>
          <w:szCs w:val="20"/>
          <w:lang w:val="en-US"/>
        </w:rPr>
        <w:t>30-year-old black men who have sex with men $20 gift card incentives for participating in cross-sectional surveys. Silvestre et al. (2006) paid minority men who have sex with men $25 for an HIV epidemiological study.  Remafedi and Carol (2005) offered LGBT youth $20 incentives and cessation referrals for participating in interviews for designing tobacco prevention campaigns.</w:t>
      </w:r>
    </w:p>
    <w:p w:rsidR="00634ED0" w:rsidRPr="00B90A7F" w:rsidRDefault="00634ED0" w:rsidP="009C46BB">
      <w:pPr>
        <w:pStyle w:val="bodytextpsg"/>
        <w:rPr>
          <w:rFonts w:ascii="Verdana" w:hAnsi="Verdana" w:cs="Times New Roman"/>
          <w:sz w:val="20"/>
          <w:szCs w:val="20"/>
          <w:lang w:val="en-US"/>
        </w:rPr>
      </w:pPr>
    </w:p>
    <w:p w:rsidR="00AA4C15" w:rsidRPr="00B90A7F" w:rsidRDefault="00AA4C15" w:rsidP="009C46BB">
      <w:pPr>
        <w:pStyle w:val="bodytextpsg"/>
        <w:rPr>
          <w:rFonts w:ascii="Verdana" w:hAnsi="Verdana" w:cs="Times New Roman"/>
          <w:sz w:val="20"/>
          <w:szCs w:val="20"/>
          <w:lang w:val="en-US"/>
        </w:rPr>
      </w:pPr>
    </w:p>
    <w:p w:rsidR="002466B5" w:rsidRPr="00B90A7F" w:rsidRDefault="002466B5" w:rsidP="002466B5">
      <w:pPr>
        <w:jc w:val="center"/>
        <w:rPr>
          <w:rFonts w:ascii="Verdana" w:hAnsi="Verdana" w:cs="Arial"/>
          <w:color w:val="222222"/>
          <w:sz w:val="20"/>
          <w:szCs w:val="20"/>
          <w:shd w:val="clear" w:color="auto" w:fill="FFFFFF"/>
        </w:rPr>
      </w:pPr>
      <w:r w:rsidRPr="00B90A7F">
        <w:rPr>
          <w:rFonts w:ascii="Verdana" w:hAnsi="Verdana" w:cs="Arial"/>
          <w:color w:val="222222"/>
          <w:sz w:val="20"/>
          <w:szCs w:val="20"/>
          <w:shd w:val="clear" w:color="auto" w:fill="FFFFFF"/>
        </w:rPr>
        <w:t>References</w:t>
      </w:r>
    </w:p>
    <w:p w:rsidR="002466B5" w:rsidRPr="00B90A7F" w:rsidRDefault="002466B5" w:rsidP="00AA4C15">
      <w:pPr>
        <w:rPr>
          <w:rFonts w:ascii="Verdana" w:hAnsi="Verdana" w:cs="Arial"/>
          <w:color w:val="222222"/>
          <w:sz w:val="20"/>
          <w:szCs w:val="20"/>
          <w:shd w:val="clear" w:color="auto" w:fill="FFFFFF"/>
        </w:rPr>
      </w:pPr>
    </w:p>
    <w:p w:rsidR="00AA4C15" w:rsidRPr="00B90A7F" w:rsidRDefault="00AA4C15" w:rsidP="00AA4C15">
      <w:pPr>
        <w:rPr>
          <w:rFonts w:ascii="Verdana" w:hAnsi="Verdana" w:cs="Arial"/>
          <w:color w:val="222222"/>
          <w:sz w:val="20"/>
          <w:szCs w:val="20"/>
          <w:shd w:val="clear" w:color="auto" w:fill="FFFFFF"/>
        </w:rPr>
      </w:pPr>
      <w:r w:rsidRPr="00B90A7F">
        <w:rPr>
          <w:rFonts w:ascii="Verdana" w:hAnsi="Verdana" w:cs="Arial"/>
          <w:color w:val="222222"/>
          <w:sz w:val="20"/>
          <w:szCs w:val="20"/>
          <w:shd w:val="clear" w:color="auto" w:fill="FFFFFF"/>
        </w:rPr>
        <w:t>Beebe, T. J., Davern, M. E., McAlpine, D. D., Call, K. T., &amp; Rockwood, T. H. (2005). Increasing response rates in a survey of Medicaid enrollees: the effect of a prepaid monetary incentive and mixed modes (mail and telephone).</w:t>
      </w:r>
      <w:r w:rsidRPr="00B90A7F">
        <w:rPr>
          <w:rFonts w:ascii="Verdana" w:hAnsi="Verdana" w:cs="Arial"/>
          <w:i/>
          <w:iCs/>
          <w:color w:val="222222"/>
          <w:sz w:val="20"/>
          <w:szCs w:val="20"/>
          <w:shd w:val="clear" w:color="auto" w:fill="FFFFFF"/>
        </w:rPr>
        <w:t>Medical Care</w:t>
      </w:r>
      <w:r w:rsidRPr="00B90A7F">
        <w:rPr>
          <w:rFonts w:ascii="Verdana" w:hAnsi="Verdana" w:cs="Arial"/>
          <w:color w:val="222222"/>
          <w:sz w:val="20"/>
          <w:szCs w:val="20"/>
          <w:shd w:val="clear" w:color="auto" w:fill="FFFFFF"/>
        </w:rPr>
        <w:t>,</w:t>
      </w:r>
      <w:r w:rsidR="000E2181">
        <w:rPr>
          <w:rStyle w:val="apple-converted-space"/>
          <w:rFonts w:ascii="Verdana" w:hAnsi="Verdana" w:cs="Arial"/>
          <w:color w:val="222222"/>
          <w:sz w:val="20"/>
          <w:szCs w:val="20"/>
          <w:shd w:val="clear" w:color="auto" w:fill="FFFFFF"/>
        </w:rPr>
        <w:t xml:space="preserve"> </w:t>
      </w:r>
      <w:r w:rsidRPr="00B90A7F">
        <w:rPr>
          <w:rFonts w:ascii="Verdana" w:hAnsi="Verdana" w:cs="Arial"/>
          <w:i/>
          <w:iCs/>
          <w:color w:val="222222"/>
          <w:sz w:val="20"/>
          <w:szCs w:val="20"/>
          <w:shd w:val="clear" w:color="auto" w:fill="FFFFFF"/>
        </w:rPr>
        <w:t>43</w:t>
      </w:r>
      <w:r w:rsidRPr="00B90A7F">
        <w:rPr>
          <w:rFonts w:ascii="Verdana" w:hAnsi="Verdana" w:cs="Arial"/>
          <w:color w:val="222222"/>
          <w:sz w:val="20"/>
          <w:szCs w:val="20"/>
          <w:shd w:val="clear" w:color="auto" w:fill="FFFFFF"/>
        </w:rPr>
        <w:t>(4), 411-414.</w:t>
      </w:r>
    </w:p>
    <w:p w:rsidR="00AA4C15" w:rsidRPr="00B90A7F" w:rsidRDefault="00AA4C15" w:rsidP="00AA4C15">
      <w:pPr>
        <w:rPr>
          <w:rFonts w:ascii="Verdana" w:hAnsi="Verdana" w:cs="Arial"/>
          <w:color w:val="222222"/>
          <w:sz w:val="20"/>
          <w:szCs w:val="20"/>
          <w:shd w:val="clear" w:color="auto" w:fill="FFFFFF"/>
        </w:rPr>
      </w:pPr>
    </w:p>
    <w:p w:rsidR="00AA4C15" w:rsidRPr="00B90A7F" w:rsidRDefault="00AA4C15" w:rsidP="00AA4C15">
      <w:pPr>
        <w:pStyle w:val="biblio"/>
        <w:ind w:left="0" w:firstLine="0"/>
        <w:rPr>
          <w:rFonts w:ascii="Verdana" w:hAnsi="Verdana"/>
          <w:sz w:val="20"/>
        </w:rPr>
      </w:pPr>
      <w:r w:rsidRPr="00B90A7F">
        <w:rPr>
          <w:rFonts w:ascii="Verdana" w:hAnsi="Verdana"/>
          <w:sz w:val="20"/>
        </w:rPr>
        <w:t xml:space="preserve">Birnholtz, J. P., Horn, D. B., Finholt, T. A., &amp; Bae, S. J. (2004). The Effects of Cash, Electronic, and Paper Gift Certificates as Respondent Incentives for a Web-Based Survey of Technologically Sophisticated Respondents. </w:t>
      </w:r>
      <w:r w:rsidRPr="00B90A7F">
        <w:rPr>
          <w:rFonts w:ascii="Verdana" w:hAnsi="Verdana"/>
          <w:i/>
          <w:iCs/>
          <w:sz w:val="20"/>
        </w:rPr>
        <w:t>Social Science Computer Review, 22</w:t>
      </w:r>
      <w:r w:rsidRPr="00B90A7F">
        <w:rPr>
          <w:rFonts w:ascii="Verdana" w:hAnsi="Verdana"/>
          <w:sz w:val="20"/>
        </w:rPr>
        <w:t xml:space="preserve">(3), 355-362. </w:t>
      </w:r>
    </w:p>
    <w:p w:rsidR="00AA4C15" w:rsidRPr="00B90A7F" w:rsidRDefault="00AA4C15" w:rsidP="00AA4C15">
      <w:pPr>
        <w:pStyle w:val="EndNoteBibliography"/>
        <w:rPr>
          <w:rFonts w:ascii="Verdana" w:hAnsi="Verdana"/>
        </w:rPr>
      </w:pPr>
      <w:r w:rsidRPr="00B90A7F">
        <w:rPr>
          <w:rFonts w:ascii="Verdana" w:hAnsi="Verdana"/>
        </w:rPr>
        <w:t xml:space="preserve">Bourdeau, B., Miller, B., Johnson, M., Voas, R. (2015).  Method of transportation and drinking among club patrons.  </w:t>
      </w:r>
      <w:r w:rsidRPr="00B90A7F">
        <w:rPr>
          <w:rFonts w:ascii="Verdana" w:hAnsi="Verdana"/>
          <w:i/>
        </w:rPr>
        <w:t>Transportation Research Part F</w:t>
      </w:r>
      <w:r w:rsidRPr="00B90A7F">
        <w:rPr>
          <w:rFonts w:ascii="Verdana" w:hAnsi="Verdana"/>
        </w:rPr>
        <w:t>, 32, 11-22.</w:t>
      </w:r>
    </w:p>
    <w:p w:rsidR="00AA4C15" w:rsidRPr="00B90A7F" w:rsidRDefault="00AA4C15" w:rsidP="00AA4C15">
      <w:pPr>
        <w:pStyle w:val="EndNoteBibliography"/>
        <w:rPr>
          <w:rFonts w:ascii="Verdana" w:hAnsi="Verdana"/>
        </w:rPr>
      </w:pPr>
    </w:p>
    <w:p w:rsidR="00AA4C15" w:rsidRPr="00B90A7F" w:rsidRDefault="00AA4C15" w:rsidP="00AA4C15">
      <w:pPr>
        <w:pStyle w:val="EndNoteBibliography"/>
        <w:rPr>
          <w:rFonts w:ascii="Verdana" w:hAnsi="Verdana"/>
        </w:rPr>
      </w:pPr>
      <w:r w:rsidRPr="00B90A7F">
        <w:rPr>
          <w:rFonts w:ascii="Verdana" w:hAnsi="Verdana"/>
        </w:rPr>
        <w:t xml:space="preserve">Bosnjak, M., &amp; Tuten, T. L. (2003). Prepaid and Promised Incentives in Web Surveys: An Experiment. </w:t>
      </w:r>
      <w:r w:rsidRPr="00B90A7F">
        <w:rPr>
          <w:rFonts w:ascii="Verdana" w:hAnsi="Verdana"/>
          <w:i/>
          <w:iCs/>
        </w:rPr>
        <w:t>Social Science Computer Review, 21</w:t>
      </w:r>
      <w:r w:rsidRPr="00B90A7F">
        <w:rPr>
          <w:rFonts w:ascii="Verdana" w:hAnsi="Verdana"/>
        </w:rPr>
        <w:t>(2), 208-217.</w:t>
      </w:r>
    </w:p>
    <w:p w:rsidR="00AA4C15" w:rsidRPr="00B90A7F" w:rsidRDefault="00AA4C15" w:rsidP="00AA4C15">
      <w:pPr>
        <w:pStyle w:val="EndNoteBibliography"/>
        <w:rPr>
          <w:rFonts w:ascii="Verdana" w:hAnsi="Verdana"/>
        </w:rPr>
      </w:pPr>
    </w:p>
    <w:p w:rsidR="00115B76" w:rsidRPr="00B90A7F" w:rsidRDefault="00115B76" w:rsidP="00AA4C15">
      <w:pPr>
        <w:rPr>
          <w:rFonts w:ascii="Verdana" w:hAnsi="Verdana" w:cs="Arial"/>
          <w:color w:val="222222"/>
          <w:sz w:val="20"/>
          <w:szCs w:val="20"/>
          <w:shd w:val="clear" w:color="auto" w:fill="FFFFFF"/>
        </w:rPr>
      </w:pPr>
      <w:r w:rsidRPr="00B90A7F">
        <w:rPr>
          <w:rFonts w:ascii="Verdana" w:hAnsi="Verdana" w:cs="Arial"/>
          <w:color w:val="222222"/>
          <w:sz w:val="20"/>
          <w:szCs w:val="20"/>
          <w:shd w:val="clear" w:color="auto" w:fill="FFFFFF"/>
        </w:rPr>
        <w:t>Creighton, K. P., King, K. E., &amp; Martin, E. A. (2007). The use of monetary incentives in Census Bureau longitudinal surveys. Survey Methodology, 2.</w:t>
      </w:r>
    </w:p>
    <w:p w:rsidR="00115B76" w:rsidRPr="00B90A7F" w:rsidRDefault="00115B76" w:rsidP="00AA4C15">
      <w:pPr>
        <w:rPr>
          <w:rFonts w:ascii="Verdana" w:hAnsi="Verdana" w:cs="Arial"/>
          <w:color w:val="222222"/>
          <w:sz w:val="20"/>
          <w:szCs w:val="20"/>
          <w:shd w:val="clear" w:color="auto" w:fill="FFFFFF"/>
        </w:rPr>
      </w:pPr>
    </w:p>
    <w:p w:rsidR="00AA4C15" w:rsidRPr="00B90A7F" w:rsidRDefault="00EE68EF" w:rsidP="00AA4C15">
      <w:pPr>
        <w:rPr>
          <w:rFonts w:ascii="Verdana" w:hAnsi="Verdana"/>
          <w:color w:val="000000"/>
          <w:sz w:val="20"/>
          <w:szCs w:val="20"/>
          <w:shd w:val="clear" w:color="auto" w:fill="FFFFFF"/>
        </w:rPr>
      </w:pPr>
      <w:r w:rsidRPr="00B90A7F">
        <w:rPr>
          <w:rFonts w:ascii="Verdana" w:hAnsi="Verdana" w:cs="Arial"/>
          <w:color w:val="222222"/>
          <w:sz w:val="20"/>
          <w:szCs w:val="20"/>
          <w:shd w:val="clear" w:color="auto" w:fill="FFFFFF"/>
        </w:rPr>
        <w:t>Coopersmith</w:t>
      </w:r>
      <w:r w:rsidR="00AA4C15" w:rsidRPr="00B90A7F">
        <w:rPr>
          <w:rFonts w:ascii="Verdana" w:hAnsi="Verdana" w:cs="Arial"/>
          <w:color w:val="222222"/>
          <w:sz w:val="20"/>
          <w:szCs w:val="20"/>
          <w:shd w:val="clear" w:color="auto" w:fill="FFFFFF"/>
        </w:rPr>
        <w:t xml:space="preserve">, J., Vogel, L. K., Bruursema, T., &amp; Feeney, K. 2014.  Effects of Incentive Amount and Type on Web Survey Response Rates. </w:t>
      </w:r>
      <w:r w:rsidR="00AA4C15" w:rsidRPr="00B90A7F">
        <w:rPr>
          <w:rFonts w:ascii="Verdana" w:hAnsi="Verdana"/>
          <w:color w:val="000000"/>
          <w:sz w:val="20"/>
          <w:szCs w:val="20"/>
          <w:shd w:val="clear" w:color="auto" w:fill="FFFFFF"/>
        </w:rPr>
        <w:t>In</w:t>
      </w:r>
      <w:r w:rsidR="000E2181">
        <w:rPr>
          <w:rStyle w:val="apple-converted-space"/>
          <w:rFonts w:ascii="Verdana" w:hAnsi="Verdana"/>
          <w:color w:val="000000"/>
          <w:sz w:val="20"/>
          <w:szCs w:val="20"/>
          <w:shd w:val="clear" w:color="auto" w:fill="FFFFFF"/>
        </w:rPr>
        <w:t xml:space="preserve"> </w:t>
      </w:r>
      <w:r w:rsidR="00AA4C15" w:rsidRPr="00B90A7F">
        <w:rPr>
          <w:rFonts w:ascii="Verdana" w:hAnsi="Verdana"/>
          <w:i/>
          <w:iCs/>
          <w:color w:val="000000"/>
          <w:sz w:val="20"/>
          <w:szCs w:val="20"/>
        </w:rPr>
        <w:t>JSM Proceedings,</w:t>
      </w:r>
      <w:r w:rsidR="000E2181">
        <w:rPr>
          <w:rStyle w:val="apple-converted-space"/>
          <w:rFonts w:ascii="Verdana" w:hAnsi="Verdana"/>
          <w:color w:val="000000"/>
          <w:sz w:val="20"/>
          <w:szCs w:val="20"/>
          <w:shd w:val="clear" w:color="auto" w:fill="FFFFFF"/>
        </w:rPr>
        <w:t xml:space="preserve"> </w:t>
      </w:r>
      <w:r w:rsidR="00AA4C15" w:rsidRPr="00B90A7F">
        <w:rPr>
          <w:rFonts w:ascii="Verdana" w:hAnsi="Verdana"/>
          <w:color w:val="000000"/>
          <w:sz w:val="20"/>
          <w:szCs w:val="20"/>
          <w:shd w:val="clear" w:color="auto" w:fill="FFFFFF"/>
        </w:rPr>
        <w:t xml:space="preserve">Survey Research Methods Section. Alexandria, VA: American Statistical Association. 4463-4474.Retrieved from </w:t>
      </w:r>
      <w:hyperlink r:id="rId9" w:history="1">
        <w:r w:rsidR="00AA4C15" w:rsidRPr="00B90A7F">
          <w:rPr>
            <w:rStyle w:val="Hyperlink"/>
            <w:rFonts w:ascii="Verdana" w:hAnsi="Verdana"/>
            <w:sz w:val="20"/>
            <w:szCs w:val="20"/>
            <w:shd w:val="clear" w:color="auto" w:fill="FFFFFF"/>
          </w:rPr>
          <w:t>http://www.amstat.org/sections/srms/proceedings/y2014/Files/400288_500797.pdf</w:t>
        </w:r>
      </w:hyperlink>
    </w:p>
    <w:p w:rsidR="00AA4C15" w:rsidRPr="00B90A7F" w:rsidRDefault="00AA4C15" w:rsidP="00AA4C15">
      <w:pPr>
        <w:rPr>
          <w:rFonts w:ascii="Verdana" w:hAnsi="Verdana"/>
          <w:color w:val="000000"/>
          <w:sz w:val="20"/>
          <w:szCs w:val="20"/>
          <w:shd w:val="clear" w:color="auto" w:fill="FFFFFF"/>
        </w:rPr>
      </w:pPr>
    </w:p>
    <w:p w:rsidR="00CD50FC" w:rsidRPr="00B90A7F" w:rsidRDefault="00CD50FC" w:rsidP="00CD50FC">
      <w:pPr>
        <w:rPr>
          <w:rFonts w:ascii="Verdana" w:hAnsi="Verdana"/>
          <w:sz w:val="20"/>
          <w:szCs w:val="20"/>
        </w:rPr>
      </w:pPr>
      <w:r w:rsidRPr="00B90A7F">
        <w:rPr>
          <w:rFonts w:ascii="Verdana" w:hAnsi="Verdana"/>
          <w:sz w:val="20"/>
          <w:szCs w:val="20"/>
        </w:rPr>
        <w:t>Duffer, A., Lessler, J., Weeks, M., &amp; Mosher, W. (1994). Effects of incentive payments on response rates and field costs in a pretest of a national CAPI survey. Paper presented at the 49th annual conference of the American Association for Public Opinion Research, Danvers, MA.</w:t>
      </w:r>
    </w:p>
    <w:p w:rsidR="00CD50FC" w:rsidRPr="00B90A7F" w:rsidRDefault="00CD50FC" w:rsidP="00AA4C15">
      <w:pPr>
        <w:rPr>
          <w:rFonts w:ascii="Verdana" w:hAnsi="Verdana"/>
          <w:sz w:val="20"/>
          <w:szCs w:val="20"/>
        </w:rPr>
      </w:pPr>
    </w:p>
    <w:p w:rsidR="00AA4C15" w:rsidRPr="00B90A7F" w:rsidRDefault="00AA4C15" w:rsidP="00AA4C15">
      <w:pPr>
        <w:rPr>
          <w:rFonts w:ascii="Verdana" w:hAnsi="Verdana"/>
          <w:sz w:val="20"/>
          <w:szCs w:val="20"/>
        </w:rPr>
      </w:pPr>
      <w:r w:rsidRPr="00B90A7F">
        <w:rPr>
          <w:rFonts w:ascii="Verdana" w:hAnsi="Verdana"/>
          <w:sz w:val="20"/>
          <w:szCs w:val="20"/>
        </w:rPr>
        <w:t xml:space="preserve">Gajic, A., Cameron, D., &amp; Hurley, J. (2012). The cost-effectiveness of cash versus lottery incentives for a web-based, stated-preference community survey. </w:t>
      </w:r>
      <w:r w:rsidRPr="00B90A7F">
        <w:rPr>
          <w:rFonts w:ascii="Verdana" w:hAnsi="Verdana"/>
          <w:i/>
          <w:iCs/>
          <w:sz w:val="20"/>
          <w:szCs w:val="20"/>
        </w:rPr>
        <w:t>The European Journal of Health Economics, 13</w:t>
      </w:r>
      <w:r w:rsidRPr="00B90A7F">
        <w:rPr>
          <w:rFonts w:ascii="Verdana" w:hAnsi="Verdana"/>
          <w:sz w:val="20"/>
          <w:szCs w:val="20"/>
        </w:rPr>
        <w:t xml:space="preserve">(6), 789-799. </w:t>
      </w:r>
    </w:p>
    <w:p w:rsidR="00AA4C15" w:rsidRPr="00B90A7F" w:rsidRDefault="00AA4C15" w:rsidP="00AA4C15">
      <w:pPr>
        <w:rPr>
          <w:rFonts w:ascii="Verdana" w:hAnsi="Verdana"/>
          <w:sz w:val="20"/>
          <w:szCs w:val="20"/>
        </w:rPr>
      </w:pPr>
    </w:p>
    <w:p w:rsidR="00AA4C15" w:rsidRPr="00B90A7F" w:rsidRDefault="00AA4C15" w:rsidP="00AA4C15">
      <w:pPr>
        <w:rPr>
          <w:rFonts w:ascii="Verdana" w:hAnsi="Verdana" w:cs="Arial"/>
          <w:color w:val="222222"/>
          <w:sz w:val="20"/>
          <w:szCs w:val="20"/>
          <w:shd w:val="clear" w:color="auto" w:fill="FFFFFF"/>
        </w:rPr>
      </w:pPr>
      <w:r w:rsidRPr="00B90A7F">
        <w:rPr>
          <w:rFonts w:ascii="Verdana" w:hAnsi="Verdana" w:cs="Arial"/>
          <w:color w:val="222222"/>
          <w:sz w:val="20"/>
          <w:szCs w:val="20"/>
          <w:shd w:val="clear" w:color="auto" w:fill="FFFFFF"/>
        </w:rPr>
        <w:t>Göritz, A. S. (2006). Incentives in web studies: Methodological issues and a review.</w:t>
      </w:r>
      <w:r w:rsidR="000E2181">
        <w:rPr>
          <w:rStyle w:val="apple-converted-space"/>
          <w:rFonts w:ascii="Verdana" w:hAnsi="Verdana" w:cs="Arial"/>
          <w:color w:val="222222"/>
          <w:sz w:val="20"/>
          <w:szCs w:val="20"/>
          <w:shd w:val="clear" w:color="auto" w:fill="FFFFFF"/>
        </w:rPr>
        <w:t xml:space="preserve"> </w:t>
      </w:r>
      <w:r w:rsidRPr="00B90A7F">
        <w:rPr>
          <w:rFonts w:ascii="Verdana" w:hAnsi="Verdana" w:cs="Arial"/>
          <w:i/>
          <w:iCs/>
          <w:color w:val="222222"/>
          <w:sz w:val="20"/>
          <w:szCs w:val="20"/>
          <w:shd w:val="clear" w:color="auto" w:fill="FFFFFF"/>
        </w:rPr>
        <w:t>International Journal of Internet Science</w:t>
      </w:r>
      <w:r w:rsidRPr="00B90A7F">
        <w:rPr>
          <w:rFonts w:ascii="Verdana" w:hAnsi="Verdana" w:cs="Arial"/>
          <w:color w:val="222222"/>
          <w:sz w:val="20"/>
          <w:szCs w:val="20"/>
          <w:shd w:val="clear" w:color="auto" w:fill="FFFFFF"/>
        </w:rPr>
        <w:t>,</w:t>
      </w:r>
      <w:r w:rsidR="000E2181">
        <w:rPr>
          <w:rStyle w:val="apple-converted-space"/>
          <w:rFonts w:ascii="Verdana" w:hAnsi="Verdana" w:cs="Arial"/>
          <w:color w:val="222222"/>
          <w:sz w:val="20"/>
          <w:szCs w:val="20"/>
          <w:shd w:val="clear" w:color="auto" w:fill="FFFFFF"/>
        </w:rPr>
        <w:t xml:space="preserve"> </w:t>
      </w:r>
      <w:r w:rsidRPr="00B90A7F">
        <w:rPr>
          <w:rFonts w:ascii="Verdana" w:hAnsi="Verdana" w:cs="Arial"/>
          <w:i/>
          <w:iCs/>
          <w:color w:val="222222"/>
          <w:sz w:val="20"/>
          <w:szCs w:val="20"/>
          <w:shd w:val="clear" w:color="auto" w:fill="FFFFFF"/>
        </w:rPr>
        <w:t>1</w:t>
      </w:r>
      <w:r w:rsidRPr="00B90A7F">
        <w:rPr>
          <w:rFonts w:ascii="Verdana" w:hAnsi="Verdana" w:cs="Arial"/>
          <w:color w:val="222222"/>
          <w:sz w:val="20"/>
          <w:szCs w:val="20"/>
          <w:shd w:val="clear" w:color="auto" w:fill="FFFFFF"/>
        </w:rPr>
        <w:t>(1), 58-70.</w:t>
      </w:r>
    </w:p>
    <w:p w:rsidR="00AA4C15" w:rsidRPr="00B90A7F" w:rsidRDefault="00AA4C15" w:rsidP="00AA4C15">
      <w:pPr>
        <w:rPr>
          <w:rFonts w:ascii="Verdana" w:hAnsi="Verdana" w:cs="Arial"/>
          <w:color w:val="222222"/>
          <w:sz w:val="20"/>
          <w:szCs w:val="20"/>
          <w:shd w:val="clear" w:color="auto" w:fill="FFFFFF"/>
        </w:rPr>
      </w:pPr>
    </w:p>
    <w:p w:rsidR="00115B76" w:rsidRPr="00B90A7F" w:rsidRDefault="00115B76" w:rsidP="00AA4C15">
      <w:pPr>
        <w:rPr>
          <w:rFonts w:ascii="Verdana" w:hAnsi="Verdana"/>
          <w:sz w:val="20"/>
          <w:szCs w:val="20"/>
        </w:rPr>
      </w:pPr>
      <w:r w:rsidRPr="00B90A7F">
        <w:rPr>
          <w:rFonts w:ascii="Verdana" w:hAnsi="Verdana"/>
          <w:sz w:val="20"/>
          <w:szCs w:val="20"/>
        </w:rPr>
        <w:t>Goldenberg, K. L., McGrath, D., &amp; Tan, L. (2009). The Effects of Incentives on the Consumer Expenditure Interview Survey. In Proceedings of the American Statistical Association Joint Statistical Meetings, Survey Research Methods Section (pp. 5985-5999).</w:t>
      </w:r>
    </w:p>
    <w:p w:rsidR="00115B76" w:rsidRPr="00B90A7F" w:rsidRDefault="00115B76" w:rsidP="00AA4C15">
      <w:pPr>
        <w:rPr>
          <w:rFonts w:ascii="Verdana" w:hAnsi="Verdana"/>
          <w:sz w:val="20"/>
          <w:szCs w:val="20"/>
        </w:rPr>
      </w:pPr>
    </w:p>
    <w:p w:rsidR="00AA4C15" w:rsidRPr="00B90A7F" w:rsidRDefault="00AA4C15" w:rsidP="00AA4C15">
      <w:pPr>
        <w:rPr>
          <w:rFonts w:ascii="Verdana" w:hAnsi="Verdana"/>
          <w:sz w:val="20"/>
          <w:szCs w:val="20"/>
        </w:rPr>
      </w:pPr>
      <w:r w:rsidRPr="00B90A7F">
        <w:rPr>
          <w:rFonts w:ascii="Verdana" w:hAnsi="Verdana"/>
          <w:sz w:val="20"/>
          <w:szCs w:val="20"/>
        </w:rPr>
        <w:t xml:space="preserve">Guillory, J., Johns, M., Farley, S., Ling, P. (2015).  Loose Cigarette Purchasing and Nondaily Smoking Among Young Adult Bar Patrons In New York City.  </w:t>
      </w:r>
      <w:r w:rsidR="001E0FE4">
        <w:rPr>
          <w:rFonts w:ascii="Verdana" w:hAnsi="Verdana"/>
          <w:i/>
          <w:sz w:val="20"/>
          <w:szCs w:val="20"/>
        </w:rPr>
        <w:t>American Journal of Public Health.</w:t>
      </w:r>
      <w:r w:rsidR="001E0FE4" w:rsidRPr="001E0FE4">
        <w:t xml:space="preserve"> </w:t>
      </w:r>
      <w:r w:rsidR="001E0FE4">
        <w:rPr>
          <w:rFonts w:ascii="Verdana" w:hAnsi="Verdana"/>
          <w:i/>
          <w:sz w:val="20"/>
          <w:szCs w:val="20"/>
        </w:rPr>
        <w:t>105</w:t>
      </w:r>
      <w:r w:rsidR="001E0FE4" w:rsidRPr="001E0FE4">
        <w:rPr>
          <w:rFonts w:ascii="Verdana" w:hAnsi="Verdana"/>
          <w:sz w:val="20"/>
          <w:szCs w:val="20"/>
        </w:rPr>
        <w:t>(8), e140-e147.</w:t>
      </w:r>
      <w:r w:rsidR="001E0FE4">
        <w:rPr>
          <w:rFonts w:ascii="Verdana" w:hAnsi="Verdana"/>
          <w:i/>
          <w:sz w:val="20"/>
          <w:szCs w:val="20"/>
        </w:rPr>
        <w:t xml:space="preserve"> </w:t>
      </w:r>
      <w:r w:rsidRPr="00B90A7F">
        <w:rPr>
          <w:rFonts w:ascii="Verdana" w:hAnsi="Verdana"/>
          <w:sz w:val="20"/>
          <w:szCs w:val="20"/>
        </w:rPr>
        <w:t xml:space="preserve">  </w:t>
      </w:r>
    </w:p>
    <w:p w:rsidR="00AA4C15" w:rsidRPr="00B90A7F" w:rsidRDefault="00AA4C15" w:rsidP="00AA4C15">
      <w:pPr>
        <w:rPr>
          <w:rFonts w:ascii="Verdana" w:hAnsi="Verdana"/>
          <w:sz w:val="20"/>
          <w:szCs w:val="20"/>
        </w:rPr>
      </w:pPr>
    </w:p>
    <w:p w:rsidR="00115B76" w:rsidRPr="00B90A7F" w:rsidRDefault="00115B76" w:rsidP="00AA4C15">
      <w:pPr>
        <w:rPr>
          <w:rFonts w:ascii="Verdana" w:hAnsi="Verdana"/>
          <w:sz w:val="20"/>
          <w:szCs w:val="20"/>
        </w:rPr>
      </w:pPr>
      <w:r w:rsidRPr="00B90A7F">
        <w:rPr>
          <w:rFonts w:ascii="Verdana" w:hAnsi="Verdana"/>
          <w:sz w:val="20"/>
          <w:szCs w:val="20"/>
        </w:rPr>
        <w:t>James, D. E. (1997). Environmental Incentives: Australian Experience with Economic Instruments for Environmental Management: Consultancy Report. Community Information Unit, Department of the Environment, Sport and Territories.</w:t>
      </w:r>
    </w:p>
    <w:p w:rsidR="00115B76" w:rsidRPr="00B90A7F" w:rsidRDefault="00115B76" w:rsidP="00AA4C15">
      <w:pPr>
        <w:rPr>
          <w:rFonts w:ascii="Verdana" w:hAnsi="Verdana"/>
          <w:sz w:val="20"/>
          <w:szCs w:val="20"/>
        </w:rPr>
      </w:pPr>
    </w:p>
    <w:p w:rsidR="002466B5" w:rsidRDefault="002466B5" w:rsidP="00AA4C15">
      <w:pPr>
        <w:rPr>
          <w:rFonts w:ascii="Verdana" w:hAnsi="Verdana" w:cs="Arial"/>
          <w:color w:val="222222"/>
          <w:sz w:val="20"/>
          <w:szCs w:val="20"/>
          <w:shd w:val="clear" w:color="auto" w:fill="FFFFFF"/>
        </w:rPr>
      </w:pPr>
      <w:r w:rsidRPr="00B90A7F">
        <w:rPr>
          <w:rFonts w:ascii="Verdana" w:hAnsi="Verdana" w:cs="Arial"/>
          <w:color w:val="222222"/>
          <w:sz w:val="20"/>
          <w:szCs w:val="20"/>
          <w:shd w:val="clear" w:color="auto" w:fill="FFFFFF"/>
        </w:rPr>
        <w:t>Jäckle, A., &amp; Lynn, P. (2007).</w:t>
      </w:r>
      <w:r w:rsidR="000E2181">
        <w:rPr>
          <w:rStyle w:val="apple-converted-space"/>
          <w:rFonts w:ascii="Verdana" w:hAnsi="Verdana" w:cs="Arial"/>
          <w:color w:val="222222"/>
          <w:sz w:val="20"/>
          <w:szCs w:val="20"/>
          <w:shd w:val="clear" w:color="auto" w:fill="FFFFFF"/>
        </w:rPr>
        <w:t xml:space="preserve"> </w:t>
      </w:r>
      <w:r w:rsidRPr="00B90A7F">
        <w:rPr>
          <w:rFonts w:ascii="Verdana" w:hAnsi="Verdana" w:cs="Arial"/>
          <w:i/>
          <w:iCs/>
          <w:color w:val="222222"/>
          <w:sz w:val="20"/>
          <w:szCs w:val="20"/>
          <w:shd w:val="clear" w:color="auto" w:fill="FFFFFF"/>
        </w:rPr>
        <w:t>Respondent incentives in a multi-mode panel survey: cumulative effects on nonresponse and bias</w:t>
      </w:r>
      <w:r w:rsidRPr="00B90A7F">
        <w:rPr>
          <w:rFonts w:ascii="Verdana" w:hAnsi="Verdana" w:cs="Arial"/>
          <w:color w:val="222222"/>
          <w:sz w:val="20"/>
          <w:szCs w:val="20"/>
          <w:shd w:val="clear" w:color="auto" w:fill="FFFFFF"/>
        </w:rPr>
        <w:t>. Institute for Social and Economic Research.</w:t>
      </w:r>
    </w:p>
    <w:p w:rsidR="00CA03C3" w:rsidRDefault="00CA03C3" w:rsidP="00AA4C15">
      <w:pPr>
        <w:rPr>
          <w:rFonts w:ascii="Verdana" w:hAnsi="Verdana" w:cs="Arial"/>
          <w:color w:val="222222"/>
          <w:sz w:val="20"/>
          <w:szCs w:val="20"/>
          <w:shd w:val="clear" w:color="auto" w:fill="FFFFFF"/>
        </w:rPr>
      </w:pPr>
    </w:p>
    <w:p w:rsidR="00CA03C3" w:rsidRPr="00427B4B" w:rsidRDefault="00CA03C3" w:rsidP="00AA4C15">
      <w:pPr>
        <w:rPr>
          <w:rFonts w:ascii="Verdana" w:hAnsi="Verdana"/>
          <w:sz w:val="20"/>
          <w:szCs w:val="20"/>
        </w:rPr>
      </w:pPr>
      <w:r w:rsidRPr="00520242">
        <w:rPr>
          <w:rFonts w:ascii="Verdana" w:hAnsi="Verdana"/>
          <w:sz w:val="20"/>
          <w:szCs w:val="20"/>
        </w:rPr>
        <w:t xml:space="preserve">Jones, K.T., Gray, P., Whiteside, Y.O., Wang, T., Bost, D., Dunbar, E., Foust, E., Johnson, W.D. (2008). Evaluation of an HIV prevention intervention adapted for black men who have sex with men. </w:t>
      </w:r>
      <w:r w:rsidRPr="00520242">
        <w:rPr>
          <w:rFonts w:ascii="Verdana" w:hAnsi="Verdana"/>
          <w:i/>
          <w:sz w:val="20"/>
          <w:szCs w:val="20"/>
        </w:rPr>
        <w:t>American Journal of Public Health, 98</w:t>
      </w:r>
      <w:r w:rsidRPr="00520242">
        <w:rPr>
          <w:rFonts w:ascii="Verdana" w:hAnsi="Verdana"/>
          <w:sz w:val="20"/>
          <w:szCs w:val="20"/>
        </w:rPr>
        <w:t>(6), 1043-1050.</w:t>
      </w:r>
    </w:p>
    <w:p w:rsidR="002466B5" w:rsidRPr="00B90A7F" w:rsidRDefault="002466B5" w:rsidP="00AA4C15">
      <w:pPr>
        <w:rPr>
          <w:rFonts w:ascii="Verdana" w:hAnsi="Verdana" w:cs="Arial"/>
          <w:color w:val="222222"/>
          <w:sz w:val="20"/>
          <w:szCs w:val="20"/>
          <w:shd w:val="clear" w:color="auto" w:fill="FFFFFF"/>
        </w:rPr>
      </w:pPr>
    </w:p>
    <w:p w:rsidR="00115B76" w:rsidRPr="00B90A7F" w:rsidRDefault="00115B76" w:rsidP="00AA4C15">
      <w:pPr>
        <w:rPr>
          <w:rFonts w:ascii="Verdana" w:hAnsi="Verdana"/>
          <w:sz w:val="20"/>
          <w:szCs w:val="20"/>
        </w:rPr>
      </w:pPr>
      <w:r w:rsidRPr="00B90A7F">
        <w:rPr>
          <w:rFonts w:ascii="Verdana" w:hAnsi="Verdana"/>
          <w:sz w:val="20"/>
          <w:szCs w:val="20"/>
        </w:rPr>
        <w:t>Kennet, J., Gfroerer, J., Bowman, K. R., Martin, P. C., &amp; Cunningham, D. B. (2005). Introduction of an incentive and its effects on response rates and costs in NSDUH. In Kennet, J., &amp; Gfroerer, J. (Eds.), Evaluating and improving methods used in the National Survey on Drug Abuse (DHHS Publication No. SMA 05-4044, Methodology Series M-5). Rockville MD: Substance Abuse and Mental Health Services Administration, Office of Applied Studies</w:t>
      </w:r>
      <w:r w:rsidR="00427B4B">
        <w:rPr>
          <w:rFonts w:ascii="Verdana" w:hAnsi="Verdana"/>
          <w:sz w:val="20"/>
          <w:szCs w:val="20"/>
        </w:rPr>
        <w:t>.</w:t>
      </w:r>
    </w:p>
    <w:p w:rsidR="00115B76" w:rsidRPr="00B90A7F" w:rsidRDefault="00115B76" w:rsidP="00AA4C15">
      <w:pPr>
        <w:rPr>
          <w:rFonts w:ascii="Verdana" w:hAnsi="Verdana"/>
          <w:sz w:val="20"/>
          <w:szCs w:val="20"/>
        </w:rPr>
      </w:pPr>
    </w:p>
    <w:p w:rsidR="00AA4C15" w:rsidRPr="00B90A7F" w:rsidRDefault="00AA4C15" w:rsidP="00AA4C15">
      <w:pPr>
        <w:rPr>
          <w:rFonts w:ascii="Verdana" w:hAnsi="Verdana"/>
          <w:sz w:val="20"/>
          <w:szCs w:val="20"/>
        </w:rPr>
      </w:pPr>
      <w:r w:rsidRPr="00B90A7F">
        <w:rPr>
          <w:rFonts w:ascii="Verdana" w:hAnsi="Verdana"/>
          <w:sz w:val="20"/>
          <w:szCs w:val="20"/>
        </w:rPr>
        <w:t xml:space="preserve">Kulka, R. A., Eyerman, J., &amp; McNeeley, M. E. (2005). The use of monetary incentives in federal surveys on substance use and abuse. </w:t>
      </w:r>
      <w:r w:rsidRPr="00B90A7F">
        <w:rPr>
          <w:rFonts w:ascii="Verdana" w:hAnsi="Verdana"/>
          <w:i/>
          <w:iCs/>
          <w:sz w:val="20"/>
          <w:szCs w:val="20"/>
        </w:rPr>
        <w:t>Journal of Economic &amp; Social Measurement, 30</w:t>
      </w:r>
      <w:r w:rsidRPr="00B90A7F">
        <w:rPr>
          <w:rFonts w:ascii="Verdana" w:hAnsi="Verdana"/>
          <w:sz w:val="20"/>
          <w:szCs w:val="20"/>
        </w:rPr>
        <w:t>(2/3), 233-249.</w:t>
      </w:r>
    </w:p>
    <w:p w:rsidR="00AA4C15" w:rsidRPr="00B90A7F" w:rsidRDefault="00AA4C15" w:rsidP="00AA4C15">
      <w:pPr>
        <w:rPr>
          <w:rFonts w:ascii="Verdana" w:hAnsi="Verdana"/>
          <w:sz w:val="20"/>
          <w:szCs w:val="20"/>
        </w:rPr>
      </w:pPr>
    </w:p>
    <w:p w:rsidR="00AA4C15" w:rsidRPr="00B90A7F" w:rsidRDefault="00AA4C15" w:rsidP="00AA4C15">
      <w:pPr>
        <w:rPr>
          <w:rFonts w:ascii="Verdana" w:hAnsi="Verdana"/>
          <w:sz w:val="20"/>
          <w:szCs w:val="20"/>
        </w:rPr>
      </w:pPr>
      <w:r w:rsidRPr="00B90A7F">
        <w:rPr>
          <w:rFonts w:ascii="Verdana" w:hAnsi="Verdana"/>
          <w:sz w:val="20"/>
          <w:szCs w:val="20"/>
        </w:rPr>
        <w:t>LeClere, F., S. Plumme, J. Vanicek,</w:t>
      </w:r>
      <w:r w:rsidR="00833B5B">
        <w:rPr>
          <w:rFonts w:ascii="Verdana" w:hAnsi="Verdana"/>
          <w:sz w:val="20"/>
          <w:szCs w:val="20"/>
        </w:rPr>
        <w:t xml:space="preserve"> A. Amaya, and K. Carris. (2012)</w:t>
      </w:r>
      <w:r w:rsidRPr="00B90A7F">
        <w:rPr>
          <w:rFonts w:ascii="Verdana" w:hAnsi="Verdana"/>
          <w:sz w:val="20"/>
          <w:szCs w:val="20"/>
        </w:rPr>
        <w:t xml:space="preserve">. Household early bird incentives: leveraging family influence to improve household response rates. </w:t>
      </w:r>
      <w:r w:rsidRPr="00B90A7F">
        <w:rPr>
          <w:rFonts w:ascii="Verdana" w:hAnsi="Verdana"/>
          <w:i/>
          <w:sz w:val="20"/>
          <w:szCs w:val="20"/>
        </w:rPr>
        <w:t>American Statistical Association Joint Statistical Meetings, Section on Survey Research.</w:t>
      </w:r>
    </w:p>
    <w:p w:rsidR="006370CC" w:rsidRDefault="006370CC" w:rsidP="00AA4C15">
      <w:pPr>
        <w:rPr>
          <w:rFonts w:ascii="Verdana" w:hAnsi="Verdana"/>
          <w:sz w:val="20"/>
          <w:szCs w:val="20"/>
        </w:rPr>
      </w:pPr>
    </w:p>
    <w:p w:rsidR="00AA4C15" w:rsidRPr="00B90A7F" w:rsidRDefault="00AA4C15" w:rsidP="00AA4C15">
      <w:pPr>
        <w:rPr>
          <w:rFonts w:ascii="Verdana" w:hAnsi="Verdana"/>
          <w:sz w:val="20"/>
          <w:szCs w:val="20"/>
        </w:rPr>
      </w:pPr>
      <w:r w:rsidRPr="00B90A7F">
        <w:rPr>
          <w:rFonts w:ascii="Verdana" w:hAnsi="Verdana"/>
          <w:sz w:val="20"/>
          <w:szCs w:val="20"/>
        </w:rPr>
        <w:t xml:space="preserve">Miller, B., Byrnes, H., Branner, A., Johnson, M., Voas, R. (2003).  Group Influences on Individuals’ Drinking and Other Drug Use at Clubs.  </w:t>
      </w:r>
      <w:r w:rsidRPr="00B90A7F">
        <w:rPr>
          <w:rFonts w:ascii="Verdana" w:hAnsi="Verdana"/>
          <w:i/>
          <w:sz w:val="20"/>
          <w:szCs w:val="20"/>
        </w:rPr>
        <w:t>Journal of Study of Alcohol and Drugs</w:t>
      </w:r>
      <w:r w:rsidRPr="00B90A7F">
        <w:rPr>
          <w:rFonts w:ascii="Verdana" w:hAnsi="Verdana"/>
          <w:sz w:val="20"/>
          <w:szCs w:val="20"/>
        </w:rPr>
        <w:t xml:space="preserve">, </w:t>
      </w:r>
      <w:r w:rsidRPr="00DC1E8B">
        <w:rPr>
          <w:rFonts w:ascii="Verdana" w:hAnsi="Verdana"/>
          <w:i/>
          <w:sz w:val="20"/>
          <w:szCs w:val="20"/>
        </w:rPr>
        <w:t>74</w:t>
      </w:r>
      <w:r w:rsidRPr="00B90A7F">
        <w:rPr>
          <w:rFonts w:ascii="Verdana" w:hAnsi="Verdana"/>
          <w:sz w:val="20"/>
          <w:szCs w:val="20"/>
        </w:rPr>
        <w:t>(2),280-287.</w:t>
      </w:r>
    </w:p>
    <w:p w:rsidR="00AA4C15" w:rsidRPr="00B90A7F" w:rsidRDefault="00AA4C15" w:rsidP="00AA4C15">
      <w:pPr>
        <w:rPr>
          <w:rFonts w:ascii="Verdana" w:hAnsi="Verdana"/>
          <w:sz w:val="20"/>
          <w:szCs w:val="20"/>
        </w:rPr>
      </w:pPr>
    </w:p>
    <w:p w:rsidR="00CD50FC" w:rsidRPr="00B90A7F" w:rsidRDefault="00CD50FC" w:rsidP="00CD50FC">
      <w:pPr>
        <w:rPr>
          <w:rFonts w:ascii="Verdana" w:hAnsi="Verdana" w:cs="Arial"/>
          <w:color w:val="222222"/>
          <w:sz w:val="20"/>
          <w:szCs w:val="20"/>
          <w:shd w:val="clear" w:color="auto" w:fill="FFFFFF"/>
        </w:rPr>
      </w:pPr>
      <w:r w:rsidRPr="00B90A7F">
        <w:rPr>
          <w:rFonts w:ascii="Verdana" w:hAnsi="Verdana" w:cs="Arial"/>
          <w:color w:val="222222"/>
          <w:sz w:val="20"/>
          <w:szCs w:val="20"/>
          <w:shd w:val="clear" w:color="auto" w:fill="FFFFFF"/>
        </w:rPr>
        <w:t>Markesich, J., &amp; Kovac, M. (2003). The Effects of Differential Incentives on Completion Rates: A Telephone Survey Experiment with Low-Income Respondents. In</w:t>
      </w:r>
      <w:r w:rsidR="000E2181">
        <w:rPr>
          <w:rStyle w:val="apple-converted-space"/>
          <w:rFonts w:ascii="Verdana" w:hAnsi="Verdana" w:cs="Arial"/>
          <w:color w:val="222222"/>
          <w:sz w:val="20"/>
          <w:szCs w:val="20"/>
          <w:shd w:val="clear" w:color="auto" w:fill="FFFFFF"/>
        </w:rPr>
        <w:t xml:space="preserve"> </w:t>
      </w:r>
      <w:r w:rsidRPr="00B90A7F">
        <w:rPr>
          <w:rFonts w:ascii="Verdana" w:hAnsi="Verdana" w:cs="Arial"/>
          <w:i/>
          <w:iCs/>
          <w:color w:val="222222"/>
          <w:sz w:val="20"/>
          <w:szCs w:val="20"/>
          <w:shd w:val="clear" w:color="auto" w:fill="FFFFFF"/>
        </w:rPr>
        <w:t>58th annual conference of the American Association for Public Opinion Research, Nashville, TN</w:t>
      </w:r>
      <w:r w:rsidRPr="00B90A7F">
        <w:rPr>
          <w:rFonts w:ascii="Verdana" w:hAnsi="Verdana" w:cs="Arial"/>
          <w:color w:val="222222"/>
          <w:sz w:val="20"/>
          <w:szCs w:val="20"/>
          <w:shd w:val="clear" w:color="auto" w:fill="FFFFFF"/>
        </w:rPr>
        <w:t>.</w:t>
      </w:r>
    </w:p>
    <w:p w:rsidR="00CD50FC" w:rsidRPr="00B90A7F" w:rsidRDefault="00CD50FC" w:rsidP="00AA4C15">
      <w:pPr>
        <w:rPr>
          <w:rFonts w:ascii="Verdana" w:hAnsi="Verdana"/>
          <w:sz w:val="20"/>
          <w:szCs w:val="20"/>
        </w:rPr>
      </w:pPr>
    </w:p>
    <w:p w:rsidR="00115B76" w:rsidRDefault="00115B76" w:rsidP="00AA4C15">
      <w:pPr>
        <w:rPr>
          <w:rFonts w:ascii="Verdana" w:hAnsi="Verdana"/>
          <w:sz w:val="20"/>
          <w:szCs w:val="20"/>
        </w:rPr>
      </w:pPr>
      <w:r w:rsidRPr="00B90A7F">
        <w:rPr>
          <w:rFonts w:ascii="Verdana" w:hAnsi="Verdana"/>
          <w:sz w:val="20"/>
          <w:szCs w:val="20"/>
        </w:rPr>
        <w:t>McGrath, D. E. (2006, August). An incentives experiment in the US consumer expenditure quarterly survey. In JSM proceedings.</w:t>
      </w:r>
    </w:p>
    <w:p w:rsidR="00CA03C3" w:rsidRDefault="00CA03C3" w:rsidP="00AA4C15">
      <w:pPr>
        <w:rPr>
          <w:rFonts w:ascii="Verdana" w:hAnsi="Verdana"/>
          <w:sz w:val="20"/>
          <w:szCs w:val="20"/>
        </w:rPr>
      </w:pPr>
    </w:p>
    <w:p w:rsidR="00CA03C3" w:rsidRDefault="00CA03C3" w:rsidP="00AA4C15">
      <w:pPr>
        <w:rPr>
          <w:rFonts w:ascii="Verdana" w:hAnsi="Verdana"/>
          <w:sz w:val="20"/>
          <w:szCs w:val="20"/>
        </w:rPr>
      </w:pPr>
      <w:r w:rsidRPr="00520242">
        <w:rPr>
          <w:rFonts w:ascii="Verdana" w:hAnsi="Verdana"/>
          <w:sz w:val="20"/>
          <w:szCs w:val="20"/>
        </w:rPr>
        <w:t xml:space="preserve">Meyer, I.H., Wilson, P.A. (2009). Sampling lesbian, gay, and bisexual populations. </w:t>
      </w:r>
      <w:r w:rsidRPr="00520242">
        <w:rPr>
          <w:rFonts w:ascii="Verdana" w:hAnsi="Verdana"/>
          <w:i/>
          <w:sz w:val="20"/>
          <w:szCs w:val="20"/>
        </w:rPr>
        <w:t>Journal of Counseling Psychology, 56</w:t>
      </w:r>
      <w:r w:rsidRPr="00520242">
        <w:rPr>
          <w:rFonts w:ascii="Verdana" w:hAnsi="Verdana"/>
          <w:sz w:val="20"/>
          <w:szCs w:val="20"/>
        </w:rPr>
        <w:t>(1), 23-31.</w:t>
      </w:r>
    </w:p>
    <w:p w:rsidR="00E15267" w:rsidRDefault="00E15267" w:rsidP="00AA4C15">
      <w:pPr>
        <w:rPr>
          <w:rFonts w:ascii="Verdana" w:hAnsi="Verdana"/>
          <w:sz w:val="20"/>
          <w:szCs w:val="20"/>
        </w:rPr>
      </w:pPr>
    </w:p>
    <w:p w:rsidR="00E15267" w:rsidRPr="004875C4" w:rsidRDefault="00E15267" w:rsidP="00AA4C15">
      <w:pPr>
        <w:rPr>
          <w:rFonts w:ascii="Verdana" w:hAnsi="Verdana"/>
          <w:sz w:val="20"/>
          <w:szCs w:val="20"/>
        </w:rPr>
      </w:pPr>
      <w:r>
        <w:rPr>
          <w:rFonts w:ascii="Verdana" w:hAnsi="Verdana"/>
          <w:sz w:val="20"/>
          <w:szCs w:val="20"/>
        </w:rPr>
        <w:t>Remafedi</w:t>
      </w:r>
      <w:r w:rsidR="004875C4">
        <w:rPr>
          <w:rFonts w:ascii="Verdana" w:hAnsi="Verdana"/>
          <w:sz w:val="20"/>
          <w:szCs w:val="20"/>
        </w:rPr>
        <w:t xml:space="preserve">, G. </w:t>
      </w:r>
      <w:r w:rsidR="00BB26E6">
        <w:rPr>
          <w:rFonts w:ascii="Verdana" w:hAnsi="Verdana"/>
          <w:sz w:val="20"/>
          <w:szCs w:val="20"/>
        </w:rPr>
        <w:t>&amp;</w:t>
      </w:r>
      <w:r>
        <w:rPr>
          <w:rFonts w:ascii="Verdana" w:hAnsi="Verdana"/>
          <w:sz w:val="20"/>
          <w:szCs w:val="20"/>
        </w:rPr>
        <w:t xml:space="preserve"> Carol, H.</w:t>
      </w:r>
      <w:r w:rsidR="004875C4">
        <w:rPr>
          <w:rFonts w:ascii="Verdana" w:hAnsi="Verdana"/>
          <w:sz w:val="20"/>
          <w:szCs w:val="20"/>
        </w:rPr>
        <w:t xml:space="preserve"> (2005). Preventing tobacco use among Lesbian, Gay, Bisexual, and Transgender Youths. </w:t>
      </w:r>
      <w:r w:rsidR="004875C4">
        <w:rPr>
          <w:rFonts w:ascii="Verdana" w:hAnsi="Verdana"/>
          <w:i/>
          <w:sz w:val="20"/>
          <w:szCs w:val="20"/>
        </w:rPr>
        <w:t>Nicotine &amp; Tobacco Research, 7</w:t>
      </w:r>
      <w:r w:rsidR="004875C4">
        <w:rPr>
          <w:rFonts w:ascii="Verdana" w:hAnsi="Verdana"/>
          <w:sz w:val="20"/>
          <w:szCs w:val="20"/>
        </w:rPr>
        <w:t xml:space="preserve">(2), 249-256. </w:t>
      </w:r>
    </w:p>
    <w:p w:rsidR="00196AA4" w:rsidRDefault="00196AA4" w:rsidP="00AA4C15">
      <w:pPr>
        <w:rPr>
          <w:rFonts w:ascii="Verdana" w:hAnsi="Verdana"/>
          <w:sz w:val="20"/>
          <w:szCs w:val="20"/>
        </w:rPr>
      </w:pPr>
    </w:p>
    <w:p w:rsidR="00196AA4" w:rsidRDefault="00196AA4" w:rsidP="00196AA4">
      <w:pPr>
        <w:rPr>
          <w:rFonts w:ascii="Verdana" w:hAnsi="Verdana"/>
          <w:color w:val="000000"/>
          <w:sz w:val="20"/>
          <w:szCs w:val="20"/>
          <w:shd w:val="clear" w:color="auto" w:fill="FFFFFF"/>
        </w:rPr>
      </w:pPr>
      <w:r w:rsidRPr="00196AA4">
        <w:rPr>
          <w:rFonts w:ascii="Verdana" w:hAnsi="Verdana"/>
          <w:color w:val="000000"/>
          <w:sz w:val="20"/>
          <w:szCs w:val="20"/>
          <w:shd w:val="clear" w:color="auto" w:fill="FFFFFF"/>
        </w:rPr>
        <w:t>Schaller, B. (2005). On-Board and Intercept Transit Survey Techniques. Transit Cooperative Research Program (TCRP) Synthesis 63, published by Transportation Research Board, Washington.</w:t>
      </w:r>
    </w:p>
    <w:p w:rsidR="00CA03C3" w:rsidRDefault="00CA03C3" w:rsidP="00196AA4">
      <w:pPr>
        <w:rPr>
          <w:rFonts w:ascii="Verdana" w:hAnsi="Verdana"/>
          <w:color w:val="000000"/>
          <w:sz w:val="20"/>
          <w:szCs w:val="20"/>
          <w:shd w:val="clear" w:color="auto" w:fill="FFFFFF"/>
        </w:rPr>
      </w:pPr>
    </w:p>
    <w:p w:rsidR="00CA03C3" w:rsidRPr="00520242" w:rsidRDefault="00CA03C3" w:rsidP="00CA03C3">
      <w:pPr>
        <w:rPr>
          <w:rFonts w:ascii="Verdana" w:hAnsi="Verdana"/>
          <w:sz w:val="20"/>
          <w:szCs w:val="20"/>
        </w:rPr>
      </w:pPr>
      <w:r w:rsidRPr="00520242">
        <w:rPr>
          <w:rFonts w:ascii="Verdana" w:hAnsi="Verdana"/>
          <w:sz w:val="20"/>
          <w:szCs w:val="20"/>
        </w:rPr>
        <w:t>Silvestre, A.J., Hylton, J.B., Johnson, L.M., Houston, C., Witt</w:t>
      </w:r>
      <w:r>
        <w:rPr>
          <w:rFonts w:ascii="Verdana" w:hAnsi="Verdana"/>
          <w:sz w:val="20"/>
          <w:szCs w:val="20"/>
        </w:rPr>
        <w:t xml:space="preserve">, M., Jacobson, L., Ostrow, D. </w:t>
      </w:r>
      <w:r w:rsidRPr="00520242">
        <w:rPr>
          <w:rFonts w:ascii="Verdana" w:hAnsi="Verdana"/>
          <w:sz w:val="20"/>
          <w:szCs w:val="20"/>
        </w:rPr>
        <w:t xml:space="preserve">(2006). Recruiting minority men who have sex with men </w:t>
      </w:r>
      <w:r>
        <w:rPr>
          <w:rFonts w:ascii="Verdana" w:hAnsi="Verdana"/>
          <w:sz w:val="20"/>
          <w:szCs w:val="20"/>
        </w:rPr>
        <w:t xml:space="preserve">for HIV research: Results from </w:t>
      </w:r>
      <w:r w:rsidRPr="00520242">
        <w:rPr>
          <w:rFonts w:ascii="Verdana" w:hAnsi="Verdana"/>
          <w:sz w:val="20"/>
          <w:szCs w:val="20"/>
        </w:rPr>
        <w:t xml:space="preserve">a 4-city campaign. </w:t>
      </w:r>
      <w:r w:rsidRPr="00520242">
        <w:rPr>
          <w:rFonts w:ascii="Verdana" w:hAnsi="Verdana"/>
          <w:i/>
          <w:sz w:val="20"/>
          <w:szCs w:val="20"/>
        </w:rPr>
        <w:t>American Journal of Public Health, 96</w:t>
      </w:r>
      <w:r w:rsidRPr="00520242">
        <w:rPr>
          <w:rFonts w:ascii="Verdana" w:hAnsi="Verdana"/>
          <w:sz w:val="20"/>
          <w:szCs w:val="20"/>
        </w:rPr>
        <w:t>(6), 1020-1027.</w:t>
      </w:r>
    </w:p>
    <w:p w:rsidR="00115B76" w:rsidRPr="00B90A7F" w:rsidRDefault="00115B76" w:rsidP="00AA4C15">
      <w:pPr>
        <w:rPr>
          <w:rFonts w:ascii="Verdana" w:hAnsi="Verdana"/>
          <w:sz w:val="20"/>
          <w:szCs w:val="20"/>
        </w:rPr>
      </w:pPr>
    </w:p>
    <w:p w:rsidR="00115B76" w:rsidRPr="00B90A7F" w:rsidRDefault="00115B76" w:rsidP="00AA4C15">
      <w:pPr>
        <w:rPr>
          <w:rFonts w:ascii="Verdana" w:hAnsi="Verdana"/>
          <w:sz w:val="20"/>
          <w:szCs w:val="20"/>
        </w:rPr>
      </w:pPr>
      <w:r w:rsidRPr="00B90A7F">
        <w:rPr>
          <w:rFonts w:ascii="Verdana" w:hAnsi="Verdana"/>
          <w:sz w:val="20"/>
          <w:szCs w:val="20"/>
        </w:rPr>
        <w:t xml:space="preserve">Singer, E., Groves, R. M., &amp; Corning, A. D. (1999). Differential incentives: Beliefs about practices, perceptions of equity, and effects on survey participation. </w:t>
      </w:r>
      <w:r w:rsidRPr="00DC1E8B">
        <w:rPr>
          <w:rFonts w:ascii="Verdana" w:hAnsi="Verdana"/>
          <w:i/>
          <w:sz w:val="20"/>
          <w:szCs w:val="20"/>
        </w:rPr>
        <w:t>Public Opinion Quarterly,</w:t>
      </w:r>
      <w:r w:rsidRPr="00B90A7F">
        <w:rPr>
          <w:rFonts w:ascii="Verdana" w:hAnsi="Verdana"/>
          <w:sz w:val="20"/>
          <w:szCs w:val="20"/>
        </w:rPr>
        <w:t xml:space="preserve"> 251-260.</w:t>
      </w:r>
    </w:p>
    <w:p w:rsidR="00115B76" w:rsidRPr="00B90A7F" w:rsidRDefault="00115B76" w:rsidP="00AA4C15">
      <w:pPr>
        <w:rPr>
          <w:rFonts w:ascii="Verdana" w:hAnsi="Verdana"/>
          <w:sz w:val="20"/>
          <w:szCs w:val="20"/>
        </w:rPr>
      </w:pPr>
    </w:p>
    <w:p w:rsidR="00115B76" w:rsidRPr="00B90A7F" w:rsidRDefault="00115B76" w:rsidP="00AA4C15">
      <w:pPr>
        <w:rPr>
          <w:rFonts w:ascii="Verdana" w:hAnsi="Verdana"/>
          <w:sz w:val="20"/>
          <w:szCs w:val="20"/>
        </w:rPr>
      </w:pPr>
      <w:r w:rsidRPr="00B90A7F">
        <w:rPr>
          <w:rFonts w:ascii="Verdana" w:hAnsi="Verdana"/>
          <w:sz w:val="20"/>
          <w:szCs w:val="20"/>
        </w:rPr>
        <w:t>Singer, E., &amp; Kulka, R. A. (2002). Paying respondents for survey participation. Studies of welfare populations: Data collection and research issues, 105-128.</w:t>
      </w:r>
    </w:p>
    <w:p w:rsidR="00115B76" w:rsidRPr="00B90A7F" w:rsidRDefault="00115B76" w:rsidP="00AA4C15">
      <w:pPr>
        <w:rPr>
          <w:rFonts w:ascii="Verdana" w:hAnsi="Verdana"/>
          <w:sz w:val="20"/>
          <w:szCs w:val="20"/>
        </w:rPr>
      </w:pPr>
    </w:p>
    <w:p w:rsidR="00AA4C15" w:rsidRPr="00B90A7F" w:rsidRDefault="00AA4C15" w:rsidP="00AA4C15">
      <w:pPr>
        <w:rPr>
          <w:rFonts w:ascii="Verdana" w:hAnsi="Verdana"/>
          <w:sz w:val="20"/>
          <w:szCs w:val="20"/>
        </w:rPr>
      </w:pPr>
      <w:r w:rsidRPr="00B90A7F">
        <w:rPr>
          <w:rFonts w:ascii="Verdana" w:hAnsi="Verdana"/>
          <w:sz w:val="20"/>
          <w:szCs w:val="20"/>
        </w:rPr>
        <w:t xml:space="preserve">Singer, E., &amp; Ye, C. (2013). The Use and Effects of Incentives in Surveys. </w:t>
      </w:r>
      <w:r w:rsidRPr="00B90A7F">
        <w:rPr>
          <w:rFonts w:ascii="Verdana" w:hAnsi="Verdana"/>
          <w:i/>
          <w:iCs/>
          <w:sz w:val="20"/>
          <w:szCs w:val="20"/>
        </w:rPr>
        <w:t>The ANNALS of the American Academy of Political and Social Science, 645</w:t>
      </w:r>
      <w:r w:rsidRPr="00B90A7F">
        <w:rPr>
          <w:rFonts w:ascii="Verdana" w:hAnsi="Verdana"/>
          <w:sz w:val="20"/>
          <w:szCs w:val="20"/>
        </w:rPr>
        <w:t xml:space="preserve">(1), 112-141. </w:t>
      </w:r>
    </w:p>
    <w:p w:rsidR="008C7F5F" w:rsidRPr="00B90A7F" w:rsidRDefault="008C7F5F" w:rsidP="00AA4C15">
      <w:pPr>
        <w:rPr>
          <w:rFonts w:ascii="Verdana" w:hAnsi="Verdana"/>
          <w:sz w:val="20"/>
          <w:szCs w:val="20"/>
        </w:rPr>
      </w:pPr>
    </w:p>
    <w:p w:rsidR="002466B5" w:rsidRPr="00B90A7F" w:rsidRDefault="002466B5" w:rsidP="00AA4C15">
      <w:pPr>
        <w:rPr>
          <w:rFonts w:ascii="Verdana" w:hAnsi="Verdana"/>
          <w:sz w:val="20"/>
          <w:szCs w:val="20"/>
        </w:rPr>
      </w:pPr>
      <w:r w:rsidRPr="00B90A7F">
        <w:rPr>
          <w:rFonts w:ascii="Verdana" w:hAnsi="Verdana"/>
          <w:sz w:val="20"/>
          <w:szCs w:val="20"/>
        </w:rPr>
        <w:t xml:space="preserve">Trussell, N., &amp; Lavrakas, P. J. (2004). The influence of incremental increases in token cash incentives on mail survey response is there an optimal amount?. </w:t>
      </w:r>
      <w:r w:rsidRPr="00DC1E8B">
        <w:rPr>
          <w:rFonts w:ascii="Verdana" w:hAnsi="Verdana"/>
          <w:i/>
          <w:sz w:val="20"/>
          <w:szCs w:val="20"/>
        </w:rPr>
        <w:t>Public Opinion Quarterly, 68</w:t>
      </w:r>
      <w:r w:rsidRPr="00B90A7F">
        <w:rPr>
          <w:rFonts w:ascii="Verdana" w:hAnsi="Verdana"/>
          <w:sz w:val="20"/>
          <w:szCs w:val="20"/>
        </w:rPr>
        <w:t>(3), 349-367.</w:t>
      </w:r>
    </w:p>
    <w:p w:rsidR="002466B5" w:rsidRPr="00B90A7F" w:rsidRDefault="002466B5" w:rsidP="00AA4C15">
      <w:pPr>
        <w:rPr>
          <w:rFonts w:ascii="Verdana" w:hAnsi="Verdana"/>
          <w:sz w:val="20"/>
          <w:szCs w:val="20"/>
        </w:rPr>
      </w:pPr>
    </w:p>
    <w:p w:rsidR="00AA4C15" w:rsidRPr="00B90A7F" w:rsidRDefault="00AA4C15" w:rsidP="00AA4C15">
      <w:pPr>
        <w:rPr>
          <w:rFonts w:ascii="Verdana" w:hAnsi="Verdana"/>
          <w:sz w:val="20"/>
          <w:szCs w:val="20"/>
        </w:rPr>
      </w:pPr>
      <w:r w:rsidRPr="00B90A7F">
        <w:rPr>
          <w:rFonts w:ascii="Verdana" w:hAnsi="Verdana"/>
          <w:sz w:val="20"/>
          <w:szCs w:val="20"/>
        </w:rPr>
        <w:t xml:space="preserve">Voas, R., Johnson, M., Miller, B. (2013). Alcohol and drug use among young adults driving to a drinking location.  </w:t>
      </w:r>
      <w:r w:rsidRPr="00B90A7F">
        <w:rPr>
          <w:rFonts w:ascii="Verdana" w:hAnsi="Verdana"/>
          <w:i/>
          <w:sz w:val="20"/>
          <w:szCs w:val="20"/>
        </w:rPr>
        <w:t>Drug and Alcohol Dependence</w:t>
      </w:r>
      <w:r w:rsidR="00A90371">
        <w:rPr>
          <w:rFonts w:ascii="Verdana" w:hAnsi="Verdana"/>
          <w:sz w:val="20"/>
          <w:szCs w:val="20"/>
        </w:rPr>
        <w:t xml:space="preserve">, </w:t>
      </w:r>
      <w:r w:rsidR="00A90371" w:rsidRPr="00DC1E8B">
        <w:rPr>
          <w:rFonts w:ascii="Verdana" w:hAnsi="Verdana"/>
          <w:i/>
          <w:sz w:val="20"/>
          <w:szCs w:val="20"/>
        </w:rPr>
        <w:t>132</w:t>
      </w:r>
      <w:r w:rsidR="00DC1E8B">
        <w:rPr>
          <w:rFonts w:ascii="Verdana" w:hAnsi="Verdana"/>
          <w:sz w:val="20"/>
          <w:szCs w:val="20"/>
        </w:rPr>
        <w:t xml:space="preserve">, </w:t>
      </w:r>
      <w:r w:rsidRPr="00B90A7F">
        <w:rPr>
          <w:rFonts w:ascii="Verdana" w:hAnsi="Verdana"/>
          <w:sz w:val="20"/>
          <w:szCs w:val="20"/>
        </w:rPr>
        <w:t>69-73.</w:t>
      </w:r>
    </w:p>
    <w:p w:rsidR="00AA4C15" w:rsidRPr="00B90A7F" w:rsidRDefault="00AA4C15" w:rsidP="009C46BB">
      <w:pPr>
        <w:pStyle w:val="bodytextpsg"/>
        <w:rPr>
          <w:rFonts w:ascii="Verdana" w:hAnsi="Verdana" w:cs="Times New Roman"/>
          <w:sz w:val="20"/>
          <w:szCs w:val="20"/>
          <w:lang w:val="en-US"/>
        </w:rPr>
      </w:pPr>
    </w:p>
    <w:sectPr w:rsidR="00AA4C15" w:rsidRPr="00B90A7F" w:rsidSect="00EB7538">
      <w:footerReference w:type="even"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AA6" w:rsidRDefault="00224AA6">
      <w:r>
        <w:separator/>
      </w:r>
    </w:p>
  </w:endnote>
  <w:endnote w:type="continuationSeparator" w:id="0">
    <w:p w:rsidR="00224AA6" w:rsidRDefault="00224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Optima">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5C4" w:rsidRDefault="004875C4"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875C4" w:rsidRDefault="004875C4">
    <w:pPr>
      <w:pStyle w:val="Footer"/>
    </w:pPr>
  </w:p>
  <w:p w:rsidR="004875C4" w:rsidRDefault="004875C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5C4" w:rsidRDefault="004875C4"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2A42">
      <w:rPr>
        <w:rStyle w:val="PageNumber"/>
        <w:noProof/>
      </w:rPr>
      <w:t>1</w:t>
    </w:r>
    <w:r>
      <w:rPr>
        <w:rStyle w:val="PageNumber"/>
      </w:rPr>
      <w:fldChar w:fldCharType="end"/>
    </w:r>
  </w:p>
  <w:p w:rsidR="004875C4" w:rsidRDefault="004875C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AA6" w:rsidRDefault="00224AA6">
      <w:r>
        <w:separator/>
      </w:r>
    </w:p>
  </w:footnote>
  <w:footnote w:type="continuationSeparator" w:id="0">
    <w:p w:rsidR="00224AA6" w:rsidRDefault="00224A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63655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2">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3">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9">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0"/>
  </w:num>
  <w:num w:numId="3">
    <w:abstractNumId w:val="2"/>
  </w:num>
  <w:num w:numId="4">
    <w:abstractNumId w:val="8"/>
  </w:num>
  <w:num w:numId="5">
    <w:abstractNumId w:val="14"/>
  </w:num>
  <w:num w:numId="6">
    <w:abstractNumId w:val="13"/>
  </w:num>
  <w:num w:numId="7">
    <w:abstractNumId w:val="15"/>
  </w:num>
  <w:num w:numId="8">
    <w:abstractNumId w:val="12"/>
  </w:num>
  <w:num w:numId="9">
    <w:abstractNumId w:val="6"/>
  </w:num>
  <w:num w:numId="10">
    <w:abstractNumId w:val="3"/>
  </w:num>
  <w:num w:numId="11">
    <w:abstractNumId w:val="1"/>
  </w:num>
  <w:num w:numId="12">
    <w:abstractNumId w:val="9"/>
  </w:num>
  <w:num w:numId="13">
    <w:abstractNumId w:val="11"/>
  </w:num>
  <w:num w:numId="14">
    <w:abstractNumId w:val="5"/>
  </w:num>
  <w:num w:numId="15">
    <w:abstractNumId w:val="7"/>
  </w:num>
  <w:num w:numId="1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1123E"/>
    <w:rsid w:val="00031B35"/>
    <w:rsid w:val="00044AF0"/>
    <w:rsid w:val="000467E8"/>
    <w:rsid w:val="0005257E"/>
    <w:rsid w:val="0006570F"/>
    <w:rsid w:val="000705BC"/>
    <w:rsid w:val="00071656"/>
    <w:rsid w:val="00073FA7"/>
    <w:rsid w:val="00075566"/>
    <w:rsid w:val="00077F82"/>
    <w:rsid w:val="000921F8"/>
    <w:rsid w:val="000A7906"/>
    <w:rsid w:val="000B2346"/>
    <w:rsid w:val="000B4B19"/>
    <w:rsid w:val="000B4D98"/>
    <w:rsid w:val="000D0345"/>
    <w:rsid w:val="000D2DA1"/>
    <w:rsid w:val="000D48FD"/>
    <w:rsid w:val="000D7561"/>
    <w:rsid w:val="000E1C64"/>
    <w:rsid w:val="000E2181"/>
    <w:rsid w:val="000E7EC9"/>
    <w:rsid w:val="000F07E7"/>
    <w:rsid w:val="000F147B"/>
    <w:rsid w:val="000F4046"/>
    <w:rsid w:val="000F58ED"/>
    <w:rsid w:val="00100739"/>
    <w:rsid w:val="00105016"/>
    <w:rsid w:val="001056D2"/>
    <w:rsid w:val="00106EED"/>
    <w:rsid w:val="00107885"/>
    <w:rsid w:val="00110055"/>
    <w:rsid w:val="00114165"/>
    <w:rsid w:val="00114FC4"/>
    <w:rsid w:val="00114FD7"/>
    <w:rsid w:val="00115B76"/>
    <w:rsid w:val="00123233"/>
    <w:rsid w:val="0012329C"/>
    <w:rsid w:val="00130081"/>
    <w:rsid w:val="00134FA7"/>
    <w:rsid w:val="00137950"/>
    <w:rsid w:val="00152F29"/>
    <w:rsid w:val="00155FD2"/>
    <w:rsid w:val="001566AD"/>
    <w:rsid w:val="0017112E"/>
    <w:rsid w:val="00185270"/>
    <w:rsid w:val="00186235"/>
    <w:rsid w:val="001910B6"/>
    <w:rsid w:val="00191E8B"/>
    <w:rsid w:val="00196AA4"/>
    <w:rsid w:val="001A3B5A"/>
    <w:rsid w:val="001A4207"/>
    <w:rsid w:val="001B0661"/>
    <w:rsid w:val="001B7CE9"/>
    <w:rsid w:val="001C0748"/>
    <w:rsid w:val="001D05AD"/>
    <w:rsid w:val="001D108B"/>
    <w:rsid w:val="001D3941"/>
    <w:rsid w:val="001D495A"/>
    <w:rsid w:val="001E0FE4"/>
    <w:rsid w:val="001E42BB"/>
    <w:rsid w:val="001F501C"/>
    <w:rsid w:val="002059C8"/>
    <w:rsid w:val="00212AC7"/>
    <w:rsid w:val="00213444"/>
    <w:rsid w:val="00215923"/>
    <w:rsid w:val="00220978"/>
    <w:rsid w:val="00224AA6"/>
    <w:rsid w:val="002259EF"/>
    <w:rsid w:val="00240433"/>
    <w:rsid w:val="0024154F"/>
    <w:rsid w:val="00241610"/>
    <w:rsid w:val="00242ED1"/>
    <w:rsid w:val="002466B5"/>
    <w:rsid w:val="00253F77"/>
    <w:rsid w:val="00254069"/>
    <w:rsid w:val="00254072"/>
    <w:rsid w:val="0026099E"/>
    <w:rsid w:val="0026325C"/>
    <w:rsid w:val="002634F4"/>
    <w:rsid w:val="00271489"/>
    <w:rsid w:val="00271A53"/>
    <w:rsid w:val="002734E5"/>
    <w:rsid w:val="002746DB"/>
    <w:rsid w:val="00280CAF"/>
    <w:rsid w:val="00282F09"/>
    <w:rsid w:val="002906E1"/>
    <w:rsid w:val="002A339A"/>
    <w:rsid w:val="002A4D65"/>
    <w:rsid w:val="002D067E"/>
    <w:rsid w:val="002D14D8"/>
    <w:rsid w:val="002D29B4"/>
    <w:rsid w:val="002D4799"/>
    <w:rsid w:val="002E12D0"/>
    <w:rsid w:val="002E2466"/>
    <w:rsid w:val="002E3271"/>
    <w:rsid w:val="002E3FA4"/>
    <w:rsid w:val="002F5FCE"/>
    <w:rsid w:val="00300BF3"/>
    <w:rsid w:val="003061FE"/>
    <w:rsid w:val="00313BF5"/>
    <w:rsid w:val="00314936"/>
    <w:rsid w:val="00317A6B"/>
    <w:rsid w:val="0032277F"/>
    <w:rsid w:val="003255A3"/>
    <w:rsid w:val="00326D91"/>
    <w:rsid w:val="0033209F"/>
    <w:rsid w:val="00336639"/>
    <w:rsid w:val="00337730"/>
    <w:rsid w:val="00345680"/>
    <w:rsid w:val="00350523"/>
    <w:rsid w:val="00353778"/>
    <w:rsid w:val="00355CE0"/>
    <w:rsid w:val="003740BC"/>
    <w:rsid w:val="003744B4"/>
    <w:rsid w:val="003801A3"/>
    <w:rsid w:val="00382509"/>
    <w:rsid w:val="00382C13"/>
    <w:rsid w:val="00383D90"/>
    <w:rsid w:val="00384290"/>
    <w:rsid w:val="0038782E"/>
    <w:rsid w:val="00387FCC"/>
    <w:rsid w:val="003972EB"/>
    <w:rsid w:val="00397C9B"/>
    <w:rsid w:val="003A24BA"/>
    <w:rsid w:val="003A4A07"/>
    <w:rsid w:val="003A4F7C"/>
    <w:rsid w:val="003B42B3"/>
    <w:rsid w:val="003B4A95"/>
    <w:rsid w:val="003B6384"/>
    <w:rsid w:val="003B7E06"/>
    <w:rsid w:val="003C02E5"/>
    <w:rsid w:val="003C4EBB"/>
    <w:rsid w:val="003C53F3"/>
    <w:rsid w:val="003C7829"/>
    <w:rsid w:val="003D1153"/>
    <w:rsid w:val="003D1531"/>
    <w:rsid w:val="003E4EC6"/>
    <w:rsid w:val="003E527E"/>
    <w:rsid w:val="003E553E"/>
    <w:rsid w:val="003E7078"/>
    <w:rsid w:val="003F3DF5"/>
    <w:rsid w:val="003F47F7"/>
    <w:rsid w:val="003F4D51"/>
    <w:rsid w:val="003F6E6E"/>
    <w:rsid w:val="004046BD"/>
    <w:rsid w:val="00404772"/>
    <w:rsid w:val="00404A9C"/>
    <w:rsid w:val="00410B6A"/>
    <w:rsid w:val="00411137"/>
    <w:rsid w:val="00411D11"/>
    <w:rsid w:val="0041231F"/>
    <w:rsid w:val="00412D2B"/>
    <w:rsid w:val="00413192"/>
    <w:rsid w:val="00415E23"/>
    <w:rsid w:val="00416A4A"/>
    <w:rsid w:val="0042087C"/>
    <w:rsid w:val="00424061"/>
    <w:rsid w:val="00426C97"/>
    <w:rsid w:val="00427B4B"/>
    <w:rsid w:val="00435C82"/>
    <w:rsid w:val="0044134D"/>
    <w:rsid w:val="00443203"/>
    <w:rsid w:val="00443969"/>
    <w:rsid w:val="00445BBD"/>
    <w:rsid w:val="00447D74"/>
    <w:rsid w:val="004509BB"/>
    <w:rsid w:val="00450A74"/>
    <w:rsid w:val="00453E92"/>
    <w:rsid w:val="0045480A"/>
    <w:rsid w:val="00455A96"/>
    <w:rsid w:val="00463620"/>
    <w:rsid w:val="00465350"/>
    <w:rsid w:val="004669FC"/>
    <w:rsid w:val="0047119A"/>
    <w:rsid w:val="00472215"/>
    <w:rsid w:val="004737AF"/>
    <w:rsid w:val="004846BF"/>
    <w:rsid w:val="004875C4"/>
    <w:rsid w:val="00492BA4"/>
    <w:rsid w:val="00493736"/>
    <w:rsid w:val="004A3AD6"/>
    <w:rsid w:val="004B3C9E"/>
    <w:rsid w:val="004B5739"/>
    <w:rsid w:val="004C6979"/>
    <w:rsid w:val="004D3E7A"/>
    <w:rsid w:val="004E141E"/>
    <w:rsid w:val="004E22E1"/>
    <w:rsid w:val="004E5520"/>
    <w:rsid w:val="004E7AB4"/>
    <w:rsid w:val="00514153"/>
    <w:rsid w:val="005220E8"/>
    <w:rsid w:val="00525366"/>
    <w:rsid w:val="0053196E"/>
    <w:rsid w:val="00544138"/>
    <w:rsid w:val="00547401"/>
    <w:rsid w:val="005525BF"/>
    <w:rsid w:val="00556524"/>
    <w:rsid w:val="00566AAF"/>
    <w:rsid w:val="005832FA"/>
    <w:rsid w:val="00584583"/>
    <w:rsid w:val="005A3438"/>
    <w:rsid w:val="005A4099"/>
    <w:rsid w:val="005A4B77"/>
    <w:rsid w:val="005C3793"/>
    <w:rsid w:val="005C38B2"/>
    <w:rsid w:val="005C5029"/>
    <w:rsid w:val="005C55C2"/>
    <w:rsid w:val="005C5FF0"/>
    <w:rsid w:val="005C693F"/>
    <w:rsid w:val="005C7CD3"/>
    <w:rsid w:val="005D061D"/>
    <w:rsid w:val="005D3B32"/>
    <w:rsid w:val="005D4DF5"/>
    <w:rsid w:val="005F02C1"/>
    <w:rsid w:val="005F7F3A"/>
    <w:rsid w:val="00610315"/>
    <w:rsid w:val="00611D6B"/>
    <w:rsid w:val="006130DE"/>
    <w:rsid w:val="00621286"/>
    <w:rsid w:val="00621E74"/>
    <w:rsid w:val="006277F2"/>
    <w:rsid w:val="00631D1F"/>
    <w:rsid w:val="00634117"/>
    <w:rsid w:val="00634ED0"/>
    <w:rsid w:val="006370CC"/>
    <w:rsid w:val="00642A42"/>
    <w:rsid w:val="0064324E"/>
    <w:rsid w:val="006550EE"/>
    <w:rsid w:val="006614EA"/>
    <w:rsid w:val="00662A36"/>
    <w:rsid w:val="00666FCA"/>
    <w:rsid w:val="00675D62"/>
    <w:rsid w:val="0068317A"/>
    <w:rsid w:val="00684FCA"/>
    <w:rsid w:val="006863A6"/>
    <w:rsid w:val="00692F2E"/>
    <w:rsid w:val="006A26C6"/>
    <w:rsid w:val="006A7D5D"/>
    <w:rsid w:val="006B04D1"/>
    <w:rsid w:val="006C152E"/>
    <w:rsid w:val="006F4D6D"/>
    <w:rsid w:val="006F619C"/>
    <w:rsid w:val="006F676F"/>
    <w:rsid w:val="007036B5"/>
    <w:rsid w:val="00704910"/>
    <w:rsid w:val="00705086"/>
    <w:rsid w:val="00712B95"/>
    <w:rsid w:val="007163B3"/>
    <w:rsid w:val="00736626"/>
    <w:rsid w:val="00741790"/>
    <w:rsid w:val="00750F4A"/>
    <w:rsid w:val="00752773"/>
    <w:rsid w:val="00754497"/>
    <w:rsid w:val="0076053E"/>
    <w:rsid w:val="00766C35"/>
    <w:rsid w:val="00784AFB"/>
    <w:rsid w:val="00787C39"/>
    <w:rsid w:val="00790E0B"/>
    <w:rsid w:val="007930F0"/>
    <w:rsid w:val="00795DF3"/>
    <w:rsid w:val="0079673D"/>
    <w:rsid w:val="007A373C"/>
    <w:rsid w:val="007A6F01"/>
    <w:rsid w:val="007B1F48"/>
    <w:rsid w:val="007B225C"/>
    <w:rsid w:val="007C6659"/>
    <w:rsid w:val="007C7037"/>
    <w:rsid w:val="007C75B1"/>
    <w:rsid w:val="007D3DFC"/>
    <w:rsid w:val="007D51DD"/>
    <w:rsid w:val="007D7EEA"/>
    <w:rsid w:val="007E37DD"/>
    <w:rsid w:val="007E6250"/>
    <w:rsid w:val="007E7CFD"/>
    <w:rsid w:val="007F1B17"/>
    <w:rsid w:val="007F3D5F"/>
    <w:rsid w:val="00805FEF"/>
    <w:rsid w:val="00806F60"/>
    <w:rsid w:val="0080776D"/>
    <w:rsid w:val="00810145"/>
    <w:rsid w:val="008108FA"/>
    <w:rsid w:val="00810FF1"/>
    <w:rsid w:val="00822336"/>
    <w:rsid w:val="00823DFA"/>
    <w:rsid w:val="00825BC5"/>
    <w:rsid w:val="00833B5B"/>
    <w:rsid w:val="008434C7"/>
    <w:rsid w:val="00843752"/>
    <w:rsid w:val="0084379C"/>
    <w:rsid w:val="008459C8"/>
    <w:rsid w:val="008514E1"/>
    <w:rsid w:val="008642E3"/>
    <w:rsid w:val="0087185A"/>
    <w:rsid w:val="00871FD2"/>
    <w:rsid w:val="008724E2"/>
    <w:rsid w:val="00881057"/>
    <w:rsid w:val="0088206B"/>
    <w:rsid w:val="00885B09"/>
    <w:rsid w:val="00892400"/>
    <w:rsid w:val="0089322D"/>
    <w:rsid w:val="008A209D"/>
    <w:rsid w:val="008A25BA"/>
    <w:rsid w:val="008B0E29"/>
    <w:rsid w:val="008B0EFA"/>
    <w:rsid w:val="008B2F52"/>
    <w:rsid w:val="008B30AB"/>
    <w:rsid w:val="008B6A81"/>
    <w:rsid w:val="008B700C"/>
    <w:rsid w:val="008C0247"/>
    <w:rsid w:val="008C2285"/>
    <w:rsid w:val="008C7988"/>
    <w:rsid w:val="008C7F5F"/>
    <w:rsid w:val="008D00DF"/>
    <w:rsid w:val="008E149C"/>
    <w:rsid w:val="008F308C"/>
    <w:rsid w:val="008F60C5"/>
    <w:rsid w:val="008F6C87"/>
    <w:rsid w:val="008F772C"/>
    <w:rsid w:val="00900E85"/>
    <w:rsid w:val="00905DEF"/>
    <w:rsid w:val="00905E39"/>
    <w:rsid w:val="00913B43"/>
    <w:rsid w:val="00917792"/>
    <w:rsid w:val="00924C1D"/>
    <w:rsid w:val="00930203"/>
    <w:rsid w:val="009311D2"/>
    <w:rsid w:val="00931275"/>
    <w:rsid w:val="00934028"/>
    <w:rsid w:val="00936AC7"/>
    <w:rsid w:val="00951D10"/>
    <w:rsid w:val="00955016"/>
    <w:rsid w:val="00961167"/>
    <w:rsid w:val="00961175"/>
    <w:rsid w:val="0096400B"/>
    <w:rsid w:val="009648FC"/>
    <w:rsid w:val="0098142A"/>
    <w:rsid w:val="00983DC7"/>
    <w:rsid w:val="00983E03"/>
    <w:rsid w:val="0098484C"/>
    <w:rsid w:val="00984CA2"/>
    <w:rsid w:val="0099030E"/>
    <w:rsid w:val="00990445"/>
    <w:rsid w:val="00990A86"/>
    <w:rsid w:val="00996557"/>
    <w:rsid w:val="0099761F"/>
    <w:rsid w:val="009A1674"/>
    <w:rsid w:val="009B15CE"/>
    <w:rsid w:val="009B1F47"/>
    <w:rsid w:val="009B2815"/>
    <w:rsid w:val="009B7DA1"/>
    <w:rsid w:val="009C1388"/>
    <w:rsid w:val="009C24E5"/>
    <w:rsid w:val="009C46BB"/>
    <w:rsid w:val="009C5283"/>
    <w:rsid w:val="009C684F"/>
    <w:rsid w:val="009D074C"/>
    <w:rsid w:val="009D4C9A"/>
    <w:rsid w:val="009D5961"/>
    <w:rsid w:val="009E2D5D"/>
    <w:rsid w:val="009E2DB1"/>
    <w:rsid w:val="009F2B4F"/>
    <w:rsid w:val="009F66B5"/>
    <w:rsid w:val="009F6E73"/>
    <w:rsid w:val="00A02150"/>
    <w:rsid w:val="00A15D0F"/>
    <w:rsid w:val="00A20A7D"/>
    <w:rsid w:val="00A20CE1"/>
    <w:rsid w:val="00A217E5"/>
    <w:rsid w:val="00A22373"/>
    <w:rsid w:val="00A329FB"/>
    <w:rsid w:val="00A35D42"/>
    <w:rsid w:val="00A416FE"/>
    <w:rsid w:val="00A46CCF"/>
    <w:rsid w:val="00A46DB2"/>
    <w:rsid w:val="00A52FA3"/>
    <w:rsid w:val="00A552C1"/>
    <w:rsid w:val="00A65A5A"/>
    <w:rsid w:val="00A70426"/>
    <w:rsid w:val="00A767EC"/>
    <w:rsid w:val="00A834DC"/>
    <w:rsid w:val="00A83728"/>
    <w:rsid w:val="00A83B43"/>
    <w:rsid w:val="00A90371"/>
    <w:rsid w:val="00A91E9A"/>
    <w:rsid w:val="00A93ED9"/>
    <w:rsid w:val="00A94D21"/>
    <w:rsid w:val="00AA4C15"/>
    <w:rsid w:val="00AA6992"/>
    <w:rsid w:val="00AA6A1E"/>
    <w:rsid w:val="00AA6E63"/>
    <w:rsid w:val="00AB7BA7"/>
    <w:rsid w:val="00AC5801"/>
    <w:rsid w:val="00AC6A99"/>
    <w:rsid w:val="00AD1CBF"/>
    <w:rsid w:val="00AE31DD"/>
    <w:rsid w:val="00AE75EF"/>
    <w:rsid w:val="00AF0B2B"/>
    <w:rsid w:val="00AF0EE8"/>
    <w:rsid w:val="00B00845"/>
    <w:rsid w:val="00B04D2E"/>
    <w:rsid w:val="00B055EF"/>
    <w:rsid w:val="00B11B5E"/>
    <w:rsid w:val="00B14A23"/>
    <w:rsid w:val="00B163B4"/>
    <w:rsid w:val="00B23769"/>
    <w:rsid w:val="00B32893"/>
    <w:rsid w:val="00B34621"/>
    <w:rsid w:val="00B378D2"/>
    <w:rsid w:val="00B43F26"/>
    <w:rsid w:val="00B524CF"/>
    <w:rsid w:val="00B57849"/>
    <w:rsid w:val="00B621D8"/>
    <w:rsid w:val="00B6547C"/>
    <w:rsid w:val="00B7549F"/>
    <w:rsid w:val="00B770B4"/>
    <w:rsid w:val="00B824F7"/>
    <w:rsid w:val="00B84209"/>
    <w:rsid w:val="00B842E0"/>
    <w:rsid w:val="00B84E1D"/>
    <w:rsid w:val="00B86DFA"/>
    <w:rsid w:val="00B90A7F"/>
    <w:rsid w:val="00B936D0"/>
    <w:rsid w:val="00BB0C07"/>
    <w:rsid w:val="00BB1AEF"/>
    <w:rsid w:val="00BB22B0"/>
    <w:rsid w:val="00BB25A6"/>
    <w:rsid w:val="00BB26E6"/>
    <w:rsid w:val="00BB61DE"/>
    <w:rsid w:val="00BE1984"/>
    <w:rsid w:val="00BE3600"/>
    <w:rsid w:val="00BE447D"/>
    <w:rsid w:val="00BF2E6C"/>
    <w:rsid w:val="00BF53D8"/>
    <w:rsid w:val="00C01F6F"/>
    <w:rsid w:val="00C0214D"/>
    <w:rsid w:val="00C12DDA"/>
    <w:rsid w:val="00C133A6"/>
    <w:rsid w:val="00C149AB"/>
    <w:rsid w:val="00C36F64"/>
    <w:rsid w:val="00C40694"/>
    <w:rsid w:val="00C44B60"/>
    <w:rsid w:val="00C465A3"/>
    <w:rsid w:val="00C53647"/>
    <w:rsid w:val="00C56B97"/>
    <w:rsid w:val="00C61110"/>
    <w:rsid w:val="00C656DF"/>
    <w:rsid w:val="00C672EF"/>
    <w:rsid w:val="00C70542"/>
    <w:rsid w:val="00C70A1E"/>
    <w:rsid w:val="00C72647"/>
    <w:rsid w:val="00C75CBF"/>
    <w:rsid w:val="00C82F7B"/>
    <w:rsid w:val="00C91B6C"/>
    <w:rsid w:val="00C954C0"/>
    <w:rsid w:val="00C9609C"/>
    <w:rsid w:val="00CA03C3"/>
    <w:rsid w:val="00CA2173"/>
    <w:rsid w:val="00CA499B"/>
    <w:rsid w:val="00CB37DA"/>
    <w:rsid w:val="00CB47A9"/>
    <w:rsid w:val="00CC2894"/>
    <w:rsid w:val="00CC501E"/>
    <w:rsid w:val="00CD05E4"/>
    <w:rsid w:val="00CD4E09"/>
    <w:rsid w:val="00CD50FC"/>
    <w:rsid w:val="00CD77C3"/>
    <w:rsid w:val="00CE112C"/>
    <w:rsid w:val="00CE196F"/>
    <w:rsid w:val="00CE1E23"/>
    <w:rsid w:val="00CF4B97"/>
    <w:rsid w:val="00CF5DC8"/>
    <w:rsid w:val="00D06227"/>
    <w:rsid w:val="00D0770B"/>
    <w:rsid w:val="00D1443E"/>
    <w:rsid w:val="00D23885"/>
    <w:rsid w:val="00D249C2"/>
    <w:rsid w:val="00D2589E"/>
    <w:rsid w:val="00D25DA6"/>
    <w:rsid w:val="00D43ED2"/>
    <w:rsid w:val="00D608DA"/>
    <w:rsid w:val="00D730BF"/>
    <w:rsid w:val="00D7344E"/>
    <w:rsid w:val="00D8009C"/>
    <w:rsid w:val="00D85569"/>
    <w:rsid w:val="00D903FE"/>
    <w:rsid w:val="00D91E1F"/>
    <w:rsid w:val="00D969B2"/>
    <w:rsid w:val="00D97B6E"/>
    <w:rsid w:val="00DA202E"/>
    <w:rsid w:val="00DA4596"/>
    <w:rsid w:val="00DC006D"/>
    <w:rsid w:val="00DC1E8B"/>
    <w:rsid w:val="00DC55FD"/>
    <w:rsid w:val="00DC6551"/>
    <w:rsid w:val="00DC76C7"/>
    <w:rsid w:val="00DD07B8"/>
    <w:rsid w:val="00DD09F5"/>
    <w:rsid w:val="00DD4201"/>
    <w:rsid w:val="00DE5711"/>
    <w:rsid w:val="00DF2112"/>
    <w:rsid w:val="00DF423F"/>
    <w:rsid w:val="00E003AB"/>
    <w:rsid w:val="00E00EA0"/>
    <w:rsid w:val="00E03EC1"/>
    <w:rsid w:val="00E0484A"/>
    <w:rsid w:val="00E1447C"/>
    <w:rsid w:val="00E15267"/>
    <w:rsid w:val="00E21003"/>
    <w:rsid w:val="00E235F0"/>
    <w:rsid w:val="00E26758"/>
    <w:rsid w:val="00E3198E"/>
    <w:rsid w:val="00E34FED"/>
    <w:rsid w:val="00E37246"/>
    <w:rsid w:val="00E433C5"/>
    <w:rsid w:val="00E4357B"/>
    <w:rsid w:val="00E45BB2"/>
    <w:rsid w:val="00E520EE"/>
    <w:rsid w:val="00E54E12"/>
    <w:rsid w:val="00E63DE5"/>
    <w:rsid w:val="00E641D7"/>
    <w:rsid w:val="00E65779"/>
    <w:rsid w:val="00E65A37"/>
    <w:rsid w:val="00E75ECB"/>
    <w:rsid w:val="00E772A7"/>
    <w:rsid w:val="00E77B48"/>
    <w:rsid w:val="00E91799"/>
    <w:rsid w:val="00E933E9"/>
    <w:rsid w:val="00E9725A"/>
    <w:rsid w:val="00EA0CF3"/>
    <w:rsid w:val="00EA2F4B"/>
    <w:rsid w:val="00EA34E3"/>
    <w:rsid w:val="00EA4C4B"/>
    <w:rsid w:val="00EB7538"/>
    <w:rsid w:val="00EC7BC4"/>
    <w:rsid w:val="00ED2A4C"/>
    <w:rsid w:val="00ED5C2B"/>
    <w:rsid w:val="00ED67FE"/>
    <w:rsid w:val="00EE68EF"/>
    <w:rsid w:val="00EF3CBA"/>
    <w:rsid w:val="00F13FA4"/>
    <w:rsid w:val="00F207A4"/>
    <w:rsid w:val="00F355AC"/>
    <w:rsid w:val="00F52847"/>
    <w:rsid w:val="00F537E2"/>
    <w:rsid w:val="00F56AEA"/>
    <w:rsid w:val="00F661F1"/>
    <w:rsid w:val="00F71A5A"/>
    <w:rsid w:val="00F769E0"/>
    <w:rsid w:val="00F8083E"/>
    <w:rsid w:val="00F87F5C"/>
    <w:rsid w:val="00FB1D13"/>
    <w:rsid w:val="00FB1DA2"/>
    <w:rsid w:val="00FB1DAD"/>
    <w:rsid w:val="00FB54DF"/>
    <w:rsid w:val="00FC6BDE"/>
    <w:rsid w:val="00FC77B9"/>
    <w:rsid w:val="00FE0698"/>
    <w:rsid w:val="00FF2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 w:val="20"/>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 w:val="20"/>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 w:val="20"/>
      <w:szCs w:val="22"/>
    </w:rPr>
  </w:style>
  <w:style w:type="paragraph" w:customStyle="1" w:styleId="SurveyHeading3">
    <w:name w:val="Survey Heading 3"/>
    <w:basedOn w:val="Normal"/>
    <w:rsid w:val="007C7037"/>
    <w:pPr>
      <w:keepNext/>
      <w:spacing w:before="240" w:after="120"/>
      <w:outlineLvl w:val="2"/>
    </w:pPr>
    <w:rPr>
      <w:rFonts w:ascii="Verdana" w:hAnsi="Verdana"/>
      <w:b/>
      <w:i/>
      <w:sz w:val="20"/>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customStyle="1" w:styleId="MediumGrid1-Accent21">
    <w:name w:val="Medium Grid 1 - Accent 21"/>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customStyle="1" w:styleId="MediumShading1-Accent11">
    <w:name w:val="Medium Shading 1 - Accent 11"/>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customStyle="1" w:styleId="MediumList2-Accent21">
    <w:name w:val="Medium List 2 - Accent 21"/>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ascii="Verdana" w:eastAsia="Calibri" w:hAnsi="Verdana"/>
      <w:sz w:val="20"/>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 w:val="20"/>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character" w:customStyle="1" w:styleId="EndNoteBibliographyChar">
    <w:name w:val="EndNote Bibliography Char"/>
    <w:link w:val="EndNoteBibliography"/>
    <w:locked/>
    <w:rsid w:val="00D23885"/>
    <w:rPr>
      <w:rFonts w:ascii="Calibri" w:hAnsi="Calibri"/>
      <w:lang w:eastAsia="zh-TW"/>
    </w:rPr>
  </w:style>
  <w:style w:type="paragraph" w:customStyle="1" w:styleId="EndNoteBibliography">
    <w:name w:val="EndNote Bibliography"/>
    <w:basedOn w:val="Normal"/>
    <w:link w:val="EndNoteBibliographyChar"/>
    <w:rsid w:val="00D23885"/>
    <w:rPr>
      <w:rFonts w:ascii="Calibri" w:hAnsi="Calibri"/>
      <w:sz w:val="20"/>
      <w:szCs w:val="20"/>
      <w:lang w:eastAsia="zh-TW"/>
    </w:rPr>
  </w:style>
  <w:style w:type="paragraph" w:styleId="Revision">
    <w:name w:val="Revision"/>
    <w:hidden/>
    <w:uiPriority w:val="99"/>
    <w:semiHidden/>
    <w:rsid w:val="0011005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 w:val="20"/>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 w:val="20"/>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 w:val="20"/>
      <w:szCs w:val="22"/>
    </w:rPr>
  </w:style>
  <w:style w:type="paragraph" w:customStyle="1" w:styleId="SurveyHeading3">
    <w:name w:val="Survey Heading 3"/>
    <w:basedOn w:val="Normal"/>
    <w:rsid w:val="007C7037"/>
    <w:pPr>
      <w:keepNext/>
      <w:spacing w:before="240" w:after="120"/>
      <w:outlineLvl w:val="2"/>
    </w:pPr>
    <w:rPr>
      <w:rFonts w:ascii="Verdana" w:hAnsi="Verdana"/>
      <w:b/>
      <w:i/>
      <w:sz w:val="20"/>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customStyle="1" w:styleId="MediumGrid1-Accent21">
    <w:name w:val="Medium Grid 1 - Accent 21"/>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customStyle="1" w:styleId="MediumShading1-Accent11">
    <w:name w:val="Medium Shading 1 - Accent 11"/>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customStyle="1" w:styleId="MediumList2-Accent21">
    <w:name w:val="Medium List 2 - Accent 21"/>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ascii="Verdana" w:eastAsia="Calibri" w:hAnsi="Verdana"/>
      <w:sz w:val="20"/>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 w:val="20"/>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character" w:customStyle="1" w:styleId="EndNoteBibliographyChar">
    <w:name w:val="EndNote Bibliography Char"/>
    <w:link w:val="EndNoteBibliography"/>
    <w:locked/>
    <w:rsid w:val="00D23885"/>
    <w:rPr>
      <w:rFonts w:ascii="Calibri" w:hAnsi="Calibri"/>
      <w:lang w:eastAsia="zh-TW"/>
    </w:rPr>
  </w:style>
  <w:style w:type="paragraph" w:customStyle="1" w:styleId="EndNoteBibliography">
    <w:name w:val="EndNote Bibliography"/>
    <w:basedOn w:val="Normal"/>
    <w:link w:val="EndNoteBibliographyChar"/>
    <w:rsid w:val="00D23885"/>
    <w:rPr>
      <w:rFonts w:ascii="Calibri" w:hAnsi="Calibri"/>
      <w:sz w:val="20"/>
      <w:szCs w:val="20"/>
      <w:lang w:eastAsia="zh-TW"/>
    </w:rPr>
  </w:style>
  <w:style w:type="paragraph" w:styleId="Revision">
    <w:name w:val="Revision"/>
    <w:hidden/>
    <w:uiPriority w:val="99"/>
    <w:semiHidden/>
    <w:rsid w:val="001100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271523185">
      <w:bodyDiv w:val="1"/>
      <w:marLeft w:val="0"/>
      <w:marRight w:val="0"/>
      <w:marTop w:val="0"/>
      <w:marBottom w:val="0"/>
      <w:divBdr>
        <w:top w:val="none" w:sz="0" w:space="0" w:color="auto"/>
        <w:left w:val="none" w:sz="0" w:space="0" w:color="auto"/>
        <w:bottom w:val="none" w:sz="0" w:space="0" w:color="auto"/>
        <w:right w:val="none" w:sz="0" w:space="0" w:color="auto"/>
      </w:divBdr>
    </w:div>
    <w:div w:id="562910629">
      <w:bodyDiv w:val="1"/>
      <w:marLeft w:val="0"/>
      <w:marRight w:val="0"/>
      <w:marTop w:val="0"/>
      <w:marBottom w:val="0"/>
      <w:divBdr>
        <w:top w:val="none" w:sz="0" w:space="0" w:color="auto"/>
        <w:left w:val="none" w:sz="0" w:space="0" w:color="auto"/>
        <w:bottom w:val="none" w:sz="0" w:space="0" w:color="auto"/>
        <w:right w:val="none" w:sz="0" w:space="0" w:color="auto"/>
      </w:divBdr>
    </w:div>
    <w:div w:id="689141933">
      <w:bodyDiv w:val="1"/>
      <w:marLeft w:val="0"/>
      <w:marRight w:val="0"/>
      <w:marTop w:val="0"/>
      <w:marBottom w:val="0"/>
      <w:divBdr>
        <w:top w:val="none" w:sz="0" w:space="0" w:color="auto"/>
        <w:left w:val="none" w:sz="0" w:space="0" w:color="auto"/>
        <w:bottom w:val="none" w:sz="0" w:space="0" w:color="auto"/>
        <w:right w:val="none" w:sz="0" w:space="0" w:color="auto"/>
      </w:divBdr>
    </w:div>
    <w:div w:id="715347899">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936791839">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 w:id="204741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amstat.org/sections/srms/proceedings/y2014/Files/400288_50079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8DDBF-F703-4550-87A6-16A4B68B0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2785</Words>
  <Characters>15876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18624</CharactersWithSpaces>
  <SharedDoc>false</SharedDoc>
  <HLinks>
    <vt:vector size="6" baseType="variant">
      <vt:variant>
        <vt:i4>65576</vt:i4>
      </vt:variant>
      <vt:variant>
        <vt:i4>0</vt:i4>
      </vt:variant>
      <vt:variant>
        <vt:i4>0</vt:i4>
      </vt:variant>
      <vt:variant>
        <vt:i4>5</vt:i4>
      </vt:variant>
      <vt:variant>
        <vt:lpwstr>http://www.amstat.org/sections/srms/proceedings/y2014/Files/400288_500797.pdf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Rao, Pamela *</dc:creator>
  <cp:keywords/>
  <cp:lastModifiedBy>SYSTEM</cp:lastModifiedBy>
  <cp:revision>2</cp:revision>
  <dcterms:created xsi:type="dcterms:W3CDTF">2018-11-14T16:17:00Z</dcterms:created>
  <dcterms:modified xsi:type="dcterms:W3CDTF">2018-11-14T16:17:00Z</dcterms:modified>
</cp:coreProperties>
</file>