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212979" w14:textId="77777777" w:rsidR="009D41D9" w:rsidRPr="00BF6EAE" w:rsidRDefault="009D41D9" w:rsidP="009D41D9">
      <w:pPr>
        <w:jc w:val="center"/>
        <w:rPr>
          <w:rFonts w:ascii="Times New Roman Bold" w:hAnsi="Times New Roman Bold" w:cs="Times New Roman" w:hint="eastAsia"/>
          <w:b/>
          <w:bCs/>
          <w:caps/>
          <w:color w:val="000000" w:themeColor="text1"/>
        </w:rPr>
      </w:pPr>
      <w:bookmarkStart w:id="0" w:name="_GoBack"/>
      <w:bookmarkEnd w:id="0"/>
      <w:r w:rsidRPr="00BF6EAE">
        <w:rPr>
          <w:rFonts w:ascii="Times New Roman Bold" w:hAnsi="Times New Roman Bold" w:cs="Times New Roman"/>
          <w:b/>
          <w:bCs/>
          <w:caps/>
          <w:color w:val="000000" w:themeColor="text1"/>
        </w:rPr>
        <w:t>Supporting Statement</w:t>
      </w:r>
      <w:r>
        <w:rPr>
          <w:rFonts w:ascii="Times New Roman Bold" w:hAnsi="Times New Roman Bold" w:cs="Times New Roman"/>
          <w:b/>
          <w:bCs/>
          <w:caps/>
          <w:color w:val="000000" w:themeColor="text1"/>
        </w:rPr>
        <w:t xml:space="preserve"> PArt b</w:t>
      </w:r>
    </w:p>
    <w:p w14:paraId="4AD72E4C" w14:textId="77777777" w:rsidR="009D41D9" w:rsidRDefault="009D41D9" w:rsidP="006D3A9F">
      <w:pPr>
        <w:jc w:val="center"/>
        <w:rPr>
          <w:rFonts w:ascii="Times New Roman" w:hAnsi="Times New Roman" w:cs="Times New Roman"/>
          <w:b/>
          <w:color w:val="000000" w:themeColor="text1"/>
        </w:rPr>
      </w:pPr>
    </w:p>
    <w:p w14:paraId="0EE73B67" w14:textId="7983A829" w:rsidR="009D41D9" w:rsidRDefault="009D41D9" w:rsidP="006D3A9F">
      <w:pPr>
        <w:jc w:val="center"/>
        <w:rPr>
          <w:rFonts w:ascii="Times New Roman" w:hAnsi="Times New Roman" w:cs="Times New Roman"/>
          <w:b/>
          <w:color w:val="000000" w:themeColor="text1"/>
        </w:rPr>
      </w:pPr>
      <w:r>
        <w:rPr>
          <w:rFonts w:ascii="Times New Roman" w:hAnsi="Times New Roman" w:cs="Times New Roman"/>
          <w:b/>
          <w:color w:val="000000" w:themeColor="text1"/>
        </w:rPr>
        <w:t>0910-NEW</w:t>
      </w:r>
    </w:p>
    <w:p w14:paraId="6E6AC260" w14:textId="77777777" w:rsidR="009D41D9" w:rsidRDefault="009D41D9" w:rsidP="006D3A9F">
      <w:pPr>
        <w:jc w:val="center"/>
        <w:rPr>
          <w:rFonts w:ascii="Times New Roman" w:hAnsi="Times New Roman" w:cs="Times New Roman"/>
          <w:b/>
          <w:color w:val="000000" w:themeColor="text1"/>
        </w:rPr>
      </w:pPr>
    </w:p>
    <w:p w14:paraId="483D04BA" w14:textId="34AFF886" w:rsidR="006D3A9F" w:rsidRDefault="006D3A9F" w:rsidP="00A127A2">
      <w:pPr>
        <w:rPr>
          <w:rFonts w:ascii="Times New Roman" w:hAnsi="Times New Roman" w:cs="Times New Roman"/>
        </w:rPr>
      </w:pPr>
      <w:r w:rsidRPr="00BF6EAE">
        <w:rPr>
          <w:rFonts w:ascii="Times New Roman" w:hAnsi="Times New Roman" w:cs="Times New Roman"/>
          <w:b/>
          <w:color w:val="000000" w:themeColor="text1"/>
        </w:rPr>
        <w:t xml:space="preserve">Food and Drug Administration’s Investigation of Consumer Perceptions of </w:t>
      </w:r>
      <w:r w:rsidR="002B6999">
        <w:rPr>
          <w:rFonts w:ascii="Times New Roman" w:hAnsi="Times New Roman" w:cs="Times New Roman"/>
          <w:b/>
          <w:color w:val="000000" w:themeColor="text1"/>
        </w:rPr>
        <w:t xml:space="preserve">Expressed </w:t>
      </w:r>
      <w:r w:rsidRPr="00BF6EAE">
        <w:rPr>
          <w:rFonts w:ascii="Times New Roman" w:hAnsi="Times New Roman" w:cs="Times New Roman"/>
          <w:b/>
          <w:color w:val="000000" w:themeColor="text1"/>
        </w:rPr>
        <w:t>Modified Risk Claims</w:t>
      </w:r>
    </w:p>
    <w:p w14:paraId="4C4E4D2A" w14:textId="77777777" w:rsidR="006D3A9F" w:rsidRDefault="006D3A9F" w:rsidP="00A127A2">
      <w:pPr>
        <w:rPr>
          <w:rFonts w:ascii="Times New Roman" w:hAnsi="Times New Roman" w:cs="Times New Roman"/>
        </w:rPr>
      </w:pPr>
    </w:p>
    <w:p w14:paraId="395E1204" w14:textId="4A0C1354" w:rsidR="00A127A2" w:rsidRPr="001C2E7D" w:rsidRDefault="00A127A2" w:rsidP="00A127A2">
      <w:pPr>
        <w:rPr>
          <w:rFonts w:ascii="Times New Roman" w:hAnsi="Times New Roman" w:cs="Times New Roman"/>
        </w:rPr>
      </w:pPr>
      <w:r w:rsidRPr="001C2E7D">
        <w:rPr>
          <w:rFonts w:ascii="Times New Roman" w:hAnsi="Times New Roman" w:cs="Times New Roman"/>
        </w:rPr>
        <w:t>B</w:t>
      </w:r>
      <w:r w:rsidR="001C2E7D" w:rsidRPr="001C2E7D">
        <w:rPr>
          <w:rFonts w:ascii="Times New Roman" w:hAnsi="Times New Roman" w:cs="Times New Roman"/>
        </w:rPr>
        <w:t>.</w:t>
      </w:r>
      <w:r w:rsidR="001C2E7D">
        <w:rPr>
          <w:rFonts w:ascii="Times New Roman" w:hAnsi="Times New Roman" w:cs="Times New Roman"/>
          <w:b/>
        </w:rPr>
        <w:tab/>
      </w:r>
      <w:r w:rsidRPr="001C2E7D">
        <w:rPr>
          <w:rFonts w:ascii="Times New Roman" w:hAnsi="Times New Roman" w:cs="Times New Roman"/>
        </w:rPr>
        <w:t>Statistical Methods</w:t>
      </w:r>
    </w:p>
    <w:p w14:paraId="68E5F247" w14:textId="77777777" w:rsidR="00A127A2" w:rsidRPr="00AD3E04" w:rsidRDefault="00A127A2" w:rsidP="00AD3E04">
      <w:pPr>
        <w:ind w:left="1080"/>
        <w:rPr>
          <w:rFonts w:ascii="Times New Roman" w:hAnsi="Times New Roman" w:cs="Times New Roman"/>
        </w:rPr>
      </w:pPr>
    </w:p>
    <w:p w14:paraId="588C6AED" w14:textId="77777777" w:rsidR="00A127A2" w:rsidRPr="00172001" w:rsidRDefault="00A127A2" w:rsidP="00AB4BD0">
      <w:pPr>
        <w:pStyle w:val="ListParagraph"/>
        <w:numPr>
          <w:ilvl w:val="0"/>
          <w:numId w:val="1"/>
        </w:numPr>
        <w:ind w:left="1080" w:hanging="450"/>
        <w:rPr>
          <w:rFonts w:ascii="Times New Roman" w:hAnsi="Times New Roman" w:cs="Times New Roman"/>
          <w:u w:val="single"/>
        </w:rPr>
      </w:pPr>
      <w:r w:rsidRPr="00172001">
        <w:rPr>
          <w:rFonts w:ascii="Times New Roman" w:hAnsi="Times New Roman" w:cs="Times New Roman"/>
          <w:u w:val="single"/>
        </w:rPr>
        <w:t>Respondent Universe and Sampling Methods</w:t>
      </w:r>
    </w:p>
    <w:p w14:paraId="1DEEFDD6" w14:textId="77777777" w:rsidR="00A127A2" w:rsidRDefault="00A127A2" w:rsidP="00AD3E04">
      <w:pPr>
        <w:ind w:left="1080"/>
        <w:rPr>
          <w:rFonts w:ascii="Times New Roman" w:hAnsi="Times New Roman" w:cs="Times New Roman"/>
        </w:rPr>
      </w:pPr>
    </w:p>
    <w:p w14:paraId="59C0AE79" w14:textId="2E477EE6" w:rsidR="002C26AC" w:rsidRPr="009A73BF" w:rsidRDefault="0064304E" w:rsidP="002C26AC">
      <w:pPr>
        <w:ind w:left="1080"/>
        <w:rPr>
          <w:rFonts w:ascii="Times New Roman" w:hAnsi="Times New Roman" w:cs="Times New Roman"/>
        </w:rPr>
      </w:pPr>
      <w:r w:rsidRPr="009A73BF">
        <w:rPr>
          <w:rFonts w:ascii="Times New Roman" w:hAnsi="Times New Roman" w:cs="Times New Roman"/>
        </w:rPr>
        <w:t xml:space="preserve">The study sample will consist of approximately </w:t>
      </w:r>
      <w:r w:rsidR="00525C70" w:rsidRPr="009A73BF">
        <w:rPr>
          <w:rFonts w:ascii="Times New Roman" w:hAnsi="Times New Roman" w:cs="Times New Roman"/>
        </w:rPr>
        <w:t>2,</w:t>
      </w:r>
      <w:r w:rsidR="00E32FFE">
        <w:rPr>
          <w:rFonts w:ascii="Times New Roman" w:hAnsi="Times New Roman" w:cs="Times New Roman"/>
        </w:rPr>
        <w:t>64</w:t>
      </w:r>
      <w:r w:rsidR="00525C70" w:rsidRPr="009A73BF">
        <w:rPr>
          <w:rFonts w:ascii="Times New Roman" w:hAnsi="Times New Roman" w:cs="Times New Roman"/>
        </w:rPr>
        <w:t>0 current cigarette smokers, 1,</w:t>
      </w:r>
      <w:r w:rsidR="00E32FFE">
        <w:rPr>
          <w:rFonts w:ascii="Times New Roman" w:hAnsi="Times New Roman" w:cs="Times New Roman"/>
        </w:rPr>
        <w:t>32</w:t>
      </w:r>
      <w:r w:rsidR="00525C70" w:rsidRPr="009A73BF">
        <w:rPr>
          <w:rFonts w:ascii="Times New Roman" w:hAnsi="Times New Roman" w:cs="Times New Roman"/>
        </w:rPr>
        <w:t>0 current e</w:t>
      </w:r>
      <w:r w:rsidR="00525C70" w:rsidRPr="009A73BF">
        <w:rPr>
          <w:rFonts w:ascii="Times New Roman" w:hAnsi="Times New Roman" w:cs="Times New Roman"/>
        </w:rPr>
        <w:noBreakHyphen/>
        <w:t>cigarette users, 1,</w:t>
      </w:r>
      <w:r w:rsidR="00E32FFE">
        <w:rPr>
          <w:rFonts w:ascii="Times New Roman" w:hAnsi="Times New Roman" w:cs="Times New Roman"/>
        </w:rPr>
        <w:t>32</w:t>
      </w:r>
      <w:r w:rsidR="00525C70" w:rsidRPr="009A73BF">
        <w:rPr>
          <w:rFonts w:ascii="Times New Roman" w:hAnsi="Times New Roman" w:cs="Times New Roman"/>
        </w:rPr>
        <w:t>0 current snuff users, and 1,</w:t>
      </w:r>
      <w:r w:rsidR="00E32FFE">
        <w:rPr>
          <w:rFonts w:ascii="Times New Roman" w:hAnsi="Times New Roman" w:cs="Times New Roman"/>
        </w:rPr>
        <w:t>32</w:t>
      </w:r>
      <w:r w:rsidR="00525C70" w:rsidRPr="009A73BF">
        <w:rPr>
          <w:rFonts w:ascii="Times New Roman" w:hAnsi="Times New Roman" w:cs="Times New Roman"/>
        </w:rPr>
        <w:t>0 current non-users of tobacco. In each of these tobacco user groups, we seek to enroll 50% older adults (age</w:t>
      </w:r>
      <w:r w:rsidR="005264DA" w:rsidRPr="009A73BF">
        <w:rPr>
          <w:rFonts w:ascii="Times New Roman" w:hAnsi="Times New Roman" w:cs="Times New Roman"/>
        </w:rPr>
        <w:t>d 26 or older) and 50% young adults (aged 18 to 25)</w:t>
      </w:r>
      <w:r w:rsidR="00DD088F" w:rsidRPr="009A73BF">
        <w:rPr>
          <w:rFonts w:ascii="Times New Roman" w:hAnsi="Times New Roman" w:cs="Times New Roman"/>
        </w:rPr>
        <w:t xml:space="preserve">. See </w:t>
      </w:r>
      <w:r w:rsidR="001542AD">
        <w:rPr>
          <w:rFonts w:ascii="Times New Roman" w:hAnsi="Times New Roman" w:cs="Times New Roman"/>
        </w:rPr>
        <w:t>Exhibit</w:t>
      </w:r>
      <w:r w:rsidR="00DD088F" w:rsidRPr="009A73BF">
        <w:rPr>
          <w:rFonts w:ascii="Times New Roman" w:hAnsi="Times New Roman" w:cs="Times New Roman"/>
        </w:rPr>
        <w:t xml:space="preserve"> 1 for the sample breakdown</w:t>
      </w:r>
      <w:r w:rsidRPr="009A73BF">
        <w:rPr>
          <w:rFonts w:ascii="Times New Roman" w:hAnsi="Times New Roman" w:cs="Times New Roman"/>
        </w:rPr>
        <w:t xml:space="preserve">. </w:t>
      </w:r>
    </w:p>
    <w:p w14:paraId="25F8076E" w14:textId="69BB1713" w:rsidR="00525C70" w:rsidRPr="00865B93" w:rsidRDefault="001542AD" w:rsidP="00A33B38">
      <w:pPr>
        <w:pStyle w:val="TableTitle"/>
        <w:ind w:hanging="72"/>
      </w:pPr>
      <w:bookmarkStart w:id="1" w:name="_Toc480797528"/>
      <w:r>
        <w:t>Exhibit</w:t>
      </w:r>
      <w:r w:rsidRPr="00865B93">
        <w:t xml:space="preserve"> </w:t>
      </w:r>
      <w:r w:rsidR="00525C70" w:rsidRPr="00865B93">
        <w:t>1.</w:t>
      </w:r>
      <w:r w:rsidR="00525C70" w:rsidRPr="00865B93">
        <w:tab/>
        <w:t>Projected Sample Breakdown by Age and Tobacco Use Status</w:t>
      </w:r>
      <w:bookmarkEnd w:id="1"/>
    </w:p>
    <w:tbl>
      <w:tblPr>
        <w:tblStyle w:val="TableFormat4"/>
        <w:tblW w:w="4375" w:type="pct"/>
        <w:tblInd w:w="1080" w:type="dxa"/>
        <w:tblLayout w:type="fixed"/>
        <w:tblLook w:val="04A0" w:firstRow="1" w:lastRow="0" w:firstColumn="1" w:lastColumn="0" w:noHBand="0" w:noVBand="1"/>
      </w:tblPr>
      <w:tblGrid>
        <w:gridCol w:w="5667"/>
        <w:gridCol w:w="2649"/>
      </w:tblGrid>
      <w:tr w:rsidR="00A33B38" w:rsidRPr="00865B93" w14:paraId="6251A5AC" w14:textId="06B0CF5B" w:rsidTr="008B6130">
        <w:trPr>
          <w:cnfStyle w:val="100000000000" w:firstRow="1" w:lastRow="0" w:firstColumn="0" w:lastColumn="0" w:oddVBand="0" w:evenVBand="0" w:oddHBand="0" w:evenHBand="0" w:firstRowFirstColumn="0" w:firstRowLastColumn="0" w:lastRowFirstColumn="0" w:lastRowLastColumn="0"/>
          <w:tblHeader/>
        </w:trPr>
        <w:tc>
          <w:tcPr>
            <w:tcW w:w="3407" w:type="pct"/>
          </w:tcPr>
          <w:p w14:paraId="3741DEDA" w14:textId="77777777" w:rsidR="00A33B38" w:rsidRPr="00865B93" w:rsidRDefault="00A33B38" w:rsidP="003442C2">
            <w:pPr>
              <w:pStyle w:val="TableHeaders"/>
              <w:keepNext/>
              <w:spacing w:before="40" w:after="40"/>
            </w:pPr>
          </w:p>
        </w:tc>
        <w:tc>
          <w:tcPr>
            <w:tcW w:w="1593" w:type="pct"/>
          </w:tcPr>
          <w:p w14:paraId="750F2D81" w14:textId="77777777" w:rsidR="00A33B38" w:rsidRPr="00865B93" w:rsidRDefault="00A33B38" w:rsidP="003442C2">
            <w:pPr>
              <w:pStyle w:val="TableHeaders"/>
              <w:keepNext/>
              <w:spacing w:before="40" w:after="40"/>
            </w:pPr>
            <w:r w:rsidRPr="00865B93">
              <w:t>Sample Size</w:t>
            </w:r>
          </w:p>
        </w:tc>
      </w:tr>
      <w:tr w:rsidR="00A33B38" w:rsidRPr="00865B93" w14:paraId="41A01832" w14:textId="77777777" w:rsidTr="008B6130">
        <w:trPr>
          <w:cnfStyle w:val="100000000000" w:firstRow="1" w:lastRow="0" w:firstColumn="0" w:lastColumn="0" w:oddVBand="0" w:evenVBand="0" w:oddHBand="0" w:evenHBand="0" w:firstRowFirstColumn="0" w:firstRowLastColumn="0" w:lastRowFirstColumn="0" w:lastRowLastColumn="0"/>
          <w:tblHeader/>
        </w:trPr>
        <w:tc>
          <w:tcPr>
            <w:tcW w:w="3407" w:type="pct"/>
          </w:tcPr>
          <w:p w14:paraId="714DA268" w14:textId="77777777" w:rsidR="00A33B38" w:rsidRPr="00865B93" w:rsidRDefault="00A33B38" w:rsidP="003442C2">
            <w:pPr>
              <w:pStyle w:val="TableHeaders"/>
              <w:keepNext/>
              <w:spacing w:before="40" w:after="40"/>
            </w:pPr>
            <w:r w:rsidRPr="00865B93">
              <w:t>Population</w:t>
            </w:r>
          </w:p>
        </w:tc>
        <w:tc>
          <w:tcPr>
            <w:tcW w:w="1593" w:type="pct"/>
            <w:tcBorders>
              <w:top w:val="single" w:sz="4" w:space="0" w:color="auto"/>
            </w:tcBorders>
          </w:tcPr>
          <w:p w14:paraId="4A5C5156" w14:textId="77777777" w:rsidR="00A33B38" w:rsidRPr="00865B93" w:rsidRDefault="00A33B38" w:rsidP="003442C2">
            <w:pPr>
              <w:pStyle w:val="TableHeaders"/>
              <w:keepNext/>
              <w:spacing w:before="40" w:after="40"/>
            </w:pPr>
            <w:r w:rsidRPr="00865B93">
              <w:t>Goal</w:t>
            </w:r>
          </w:p>
        </w:tc>
      </w:tr>
      <w:tr w:rsidR="00A33B38" w:rsidRPr="00865B93" w14:paraId="74683E7E" w14:textId="77777777" w:rsidTr="008B6130">
        <w:tc>
          <w:tcPr>
            <w:tcW w:w="3407" w:type="pct"/>
          </w:tcPr>
          <w:p w14:paraId="35CCFC5F" w14:textId="77777777" w:rsidR="00A33B38" w:rsidRPr="00865B93" w:rsidRDefault="00A33B38" w:rsidP="003442C2">
            <w:pPr>
              <w:pStyle w:val="TableText"/>
              <w:keepNext/>
              <w:spacing w:before="40" w:after="40"/>
              <w:rPr>
                <w:b/>
              </w:rPr>
            </w:pPr>
            <w:r w:rsidRPr="00865B93">
              <w:rPr>
                <w:b/>
              </w:rPr>
              <w:t>Adults (aged 26 or older)</w:t>
            </w:r>
          </w:p>
        </w:tc>
        <w:tc>
          <w:tcPr>
            <w:tcW w:w="1593" w:type="pct"/>
          </w:tcPr>
          <w:p w14:paraId="13FAA9EC" w14:textId="77777777" w:rsidR="00A33B38" w:rsidRPr="00865B93" w:rsidRDefault="00A33B38" w:rsidP="003442C2">
            <w:pPr>
              <w:keepNext/>
              <w:spacing w:before="40" w:after="40"/>
              <w:rPr>
                <w:b/>
                <w:szCs w:val="18"/>
              </w:rPr>
            </w:pPr>
          </w:p>
        </w:tc>
      </w:tr>
      <w:tr w:rsidR="00A33B38" w:rsidRPr="00865B93" w14:paraId="516E3C86" w14:textId="77777777" w:rsidTr="008B6130">
        <w:tc>
          <w:tcPr>
            <w:tcW w:w="3407" w:type="pct"/>
          </w:tcPr>
          <w:p w14:paraId="5E325BD6" w14:textId="77777777" w:rsidR="00A33B38" w:rsidRPr="00865B93" w:rsidRDefault="00A33B38" w:rsidP="003442C2">
            <w:pPr>
              <w:pStyle w:val="Tabletextindent10"/>
              <w:keepNext/>
              <w:rPr>
                <w:rFonts w:ascii="Verdana" w:hAnsi="Verdana"/>
                <w:b/>
                <w:sz w:val="18"/>
                <w:szCs w:val="18"/>
              </w:rPr>
            </w:pPr>
            <w:r w:rsidRPr="00865B93">
              <w:rPr>
                <w:rFonts w:ascii="Verdana" w:hAnsi="Verdana"/>
                <w:sz w:val="18"/>
                <w:szCs w:val="18"/>
              </w:rPr>
              <w:t>Current cigarette users</w:t>
            </w:r>
          </w:p>
        </w:tc>
        <w:tc>
          <w:tcPr>
            <w:tcW w:w="1593" w:type="pct"/>
          </w:tcPr>
          <w:p w14:paraId="4CFA0884" w14:textId="6FA9E7C4" w:rsidR="00A33B38" w:rsidRPr="00865B93" w:rsidRDefault="00E32FFE" w:rsidP="003442C2">
            <w:pPr>
              <w:keepNext/>
              <w:tabs>
                <w:tab w:val="decimal" w:pos="1522"/>
              </w:tabs>
              <w:spacing w:before="40" w:after="40"/>
              <w:rPr>
                <w:b/>
                <w:szCs w:val="18"/>
              </w:rPr>
            </w:pPr>
            <w:r>
              <w:rPr>
                <w:rFonts w:hint="eastAsia"/>
                <w:szCs w:val="18"/>
              </w:rPr>
              <w:t>≈1,32</w:t>
            </w:r>
            <w:r w:rsidR="00A33B38" w:rsidRPr="00865B93">
              <w:rPr>
                <w:rFonts w:hint="eastAsia"/>
                <w:szCs w:val="18"/>
              </w:rPr>
              <w:t>0</w:t>
            </w:r>
          </w:p>
        </w:tc>
      </w:tr>
      <w:tr w:rsidR="00A33B38" w:rsidRPr="00865B93" w14:paraId="24522D87" w14:textId="77777777" w:rsidTr="008B6130">
        <w:tc>
          <w:tcPr>
            <w:tcW w:w="3407" w:type="pct"/>
          </w:tcPr>
          <w:p w14:paraId="0D14CE3A" w14:textId="77777777" w:rsidR="00A33B38" w:rsidRPr="00865B93" w:rsidRDefault="00A33B38" w:rsidP="003442C2">
            <w:pPr>
              <w:pStyle w:val="Tabletextindent10"/>
              <w:keepNext/>
              <w:rPr>
                <w:rFonts w:ascii="Verdana" w:hAnsi="Verdana"/>
                <w:sz w:val="18"/>
                <w:szCs w:val="18"/>
              </w:rPr>
            </w:pPr>
            <w:r w:rsidRPr="00865B93">
              <w:rPr>
                <w:rFonts w:ascii="Verdana" w:hAnsi="Verdana"/>
                <w:sz w:val="18"/>
                <w:szCs w:val="18"/>
              </w:rPr>
              <w:t xml:space="preserve">Current </w:t>
            </w:r>
            <w:r>
              <w:rPr>
                <w:rFonts w:ascii="Verdana" w:hAnsi="Verdana"/>
                <w:sz w:val="18"/>
                <w:szCs w:val="18"/>
              </w:rPr>
              <w:t>e</w:t>
            </w:r>
            <w:r>
              <w:rPr>
                <w:rFonts w:ascii="Verdana" w:hAnsi="Verdana"/>
                <w:sz w:val="18"/>
                <w:szCs w:val="18"/>
              </w:rPr>
              <w:noBreakHyphen/>
              <w:t>cig</w:t>
            </w:r>
            <w:r w:rsidRPr="00865B93">
              <w:rPr>
                <w:rFonts w:ascii="Verdana" w:hAnsi="Verdana"/>
                <w:sz w:val="18"/>
                <w:szCs w:val="18"/>
              </w:rPr>
              <w:t>arette users</w:t>
            </w:r>
          </w:p>
        </w:tc>
        <w:tc>
          <w:tcPr>
            <w:tcW w:w="1593" w:type="pct"/>
          </w:tcPr>
          <w:p w14:paraId="72384FF9" w14:textId="2124F143" w:rsidR="00A33B38" w:rsidRPr="00865B93" w:rsidRDefault="00A33B38" w:rsidP="003442C2">
            <w:pPr>
              <w:keepNext/>
              <w:tabs>
                <w:tab w:val="decimal" w:pos="1522"/>
              </w:tabs>
              <w:spacing w:before="40" w:after="40"/>
              <w:rPr>
                <w:szCs w:val="18"/>
              </w:rPr>
            </w:pPr>
            <w:r w:rsidRPr="00865B93">
              <w:rPr>
                <w:rFonts w:hint="eastAsia"/>
                <w:szCs w:val="18"/>
              </w:rPr>
              <w:t>≈6</w:t>
            </w:r>
            <w:r w:rsidR="00E32FFE">
              <w:rPr>
                <w:szCs w:val="18"/>
              </w:rPr>
              <w:t>6</w:t>
            </w:r>
            <w:r w:rsidRPr="00865B93">
              <w:rPr>
                <w:rFonts w:hint="eastAsia"/>
                <w:szCs w:val="18"/>
              </w:rPr>
              <w:t>0</w:t>
            </w:r>
          </w:p>
        </w:tc>
      </w:tr>
      <w:tr w:rsidR="00A33B38" w:rsidRPr="00865B93" w14:paraId="021F3C0A" w14:textId="77777777" w:rsidTr="008B6130">
        <w:tc>
          <w:tcPr>
            <w:tcW w:w="3407" w:type="pct"/>
          </w:tcPr>
          <w:p w14:paraId="7FA95A66" w14:textId="77777777" w:rsidR="00A33B38" w:rsidRPr="00865B93" w:rsidRDefault="00A33B38" w:rsidP="003442C2">
            <w:pPr>
              <w:pStyle w:val="Tabletextindent10"/>
              <w:keepNext/>
              <w:rPr>
                <w:rFonts w:ascii="Verdana" w:hAnsi="Verdana"/>
                <w:b/>
                <w:sz w:val="18"/>
                <w:szCs w:val="18"/>
              </w:rPr>
            </w:pPr>
            <w:r w:rsidRPr="00865B93">
              <w:rPr>
                <w:rFonts w:ascii="Verdana" w:hAnsi="Verdana"/>
                <w:sz w:val="18"/>
                <w:szCs w:val="18"/>
              </w:rPr>
              <w:t>Current snuff users</w:t>
            </w:r>
          </w:p>
        </w:tc>
        <w:tc>
          <w:tcPr>
            <w:tcW w:w="1593" w:type="pct"/>
          </w:tcPr>
          <w:p w14:paraId="1EFDEA67" w14:textId="7FE7FFF9" w:rsidR="00A33B38" w:rsidRPr="00865B93" w:rsidRDefault="00A33B38" w:rsidP="003442C2">
            <w:pPr>
              <w:keepNext/>
              <w:tabs>
                <w:tab w:val="decimal" w:pos="1522"/>
              </w:tabs>
              <w:spacing w:before="40" w:after="40"/>
              <w:rPr>
                <w:b/>
                <w:szCs w:val="18"/>
              </w:rPr>
            </w:pPr>
            <w:r w:rsidRPr="00865B93">
              <w:rPr>
                <w:rFonts w:hint="eastAsia"/>
                <w:szCs w:val="18"/>
              </w:rPr>
              <w:t>≈6</w:t>
            </w:r>
            <w:r w:rsidR="00E32FFE">
              <w:rPr>
                <w:szCs w:val="18"/>
              </w:rPr>
              <w:t>6</w:t>
            </w:r>
            <w:r w:rsidRPr="00865B93">
              <w:rPr>
                <w:rFonts w:hint="eastAsia"/>
                <w:szCs w:val="18"/>
              </w:rPr>
              <w:t>0</w:t>
            </w:r>
          </w:p>
        </w:tc>
      </w:tr>
      <w:tr w:rsidR="00A33B38" w:rsidRPr="00865B93" w14:paraId="17121F10" w14:textId="77777777" w:rsidTr="008B6130">
        <w:tc>
          <w:tcPr>
            <w:tcW w:w="3407" w:type="pct"/>
          </w:tcPr>
          <w:p w14:paraId="034F0A0D" w14:textId="77777777" w:rsidR="00A33B38" w:rsidRPr="00865B93" w:rsidRDefault="00A33B38" w:rsidP="003442C2">
            <w:pPr>
              <w:pStyle w:val="Tabletextindent10"/>
              <w:keepNext/>
              <w:rPr>
                <w:rFonts w:ascii="Verdana" w:hAnsi="Verdana"/>
                <w:b/>
                <w:sz w:val="18"/>
                <w:szCs w:val="18"/>
              </w:rPr>
            </w:pPr>
            <w:r w:rsidRPr="00865B93">
              <w:rPr>
                <w:rFonts w:ascii="Verdana" w:hAnsi="Verdana"/>
                <w:sz w:val="18"/>
                <w:szCs w:val="18"/>
              </w:rPr>
              <w:t>Not current tobacco users</w:t>
            </w:r>
          </w:p>
        </w:tc>
        <w:tc>
          <w:tcPr>
            <w:tcW w:w="1593" w:type="pct"/>
          </w:tcPr>
          <w:p w14:paraId="0A4153F8" w14:textId="01D7DA35" w:rsidR="00A33B38" w:rsidRPr="00865B93" w:rsidRDefault="00A33B38" w:rsidP="003442C2">
            <w:pPr>
              <w:keepNext/>
              <w:tabs>
                <w:tab w:val="decimal" w:pos="1522"/>
              </w:tabs>
              <w:spacing w:before="40" w:after="40"/>
              <w:rPr>
                <w:b/>
                <w:szCs w:val="18"/>
              </w:rPr>
            </w:pPr>
            <w:r w:rsidRPr="00865B93">
              <w:rPr>
                <w:rFonts w:hint="eastAsia"/>
                <w:szCs w:val="18"/>
              </w:rPr>
              <w:t>≈6</w:t>
            </w:r>
            <w:r w:rsidR="00E32FFE">
              <w:rPr>
                <w:szCs w:val="18"/>
              </w:rPr>
              <w:t>6</w:t>
            </w:r>
            <w:r w:rsidRPr="00865B93">
              <w:rPr>
                <w:rFonts w:hint="eastAsia"/>
                <w:szCs w:val="18"/>
              </w:rPr>
              <w:t>0</w:t>
            </w:r>
          </w:p>
        </w:tc>
      </w:tr>
      <w:tr w:rsidR="00A33B38" w:rsidRPr="00865B93" w14:paraId="079A8B11" w14:textId="77777777" w:rsidTr="008B6130">
        <w:tc>
          <w:tcPr>
            <w:tcW w:w="3407" w:type="pct"/>
          </w:tcPr>
          <w:p w14:paraId="2D3E703D" w14:textId="77777777" w:rsidR="00A33B38" w:rsidRPr="00865B93" w:rsidRDefault="00A33B38" w:rsidP="003442C2">
            <w:pPr>
              <w:keepNext/>
              <w:spacing w:before="40" w:after="40"/>
              <w:rPr>
                <w:b/>
                <w:szCs w:val="18"/>
              </w:rPr>
            </w:pPr>
          </w:p>
        </w:tc>
        <w:tc>
          <w:tcPr>
            <w:tcW w:w="1593" w:type="pct"/>
          </w:tcPr>
          <w:p w14:paraId="4F64AA1F" w14:textId="44084D71" w:rsidR="00A33B38" w:rsidRPr="00865B93" w:rsidRDefault="00A33B38" w:rsidP="003442C2">
            <w:pPr>
              <w:keepNext/>
              <w:tabs>
                <w:tab w:val="decimal" w:pos="1522"/>
              </w:tabs>
              <w:spacing w:before="40" w:after="40"/>
              <w:rPr>
                <w:b/>
                <w:szCs w:val="18"/>
              </w:rPr>
            </w:pPr>
            <w:r w:rsidRPr="00865B93">
              <w:rPr>
                <w:rFonts w:hint="eastAsia"/>
                <w:b/>
                <w:szCs w:val="18"/>
              </w:rPr>
              <w:t>≈3,</w:t>
            </w:r>
            <w:r w:rsidR="001C389D">
              <w:rPr>
                <w:b/>
                <w:szCs w:val="18"/>
              </w:rPr>
              <w:t>3</w:t>
            </w:r>
            <w:r w:rsidR="001C389D" w:rsidRPr="00865B93">
              <w:rPr>
                <w:rFonts w:hint="eastAsia"/>
                <w:b/>
                <w:szCs w:val="18"/>
              </w:rPr>
              <w:t>00</w:t>
            </w:r>
          </w:p>
        </w:tc>
      </w:tr>
      <w:tr w:rsidR="00A33B38" w:rsidRPr="00865B93" w14:paraId="6C7C9D99" w14:textId="77777777" w:rsidTr="008B6130">
        <w:tc>
          <w:tcPr>
            <w:tcW w:w="3407" w:type="pct"/>
          </w:tcPr>
          <w:p w14:paraId="4ED5D0A2" w14:textId="77777777" w:rsidR="00A33B38" w:rsidRPr="00865B93" w:rsidRDefault="00A33B38" w:rsidP="003442C2">
            <w:pPr>
              <w:keepNext/>
              <w:spacing w:before="40" w:after="40"/>
              <w:rPr>
                <w:b/>
                <w:szCs w:val="18"/>
              </w:rPr>
            </w:pPr>
            <w:r w:rsidRPr="00865B93">
              <w:rPr>
                <w:b/>
                <w:szCs w:val="18"/>
              </w:rPr>
              <w:t>Young adults (aged 18 to 25)</w:t>
            </w:r>
          </w:p>
        </w:tc>
        <w:tc>
          <w:tcPr>
            <w:tcW w:w="1593" w:type="pct"/>
          </w:tcPr>
          <w:p w14:paraId="7BB1BF4C" w14:textId="77777777" w:rsidR="00A33B38" w:rsidRPr="00865B93" w:rsidRDefault="00A33B38" w:rsidP="003442C2">
            <w:pPr>
              <w:keepNext/>
              <w:tabs>
                <w:tab w:val="decimal" w:pos="1522"/>
              </w:tabs>
              <w:spacing w:before="40" w:after="40"/>
              <w:rPr>
                <w:b/>
                <w:szCs w:val="18"/>
              </w:rPr>
            </w:pPr>
          </w:p>
        </w:tc>
      </w:tr>
      <w:tr w:rsidR="00A33B38" w:rsidRPr="00865B93" w14:paraId="30B4091D" w14:textId="77777777" w:rsidTr="008B6130">
        <w:tc>
          <w:tcPr>
            <w:tcW w:w="3407" w:type="pct"/>
          </w:tcPr>
          <w:p w14:paraId="03B6EE8C" w14:textId="77777777" w:rsidR="00A33B38" w:rsidRPr="00865B93" w:rsidRDefault="00A33B38" w:rsidP="003442C2">
            <w:pPr>
              <w:pStyle w:val="Tabletextindent10"/>
              <w:keepNext/>
              <w:rPr>
                <w:rFonts w:ascii="Verdana" w:hAnsi="Verdana"/>
                <w:b/>
                <w:sz w:val="18"/>
                <w:szCs w:val="18"/>
              </w:rPr>
            </w:pPr>
            <w:r w:rsidRPr="00865B93">
              <w:rPr>
                <w:rFonts w:ascii="Verdana" w:hAnsi="Verdana"/>
                <w:sz w:val="18"/>
                <w:szCs w:val="18"/>
              </w:rPr>
              <w:t>Current cigarette users</w:t>
            </w:r>
          </w:p>
        </w:tc>
        <w:tc>
          <w:tcPr>
            <w:tcW w:w="1593" w:type="pct"/>
          </w:tcPr>
          <w:p w14:paraId="1BEA1CFF" w14:textId="30A6E61C" w:rsidR="00A33B38" w:rsidRPr="00865B93" w:rsidRDefault="00E32FFE" w:rsidP="003442C2">
            <w:pPr>
              <w:keepNext/>
              <w:tabs>
                <w:tab w:val="decimal" w:pos="1522"/>
              </w:tabs>
              <w:spacing w:before="40" w:after="40"/>
              <w:rPr>
                <w:b/>
                <w:szCs w:val="18"/>
              </w:rPr>
            </w:pPr>
            <w:r>
              <w:rPr>
                <w:rFonts w:hint="eastAsia"/>
                <w:szCs w:val="18"/>
              </w:rPr>
              <w:t>≈1,32</w:t>
            </w:r>
            <w:r w:rsidR="00A33B38" w:rsidRPr="00865B93">
              <w:rPr>
                <w:rFonts w:hint="eastAsia"/>
                <w:szCs w:val="18"/>
              </w:rPr>
              <w:t>0</w:t>
            </w:r>
          </w:p>
        </w:tc>
      </w:tr>
      <w:tr w:rsidR="00A33B38" w:rsidRPr="00865B93" w14:paraId="713F35B5" w14:textId="77777777" w:rsidTr="008B6130">
        <w:tc>
          <w:tcPr>
            <w:tcW w:w="3407" w:type="pct"/>
          </w:tcPr>
          <w:p w14:paraId="05CE6D7D" w14:textId="77777777" w:rsidR="00A33B38" w:rsidRPr="00865B93" w:rsidRDefault="00A33B38" w:rsidP="003442C2">
            <w:pPr>
              <w:pStyle w:val="Tabletextindent10"/>
              <w:keepNext/>
              <w:rPr>
                <w:rFonts w:ascii="Verdana" w:hAnsi="Verdana"/>
                <w:sz w:val="18"/>
                <w:szCs w:val="18"/>
              </w:rPr>
            </w:pPr>
            <w:r w:rsidRPr="00865B93">
              <w:rPr>
                <w:rFonts w:ascii="Verdana" w:hAnsi="Verdana"/>
                <w:sz w:val="18"/>
                <w:szCs w:val="18"/>
              </w:rPr>
              <w:t xml:space="preserve">Current </w:t>
            </w:r>
            <w:r>
              <w:rPr>
                <w:rFonts w:ascii="Verdana" w:hAnsi="Verdana"/>
                <w:sz w:val="18"/>
                <w:szCs w:val="18"/>
              </w:rPr>
              <w:t>e</w:t>
            </w:r>
            <w:r>
              <w:rPr>
                <w:rFonts w:ascii="Verdana" w:hAnsi="Verdana"/>
                <w:sz w:val="18"/>
                <w:szCs w:val="18"/>
              </w:rPr>
              <w:noBreakHyphen/>
              <w:t>cig</w:t>
            </w:r>
            <w:r w:rsidRPr="00865B93">
              <w:rPr>
                <w:rFonts w:ascii="Verdana" w:hAnsi="Verdana"/>
                <w:sz w:val="18"/>
                <w:szCs w:val="18"/>
              </w:rPr>
              <w:t>arette users</w:t>
            </w:r>
          </w:p>
        </w:tc>
        <w:tc>
          <w:tcPr>
            <w:tcW w:w="1593" w:type="pct"/>
          </w:tcPr>
          <w:p w14:paraId="5B4B009E" w14:textId="6B1BEA55" w:rsidR="00A33B38" w:rsidRPr="00865B93" w:rsidRDefault="00A33B38" w:rsidP="003442C2">
            <w:pPr>
              <w:keepNext/>
              <w:tabs>
                <w:tab w:val="decimal" w:pos="1522"/>
              </w:tabs>
              <w:spacing w:before="40" w:after="40"/>
              <w:rPr>
                <w:szCs w:val="18"/>
              </w:rPr>
            </w:pPr>
            <w:r w:rsidRPr="00865B93">
              <w:rPr>
                <w:rFonts w:hint="eastAsia"/>
                <w:szCs w:val="18"/>
              </w:rPr>
              <w:t>≈6</w:t>
            </w:r>
            <w:r w:rsidR="00E32FFE">
              <w:rPr>
                <w:szCs w:val="18"/>
              </w:rPr>
              <w:t>6</w:t>
            </w:r>
            <w:r w:rsidRPr="00865B93">
              <w:rPr>
                <w:rFonts w:hint="eastAsia"/>
                <w:szCs w:val="18"/>
              </w:rPr>
              <w:t>0</w:t>
            </w:r>
          </w:p>
        </w:tc>
      </w:tr>
      <w:tr w:rsidR="00A33B38" w:rsidRPr="00865B93" w14:paraId="54E7D852" w14:textId="77777777" w:rsidTr="008B6130">
        <w:tc>
          <w:tcPr>
            <w:tcW w:w="3407" w:type="pct"/>
          </w:tcPr>
          <w:p w14:paraId="20FC575E" w14:textId="77777777" w:rsidR="00A33B38" w:rsidRPr="00865B93" w:rsidRDefault="00A33B38" w:rsidP="003442C2">
            <w:pPr>
              <w:pStyle w:val="Tabletextindent10"/>
              <w:keepNext/>
              <w:rPr>
                <w:rFonts w:ascii="Verdana" w:hAnsi="Verdana"/>
                <w:b/>
                <w:sz w:val="18"/>
                <w:szCs w:val="18"/>
              </w:rPr>
            </w:pPr>
            <w:r w:rsidRPr="00865B93">
              <w:rPr>
                <w:rFonts w:ascii="Verdana" w:hAnsi="Verdana"/>
                <w:sz w:val="18"/>
                <w:szCs w:val="18"/>
              </w:rPr>
              <w:t>Current snuff users</w:t>
            </w:r>
          </w:p>
        </w:tc>
        <w:tc>
          <w:tcPr>
            <w:tcW w:w="1593" w:type="pct"/>
          </w:tcPr>
          <w:p w14:paraId="0BB0794F" w14:textId="65474F56" w:rsidR="00A33B38" w:rsidRPr="00865B93" w:rsidRDefault="00A33B38" w:rsidP="003442C2">
            <w:pPr>
              <w:keepNext/>
              <w:tabs>
                <w:tab w:val="decimal" w:pos="1522"/>
              </w:tabs>
              <w:spacing w:before="40" w:after="40"/>
              <w:rPr>
                <w:b/>
                <w:szCs w:val="18"/>
              </w:rPr>
            </w:pPr>
            <w:r w:rsidRPr="00865B93">
              <w:rPr>
                <w:rFonts w:hint="eastAsia"/>
                <w:szCs w:val="18"/>
              </w:rPr>
              <w:t>≈6</w:t>
            </w:r>
            <w:r w:rsidR="00E32FFE">
              <w:rPr>
                <w:szCs w:val="18"/>
              </w:rPr>
              <w:t>6</w:t>
            </w:r>
            <w:r w:rsidRPr="00865B93">
              <w:rPr>
                <w:rFonts w:hint="eastAsia"/>
                <w:szCs w:val="18"/>
              </w:rPr>
              <w:t>0</w:t>
            </w:r>
          </w:p>
        </w:tc>
      </w:tr>
      <w:tr w:rsidR="00A33B38" w:rsidRPr="00865B93" w14:paraId="1B4E0681" w14:textId="77777777" w:rsidTr="008B6130">
        <w:tc>
          <w:tcPr>
            <w:tcW w:w="3407" w:type="pct"/>
          </w:tcPr>
          <w:p w14:paraId="5D62AAB0" w14:textId="77777777" w:rsidR="00A33B38" w:rsidRPr="00865B93" w:rsidRDefault="00A33B38" w:rsidP="003442C2">
            <w:pPr>
              <w:pStyle w:val="Tabletextindent10"/>
              <w:keepNext/>
              <w:rPr>
                <w:rFonts w:ascii="Verdana" w:hAnsi="Verdana"/>
                <w:b/>
                <w:sz w:val="18"/>
                <w:szCs w:val="18"/>
              </w:rPr>
            </w:pPr>
            <w:r w:rsidRPr="00865B93">
              <w:rPr>
                <w:rFonts w:ascii="Verdana" w:hAnsi="Verdana"/>
                <w:sz w:val="18"/>
                <w:szCs w:val="18"/>
              </w:rPr>
              <w:t>Not current tobacco users</w:t>
            </w:r>
          </w:p>
        </w:tc>
        <w:tc>
          <w:tcPr>
            <w:tcW w:w="1593" w:type="pct"/>
          </w:tcPr>
          <w:p w14:paraId="2D3B072B" w14:textId="6352EA2A" w:rsidR="00A33B38" w:rsidRPr="00865B93" w:rsidRDefault="00A33B38" w:rsidP="003442C2">
            <w:pPr>
              <w:keepNext/>
              <w:tabs>
                <w:tab w:val="decimal" w:pos="1522"/>
              </w:tabs>
              <w:spacing w:before="40" w:after="40"/>
              <w:rPr>
                <w:b/>
                <w:szCs w:val="18"/>
              </w:rPr>
            </w:pPr>
            <w:r w:rsidRPr="00865B93">
              <w:rPr>
                <w:rFonts w:hint="eastAsia"/>
                <w:szCs w:val="18"/>
              </w:rPr>
              <w:t>≈6</w:t>
            </w:r>
            <w:r w:rsidR="00E32FFE">
              <w:rPr>
                <w:szCs w:val="18"/>
              </w:rPr>
              <w:t>6</w:t>
            </w:r>
            <w:r w:rsidRPr="00865B93">
              <w:rPr>
                <w:rFonts w:hint="eastAsia"/>
                <w:szCs w:val="18"/>
              </w:rPr>
              <w:t>0</w:t>
            </w:r>
          </w:p>
        </w:tc>
      </w:tr>
      <w:tr w:rsidR="00A33B38" w:rsidRPr="00865B93" w14:paraId="79DC6627" w14:textId="77777777" w:rsidTr="008B6130">
        <w:tc>
          <w:tcPr>
            <w:tcW w:w="3407" w:type="pct"/>
          </w:tcPr>
          <w:p w14:paraId="1B5C3D4F" w14:textId="77777777" w:rsidR="00A33B38" w:rsidRPr="00865B93" w:rsidRDefault="00A33B38" w:rsidP="003442C2">
            <w:pPr>
              <w:keepNext/>
              <w:spacing w:before="40" w:after="40"/>
              <w:rPr>
                <w:b/>
                <w:szCs w:val="18"/>
              </w:rPr>
            </w:pPr>
          </w:p>
        </w:tc>
        <w:tc>
          <w:tcPr>
            <w:tcW w:w="1593" w:type="pct"/>
          </w:tcPr>
          <w:p w14:paraId="3CA8CD40" w14:textId="0D8FAE43" w:rsidR="00A33B38" w:rsidRPr="00865B93" w:rsidRDefault="00A33B38" w:rsidP="003442C2">
            <w:pPr>
              <w:keepNext/>
              <w:tabs>
                <w:tab w:val="decimal" w:pos="1522"/>
              </w:tabs>
              <w:spacing w:before="40" w:after="40"/>
              <w:rPr>
                <w:b/>
                <w:szCs w:val="18"/>
              </w:rPr>
            </w:pPr>
            <w:r w:rsidRPr="00865B93">
              <w:rPr>
                <w:rFonts w:hint="eastAsia"/>
                <w:b/>
                <w:szCs w:val="18"/>
              </w:rPr>
              <w:t>≈3,</w:t>
            </w:r>
            <w:r w:rsidR="001C389D">
              <w:rPr>
                <w:b/>
                <w:szCs w:val="18"/>
              </w:rPr>
              <w:t>3</w:t>
            </w:r>
            <w:r w:rsidR="001C389D" w:rsidRPr="00865B93">
              <w:rPr>
                <w:rFonts w:hint="eastAsia"/>
                <w:b/>
                <w:szCs w:val="18"/>
              </w:rPr>
              <w:t>00</w:t>
            </w:r>
          </w:p>
        </w:tc>
      </w:tr>
      <w:tr w:rsidR="00A33B38" w:rsidRPr="00865B93" w14:paraId="6C774D64" w14:textId="77777777" w:rsidTr="008B6130">
        <w:tc>
          <w:tcPr>
            <w:tcW w:w="3407" w:type="pct"/>
          </w:tcPr>
          <w:p w14:paraId="1747EA0B" w14:textId="77777777" w:rsidR="00A33B38" w:rsidRPr="00865B93" w:rsidRDefault="00A33B38" w:rsidP="003442C2">
            <w:pPr>
              <w:keepNext/>
              <w:spacing w:before="40" w:after="40"/>
              <w:rPr>
                <w:b/>
                <w:i/>
                <w:szCs w:val="18"/>
              </w:rPr>
            </w:pPr>
            <w:r w:rsidRPr="00865B93">
              <w:rPr>
                <w:b/>
                <w:i/>
                <w:szCs w:val="18"/>
              </w:rPr>
              <w:t>Study Total</w:t>
            </w:r>
          </w:p>
        </w:tc>
        <w:tc>
          <w:tcPr>
            <w:tcW w:w="1593" w:type="pct"/>
          </w:tcPr>
          <w:p w14:paraId="3CEA75D9" w14:textId="5C1CFB62" w:rsidR="00A33B38" w:rsidRPr="00865B93" w:rsidRDefault="00A33B38" w:rsidP="003442C2">
            <w:pPr>
              <w:keepNext/>
              <w:tabs>
                <w:tab w:val="decimal" w:pos="1522"/>
              </w:tabs>
              <w:spacing w:before="40" w:after="40"/>
              <w:rPr>
                <w:b/>
                <w:i/>
                <w:szCs w:val="18"/>
              </w:rPr>
            </w:pPr>
            <w:r w:rsidRPr="00865B93">
              <w:rPr>
                <w:b/>
                <w:i/>
                <w:szCs w:val="18"/>
              </w:rPr>
              <w:t>6,</w:t>
            </w:r>
            <w:r w:rsidR="001C389D">
              <w:rPr>
                <w:b/>
                <w:i/>
                <w:szCs w:val="18"/>
              </w:rPr>
              <w:t>6</w:t>
            </w:r>
            <w:r w:rsidR="001C389D" w:rsidRPr="00865B93">
              <w:rPr>
                <w:b/>
                <w:i/>
                <w:szCs w:val="18"/>
              </w:rPr>
              <w:t>00</w:t>
            </w:r>
          </w:p>
        </w:tc>
      </w:tr>
    </w:tbl>
    <w:p w14:paraId="36395496" w14:textId="77777777" w:rsidR="002C26AC" w:rsidRDefault="002C26AC" w:rsidP="0064304E">
      <w:pPr>
        <w:ind w:left="1080"/>
        <w:rPr>
          <w:rFonts w:ascii="Times New Roman" w:hAnsi="Times New Roman" w:cs="Times New Roman"/>
        </w:rPr>
      </w:pPr>
    </w:p>
    <w:p w14:paraId="48A48D7B" w14:textId="3F64FC2B" w:rsidR="0064304E" w:rsidRPr="009A73BF" w:rsidRDefault="0064304E" w:rsidP="0064304E">
      <w:pPr>
        <w:ind w:left="1080"/>
        <w:rPr>
          <w:rFonts w:ascii="Times New Roman" w:hAnsi="Times New Roman" w:cs="Times New Roman"/>
        </w:rPr>
      </w:pPr>
      <w:r w:rsidRPr="009A73BF">
        <w:rPr>
          <w:rFonts w:ascii="Times New Roman" w:hAnsi="Times New Roman" w:cs="Times New Roman"/>
        </w:rPr>
        <w:t xml:space="preserve">Respondents to be included in the study will be members of the </w:t>
      </w:r>
      <w:r w:rsidR="005E6C07" w:rsidRPr="009A73BF">
        <w:rPr>
          <w:rFonts w:ascii="Times New Roman" w:hAnsi="Times New Roman" w:cs="Times New Roman"/>
        </w:rPr>
        <w:t xml:space="preserve">Lightspeed LLC (Lightspeed) </w:t>
      </w:r>
      <w:r w:rsidR="00BF3EE8" w:rsidRPr="009A73BF">
        <w:rPr>
          <w:rFonts w:ascii="Times New Roman" w:hAnsi="Times New Roman" w:cs="Times New Roman"/>
        </w:rPr>
        <w:t xml:space="preserve">online </w:t>
      </w:r>
      <w:r w:rsidR="005E6C07" w:rsidRPr="009A73BF">
        <w:rPr>
          <w:rFonts w:ascii="Times New Roman" w:hAnsi="Times New Roman" w:cs="Times New Roman"/>
        </w:rPr>
        <w:t xml:space="preserve">survey </w:t>
      </w:r>
      <w:r w:rsidR="00BF3EE8" w:rsidRPr="009A73BF">
        <w:rPr>
          <w:rFonts w:ascii="Times New Roman" w:hAnsi="Times New Roman" w:cs="Times New Roman"/>
        </w:rPr>
        <w:t>p</w:t>
      </w:r>
      <w:r w:rsidRPr="009A73BF">
        <w:rPr>
          <w:rFonts w:ascii="Times New Roman" w:hAnsi="Times New Roman" w:cs="Times New Roman"/>
        </w:rPr>
        <w:t>anel.</w:t>
      </w:r>
      <w:r w:rsidR="005E6C07" w:rsidRPr="009A73BF">
        <w:rPr>
          <w:rFonts w:ascii="Times New Roman" w:hAnsi="Times New Roman" w:cs="Times New Roman"/>
        </w:rPr>
        <w:t xml:space="preserve"> </w:t>
      </w:r>
      <w:r w:rsidRPr="009A73BF">
        <w:rPr>
          <w:rFonts w:ascii="Times New Roman" w:hAnsi="Times New Roman" w:cs="Times New Roman"/>
        </w:rPr>
        <w:t xml:space="preserve">The </w:t>
      </w:r>
      <w:r w:rsidR="005E6C07" w:rsidRPr="009A73BF">
        <w:rPr>
          <w:rFonts w:ascii="Times New Roman" w:hAnsi="Times New Roman" w:cs="Times New Roman"/>
        </w:rPr>
        <w:t>Lightspeed</w:t>
      </w:r>
      <w:r w:rsidRPr="009A73BF">
        <w:rPr>
          <w:rFonts w:ascii="Times New Roman" w:hAnsi="Times New Roman" w:cs="Times New Roman"/>
        </w:rPr>
        <w:t xml:space="preserve"> panel consists of a convenience sample of adults nationwide. </w:t>
      </w:r>
      <w:r w:rsidR="00831685" w:rsidRPr="009A73BF">
        <w:rPr>
          <w:rFonts w:ascii="Times New Roman" w:hAnsi="Times New Roman" w:cs="Times New Roman"/>
        </w:rPr>
        <w:t xml:space="preserve">Panel inclusion is by invitation only, and </w:t>
      </w:r>
      <w:r w:rsidR="005E6C07" w:rsidRPr="009A73BF">
        <w:rPr>
          <w:rFonts w:ascii="Times New Roman" w:hAnsi="Times New Roman" w:cs="Times New Roman"/>
        </w:rPr>
        <w:t>Lightspeed</w:t>
      </w:r>
      <w:r w:rsidR="00831685" w:rsidRPr="009A73BF">
        <w:rPr>
          <w:rFonts w:ascii="Times New Roman" w:hAnsi="Times New Roman" w:cs="Times New Roman"/>
        </w:rPr>
        <w:t xml:space="preserve"> invites only pre-validated individuals with known characteristics to participate in their consumer panels. </w:t>
      </w:r>
      <w:r w:rsidR="00416244" w:rsidRPr="009A73BF">
        <w:rPr>
          <w:rFonts w:ascii="Times New Roman" w:hAnsi="Times New Roman" w:cs="Times New Roman"/>
        </w:rPr>
        <w:t>The convenience sample provided by the panel is considered suitable for the purposes of this study</w:t>
      </w:r>
      <w:r w:rsidR="004E29B6" w:rsidRPr="009A73BF">
        <w:rPr>
          <w:rFonts w:ascii="Times New Roman" w:hAnsi="Times New Roman" w:cs="Times New Roman"/>
        </w:rPr>
        <w:t>.</w:t>
      </w:r>
      <w:r w:rsidR="00416244" w:rsidRPr="009A73BF">
        <w:rPr>
          <w:rFonts w:ascii="Times New Roman" w:hAnsi="Times New Roman" w:cs="Times New Roman"/>
        </w:rPr>
        <w:t xml:space="preserve"> </w:t>
      </w:r>
      <w:r w:rsidR="00F56AB2" w:rsidRPr="009A73BF">
        <w:rPr>
          <w:rFonts w:ascii="Times New Roman" w:hAnsi="Times New Roman" w:cs="Times New Roman"/>
        </w:rPr>
        <w:t xml:space="preserve">This study is based on predetermined quotas. Individuals who are not members of the Lightspeed panel at the time of survey administration </w:t>
      </w:r>
      <w:r w:rsidR="00680733" w:rsidRPr="009A73BF">
        <w:rPr>
          <w:rFonts w:ascii="Times New Roman" w:hAnsi="Times New Roman" w:cs="Times New Roman"/>
        </w:rPr>
        <w:t xml:space="preserve">will not be invited to participate in this study. Only those who are invited to the study will have the means to access it, so it is not possible for the non-panel members or uninvited panel members to participate. </w:t>
      </w:r>
    </w:p>
    <w:p w14:paraId="1B3BB3DB" w14:textId="65FCA9EC" w:rsidR="00BE32B5" w:rsidRPr="009A73BF" w:rsidRDefault="00BE32B5" w:rsidP="0064304E">
      <w:pPr>
        <w:ind w:left="1080"/>
        <w:rPr>
          <w:rFonts w:ascii="Times New Roman" w:hAnsi="Times New Roman" w:cs="Times New Roman"/>
        </w:rPr>
      </w:pPr>
    </w:p>
    <w:p w14:paraId="01012C52" w14:textId="7BD91A1F" w:rsidR="0064304E" w:rsidRPr="009A73BF" w:rsidRDefault="006062B0" w:rsidP="0064304E">
      <w:pPr>
        <w:ind w:left="1080"/>
        <w:rPr>
          <w:rFonts w:ascii="Times New Roman" w:hAnsi="Times New Roman" w:cs="Times New Roman"/>
        </w:rPr>
      </w:pPr>
      <w:r w:rsidRPr="009A73BF">
        <w:rPr>
          <w:rFonts w:ascii="Times New Roman" w:hAnsi="Times New Roman" w:cs="Times New Roman"/>
        </w:rPr>
        <w:t>Invited panel members who decline to participate in the study during the consenting process will be excluded from th</w:t>
      </w:r>
      <w:r>
        <w:rPr>
          <w:rFonts w:ascii="Times New Roman" w:hAnsi="Times New Roman" w:cs="Times New Roman"/>
        </w:rPr>
        <w:t>e</w:t>
      </w:r>
      <w:r w:rsidRPr="009A73BF">
        <w:rPr>
          <w:rFonts w:ascii="Times New Roman" w:hAnsi="Times New Roman" w:cs="Times New Roman"/>
        </w:rPr>
        <w:t xml:space="preserve"> study. </w:t>
      </w:r>
      <w:r w:rsidR="00492356" w:rsidRPr="009A73BF">
        <w:rPr>
          <w:rFonts w:ascii="Times New Roman" w:hAnsi="Times New Roman" w:cs="Times New Roman"/>
        </w:rPr>
        <w:t>Lightspeed</w:t>
      </w:r>
      <w:r w:rsidR="00C6576A" w:rsidRPr="009A73BF">
        <w:rPr>
          <w:rFonts w:ascii="Times New Roman" w:hAnsi="Times New Roman" w:cs="Times New Roman"/>
        </w:rPr>
        <w:t xml:space="preserve"> respondents</w:t>
      </w:r>
      <w:r w:rsidR="0064304E" w:rsidRPr="009A73BF">
        <w:rPr>
          <w:rFonts w:ascii="Times New Roman" w:hAnsi="Times New Roman" w:cs="Times New Roman"/>
        </w:rPr>
        <w:t xml:space="preserve"> </w:t>
      </w:r>
      <w:r>
        <w:rPr>
          <w:rFonts w:ascii="Times New Roman" w:hAnsi="Times New Roman" w:cs="Times New Roman"/>
        </w:rPr>
        <w:t xml:space="preserve">who consent </w:t>
      </w:r>
      <w:r w:rsidR="0064304E" w:rsidRPr="009A73BF">
        <w:rPr>
          <w:rFonts w:ascii="Times New Roman" w:hAnsi="Times New Roman" w:cs="Times New Roman"/>
        </w:rPr>
        <w:t>will be screened into the study using a series of survey items</w:t>
      </w:r>
      <w:r w:rsidR="00BF3EE8" w:rsidRPr="009A73BF">
        <w:rPr>
          <w:rFonts w:ascii="Times New Roman" w:hAnsi="Times New Roman" w:cs="Times New Roman"/>
        </w:rPr>
        <w:t xml:space="preserve"> to determine eligibility</w:t>
      </w:r>
      <w:r w:rsidR="00831685" w:rsidRPr="009A73BF">
        <w:rPr>
          <w:rFonts w:ascii="Times New Roman" w:hAnsi="Times New Roman" w:cs="Times New Roman"/>
        </w:rPr>
        <w:t xml:space="preserve"> based on age and tobacco use</w:t>
      </w:r>
      <w:r w:rsidR="0064304E" w:rsidRPr="009A73BF">
        <w:rPr>
          <w:rFonts w:ascii="Times New Roman" w:hAnsi="Times New Roman" w:cs="Times New Roman"/>
        </w:rPr>
        <w:t xml:space="preserve">. </w:t>
      </w:r>
      <w:r w:rsidR="00BF3EE8" w:rsidRPr="009A73BF">
        <w:rPr>
          <w:rFonts w:ascii="Times New Roman" w:hAnsi="Times New Roman" w:cs="Times New Roman"/>
        </w:rPr>
        <w:t>Eligibility assessment will consist of</w:t>
      </w:r>
      <w:r w:rsidR="00492356" w:rsidRPr="009A73BF">
        <w:rPr>
          <w:rFonts w:ascii="Times New Roman" w:hAnsi="Times New Roman" w:cs="Times New Roman"/>
        </w:rPr>
        <w:t xml:space="preserve"> </w:t>
      </w:r>
      <w:r w:rsidR="006D4321" w:rsidRPr="009A73BF">
        <w:rPr>
          <w:rFonts w:ascii="Times New Roman" w:hAnsi="Times New Roman" w:cs="Times New Roman"/>
        </w:rPr>
        <w:t>7</w:t>
      </w:r>
      <w:r w:rsidR="00492356" w:rsidRPr="009A73BF">
        <w:rPr>
          <w:rFonts w:ascii="Times New Roman" w:hAnsi="Times New Roman" w:cs="Times New Roman"/>
        </w:rPr>
        <w:t xml:space="preserve"> screener</w:t>
      </w:r>
      <w:r w:rsidR="00BF3EE8" w:rsidRPr="009A73BF">
        <w:rPr>
          <w:rFonts w:ascii="Times New Roman" w:hAnsi="Times New Roman" w:cs="Times New Roman"/>
        </w:rPr>
        <w:t xml:space="preserve"> items, depending on </w:t>
      </w:r>
      <w:r w:rsidR="00492356" w:rsidRPr="009A73BF">
        <w:rPr>
          <w:rFonts w:ascii="Times New Roman" w:hAnsi="Times New Roman" w:cs="Times New Roman"/>
        </w:rPr>
        <w:t>participants’ responses</w:t>
      </w:r>
      <w:r w:rsidR="00BF3EE8" w:rsidRPr="009A73BF">
        <w:rPr>
          <w:rFonts w:ascii="Times New Roman" w:hAnsi="Times New Roman" w:cs="Times New Roman"/>
        </w:rPr>
        <w:t xml:space="preserve">. These items will determine whether individuals are within the age range of the study; whether they are current cigarette, e-cigarette, or </w:t>
      </w:r>
      <w:r w:rsidR="00492356" w:rsidRPr="009A73BF">
        <w:rPr>
          <w:rFonts w:ascii="Times New Roman" w:hAnsi="Times New Roman" w:cs="Times New Roman"/>
        </w:rPr>
        <w:t>snuff</w:t>
      </w:r>
      <w:r w:rsidR="00BF3EE8" w:rsidRPr="009A73BF">
        <w:rPr>
          <w:rFonts w:ascii="Times New Roman" w:hAnsi="Times New Roman" w:cs="Times New Roman"/>
        </w:rPr>
        <w:t xml:space="preserve"> users</w:t>
      </w:r>
      <w:r w:rsidR="006C1641" w:rsidRPr="009A73BF">
        <w:rPr>
          <w:rFonts w:ascii="Times New Roman" w:hAnsi="Times New Roman" w:cs="Times New Roman"/>
        </w:rPr>
        <w:t xml:space="preserve">, </w:t>
      </w:r>
      <w:r w:rsidR="00492356" w:rsidRPr="009A73BF">
        <w:rPr>
          <w:rFonts w:ascii="Times New Roman" w:hAnsi="Times New Roman" w:cs="Times New Roman"/>
        </w:rPr>
        <w:t xml:space="preserve">or </w:t>
      </w:r>
      <w:r w:rsidR="006C1641" w:rsidRPr="009A73BF">
        <w:rPr>
          <w:rFonts w:ascii="Times New Roman" w:hAnsi="Times New Roman" w:cs="Times New Roman"/>
        </w:rPr>
        <w:t>current nontobacco users</w:t>
      </w:r>
      <w:r w:rsidR="001F4D61" w:rsidRPr="009A73BF">
        <w:rPr>
          <w:rFonts w:ascii="Times New Roman" w:hAnsi="Times New Roman" w:cs="Times New Roman"/>
        </w:rPr>
        <w:t>, and what their education</w:t>
      </w:r>
      <w:r w:rsidR="00140BF8">
        <w:rPr>
          <w:rFonts w:ascii="Times New Roman" w:hAnsi="Times New Roman" w:cs="Times New Roman"/>
        </w:rPr>
        <w:t>al attainment</w:t>
      </w:r>
      <w:r w:rsidR="001F4D61" w:rsidRPr="009A73BF">
        <w:rPr>
          <w:rFonts w:ascii="Times New Roman" w:hAnsi="Times New Roman" w:cs="Times New Roman"/>
        </w:rPr>
        <w:t xml:space="preserve"> is</w:t>
      </w:r>
      <w:r w:rsidR="00492356" w:rsidRPr="009A73BF">
        <w:rPr>
          <w:rFonts w:ascii="Times New Roman" w:hAnsi="Times New Roman" w:cs="Times New Roman"/>
        </w:rPr>
        <w:t xml:space="preserve">. </w:t>
      </w:r>
      <w:r w:rsidR="001F4D61" w:rsidRPr="009A73BF">
        <w:rPr>
          <w:rFonts w:ascii="Times New Roman" w:hAnsi="Times New Roman" w:cs="Times New Roman"/>
        </w:rPr>
        <w:t xml:space="preserve">Educational attainment is measured in the screener, although it is not an inclusion criteria, so we can oversample on lower education to determine if this population </w:t>
      </w:r>
      <w:r w:rsidR="00140BF8">
        <w:rPr>
          <w:rFonts w:ascii="Times New Roman" w:hAnsi="Times New Roman" w:cs="Times New Roman"/>
        </w:rPr>
        <w:t xml:space="preserve">responds differently to modified risk </w:t>
      </w:r>
      <w:r w:rsidR="001F4D61" w:rsidRPr="009A73BF">
        <w:rPr>
          <w:rFonts w:ascii="Times New Roman" w:hAnsi="Times New Roman" w:cs="Times New Roman"/>
        </w:rPr>
        <w:t>claims</w:t>
      </w:r>
      <w:r w:rsidR="00140BF8">
        <w:rPr>
          <w:rFonts w:ascii="Times New Roman" w:hAnsi="Times New Roman" w:cs="Times New Roman"/>
        </w:rPr>
        <w:t xml:space="preserve"> compared to people with higher educational attainment</w:t>
      </w:r>
      <w:r w:rsidR="001F4D61" w:rsidRPr="009A73BF">
        <w:rPr>
          <w:rFonts w:ascii="Times New Roman" w:hAnsi="Times New Roman" w:cs="Times New Roman"/>
        </w:rPr>
        <w:t xml:space="preserve">. </w:t>
      </w:r>
      <w:r w:rsidR="00BF3EE8" w:rsidRPr="009A73BF">
        <w:rPr>
          <w:rFonts w:ascii="Times New Roman" w:hAnsi="Times New Roman" w:cs="Times New Roman"/>
        </w:rPr>
        <w:t>Th</w:t>
      </w:r>
      <w:r w:rsidR="00140BF8">
        <w:rPr>
          <w:rFonts w:ascii="Times New Roman" w:hAnsi="Times New Roman" w:cs="Times New Roman"/>
        </w:rPr>
        <w:t>e screener includes</w:t>
      </w:r>
      <w:r w:rsidR="00BF3EE8" w:rsidRPr="009A73BF">
        <w:rPr>
          <w:rFonts w:ascii="Times New Roman" w:hAnsi="Times New Roman" w:cs="Times New Roman"/>
        </w:rPr>
        <w:t xml:space="preserve"> the minimum number of items needed to assess study eligibility</w:t>
      </w:r>
      <w:r w:rsidR="00FC391D" w:rsidRPr="009A73BF">
        <w:rPr>
          <w:rFonts w:ascii="Times New Roman" w:hAnsi="Times New Roman" w:cs="Times New Roman"/>
        </w:rPr>
        <w:t xml:space="preserve"> and develop the sample need</w:t>
      </w:r>
      <w:r w:rsidR="00140BF8">
        <w:rPr>
          <w:rFonts w:ascii="Times New Roman" w:hAnsi="Times New Roman" w:cs="Times New Roman"/>
        </w:rPr>
        <w:t>ed</w:t>
      </w:r>
      <w:r w:rsidR="00FC391D" w:rsidRPr="009A73BF">
        <w:rPr>
          <w:rFonts w:ascii="Times New Roman" w:hAnsi="Times New Roman" w:cs="Times New Roman"/>
        </w:rPr>
        <w:t xml:space="preserve"> to </w:t>
      </w:r>
      <w:r w:rsidR="00140BF8">
        <w:rPr>
          <w:rFonts w:ascii="Times New Roman" w:hAnsi="Times New Roman" w:cs="Times New Roman"/>
        </w:rPr>
        <w:t>achieve</w:t>
      </w:r>
      <w:r w:rsidR="00FC391D" w:rsidRPr="009A73BF">
        <w:rPr>
          <w:rFonts w:ascii="Times New Roman" w:hAnsi="Times New Roman" w:cs="Times New Roman"/>
        </w:rPr>
        <w:t xml:space="preserve"> study goals</w:t>
      </w:r>
      <w:r w:rsidR="00BF3EE8" w:rsidRPr="009A73BF">
        <w:rPr>
          <w:rFonts w:ascii="Times New Roman" w:hAnsi="Times New Roman" w:cs="Times New Roman"/>
        </w:rPr>
        <w:t xml:space="preserve">. </w:t>
      </w:r>
      <w:r w:rsidR="006C1641" w:rsidRPr="009A73BF">
        <w:rPr>
          <w:rFonts w:ascii="Times New Roman" w:hAnsi="Times New Roman" w:cs="Times New Roman"/>
        </w:rPr>
        <w:t>R</w:t>
      </w:r>
      <w:r w:rsidR="0064304E" w:rsidRPr="009A73BF">
        <w:rPr>
          <w:rFonts w:ascii="Times New Roman" w:hAnsi="Times New Roman" w:cs="Times New Roman"/>
        </w:rPr>
        <w:t xml:space="preserve">espondents who </w:t>
      </w:r>
      <w:r w:rsidR="006C1641" w:rsidRPr="009A73BF">
        <w:rPr>
          <w:rFonts w:ascii="Times New Roman" w:hAnsi="Times New Roman" w:cs="Times New Roman"/>
        </w:rPr>
        <w:t xml:space="preserve">choose not to </w:t>
      </w:r>
      <w:r w:rsidR="0064304E" w:rsidRPr="009A73BF">
        <w:rPr>
          <w:rFonts w:ascii="Times New Roman" w:hAnsi="Times New Roman" w:cs="Times New Roman"/>
        </w:rPr>
        <w:t>complete</w:t>
      </w:r>
      <w:r w:rsidR="00492356" w:rsidRPr="009A73BF">
        <w:rPr>
          <w:rFonts w:ascii="Times New Roman" w:hAnsi="Times New Roman" w:cs="Times New Roman"/>
        </w:rPr>
        <w:t xml:space="preserve"> a</w:t>
      </w:r>
      <w:r w:rsidR="0064304E" w:rsidRPr="009A73BF">
        <w:rPr>
          <w:rFonts w:ascii="Times New Roman" w:hAnsi="Times New Roman" w:cs="Times New Roman"/>
        </w:rPr>
        <w:t xml:space="preserve"> </w:t>
      </w:r>
      <w:r w:rsidR="00BF3EE8" w:rsidRPr="009A73BF">
        <w:rPr>
          <w:rFonts w:ascii="Times New Roman" w:hAnsi="Times New Roman" w:cs="Times New Roman"/>
        </w:rPr>
        <w:t xml:space="preserve">screener item will </w:t>
      </w:r>
      <w:r w:rsidR="006C1641" w:rsidRPr="009A73BF">
        <w:rPr>
          <w:rFonts w:ascii="Times New Roman" w:hAnsi="Times New Roman" w:cs="Times New Roman"/>
        </w:rPr>
        <w:t>be ineligible for the study</w:t>
      </w:r>
      <w:r w:rsidR="00492356" w:rsidRPr="009A73BF">
        <w:rPr>
          <w:rFonts w:ascii="Times New Roman" w:hAnsi="Times New Roman" w:cs="Times New Roman"/>
        </w:rPr>
        <w:t xml:space="preserve"> and will be excluded at the point of non-response (rather than after answering all screener items)</w:t>
      </w:r>
      <w:r w:rsidR="00BF3EE8" w:rsidRPr="009A73BF">
        <w:rPr>
          <w:rFonts w:ascii="Times New Roman" w:hAnsi="Times New Roman" w:cs="Times New Roman"/>
        </w:rPr>
        <w:t xml:space="preserve">. </w:t>
      </w:r>
      <w:r w:rsidR="00C84D4A" w:rsidRPr="009A73BF">
        <w:rPr>
          <w:rFonts w:ascii="Times New Roman" w:hAnsi="Times New Roman" w:cs="Times New Roman"/>
        </w:rPr>
        <w:t xml:space="preserve">Furthermore, individuals will be excluded from the study if we have already met the desired sample size for their tobacco use category and age group. </w:t>
      </w:r>
      <w:r w:rsidR="00BF3EE8" w:rsidRPr="009A73BF">
        <w:rPr>
          <w:rFonts w:ascii="Times New Roman" w:hAnsi="Times New Roman" w:cs="Times New Roman"/>
        </w:rPr>
        <w:t xml:space="preserve">The final analytic sample will include only </w:t>
      </w:r>
      <w:r w:rsidR="006C1641" w:rsidRPr="009A73BF">
        <w:rPr>
          <w:rFonts w:ascii="Times New Roman" w:hAnsi="Times New Roman" w:cs="Times New Roman"/>
        </w:rPr>
        <w:t xml:space="preserve">eligible </w:t>
      </w:r>
      <w:r w:rsidR="00BF3EE8" w:rsidRPr="009A73BF">
        <w:rPr>
          <w:rFonts w:ascii="Times New Roman" w:hAnsi="Times New Roman" w:cs="Times New Roman"/>
        </w:rPr>
        <w:t xml:space="preserve">respondents who, after </w:t>
      </w:r>
      <w:r>
        <w:rPr>
          <w:rFonts w:ascii="Times New Roman" w:hAnsi="Times New Roman" w:cs="Times New Roman"/>
        </w:rPr>
        <w:t xml:space="preserve">consenting to participate and </w:t>
      </w:r>
      <w:r w:rsidR="00BF3EE8" w:rsidRPr="009A73BF">
        <w:rPr>
          <w:rFonts w:ascii="Times New Roman" w:hAnsi="Times New Roman" w:cs="Times New Roman"/>
        </w:rPr>
        <w:t xml:space="preserve">completing the screener items, complete all </w:t>
      </w:r>
      <w:r w:rsidR="0064304E" w:rsidRPr="009A73BF">
        <w:rPr>
          <w:rFonts w:ascii="Times New Roman" w:hAnsi="Times New Roman" w:cs="Times New Roman"/>
        </w:rPr>
        <w:t>critical elements of the survey.</w:t>
      </w:r>
    </w:p>
    <w:p w14:paraId="01D71985" w14:textId="1A7B38E4" w:rsidR="0064304E" w:rsidRPr="009A73BF" w:rsidRDefault="0064304E" w:rsidP="0064304E">
      <w:pPr>
        <w:ind w:left="1080"/>
        <w:rPr>
          <w:rFonts w:ascii="Times New Roman" w:hAnsi="Times New Roman" w:cs="Times New Roman"/>
        </w:rPr>
      </w:pPr>
    </w:p>
    <w:p w14:paraId="6E9E3AC3" w14:textId="03C1C24B" w:rsidR="00EC7C87" w:rsidRPr="009A73BF" w:rsidRDefault="00EC7C87" w:rsidP="00EC7C87">
      <w:pPr>
        <w:keepNext/>
        <w:ind w:left="1080"/>
        <w:rPr>
          <w:rFonts w:ascii="Times New Roman" w:hAnsi="Times New Roman" w:cs="Times New Roman"/>
        </w:rPr>
      </w:pPr>
      <w:r w:rsidRPr="009A73BF">
        <w:rPr>
          <w:rFonts w:ascii="Times New Roman" w:hAnsi="Times New Roman" w:cs="Times New Roman"/>
          <w:i/>
        </w:rPr>
        <w:t>Study Design and Power Calculations</w:t>
      </w:r>
    </w:p>
    <w:p w14:paraId="5A1D8950" w14:textId="43345010" w:rsidR="00C077F1" w:rsidRPr="009A73BF" w:rsidRDefault="00E47C4B" w:rsidP="00C077F1">
      <w:pPr>
        <w:ind w:left="1080"/>
        <w:rPr>
          <w:rFonts w:ascii="Times New Roman" w:hAnsi="Times New Roman" w:cs="Times New Roman"/>
        </w:rPr>
      </w:pPr>
      <w:r w:rsidRPr="009A73BF">
        <w:rPr>
          <w:rFonts w:ascii="Times New Roman" w:hAnsi="Times New Roman" w:cs="Times New Roman"/>
        </w:rPr>
        <w:t xml:space="preserve">Respondents will be randomized to one of the 24 conditions outlined in </w:t>
      </w:r>
      <w:r w:rsidR="004E41EF">
        <w:rPr>
          <w:rFonts w:ascii="Times New Roman" w:hAnsi="Times New Roman" w:cs="Times New Roman"/>
        </w:rPr>
        <w:t>Exhibit</w:t>
      </w:r>
      <w:r w:rsidRPr="009A73BF">
        <w:rPr>
          <w:rFonts w:ascii="Times New Roman" w:hAnsi="Times New Roman" w:cs="Times New Roman"/>
        </w:rPr>
        <w:t xml:space="preserve"> 2. </w:t>
      </w:r>
      <w:r w:rsidR="005264DA" w:rsidRPr="009A73BF">
        <w:rPr>
          <w:rFonts w:ascii="Times New Roman" w:hAnsi="Times New Roman" w:cs="Times New Roman"/>
        </w:rPr>
        <w:t>Each condition will yield data from approximately 2</w:t>
      </w:r>
      <w:r w:rsidR="006A2FFE">
        <w:rPr>
          <w:rFonts w:ascii="Times New Roman" w:hAnsi="Times New Roman" w:cs="Times New Roman"/>
        </w:rPr>
        <w:t>75</w:t>
      </w:r>
      <w:r w:rsidR="005264DA" w:rsidRPr="009A73BF">
        <w:rPr>
          <w:rFonts w:ascii="Times New Roman" w:hAnsi="Times New Roman" w:cs="Times New Roman"/>
        </w:rPr>
        <w:t xml:space="preserve"> respondents. </w:t>
      </w:r>
      <w:r w:rsidR="008068A8" w:rsidRPr="009A73BF">
        <w:rPr>
          <w:rFonts w:ascii="Times New Roman" w:hAnsi="Times New Roman" w:cs="Times New Roman"/>
        </w:rPr>
        <w:t>Two product types will be studied: snuff and e</w:t>
      </w:r>
      <w:r w:rsidR="00845230" w:rsidRPr="009A73BF">
        <w:rPr>
          <w:rFonts w:ascii="Times New Roman" w:hAnsi="Times New Roman" w:cs="Times New Roman"/>
        </w:rPr>
        <w:t>-</w:t>
      </w:r>
      <w:r w:rsidR="008068A8" w:rsidRPr="009A73BF">
        <w:rPr>
          <w:rFonts w:ascii="Times New Roman" w:hAnsi="Times New Roman" w:cs="Times New Roman"/>
        </w:rPr>
        <w:t xml:space="preserve">cigarettes. Each product type will be represented by three brands and will be depicted in two forms: product packaging and product advertising. Half of the stimuli will include </w:t>
      </w:r>
      <w:r w:rsidR="00140BF8">
        <w:rPr>
          <w:rFonts w:ascii="Times New Roman" w:hAnsi="Times New Roman" w:cs="Times New Roman"/>
        </w:rPr>
        <w:t>modified risk</w:t>
      </w:r>
      <w:r w:rsidR="00140BF8" w:rsidRPr="009A73BF">
        <w:rPr>
          <w:rFonts w:ascii="Times New Roman" w:hAnsi="Times New Roman" w:cs="Times New Roman"/>
        </w:rPr>
        <w:t xml:space="preserve"> </w:t>
      </w:r>
      <w:r w:rsidR="008068A8" w:rsidRPr="009A73BF">
        <w:rPr>
          <w:rFonts w:ascii="Times New Roman" w:hAnsi="Times New Roman" w:cs="Times New Roman"/>
        </w:rPr>
        <w:t xml:space="preserve">claims, and the other half will not include claims. In addition, all of the snuff packaging and advertising will include one of four warning labels, which are intended to function as a control variable and are therefore not considered discrete conditions (not </w:t>
      </w:r>
      <w:r w:rsidR="00D81E6B">
        <w:rPr>
          <w:rFonts w:ascii="Times New Roman" w:hAnsi="Times New Roman" w:cs="Times New Roman"/>
        </w:rPr>
        <w:t>shown</w:t>
      </w:r>
      <w:r w:rsidR="008068A8" w:rsidRPr="009A73BF">
        <w:rPr>
          <w:rFonts w:ascii="Times New Roman" w:hAnsi="Times New Roman" w:cs="Times New Roman"/>
        </w:rPr>
        <w:t xml:space="preserve"> in </w:t>
      </w:r>
      <w:r w:rsidR="004E41EF">
        <w:rPr>
          <w:rFonts w:ascii="Times New Roman" w:hAnsi="Times New Roman" w:cs="Times New Roman"/>
        </w:rPr>
        <w:t>Exhibit</w:t>
      </w:r>
      <w:r w:rsidR="008068A8" w:rsidRPr="009A73BF">
        <w:rPr>
          <w:rFonts w:ascii="Times New Roman" w:hAnsi="Times New Roman" w:cs="Times New Roman"/>
        </w:rPr>
        <w:t xml:space="preserve"> 2). </w:t>
      </w:r>
      <w:r w:rsidR="0083579A">
        <w:rPr>
          <w:rFonts w:ascii="Times New Roman" w:hAnsi="Times New Roman" w:cs="Times New Roman"/>
        </w:rPr>
        <w:t xml:space="preserve">The product packaging and product advertising stimuli are provided in </w:t>
      </w:r>
      <w:r w:rsidR="0083579A" w:rsidRPr="00906151">
        <w:rPr>
          <w:rFonts w:ascii="Times New Roman" w:hAnsi="Times New Roman" w:cs="Times New Roman"/>
          <w:b/>
        </w:rPr>
        <w:t>Attachments 7a and 7b</w:t>
      </w:r>
      <w:r w:rsidR="0083579A">
        <w:rPr>
          <w:rFonts w:ascii="Times New Roman" w:hAnsi="Times New Roman" w:cs="Times New Roman"/>
        </w:rPr>
        <w:t>, respectively.</w:t>
      </w:r>
    </w:p>
    <w:p w14:paraId="094241E8" w14:textId="77777777" w:rsidR="00C077F1" w:rsidRDefault="00C077F1" w:rsidP="00C077F1">
      <w:pPr>
        <w:ind w:left="1080"/>
        <w:rPr>
          <w:rFonts w:ascii="Times New Roman" w:hAnsi="Times New Roman" w:cs="Times New Roman"/>
        </w:rPr>
      </w:pPr>
    </w:p>
    <w:p w14:paraId="71977586" w14:textId="6441894D" w:rsidR="00C077F1" w:rsidRPr="009A73BF" w:rsidRDefault="008159EB" w:rsidP="00C077F1">
      <w:pPr>
        <w:ind w:left="1080"/>
        <w:rPr>
          <w:rFonts w:ascii="Times New Roman" w:hAnsi="Times New Roman" w:cs="Times New Roman"/>
        </w:rPr>
      </w:pPr>
      <w:r w:rsidRPr="009A73BF">
        <w:rPr>
          <w:rFonts w:ascii="Times New Roman" w:hAnsi="Times New Roman" w:cs="Times New Roman"/>
        </w:rPr>
        <w:t>Respondents will be randomized to one condition based on their</w:t>
      </w:r>
      <w:r w:rsidR="006E47F5" w:rsidRPr="009A73BF">
        <w:rPr>
          <w:rFonts w:ascii="Times New Roman" w:hAnsi="Times New Roman" w:cs="Times New Roman"/>
        </w:rPr>
        <w:t xml:space="preserve"> self-reported</w:t>
      </w:r>
      <w:r w:rsidRPr="009A73BF">
        <w:rPr>
          <w:rFonts w:ascii="Times New Roman" w:hAnsi="Times New Roman" w:cs="Times New Roman"/>
        </w:rPr>
        <w:t xml:space="preserve"> tobacco behavior</w:t>
      </w:r>
      <w:r w:rsidR="006E47F5" w:rsidRPr="009A73BF">
        <w:rPr>
          <w:rFonts w:ascii="Times New Roman" w:hAnsi="Times New Roman" w:cs="Times New Roman"/>
        </w:rPr>
        <w:t xml:space="preserve"> (</w:t>
      </w:r>
      <w:r w:rsidR="00C077F1" w:rsidRPr="009A73BF">
        <w:rPr>
          <w:rFonts w:ascii="Times New Roman" w:hAnsi="Times New Roman" w:cs="Times New Roman"/>
        </w:rPr>
        <w:t>current cigarette smoker, current e</w:t>
      </w:r>
      <w:r w:rsidR="00C077F1" w:rsidRPr="009A73BF">
        <w:rPr>
          <w:rFonts w:ascii="Times New Roman" w:hAnsi="Times New Roman" w:cs="Times New Roman"/>
        </w:rPr>
        <w:noBreakHyphen/>
        <w:t>cigarette user, current smokeless tobacco user, and not a current tobacco user</w:t>
      </w:r>
      <w:r w:rsidR="006E47F5" w:rsidRPr="009A73BF">
        <w:rPr>
          <w:rFonts w:ascii="Times New Roman" w:hAnsi="Times New Roman" w:cs="Times New Roman"/>
        </w:rPr>
        <w:t>)</w:t>
      </w:r>
      <w:r w:rsidR="00C077F1" w:rsidRPr="009A73BF">
        <w:rPr>
          <w:rFonts w:ascii="Times New Roman" w:hAnsi="Times New Roman" w:cs="Times New Roman"/>
        </w:rPr>
        <w:t xml:space="preserve">. For the purpose of the study, we </w:t>
      </w:r>
      <w:r w:rsidR="00140BF8">
        <w:rPr>
          <w:rFonts w:ascii="Times New Roman" w:hAnsi="Times New Roman" w:cs="Times New Roman"/>
        </w:rPr>
        <w:t>will</w:t>
      </w:r>
      <w:r w:rsidR="00C077F1" w:rsidRPr="009A73BF">
        <w:rPr>
          <w:rFonts w:ascii="Times New Roman" w:hAnsi="Times New Roman" w:cs="Times New Roman"/>
        </w:rPr>
        <w:t xml:space="preserve"> assign individuals to one </w:t>
      </w:r>
      <w:r w:rsidR="006E47F5" w:rsidRPr="009A73BF">
        <w:rPr>
          <w:rFonts w:ascii="Times New Roman" w:hAnsi="Times New Roman" w:cs="Times New Roman"/>
        </w:rPr>
        <w:t xml:space="preserve">tobacco behavior </w:t>
      </w:r>
      <w:r w:rsidR="00C077F1" w:rsidRPr="009A73BF">
        <w:rPr>
          <w:rFonts w:ascii="Times New Roman" w:hAnsi="Times New Roman" w:cs="Times New Roman"/>
        </w:rPr>
        <w:t>category</w:t>
      </w:r>
      <w:r w:rsidR="00CA0F64" w:rsidRPr="009A73BF">
        <w:rPr>
          <w:rFonts w:ascii="Times New Roman" w:hAnsi="Times New Roman" w:cs="Times New Roman"/>
        </w:rPr>
        <w:t>, even if they are users of multiple product types</w:t>
      </w:r>
      <w:r w:rsidR="00C077F1" w:rsidRPr="009A73BF">
        <w:rPr>
          <w:rFonts w:ascii="Times New Roman" w:hAnsi="Times New Roman" w:cs="Times New Roman"/>
        </w:rPr>
        <w:t xml:space="preserve">. To achieve this, we apply </w:t>
      </w:r>
      <w:r w:rsidR="006E47F5" w:rsidRPr="009A73BF">
        <w:rPr>
          <w:rFonts w:ascii="Times New Roman" w:hAnsi="Times New Roman" w:cs="Times New Roman"/>
        </w:rPr>
        <w:t>the following rules:</w:t>
      </w:r>
      <w:r w:rsidR="00C077F1" w:rsidRPr="009A73BF">
        <w:rPr>
          <w:rFonts w:ascii="Times New Roman" w:hAnsi="Times New Roman" w:cs="Times New Roman"/>
        </w:rPr>
        <w:t xml:space="preserve"> Individuals will be assigned to a category that is representative of their tobacco use behavior. Users of multiple product</w:t>
      </w:r>
      <w:r w:rsidR="00140BF8">
        <w:rPr>
          <w:rFonts w:ascii="Times New Roman" w:hAnsi="Times New Roman" w:cs="Times New Roman"/>
        </w:rPr>
        <w:t xml:space="preserve"> type</w:t>
      </w:r>
      <w:r w:rsidR="00C077F1" w:rsidRPr="009A73BF">
        <w:rPr>
          <w:rFonts w:ascii="Times New Roman" w:hAnsi="Times New Roman" w:cs="Times New Roman"/>
        </w:rPr>
        <w:t>s will be assigned to the category with the lowest national prevalence until we have achieved the desired sample for that category. Thus, we will fill the smokeless tobacco</w:t>
      </w:r>
      <w:r w:rsidR="00140BF8">
        <w:rPr>
          <w:rFonts w:ascii="Times New Roman" w:hAnsi="Times New Roman" w:cs="Times New Roman"/>
        </w:rPr>
        <w:t xml:space="preserve"> user</w:t>
      </w:r>
      <w:r w:rsidR="00C077F1" w:rsidRPr="009A73BF">
        <w:rPr>
          <w:rFonts w:ascii="Times New Roman" w:hAnsi="Times New Roman" w:cs="Times New Roman"/>
        </w:rPr>
        <w:t xml:space="preserve"> category first, followed by the e</w:t>
      </w:r>
      <w:r w:rsidR="00C077F1" w:rsidRPr="009A73BF">
        <w:rPr>
          <w:rFonts w:ascii="Times New Roman" w:hAnsi="Times New Roman" w:cs="Times New Roman"/>
        </w:rPr>
        <w:noBreakHyphen/>
        <w:t>cigarette</w:t>
      </w:r>
      <w:r w:rsidR="00140BF8">
        <w:rPr>
          <w:rFonts w:ascii="Times New Roman" w:hAnsi="Times New Roman" w:cs="Times New Roman"/>
        </w:rPr>
        <w:t xml:space="preserve"> user</w:t>
      </w:r>
      <w:r w:rsidR="00C077F1" w:rsidRPr="009A73BF">
        <w:rPr>
          <w:rFonts w:ascii="Times New Roman" w:hAnsi="Times New Roman" w:cs="Times New Roman"/>
        </w:rPr>
        <w:t xml:space="preserve"> category, the cigarette </w:t>
      </w:r>
      <w:r w:rsidR="00140BF8">
        <w:rPr>
          <w:rFonts w:ascii="Times New Roman" w:hAnsi="Times New Roman" w:cs="Times New Roman"/>
        </w:rPr>
        <w:t xml:space="preserve">user </w:t>
      </w:r>
      <w:r w:rsidR="00C077F1" w:rsidRPr="009A73BF">
        <w:rPr>
          <w:rFonts w:ascii="Times New Roman" w:hAnsi="Times New Roman" w:cs="Times New Roman"/>
        </w:rPr>
        <w:t>category, and the non-tobacco user category.</w:t>
      </w:r>
    </w:p>
    <w:p w14:paraId="1AC5F379" w14:textId="70F0C1E4" w:rsidR="00C077F1" w:rsidRPr="009A73BF" w:rsidRDefault="00C077F1" w:rsidP="005264DA">
      <w:pPr>
        <w:rPr>
          <w:rFonts w:ascii="Times New Roman" w:hAnsi="Times New Roman" w:cs="Times New Roman"/>
        </w:rPr>
      </w:pPr>
    </w:p>
    <w:p w14:paraId="3C542851" w14:textId="49689EEC" w:rsidR="008159EB" w:rsidRPr="009A73BF" w:rsidRDefault="008159EB" w:rsidP="008159EB">
      <w:pPr>
        <w:ind w:left="1080"/>
        <w:rPr>
          <w:rFonts w:ascii="Times New Roman" w:hAnsi="Times New Roman" w:cs="Times New Roman"/>
        </w:rPr>
      </w:pPr>
      <w:r w:rsidRPr="009A73BF">
        <w:rPr>
          <w:rFonts w:ascii="Times New Roman" w:hAnsi="Times New Roman" w:cs="Times New Roman"/>
        </w:rPr>
        <w:t>In addition to being randomized to a</w:t>
      </w:r>
      <w:r w:rsidR="004873E0">
        <w:rPr>
          <w:rFonts w:ascii="Times New Roman" w:hAnsi="Times New Roman" w:cs="Times New Roman"/>
        </w:rPr>
        <w:t xml:space="preserve"> modified risk claim </w:t>
      </w:r>
      <w:r w:rsidRPr="009A73BF">
        <w:rPr>
          <w:rFonts w:ascii="Times New Roman" w:hAnsi="Times New Roman" w:cs="Times New Roman"/>
        </w:rPr>
        <w:t xml:space="preserve">condition, all respondents will be randomized to one of four debriefing conditions at the end of the survey (not </w:t>
      </w:r>
      <w:r w:rsidRPr="009A73BF">
        <w:rPr>
          <w:rFonts w:ascii="Times New Roman" w:hAnsi="Times New Roman" w:cs="Times New Roman"/>
        </w:rPr>
        <w:lastRenderedPageBreak/>
        <w:t xml:space="preserve">shown in </w:t>
      </w:r>
      <w:r w:rsidR="001542AD">
        <w:rPr>
          <w:rFonts w:ascii="Times New Roman" w:hAnsi="Times New Roman" w:cs="Times New Roman"/>
        </w:rPr>
        <w:t>Exhibit</w:t>
      </w:r>
      <w:r w:rsidRPr="009A73BF">
        <w:rPr>
          <w:rFonts w:ascii="Times New Roman" w:hAnsi="Times New Roman" w:cs="Times New Roman"/>
        </w:rPr>
        <w:t> 2), which vary in regard to the product type viewed in the study (e</w:t>
      </w:r>
      <w:r w:rsidRPr="009A73BF">
        <w:rPr>
          <w:rFonts w:ascii="Times New Roman" w:hAnsi="Times New Roman" w:cs="Times New Roman"/>
        </w:rPr>
        <w:noBreakHyphen/>
        <w:t>cigarette</w:t>
      </w:r>
      <w:r w:rsidR="004873E0">
        <w:rPr>
          <w:rFonts w:ascii="Times New Roman" w:hAnsi="Times New Roman" w:cs="Times New Roman"/>
        </w:rPr>
        <w:t>s</w:t>
      </w:r>
      <w:r w:rsidRPr="009A73BF">
        <w:rPr>
          <w:rFonts w:ascii="Times New Roman" w:hAnsi="Times New Roman" w:cs="Times New Roman"/>
        </w:rPr>
        <w:t xml:space="preserve"> or snuff) and the presentation format</w:t>
      </w:r>
      <w:r w:rsidR="004873E0">
        <w:rPr>
          <w:rFonts w:ascii="Times New Roman" w:hAnsi="Times New Roman" w:cs="Times New Roman"/>
        </w:rPr>
        <w:t xml:space="preserve"> of the debriefing</w:t>
      </w:r>
      <w:r w:rsidRPr="009A73BF">
        <w:rPr>
          <w:rFonts w:ascii="Times New Roman" w:hAnsi="Times New Roman" w:cs="Times New Roman"/>
        </w:rPr>
        <w:t xml:space="preserve"> (block of text vs. text bubbles).</w:t>
      </w:r>
    </w:p>
    <w:p w14:paraId="2A10D03A" w14:textId="73DE8CA3" w:rsidR="00EC7C87" w:rsidRDefault="001542AD" w:rsidP="00B776BF">
      <w:pPr>
        <w:pStyle w:val="TableTitle"/>
        <w:ind w:left="360" w:firstLine="720"/>
      </w:pPr>
      <w:bookmarkStart w:id="2" w:name="_Toc464036267"/>
      <w:bookmarkStart w:id="3" w:name="_Hlk504420316"/>
      <w:r>
        <w:t>Exhibit</w:t>
      </w:r>
      <w:r w:rsidR="00EC7C87" w:rsidRPr="00C1330B">
        <w:t xml:space="preserve"> </w:t>
      </w:r>
      <w:r w:rsidR="00EC7C87">
        <w:t>2.</w:t>
      </w:r>
      <w:r w:rsidR="00EC7C87">
        <w:tab/>
      </w:r>
      <w:r w:rsidR="00EC7C87" w:rsidRPr="00C1330B">
        <w:t>Conditions and Sample Size for Each Condition</w:t>
      </w:r>
      <w:bookmarkEnd w:id="2"/>
      <w:r w:rsidR="00EC7C87" w:rsidRPr="00C1330B">
        <w:t xml:space="preserve"> </w:t>
      </w:r>
    </w:p>
    <w:tbl>
      <w:tblPr>
        <w:tblStyle w:val="TableFormat4"/>
        <w:tblW w:w="9360" w:type="dxa"/>
        <w:tblInd w:w="990" w:type="dxa"/>
        <w:tblLayout w:type="fixed"/>
        <w:tblLook w:val="04A0" w:firstRow="1" w:lastRow="0" w:firstColumn="1" w:lastColumn="0" w:noHBand="0" w:noVBand="1"/>
      </w:tblPr>
      <w:tblGrid>
        <w:gridCol w:w="1818"/>
        <w:gridCol w:w="1302"/>
        <w:gridCol w:w="1248"/>
        <w:gridCol w:w="1248"/>
        <w:gridCol w:w="1248"/>
        <w:gridCol w:w="1248"/>
        <w:gridCol w:w="1248"/>
      </w:tblGrid>
      <w:tr w:rsidR="000758BB" w:rsidRPr="00865B93" w14:paraId="7007F94D" w14:textId="77777777" w:rsidTr="00B776BF">
        <w:trPr>
          <w:cnfStyle w:val="100000000000" w:firstRow="1" w:lastRow="0" w:firstColumn="0" w:lastColumn="0" w:oddVBand="0" w:evenVBand="0" w:oddHBand="0" w:evenHBand="0" w:firstRowFirstColumn="0" w:firstRowLastColumn="0" w:lastRowFirstColumn="0" w:lastRowLastColumn="0"/>
          <w:tblHeader/>
        </w:trPr>
        <w:tc>
          <w:tcPr>
            <w:tcW w:w="1818" w:type="dxa"/>
            <w:vMerge w:val="restart"/>
            <w:vAlign w:val="bottom"/>
          </w:tcPr>
          <w:p w14:paraId="495B8155" w14:textId="77777777" w:rsidR="000758BB" w:rsidRPr="00865B93" w:rsidRDefault="000758BB" w:rsidP="003442C2">
            <w:pPr>
              <w:pStyle w:val="TableHeaders"/>
              <w:keepNext/>
              <w:spacing w:before="60" w:after="60"/>
            </w:pPr>
            <w:r w:rsidRPr="00865B93">
              <w:t>Condition</w:t>
            </w:r>
          </w:p>
        </w:tc>
        <w:tc>
          <w:tcPr>
            <w:tcW w:w="3798" w:type="dxa"/>
            <w:gridSpan w:val="3"/>
            <w:tcBorders>
              <w:right w:val="single" w:sz="2" w:space="0" w:color="auto"/>
            </w:tcBorders>
            <w:vAlign w:val="bottom"/>
            <w:hideMark/>
          </w:tcPr>
          <w:p w14:paraId="567D84E0" w14:textId="77777777" w:rsidR="000758BB" w:rsidRPr="00865B93" w:rsidRDefault="000758BB" w:rsidP="003442C2">
            <w:pPr>
              <w:pStyle w:val="TableHeaders"/>
              <w:keepNext/>
              <w:spacing w:before="60" w:after="60"/>
            </w:pPr>
            <w:r w:rsidRPr="00865B93">
              <w:t>Snuff</w:t>
            </w:r>
          </w:p>
        </w:tc>
        <w:tc>
          <w:tcPr>
            <w:tcW w:w="3744" w:type="dxa"/>
            <w:gridSpan w:val="3"/>
            <w:tcBorders>
              <w:left w:val="single" w:sz="2" w:space="0" w:color="auto"/>
            </w:tcBorders>
            <w:vAlign w:val="bottom"/>
            <w:hideMark/>
          </w:tcPr>
          <w:p w14:paraId="285F6DE7" w14:textId="77777777" w:rsidR="000758BB" w:rsidRPr="00865B93" w:rsidRDefault="000758BB" w:rsidP="003442C2">
            <w:pPr>
              <w:pStyle w:val="TableHeaders"/>
              <w:keepNext/>
              <w:spacing w:before="60" w:after="60"/>
            </w:pPr>
            <w:r>
              <w:t>E</w:t>
            </w:r>
            <w:r>
              <w:noBreakHyphen/>
              <w:t>cig</w:t>
            </w:r>
            <w:r w:rsidRPr="00865B93">
              <w:t>arettes</w:t>
            </w:r>
          </w:p>
        </w:tc>
      </w:tr>
      <w:tr w:rsidR="000758BB" w:rsidRPr="00865B93" w14:paraId="7C990AC5" w14:textId="77777777" w:rsidTr="00B776BF">
        <w:trPr>
          <w:cnfStyle w:val="100000000000" w:firstRow="1" w:lastRow="0" w:firstColumn="0" w:lastColumn="0" w:oddVBand="0" w:evenVBand="0" w:oddHBand="0" w:evenHBand="0" w:firstRowFirstColumn="0" w:firstRowLastColumn="0" w:lastRowFirstColumn="0" w:lastRowLastColumn="0"/>
          <w:tblHeader/>
        </w:trPr>
        <w:tc>
          <w:tcPr>
            <w:tcW w:w="1818" w:type="dxa"/>
            <w:vMerge/>
            <w:vAlign w:val="bottom"/>
          </w:tcPr>
          <w:p w14:paraId="7CF3FCA0" w14:textId="77777777" w:rsidR="000758BB" w:rsidRPr="00865B93" w:rsidRDefault="000758BB" w:rsidP="003442C2">
            <w:pPr>
              <w:pStyle w:val="TableHeaders"/>
              <w:keepNext/>
              <w:spacing w:before="60" w:after="60"/>
            </w:pPr>
          </w:p>
        </w:tc>
        <w:tc>
          <w:tcPr>
            <w:tcW w:w="1302" w:type="dxa"/>
            <w:tcBorders>
              <w:top w:val="single" w:sz="4" w:space="0" w:color="auto"/>
            </w:tcBorders>
            <w:vAlign w:val="bottom"/>
            <w:hideMark/>
          </w:tcPr>
          <w:p w14:paraId="372F777E" w14:textId="77777777" w:rsidR="000758BB" w:rsidRPr="00865B93" w:rsidRDefault="000758BB" w:rsidP="003442C2">
            <w:pPr>
              <w:pStyle w:val="TableHeaders"/>
              <w:keepNext/>
              <w:spacing w:before="60" w:after="60"/>
            </w:pPr>
            <w:r w:rsidRPr="00865B93">
              <w:t>Brand 1</w:t>
            </w:r>
          </w:p>
        </w:tc>
        <w:tc>
          <w:tcPr>
            <w:tcW w:w="1248" w:type="dxa"/>
            <w:tcBorders>
              <w:top w:val="single" w:sz="4" w:space="0" w:color="auto"/>
            </w:tcBorders>
            <w:vAlign w:val="bottom"/>
            <w:hideMark/>
          </w:tcPr>
          <w:p w14:paraId="3307EFDF" w14:textId="77777777" w:rsidR="000758BB" w:rsidRPr="00865B93" w:rsidRDefault="000758BB" w:rsidP="003442C2">
            <w:pPr>
              <w:pStyle w:val="TableHeaders"/>
              <w:keepNext/>
              <w:spacing w:before="60" w:after="60"/>
            </w:pPr>
            <w:r w:rsidRPr="00865B93">
              <w:t>Brand 2</w:t>
            </w:r>
          </w:p>
        </w:tc>
        <w:tc>
          <w:tcPr>
            <w:tcW w:w="1248" w:type="dxa"/>
            <w:tcBorders>
              <w:top w:val="single" w:sz="4" w:space="0" w:color="auto"/>
              <w:right w:val="single" w:sz="2" w:space="0" w:color="auto"/>
            </w:tcBorders>
            <w:vAlign w:val="bottom"/>
            <w:hideMark/>
          </w:tcPr>
          <w:p w14:paraId="528A0258" w14:textId="77777777" w:rsidR="000758BB" w:rsidRPr="00865B93" w:rsidRDefault="000758BB" w:rsidP="003442C2">
            <w:pPr>
              <w:pStyle w:val="TableHeaders"/>
              <w:keepNext/>
              <w:spacing w:before="60" w:after="60"/>
            </w:pPr>
            <w:r w:rsidRPr="00865B93">
              <w:t>Brand 3</w:t>
            </w:r>
          </w:p>
        </w:tc>
        <w:tc>
          <w:tcPr>
            <w:tcW w:w="1248" w:type="dxa"/>
            <w:tcBorders>
              <w:top w:val="single" w:sz="4" w:space="0" w:color="auto"/>
              <w:left w:val="single" w:sz="2" w:space="0" w:color="auto"/>
            </w:tcBorders>
            <w:vAlign w:val="bottom"/>
            <w:hideMark/>
          </w:tcPr>
          <w:p w14:paraId="1388DCFD" w14:textId="77777777" w:rsidR="000758BB" w:rsidRPr="00865B93" w:rsidRDefault="000758BB" w:rsidP="003442C2">
            <w:pPr>
              <w:pStyle w:val="TableHeaders"/>
              <w:keepNext/>
              <w:spacing w:before="60" w:after="60"/>
            </w:pPr>
            <w:r w:rsidRPr="00865B93">
              <w:t>Brand 1</w:t>
            </w:r>
          </w:p>
        </w:tc>
        <w:tc>
          <w:tcPr>
            <w:tcW w:w="1248" w:type="dxa"/>
            <w:tcBorders>
              <w:top w:val="single" w:sz="4" w:space="0" w:color="auto"/>
            </w:tcBorders>
            <w:vAlign w:val="bottom"/>
            <w:hideMark/>
          </w:tcPr>
          <w:p w14:paraId="0492826C" w14:textId="77777777" w:rsidR="000758BB" w:rsidRPr="00865B93" w:rsidRDefault="000758BB" w:rsidP="003442C2">
            <w:pPr>
              <w:pStyle w:val="TableHeaders"/>
              <w:keepNext/>
              <w:spacing w:before="60" w:after="60"/>
            </w:pPr>
            <w:r w:rsidRPr="00865B93">
              <w:t>Brand 2</w:t>
            </w:r>
          </w:p>
        </w:tc>
        <w:tc>
          <w:tcPr>
            <w:tcW w:w="1248" w:type="dxa"/>
            <w:tcBorders>
              <w:top w:val="single" w:sz="4" w:space="0" w:color="auto"/>
            </w:tcBorders>
            <w:vAlign w:val="bottom"/>
            <w:hideMark/>
          </w:tcPr>
          <w:p w14:paraId="03A218AB" w14:textId="77777777" w:rsidR="000758BB" w:rsidRPr="00865B93" w:rsidRDefault="000758BB" w:rsidP="003442C2">
            <w:pPr>
              <w:pStyle w:val="TableHeaders"/>
              <w:keepNext/>
              <w:spacing w:before="60" w:after="60"/>
            </w:pPr>
            <w:r w:rsidRPr="00865B93">
              <w:t>Brand 3</w:t>
            </w:r>
          </w:p>
        </w:tc>
      </w:tr>
      <w:tr w:rsidR="000758BB" w:rsidRPr="00865B93" w14:paraId="6DA8583A" w14:textId="77777777" w:rsidTr="00B776BF">
        <w:tc>
          <w:tcPr>
            <w:tcW w:w="1818" w:type="dxa"/>
            <w:hideMark/>
          </w:tcPr>
          <w:p w14:paraId="163F1FAE" w14:textId="77777777" w:rsidR="000758BB" w:rsidRPr="00865B93" w:rsidRDefault="000758BB" w:rsidP="003442C2">
            <w:pPr>
              <w:pStyle w:val="TableText"/>
              <w:keepNext/>
            </w:pPr>
            <w:r w:rsidRPr="00865B93">
              <w:t>Pack</w:t>
            </w:r>
          </w:p>
        </w:tc>
        <w:tc>
          <w:tcPr>
            <w:tcW w:w="1302" w:type="dxa"/>
          </w:tcPr>
          <w:p w14:paraId="0EAF1049" w14:textId="77777777" w:rsidR="000758BB" w:rsidRPr="00865B93" w:rsidRDefault="000758BB" w:rsidP="003442C2">
            <w:pPr>
              <w:pStyle w:val="TableText"/>
              <w:keepNext/>
              <w:jc w:val="center"/>
            </w:pPr>
          </w:p>
        </w:tc>
        <w:tc>
          <w:tcPr>
            <w:tcW w:w="1248" w:type="dxa"/>
          </w:tcPr>
          <w:p w14:paraId="6D106B3A" w14:textId="77777777" w:rsidR="000758BB" w:rsidRPr="00865B93" w:rsidRDefault="000758BB" w:rsidP="003442C2">
            <w:pPr>
              <w:pStyle w:val="TableText"/>
              <w:keepNext/>
              <w:jc w:val="center"/>
            </w:pPr>
          </w:p>
        </w:tc>
        <w:tc>
          <w:tcPr>
            <w:tcW w:w="1248" w:type="dxa"/>
            <w:tcBorders>
              <w:right w:val="single" w:sz="2" w:space="0" w:color="auto"/>
            </w:tcBorders>
          </w:tcPr>
          <w:p w14:paraId="29EE7E71" w14:textId="77777777" w:rsidR="000758BB" w:rsidRPr="00865B93" w:rsidRDefault="000758BB" w:rsidP="003442C2">
            <w:pPr>
              <w:pStyle w:val="TableText"/>
              <w:keepNext/>
              <w:jc w:val="center"/>
            </w:pPr>
          </w:p>
        </w:tc>
        <w:tc>
          <w:tcPr>
            <w:tcW w:w="1248" w:type="dxa"/>
            <w:tcBorders>
              <w:left w:val="single" w:sz="2" w:space="0" w:color="auto"/>
            </w:tcBorders>
          </w:tcPr>
          <w:p w14:paraId="3D757DF5" w14:textId="77777777" w:rsidR="000758BB" w:rsidRPr="00865B93" w:rsidRDefault="000758BB" w:rsidP="003442C2">
            <w:pPr>
              <w:pStyle w:val="TableText"/>
              <w:keepNext/>
              <w:jc w:val="center"/>
            </w:pPr>
          </w:p>
        </w:tc>
        <w:tc>
          <w:tcPr>
            <w:tcW w:w="1248" w:type="dxa"/>
          </w:tcPr>
          <w:p w14:paraId="5F6DEFBA" w14:textId="77777777" w:rsidR="000758BB" w:rsidRPr="00865B93" w:rsidRDefault="000758BB" w:rsidP="003442C2">
            <w:pPr>
              <w:pStyle w:val="TableText"/>
              <w:keepNext/>
              <w:jc w:val="center"/>
            </w:pPr>
          </w:p>
        </w:tc>
        <w:tc>
          <w:tcPr>
            <w:tcW w:w="1248" w:type="dxa"/>
          </w:tcPr>
          <w:p w14:paraId="1792969A" w14:textId="77777777" w:rsidR="000758BB" w:rsidRPr="00865B93" w:rsidRDefault="000758BB" w:rsidP="003442C2">
            <w:pPr>
              <w:pStyle w:val="TableText"/>
              <w:keepNext/>
              <w:jc w:val="center"/>
            </w:pPr>
          </w:p>
        </w:tc>
      </w:tr>
      <w:tr w:rsidR="007B05F6" w:rsidRPr="00865B93" w14:paraId="3C939F7B" w14:textId="77777777" w:rsidTr="00B776BF">
        <w:tc>
          <w:tcPr>
            <w:tcW w:w="1818" w:type="dxa"/>
            <w:hideMark/>
          </w:tcPr>
          <w:p w14:paraId="6E4D9171" w14:textId="77777777" w:rsidR="007B05F6" w:rsidRPr="00865B93" w:rsidRDefault="007B05F6" w:rsidP="007B05F6">
            <w:pPr>
              <w:pStyle w:val="TableTextIndent1"/>
              <w:keepNext/>
            </w:pPr>
            <w:r w:rsidRPr="00865B93">
              <w:t>Claim</w:t>
            </w:r>
          </w:p>
        </w:tc>
        <w:tc>
          <w:tcPr>
            <w:tcW w:w="1302" w:type="dxa"/>
            <w:hideMark/>
          </w:tcPr>
          <w:p w14:paraId="30D19D4E" w14:textId="0DDE7F3A" w:rsidR="007B05F6" w:rsidRPr="00865B93" w:rsidRDefault="007B05F6" w:rsidP="007B05F6">
            <w:pPr>
              <w:pStyle w:val="TableText"/>
              <w:keepNext/>
              <w:jc w:val="center"/>
            </w:pPr>
            <w:r w:rsidRPr="00865B93">
              <w:t>n=2</w:t>
            </w:r>
            <w:r>
              <w:t>75</w:t>
            </w:r>
          </w:p>
        </w:tc>
        <w:tc>
          <w:tcPr>
            <w:tcW w:w="1248" w:type="dxa"/>
            <w:hideMark/>
          </w:tcPr>
          <w:p w14:paraId="748C798C" w14:textId="2A71C710" w:rsidR="007B05F6" w:rsidRPr="00865B93" w:rsidRDefault="007B05F6" w:rsidP="007B05F6">
            <w:pPr>
              <w:pStyle w:val="TableText"/>
              <w:keepNext/>
              <w:jc w:val="center"/>
            </w:pPr>
            <w:r w:rsidRPr="00865B93">
              <w:t>n=2</w:t>
            </w:r>
            <w:r>
              <w:t>75</w:t>
            </w:r>
          </w:p>
        </w:tc>
        <w:tc>
          <w:tcPr>
            <w:tcW w:w="1248" w:type="dxa"/>
            <w:tcBorders>
              <w:right w:val="single" w:sz="2" w:space="0" w:color="auto"/>
            </w:tcBorders>
            <w:hideMark/>
          </w:tcPr>
          <w:p w14:paraId="4C1FE340" w14:textId="6E7B5FBE" w:rsidR="007B05F6" w:rsidRPr="00865B93" w:rsidRDefault="007B05F6" w:rsidP="007B05F6">
            <w:pPr>
              <w:pStyle w:val="TableText"/>
              <w:keepNext/>
              <w:jc w:val="center"/>
            </w:pPr>
            <w:r w:rsidRPr="00865B93">
              <w:t>n=2</w:t>
            </w:r>
            <w:r>
              <w:t>75</w:t>
            </w:r>
          </w:p>
        </w:tc>
        <w:tc>
          <w:tcPr>
            <w:tcW w:w="1248" w:type="dxa"/>
            <w:tcBorders>
              <w:left w:val="single" w:sz="2" w:space="0" w:color="auto"/>
            </w:tcBorders>
            <w:hideMark/>
          </w:tcPr>
          <w:p w14:paraId="7E5DDD98" w14:textId="19F27B88" w:rsidR="007B05F6" w:rsidRPr="00865B93" w:rsidRDefault="007B05F6" w:rsidP="007B05F6">
            <w:pPr>
              <w:pStyle w:val="TableText"/>
              <w:keepNext/>
              <w:jc w:val="center"/>
            </w:pPr>
            <w:r w:rsidRPr="00865B93">
              <w:t>n=2</w:t>
            </w:r>
            <w:r>
              <w:t>75</w:t>
            </w:r>
          </w:p>
        </w:tc>
        <w:tc>
          <w:tcPr>
            <w:tcW w:w="1248" w:type="dxa"/>
            <w:hideMark/>
          </w:tcPr>
          <w:p w14:paraId="720B1E21" w14:textId="18ABA9BE" w:rsidR="007B05F6" w:rsidRPr="00865B93" w:rsidRDefault="007B05F6" w:rsidP="007B05F6">
            <w:pPr>
              <w:pStyle w:val="TableText"/>
              <w:keepNext/>
              <w:jc w:val="center"/>
            </w:pPr>
            <w:r w:rsidRPr="00865B93">
              <w:t>n=2</w:t>
            </w:r>
            <w:r>
              <w:t>75</w:t>
            </w:r>
          </w:p>
        </w:tc>
        <w:tc>
          <w:tcPr>
            <w:tcW w:w="1248" w:type="dxa"/>
            <w:hideMark/>
          </w:tcPr>
          <w:p w14:paraId="2F8FD964" w14:textId="31270648" w:rsidR="007B05F6" w:rsidRPr="00865B93" w:rsidRDefault="007B05F6" w:rsidP="007B05F6">
            <w:pPr>
              <w:pStyle w:val="TableText"/>
              <w:keepNext/>
              <w:jc w:val="center"/>
            </w:pPr>
            <w:r w:rsidRPr="00865B93">
              <w:t>n=2</w:t>
            </w:r>
            <w:r>
              <w:t>75</w:t>
            </w:r>
          </w:p>
        </w:tc>
      </w:tr>
      <w:tr w:rsidR="007B05F6" w:rsidRPr="00865B93" w14:paraId="6F3F6419" w14:textId="77777777" w:rsidTr="00B776BF">
        <w:tc>
          <w:tcPr>
            <w:tcW w:w="1818" w:type="dxa"/>
            <w:hideMark/>
          </w:tcPr>
          <w:p w14:paraId="0659F679" w14:textId="77777777" w:rsidR="007B05F6" w:rsidRPr="00865B93" w:rsidRDefault="007B05F6" w:rsidP="007B05F6">
            <w:pPr>
              <w:pStyle w:val="TableTextIndent1"/>
              <w:keepNext/>
            </w:pPr>
            <w:r w:rsidRPr="00865B93">
              <w:t xml:space="preserve">No Claim </w:t>
            </w:r>
          </w:p>
        </w:tc>
        <w:tc>
          <w:tcPr>
            <w:tcW w:w="1302" w:type="dxa"/>
            <w:hideMark/>
          </w:tcPr>
          <w:p w14:paraId="445129B1" w14:textId="558FF9CA" w:rsidR="007B05F6" w:rsidRPr="00865B93" w:rsidRDefault="007B05F6" w:rsidP="007B05F6">
            <w:pPr>
              <w:pStyle w:val="TableText"/>
              <w:keepNext/>
              <w:jc w:val="center"/>
            </w:pPr>
            <w:r w:rsidRPr="00865B93">
              <w:t>n=2</w:t>
            </w:r>
            <w:r>
              <w:t>75</w:t>
            </w:r>
          </w:p>
        </w:tc>
        <w:tc>
          <w:tcPr>
            <w:tcW w:w="1248" w:type="dxa"/>
            <w:hideMark/>
          </w:tcPr>
          <w:p w14:paraId="78B94BCE" w14:textId="7F751865" w:rsidR="007B05F6" w:rsidRPr="00865B93" w:rsidRDefault="007B05F6" w:rsidP="007B05F6">
            <w:pPr>
              <w:pStyle w:val="TableText"/>
              <w:keepNext/>
              <w:jc w:val="center"/>
            </w:pPr>
            <w:r w:rsidRPr="00865B93">
              <w:t>n=2</w:t>
            </w:r>
            <w:r>
              <w:t>75</w:t>
            </w:r>
          </w:p>
        </w:tc>
        <w:tc>
          <w:tcPr>
            <w:tcW w:w="1248" w:type="dxa"/>
            <w:tcBorders>
              <w:right w:val="single" w:sz="2" w:space="0" w:color="auto"/>
            </w:tcBorders>
            <w:hideMark/>
          </w:tcPr>
          <w:p w14:paraId="779E1C3D" w14:textId="56E365D1" w:rsidR="007B05F6" w:rsidRPr="00865B93" w:rsidRDefault="007B05F6" w:rsidP="007B05F6">
            <w:pPr>
              <w:pStyle w:val="TableText"/>
              <w:keepNext/>
              <w:jc w:val="center"/>
            </w:pPr>
            <w:r w:rsidRPr="00865B93">
              <w:t>n=2</w:t>
            </w:r>
            <w:r>
              <w:t>75</w:t>
            </w:r>
          </w:p>
        </w:tc>
        <w:tc>
          <w:tcPr>
            <w:tcW w:w="1248" w:type="dxa"/>
            <w:tcBorders>
              <w:left w:val="single" w:sz="2" w:space="0" w:color="auto"/>
            </w:tcBorders>
            <w:hideMark/>
          </w:tcPr>
          <w:p w14:paraId="07AE3A7D" w14:textId="09A717E8" w:rsidR="007B05F6" w:rsidRPr="00865B93" w:rsidRDefault="007B05F6" w:rsidP="007B05F6">
            <w:pPr>
              <w:pStyle w:val="TableText"/>
              <w:keepNext/>
              <w:jc w:val="center"/>
            </w:pPr>
            <w:r w:rsidRPr="00865B93">
              <w:t>n=2</w:t>
            </w:r>
            <w:r>
              <w:t>75</w:t>
            </w:r>
          </w:p>
        </w:tc>
        <w:tc>
          <w:tcPr>
            <w:tcW w:w="1248" w:type="dxa"/>
            <w:hideMark/>
          </w:tcPr>
          <w:p w14:paraId="4206774C" w14:textId="48579698" w:rsidR="007B05F6" w:rsidRPr="00865B93" w:rsidRDefault="007B05F6" w:rsidP="007B05F6">
            <w:pPr>
              <w:pStyle w:val="TableText"/>
              <w:keepNext/>
              <w:jc w:val="center"/>
            </w:pPr>
            <w:r w:rsidRPr="00865B93">
              <w:t>n=2</w:t>
            </w:r>
            <w:r>
              <w:t>75</w:t>
            </w:r>
          </w:p>
        </w:tc>
        <w:tc>
          <w:tcPr>
            <w:tcW w:w="1248" w:type="dxa"/>
            <w:hideMark/>
          </w:tcPr>
          <w:p w14:paraId="0D1B66B2" w14:textId="52CE3AAF" w:rsidR="007B05F6" w:rsidRPr="00865B93" w:rsidRDefault="007B05F6" w:rsidP="007B05F6">
            <w:pPr>
              <w:pStyle w:val="TableText"/>
              <w:keepNext/>
              <w:jc w:val="center"/>
            </w:pPr>
            <w:r w:rsidRPr="00865B93">
              <w:t>n=2</w:t>
            </w:r>
            <w:r>
              <w:t>75</w:t>
            </w:r>
          </w:p>
        </w:tc>
      </w:tr>
      <w:tr w:rsidR="007B05F6" w:rsidRPr="00865B93" w14:paraId="18276311" w14:textId="77777777" w:rsidTr="00B776BF">
        <w:tc>
          <w:tcPr>
            <w:tcW w:w="1818" w:type="dxa"/>
            <w:hideMark/>
          </w:tcPr>
          <w:p w14:paraId="6DEFFE14" w14:textId="77777777" w:rsidR="007B05F6" w:rsidRPr="00865B93" w:rsidRDefault="007B05F6" w:rsidP="007B05F6">
            <w:pPr>
              <w:pStyle w:val="TableText"/>
              <w:keepNext/>
            </w:pPr>
            <w:r w:rsidRPr="00865B93">
              <w:t>Ad</w:t>
            </w:r>
          </w:p>
        </w:tc>
        <w:tc>
          <w:tcPr>
            <w:tcW w:w="1302" w:type="dxa"/>
          </w:tcPr>
          <w:p w14:paraId="2AF32DCB" w14:textId="77777777" w:rsidR="007B05F6" w:rsidRPr="00865B93" w:rsidRDefault="007B05F6" w:rsidP="007B05F6">
            <w:pPr>
              <w:pStyle w:val="TableText"/>
              <w:keepNext/>
              <w:jc w:val="center"/>
            </w:pPr>
          </w:p>
        </w:tc>
        <w:tc>
          <w:tcPr>
            <w:tcW w:w="1248" w:type="dxa"/>
          </w:tcPr>
          <w:p w14:paraId="4E308735" w14:textId="77777777" w:rsidR="007B05F6" w:rsidRPr="00865B93" w:rsidRDefault="007B05F6" w:rsidP="007B05F6">
            <w:pPr>
              <w:pStyle w:val="TableText"/>
              <w:keepNext/>
              <w:jc w:val="center"/>
            </w:pPr>
          </w:p>
        </w:tc>
        <w:tc>
          <w:tcPr>
            <w:tcW w:w="1248" w:type="dxa"/>
            <w:tcBorders>
              <w:right w:val="single" w:sz="2" w:space="0" w:color="auto"/>
            </w:tcBorders>
          </w:tcPr>
          <w:p w14:paraId="36BFDA84" w14:textId="77777777" w:rsidR="007B05F6" w:rsidRPr="00865B93" w:rsidRDefault="007B05F6" w:rsidP="007B05F6">
            <w:pPr>
              <w:pStyle w:val="TableText"/>
              <w:keepNext/>
              <w:jc w:val="center"/>
            </w:pPr>
          </w:p>
        </w:tc>
        <w:tc>
          <w:tcPr>
            <w:tcW w:w="1248" w:type="dxa"/>
            <w:tcBorders>
              <w:left w:val="single" w:sz="2" w:space="0" w:color="auto"/>
            </w:tcBorders>
          </w:tcPr>
          <w:p w14:paraId="792EC0C2" w14:textId="77777777" w:rsidR="007B05F6" w:rsidRPr="00865B93" w:rsidRDefault="007B05F6" w:rsidP="007B05F6">
            <w:pPr>
              <w:pStyle w:val="TableText"/>
              <w:keepNext/>
              <w:jc w:val="center"/>
            </w:pPr>
          </w:p>
        </w:tc>
        <w:tc>
          <w:tcPr>
            <w:tcW w:w="1248" w:type="dxa"/>
          </w:tcPr>
          <w:p w14:paraId="11A5C545" w14:textId="77777777" w:rsidR="007B05F6" w:rsidRPr="00865B93" w:rsidRDefault="007B05F6" w:rsidP="007B05F6">
            <w:pPr>
              <w:pStyle w:val="TableText"/>
              <w:keepNext/>
              <w:jc w:val="center"/>
            </w:pPr>
          </w:p>
        </w:tc>
        <w:tc>
          <w:tcPr>
            <w:tcW w:w="1248" w:type="dxa"/>
          </w:tcPr>
          <w:p w14:paraId="1F8DA609" w14:textId="77777777" w:rsidR="007B05F6" w:rsidRPr="00865B93" w:rsidRDefault="007B05F6" w:rsidP="007B05F6">
            <w:pPr>
              <w:pStyle w:val="TableText"/>
              <w:keepNext/>
              <w:jc w:val="center"/>
            </w:pPr>
          </w:p>
        </w:tc>
      </w:tr>
      <w:tr w:rsidR="007B05F6" w:rsidRPr="00865B93" w14:paraId="110AA21C" w14:textId="77777777" w:rsidTr="00B776BF">
        <w:tc>
          <w:tcPr>
            <w:tcW w:w="1818" w:type="dxa"/>
            <w:hideMark/>
          </w:tcPr>
          <w:p w14:paraId="3A1034B4" w14:textId="77777777" w:rsidR="007B05F6" w:rsidRPr="00865B93" w:rsidRDefault="007B05F6" w:rsidP="007B05F6">
            <w:pPr>
              <w:pStyle w:val="TableTextIndent1"/>
              <w:keepNext/>
            </w:pPr>
            <w:r w:rsidRPr="00865B93">
              <w:t>Claim</w:t>
            </w:r>
          </w:p>
        </w:tc>
        <w:tc>
          <w:tcPr>
            <w:tcW w:w="1302" w:type="dxa"/>
            <w:hideMark/>
          </w:tcPr>
          <w:p w14:paraId="1AC2B9B4" w14:textId="1241344E" w:rsidR="007B05F6" w:rsidRPr="00865B93" w:rsidRDefault="007B05F6" w:rsidP="007B05F6">
            <w:pPr>
              <w:pStyle w:val="TableText"/>
              <w:keepNext/>
              <w:jc w:val="center"/>
            </w:pPr>
            <w:r w:rsidRPr="00865B93">
              <w:t>n=2</w:t>
            </w:r>
            <w:r>
              <w:t>75</w:t>
            </w:r>
          </w:p>
        </w:tc>
        <w:tc>
          <w:tcPr>
            <w:tcW w:w="1248" w:type="dxa"/>
            <w:hideMark/>
          </w:tcPr>
          <w:p w14:paraId="3B5AFFD7" w14:textId="11461BE8" w:rsidR="007B05F6" w:rsidRPr="00865B93" w:rsidRDefault="007B05F6" w:rsidP="007B05F6">
            <w:pPr>
              <w:pStyle w:val="TableText"/>
              <w:keepNext/>
              <w:jc w:val="center"/>
            </w:pPr>
            <w:r w:rsidRPr="00865B93">
              <w:t>n=2</w:t>
            </w:r>
            <w:r>
              <w:t>75</w:t>
            </w:r>
          </w:p>
        </w:tc>
        <w:tc>
          <w:tcPr>
            <w:tcW w:w="1248" w:type="dxa"/>
            <w:tcBorders>
              <w:right w:val="single" w:sz="2" w:space="0" w:color="auto"/>
            </w:tcBorders>
            <w:hideMark/>
          </w:tcPr>
          <w:p w14:paraId="2D159F97" w14:textId="010316BA" w:rsidR="007B05F6" w:rsidRPr="00865B93" w:rsidRDefault="007B05F6" w:rsidP="007B05F6">
            <w:pPr>
              <w:pStyle w:val="TableText"/>
              <w:keepNext/>
              <w:jc w:val="center"/>
            </w:pPr>
            <w:r w:rsidRPr="00865B93">
              <w:t>n=2</w:t>
            </w:r>
            <w:r>
              <w:t>75</w:t>
            </w:r>
          </w:p>
        </w:tc>
        <w:tc>
          <w:tcPr>
            <w:tcW w:w="1248" w:type="dxa"/>
            <w:tcBorders>
              <w:left w:val="single" w:sz="2" w:space="0" w:color="auto"/>
            </w:tcBorders>
            <w:hideMark/>
          </w:tcPr>
          <w:p w14:paraId="31983E72" w14:textId="1E24A656" w:rsidR="007B05F6" w:rsidRPr="00865B93" w:rsidRDefault="007B05F6" w:rsidP="007B05F6">
            <w:pPr>
              <w:pStyle w:val="TableText"/>
              <w:keepNext/>
              <w:jc w:val="center"/>
            </w:pPr>
            <w:r w:rsidRPr="00865B93">
              <w:t>n=2</w:t>
            </w:r>
            <w:r>
              <w:t>75</w:t>
            </w:r>
          </w:p>
        </w:tc>
        <w:tc>
          <w:tcPr>
            <w:tcW w:w="1248" w:type="dxa"/>
            <w:hideMark/>
          </w:tcPr>
          <w:p w14:paraId="38A0660B" w14:textId="2420F4D4" w:rsidR="007B05F6" w:rsidRPr="00865B93" w:rsidRDefault="007B05F6" w:rsidP="007B05F6">
            <w:pPr>
              <w:pStyle w:val="TableText"/>
              <w:keepNext/>
              <w:jc w:val="center"/>
            </w:pPr>
            <w:r w:rsidRPr="00865B93">
              <w:t>n=2</w:t>
            </w:r>
            <w:r>
              <w:t>75</w:t>
            </w:r>
          </w:p>
        </w:tc>
        <w:tc>
          <w:tcPr>
            <w:tcW w:w="1248" w:type="dxa"/>
            <w:hideMark/>
          </w:tcPr>
          <w:p w14:paraId="7C778A89" w14:textId="500F02FB" w:rsidR="007B05F6" w:rsidRPr="00865B93" w:rsidRDefault="007B05F6" w:rsidP="007B05F6">
            <w:pPr>
              <w:pStyle w:val="TableText"/>
              <w:keepNext/>
              <w:jc w:val="center"/>
            </w:pPr>
            <w:r w:rsidRPr="00865B93">
              <w:t>n=2</w:t>
            </w:r>
            <w:r>
              <w:t>75</w:t>
            </w:r>
          </w:p>
        </w:tc>
      </w:tr>
      <w:tr w:rsidR="007B05F6" w:rsidRPr="00865B93" w14:paraId="7BBFDB18" w14:textId="77777777" w:rsidTr="00B776BF">
        <w:tc>
          <w:tcPr>
            <w:tcW w:w="1818" w:type="dxa"/>
            <w:tcBorders>
              <w:bottom w:val="single" w:sz="12" w:space="0" w:color="auto"/>
            </w:tcBorders>
            <w:hideMark/>
          </w:tcPr>
          <w:p w14:paraId="5FF9B4DB" w14:textId="77777777" w:rsidR="007B05F6" w:rsidRPr="00865B93" w:rsidRDefault="007B05F6" w:rsidP="007B05F6">
            <w:pPr>
              <w:pStyle w:val="TableTextIndent1"/>
              <w:keepNext/>
            </w:pPr>
            <w:r w:rsidRPr="00865B93">
              <w:t xml:space="preserve">No Claim </w:t>
            </w:r>
          </w:p>
        </w:tc>
        <w:tc>
          <w:tcPr>
            <w:tcW w:w="1302" w:type="dxa"/>
            <w:tcBorders>
              <w:bottom w:val="single" w:sz="12" w:space="0" w:color="auto"/>
            </w:tcBorders>
            <w:hideMark/>
          </w:tcPr>
          <w:p w14:paraId="099C279A" w14:textId="2206A27C" w:rsidR="007B05F6" w:rsidRPr="00865B93" w:rsidRDefault="007B05F6" w:rsidP="007B05F6">
            <w:pPr>
              <w:pStyle w:val="TableText"/>
              <w:keepNext/>
              <w:jc w:val="center"/>
            </w:pPr>
            <w:r w:rsidRPr="00865B93">
              <w:t>n=2</w:t>
            </w:r>
            <w:r>
              <w:t>75</w:t>
            </w:r>
          </w:p>
        </w:tc>
        <w:tc>
          <w:tcPr>
            <w:tcW w:w="1248" w:type="dxa"/>
            <w:tcBorders>
              <w:bottom w:val="single" w:sz="12" w:space="0" w:color="auto"/>
            </w:tcBorders>
            <w:hideMark/>
          </w:tcPr>
          <w:p w14:paraId="46A803F4" w14:textId="7F84E134" w:rsidR="007B05F6" w:rsidRPr="00865B93" w:rsidRDefault="007B05F6" w:rsidP="007B05F6">
            <w:pPr>
              <w:pStyle w:val="TableText"/>
              <w:keepNext/>
              <w:jc w:val="center"/>
            </w:pPr>
            <w:r w:rsidRPr="00865B93">
              <w:t>n=2</w:t>
            </w:r>
            <w:r>
              <w:t>75</w:t>
            </w:r>
          </w:p>
        </w:tc>
        <w:tc>
          <w:tcPr>
            <w:tcW w:w="1248" w:type="dxa"/>
            <w:tcBorders>
              <w:bottom w:val="single" w:sz="12" w:space="0" w:color="auto"/>
              <w:right w:val="single" w:sz="2" w:space="0" w:color="auto"/>
            </w:tcBorders>
            <w:hideMark/>
          </w:tcPr>
          <w:p w14:paraId="36AC8CA5" w14:textId="7D02F71D" w:rsidR="007B05F6" w:rsidRPr="00865B93" w:rsidRDefault="007B05F6" w:rsidP="007B05F6">
            <w:pPr>
              <w:pStyle w:val="TableText"/>
              <w:keepNext/>
              <w:jc w:val="center"/>
            </w:pPr>
            <w:r w:rsidRPr="00865B93">
              <w:t>n=2</w:t>
            </w:r>
            <w:r>
              <w:t>75</w:t>
            </w:r>
          </w:p>
        </w:tc>
        <w:tc>
          <w:tcPr>
            <w:tcW w:w="1248" w:type="dxa"/>
            <w:tcBorders>
              <w:left w:val="single" w:sz="2" w:space="0" w:color="auto"/>
              <w:bottom w:val="single" w:sz="12" w:space="0" w:color="auto"/>
            </w:tcBorders>
            <w:hideMark/>
          </w:tcPr>
          <w:p w14:paraId="149C6A17" w14:textId="537C5379" w:rsidR="007B05F6" w:rsidRPr="00865B93" w:rsidRDefault="007B05F6" w:rsidP="007B05F6">
            <w:pPr>
              <w:pStyle w:val="TableText"/>
              <w:keepNext/>
              <w:jc w:val="center"/>
            </w:pPr>
            <w:r w:rsidRPr="00865B93">
              <w:t>n=2</w:t>
            </w:r>
            <w:r>
              <w:t>75</w:t>
            </w:r>
          </w:p>
        </w:tc>
        <w:tc>
          <w:tcPr>
            <w:tcW w:w="1248" w:type="dxa"/>
            <w:tcBorders>
              <w:bottom w:val="single" w:sz="12" w:space="0" w:color="auto"/>
            </w:tcBorders>
            <w:hideMark/>
          </w:tcPr>
          <w:p w14:paraId="4F9EA728" w14:textId="520F5FF6" w:rsidR="007B05F6" w:rsidRPr="00865B93" w:rsidRDefault="007B05F6" w:rsidP="007B05F6">
            <w:pPr>
              <w:pStyle w:val="TableText"/>
              <w:keepNext/>
              <w:jc w:val="center"/>
            </w:pPr>
            <w:r w:rsidRPr="00865B93">
              <w:t>n=2</w:t>
            </w:r>
            <w:r>
              <w:t>75</w:t>
            </w:r>
          </w:p>
        </w:tc>
        <w:tc>
          <w:tcPr>
            <w:tcW w:w="1248" w:type="dxa"/>
            <w:tcBorders>
              <w:bottom w:val="single" w:sz="12" w:space="0" w:color="auto"/>
            </w:tcBorders>
            <w:hideMark/>
          </w:tcPr>
          <w:p w14:paraId="147F8938" w14:textId="693E1A1E" w:rsidR="007B05F6" w:rsidRPr="00865B93" w:rsidRDefault="007B05F6" w:rsidP="007B05F6">
            <w:pPr>
              <w:pStyle w:val="TableText"/>
              <w:keepNext/>
              <w:jc w:val="center"/>
            </w:pPr>
            <w:r w:rsidRPr="00865B93">
              <w:t>n=2</w:t>
            </w:r>
            <w:r>
              <w:t>75</w:t>
            </w:r>
          </w:p>
        </w:tc>
      </w:tr>
    </w:tbl>
    <w:p w14:paraId="454DBC53" w14:textId="77777777" w:rsidR="00EC7C87" w:rsidRDefault="00EC7C87" w:rsidP="00EC7C87">
      <w:pPr>
        <w:ind w:left="1080"/>
        <w:rPr>
          <w:rFonts w:ascii="Times New Roman" w:hAnsi="Times New Roman" w:cs="Times New Roman"/>
        </w:rPr>
      </w:pPr>
    </w:p>
    <w:p w14:paraId="04423555" w14:textId="546BA43E" w:rsidR="00EC7C87" w:rsidRDefault="00C66719" w:rsidP="0064304E">
      <w:pPr>
        <w:ind w:left="1080"/>
        <w:rPr>
          <w:rFonts w:ascii="Times New Roman" w:hAnsi="Times New Roman" w:cs="Times New Roman"/>
          <w:color w:val="000000" w:themeColor="text1"/>
        </w:rPr>
      </w:pPr>
      <w:r>
        <w:rPr>
          <w:rFonts w:ascii="Times New Roman" w:hAnsi="Times New Roman" w:cs="Times New Roman"/>
        </w:rPr>
        <w:t>W</w:t>
      </w:r>
      <w:r w:rsidR="00DF7435" w:rsidRPr="009A73BF">
        <w:rPr>
          <w:rFonts w:ascii="Times New Roman" w:hAnsi="Times New Roman" w:cs="Times New Roman"/>
        </w:rPr>
        <w:t xml:space="preserve">e have investigated the power for the assumed sample sizes for a range of effect sizes calculated by using Cohen’s </w:t>
      </w:r>
      <w:r w:rsidR="007B05F6">
        <w:rPr>
          <w:rFonts w:ascii="Times New Roman" w:hAnsi="Times New Roman" w:cs="Times New Roman"/>
        </w:rPr>
        <w:t>d</w:t>
      </w:r>
      <w:r w:rsidR="00DF7435" w:rsidRPr="009A73BF">
        <w:rPr>
          <w:rFonts w:ascii="Times New Roman" w:hAnsi="Times New Roman" w:cs="Times New Roman"/>
        </w:rPr>
        <w:t>. These power analyses suggest that we have sufficient power to detect differences in outcomes for comparisons across the main categories of this study (for example, we can compare outcomes across age and education groups). For these comparisons, we would be able to detect an effect size (d) of 0.2 or more with 80% power. For comparisons by pack/ad or snuff/e cigarette conditions, the power decreases somewhat. However, for pack/ad or snuff/e</w:t>
      </w:r>
      <w:r w:rsidR="00DC1463">
        <w:rPr>
          <w:rFonts w:ascii="Times New Roman" w:hAnsi="Times New Roman" w:cs="Times New Roman"/>
        </w:rPr>
        <w:t>-</w:t>
      </w:r>
      <w:r w:rsidR="00DF7435" w:rsidRPr="009A73BF">
        <w:rPr>
          <w:rFonts w:ascii="Times New Roman" w:hAnsi="Times New Roman" w:cs="Times New Roman"/>
        </w:rPr>
        <w:t xml:space="preserve">cigarette conditions, we would still have adequate power to detect an effect size of 0.25 (or </w:t>
      </w:r>
      <w:r w:rsidR="00DF7435" w:rsidRPr="009A73BF">
        <w:rPr>
          <w:rFonts w:ascii="Times New Roman" w:hAnsi="Times New Roman" w:cs="Times New Roman"/>
          <w:color w:val="000000" w:themeColor="text1"/>
        </w:rPr>
        <w:t>more) with 80% power.</w:t>
      </w:r>
    </w:p>
    <w:p w14:paraId="4088C8D9" w14:textId="5A8DFD01" w:rsidR="00C1510C" w:rsidRDefault="00C1510C" w:rsidP="0064304E">
      <w:pPr>
        <w:ind w:left="1080"/>
        <w:rPr>
          <w:rFonts w:ascii="Times New Roman" w:hAnsi="Times New Roman" w:cs="Times New Roman"/>
          <w:color w:val="000000" w:themeColor="text1"/>
        </w:rPr>
      </w:pPr>
    </w:p>
    <w:p w14:paraId="4B543BF1" w14:textId="20D8E4BB" w:rsidR="00C1510C" w:rsidRDefault="00C1510C" w:rsidP="00C1510C">
      <w:pPr>
        <w:ind w:left="1080"/>
        <w:rPr>
          <w:rFonts w:ascii="Times New Roman" w:hAnsi="Times New Roman" w:cs="Times New Roman"/>
        </w:rPr>
      </w:pPr>
      <w:r>
        <w:rPr>
          <w:rFonts w:ascii="Times New Roman" w:hAnsi="Times New Roman" w:cs="Times New Roman"/>
        </w:rPr>
        <w:t>As with any study conducted using opt-in online panels, this study may be subject to several threats to external validity that limit the generalizability of study results. Panelists are recruited into the online panel using convenience sampling methods and thus do not have a known probability of selection into the panel. </w:t>
      </w:r>
      <w:r w:rsidR="00F430EF">
        <w:rPr>
          <w:rFonts w:ascii="Times New Roman" w:hAnsi="Times New Roman" w:cs="Times New Roman"/>
        </w:rPr>
        <w:t>When inviting panelists to participate in the study, t</w:t>
      </w:r>
      <w:r w:rsidR="00C53B18">
        <w:rPr>
          <w:rFonts w:ascii="Times New Roman" w:hAnsi="Times New Roman" w:cs="Times New Roman"/>
        </w:rPr>
        <w:t xml:space="preserve">he </w:t>
      </w:r>
      <w:r w:rsidR="00F430EF">
        <w:rPr>
          <w:rFonts w:ascii="Times New Roman" w:hAnsi="Times New Roman" w:cs="Times New Roman"/>
        </w:rPr>
        <w:t>vendor</w:t>
      </w:r>
      <w:r w:rsidR="00C53B18">
        <w:rPr>
          <w:rFonts w:ascii="Times New Roman" w:hAnsi="Times New Roman" w:cs="Times New Roman"/>
        </w:rPr>
        <w:t xml:space="preserve"> </w:t>
      </w:r>
      <w:r w:rsidR="00F430EF">
        <w:rPr>
          <w:rFonts w:ascii="Times New Roman" w:hAnsi="Times New Roman" w:cs="Times New Roman"/>
        </w:rPr>
        <w:t xml:space="preserve">(Lightspeed) </w:t>
      </w:r>
      <w:r>
        <w:rPr>
          <w:rFonts w:ascii="Times New Roman" w:hAnsi="Times New Roman" w:cs="Times New Roman"/>
        </w:rPr>
        <w:t xml:space="preserve">will </w:t>
      </w:r>
      <w:r w:rsidR="00F430EF">
        <w:rPr>
          <w:rFonts w:ascii="Times New Roman" w:hAnsi="Times New Roman" w:cs="Times New Roman"/>
        </w:rPr>
        <w:t>seek</w:t>
      </w:r>
      <w:r w:rsidR="00CB1A43">
        <w:rPr>
          <w:rFonts w:ascii="Times New Roman" w:hAnsi="Times New Roman" w:cs="Times New Roman"/>
        </w:rPr>
        <w:t xml:space="preserve"> diversity in age, education, and race/ethnicity </w:t>
      </w:r>
      <w:r>
        <w:rPr>
          <w:rFonts w:ascii="Times New Roman" w:hAnsi="Times New Roman" w:cs="Times New Roman"/>
        </w:rPr>
        <w:t xml:space="preserve">to ensure a reasonable degree of </w:t>
      </w:r>
      <w:r w:rsidR="009178BA">
        <w:rPr>
          <w:rFonts w:ascii="Times New Roman" w:hAnsi="Times New Roman" w:cs="Times New Roman"/>
        </w:rPr>
        <w:t>inclusiveness</w:t>
      </w:r>
      <w:r>
        <w:rPr>
          <w:rFonts w:ascii="Times New Roman" w:hAnsi="Times New Roman" w:cs="Times New Roman"/>
        </w:rPr>
        <w:t xml:space="preserve"> </w:t>
      </w:r>
      <w:r w:rsidR="009178BA">
        <w:rPr>
          <w:rFonts w:ascii="Times New Roman" w:hAnsi="Times New Roman" w:cs="Times New Roman"/>
        </w:rPr>
        <w:t>o</w:t>
      </w:r>
      <w:r>
        <w:rPr>
          <w:rFonts w:ascii="Times New Roman" w:hAnsi="Times New Roman" w:cs="Times New Roman"/>
        </w:rPr>
        <w:t xml:space="preserve">n key demographic characteristics. FDA </w:t>
      </w:r>
      <w:r w:rsidR="00785737">
        <w:rPr>
          <w:rFonts w:ascii="Times New Roman" w:hAnsi="Times New Roman" w:cs="Times New Roman"/>
        </w:rPr>
        <w:t>will</w:t>
      </w:r>
      <w:r>
        <w:rPr>
          <w:rFonts w:ascii="Times New Roman" w:hAnsi="Times New Roman" w:cs="Times New Roman"/>
        </w:rPr>
        <w:t xml:space="preserve"> not generate nationally representative results of the targeted sub-population in this study. Note that generating a representative sample for </w:t>
      </w:r>
      <w:r w:rsidR="00E53296">
        <w:rPr>
          <w:rFonts w:ascii="Times New Roman" w:hAnsi="Times New Roman" w:cs="Times New Roman"/>
        </w:rPr>
        <w:t xml:space="preserve">this study </w:t>
      </w:r>
      <w:r>
        <w:rPr>
          <w:rFonts w:ascii="Times New Roman" w:hAnsi="Times New Roman" w:cs="Times New Roman"/>
        </w:rPr>
        <w:t>would be cos</w:t>
      </w:r>
      <w:r w:rsidR="00785737">
        <w:rPr>
          <w:rFonts w:ascii="Times New Roman" w:hAnsi="Times New Roman" w:cs="Times New Roman"/>
        </w:rPr>
        <w:t>tly and is not required for the study’s aims</w:t>
      </w:r>
      <w:r>
        <w:rPr>
          <w:rFonts w:ascii="Times New Roman" w:hAnsi="Times New Roman" w:cs="Times New Roman"/>
        </w:rPr>
        <w:t>. The study will use convenience samples rather than probability samples, and despite the diversity in the sample, the sample in the study is nevertheless still a convenience sample and not representative of national estimates or necessarily of the underlying study panel used. These limitations in generalizability do not affect the internal validity of the study. Such limitations will be noted in the context of describing the results of the study</w:t>
      </w:r>
      <w:r>
        <w:t>.</w:t>
      </w:r>
      <w:r>
        <w:rPr>
          <w:rFonts w:ascii="Times New Roman" w:hAnsi="Times New Roman" w:cs="Times New Roman"/>
        </w:rPr>
        <w:t xml:space="preserve"> </w:t>
      </w:r>
    </w:p>
    <w:p w14:paraId="142FF6D8" w14:textId="77777777" w:rsidR="00C1510C" w:rsidRPr="009A73BF" w:rsidRDefault="00C1510C" w:rsidP="0064304E">
      <w:pPr>
        <w:ind w:left="1080"/>
        <w:rPr>
          <w:rFonts w:ascii="Times New Roman" w:hAnsi="Times New Roman" w:cs="Times New Roman"/>
          <w:color w:val="000000" w:themeColor="text1"/>
        </w:rPr>
      </w:pPr>
    </w:p>
    <w:p w14:paraId="7C478DD3" w14:textId="77777777" w:rsidR="00DF7435" w:rsidRPr="009A73BF" w:rsidRDefault="00DF7435" w:rsidP="0064304E">
      <w:pPr>
        <w:ind w:left="1080"/>
        <w:rPr>
          <w:rFonts w:ascii="Times New Roman" w:hAnsi="Times New Roman" w:cs="Times New Roman"/>
          <w:color w:val="000000" w:themeColor="text1"/>
        </w:rPr>
      </w:pPr>
    </w:p>
    <w:bookmarkEnd w:id="3"/>
    <w:p w14:paraId="3C536287" w14:textId="77777777" w:rsidR="00A127A2" w:rsidRPr="009A73BF" w:rsidRDefault="00A127A2" w:rsidP="00AB4BD0">
      <w:pPr>
        <w:pStyle w:val="ListParagraph"/>
        <w:numPr>
          <w:ilvl w:val="0"/>
          <w:numId w:val="1"/>
        </w:numPr>
        <w:ind w:left="1080" w:hanging="450"/>
        <w:rPr>
          <w:rFonts w:ascii="Times New Roman" w:hAnsi="Times New Roman" w:cs="Times New Roman"/>
          <w:color w:val="000000" w:themeColor="text1"/>
          <w:u w:val="single"/>
        </w:rPr>
      </w:pPr>
      <w:r w:rsidRPr="009A73BF">
        <w:rPr>
          <w:rFonts w:ascii="Times New Roman" w:hAnsi="Times New Roman" w:cs="Times New Roman"/>
          <w:color w:val="000000" w:themeColor="text1"/>
          <w:u w:val="single"/>
        </w:rPr>
        <w:t>Procedures for the Collection of Information</w:t>
      </w:r>
    </w:p>
    <w:p w14:paraId="65F7B3AD" w14:textId="77777777" w:rsidR="00A127A2" w:rsidRPr="009A73BF" w:rsidRDefault="00A127A2" w:rsidP="00AD3E04">
      <w:pPr>
        <w:ind w:left="1080"/>
        <w:rPr>
          <w:rFonts w:ascii="Times New Roman" w:hAnsi="Times New Roman" w:cs="Times New Roman"/>
          <w:color w:val="000000" w:themeColor="text1"/>
        </w:rPr>
      </w:pPr>
    </w:p>
    <w:p w14:paraId="1A794A1B" w14:textId="264E764E" w:rsidR="00A127A2" w:rsidRPr="009A73BF" w:rsidRDefault="00A127A2" w:rsidP="000B6A1D">
      <w:pPr>
        <w:pStyle w:val="ListParagraph"/>
        <w:ind w:left="1080"/>
        <w:rPr>
          <w:rFonts w:ascii="Times New Roman" w:hAnsi="Times New Roman" w:cs="Times New Roman"/>
          <w:i/>
          <w:color w:val="000000" w:themeColor="text1"/>
        </w:rPr>
      </w:pPr>
      <w:r w:rsidRPr="009A73BF">
        <w:rPr>
          <w:rFonts w:ascii="Times New Roman" w:hAnsi="Times New Roman" w:cs="Times New Roman"/>
          <w:i/>
          <w:color w:val="000000" w:themeColor="text1"/>
        </w:rPr>
        <w:t>Recruitment</w:t>
      </w:r>
      <w:r w:rsidR="00086D69" w:rsidRPr="009A73BF">
        <w:rPr>
          <w:rFonts w:ascii="Times New Roman" w:hAnsi="Times New Roman" w:cs="Times New Roman"/>
          <w:i/>
          <w:color w:val="000000" w:themeColor="text1"/>
        </w:rPr>
        <w:t>, Screening and Consent</w:t>
      </w:r>
    </w:p>
    <w:p w14:paraId="38F29B06" w14:textId="30573C78" w:rsidR="00416244" w:rsidRPr="009A73BF" w:rsidRDefault="00845230" w:rsidP="00416244">
      <w:pPr>
        <w:ind w:left="1080"/>
        <w:rPr>
          <w:rFonts w:ascii="Times New Roman" w:hAnsi="Times New Roman" w:cs="Times New Roman"/>
        </w:rPr>
      </w:pPr>
      <w:r w:rsidRPr="009A73BF">
        <w:rPr>
          <w:rFonts w:ascii="Times New Roman" w:hAnsi="Times New Roman" w:cs="Times New Roman"/>
          <w:color w:val="000000" w:themeColor="text1"/>
        </w:rPr>
        <w:t xml:space="preserve">Sampling, recruitment, and data collection will be conducted by Lightspeed. Lightspeed will recruit study participants </w:t>
      </w:r>
      <w:r w:rsidRPr="009A73BF">
        <w:rPr>
          <w:rFonts w:ascii="Times New Roman" w:hAnsi="Times New Roman" w:cs="Times New Roman"/>
        </w:rPr>
        <w:t>through an invitation to its existing online panel. The text of this</w:t>
      </w:r>
      <w:r w:rsidR="00A33B38" w:rsidRPr="009A73BF">
        <w:rPr>
          <w:rFonts w:ascii="Times New Roman" w:hAnsi="Times New Roman" w:cs="Times New Roman"/>
        </w:rPr>
        <w:t xml:space="preserve"> </w:t>
      </w:r>
      <w:r w:rsidRPr="009A73BF">
        <w:rPr>
          <w:rFonts w:ascii="Times New Roman" w:hAnsi="Times New Roman" w:cs="Times New Roman"/>
        </w:rPr>
        <w:t xml:space="preserve">invitation is shown in </w:t>
      </w:r>
      <w:r w:rsidRPr="0034302A">
        <w:rPr>
          <w:rFonts w:ascii="Times New Roman" w:hAnsi="Times New Roman" w:cs="Times New Roman"/>
          <w:b/>
        </w:rPr>
        <w:t xml:space="preserve">Attachment </w:t>
      </w:r>
      <w:r w:rsidR="0034302A">
        <w:rPr>
          <w:rFonts w:ascii="Times New Roman" w:hAnsi="Times New Roman" w:cs="Times New Roman"/>
          <w:b/>
        </w:rPr>
        <w:t>3</w:t>
      </w:r>
      <w:r w:rsidRPr="009A73BF">
        <w:rPr>
          <w:rFonts w:ascii="Times New Roman" w:hAnsi="Times New Roman" w:cs="Times New Roman"/>
        </w:rPr>
        <w:t xml:space="preserve">.  </w:t>
      </w:r>
      <w:r w:rsidR="00416244" w:rsidRPr="009A73BF">
        <w:rPr>
          <w:rFonts w:ascii="Times New Roman" w:hAnsi="Times New Roman" w:cs="Times New Roman"/>
        </w:rPr>
        <w:t xml:space="preserve">Panel members will take the survey in their own homes or other locations that they choose. </w:t>
      </w:r>
    </w:p>
    <w:p w14:paraId="0A0FC589" w14:textId="77777777" w:rsidR="00416244" w:rsidRPr="009A73BF" w:rsidRDefault="00416244" w:rsidP="00416244">
      <w:pPr>
        <w:ind w:left="1080"/>
        <w:rPr>
          <w:rFonts w:ascii="Times New Roman" w:hAnsi="Times New Roman" w:cs="Times New Roman"/>
          <w:highlight w:val="yellow"/>
        </w:rPr>
      </w:pPr>
    </w:p>
    <w:p w14:paraId="71B71C5A" w14:textId="0A60DF61" w:rsidR="002C26AC" w:rsidRPr="009A73BF" w:rsidRDefault="00086D69" w:rsidP="00416244">
      <w:pPr>
        <w:ind w:left="1080"/>
        <w:rPr>
          <w:rFonts w:ascii="Times New Roman" w:hAnsi="Times New Roman" w:cs="Times New Roman"/>
        </w:rPr>
      </w:pPr>
      <w:r w:rsidRPr="009A73BF">
        <w:rPr>
          <w:rFonts w:ascii="Times New Roman" w:hAnsi="Times New Roman" w:cs="Times New Roman"/>
        </w:rPr>
        <w:t xml:space="preserve">Invitations will be targeted towards panelists who, according to the database, have characteristics that match our study criteria (e.g., tobacco users, nontobacco users). Adult panelists may be contacted in several ways: </w:t>
      </w:r>
      <w:r w:rsidR="007F0D27" w:rsidRPr="009A73BF">
        <w:rPr>
          <w:rFonts w:ascii="Times New Roman" w:hAnsi="Times New Roman" w:cs="Times New Roman"/>
        </w:rPr>
        <w:t xml:space="preserve">Survey invitations are distributed via email, but also presented in </w:t>
      </w:r>
      <w:r w:rsidR="00D1104D">
        <w:rPr>
          <w:rFonts w:ascii="Times New Roman" w:hAnsi="Times New Roman" w:cs="Times New Roman"/>
        </w:rPr>
        <w:t>each</w:t>
      </w:r>
      <w:r w:rsidR="007F0D27" w:rsidRPr="009A73BF">
        <w:rPr>
          <w:rFonts w:ascii="Times New Roman" w:hAnsi="Times New Roman" w:cs="Times New Roman"/>
        </w:rPr>
        <w:t xml:space="preserve"> panelist’s portal, accessible on computers, tablets, and mobile devices (including via the Lightspeed LifePoints app). Respondents are presented with a blind link to the survey, presented with the estimated length of survey and the proposed point reward. This helps to ensure screening questions are not given away with an initial description. </w:t>
      </w:r>
      <w:r w:rsidR="002C26AC" w:rsidRPr="009A73BF">
        <w:rPr>
          <w:rFonts w:ascii="Times New Roman" w:hAnsi="Times New Roman" w:cs="Times New Roman"/>
        </w:rPr>
        <w:t>After clicking the online survey link, adult participants will encounter</w:t>
      </w:r>
      <w:r w:rsidR="006062B0">
        <w:rPr>
          <w:rFonts w:ascii="Times New Roman" w:hAnsi="Times New Roman" w:cs="Times New Roman"/>
        </w:rPr>
        <w:t xml:space="preserve"> the consent form</w:t>
      </w:r>
      <w:r w:rsidR="002C26AC" w:rsidRPr="009A73BF">
        <w:rPr>
          <w:rFonts w:ascii="Times New Roman" w:hAnsi="Times New Roman" w:cs="Times New Roman"/>
        </w:rPr>
        <w:t xml:space="preserve">. If they </w:t>
      </w:r>
      <w:r w:rsidR="006062B0">
        <w:rPr>
          <w:rFonts w:ascii="Times New Roman" w:hAnsi="Times New Roman" w:cs="Times New Roman"/>
        </w:rPr>
        <w:t xml:space="preserve">consent – by clicking a box indicating that they have read the provided material and agree to participate – </w:t>
      </w:r>
      <w:r w:rsidR="002C26AC" w:rsidRPr="009A73BF">
        <w:rPr>
          <w:rFonts w:ascii="Times New Roman" w:hAnsi="Times New Roman" w:cs="Times New Roman"/>
        </w:rPr>
        <w:t>they will then complete the study screener. Adults who screen into the survey will v</w:t>
      </w:r>
      <w:r w:rsidR="00E3158F" w:rsidRPr="009A73BF">
        <w:rPr>
          <w:rFonts w:ascii="Times New Roman" w:hAnsi="Times New Roman" w:cs="Times New Roman"/>
        </w:rPr>
        <w:t>iew one of the experimental images</w:t>
      </w:r>
      <w:r w:rsidR="00690702" w:rsidRPr="009A73BF">
        <w:rPr>
          <w:rFonts w:ascii="Times New Roman" w:hAnsi="Times New Roman" w:cs="Times New Roman"/>
        </w:rPr>
        <w:t xml:space="preserve"> (see </w:t>
      </w:r>
      <w:r w:rsidR="004E41EF">
        <w:rPr>
          <w:rFonts w:ascii="Times New Roman" w:hAnsi="Times New Roman" w:cs="Times New Roman"/>
        </w:rPr>
        <w:t>Exhibit</w:t>
      </w:r>
      <w:r w:rsidR="00690702" w:rsidRPr="009A73BF">
        <w:rPr>
          <w:rFonts w:ascii="Times New Roman" w:hAnsi="Times New Roman" w:cs="Times New Roman"/>
        </w:rPr>
        <w:t xml:space="preserve"> 2 above) </w:t>
      </w:r>
      <w:r w:rsidR="002C26AC" w:rsidRPr="009A73BF">
        <w:rPr>
          <w:rFonts w:ascii="Times New Roman" w:hAnsi="Times New Roman" w:cs="Times New Roman"/>
        </w:rPr>
        <w:t xml:space="preserve">and complete the remaining survey </w:t>
      </w:r>
      <w:r w:rsidR="00690702" w:rsidRPr="009A73BF">
        <w:rPr>
          <w:rFonts w:ascii="Times New Roman" w:hAnsi="Times New Roman" w:cs="Times New Roman"/>
        </w:rPr>
        <w:t>items.</w:t>
      </w:r>
    </w:p>
    <w:p w14:paraId="54BE7CF2" w14:textId="77777777" w:rsidR="00A127A2" w:rsidRPr="006C59F1" w:rsidRDefault="00A127A2" w:rsidP="00AD3E04">
      <w:pPr>
        <w:ind w:left="1080"/>
        <w:rPr>
          <w:rFonts w:ascii="Times New Roman" w:hAnsi="Times New Roman" w:cs="Times New Roman"/>
        </w:rPr>
      </w:pPr>
    </w:p>
    <w:p w14:paraId="2ACC2449" w14:textId="54AC0B17" w:rsidR="00A127A2" w:rsidRPr="006D3A9F" w:rsidRDefault="00A127A2" w:rsidP="00AB4BD0">
      <w:pPr>
        <w:pStyle w:val="ListParagraph"/>
        <w:numPr>
          <w:ilvl w:val="0"/>
          <w:numId w:val="1"/>
        </w:numPr>
        <w:ind w:left="1080" w:hanging="450"/>
        <w:rPr>
          <w:rFonts w:ascii="Times New Roman" w:hAnsi="Times New Roman" w:cs="Times New Roman"/>
          <w:color w:val="000000" w:themeColor="text1"/>
          <w:u w:val="single"/>
        </w:rPr>
      </w:pPr>
      <w:r w:rsidRPr="006D3A9F">
        <w:rPr>
          <w:rFonts w:ascii="Times New Roman" w:hAnsi="Times New Roman" w:cs="Times New Roman"/>
          <w:color w:val="000000" w:themeColor="text1"/>
          <w:u w:val="single"/>
        </w:rPr>
        <w:t>Methods to Maximize Response Rates</w:t>
      </w:r>
    </w:p>
    <w:p w14:paraId="7498CC39" w14:textId="2CD71328" w:rsidR="00A127A2" w:rsidRDefault="00A127A2" w:rsidP="00AD3E04">
      <w:pPr>
        <w:ind w:left="1080"/>
        <w:rPr>
          <w:rFonts w:ascii="Times New Roman" w:hAnsi="Times New Roman" w:cs="Times New Roman"/>
          <w:color w:val="000000" w:themeColor="text1"/>
        </w:rPr>
      </w:pPr>
    </w:p>
    <w:p w14:paraId="29F8EB4A" w14:textId="10357134" w:rsidR="00B234C1" w:rsidRPr="009A73BF" w:rsidRDefault="001641B4" w:rsidP="007F0D27">
      <w:pPr>
        <w:ind w:left="1080"/>
        <w:rPr>
          <w:rFonts w:ascii="Times New Roman" w:hAnsi="Times New Roman" w:cs="Times New Roman"/>
        </w:rPr>
      </w:pPr>
      <w:bookmarkStart w:id="4" w:name="_Hlk503964928"/>
      <w:r w:rsidRPr="009A73BF">
        <w:rPr>
          <w:rFonts w:ascii="Times New Roman" w:hAnsi="Times New Roman" w:cs="Times New Roman"/>
        </w:rPr>
        <w:t>The survey</w:t>
      </w:r>
      <w:r w:rsidR="00B234C1" w:rsidRPr="009A73BF">
        <w:rPr>
          <w:rFonts w:ascii="Times New Roman" w:hAnsi="Times New Roman" w:cs="Times New Roman"/>
        </w:rPr>
        <w:t xml:space="preserve"> will use an existing Internet panel to draw a sample. The panel (described in B.1) comprises individuals who share their opinions via the Internet regularly. </w:t>
      </w:r>
      <w:bookmarkEnd w:id="4"/>
      <w:r w:rsidR="00B234C1" w:rsidRPr="009A73BF">
        <w:rPr>
          <w:rFonts w:ascii="Times New Roman" w:hAnsi="Times New Roman" w:cs="Times New Roman"/>
        </w:rPr>
        <w:t>To help ensure that the participation rate is as high as possible, FDA and the contractor:</w:t>
      </w:r>
    </w:p>
    <w:p w14:paraId="6A9B2838" w14:textId="77777777" w:rsidR="001641B4" w:rsidRPr="009A73BF" w:rsidRDefault="001641B4" w:rsidP="007F0D27">
      <w:pPr>
        <w:ind w:left="1080"/>
        <w:rPr>
          <w:rFonts w:ascii="Times New Roman" w:hAnsi="Times New Roman" w:cs="Times New Roman"/>
        </w:rPr>
      </w:pPr>
    </w:p>
    <w:p w14:paraId="4D673B7E" w14:textId="6D4495C7" w:rsidR="00B234C1" w:rsidRPr="009A73BF" w:rsidRDefault="00EB5CF6" w:rsidP="007F0D27">
      <w:pPr>
        <w:pStyle w:val="ListParagraph"/>
        <w:numPr>
          <w:ilvl w:val="0"/>
          <w:numId w:val="4"/>
        </w:numPr>
        <w:rPr>
          <w:rFonts w:ascii="Times New Roman" w:hAnsi="Times New Roman" w:cs="Times New Roman"/>
        </w:rPr>
      </w:pPr>
      <w:r>
        <w:rPr>
          <w:rFonts w:ascii="Times New Roman" w:hAnsi="Times New Roman" w:cs="Times New Roman"/>
        </w:rPr>
        <w:t>have d</w:t>
      </w:r>
      <w:r w:rsidR="00B234C1" w:rsidRPr="009A73BF">
        <w:rPr>
          <w:rFonts w:ascii="Times New Roman" w:hAnsi="Times New Roman" w:cs="Times New Roman"/>
        </w:rPr>
        <w:t>esign</w:t>
      </w:r>
      <w:r>
        <w:rPr>
          <w:rFonts w:ascii="Times New Roman" w:hAnsi="Times New Roman" w:cs="Times New Roman"/>
        </w:rPr>
        <w:t>ed</w:t>
      </w:r>
      <w:r w:rsidR="00B234C1" w:rsidRPr="009A73BF">
        <w:rPr>
          <w:rFonts w:ascii="Times New Roman" w:hAnsi="Times New Roman" w:cs="Times New Roman"/>
        </w:rPr>
        <w:t xml:space="preserve"> a protocol that minimizes burden (short in length, clearly written, and with appealing graphics); </w:t>
      </w:r>
      <w:r w:rsidR="006259B8" w:rsidRPr="009A73BF">
        <w:rPr>
          <w:rFonts w:ascii="Times New Roman" w:hAnsi="Times New Roman" w:cs="Times New Roman"/>
        </w:rPr>
        <w:t>and</w:t>
      </w:r>
    </w:p>
    <w:p w14:paraId="0D889DC2" w14:textId="11AF00F5" w:rsidR="00B234C1" w:rsidRPr="009A73BF" w:rsidRDefault="00EB5CF6" w:rsidP="007F0D27">
      <w:pPr>
        <w:pStyle w:val="ListParagraph"/>
        <w:numPr>
          <w:ilvl w:val="0"/>
          <w:numId w:val="4"/>
        </w:numPr>
        <w:rPr>
          <w:rFonts w:ascii="Times New Roman" w:hAnsi="Times New Roman" w:cs="Times New Roman"/>
        </w:rPr>
      </w:pPr>
      <w:r>
        <w:rPr>
          <w:rFonts w:ascii="Times New Roman" w:hAnsi="Times New Roman" w:cs="Times New Roman"/>
        </w:rPr>
        <w:t>will a</w:t>
      </w:r>
      <w:r w:rsidR="00B234C1" w:rsidRPr="009A73BF">
        <w:rPr>
          <w:rFonts w:ascii="Times New Roman" w:hAnsi="Times New Roman" w:cs="Times New Roman"/>
        </w:rPr>
        <w:t>dminister the survey over the Internet, allowing respondents to answer questions at a time and location of their choosing</w:t>
      </w:r>
      <w:r w:rsidR="00C1276A">
        <w:rPr>
          <w:rFonts w:ascii="Times New Roman" w:hAnsi="Times New Roman" w:cs="Times New Roman"/>
        </w:rPr>
        <w:t>.</w:t>
      </w:r>
    </w:p>
    <w:p w14:paraId="40AF7F1A" w14:textId="77777777" w:rsidR="001641B4" w:rsidRPr="009A73BF" w:rsidRDefault="001641B4" w:rsidP="007F0D27">
      <w:pPr>
        <w:pStyle w:val="ListParagraph"/>
        <w:ind w:left="1800"/>
        <w:rPr>
          <w:rFonts w:ascii="Times New Roman" w:hAnsi="Times New Roman" w:cs="Times New Roman"/>
        </w:rPr>
      </w:pPr>
    </w:p>
    <w:p w14:paraId="069550CF" w14:textId="77777777" w:rsidR="003F02E8" w:rsidRDefault="001641B4" w:rsidP="007F0D27">
      <w:pPr>
        <w:ind w:left="1080"/>
        <w:rPr>
          <w:rFonts w:ascii="Times New Roman" w:hAnsi="Times New Roman" w:cs="Times New Roman"/>
        </w:rPr>
      </w:pPr>
      <w:bookmarkStart w:id="5" w:name="_Hlk503964971"/>
      <w:r w:rsidRPr="009A73BF">
        <w:rPr>
          <w:rFonts w:ascii="Times New Roman" w:hAnsi="Times New Roman" w:cs="Times New Roman"/>
        </w:rPr>
        <w:t xml:space="preserve">Furthermore, </w:t>
      </w:r>
      <w:r w:rsidR="00634725" w:rsidRPr="009A73BF">
        <w:rPr>
          <w:rFonts w:ascii="Times New Roman" w:hAnsi="Times New Roman" w:cs="Times New Roman"/>
        </w:rPr>
        <w:t>Lightspeed</w:t>
      </w:r>
      <w:r w:rsidRPr="009A73BF">
        <w:rPr>
          <w:rFonts w:ascii="Times New Roman" w:hAnsi="Times New Roman" w:cs="Times New Roman"/>
        </w:rPr>
        <w:t xml:space="preserve"> will target recruitment to panelists who are likely eligible for the study based on key characteristics including age and tobacco status. </w:t>
      </w:r>
    </w:p>
    <w:p w14:paraId="0FBE19D9" w14:textId="77777777" w:rsidR="003F02E8" w:rsidRDefault="003F02E8" w:rsidP="007F0D27">
      <w:pPr>
        <w:ind w:left="1080"/>
        <w:rPr>
          <w:rFonts w:ascii="Times New Roman" w:hAnsi="Times New Roman" w:cs="Times New Roman"/>
        </w:rPr>
      </w:pPr>
    </w:p>
    <w:p w14:paraId="4676FC11" w14:textId="088C526B" w:rsidR="006259B8" w:rsidRDefault="001641B4" w:rsidP="007F0D27">
      <w:pPr>
        <w:ind w:left="1080"/>
        <w:rPr>
          <w:rFonts w:ascii="Times New Roman" w:hAnsi="Times New Roman" w:cs="Times New Roman"/>
        </w:rPr>
      </w:pPr>
      <w:r w:rsidRPr="009A73BF">
        <w:rPr>
          <w:rFonts w:ascii="Times New Roman" w:hAnsi="Times New Roman" w:cs="Times New Roman"/>
        </w:rPr>
        <w:t>Th</w:t>
      </w:r>
      <w:r w:rsidR="003F02E8">
        <w:rPr>
          <w:rFonts w:ascii="Times New Roman" w:hAnsi="Times New Roman" w:cs="Times New Roman"/>
        </w:rPr>
        <w:t>e aim of these methods is to minimize</w:t>
      </w:r>
      <w:r w:rsidRPr="009A73BF">
        <w:rPr>
          <w:rFonts w:ascii="Times New Roman" w:hAnsi="Times New Roman" w:cs="Times New Roman"/>
        </w:rPr>
        <w:t xml:space="preserve"> the number of </w:t>
      </w:r>
      <w:r w:rsidR="00607DB1">
        <w:rPr>
          <w:rFonts w:ascii="Times New Roman" w:hAnsi="Times New Roman" w:cs="Times New Roman"/>
        </w:rPr>
        <w:t>people</w:t>
      </w:r>
      <w:r w:rsidRPr="009A73BF">
        <w:rPr>
          <w:rFonts w:ascii="Times New Roman" w:hAnsi="Times New Roman" w:cs="Times New Roman"/>
        </w:rPr>
        <w:t xml:space="preserve"> who </w:t>
      </w:r>
      <w:r w:rsidR="00EB5CF6">
        <w:rPr>
          <w:rFonts w:ascii="Times New Roman" w:hAnsi="Times New Roman" w:cs="Times New Roman"/>
        </w:rPr>
        <w:t xml:space="preserve">spend time on </w:t>
      </w:r>
      <w:r w:rsidR="009C505A">
        <w:rPr>
          <w:rFonts w:ascii="Times New Roman" w:hAnsi="Times New Roman" w:cs="Times New Roman"/>
        </w:rPr>
        <w:t xml:space="preserve">viewing the invitation or completing </w:t>
      </w:r>
      <w:r w:rsidR="00EB5CF6">
        <w:rPr>
          <w:rFonts w:ascii="Times New Roman" w:hAnsi="Times New Roman" w:cs="Times New Roman"/>
        </w:rPr>
        <w:t xml:space="preserve">the screening but </w:t>
      </w:r>
      <w:r w:rsidRPr="009A73BF">
        <w:rPr>
          <w:rFonts w:ascii="Times New Roman" w:hAnsi="Times New Roman" w:cs="Times New Roman"/>
        </w:rPr>
        <w:t xml:space="preserve">are ultimately ineligible </w:t>
      </w:r>
      <w:r w:rsidR="00EB5CF6">
        <w:rPr>
          <w:rFonts w:ascii="Times New Roman" w:hAnsi="Times New Roman" w:cs="Times New Roman"/>
        </w:rPr>
        <w:t xml:space="preserve">to participate in the study </w:t>
      </w:r>
      <w:r w:rsidRPr="009A73BF">
        <w:rPr>
          <w:rFonts w:ascii="Times New Roman" w:hAnsi="Times New Roman" w:cs="Times New Roman"/>
        </w:rPr>
        <w:t xml:space="preserve">based on the </w:t>
      </w:r>
      <w:r w:rsidR="00EB5CF6">
        <w:rPr>
          <w:rFonts w:ascii="Times New Roman" w:hAnsi="Times New Roman" w:cs="Times New Roman"/>
        </w:rPr>
        <w:t>inclusion</w:t>
      </w:r>
      <w:r w:rsidR="00EB5CF6" w:rsidRPr="009A73BF">
        <w:rPr>
          <w:rFonts w:ascii="Times New Roman" w:hAnsi="Times New Roman" w:cs="Times New Roman"/>
        </w:rPr>
        <w:t xml:space="preserve"> </w:t>
      </w:r>
      <w:r w:rsidRPr="009A73BF">
        <w:rPr>
          <w:rFonts w:ascii="Times New Roman" w:hAnsi="Times New Roman" w:cs="Times New Roman"/>
        </w:rPr>
        <w:t>criteria.</w:t>
      </w:r>
    </w:p>
    <w:p w14:paraId="49D2F925" w14:textId="77777777" w:rsidR="003F02E8" w:rsidRPr="009A73BF" w:rsidRDefault="003F02E8" w:rsidP="007F0D27">
      <w:pPr>
        <w:ind w:left="1080"/>
        <w:rPr>
          <w:rFonts w:ascii="Times New Roman" w:hAnsi="Times New Roman" w:cs="Times New Roman"/>
        </w:rPr>
      </w:pPr>
    </w:p>
    <w:p w14:paraId="795FF55D" w14:textId="77777777" w:rsidR="00A127A2" w:rsidRPr="00AB4BD0" w:rsidRDefault="00A127A2" w:rsidP="00AB4BD0">
      <w:pPr>
        <w:pStyle w:val="ListParagraph"/>
        <w:numPr>
          <w:ilvl w:val="0"/>
          <w:numId w:val="1"/>
        </w:numPr>
        <w:ind w:left="1080" w:hanging="450"/>
        <w:rPr>
          <w:rFonts w:ascii="Times New Roman" w:hAnsi="Times New Roman" w:cs="Times New Roman"/>
          <w:u w:val="single"/>
        </w:rPr>
      </w:pPr>
      <w:bookmarkStart w:id="6" w:name="IDX"/>
      <w:bookmarkEnd w:id="5"/>
      <w:bookmarkEnd w:id="6"/>
      <w:r w:rsidRPr="00AB4BD0">
        <w:rPr>
          <w:rFonts w:ascii="Times New Roman" w:hAnsi="Times New Roman" w:cs="Times New Roman"/>
          <w:u w:val="single"/>
        </w:rPr>
        <w:t>Test of Procedures or Methods to be Undertaken</w:t>
      </w:r>
    </w:p>
    <w:p w14:paraId="7154E825" w14:textId="77777777" w:rsidR="00A127A2" w:rsidRPr="00AD3E04" w:rsidRDefault="00A127A2" w:rsidP="00AD3E04">
      <w:pPr>
        <w:ind w:left="1080"/>
        <w:rPr>
          <w:rFonts w:ascii="Times New Roman" w:hAnsi="Times New Roman" w:cs="Times New Roman"/>
        </w:rPr>
      </w:pPr>
    </w:p>
    <w:p w14:paraId="615ABAEA" w14:textId="539EFD03" w:rsidR="00A127A2" w:rsidRPr="00AD3E04" w:rsidRDefault="00A127A2" w:rsidP="00AD3E04">
      <w:pPr>
        <w:ind w:left="1080"/>
        <w:rPr>
          <w:rFonts w:ascii="Times New Roman" w:hAnsi="Times New Roman" w:cs="Times New Roman"/>
        </w:rPr>
      </w:pPr>
      <w:r w:rsidRPr="00AD3E04">
        <w:rPr>
          <w:rFonts w:ascii="Times New Roman" w:hAnsi="Times New Roman" w:cs="Times New Roman"/>
        </w:rPr>
        <w:t xml:space="preserve">RTI will conduct rigorous internal testing of the online survey instrument prior to data collection. </w:t>
      </w:r>
      <w:r w:rsidR="0007097A">
        <w:rPr>
          <w:rFonts w:ascii="Times New Roman" w:hAnsi="Times New Roman" w:cs="Times New Roman"/>
        </w:rPr>
        <w:t xml:space="preserve">The research team </w:t>
      </w:r>
      <w:r w:rsidRPr="00AD3E04">
        <w:rPr>
          <w:rFonts w:ascii="Times New Roman" w:hAnsi="Times New Roman" w:cs="Times New Roman"/>
        </w:rPr>
        <w:t>will review the online test version of the instrument that we will use to verify that instrument skip patterns are fu</w:t>
      </w:r>
      <w:r w:rsidR="0007097A">
        <w:rPr>
          <w:rFonts w:ascii="Times New Roman" w:hAnsi="Times New Roman" w:cs="Times New Roman"/>
        </w:rPr>
        <w:t xml:space="preserve">nctioning properly, experimental stimuli exposure </w:t>
      </w:r>
      <w:r w:rsidRPr="00AD3E04">
        <w:rPr>
          <w:rFonts w:ascii="Times New Roman" w:hAnsi="Times New Roman" w:cs="Times New Roman"/>
        </w:rPr>
        <w:t>is working properly, and that all survey questions are worded correctly and are in accordance with the instrument approved by OMB.</w:t>
      </w:r>
      <w:r w:rsidR="0007097A">
        <w:rPr>
          <w:rFonts w:ascii="Times New Roman" w:hAnsi="Times New Roman" w:cs="Times New Roman"/>
        </w:rPr>
        <w:t xml:space="preserve"> </w:t>
      </w:r>
    </w:p>
    <w:p w14:paraId="70C19D5D" w14:textId="77777777" w:rsidR="00A127A2" w:rsidRPr="00243BC4" w:rsidRDefault="00A127A2" w:rsidP="00AD3E04">
      <w:pPr>
        <w:ind w:left="1080"/>
        <w:rPr>
          <w:rFonts w:ascii="Times New Roman" w:hAnsi="Times New Roman" w:cs="Times New Roman"/>
        </w:rPr>
      </w:pPr>
    </w:p>
    <w:p w14:paraId="4EBEEA60" w14:textId="77777777" w:rsidR="00A127A2" w:rsidRPr="00EB04F7" w:rsidRDefault="00A127A2" w:rsidP="00AB4BD0">
      <w:pPr>
        <w:pStyle w:val="ListParagraph"/>
        <w:numPr>
          <w:ilvl w:val="0"/>
          <w:numId w:val="1"/>
        </w:numPr>
        <w:ind w:left="1080" w:hanging="450"/>
        <w:rPr>
          <w:rFonts w:ascii="Times New Roman" w:hAnsi="Times New Roman" w:cs="Times New Roman"/>
          <w:u w:val="single"/>
        </w:rPr>
      </w:pPr>
      <w:r w:rsidRPr="00EB04F7">
        <w:rPr>
          <w:rFonts w:ascii="Times New Roman" w:hAnsi="Times New Roman" w:cs="Times New Roman"/>
          <w:u w:val="single"/>
        </w:rPr>
        <w:t>Individuals Consulted on Statistical Aspects and Individuals Collection and/or Analyzing Data</w:t>
      </w:r>
    </w:p>
    <w:p w14:paraId="0D324CCE" w14:textId="77777777" w:rsidR="00A127A2" w:rsidRPr="00243BC4" w:rsidRDefault="00A127A2" w:rsidP="00AD3E04">
      <w:pPr>
        <w:ind w:left="1080"/>
        <w:rPr>
          <w:rFonts w:ascii="Times New Roman" w:hAnsi="Times New Roman" w:cs="Times New Roman"/>
        </w:rPr>
      </w:pPr>
    </w:p>
    <w:p w14:paraId="40094EB7" w14:textId="05903E83" w:rsidR="00A127A2" w:rsidRPr="00243BC4" w:rsidRDefault="0007097A" w:rsidP="00D77A97">
      <w:pPr>
        <w:pStyle w:val="ListContinue"/>
        <w:spacing w:after="240"/>
        <w:ind w:left="1080"/>
        <w:rPr>
          <w:rFonts w:ascii="Times New Roman" w:hAnsi="Times New Roman" w:cs="Times New Roman"/>
        </w:rPr>
      </w:pPr>
      <w:r w:rsidRPr="00B776BF">
        <w:rPr>
          <w:rFonts w:ascii="Times New Roman" w:hAnsi="Times New Roman" w:cs="Times New Roman"/>
        </w:rPr>
        <w:t xml:space="preserve">On behalf of FDA, the contractor, RTI, will work with </w:t>
      </w:r>
      <w:r w:rsidR="004A7108" w:rsidRPr="00B776BF">
        <w:rPr>
          <w:rFonts w:ascii="Times New Roman" w:hAnsi="Times New Roman" w:cs="Times New Roman"/>
        </w:rPr>
        <w:t>Lightspeed</w:t>
      </w:r>
      <w:r w:rsidRPr="00B776BF">
        <w:rPr>
          <w:rFonts w:ascii="Times New Roman" w:hAnsi="Times New Roman" w:cs="Times New Roman"/>
        </w:rPr>
        <w:t xml:space="preserve"> to collect the data and will then analyze the data as a task order under Contract HHSF223201</w:t>
      </w:r>
      <w:r w:rsidR="00B776BF" w:rsidRPr="00B776BF">
        <w:rPr>
          <w:rFonts w:ascii="Times New Roman" w:hAnsi="Times New Roman" w:cs="Times New Roman"/>
        </w:rPr>
        <w:t>110005B. Jane Allen, MA</w:t>
      </w:r>
      <w:r w:rsidRPr="00B776BF">
        <w:rPr>
          <w:rFonts w:ascii="Times New Roman" w:hAnsi="Times New Roman" w:cs="Times New Roman"/>
        </w:rPr>
        <w:t xml:space="preserve">., </w:t>
      </w:r>
      <w:r w:rsidR="00B776BF" w:rsidRPr="00B776BF">
        <w:rPr>
          <w:rFonts w:ascii="Times New Roman" w:hAnsi="Times New Roman" w:cs="Times New Roman"/>
        </w:rPr>
        <w:t>919-597-5115</w:t>
      </w:r>
      <w:r w:rsidRPr="00B776BF">
        <w:rPr>
          <w:rFonts w:ascii="Times New Roman" w:hAnsi="Times New Roman" w:cs="Times New Roman"/>
        </w:rPr>
        <w:t xml:space="preserve">, is the Project Director for this project. Data analysis will be overseen by the Research Team, </w:t>
      </w:r>
      <w:r w:rsidR="00D77A97">
        <w:rPr>
          <w:rFonts w:ascii="Times New Roman" w:hAnsi="Times New Roman" w:cs="Times New Roman"/>
        </w:rPr>
        <w:t xml:space="preserve">including FDA project leads Alexander Persoskie (240-402-6864) and Erin O’Brien (301-796-9335). </w:t>
      </w:r>
    </w:p>
    <w:p w14:paraId="125C1F30" w14:textId="0CD2E9A6" w:rsidR="000A775F" w:rsidRDefault="0007097A">
      <w:pPr>
        <w:rPr>
          <w:rFonts w:ascii="Times New Roman" w:hAnsi="Times New Roman" w:cs="Times New Roman"/>
        </w:rPr>
      </w:pPr>
      <w:r>
        <w:rPr>
          <w:rFonts w:ascii="Times New Roman" w:hAnsi="Times New Roman" w:cs="Times New Roman"/>
        </w:rPr>
        <w:tab/>
      </w:r>
    </w:p>
    <w:p w14:paraId="2BBE4DFE" w14:textId="77777777" w:rsidR="002370AD" w:rsidRDefault="002370AD" w:rsidP="0079258E">
      <w:pPr>
        <w:ind w:left="1080"/>
        <w:rPr>
          <w:rFonts w:ascii="Times New Roman" w:hAnsi="Times New Roman" w:cs="Times New Roman"/>
        </w:rPr>
      </w:pPr>
    </w:p>
    <w:p w14:paraId="7325407D" w14:textId="78415A94" w:rsidR="00A802E2" w:rsidRDefault="00A802E2" w:rsidP="0079258E"/>
    <w:sectPr w:rsidR="00A802E2" w:rsidSect="001C2E7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951706" w14:textId="77777777" w:rsidR="009C260B" w:rsidRDefault="009C260B">
      <w:r>
        <w:separator/>
      </w:r>
    </w:p>
  </w:endnote>
  <w:endnote w:type="continuationSeparator" w:id="0">
    <w:p w14:paraId="7BE78AE7" w14:textId="77777777" w:rsidR="009C260B" w:rsidRDefault="009C260B">
      <w:r>
        <w:continuationSeparator/>
      </w:r>
    </w:p>
  </w:endnote>
  <w:endnote w:type="continuationNotice" w:id="1">
    <w:p w14:paraId="3DC6E844" w14:textId="77777777" w:rsidR="009C260B" w:rsidRDefault="009C26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1E5E9" w14:textId="77777777" w:rsidR="00832F2E" w:rsidRDefault="00832F2E" w:rsidP="004251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3DF316" w14:textId="77777777" w:rsidR="00832F2E" w:rsidRDefault="00832F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0131A" w14:textId="1BD79327" w:rsidR="00832F2E" w:rsidRPr="007609A6" w:rsidRDefault="00832F2E" w:rsidP="001C2E7D">
    <w:pPr>
      <w:pStyle w:val="Footer"/>
      <w:framePr w:wrap="around" w:vAnchor="text" w:hAnchor="margin" w:xAlign="center" w:y="1"/>
      <w:rPr>
        <w:rStyle w:val="PageNumber"/>
        <w:rFonts w:ascii="Times New Roman" w:hAnsi="Times New Roman" w:cs="Times New Roman"/>
      </w:rPr>
    </w:pPr>
    <w:r w:rsidRPr="007609A6">
      <w:rPr>
        <w:rStyle w:val="PageNumber"/>
        <w:rFonts w:ascii="Times New Roman" w:hAnsi="Times New Roman" w:cs="Times New Roman"/>
      </w:rPr>
      <w:fldChar w:fldCharType="begin"/>
    </w:r>
    <w:r w:rsidRPr="007609A6">
      <w:rPr>
        <w:rStyle w:val="PageNumber"/>
        <w:rFonts w:ascii="Times New Roman" w:hAnsi="Times New Roman" w:cs="Times New Roman"/>
      </w:rPr>
      <w:instrText xml:space="preserve">PAGE  </w:instrText>
    </w:r>
    <w:r w:rsidRPr="007609A6">
      <w:rPr>
        <w:rStyle w:val="PageNumber"/>
        <w:rFonts w:ascii="Times New Roman" w:hAnsi="Times New Roman" w:cs="Times New Roman"/>
      </w:rPr>
      <w:fldChar w:fldCharType="separate"/>
    </w:r>
    <w:r w:rsidR="00A66849">
      <w:rPr>
        <w:rStyle w:val="PageNumber"/>
        <w:rFonts w:ascii="Times New Roman" w:hAnsi="Times New Roman" w:cs="Times New Roman"/>
        <w:noProof/>
      </w:rPr>
      <w:t>1</w:t>
    </w:r>
    <w:r w:rsidRPr="007609A6">
      <w:rPr>
        <w:rStyle w:val="PageNumber"/>
        <w:rFonts w:ascii="Times New Roman" w:hAnsi="Times New Roman" w:cs="Times New Roman"/>
      </w:rPr>
      <w:fldChar w:fldCharType="end"/>
    </w:r>
  </w:p>
  <w:p w14:paraId="6E49BCE9" w14:textId="77777777" w:rsidR="00832F2E" w:rsidRDefault="00832F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DD8B4" w14:textId="77777777" w:rsidR="00832F2E" w:rsidRDefault="00832F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7C1E98" w14:textId="77777777" w:rsidR="009C260B" w:rsidRDefault="009C260B">
      <w:r>
        <w:separator/>
      </w:r>
    </w:p>
  </w:footnote>
  <w:footnote w:type="continuationSeparator" w:id="0">
    <w:p w14:paraId="41F92DB6" w14:textId="77777777" w:rsidR="009C260B" w:rsidRDefault="009C260B">
      <w:r>
        <w:continuationSeparator/>
      </w:r>
    </w:p>
  </w:footnote>
  <w:footnote w:type="continuationNotice" w:id="1">
    <w:p w14:paraId="40F1BB0F" w14:textId="77777777" w:rsidR="009C260B" w:rsidRDefault="009C260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7EFFA" w14:textId="77777777" w:rsidR="00832F2E" w:rsidRDefault="00832F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19F7E" w14:textId="77777777" w:rsidR="00832F2E" w:rsidRDefault="00832F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CEEB1" w14:textId="77777777" w:rsidR="00832F2E" w:rsidRDefault="00832F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C7AF80A"/>
    <w:lvl w:ilvl="0">
      <w:start w:val="1"/>
      <w:numFmt w:val="bullet"/>
      <w:pStyle w:val="ListBullet"/>
      <w:lvlText w:val="▪"/>
      <w:lvlJc w:val="left"/>
      <w:pPr>
        <w:ind w:left="360" w:hanging="360"/>
      </w:pPr>
      <w:rPr>
        <w:rFonts w:ascii="Verdana" w:hAnsi="Verdana" w:hint="default"/>
        <w:sz w:val="24"/>
        <w:szCs w:val="24"/>
      </w:rPr>
    </w:lvl>
  </w:abstractNum>
  <w:abstractNum w:abstractNumId="1">
    <w:nsid w:val="0FAC770A"/>
    <w:multiLevelType w:val="hybridMultilevel"/>
    <w:tmpl w:val="33627C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1940C55"/>
    <w:multiLevelType w:val="multilevel"/>
    <w:tmpl w:val="0409001F"/>
    <w:lvl w:ilvl="0">
      <w:start w:val="1"/>
      <w:numFmt w:val="decimal"/>
      <w:lvlText w:val="%1."/>
      <w:lvlJc w:val="left"/>
      <w:pPr>
        <w:ind w:left="-450" w:hanging="360"/>
      </w:pPr>
      <w:rPr>
        <w:rFonts w:hint="default"/>
      </w:rPr>
    </w:lvl>
    <w:lvl w:ilvl="1">
      <w:start w:val="1"/>
      <w:numFmt w:val="decimal"/>
      <w:lvlText w:val="%1.%2."/>
      <w:lvlJc w:val="left"/>
      <w:pPr>
        <w:ind w:left="-18" w:hanging="432"/>
      </w:pPr>
    </w:lvl>
    <w:lvl w:ilvl="2">
      <w:start w:val="1"/>
      <w:numFmt w:val="decimal"/>
      <w:lvlText w:val="%1.%2.%3."/>
      <w:lvlJc w:val="left"/>
      <w:pPr>
        <w:ind w:left="414" w:hanging="504"/>
      </w:pPr>
    </w:lvl>
    <w:lvl w:ilvl="3">
      <w:start w:val="1"/>
      <w:numFmt w:val="decimal"/>
      <w:lvlText w:val="%1.%2.%3.%4."/>
      <w:lvlJc w:val="left"/>
      <w:pPr>
        <w:ind w:left="918" w:hanging="648"/>
      </w:pPr>
    </w:lvl>
    <w:lvl w:ilvl="4">
      <w:start w:val="1"/>
      <w:numFmt w:val="decimal"/>
      <w:lvlText w:val="%1.%2.%3.%4.%5."/>
      <w:lvlJc w:val="left"/>
      <w:pPr>
        <w:ind w:left="1422" w:hanging="792"/>
      </w:pPr>
    </w:lvl>
    <w:lvl w:ilvl="5">
      <w:start w:val="1"/>
      <w:numFmt w:val="decimal"/>
      <w:lvlText w:val="%1.%2.%3.%4.%5.%6."/>
      <w:lvlJc w:val="left"/>
      <w:pPr>
        <w:ind w:left="1926" w:hanging="936"/>
      </w:pPr>
    </w:lvl>
    <w:lvl w:ilvl="6">
      <w:start w:val="1"/>
      <w:numFmt w:val="decimal"/>
      <w:lvlText w:val="%1.%2.%3.%4.%5.%6.%7."/>
      <w:lvlJc w:val="left"/>
      <w:pPr>
        <w:ind w:left="2430" w:hanging="1080"/>
      </w:pPr>
    </w:lvl>
    <w:lvl w:ilvl="7">
      <w:start w:val="1"/>
      <w:numFmt w:val="decimal"/>
      <w:lvlText w:val="%1.%2.%3.%4.%5.%6.%7.%8."/>
      <w:lvlJc w:val="left"/>
      <w:pPr>
        <w:ind w:left="2934" w:hanging="1224"/>
      </w:pPr>
    </w:lvl>
    <w:lvl w:ilvl="8">
      <w:start w:val="1"/>
      <w:numFmt w:val="decimal"/>
      <w:lvlText w:val="%1.%2.%3.%4.%5.%6.%7.%8.%9."/>
      <w:lvlJc w:val="left"/>
      <w:pPr>
        <w:ind w:left="3510" w:hanging="1440"/>
      </w:pPr>
    </w:lvl>
  </w:abstractNum>
  <w:abstractNum w:abstractNumId="3">
    <w:nsid w:val="147E6AB4"/>
    <w:multiLevelType w:val="hybridMultilevel"/>
    <w:tmpl w:val="58621624"/>
    <w:lvl w:ilvl="0" w:tplc="7D3E47F0">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EC62633"/>
    <w:multiLevelType w:val="hybridMultilevel"/>
    <w:tmpl w:val="75C2161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20F7192"/>
    <w:multiLevelType w:val="hybridMultilevel"/>
    <w:tmpl w:val="EECE0990"/>
    <w:lvl w:ilvl="0" w:tplc="04090001">
      <w:start w:val="1"/>
      <w:numFmt w:val="bullet"/>
      <w:lvlText w:val=""/>
      <w:lvlJc w:val="left"/>
      <w:pPr>
        <w:ind w:left="1800" w:hanging="360"/>
      </w:pPr>
      <w:rPr>
        <w:rFonts w:ascii="Symbol" w:hAnsi="Symbol" w:hint="default"/>
      </w:rPr>
    </w:lvl>
    <w:lvl w:ilvl="1" w:tplc="14D46068">
      <w:numFmt w:val="bullet"/>
      <w:lvlText w:val="•"/>
      <w:lvlJc w:val="left"/>
      <w:pPr>
        <w:ind w:left="2520" w:hanging="360"/>
      </w:pPr>
      <w:rPr>
        <w:rFonts w:ascii="Times New Roman" w:eastAsiaTheme="minorEastAsia" w:hAnsi="Times New Roman" w:cs="Times New Roman"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51F32D4C"/>
    <w:multiLevelType w:val="hybridMultilevel"/>
    <w:tmpl w:val="8C0662B4"/>
    <w:lvl w:ilvl="0" w:tplc="55B8E7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21C3AA3"/>
    <w:multiLevelType w:val="hybridMultilevel"/>
    <w:tmpl w:val="7E96B5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4"/>
  </w:num>
  <w:num w:numId="3">
    <w:abstractNumId w:val="6"/>
  </w:num>
  <w:num w:numId="4">
    <w:abstractNumId w:val="5"/>
  </w:num>
  <w:num w:numId="5">
    <w:abstractNumId w:val="7"/>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doNotTrackFormatting/>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7A2"/>
    <w:rsid w:val="00021503"/>
    <w:rsid w:val="000261FF"/>
    <w:rsid w:val="00051289"/>
    <w:rsid w:val="000546D5"/>
    <w:rsid w:val="00060350"/>
    <w:rsid w:val="00061AF7"/>
    <w:rsid w:val="00062C45"/>
    <w:rsid w:val="000656DF"/>
    <w:rsid w:val="0007097A"/>
    <w:rsid w:val="00072C66"/>
    <w:rsid w:val="000758BB"/>
    <w:rsid w:val="00077813"/>
    <w:rsid w:val="00085030"/>
    <w:rsid w:val="000869DD"/>
    <w:rsid w:val="00086D69"/>
    <w:rsid w:val="00090D50"/>
    <w:rsid w:val="000A775F"/>
    <w:rsid w:val="000B65C9"/>
    <w:rsid w:val="000B6A1D"/>
    <w:rsid w:val="000B7EBF"/>
    <w:rsid w:val="000D59F7"/>
    <w:rsid w:val="000E193F"/>
    <w:rsid w:val="001320D8"/>
    <w:rsid w:val="00132E0D"/>
    <w:rsid w:val="00132F1E"/>
    <w:rsid w:val="00135869"/>
    <w:rsid w:val="00140BF8"/>
    <w:rsid w:val="00144B60"/>
    <w:rsid w:val="001542AD"/>
    <w:rsid w:val="0015780B"/>
    <w:rsid w:val="001641B4"/>
    <w:rsid w:val="0017436E"/>
    <w:rsid w:val="0018710D"/>
    <w:rsid w:val="001A0B51"/>
    <w:rsid w:val="001B6F90"/>
    <w:rsid w:val="001C1138"/>
    <w:rsid w:val="001C2E7D"/>
    <w:rsid w:val="001C389D"/>
    <w:rsid w:val="001D58D6"/>
    <w:rsid w:val="001E0A28"/>
    <w:rsid w:val="001E24FE"/>
    <w:rsid w:val="001F4D61"/>
    <w:rsid w:val="00200F82"/>
    <w:rsid w:val="002264A7"/>
    <w:rsid w:val="002330FD"/>
    <w:rsid w:val="0023356F"/>
    <w:rsid w:val="00233DC8"/>
    <w:rsid w:val="002370AD"/>
    <w:rsid w:val="00237761"/>
    <w:rsid w:val="00240436"/>
    <w:rsid w:val="0024549D"/>
    <w:rsid w:val="002745A2"/>
    <w:rsid w:val="0029585D"/>
    <w:rsid w:val="002B0A76"/>
    <w:rsid w:val="002B6999"/>
    <w:rsid w:val="002C26AC"/>
    <w:rsid w:val="002C3810"/>
    <w:rsid w:val="002C5F2D"/>
    <w:rsid w:val="002E0F0D"/>
    <w:rsid w:val="002E3EEB"/>
    <w:rsid w:val="002F345A"/>
    <w:rsid w:val="002F70C9"/>
    <w:rsid w:val="00307139"/>
    <w:rsid w:val="00316ECE"/>
    <w:rsid w:val="00317066"/>
    <w:rsid w:val="0034302A"/>
    <w:rsid w:val="003442C2"/>
    <w:rsid w:val="00354201"/>
    <w:rsid w:val="00366A53"/>
    <w:rsid w:val="00382752"/>
    <w:rsid w:val="003A6BA6"/>
    <w:rsid w:val="003C363B"/>
    <w:rsid w:val="003C5279"/>
    <w:rsid w:val="003D71B1"/>
    <w:rsid w:val="003E6882"/>
    <w:rsid w:val="003E7567"/>
    <w:rsid w:val="003E7BD8"/>
    <w:rsid w:val="003F02E8"/>
    <w:rsid w:val="00414AD0"/>
    <w:rsid w:val="00416244"/>
    <w:rsid w:val="00417BFD"/>
    <w:rsid w:val="0042162B"/>
    <w:rsid w:val="0042251F"/>
    <w:rsid w:val="00424DC9"/>
    <w:rsid w:val="004251F8"/>
    <w:rsid w:val="00437053"/>
    <w:rsid w:val="00442C9C"/>
    <w:rsid w:val="00452A5F"/>
    <w:rsid w:val="00453DB6"/>
    <w:rsid w:val="00454D7C"/>
    <w:rsid w:val="004678BB"/>
    <w:rsid w:val="0048642E"/>
    <w:rsid w:val="004873E0"/>
    <w:rsid w:val="00492356"/>
    <w:rsid w:val="004952A1"/>
    <w:rsid w:val="0049602A"/>
    <w:rsid w:val="004A243D"/>
    <w:rsid w:val="004A7108"/>
    <w:rsid w:val="004C3830"/>
    <w:rsid w:val="004C6961"/>
    <w:rsid w:val="004D4473"/>
    <w:rsid w:val="004D7833"/>
    <w:rsid w:val="004E29B6"/>
    <w:rsid w:val="004E41EF"/>
    <w:rsid w:val="00501791"/>
    <w:rsid w:val="00503674"/>
    <w:rsid w:val="00513FD6"/>
    <w:rsid w:val="005203C9"/>
    <w:rsid w:val="00525C70"/>
    <w:rsid w:val="00525FFA"/>
    <w:rsid w:val="005264DA"/>
    <w:rsid w:val="00536F63"/>
    <w:rsid w:val="00544B79"/>
    <w:rsid w:val="0055084B"/>
    <w:rsid w:val="00560769"/>
    <w:rsid w:val="0056353E"/>
    <w:rsid w:val="0058023B"/>
    <w:rsid w:val="00591DF8"/>
    <w:rsid w:val="00596CFD"/>
    <w:rsid w:val="0059761E"/>
    <w:rsid w:val="005A04CB"/>
    <w:rsid w:val="005A7981"/>
    <w:rsid w:val="005C1D99"/>
    <w:rsid w:val="005C340E"/>
    <w:rsid w:val="005C77E3"/>
    <w:rsid w:val="005D18FA"/>
    <w:rsid w:val="005D2611"/>
    <w:rsid w:val="005D3469"/>
    <w:rsid w:val="005E0063"/>
    <w:rsid w:val="005E25BD"/>
    <w:rsid w:val="005E6C07"/>
    <w:rsid w:val="005F574D"/>
    <w:rsid w:val="00603897"/>
    <w:rsid w:val="006062B0"/>
    <w:rsid w:val="00607DB1"/>
    <w:rsid w:val="00620003"/>
    <w:rsid w:val="006259B8"/>
    <w:rsid w:val="00633643"/>
    <w:rsid w:val="00634725"/>
    <w:rsid w:val="006412B9"/>
    <w:rsid w:val="0064304E"/>
    <w:rsid w:val="00652145"/>
    <w:rsid w:val="006570F0"/>
    <w:rsid w:val="00657246"/>
    <w:rsid w:val="00661CD7"/>
    <w:rsid w:val="00666D6D"/>
    <w:rsid w:val="00680733"/>
    <w:rsid w:val="0068679E"/>
    <w:rsid w:val="00690702"/>
    <w:rsid w:val="006964F6"/>
    <w:rsid w:val="006A2FFE"/>
    <w:rsid w:val="006B0B67"/>
    <w:rsid w:val="006C1641"/>
    <w:rsid w:val="006D3A9F"/>
    <w:rsid w:val="006D4321"/>
    <w:rsid w:val="006E47F5"/>
    <w:rsid w:val="006E4F37"/>
    <w:rsid w:val="006F4BC6"/>
    <w:rsid w:val="00717CC0"/>
    <w:rsid w:val="00730EDD"/>
    <w:rsid w:val="00776635"/>
    <w:rsid w:val="00785737"/>
    <w:rsid w:val="0078712E"/>
    <w:rsid w:val="007919C8"/>
    <w:rsid w:val="0079258E"/>
    <w:rsid w:val="007952FC"/>
    <w:rsid w:val="007A0E04"/>
    <w:rsid w:val="007B05F6"/>
    <w:rsid w:val="007C5AA9"/>
    <w:rsid w:val="007C600E"/>
    <w:rsid w:val="007D0ED4"/>
    <w:rsid w:val="007E6963"/>
    <w:rsid w:val="007E702D"/>
    <w:rsid w:val="007E71B1"/>
    <w:rsid w:val="007F0D27"/>
    <w:rsid w:val="00800B2F"/>
    <w:rsid w:val="00805668"/>
    <w:rsid w:val="00805F15"/>
    <w:rsid w:val="008068A8"/>
    <w:rsid w:val="00811A9D"/>
    <w:rsid w:val="008159EB"/>
    <w:rsid w:val="00831685"/>
    <w:rsid w:val="00832F2E"/>
    <w:rsid w:val="0083579A"/>
    <w:rsid w:val="00842C72"/>
    <w:rsid w:val="00845230"/>
    <w:rsid w:val="00845C21"/>
    <w:rsid w:val="00846A94"/>
    <w:rsid w:val="00853B11"/>
    <w:rsid w:val="008609F0"/>
    <w:rsid w:val="008674A8"/>
    <w:rsid w:val="008A3E76"/>
    <w:rsid w:val="008B6130"/>
    <w:rsid w:val="008B7E60"/>
    <w:rsid w:val="008C3ADB"/>
    <w:rsid w:val="00906151"/>
    <w:rsid w:val="009079D8"/>
    <w:rsid w:val="009178BA"/>
    <w:rsid w:val="00925401"/>
    <w:rsid w:val="00934F16"/>
    <w:rsid w:val="00935B35"/>
    <w:rsid w:val="009446F8"/>
    <w:rsid w:val="00954819"/>
    <w:rsid w:val="009607A4"/>
    <w:rsid w:val="00966AA3"/>
    <w:rsid w:val="009864D7"/>
    <w:rsid w:val="009A73BF"/>
    <w:rsid w:val="009B2C20"/>
    <w:rsid w:val="009C260B"/>
    <w:rsid w:val="009C431A"/>
    <w:rsid w:val="009C48BB"/>
    <w:rsid w:val="009C505A"/>
    <w:rsid w:val="009D0D03"/>
    <w:rsid w:val="009D41D9"/>
    <w:rsid w:val="009D4FAB"/>
    <w:rsid w:val="009D5145"/>
    <w:rsid w:val="009E0004"/>
    <w:rsid w:val="009E03CF"/>
    <w:rsid w:val="009E62EC"/>
    <w:rsid w:val="009F642C"/>
    <w:rsid w:val="00A060D4"/>
    <w:rsid w:val="00A10B35"/>
    <w:rsid w:val="00A127A2"/>
    <w:rsid w:val="00A33B38"/>
    <w:rsid w:val="00A47926"/>
    <w:rsid w:val="00A547D5"/>
    <w:rsid w:val="00A62B9B"/>
    <w:rsid w:val="00A64222"/>
    <w:rsid w:val="00A66849"/>
    <w:rsid w:val="00A7344D"/>
    <w:rsid w:val="00A7363C"/>
    <w:rsid w:val="00A802E2"/>
    <w:rsid w:val="00A85992"/>
    <w:rsid w:val="00A871BA"/>
    <w:rsid w:val="00A920FC"/>
    <w:rsid w:val="00A95112"/>
    <w:rsid w:val="00A9547D"/>
    <w:rsid w:val="00AA08CB"/>
    <w:rsid w:val="00AA4E28"/>
    <w:rsid w:val="00AA62E5"/>
    <w:rsid w:val="00AB4BD0"/>
    <w:rsid w:val="00AC3A70"/>
    <w:rsid w:val="00AD2F2F"/>
    <w:rsid w:val="00AD3E04"/>
    <w:rsid w:val="00AF361B"/>
    <w:rsid w:val="00AF48A7"/>
    <w:rsid w:val="00B05DC3"/>
    <w:rsid w:val="00B234C1"/>
    <w:rsid w:val="00B26209"/>
    <w:rsid w:val="00B54593"/>
    <w:rsid w:val="00B70351"/>
    <w:rsid w:val="00B71786"/>
    <w:rsid w:val="00B73385"/>
    <w:rsid w:val="00B776BF"/>
    <w:rsid w:val="00B9132A"/>
    <w:rsid w:val="00BC67C5"/>
    <w:rsid w:val="00BD47EA"/>
    <w:rsid w:val="00BE32B5"/>
    <w:rsid w:val="00BF066D"/>
    <w:rsid w:val="00BF1CBE"/>
    <w:rsid w:val="00BF3EE8"/>
    <w:rsid w:val="00C077F1"/>
    <w:rsid w:val="00C1276A"/>
    <w:rsid w:val="00C1510C"/>
    <w:rsid w:val="00C27051"/>
    <w:rsid w:val="00C40E8F"/>
    <w:rsid w:val="00C46AD3"/>
    <w:rsid w:val="00C53B18"/>
    <w:rsid w:val="00C56C0F"/>
    <w:rsid w:val="00C6011E"/>
    <w:rsid w:val="00C6576A"/>
    <w:rsid w:val="00C66719"/>
    <w:rsid w:val="00C66A63"/>
    <w:rsid w:val="00C72477"/>
    <w:rsid w:val="00C84B17"/>
    <w:rsid w:val="00C84D4A"/>
    <w:rsid w:val="00C92DF4"/>
    <w:rsid w:val="00CA0F64"/>
    <w:rsid w:val="00CB1A43"/>
    <w:rsid w:val="00CB2DAE"/>
    <w:rsid w:val="00CC0101"/>
    <w:rsid w:val="00CC66BD"/>
    <w:rsid w:val="00D057BF"/>
    <w:rsid w:val="00D1104D"/>
    <w:rsid w:val="00D16DF7"/>
    <w:rsid w:val="00D22201"/>
    <w:rsid w:val="00D50FA4"/>
    <w:rsid w:val="00D53820"/>
    <w:rsid w:val="00D7125B"/>
    <w:rsid w:val="00D732C2"/>
    <w:rsid w:val="00D75635"/>
    <w:rsid w:val="00D75830"/>
    <w:rsid w:val="00D77269"/>
    <w:rsid w:val="00D77A97"/>
    <w:rsid w:val="00D81E6B"/>
    <w:rsid w:val="00D826B8"/>
    <w:rsid w:val="00DA7B4E"/>
    <w:rsid w:val="00DB1C8D"/>
    <w:rsid w:val="00DB3050"/>
    <w:rsid w:val="00DB3684"/>
    <w:rsid w:val="00DB74EA"/>
    <w:rsid w:val="00DB7967"/>
    <w:rsid w:val="00DC1463"/>
    <w:rsid w:val="00DD088F"/>
    <w:rsid w:val="00DF7435"/>
    <w:rsid w:val="00E056B5"/>
    <w:rsid w:val="00E1245D"/>
    <w:rsid w:val="00E3158F"/>
    <w:rsid w:val="00E32FFE"/>
    <w:rsid w:val="00E356D1"/>
    <w:rsid w:val="00E47C4B"/>
    <w:rsid w:val="00E501E0"/>
    <w:rsid w:val="00E5157E"/>
    <w:rsid w:val="00E53296"/>
    <w:rsid w:val="00E72FFA"/>
    <w:rsid w:val="00E8641D"/>
    <w:rsid w:val="00E96860"/>
    <w:rsid w:val="00E974DD"/>
    <w:rsid w:val="00EB04F7"/>
    <w:rsid w:val="00EB18E2"/>
    <w:rsid w:val="00EB535F"/>
    <w:rsid w:val="00EB5CF6"/>
    <w:rsid w:val="00EC7C87"/>
    <w:rsid w:val="00ED4DF3"/>
    <w:rsid w:val="00ED7EB8"/>
    <w:rsid w:val="00EF20F3"/>
    <w:rsid w:val="00F0225B"/>
    <w:rsid w:val="00F05DF8"/>
    <w:rsid w:val="00F0708A"/>
    <w:rsid w:val="00F2794E"/>
    <w:rsid w:val="00F35E75"/>
    <w:rsid w:val="00F41E18"/>
    <w:rsid w:val="00F430EF"/>
    <w:rsid w:val="00F44796"/>
    <w:rsid w:val="00F53541"/>
    <w:rsid w:val="00F56AB2"/>
    <w:rsid w:val="00F65E10"/>
    <w:rsid w:val="00F72C07"/>
    <w:rsid w:val="00F73EA9"/>
    <w:rsid w:val="00F97D2D"/>
    <w:rsid w:val="00FB1859"/>
    <w:rsid w:val="00FB2368"/>
    <w:rsid w:val="00FB41FC"/>
    <w:rsid w:val="00FC391D"/>
    <w:rsid w:val="00FC692B"/>
    <w:rsid w:val="00FE1F82"/>
    <w:rsid w:val="00FE4A05"/>
    <w:rsid w:val="00FE5AB3"/>
    <w:rsid w:val="00FF5F44"/>
    <w:rsid w:val="00FF6158"/>
  </w:rsids>
  <m:mathPr>
    <m:mathFont m:val="Cambria Math"/>
    <m:brkBin m:val="before"/>
    <m:brkBinSub m:val="--"/>
    <m:smallFrac/>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63BA8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7A2"/>
  </w:style>
  <w:style w:type="paragraph" w:styleId="Heading5">
    <w:name w:val="heading 5"/>
    <w:basedOn w:val="Normal"/>
    <w:next w:val="Normal"/>
    <w:link w:val="Heading5Char"/>
    <w:unhideWhenUsed/>
    <w:qFormat/>
    <w:rsid w:val="006259B8"/>
    <w:pPr>
      <w:spacing w:before="240" w:after="60"/>
      <w:outlineLvl w:val="4"/>
    </w:pPr>
    <w:rPr>
      <w:rFonts w:ascii="Verdana" w:hAnsi="Verdana" w:cs="Times New Roman"/>
      <w:b/>
      <w:bCs/>
      <w:i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356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356F"/>
    <w:rPr>
      <w:rFonts w:ascii="Lucida Grande" w:hAnsi="Lucida Grande" w:cs="Lucida Grande"/>
      <w:sz w:val="18"/>
      <w:szCs w:val="18"/>
    </w:rPr>
  </w:style>
  <w:style w:type="paragraph" w:styleId="ListParagraph">
    <w:name w:val="List Paragraph"/>
    <w:basedOn w:val="Normal"/>
    <w:uiPriority w:val="34"/>
    <w:qFormat/>
    <w:rsid w:val="00A127A2"/>
    <w:pPr>
      <w:ind w:left="720"/>
      <w:contextualSpacing/>
    </w:pPr>
  </w:style>
  <w:style w:type="character" w:styleId="CommentReference">
    <w:name w:val="annotation reference"/>
    <w:basedOn w:val="DefaultParagraphFont"/>
    <w:uiPriority w:val="99"/>
    <w:unhideWhenUsed/>
    <w:rsid w:val="00A127A2"/>
    <w:rPr>
      <w:sz w:val="18"/>
      <w:szCs w:val="18"/>
    </w:rPr>
  </w:style>
  <w:style w:type="paragraph" w:styleId="CommentText">
    <w:name w:val="annotation text"/>
    <w:basedOn w:val="Normal"/>
    <w:link w:val="CommentTextChar"/>
    <w:uiPriority w:val="99"/>
    <w:unhideWhenUsed/>
    <w:rsid w:val="00A127A2"/>
  </w:style>
  <w:style w:type="character" w:customStyle="1" w:styleId="CommentTextChar">
    <w:name w:val="Comment Text Char"/>
    <w:basedOn w:val="DefaultParagraphFont"/>
    <w:link w:val="CommentText"/>
    <w:uiPriority w:val="99"/>
    <w:rsid w:val="00A127A2"/>
  </w:style>
  <w:style w:type="character" w:styleId="Hyperlink">
    <w:name w:val="Hyperlink"/>
    <w:basedOn w:val="DefaultParagraphFont"/>
    <w:uiPriority w:val="99"/>
    <w:unhideWhenUsed/>
    <w:rsid w:val="00A127A2"/>
    <w:rPr>
      <w:color w:val="0000FF" w:themeColor="hyperlink"/>
      <w:u w:val="single"/>
    </w:rPr>
  </w:style>
  <w:style w:type="paragraph" w:styleId="Footer">
    <w:name w:val="footer"/>
    <w:basedOn w:val="Normal"/>
    <w:link w:val="FooterChar"/>
    <w:uiPriority w:val="99"/>
    <w:unhideWhenUsed/>
    <w:rsid w:val="00A127A2"/>
    <w:pPr>
      <w:tabs>
        <w:tab w:val="center" w:pos="4320"/>
        <w:tab w:val="right" w:pos="8640"/>
      </w:tabs>
    </w:pPr>
  </w:style>
  <w:style w:type="character" w:customStyle="1" w:styleId="FooterChar">
    <w:name w:val="Footer Char"/>
    <w:basedOn w:val="DefaultParagraphFont"/>
    <w:link w:val="Footer"/>
    <w:uiPriority w:val="99"/>
    <w:rsid w:val="00A127A2"/>
  </w:style>
  <w:style w:type="character" w:styleId="PageNumber">
    <w:name w:val="page number"/>
    <w:basedOn w:val="DefaultParagraphFont"/>
    <w:uiPriority w:val="99"/>
    <w:semiHidden/>
    <w:unhideWhenUsed/>
    <w:rsid w:val="00A127A2"/>
  </w:style>
  <w:style w:type="paragraph" w:styleId="CommentSubject">
    <w:name w:val="annotation subject"/>
    <w:basedOn w:val="CommentText"/>
    <w:next w:val="CommentText"/>
    <w:link w:val="CommentSubjectChar"/>
    <w:uiPriority w:val="99"/>
    <w:semiHidden/>
    <w:unhideWhenUsed/>
    <w:rsid w:val="000B6A1D"/>
    <w:rPr>
      <w:b/>
      <w:bCs/>
      <w:sz w:val="20"/>
      <w:szCs w:val="20"/>
    </w:rPr>
  </w:style>
  <w:style w:type="character" w:customStyle="1" w:styleId="CommentSubjectChar">
    <w:name w:val="Comment Subject Char"/>
    <w:basedOn w:val="CommentTextChar"/>
    <w:link w:val="CommentSubject"/>
    <w:uiPriority w:val="99"/>
    <w:semiHidden/>
    <w:rsid w:val="000B6A1D"/>
    <w:rPr>
      <w:b/>
      <w:bCs/>
      <w:sz w:val="20"/>
      <w:szCs w:val="20"/>
    </w:rPr>
  </w:style>
  <w:style w:type="paragraph" w:styleId="Header">
    <w:name w:val="header"/>
    <w:basedOn w:val="Normal"/>
    <w:link w:val="HeaderChar"/>
    <w:uiPriority w:val="99"/>
    <w:unhideWhenUsed/>
    <w:rsid w:val="004251F8"/>
    <w:pPr>
      <w:tabs>
        <w:tab w:val="center" w:pos="4680"/>
        <w:tab w:val="right" w:pos="9360"/>
      </w:tabs>
    </w:pPr>
  </w:style>
  <w:style w:type="character" w:customStyle="1" w:styleId="HeaderChar">
    <w:name w:val="Header Char"/>
    <w:basedOn w:val="DefaultParagraphFont"/>
    <w:link w:val="Header"/>
    <w:uiPriority w:val="99"/>
    <w:rsid w:val="004251F8"/>
  </w:style>
  <w:style w:type="paragraph" w:styleId="Revision">
    <w:name w:val="Revision"/>
    <w:hidden/>
    <w:uiPriority w:val="99"/>
    <w:semiHidden/>
    <w:rsid w:val="004251F8"/>
  </w:style>
  <w:style w:type="paragraph" w:styleId="BodyText">
    <w:name w:val="Body Text"/>
    <w:basedOn w:val="Normal"/>
    <w:link w:val="BodyTextChar1"/>
    <w:uiPriority w:val="99"/>
    <w:unhideWhenUsed/>
    <w:rsid w:val="00086D69"/>
    <w:pPr>
      <w:snapToGrid w:val="0"/>
      <w:spacing w:after="160" w:line="320" w:lineRule="exact"/>
    </w:pPr>
    <w:rPr>
      <w:rFonts w:ascii="Verdana" w:eastAsiaTheme="minorHAnsi" w:hAnsi="Verdana" w:cs="Times New Roman"/>
      <w:sz w:val="20"/>
      <w:szCs w:val="20"/>
    </w:rPr>
  </w:style>
  <w:style w:type="character" w:customStyle="1" w:styleId="BodyTextChar">
    <w:name w:val="Body Text Char"/>
    <w:basedOn w:val="DefaultParagraphFont"/>
    <w:uiPriority w:val="99"/>
    <w:semiHidden/>
    <w:rsid w:val="00086D69"/>
  </w:style>
  <w:style w:type="character" w:customStyle="1" w:styleId="BodyTextChar1">
    <w:name w:val="Body Text Char1"/>
    <w:basedOn w:val="DefaultParagraphFont"/>
    <w:link w:val="BodyText"/>
    <w:uiPriority w:val="99"/>
    <w:locked/>
    <w:rsid w:val="00086D69"/>
    <w:rPr>
      <w:rFonts w:ascii="Verdana" w:eastAsiaTheme="minorHAnsi" w:hAnsi="Verdana" w:cs="Times New Roman"/>
      <w:sz w:val="20"/>
      <w:szCs w:val="20"/>
    </w:rPr>
  </w:style>
  <w:style w:type="table" w:customStyle="1" w:styleId="TableFormat4">
    <w:name w:val="Table Format4"/>
    <w:basedOn w:val="TableNormal"/>
    <w:uiPriority w:val="99"/>
    <w:rsid w:val="002C26AC"/>
    <w:rPr>
      <w:rFonts w:ascii="Verdana" w:eastAsia="Times New Roman" w:hAnsi="Verdana" w:cs="Times New Roman"/>
      <w:sz w:val="18"/>
      <w:szCs w:val="22"/>
    </w:rPr>
    <w:tblPr>
      <w:tblInd w:w="86" w:type="dxa"/>
      <w:tblBorders>
        <w:top w:val="single" w:sz="12" w:space="0" w:color="auto"/>
        <w:bottom w:val="single" w:sz="12" w:space="0" w:color="auto"/>
      </w:tblBorders>
      <w:tblCellMar>
        <w:left w:w="72" w:type="dxa"/>
        <w:right w:w="72" w:type="dxa"/>
      </w:tblCellMar>
    </w:tblPr>
    <w:trPr>
      <w:cantSplit/>
    </w:trPr>
    <w:tblStylePr w:type="firstRow">
      <w:tblPr/>
      <w:tcPr>
        <w:tcBorders>
          <w:top w:val="single" w:sz="12" w:space="0" w:color="auto"/>
          <w:left w:val="nil"/>
          <w:bottom w:val="single" w:sz="4" w:space="0" w:color="auto"/>
          <w:right w:val="nil"/>
          <w:insideH w:val="nil"/>
          <w:insideV w:val="nil"/>
          <w:tl2br w:val="nil"/>
          <w:tr2bl w:val="nil"/>
        </w:tcBorders>
      </w:tcPr>
    </w:tblStylePr>
  </w:style>
  <w:style w:type="paragraph" w:customStyle="1" w:styleId="TableTitle">
    <w:name w:val="Table Title"/>
    <w:basedOn w:val="Caption"/>
    <w:rsid w:val="002C26AC"/>
    <w:pPr>
      <w:keepNext/>
      <w:keepLines/>
      <w:spacing w:before="320" w:after="120"/>
      <w:ind w:left="1152" w:hanging="1152"/>
    </w:pPr>
    <w:rPr>
      <w:rFonts w:ascii="Verdana" w:eastAsia="MS Mincho" w:hAnsi="Verdana" w:cs="Times New Roman"/>
      <w:b/>
      <w:bCs/>
      <w:i w:val="0"/>
      <w:iCs w:val="0"/>
      <w:color w:val="auto"/>
      <w:sz w:val="20"/>
      <w:szCs w:val="20"/>
    </w:rPr>
  </w:style>
  <w:style w:type="paragraph" w:customStyle="1" w:styleId="TableText">
    <w:name w:val="Table Text"/>
    <w:basedOn w:val="Normal"/>
    <w:qFormat/>
    <w:rsid w:val="002C26AC"/>
    <w:pPr>
      <w:spacing w:before="60" w:after="60"/>
    </w:pPr>
    <w:rPr>
      <w:rFonts w:ascii="Verdana" w:eastAsia="MS Mincho" w:hAnsi="Verdana" w:cs="Times New Roman"/>
      <w:sz w:val="18"/>
      <w:szCs w:val="20"/>
    </w:rPr>
  </w:style>
  <w:style w:type="paragraph" w:customStyle="1" w:styleId="TableHeaders">
    <w:name w:val="Table Headers"/>
    <w:qFormat/>
    <w:rsid w:val="002C26AC"/>
    <w:pPr>
      <w:spacing w:before="80" w:after="80"/>
      <w:jc w:val="center"/>
    </w:pPr>
    <w:rPr>
      <w:rFonts w:ascii="Verdana" w:eastAsia="Times New Roman" w:hAnsi="Verdana" w:cs="Times New Roman"/>
      <w:b/>
      <w:sz w:val="18"/>
      <w:szCs w:val="20"/>
    </w:rPr>
  </w:style>
  <w:style w:type="paragraph" w:customStyle="1" w:styleId="TableTextIndent1">
    <w:name w:val="Table Text Indent1"/>
    <w:basedOn w:val="Normal"/>
    <w:qFormat/>
    <w:rsid w:val="002C26AC"/>
    <w:pPr>
      <w:spacing w:before="60" w:after="60"/>
      <w:ind w:left="245"/>
    </w:pPr>
    <w:rPr>
      <w:rFonts w:ascii="Verdana" w:eastAsia="MS Mincho" w:hAnsi="Verdana" w:cs="Times New Roman"/>
      <w:sz w:val="18"/>
      <w:szCs w:val="20"/>
    </w:rPr>
  </w:style>
  <w:style w:type="paragraph" w:styleId="Caption">
    <w:name w:val="caption"/>
    <w:basedOn w:val="Normal"/>
    <w:next w:val="Normal"/>
    <w:uiPriority w:val="35"/>
    <w:semiHidden/>
    <w:unhideWhenUsed/>
    <w:qFormat/>
    <w:rsid w:val="002C26AC"/>
    <w:pPr>
      <w:spacing w:after="200"/>
    </w:pPr>
    <w:rPr>
      <w:i/>
      <w:iCs/>
      <w:color w:val="1F497D" w:themeColor="text2"/>
      <w:sz w:val="18"/>
      <w:szCs w:val="18"/>
    </w:rPr>
  </w:style>
  <w:style w:type="character" w:customStyle="1" w:styleId="Heading5Char">
    <w:name w:val="Heading 5 Char"/>
    <w:basedOn w:val="DefaultParagraphFont"/>
    <w:link w:val="Heading5"/>
    <w:rsid w:val="006259B8"/>
    <w:rPr>
      <w:rFonts w:ascii="Verdana" w:hAnsi="Verdana" w:cs="Times New Roman"/>
      <w:b/>
      <w:bCs/>
      <w:iCs/>
      <w:sz w:val="20"/>
      <w:szCs w:val="26"/>
    </w:rPr>
  </w:style>
  <w:style w:type="paragraph" w:customStyle="1" w:styleId="Source1">
    <w:name w:val="Source1"/>
    <w:basedOn w:val="Normal"/>
    <w:rsid w:val="006259B8"/>
    <w:pPr>
      <w:keepLines/>
      <w:spacing w:before="120" w:after="400"/>
      <w:ind w:left="187" w:hanging="187"/>
    </w:pPr>
    <w:rPr>
      <w:rFonts w:ascii="Verdana" w:eastAsia="MS Mincho" w:hAnsi="Verdana" w:cs="Times New Roman"/>
      <w:sz w:val="18"/>
      <w:szCs w:val="20"/>
    </w:rPr>
  </w:style>
  <w:style w:type="paragraph" w:customStyle="1" w:styleId="equation">
    <w:name w:val="equation"/>
    <w:basedOn w:val="Normal"/>
    <w:rsid w:val="006259B8"/>
    <w:pPr>
      <w:tabs>
        <w:tab w:val="center" w:pos="4680"/>
        <w:tab w:val="right" w:pos="9360"/>
      </w:tabs>
      <w:spacing w:after="160" w:line="400" w:lineRule="atLeast"/>
    </w:pPr>
    <w:rPr>
      <w:rFonts w:ascii="Verdana" w:eastAsia="MS Mincho" w:hAnsi="Verdana" w:cs="Times New Roman"/>
      <w:sz w:val="20"/>
      <w:szCs w:val="20"/>
      <w:lang w:val="fr-FR"/>
    </w:rPr>
  </w:style>
  <w:style w:type="paragraph" w:styleId="ListBullet">
    <w:name w:val="List Bullet"/>
    <w:basedOn w:val="Normal"/>
    <w:rsid w:val="006259B8"/>
    <w:pPr>
      <w:numPr>
        <w:numId w:val="6"/>
      </w:numPr>
      <w:spacing w:after="160"/>
      <w:ind w:left="720"/>
    </w:pPr>
    <w:rPr>
      <w:rFonts w:ascii="Verdana" w:eastAsia="MS Mincho" w:hAnsi="Verdana" w:cs="Times New Roman"/>
      <w:sz w:val="20"/>
      <w:szCs w:val="20"/>
    </w:rPr>
  </w:style>
  <w:style w:type="paragraph" w:styleId="FootnoteText">
    <w:name w:val="footnote text"/>
    <w:basedOn w:val="Normal"/>
    <w:link w:val="FootnoteTextChar"/>
    <w:uiPriority w:val="99"/>
    <w:rsid w:val="006259B8"/>
    <w:rPr>
      <w:rFonts w:ascii="Verdana" w:hAnsi="Verdana" w:cs="Times New Roman"/>
      <w:sz w:val="18"/>
      <w:szCs w:val="20"/>
    </w:rPr>
  </w:style>
  <w:style w:type="character" w:customStyle="1" w:styleId="FootnoteTextChar">
    <w:name w:val="Footnote Text Char"/>
    <w:basedOn w:val="DefaultParagraphFont"/>
    <w:link w:val="FootnoteText"/>
    <w:uiPriority w:val="99"/>
    <w:rsid w:val="006259B8"/>
    <w:rPr>
      <w:rFonts w:ascii="Verdana" w:hAnsi="Verdana" w:cs="Times New Roman"/>
      <w:sz w:val="18"/>
      <w:szCs w:val="20"/>
    </w:rPr>
  </w:style>
  <w:style w:type="character" w:styleId="FootnoteReference">
    <w:name w:val="footnote reference"/>
    <w:basedOn w:val="DefaultParagraphFont"/>
    <w:uiPriority w:val="99"/>
    <w:rsid w:val="006259B8"/>
    <w:rPr>
      <w:vertAlign w:val="superscript"/>
    </w:rPr>
  </w:style>
  <w:style w:type="paragraph" w:customStyle="1" w:styleId="Tabletext0">
    <w:name w:val="Table text"/>
    <w:qFormat/>
    <w:rsid w:val="006259B8"/>
    <w:pPr>
      <w:spacing w:before="40" w:after="40"/>
    </w:pPr>
    <w:rPr>
      <w:rFonts w:ascii="Arial" w:eastAsia="Times New Roman" w:hAnsi="Arial" w:cs="Times New Roman"/>
      <w:sz w:val="20"/>
      <w:szCs w:val="20"/>
    </w:rPr>
  </w:style>
  <w:style w:type="paragraph" w:customStyle="1" w:styleId="Tabletextindent10">
    <w:name w:val="Table text indent1"/>
    <w:basedOn w:val="Tabletext0"/>
    <w:qFormat/>
    <w:rsid w:val="00525C70"/>
    <w:pPr>
      <w:ind w:left="288"/>
    </w:pPr>
  </w:style>
  <w:style w:type="paragraph" w:customStyle="1" w:styleId="bullets-blank">
    <w:name w:val="bullets-blank"/>
    <w:basedOn w:val="Normal"/>
    <w:rsid w:val="00D732C2"/>
    <w:pPr>
      <w:spacing w:after="120"/>
      <w:ind w:left="720" w:hanging="360"/>
    </w:pPr>
    <w:rPr>
      <w:rFonts w:ascii="Verdana" w:eastAsia="Times New Roman" w:hAnsi="Verdana" w:cs="Times New Roman"/>
      <w:sz w:val="20"/>
      <w:szCs w:val="20"/>
    </w:rPr>
  </w:style>
  <w:style w:type="paragraph" w:styleId="ListContinue">
    <w:name w:val="List Continue"/>
    <w:basedOn w:val="Normal"/>
    <w:uiPriority w:val="99"/>
    <w:unhideWhenUsed/>
    <w:rsid w:val="00D77A97"/>
    <w:pPr>
      <w:spacing w:after="120"/>
      <w:ind w:left="360"/>
      <w:contextualSpacing/>
    </w:pPr>
  </w:style>
  <w:style w:type="character" w:customStyle="1" w:styleId="UnresolvedMention">
    <w:name w:val="Unresolved Mention"/>
    <w:basedOn w:val="DefaultParagraphFont"/>
    <w:uiPriority w:val="99"/>
    <w:semiHidden/>
    <w:unhideWhenUsed/>
    <w:rsid w:val="00200F8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7A2"/>
  </w:style>
  <w:style w:type="paragraph" w:styleId="Heading5">
    <w:name w:val="heading 5"/>
    <w:basedOn w:val="Normal"/>
    <w:next w:val="Normal"/>
    <w:link w:val="Heading5Char"/>
    <w:unhideWhenUsed/>
    <w:qFormat/>
    <w:rsid w:val="006259B8"/>
    <w:pPr>
      <w:spacing w:before="240" w:after="60"/>
      <w:outlineLvl w:val="4"/>
    </w:pPr>
    <w:rPr>
      <w:rFonts w:ascii="Verdana" w:hAnsi="Verdana" w:cs="Times New Roman"/>
      <w:b/>
      <w:bCs/>
      <w:i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356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356F"/>
    <w:rPr>
      <w:rFonts w:ascii="Lucida Grande" w:hAnsi="Lucida Grande" w:cs="Lucida Grande"/>
      <w:sz w:val="18"/>
      <w:szCs w:val="18"/>
    </w:rPr>
  </w:style>
  <w:style w:type="paragraph" w:styleId="ListParagraph">
    <w:name w:val="List Paragraph"/>
    <w:basedOn w:val="Normal"/>
    <w:uiPriority w:val="34"/>
    <w:qFormat/>
    <w:rsid w:val="00A127A2"/>
    <w:pPr>
      <w:ind w:left="720"/>
      <w:contextualSpacing/>
    </w:pPr>
  </w:style>
  <w:style w:type="character" w:styleId="CommentReference">
    <w:name w:val="annotation reference"/>
    <w:basedOn w:val="DefaultParagraphFont"/>
    <w:uiPriority w:val="99"/>
    <w:unhideWhenUsed/>
    <w:rsid w:val="00A127A2"/>
    <w:rPr>
      <w:sz w:val="18"/>
      <w:szCs w:val="18"/>
    </w:rPr>
  </w:style>
  <w:style w:type="paragraph" w:styleId="CommentText">
    <w:name w:val="annotation text"/>
    <w:basedOn w:val="Normal"/>
    <w:link w:val="CommentTextChar"/>
    <w:uiPriority w:val="99"/>
    <w:unhideWhenUsed/>
    <w:rsid w:val="00A127A2"/>
  </w:style>
  <w:style w:type="character" w:customStyle="1" w:styleId="CommentTextChar">
    <w:name w:val="Comment Text Char"/>
    <w:basedOn w:val="DefaultParagraphFont"/>
    <w:link w:val="CommentText"/>
    <w:uiPriority w:val="99"/>
    <w:rsid w:val="00A127A2"/>
  </w:style>
  <w:style w:type="character" w:styleId="Hyperlink">
    <w:name w:val="Hyperlink"/>
    <w:basedOn w:val="DefaultParagraphFont"/>
    <w:uiPriority w:val="99"/>
    <w:unhideWhenUsed/>
    <w:rsid w:val="00A127A2"/>
    <w:rPr>
      <w:color w:val="0000FF" w:themeColor="hyperlink"/>
      <w:u w:val="single"/>
    </w:rPr>
  </w:style>
  <w:style w:type="paragraph" w:styleId="Footer">
    <w:name w:val="footer"/>
    <w:basedOn w:val="Normal"/>
    <w:link w:val="FooterChar"/>
    <w:uiPriority w:val="99"/>
    <w:unhideWhenUsed/>
    <w:rsid w:val="00A127A2"/>
    <w:pPr>
      <w:tabs>
        <w:tab w:val="center" w:pos="4320"/>
        <w:tab w:val="right" w:pos="8640"/>
      </w:tabs>
    </w:pPr>
  </w:style>
  <w:style w:type="character" w:customStyle="1" w:styleId="FooterChar">
    <w:name w:val="Footer Char"/>
    <w:basedOn w:val="DefaultParagraphFont"/>
    <w:link w:val="Footer"/>
    <w:uiPriority w:val="99"/>
    <w:rsid w:val="00A127A2"/>
  </w:style>
  <w:style w:type="character" w:styleId="PageNumber">
    <w:name w:val="page number"/>
    <w:basedOn w:val="DefaultParagraphFont"/>
    <w:uiPriority w:val="99"/>
    <w:semiHidden/>
    <w:unhideWhenUsed/>
    <w:rsid w:val="00A127A2"/>
  </w:style>
  <w:style w:type="paragraph" w:styleId="CommentSubject">
    <w:name w:val="annotation subject"/>
    <w:basedOn w:val="CommentText"/>
    <w:next w:val="CommentText"/>
    <w:link w:val="CommentSubjectChar"/>
    <w:uiPriority w:val="99"/>
    <w:semiHidden/>
    <w:unhideWhenUsed/>
    <w:rsid w:val="000B6A1D"/>
    <w:rPr>
      <w:b/>
      <w:bCs/>
      <w:sz w:val="20"/>
      <w:szCs w:val="20"/>
    </w:rPr>
  </w:style>
  <w:style w:type="character" w:customStyle="1" w:styleId="CommentSubjectChar">
    <w:name w:val="Comment Subject Char"/>
    <w:basedOn w:val="CommentTextChar"/>
    <w:link w:val="CommentSubject"/>
    <w:uiPriority w:val="99"/>
    <w:semiHidden/>
    <w:rsid w:val="000B6A1D"/>
    <w:rPr>
      <w:b/>
      <w:bCs/>
      <w:sz w:val="20"/>
      <w:szCs w:val="20"/>
    </w:rPr>
  </w:style>
  <w:style w:type="paragraph" w:styleId="Header">
    <w:name w:val="header"/>
    <w:basedOn w:val="Normal"/>
    <w:link w:val="HeaderChar"/>
    <w:uiPriority w:val="99"/>
    <w:unhideWhenUsed/>
    <w:rsid w:val="004251F8"/>
    <w:pPr>
      <w:tabs>
        <w:tab w:val="center" w:pos="4680"/>
        <w:tab w:val="right" w:pos="9360"/>
      </w:tabs>
    </w:pPr>
  </w:style>
  <w:style w:type="character" w:customStyle="1" w:styleId="HeaderChar">
    <w:name w:val="Header Char"/>
    <w:basedOn w:val="DefaultParagraphFont"/>
    <w:link w:val="Header"/>
    <w:uiPriority w:val="99"/>
    <w:rsid w:val="004251F8"/>
  </w:style>
  <w:style w:type="paragraph" w:styleId="Revision">
    <w:name w:val="Revision"/>
    <w:hidden/>
    <w:uiPriority w:val="99"/>
    <w:semiHidden/>
    <w:rsid w:val="004251F8"/>
  </w:style>
  <w:style w:type="paragraph" w:styleId="BodyText">
    <w:name w:val="Body Text"/>
    <w:basedOn w:val="Normal"/>
    <w:link w:val="BodyTextChar1"/>
    <w:uiPriority w:val="99"/>
    <w:unhideWhenUsed/>
    <w:rsid w:val="00086D69"/>
    <w:pPr>
      <w:snapToGrid w:val="0"/>
      <w:spacing w:after="160" w:line="320" w:lineRule="exact"/>
    </w:pPr>
    <w:rPr>
      <w:rFonts w:ascii="Verdana" w:eastAsiaTheme="minorHAnsi" w:hAnsi="Verdana" w:cs="Times New Roman"/>
      <w:sz w:val="20"/>
      <w:szCs w:val="20"/>
    </w:rPr>
  </w:style>
  <w:style w:type="character" w:customStyle="1" w:styleId="BodyTextChar">
    <w:name w:val="Body Text Char"/>
    <w:basedOn w:val="DefaultParagraphFont"/>
    <w:uiPriority w:val="99"/>
    <w:semiHidden/>
    <w:rsid w:val="00086D69"/>
  </w:style>
  <w:style w:type="character" w:customStyle="1" w:styleId="BodyTextChar1">
    <w:name w:val="Body Text Char1"/>
    <w:basedOn w:val="DefaultParagraphFont"/>
    <w:link w:val="BodyText"/>
    <w:uiPriority w:val="99"/>
    <w:locked/>
    <w:rsid w:val="00086D69"/>
    <w:rPr>
      <w:rFonts w:ascii="Verdana" w:eastAsiaTheme="minorHAnsi" w:hAnsi="Verdana" w:cs="Times New Roman"/>
      <w:sz w:val="20"/>
      <w:szCs w:val="20"/>
    </w:rPr>
  </w:style>
  <w:style w:type="table" w:customStyle="1" w:styleId="TableFormat4">
    <w:name w:val="Table Format4"/>
    <w:basedOn w:val="TableNormal"/>
    <w:uiPriority w:val="99"/>
    <w:rsid w:val="002C26AC"/>
    <w:rPr>
      <w:rFonts w:ascii="Verdana" w:eastAsia="Times New Roman" w:hAnsi="Verdana" w:cs="Times New Roman"/>
      <w:sz w:val="18"/>
      <w:szCs w:val="22"/>
    </w:rPr>
    <w:tblPr>
      <w:tblInd w:w="86" w:type="dxa"/>
      <w:tblBorders>
        <w:top w:val="single" w:sz="12" w:space="0" w:color="auto"/>
        <w:bottom w:val="single" w:sz="12" w:space="0" w:color="auto"/>
      </w:tblBorders>
      <w:tblCellMar>
        <w:left w:w="72" w:type="dxa"/>
        <w:right w:w="72" w:type="dxa"/>
      </w:tblCellMar>
    </w:tblPr>
    <w:trPr>
      <w:cantSplit/>
    </w:trPr>
    <w:tblStylePr w:type="firstRow">
      <w:tblPr/>
      <w:tcPr>
        <w:tcBorders>
          <w:top w:val="single" w:sz="12" w:space="0" w:color="auto"/>
          <w:left w:val="nil"/>
          <w:bottom w:val="single" w:sz="4" w:space="0" w:color="auto"/>
          <w:right w:val="nil"/>
          <w:insideH w:val="nil"/>
          <w:insideV w:val="nil"/>
          <w:tl2br w:val="nil"/>
          <w:tr2bl w:val="nil"/>
        </w:tcBorders>
      </w:tcPr>
    </w:tblStylePr>
  </w:style>
  <w:style w:type="paragraph" w:customStyle="1" w:styleId="TableTitle">
    <w:name w:val="Table Title"/>
    <w:basedOn w:val="Caption"/>
    <w:rsid w:val="002C26AC"/>
    <w:pPr>
      <w:keepNext/>
      <w:keepLines/>
      <w:spacing w:before="320" w:after="120"/>
      <w:ind w:left="1152" w:hanging="1152"/>
    </w:pPr>
    <w:rPr>
      <w:rFonts w:ascii="Verdana" w:eastAsia="MS Mincho" w:hAnsi="Verdana" w:cs="Times New Roman"/>
      <w:b/>
      <w:bCs/>
      <w:i w:val="0"/>
      <w:iCs w:val="0"/>
      <w:color w:val="auto"/>
      <w:sz w:val="20"/>
      <w:szCs w:val="20"/>
    </w:rPr>
  </w:style>
  <w:style w:type="paragraph" w:customStyle="1" w:styleId="TableText">
    <w:name w:val="Table Text"/>
    <w:basedOn w:val="Normal"/>
    <w:qFormat/>
    <w:rsid w:val="002C26AC"/>
    <w:pPr>
      <w:spacing w:before="60" w:after="60"/>
    </w:pPr>
    <w:rPr>
      <w:rFonts w:ascii="Verdana" w:eastAsia="MS Mincho" w:hAnsi="Verdana" w:cs="Times New Roman"/>
      <w:sz w:val="18"/>
      <w:szCs w:val="20"/>
    </w:rPr>
  </w:style>
  <w:style w:type="paragraph" w:customStyle="1" w:styleId="TableHeaders">
    <w:name w:val="Table Headers"/>
    <w:qFormat/>
    <w:rsid w:val="002C26AC"/>
    <w:pPr>
      <w:spacing w:before="80" w:after="80"/>
      <w:jc w:val="center"/>
    </w:pPr>
    <w:rPr>
      <w:rFonts w:ascii="Verdana" w:eastAsia="Times New Roman" w:hAnsi="Verdana" w:cs="Times New Roman"/>
      <w:b/>
      <w:sz w:val="18"/>
      <w:szCs w:val="20"/>
    </w:rPr>
  </w:style>
  <w:style w:type="paragraph" w:customStyle="1" w:styleId="TableTextIndent1">
    <w:name w:val="Table Text Indent1"/>
    <w:basedOn w:val="Normal"/>
    <w:qFormat/>
    <w:rsid w:val="002C26AC"/>
    <w:pPr>
      <w:spacing w:before="60" w:after="60"/>
      <w:ind w:left="245"/>
    </w:pPr>
    <w:rPr>
      <w:rFonts w:ascii="Verdana" w:eastAsia="MS Mincho" w:hAnsi="Verdana" w:cs="Times New Roman"/>
      <w:sz w:val="18"/>
      <w:szCs w:val="20"/>
    </w:rPr>
  </w:style>
  <w:style w:type="paragraph" w:styleId="Caption">
    <w:name w:val="caption"/>
    <w:basedOn w:val="Normal"/>
    <w:next w:val="Normal"/>
    <w:uiPriority w:val="35"/>
    <w:semiHidden/>
    <w:unhideWhenUsed/>
    <w:qFormat/>
    <w:rsid w:val="002C26AC"/>
    <w:pPr>
      <w:spacing w:after="200"/>
    </w:pPr>
    <w:rPr>
      <w:i/>
      <w:iCs/>
      <w:color w:val="1F497D" w:themeColor="text2"/>
      <w:sz w:val="18"/>
      <w:szCs w:val="18"/>
    </w:rPr>
  </w:style>
  <w:style w:type="character" w:customStyle="1" w:styleId="Heading5Char">
    <w:name w:val="Heading 5 Char"/>
    <w:basedOn w:val="DefaultParagraphFont"/>
    <w:link w:val="Heading5"/>
    <w:rsid w:val="006259B8"/>
    <w:rPr>
      <w:rFonts w:ascii="Verdana" w:hAnsi="Verdana" w:cs="Times New Roman"/>
      <w:b/>
      <w:bCs/>
      <w:iCs/>
      <w:sz w:val="20"/>
      <w:szCs w:val="26"/>
    </w:rPr>
  </w:style>
  <w:style w:type="paragraph" w:customStyle="1" w:styleId="Source1">
    <w:name w:val="Source1"/>
    <w:basedOn w:val="Normal"/>
    <w:rsid w:val="006259B8"/>
    <w:pPr>
      <w:keepLines/>
      <w:spacing w:before="120" w:after="400"/>
      <w:ind w:left="187" w:hanging="187"/>
    </w:pPr>
    <w:rPr>
      <w:rFonts w:ascii="Verdana" w:eastAsia="MS Mincho" w:hAnsi="Verdana" w:cs="Times New Roman"/>
      <w:sz w:val="18"/>
      <w:szCs w:val="20"/>
    </w:rPr>
  </w:style>
  <w:style w:type="paragraph" w:customStyle="1" w:styleId="equation">
    <w:name w:val="equation"/>
    <w:basedOn w:val="Normal"/>
    <w:rsid w:val="006259B8"/>
    <w:pPr>
      <w:tabs>
        <w:tab w:val="center" w:pos="4680"/>
        <w:tab w:val="right" w:pos="9360"/>
      </w:tabs>
      <w:spacing w:after="160" w:line="400" w:lineRule="atLeast"/>
    </w:pPr>
    <w:rPr>
      <w:rFonts w:ascii="Verdana" w:eastAsia="MS Mincho" w:hAnsi="Verdana" w:cs="Times New Roman"/>
      <w:sz w:val="20"/>
      <w:szCs w:val="20"/>
      <w:lang w:val="fr-FR"/>
    </w:rPr>
  </w:style>
  <w:style w:type="paragraph" w:styleId="ListBullet">
    <w:name w:val="List Bullet"/>
    <w:basedOn w:val="Normal"/>
    <w:rsid w:val="006259B8"/>
    <w:pPr>
      <w:numPr>
        <w:numId w:val="6"/>
      </w:numPr>
      <w:spacing w:after="160"/>
      <w:ind w:left="720"/>
    </w:pPr>
    <w:rPr>
      <w:rFonts w:ascii="Verdana" w:eastAsia="MS Mincho" w:hAnsi="Verdana" w:cs="Times New Roman"/>
      <w:sz w:val="20"/>
      <w:szCs w:val="20"/>
    </w:rPr>
  </w:style>
  <w:style w:type="paragraph" w:styleId="FootnoteText">
    <w:name w:val="footnote text"/>
    <w:basedOn w:val="Normal"/>
    <w:link w:val="FootnoteTextChar"/>
    <w:uiPriority w:val="99"/>
    <w:rsid w:val="006259B8"/>
    <w:rPr>
      <w:rFonts w:ascii="Verdana" w:hAnsi="Verdana" w:cs="Times New Roman"/>
      <w:sz w:val="18"/>
      <w:szCs w:val="20"/>
    </w:rPr>
  </w:style>
  <w:style w:type="character" w:customStyle="1" w:styleId="FootnoteTextChar">
    <w:name w:val="Footnote Text Char"/>
    <w:basedOn w:val="DefaultParagraphFont"/>
    <w:link w:val="FootnoteText"/>
    <w:uiPriority w:val="99"/>
    <w:rsid w:val="006259B8"/>
    <w:rPr>
      <w:rFonts w:ascii="Verdana" w:hAnsi="Verdana" w:cs="Times New Roman"/>
      <w:sz w:val="18"/>
      <w:szCs w:val="20"/>
    </w:rPr>
  </w:style>
  <w:style w:type="character" w:styleId="FootnoteReference">
    <w:name w:val="footnote reference"/>
    <w:basedOn w:val="DefaultParagraphFont"/>
    <w:uiPriority w:val="99"/>
    <w:rsid w:val="006259B8"/>
    <w:rPr>
      <w:vertAlign w:val="superscript"/>
    </w:rPr>
  </w:style>
  <w:style w:type="paragraph" w:customStyle="1" w:styleId="Tabletext0">
    <w:name w:val="Table text"/>
    <w:qFormat/>
    <w:rsid w:val="006259B8"/>
    <w:pPr>
      <w:spacing w:before="40" w:after="40"/>
    </w:pPr>
    <w:rPr>
      <w:rFonts w:ascii="Arial" w:eastAsia="Times New Roman" w:hAnsi="Arial" w:cs="Times New Roman"/>
      <w:sz w:val="20"/>
      <w:szCs w:val="20"/>
    </w:rPr>
  </w:style>
  <w:style w:type="paragraph" w:customStyle="1" w:styleId="Tabletextindent10">
    <w:name w:val="Table text indent1"/>
    <w:basedOn w:val="Tabletext0"/>
    <w:qFormat/>
    <w:rsid w:val="00525C70"/>
    <w:pPr>
      <w:ind w:left="288"/>
    </w:pPr>
  </w:style>
  <w:style w:type="paragraph" w:customStyle="1" w:styleId="bullets-blank">
    <w:name w:val="bullets-blank"/>
    <w:basedOn w:val="Normal"/>
    <w:rsid w:val="00D732C2"/>
    <w:pPr>
      <w:spacing w:after="120"/>
      <w:ind w:left="720" w:hanging="360"/>
    </w:pPr>
    <w:rPr>
      <w:rFonts w:ascii="Verdana" w:eastAsia="Times New Roman" w:hAnsi="Verdana" w:cs="Times New Roman"/>
      <w:sz w:val="20"/>
      <w:szCs w:val="20"/>
    </w:rPr>
  </w:style>
  <w:style w:type="paragraph" w:styleId="ListContinue">
    <w:name w:val="List Continue"/>
    <w:basedOn w:val="Normal"/>
    <w:uiPriority w:val="99"/>
    <w:unhideWhenUsed/>
    <w:rsid w:val="00D77A97"/>
    <w:pPr>
      <w:spacing w:after="120"/>
      <w:ind w:left="360"/>
      <w:contextualSpacing/>
    </w:pPr>
  </w:style>
  <w:style w:type="character" w:customStyle="1" w:styleId="UnresolvedMention">
    <w:name w:val="Unresolved Mention"/>
    <w:basedOn w:val="DefaultParagraphFont"/>
    <w:uiPriority w:val="99"/>
    <w:semiHidden/>
    <w:unhideWhenUsed/>
    <w:rsid w:val="00200F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342795">
      <w:bodyDiv w:val="1"/>
      <w:marLeft w:val="0"/>
      <w:marRight w:val="0"/>
      <w:marTop w:val="0"/>
      <w:marBottom w:val="0"/>
      <w:divBdr>
        <w:top w:val="none" w:sz="0" w:space="0" w:color="auto"/>
        <w:left w:val="none" w:sz="0" w:space="0" w:color="auto"/>
        <w:bottom w:val="none" w:sz="0" w:space="0" w:color="auto"/>
        <w:right w:val="none" w:sz="0" w:space="0" w:color="auto"/>
      </w:divBdr>
    </w:div>
    <w:div w:id="1330405668">
      <w:bodyDiv w:val="1"/>
      <w:marLeft w:val="0"/>
      <w:marRight w:val="0"/>
      <w:marTop w:val="0"/>
      <w:marBottom w:val="0"/>
      <w:divBdr>
        <w:top w:val="none" w:sz="0" w:space="0" w:color="auto"/>
        <w:left w:val="none" w:sz="0" w:space="0" w:color="auto"/>
        <w:bottom w:val="none" w:sz="0" w:space="0" w:color="auto"/>
        <w:right w:val="none" w:sz="0" w:space="0" w:color="auto"/>
      </w:divBdr>
    </w:div>
    <w:div w:id="1364600063">
      <w:bodyDiv w:val="1"/>
      <w:marLeft w:val="0"/>
      <w:marRight w:val="0"/>
      <w:marTop w:val="0"/>
      <w:marBottom w:val="0"/>
      <w:divBdr>
        <w:top w:val="none" w:sz="0" w:space="0" w:color="auto"/>
        <w:left w:val="none" w:sz="0" w:space="0" w:color="auto"/>
        <w:bottom w:val="none" w:sz="0" w:space="0" w:color="auto"/>
        <w:right w:val="none" w:sz="0" w:space="0" w:color="auto"/>
      </w:divBdr>
    </w:div>
    <w:div w:id="1425960622">
      <w:bodyDiv w:val="1"/>
      <w:marLeft w:val="0"/>
      <w:marRight w:val="0"/>
      <w:marTop w:val="0"/>
      <w:marBottom w:val="0"/>
      <w:divBdr>
        <w:top w:val="none" w:sz="0" w:space="0" w:color="auto"/>
        <w:left w:val="none" w:sz="0" w:space="0" w:color="auto"/>
        <w:bottom w:val="none" w:sz="0" w:space="0" w:color="auto"/>
        <w:right w:val="none" w:sz="0" w:space="0" w:color="auto"/>
      </w:divBdr>
    </w:div>
    <w:div w:id="1795753805">
      <w:bodyDiv w:val="1"/>
      <w:marLeft w:val="0"/>
      <w:marRight w:val="0"/>
      <w:marTop w:val="0"/>
      <w:marBottom w:val="0"/>
      <w:divBdr>
        <w:top w:val="none" w:sz="0" w:space="0" w:color="auto"/>
        <w:left w:val="none" w:sz="0" w:space="0" w:color="auto"/>
        <w:bottom w:val="none" w:sz="0" w:space="0" w:color="auto"/>
        <w:right w:val="none" w:sz="0" w:space="0" w:color="auto"/>
      </w:divBdr>
    </w:div>
    <w:div w:id="21473119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9D9999D3C06E44B79B26324062BD52" ma:contentTypeVersion="1" ma:contentTypeDescription="Create a new document." ma:contentTypeScope="" ma:versionID="bc34c6f44d1659f8e9df59c558dc23b1">
  <xsd:schema xmlns:xsd="http://www.w3.org/2001/XMLSchema" xmlns:xs="http://www.w3.org/2001/XMLSchema" xmlns:p="http://schemas.microsoft.com/office/2006/metadata/properties" xmlns:ns2="c593544c-8bc9-488a-9957-4d59a7b3d015" xmlns:ns3="8ae0da10-6ae8-4796-8a88-54cca0b2a7ec" xmlns:ns4="2e9935a5-20a2-403e-8dd7-41ca93ef841b" xmlns:ns5="ee268373-24bd-46db-9f88-fe8cfe7fef0e" targetNamespace="http://schemas.microsoft.com/office/2006/metadata/properties" ma:root="true" ma:fieldsID="32edc7ea837053a853140df4eb4f3e0d" ns2:_="" ns3:_="" ns4:_="" ns5:_="">
    <xsd:import namespace="c593544c-8bc9-488a-9957-4d59a7b3d015"/>
    <xsd:import namespace="8ae0da10-6ae8-4796-8a88-54cca0b2a7ec"/>
    <xsd:import namespace="2e9935a5-20a2-403e-8dd7-41ca93ef841b"/>
    <xsd:import namespace="ee268373-24bd-46db-9f88-fe8cfe7fef0e"/>
    <xsd:element name="properties">
      <xsd:complexType>
        <xsd:sequence>
          <xsd:element name="documentManagement">
            <xsd:complexType>
              <xsd:all>
                <xsd:element ref="ns2:_dlc_DocId" minOccurs="0"/>
                <xsd:element ref="ns2:_dlc_DocIdUrl" minOccurs="0"/>
                <xsd:element ref="ns2:_dlc_DocIdPersistId" minOccurs="0"/>
                <xsd:element ref="ns3:Author0" minOccurs="0"/>
                <xsd:element ref="ns3:Status"/>
                <xsd:element ref="ns4:Status_x0020_Note" minOccurs="0"/>
                <xsd:element ref="ns4:Document_x0020_Type"/>
                <xsd:element ref="ns4:Confidentiality"/>
                <xsd:element ref="ns5:Document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e0da10-6ae8-4796-8a88-54cca0b2a7ec" elementFormDefault="qualified">
    <xsd:import namespace="http://schemas.microsoft.com/office/2006/documentManagement/types"/>
    <xsd:import namespace="http://schemas.microsoft.com/office/infopath/2007/PartnerControls"/>
    <xsd:element name="Author0" ma:index="11" nillable="true" ma:displayName="Author" ma:list="UserInfo" ma:SharePointGroup="0" ma:internalName="Author0"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2" ma:displayName="Document Status" ma:default="Draft (All Collaborate)" ma:format="Dropdown" ma:internalName="Status">
      <xsd:simpleType>
        <xsd:restriction base="dms:Choice">
          <xsd:enumeration value="Draft (All Collaborate)"/>
          <xsd:enumeration value="Draft (Controlled)"/>
          <xsd:enumeration value="Routing for Concurrence"/>
          <xsd:enumeration value="Routing for Clearance"/>
          <xsd:enumeration value="Cleared for External"/>
          <xsd:enumeration value="Final"/>
          <xsd:enumeration value="Out-of-Date (expired)"/>
          <xsd:enumeration value="Superceeded"/>
          <xsd:enumeration value="For Reference"/>
        </xsd:restriction>
      </xsd:simpleType>
    </xsd:element>
  </xsd:schema>
  <xsd:schema xmlns:xsd="http://www.w3.org/2001/XMLSchema" xmlns:xs="http://www.w3.org/2001/XMLSchema" xmlns:dms="http://schemas.microsoft.com/office/2006/documentManagement/types" xmlns:pc="http://schemas.microsoft.com/office/infopath/2007/PartnerControls" targetNamespace="2e9935a5-20a2-403e-8dd7-41ca93ef841b" elementFormDefault="qualified">
    <xsd:import namespace="http://schemas.microsoft.com/office/2006/documentManagement/types"/>
    <xsd:import namespace="http://schemas.microsoft.com/office/infopath/2007/PartnerControls"/>
    <xsd:element name="Status_x0020_Note" ma:index="13" nillable="true" ma:displayName="Status Note" ma:description="Type in any notes about the current status of this document you wish to document and share." ma:internalName="Status_x0020_Note">
      <xsd:simpleType>
        <xsd:restriction base="dms:Text">
          <xsd:maxLength value="255"/>
        </xsd:restriction>
      </xsd:simpleType>
    </xsd:element>
    <xsd:element name="Document_x0020_Type" ma:index="14" ma:displayName="Document Category" ma:default="-Please Specify-" ma:description="Enter in a high-level category of document so you casn group and report using this." ma:format="Dropdown" ma:internalName="Document_x0020_Type">
      <xsd:simpleType>
        <xsd:union memberTypes="dms:Text">
          <xsd:simpleType>
            <xsd:restriction base="dms:Choice">
              <xsd:enumeration value="Agreements"/>
              <xsd:enumeration value="Analysis"/>
              <xsd:enumeration value="Architecture"/>
              <xsd:enumeration value="Charter"/>
              <xsd:enumeration value="Communication"/>
              <xsd:enumeration value="Contract"/>
              <xsd:enumeration value="Data"/>
              <xsd:enumeration value="Data Model"/>
              <xsd:enumeration value="Forms"/>
              <xsd:enumeration value="FR Notice"/>
              <xsd:enumeration value="Goals"/>
              <xsd:enumeration value="Grants"/>
              <xsd:enumeration value="Guidances"/>
              <xsd:enumeration value="Issues List"/>
              <xsd:enumeration value="Letters"/>
              <xsd:enumeration value="Management Plan"/>
              <xsd:enumeration value="Manuscript"/>
              <xsd:enumeration value="Mission Statement"/>
              <xsd:enumeration value="PRA Justification"/>
              <xsd:enumeration value="Presentation"/>
              <xsd:enumeration value="Procedures (SOPP/TOPP)"/>
              <xsd:enumeration value="Project Management"/>
              <xsd:enumeration value="Reference Material"/>
              <xsd:enumeration value="Regulation"/>
              <xsd:enumeration value="Report"/>
              <xsd:enumeration value="Requirements"/>
              <xsd:enumeration value="Schedule"/>
              <xsd:enumeration value="Security Document"/>
              <xsd:enumeration value="SOW"/>
              <xsd:enumeration value="SRS"/>
              <xsd:enumeration value="Standards"/>
              <xsd:enumeration value="Technical Spec."/>
              <xsd:enumeration value="Templates"/>
              <xsd:enumeration value="Test Cases"/>
              <xsd:enumeration value="Testing Material"/>
              <xsd:enumeration value="Training Material"/>
              <xsd:enumeration value="User Manual"/>
              <xsd:enumeration value="-Please Specify-"/>
            </xsd:restriction>
          </xsd:simpleType>
        </xsd:union>
      </xsd:simpleType>
    </xsd:element>
    <xsd:element name="Confidentiality" ma:index="15" ma:displayName="Confidentiality" ma:default="Internal/Confidential" ma:format="Dropdown" ma:internalName="Confidentiality">
      <xsd:simpleType>
        <xsd:restriction base="dms:Choice">
          <xsd:enumeration value="Internal/Confidential"/>
          <xsd:enumeration value="External/Confidential"/>
          <xsd:enumeration value="External Public (Submitted for clearance)"/>
          <xsd:enumeration value="External Public Cleared"/>
        </xsd:restriction>
      </xsd:simpleType>
    </xsd:element>
  </xsd:schema>
  <xsd:schema xmlns:xsd="http://www.w3.org/2001/XMLSchema" xmlns:xs="http://www.w3.org/2001/XMLSchema" xmlns:dms="http://schemas.microsoft.com/office/2006/documentManagement/types" xmlns:pc="http://schemas.microsoft.com/office/infopath/2007/PartnerControls" targetNamespace="ee268373-24bd-46db-9f88-fe8cfe7fef0e" elementFormDefault="qualified">
    <xsd:import namespace="http://schemas.microsoft.com/office/2006/documentManagement/types"/>
    <xsd:import namespace="http://schemas.microsoft.com/office/infopath/2007/PartnerControls"/>
    <xsd:element name="Document_x0020_Date" ma:index="16" nillable="true" ma:displayName="Document Date" ma:description="The date prescribed to the current version of each document. May change as draft version becomes final or when final is revised." ma:format="DateOnly" ma:internalName="Document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_x0020_Note xmlns="2e9935a5-20a2-403e-8dd7-41ca93ef841b" xsi:nil="true"/>
    <Status xmlns="8ae0da10-6ae8-4796-8a88-54cca0b2a7ec">Draft (All Collaborate)</Status>
    <Document_x0020_Date xmlns="ee268373-24bd-46db-9f88-fe8cfe7fef0e" xsi:nil="true"/>
    <Document_x0020_Type xmlns="2e9935a5-20a2-403e-8dd7-41ca93ef841b">Working draft</Document_x0020_Type>
    <Author0 xmlns="8ae0da10-6ae8-4796-8a88-54cca0b2a7ec">
      <UserInfo>
        <DisplayName/>
        <AccountId xsi:nil="true"/>
        <AccountType/>
      </UserInfo>
    </Author0>
    <Confidentiality xmlns="2e9935a5-20a2-403e-8dd7-41ca93ef841b">Internal/Confidential</Confidentiality>
    <_dlc_DocId xmlns="c593544c-8bc9-488a-9957-4d59a7b3d015">ECW2UC57Z33M-269-328</_dlc_DocId>
    <_dlc_DocIdUrl xmlns="c593544c-8bc9-488a-9957-4d59a7b3d015">
      <Url>http://sharepoint.fda.gov/orgs/CTP-OS/PopHealthSci/SocialScience/_layouts/DocIdRedir.aspx?ID=ECW2UC57Z33M-269-328</Url>
      <Description>ECW2UC57Z33M-269-328</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ADD55-5185-4937-AAE0-A999E6ED1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8ae0da10-6ae8-4796-8a88-54cca0b2a7ec"/>
    <ds:schemaRef ds:uri="2e9935a5-20a2-403e-8dd7-41ca93ef841b"/>
    <ds:schemaRef ds:uri="ee268373-24bd-46db-9f88-fe8cfe7fe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60CE2C-1AC4-4065-ADB8-469854D02FFE}">
  <ds:schemaRefs>
    <ds:schemaRef ds:uri="http://schemas.microsoft.com/sharepoint/events"/>
  </ds:schemaRefs>
</ds:datastoreItem>
</file>

<file path=customXml/itemProps3.xml><?xml version="1.0" encoding="utf-8"?>
<ds:datastoreItem xmlns:ds="http://schemas.openxmlformats.org/officeDocument/2006/customXml" ds:itemID="{900702B5-0C4F-4261-8C75-7A0361247CB1}">
  <ds:schemaRefs>
    <ds:schemaRef ds:uri="http://schemas.microsoft.com/sharepoint/v3/contenttype/forms"/>
  </ds:schemaRefs>
</ds:datastoreItem>
</file>

<file path=customXml/itemProps4.xml><?xml version="1.0" encoding="utf-8"?>
<ds:datastoreItem xmlns:ds="http://schemas.openxmlformats.org/officeDocument/2006/customXml" ds:itemID="{2E8D56B2-BF5E-4244-98D2-71DB48EB0493}">
  <ds:schemaRefs>
    <ds:schemaRef ds:uri="http://purl.org/dc/terms/"/>
    <ds:schemaRef ds:uri="8ae0da10-6ae8-4796-8a88-54cca0b2a7ec"/>
    <ds:schemaRef ds:uri="http://purl.org/dc/dcmitype/"/>
    <ds:schemaRef ds:uri="http://purl.org/dc/elements/1.1/"/>
    <ds:schemaRef ds:uri="http://schemas.microsoft.com/office/2006/metadata/properties"/>
    <ds:schemaRef ds:uri="http://www.w3.org/XML/1998/namespace"/>
    <ds:schemaRef ds:uri="http://schemas.microsoft.com/office/2006/documentManagement/types"/>
    <ds:schemaRef ds:uri="c593544c-8bc9-488a-9957-4d59a7b3d015"/>
    <ds:schemaRef ds:uri="http://schemas.microsoft.com/office/infopath/2007/PartnerControls"/>
    <ds:schemaRef ds:uri="http://schemas.openxmlformats.org/package/2006/metadata/core-properties"/>
    <ds:schemaRef ds:uri="ee268373-24bd-46db-9f88-fe8cfe7fef0e"/>
    <ds:schemaRef ds:uri="2e9935a5-20a2-403e-8dd7-41ca93ef841b"/>
  </ds:schemaRefs>
</ds:datastoreItem>
</file>

<file path=customXml/itemProps5.xml><?xml version="1.0" encoding="utf-8"?>
<ds:datastoreItem xmlns:ds="http://schemas.openxmlformats.org/officeDocument/2006/customXml" ds:itemID="{6F041758-0F0D-4FAF-BD63-E541F71E3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1622</Words>
  <Characters>9248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Persoskie, Alexander</dc:creator>
  <cp:lastModifiedBy>SYSTEM</cp:lastModifiedBy>
  <cp:revision>2</cp:revision>
  <dcterms:created xsi:type="dcterms:W3CDTF">2019-06-14T21:09:00Z</dcterms:created>
  <dcterms:modified xsi:type="dcterms:W3CDTF">2019-06-14T21:09:00Z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0x0101003F9D9999D3C06E44B79B26324062BD52</vt:lpwstr>
  </property>
  <property fmtid="{D5CDD505-2E9C-101B-9397-08002B2CF9AE}" pid="3" name="_dlc_DocIdItemGuid">
    <vt:lpwstr>cf4d79d4-1289-4754-8ffe-009e9a22acd1</vt:lpwstr>
  </property>
</Properties>
</file>