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D8CC" w14:textId="6056097C" w:rsidR="00C20274" w:rsidRPr="00BF6EAE" w:rsidRDefault="00C20274" w:rsidP="00C20274">
      <w:pPr>
        <w:jc w:val="center"/>
        <w:rPr>
          <w:rFonts w:ascii="Times New Roman Bold" w:hAnsi="Times New Roman Bold" w:cs="Times New Roman" w:hint="eastAsia"/>
          <w:b/>
          <w:bCs/>
          <w:caps/>
          <w:color w:val="000000" w:themeColor="text1"/>
        </w:rPr>
      </w:pPr>
      <w:bookmarkStart w:id="0" w:name="_GoBack"/>
      <w:bookmarkEnd w:id="0"/>
      <w:r w:rsidRPr="00BF6EAE">
        <w:rPr>
          <w:rFonts w:ascii="Times New Roman Bold" w:hAnsi="Times New Roman Bold" w:cs="Times New Roman"/>
          <w:b/>
          <w:bCs/>
          <w:caps/>
          <w:color w:val="000000" w:themeColor="text1"/>
        </w:rPr>
        <w:t>Supporting Statement</w:t>
      </w:r>
      <w:r>
        <w:rPr>
          <w:rFonts w:ascii="Times New Roman Bold" w:hAnsi="Times New Roman Bold" w:cs="Times New Roman"/>
          <w:b/>
          <w:bCs/>
          <w:caps/>
          <w:color w:val="000000" w:themeColor="text1"/>
        </w:rPr>
        <w:t xml:space="preserve"> PART A</w:t>
      </w:r>
    </w:p>
    <w:p w14:paraId="7E2F99D6" w14:textId="40FBDC2F" w:rsidR="00C20274" w:rsidRDefault="00C20274" w:rsidP="009A4936">
      <w:pPr>
        <w:jc w:val="center"/>
        <w:rPr>
          <w:rFonts w:ascii="Times New Roman" w:hAnsi="Times New Roman" w:cs="Times New Roman"/>
          <w:b/>
          <w:color w:val="000000" w:themeColor="text1"/>
        </w:rPr>
      </w:pPr>
      <w:r>
        <w:rPr>
          <w:rFonts w:ascii="Times New Roman" w:hAnsi="Times New Roman" w:cs="Times New Roman"/>
          <w:b/>
          <w:color w:val="000000" w:themeColor="text1"/>
        </w:rPr>
        <w:t>0910-NEW</w:t>
      </w:r>
    </w:p>
    <w:p w14:paraId="36DD7AD5" w14:textId="77777777" w:rsidR="00C20274" w:rsidRDefault="00C20274" w:rsidP="009A4936">
      <w:pPr>
        <w:jc w:val="center"/>
        <w:rPr>
          <w:rFonts w:ascii="Times New Roman" w:hAnsi="Times New Roman" w:cs="Times New Roman"/>
          <w:b/>
          <w:color w:val="000000" w:themeColor="text1"/>
        </w:rPr>
      </w:pPr>
    </w:p>
    <w:p w14:paraId="076F4914" w14:textId="0BEDA4F1" w:rsidR="005211CB" w:rsidRDefault="002F3555" w:rsidP="009A4936">
      <w:pPr>
        <w:jc w:val="center"/>
        <w:rPr>
          <w:rFonts w:ascii="Times New Roman" w:hAnsi="Times New Roman" w:cs="Times New Roman"/>
          <w:b/>
          <w:color w:val="000000" w:themeColor="text1"/>
        </w:rPr>
      </w:pPr>
      <w:r w:rsidRPr="00BF6EAE">
        <w:rPr>
          <w:rFonts w:ascii="Times New Roman" w:hAnsi="Times New Roman" w:cs="Times New Roman"/>
          <w:b/>
          <w:color w:val="000000" w:themeColor="text1"/>
        </w:rPr>
        <w:t xml:space="preserve">Food and Drug Administration’s </w:t>
      </w:r>
    </w:p>
    <w:p w14:paraId="64D8DCF1" w14:textId="535346CD" w:rsidR="00860AA4" w:rsidRPr="00BF6EAE" w:rsidRDefault="00AD1197" w:rsidP="009A4936">
      <w:pPr>
        <w:jc w:val="center"/>
        <w:rPr>
          <w:rFonts w:ascii="Times New Roman" w:hAnsi="Times New Roman" w:cs="Times New Roman"/>
          <w:b/>
          <w:color w:val="000000" w:themeColor="text1"/>
        </w:rPr>
      </w:pPr>
      <w:r w:rsidRPr="00BF6EAE">
        <w:rPr>
          <w:rFonts w:ascii="Times New Roman" w:hAnsi="Times New Roman" w:cs="Times New Roman"/>
          <w:b/>
          <w:color w:val="000000" w:themeColor="text1"/>
        </w:rPr>
        <w:t xml:space="preserve">Investigation of Consumer Perceptions of </w:t>
      </w:r>
      <w:r w:rsidR="00E808DF">
        <w:rPr>
          <w:rFonts w:ascii="Times New Roman" w:hAnsi="Times New Roman" w:cs="Times New Roman"/>
          <w:b/>
          <w:color w:val="000000" w:themeColor="text1"/>
        </w:rPr>
        <w:t>Expressed</w:t>
      </w:r>
      <w:r w:rsidR="00E808DF" w:rsidRPr="00BF6EAE">
        <w:rPr>
          <w:rFonts w:ascii="Times New Roman" w:hAnsi="Times New Roman" w:cs="Times New Roman"/>
          <w:b/>
          <w:color w:val="000000" w:themeColor="text1"/>
        </w:rPr>
        <w:t xml:space="preserve"> </w:t>
      </w:r>
      <w:r w:rsidRPr="00BF6EAE">
        <w:rPr>
          <w:rFonts w:ascii="Times New Roman" w:hAnsi="Times New Roman" w:cs="Times New Roman"/>
          <w:b/>
          <w:color w:val="000000" w:themeColor="text1"/>
        </w:rPr>
        <w:t>Modified Risk Claims</w:t>
      </w:r>
    </w:p>
    <w:p w14:paraId="6EA0F705" w14:textId="77777777" w:rsidR="00522EE8" w:rsidRPr="00BF6EAE" w:rsidRDefault="00522EE8" w:rsidP="009A4936">
      <w:pPr>
        <w:jc w:val="center"/>
        <w:rPr>
          <w:rFonts w:ascii="Times New Roman" w:hAnsi="Times New Roman" w:cs="Times New Roman"/>
          <w:b/>
          <w:color w:val="000000" w:themeColor="text1"/>
        </w:rPr>
      </w:pPr>
    </w:p>
    <w:p w14:paraId="23E6DB70" w14:textId="77777777" w:rsidR="002B5B65" w:rsidRPr="00BF6EAE" w:rsidRDefault="002B5B65" w:rsidP="005647AA">
      <w:pPr>
        <w:rPr>
          <w:rFonts w:ascii="Times New Roman Bold" w:hAnsi="Times New Roman Bold" w:cs="Times New Roman" w:hint="eastAsia"/>
          <w:b/>
          <w:bCs/>
          <w:caps/>
          <w:color w:val="000000" w:themeColor="text1"/>
        </w:rPr>
      </w:pPr>
    </w:p>
    <w:p w14:paraId="79F221CF" w14:textId="6F2FB8AC" w:rsidR="00321824" w:rsidRPr="00BF6EAE" w:rsidRDefault="002F3555" w:rsidP="008B4D78">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A. </w:t>
      </w:r>
      <w:r w:rsidR="00984652" w:rsidRPr="00BF6EAE">
        <w:rPr>
          <w:rFonts w:ascii="Times New Roman" w:hAnsi="Times New Roman" w:cs="Times New Roman"/>
          <w:color w:val="000000" w:themeColor="text1"/>
        </w:rPr>
        <w:t>Justification</w:t>
      </w:r>
    </w:p>
    <w:p w14:paraId="7C18F12E" w14:textId="77777777" w:rsidR="00ED11C3" w:rsidRPr="00BF6EAE" w:rsidRDefault="00ED11C3" w:rsidP="008B4D78">
      <w:pPr>
        <w:pStyle w:val="ListParagraph"/>
        <w:ind w:left="0"/>
        <w:rPr>
          <w:rFonts w:ascii="Times New Roman" w:hAnsi="Times New Roman" w:cs="Times New Roman"/>
          <w:color w:val="000000" w:themeColor="text1"/>
        </w:rPr>
      </w:pPr>
    </w:p>
    <w:p w14:paraId="5907F969" w14:textId="77777777" w:rsidR="00984652" w:rsidRPr="00BF6EAE" w:rsidRDefault="004D0A24" w:rsidP="00DD6489">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Circumstances Making Collection of Information Necessary</w:t>
      </w:r>
    </w:p>
    <w:p w14:paraId="4801A0C5" w14:textId="77777777" w:rsidR="00B6274E" w:rsidRDefault="00B6274E" w:rsidP="008B4D78">
      <w:pPr>
        <w:rPr>
          <w:rFonts w:ascii="Times New Roman" w:hAnsi="Times New Roman" w:cs="Times New Roman"/>
          <w:color w:val="000000" w:themeColor="text1"/>
        </w:rPr>
      </w:pPr>
      <w:bookmarkStart w:id="1" w:name="_Hlk8194460"/>
    </w:p>
    <w:p w14:paraId="43491D44" w14:textId="02A67C77" w:rsidR="008B4D78" w:rsidRDefault="005D35D4" w:rsidP="008B4D78">
      <w:pPr>
        <w:rPr>
          <w:rFonts w:ascii="Times New Roman" w:hAnsi="Times New Roman" w:cs="Times New Roman"/>
          <w:color w:val="000000" w:themeColor="text1"/>
        </w:rPr>
      </w:pPr>
      <w:r w:rsidRPr="005D35D4">
        <w:rPr>
          <w:rFonts w:ascii="Times New Roman" w:hAnsi="Times New Roman" w:cs="Times New Roman"/>
          <w:color w:val="000000" w:themeColor="text1"/>
        </w:rPr>
        <w:t xml:space="preserve">Historically, tobacco product manufacturers have marketed some of their products using </w:t>
      </w:r>
      <w:r w:rsidR="00F26D4D">
        <w:rPr>
          <w:rFonts w:ascii="Times New Roman" w:hAnsi="Times New Roman" w:cs="Times New Roman"/>
          <w:color w:val="000000" w:themeColor="text1"/>
        </w:rPr>
        <w:t>modified</w:t>
      </w:r>
      <w:r w:rsidR="00F26D4D" w:rsidRPr="005D35D4">
        <w:rPr>
          <w:rFonts w:ascii="Times New Roman" w:hAnsi="Times New Roman" w:cs="Times New Roman"/>
          <w:color w:val="000000" w:themeColor="text1"/>
        </w:rPr>
        <w:t xml:space="preserve"> </w:t>
      </w:r>
      <w:r w:rsidRPr="005D35D4">
        <w:rPr>
          <w:rFonts w:ascii="Times New Roman" w:hAnsi="Times New Roman" w:cs="Times New Roman"/>
          <w:color w:val="000000" w:themeColor="text1"/>
        </w:rPr>
        <w:t xml:space="preserve">risk claims stating that the product </w:t>
      </w:r>
      <w:r w:rsidR="0083643F">
        <w:rPr>
          <w:rFonts w:ascii="Times New Roman" w:hAnsi="Times New Roman" w:cs="Times New Roman"/>
          <w:color w:val="000000" w:themeColor="text1"/>
        </w:rPr>
        <w:t>is</w:t>
      </w:r>
      <w:r w:rsidR="0083643F" w:rsidRPr="005D35D4">
        <w:rPr>
          <w:rFonts w:ascii="Times New Roman" w:hAnsi="Times New Roman" w:cs="Times New Roman"/>
          <w:color w:val="000000" w:themeColor="text1"/>
        </w:rPr>
        <w:t xml:space="preserve"> </w:t>
      </w:r>
      <w:r w:rsidRPr="005D35D4">
        <w:rPr>
          <w:rFonts w:ascii="Times New Roman" w:hAnsi="Times New Roman" w:cs="Times New Roman"/>
          <w:color w:val="000000" w:themeColor="text1"/>
        </w:rPr>
        <w:t xml:space="preserve">less risky or less harmful to users’ health than other tobacco </w:t>
      </w:r>
      <w:r w:rsidR="0003066A" w:rsidRPr="005D35D4">
        <w:rPr>
          <w:rFonts w:ascii="Times New Roman" w:hAnsi="Times New Roman" w:cs="Times New Roman"/>
          <w:color w:val="000000" w:themeColor="text1"/>
        </w:rPr>
        <w:t>products</w:t>
      </w:r>
      <w:r w:rsidR="0003066A">
        <w:rPr>
          <w:rFonts w:ascii="Times New Roman" w:hAnsi="Times New Roman" w:cs="Times New Roman"/>
          <w:color w:val="000000" w:themeColor="text1"/>
        </w:rPr>
        <w:t xml:space="preserve"> or</w:t>
      </w:r>
      <w:r w:rsidR="009E0F19">
        <w:rPr>
          <w:rFonts w:ascii="Times New Roman" w:hAnsi="Times New Roman" w:cs="Times New Roman"/>
          <w:color w:val="000000" w:themeColor="text1"/>
        </w:rPr>
        <w:t xml:space="preserve"> exposes users to lower levels of harmful substances than other products</w:t>
      </w:r>
      <w:r w:rsidRPr="005D35D4">
        <w:rPr>
          <w:rFonts w:ascii="Times New Roman" w:hAnsi="Times New Roman" w:cs="Times New Roman"/>
          <w:color w:val="000000" w:themeColor="text1"/>
        </w:rPr>
        <w:t xml:space="preserve">. </w:t>
      </w:r>
      <w:r w:rsidR="008B4D78">
        <w:rPr>
          <w:rFonts w:ascii="Times New Roman" w:hAnsi="Times New Roman" w:cs="Times New Roman"/>
          <w:color w:val="000000" w:themeColor="text1"/>
        </w:rPr>
        <w:t>As stated in t</w:t>
      </w:r>
      <w:r w:rsidR="008B4D78" w:rsidRPr="00C753FA">
        <w:rPr>
          <w:rFonts w:ascii="Times New Roman" w:hAnsi="Times New Roman" w:cs="Times New Roman"/>
          <w:color w:val="000000" w:themeColor="text1"/>
        </w:rPr>
        <w:t>he Family Smoking Prevention and Tobacco Control Act</w:t>
      </w:r>
      <w:r w:rsidR="008B4D78">
        <w:rPr>
          <w:rFonts w:ascii="Times New Roman" w:hAnsi="Times New Roman" w:cs="Times New Roman"/>
          <w:color w:val="000000" w:themeColor="text1"/>
        </w:rPr>
        <w:t xml:space="preserve"> </w:t>
      </w:r>
      <w:r w:rsidR="008B4D78" w:rsidRPr="00F1412A">
        <w:rPr>
          <w:rFonts w:ascii="Times New Roman" w:hAnsi="Times New Roman" w:cs="Times New Roman"/>
          <w:color w:val="000000" w:themeColor="text1"/>
        </w:rPr>
        <w:t>(Pub.L. 111–31, H.R. 1256)</w:t>
      </w:r>
      <w:r w:rsidR="008B4D78">
        <w:rPr>
          <w:rFonts w:ascii="Times New Roman" w:hAnsi="Times New Roman" w:cs="Times New Roman"/>
          <w:color w:val="000000" w:themeColor="text1"/>
        </w:rPr>
        <w:t>,</w:t>
      </w:r>
      <w:r w:rsidR="008B4D78" w:rsidRPr="00C753FA">
        <w:rPr>
          <w:rFonts w:ascii="Times New Roman" w:hAnsi="Times New Roman" w:cs="Times New Roman"/>
          <w:color w:val="000000" w:themeColor="text1"/>
        </w:rPr>
        <w:t xml:space="preserve"> “the costs to society of the widespread use of products sold or distributed as modified risk products that do not in fact reduce risk or that increase risk include thousands of unnecessary deaths and injuries and huge costs to our health care system,” and “the dangers of products sold or distributed as modified risk tobacco products that do not in fact reduce risk are so high that there is a compelling governmental interest in ensuring that statements about modified risk tobacco products are complete, accurate, and relate to the overall disease risk of the product.” </w:t>
      </w:r>
    </w:p>
    <w:p w14:paraId="628129E9" w14:textId="77777777" w:rsidR="004E6325" w:rsidRDefault="005D35D4" w:rsidP="008B4D78">
      <w:pPr>
        <w:shd w:val="clear" w:color="auto" w:fill="FFFFFF"/>
        <w:spacing w:before="100" w:beforeAutospacing="1"/>
        <w:rPr>
          <w:rFonts w:ascii="Times New Roman" w:hAnsi="Times New Roman" w:cs="Times New Roman"/>
          <w:color w:val="000000" w:themeColor="text1"/>
        </w:rPr>
      </w:pPr>
      <w:r w:rsidRPr="005D35D4">
        <w:rPr>
          <w:rFonts w:ascii="Times New Roman" w:hAnsi="Times New Roman" w:cs="Times New Roman"/>
          <w:color w:val="000000" w:themeColor="text1"/>
        </w:rPr>
        <w:t xml:space="preserve">The </w:t>
      </w:r>
      <w:r w:rsidR="00F1412A">
        <w:rPr>
          <w:rFonts w:ascii="Times New Roman" w:hAnsi="Times New Roman" w:cs="Times New Roman"/>
          <w:color w:val="000000" w:themeColor="text1"/>
        </w:rPr>
        <w:t xml:space="preserve">Federal </w:t>
      </w:r>
      <w:r w:rsidRPr="005D35D4">
        <w:rPr>
          <w:rFonts w:ascii="Times New Roman" w:hAnsi="Times New Roman" w:cs="Times New Roman"/>
          <w:color w:val="000000" w:themeColor="text1"/>
        </w:rPr>
        <w:t xml:space="preserve">Food, Drug, and Cosmetic Act (FD&amp;C Act; Section 911, 21 USC 387) prohibits tobacco product manufacturers from making </w:t>
      </w:r>
      <w:r w:rsidR="00F26D4D">
        <w:rPr>
          <w:rFonts w:ascii="Times New Roman" w:hAnsi="Times New Roman" w:cs="Times New Roman"/>
          <w:color w:val="000000" w:themeColor="text1"/>
        </w:rPr>
        <w:t>modified</w:t>
      </w:r>
      <w:r w:rsidR="00F26D4D" w:rsidRPr="005D35D4">
        <w:rPr>
          <w:rFonts w:ascii="Times New Roman" w:hAnsi="Times New Roman" w:cs="Times New Roman"/>
          <w:color w:val="000000" w:themeColor="text1"/>
        </w:rPr>
        <w:t xml:space="preserve"> </w:t>
      </w:r>
      <w:r w:rsidRPr="005D35D4">
        <w:rPr>
          <w:rFonts w:ascii="Times New Roman" w:hAnsi="Times New Roman" w:cs="Times New Roman"/>
          <w:color w:val="000000" w:themeColor="text1"/>
        </w:rPr>
        <w:t>risk claims about their products unless they have applied for, and been granted, a modified risk tobacco product (MRTP) marketing authorization</w:t>
      </w:r>
      <w:r w:rsidR="001E16E2">
        <w:rPr>
          <w:rFonts w:ascii="Times New Roman" w:hAnsi="Times New Roman" w:cs="Times New Roman"/>
          <w:color w:val="000000" w:themeColor="text1"/>
        </w:rPr>
        <w:t xml:space="preserve"> order</w:t>
      </w:r>
      <w:r w:rsidRPr="005D35D4">
        <w:rPr>
          <w:rFonts w:ascii="Times New Roman" w:hAnsi="Times New Roman" w:cs="Times New Roman"/>
          <w:color w:val="000000" w:themeColor="text1"/>
        </w:rPr>
        <w:t xml:space="preserve"> for the product. To be granted an MRTP marketing authorization order, a manufacturer must demonstrate that the MRTP, as marketed, would (1) significantly reduce the risk and harm to individual tobacco users, and (2) benefit the health of the population as a whole (when taking into account the effects on current tobacco users and on people who do not currently use tobacco products). The manufacturer must also demonstrate that any advertising or labeling for the MRTP will enable the public to comprehend the information concerning modified risk and to understand the relative significance of such information in the context of total health and in relation to all tobacco-related diseases. In other words, a manufacturer wishing to make a modified risk claim about its product is required to demonstrate not only that the claim is factually accurate, but also that the public can understand it and its relevance to their health. </w:t>
      </w:r>
    </w:p>
    <w:p w14:paraId="71434106" w14:textId="77777777" w:rsidR="00B6274E" w:rsidRDefault="00B6274E" w:rsidP="00B6274E">
      <w:pPr>
        <w:shd w:val="clear" w:color="auto" w:fill="FFFFFF"/>
        <w:rPr>
          <w:rFonts w:ascii="Times New Roman" w:hAnsi="Times New Roman" w:cs="Times New Roman"/>
          <w:color w:val="000000" w:themeColor="text1"/>
        </w:rPr>
      </w:pPr>
    </w:p>
    <w:p w14:paraId="0372FCAC" w14:textId="2D5F964E" w:rsidR="0073250F" w:rsidRDefault="005D35D4" w:rsidP="00B6274E">
      <w:pPr>
        <w:shd w:val="clear" w:color="auto" w:fill="FFFFFF"/>
        <w:rPr>
          <w:rFonts w:ascii="Times New Roman" w:hAnsi="Times New Roman" w:cs="Times New Roman"/>
          <w:color w:val="000000" w:themeColor="text1"/>
        </w:rPr>
      </w:pPr>
      <w:r w:rsidRPr="005D35D4">
        <w:rPr>
          <w:rFonts w:ascii="Times New Roman" w:hAnsi="Times New Roman" w:cs="Times New Roman"/>
          <w:color w:val="000000" w:themeColor="text1"/>
        </w:rPr>
        <w:t>To address the</w:t>
      </w:r>
      <w:r w:rsidR="00F26D4D">
        <w:rPr>
          <w:rFonts w:ascii="Times New Roman" w:hAnsi="Times New Roman" w:cs="Times New Roman"/>
          <w:color w:val="000000" w:themeColor="text1"/>
        </w:rPr>
        <w:t xml:space="preserve"> </w:t>
      </w:r>
      <w:r w:rsidR="0003066A">
        <w:rPr>
          <w:rFonts w:ascii="Times New Roman" w:hAnsi="Times New Roman" w:cs="Times New Roman"/>
          <w:color w:val="000000" w:themeColor="text1"/>
        </w:rPr>
        <w:t>latter</w:t>
      </w:r>
      <w:r w:rsidRPr="005D35D4">
        <w:rPr>
          <w:rFonts w:ascii="Times New Roman" w:hAnsi="Times New Roman" w:cs="Times New Roman"/>
          <w:color w:val="000000" w:themeColor="text1"/>
        </w:rPr>
        <w:t xml:space="preserve"> need in a modified risk tobacco product application (MRTPA), an applicant </w:t>
      </w:r>
      <w:r w:rsidR="006C1141">
        <w:rPr>
          <w:rFonts w:ascii="Times New Roman" w:hAnsi="Times New Roman" w:cs="Times New Roman"/>
          <w:color w:val="000000" w:themeColor="text1"/>
        </w:rPr>
        <w:t>can</w:t>
      </w:r>
      <w:r w:rsidR="006C1141" w:rsidRPr="005D35D4">
        <w:rPr>
          <w:rFonts w:ascii="Times New Roman" w:hAnsi="Times New Roman" w:cs="Times New Roman"/>
          <w:color w:val="000000" w:themeColor="text1"/>
        </w:rPr>
        <w:t xml:space="preserve"> </w:t>
      </w:r>
      <w:r w:rsidRPr="005D35D4">
        <w:rPr>
          <w:rFonts w:ascii="Times New Roman" w:hAnsi="Times New Roman" w:cs="Times New Roman"/>
          <w:color w:val="000000" w:themeColor="text1"/>
        </w:rPr>
        <w:t>conduct and submit consumer perception studies to the Food and Drug Administration (FDA)</w:t>
      </w:r>
      <w:r w:rsidRPr="006C1141">
        <w:rPr>
          <w:rFonts w:ascii="Times New Roman" w:hAnsi="Times New Roman" w:cs="Times New Roman"/>
          <w:color w:val="000000" w:themeColor="text1"/>
        </w:rPr>
        <w:t>.</w:t>
      </w:r>
      <w:r w:rsidR="008B4D78" w:rsidRPr="006C1141">
        <w:rPr>
          <w:rFonts w:ascii="Times New Roman" w:hAnsi="Times New Roman" w:cs="Times New Roman"/>
          <w:color w:val="000000" w:themeColor="text1"/>
        </w:rPr>
        <w:t xml:space="preserve"> </w:t>
      </w:r>
      <w:r w:rsidR="00733377">
        <w:rPr>
          <w:rFonts w:ascii="Times New Roman" w:hAnsi="Times New Roman" w:cs="Times New Roman"/>
          <w:color w:val="000000" w:themeColor="text1"/>
        </w:rPr>
        <w:t>One</w:t>
      </w:r>
      <w:r w:rsidR="006C1141">
        <w:rPr>
          <w:rFonts w:ascii="Times New Roman" w:hAnsi="Times New Roman" w:cs="Times New Roman"/>
          <w:color w:val="000000" w:themeColor="text1"/>
        </w:rPr>
        <w:t xml:space="preserve"> FDA research priority is to develop measures and methods to support the robustness of such research</w:t>
      </w:r>
      <w:r w:rsidR="0073250F">
        <w:rPr>
          <w:rFonts w:ascii="Times New Roman" w:hAnsi="Times New Roman" w:cs="Times New Roman"/>
          <w:color w:val="000000" w:themeColor="text1"/>
        </w:rPr>
        <w:t xml:space="preserve">, and this priority is supported by the current study. </w:t>
      </w:r>
    </w:p>
    <w:p w14:paraId="7426E58C" w14:textId="77777777" w:rsidR="00590AFE" w:rsidRDefault="00590AFE" w:rsidP="00B6274E">
      <w:pPr>
        <w:shd w:val="clear" w:color="auto" w:fill="FFFFFF"/>
        <w:rPr>
          <w:rFonts w:ascii="Times New Roman" w:hAnsi="Times New Roman" w:cs="Times New Roman"/>
          <w:color w:val="000000" w:themeColor="text1"/>
        </w:rPr>
      </w:pPr>
    </w:p>
    <w:p w14:paraId="2B0EC0C6" w14:textId="49595FB8" w:rsidR="00DF031A" w:rsidRDefault="0073250F" w:rsidP="00B6274E">
      <w:pPr>
        <w:rPr>
          <w:rFonts w:ascii="Times New Roman" w:hAnsi="Times New Roman" w:cs="Times New Roman"/>
          <w:color w:val="000000" w:themeColor="text1"/>
        </w:rPr>
      </w:pPr>
      <w:r>
        <w:rPr>
          <w:rFonts w:ascii="Times New Roman" w:hAnsi="Times New Roman" w:cs="Times New Roman"/>
          <w:color w:val="000000" w:themeColor="text1"/>
        </w:rPr>
        <w:t xml:space="preserve">The current </w:t>
      </w:r>
      <w:r w:rsidR="00007EFD">
        <w:rPr>
          <w:rFonts w:ascii="Times New Roman" w:hAnsi="Times New Roman" w:cs="Times New Roman"/>
          <w:color w:val="000000" w:themeColor="text1"/>
        </w:rPr>
        <w:t>study</w:t>
      </w:r>
      <w:r w:rsidR="003C7A11">
        <w:rPr>
          <w:rFonts w:ascii="Times New Roman" w:hAnsi="Times New Roman" w:cs="Times New Roman"/>
          <w:color w:val="000000" w:themeColor="text1"/>
        </w:rPr>
        <w:t xml:space="preserve"> has one primary goal and two secondary goals. The primary goal is to develop and validate</w:t>
      </w:r>
      <w:r w:rsidR="00776500">
        <w:rPr>
          <w:rFonts w:ascii="Times New Roman" w:hAnsi="Times New Roman" w:cs="Times New Roman"/>
          <w:color w:val="000000" w:themeColor="text1"/>
        </w:rPr>
        <w:t xml:space="preserve"> survey measures for assessing</w:t>
      </w:r>
      <w:r>
        <w:rPr>
          <w:rFonts w:ascii="Times New Roman" w:hAnsi="Times New Roman" w:cs="Times New Roman"/>
          <w:color w:val="000000" w:themeColor="text1"/>
        </w:rPr>
        <w:t xml:space="preserve"> several specific risk perception constructs</w:t>
      </w:r>
      <w:r w:rsidR="0027344D">
        <w:rPr>
          <w:rFonts w:ascii="Times New Roman" w:hAnsi="Times New Roman" w:cs="Times New Roman"/>
          <w:color w:val="000000" w:themeColor="text1"/>
        </w:rPr>
        <w:t>. Section 2 below describes the</w:t>
      </w:r>
      <w:r w:rsidR="00776500">
        <w:rPr>
          <w:rFonts w:ascii="Times New Roman" w:hAnsi="Times New Roman" w:cs="Times New Roman"/>
          <w:color w:val="000000" w:themeColor="text1"/>
        </w:rPr>
        <w:t xml:space="preserve"> </w:t>
      </w:r>
      <w:r w:rsidR="0027344D">
        <w:rPr>
          <w:rFonts w:ascii="Times New Roman" w:hAnsi="Times New Roman" w:cs="Times New Roman"/>
          <w:color w:val="000000" w:themeColor="text1"/>
        </w:rPr>
        <w:t>methods</w:t>
      </w:r>
      <w:r w:rsidR="00776500">
        <w:rPr>
          <w:rFonts w:ascii="Times New Roman" w:hAnsi="Times New Roman" w:cs="Times New Roman"/>
          <w:color w:val="000000" w:themeColor="text1"/>
        </w:rPr>
        <w:t xml:space="preserve"> used to evaluate </w:t>
      </w:r>
      <w:r w:rsidR="00142CE8">
        <w:rPr>
          <w:rFonts w:ascii="Times New Roman" w:hAnsi="Times New Roman" w:cs="Times New Roman"/>
          <w:color w:val="000000" w:themeColor="text1"/>
        </w:rPr>
        <w:t>the measures’</w:t>
      </w:r>
      <w:r w:rsidR="00776500">
        <w:rPr>
          <w:rFonts w:ascii="Times New Roman" w:hAnsi="Times New Roman" w:cs="Times New Roman"/>
          <w:color w:val="000000" w:themeColor="text1"/>
        </w:rPr>
        <w:t xml:space="preserve"> validity </w:t>
      </w:r>
      <w:r w:rsidR="0027344D">
        <w:rPr>
          <w:rFonts w:ascii="Times New Roman" w:hAnsi="Times New Roman" w:cs="Times New Roman"/>
          <w:color w:val="000000" w:themeColor="text1"/>
        </w:rPr>
        <w:t>(in terms of</w:t>
      </w:r>
      <w:r w:rsidR="00776500">
        <w:rPr>
          <w:rFonts w:ascii="Times New Roman" w:hAnsi="Times New Roman" w:cs="Times New Roman"/>
          <w:color w:val="000000" w:themeColor="text1"/>
        </w:rPr>
        <w:t xml:space="preserve"> a range of metrics including criteria for content validity, known</w:t>
      </w:r>
      <w:r w:rsidR="005461AA">
        <w:rPr>
          <w:rFonts w:ascii="Times New Roman" w:hAnsi="Times New Roman" w:cs="Times New Roman"/>
          <w:color w:val="000000" w:themeColor="text1"/>
        </w:rPr>
        <w:t xml:space="preserve"> </w:t>
      </w:r>
      <w:r w:rsidR="00776500">
        <w:rPr>
          <w:rFonts w:ascii="Times New Roman" w:hAnsi="Times New Roman" w:cs="Times New Roman"/>
          <w:color w:val="000000" w:themeColor="text1"/>
        </w:rPr>
        <w:t xml:space="preserve">groups validity, </w:t>
      </w:r>
      <w:r w:rsidR="007C3BBF">
        <w:rPr>
          <w:rFonts w:ascii="Times New Roman" w:hAnsi="Times New Roman" w:cs="Times New Roman"/>
          <w:color w:val="000000" w:themeColor="text1"/>
        </w:rPr>
        <w:t xml:space="preserve">discriminant validity, and </w:t>
      </w:r>
      <w:r w:rsidR="00776500">
        <w:rPr>
          <w:rFonts w:ascii="Times New Roman" w:hAnsi="Times New Roman" w:cs="Times New Roman"/>
          <w:color w:val="000000" w:themeColor="text1"/>
        </w:rPr>
        <w:lastRenderedPageBreak/>
        <w:t>convergent validity)</w:t>
      </w:r>
      <w:r w:rsidR="0027344D">
        <w:rPr>
          <w:rFonts w:ascii="Times New Roman" w:hAnsi="Times New Roman" w:cs="Times New Roman"/>
          <w:color w:val="000000" w:themeColor="text1"/>
        </w:rPr>
        <w:t xml:space="preserve">. </w:t>
      </w:r>
      <w:r w:rsidR="00590AFE">
        <w:rPr>
          <w:rFonts w:ascii="Times New Roman" w:hAnsi="Times New Roman" w:cs="Times New Roman"/>
          <w:color w:val="000000" w:themeColor="text1"/>
        </w:rPr>
        <w:t>If these measures of specific risk perception constructs are successfully validated, tobacco companies submitting applications to market new products or to market products with modified risk claims can use them in studies conducted to support these applications. This saves them from having to develop their own measures</w:t>
      </w:r>
      <w:r w:rsidR="00771D9A">
        <w:rPr>
          <w:rFonts w:ascii="Times New Roman" w:hAnsi="Times New Roman" w:cs="Times New Roman"/>
          <w:color w:val="000000" w:themeColor="text1"/>
        </w:rPr>
        <w:t xml:space="preserve"> and can yield higher quality data for FDA to evaluate in reviewing their studies</w:t>
      </w:r>
      <w:r w:rsidR="00590AFE">
        <w:rPr>
          <w:rFonts w:ascii="Times New Roman" w:hAnsi="Times New Roman" w:cs="Times New Roman"/>
          <w:color w:val="000000" w:themeColor="text1"/>
        </w:rPr>
        <w:t xml:space="preserve">. Tobacco researchers and public health practitioners can also use these measures in their research.  </w:t>
      </w:r>
    </w:p>
    <w:p w14:paraId="422B87B9" w14:textId="5EE62EE8" w:rsidR="00D91CD8" w:rsidRPr="0011540E" w:rsidRDefault="00664585" w:rsidP="008B4D78">
      <w:pPr>
        <w:spacing w:before="100" w:beforeAutospacing="1" w:after="100" w:afterAutospacing="1"/>
        <w:rPr>
          <w:rFonts w:ascii="Times New Roman" w:hAnsi="Times New Roman" w:cs="Times New Roman"/>
        </w:rPr>
      </w:pPr>
      <w:r>
        <w:rPr>
          <w:rFonts w:ascii="Times New Roman" w:hAnsi="Times New Roman" w:cs="Times New Roman"/>
          <w:color w:val="000000" w:themeColor="text1"/>
        </w:rPr>
        <w:t xml:space="preserve">This </w:t>
      </w:r>
      <w:r w:rsidR="007E785A">
        <w:rPr>
          <w:rFonts w:ascii="Times New Roman" w:hAnsi="Times New Roman" w:cs="Times New Roman"/>
          <w:color w:val="000000" w:themeColor="text1"/>
        </w:rPr>
        <w:t>study</w:t>
      </w:r>
      <w:r>
        <w:rPr>
          <w:rFonts w:ascii="Times New Roman" w:hAnsi="Times New Roman" w:cs="Times New Roman"/>
          <w:color w:val="000000" w:themeColor="text1"/>
        </w:rPr>
        <w:t xml:space="preserve"> also has two secondary goals that can inform the methods used in studies of modified risk tobacco products. </w:t>
      </w:r>
      <w:r w:rsidR="003C7A11">
        <w:rPr>
          <w:rFonts w:ascii="Times New Roman" w:hAnsi="Times New Roman" w:cs="Times New Roman"/>
          <w:color w:val="000000" w:themeColor="text1"/>
        </w:rPr>
        <w:t xml:space="preserve">The first secondary goal is </w:t>
      </w:r>
      <w:r w:rsidR="00DF031A">
        <w:rPr>
          <w:rFonts w:ascii="Times New Roman" w:hAnsi="Times New Roman" w:cs="Times New Roman"/>
          <w:color w:val="000000" w:themeColor="text1"/>
        </w:rPr>
        <w:t>to</w:t>
      </w:r>
      <w:r w:rsidR="00DF031A" w:rsidRPr="008E2C75">
        <w:rPr>
          <w:rFonts w:ascii="Times New Roman" w:hAnsi="Times New Roman" w:cs="Times New Roman"/>
          <w:color w:val="000000" w:themeColor="text1"/>
        </w:rPr>
        <w:t xml:space="preserve"> identify populations that may be susceptible to, or disproportionately influenced by, MRTP claims</w:t>
      </w:r>
      <w:r w:rsidR="00DF031A">
        <w:rPr>
          <w:rFonts w:ascii="Times New Roman" w:hAnsi="Times New Roman" w:cs="Times New Roman"/>
          <w:color w:val="000000" w:themeColor="text1"/>
        </w:rPr>
        <w:t xml:space="preserve">. </w:t>
      </w:r>
      <w:r w:rsidR="005D77E4">
        <w:rPr>
          <w:rFonts w:ascii="Times New Roman" w:hAnsi="Times New Roman" w:cs="Times New Roman"/>
          <w:color w:val="000000" w:themeColor="text1"/>
        </w:rPr>
        <w:t xml:space="preserve">We will do this by seeing which of several traits (e.g., uncertainty about the risks of using </w:t>
      </w:r>
      <w:r w:rsidR="00D37532">
        <w:rPr>
          <w:rFonts w:ascii="Times New Roman" w:hAnsi="Times New Roman" w:cs="Times New Roman"/>
          <w:color w:val="000000" w:themeColor="text1"/>
        </w:rPr>
        <w:t>the type of tobacco product</w:t>
      </w:r>
      <w:r w:rsidR="005D77E4">
        <w:rPr>
          <w:rFonts w:ascii="Times New Roman" w:hAnsi="Times New Roman" w:cs="Times New Roman"/>
          <w:color w:val="000000" w:themeColor="text1"/>
        </w:rPr>
        <w:t>) moderate</w:t>
      </w:r>
      <w:r w:rsidR="00EF0261">
        <w:rPr>
          <w:rFonts w:ascii="Times New Roman" w:hAnsi="Times New Roman" w:cs="Times New Roman"/>
          <w:color w:val="000000" w:themeColor="text1"/>
        </w:rPr>
        <w:t>s</w:t>
      </w:r>
      <w:r w:rsidR="005D77E4">
        <w:rPr>
          <w:rFonts w:ascii="Times New Roman" w:hAnsi="Times New Roman" w:cs="Times New Roman"/>
          <w:color w:val="000000" w:themeColor="text1"/>
        </w:rPr>
        <w:t xml:space="preserve"> the effect of the modified risk claim on outcomes.</w:t>
      </w:r>
      <w:r w:rsidR="00D37532">
        <w:rPr>
          <w:rFonts w:ascii="Times New Roman" w:hAnsi="Times New Roman" w:cs="Times New Roman"/>
          <w:color w:val="000000" w:themeColor="text1"/>
        </w:rPr>
        <w:t xml:space="preserve"> </w:t>
      </w:r>
      <w:r w:rsidR="00D91CD8">
        <w:rPr>
          <w:rFonts w:ascii="Times New Roman" w:hAnsi="Times New Roman" w:cs="Times New Roman"/>
          <w:color w:val="000000" w:themeColor="text1"/>
        </w:rPr>
        <w:t xml:space="preserve">This can help industry understand what populations they can consider oversampling in studies conducted to support </w:t>
      </w:r>
      <w:r w:rsidR="00D91CD8" w:rsidRPr="003D6E66">
        <w:rPr>
          <w:rFonts w:ascii="Times New Roman" w:hAnsi="Times New Roman" w:cs="Times New Roman"/>
          <w:color w:val="000000" w:themeColor="text1"/>
        </w:rPr>
        <w:t>applications to market tobacco products with modified risk claims, in-line with FDA draft guidance recommending “</w:t>
      </w:r>
      <w:r w:rsidR="00D91CD8" w:rsidRPr="003D6E66">
        <w:rPr>
          <w:rFonts w:ascii="Times New Roman" w:hAnsi="Times New Roman" w:cs="Times New Roman"/>
        </w:rPr>
        <w:t>Oversampling of populations that are particularly likely to be affected, positively or negatively, by the marketing of the product</w:t>
      </w:r>
      <w:r w:rsidR="00D91CD8" w:rsidRPr="0011540E">
        <w:rPr>
          <w:rFonts w:ascii="Times New Roman" w:hAnsi="Times New Roman" w:cs="Times New Roman"/>
        </w:rPr>
        <w:t>” (p.</w:t>
      </w:r>
      <w:r w:rsidR="00563E81" w:rsidRPr="0011540E">
        <w:rPr>
          <w:rFonts w:ascii="Times New Roman" w:hAnsi="Times New Roman" w:cs="Times New Roman"/>
        </w:rPr>
        <w:t xml:space="preserve"> </w:t>
      </w:r>
      <w:r w:rsidR="00D91CD8" w:rsidRPr="0011540E">
        <w:rPr>
          <w:rFonts w:ascii="Times New Roman" w:hAnsi="Times New Roman" w:cs="Times New Roman"/>
        </w:rPr>
        <w:t xml:space="preserve">28 line 1105, </w:t>
      </w:r>
      <w:hyperlink r:id="rId13" w:history="1">
        <w:r w:rsidR="00E60932" w:rsidRPr="0011540E">
          <w:rPr>
            <w:rStyle w:val="HTMLCite"/>
            <w:rFonts w:ascii="Times New Roman" w:hAnsi="Times New Roman" w:cs="Times New Roman"/>
            <w:i w:val="0"/>
            <w:color w:val="0000FF"/>
            <w:u w:val="single"/>
          </w:rPr>
          <w:t>https://www.fda.gov/media/122008/download</w:t>
        </w:r>
      </w:hyperlink>
      <w:r w:rsidR="00D91CD8" w:rsidRPr="003D6E66">
        <w:rPr>
          <w:rFonts w:ascii="Times New Roman" w:hAnsi="Times New Roman" w:cs="Times New Roman"/>
        </w:rPr>
        <w:t>).</w:t>
      </w:r>
      <w:r w:rsidR="00D91CD8" w:rsidRPr="0011540E">
        <w:rPr>
          <w:rFonts w:ascii="Times New Roman" w:hAnsi="Times New Roman" w:cs="Times New Roman"/>
        </w:rPr>
        <w:t xml:space="preserve"> </w:t>
      </w:r>
    </w:p>
    <w:p w14:paraId="6A62350D" w14:textId="5F1F541C" w:rsidR="002E7A5D" w:rsidRDefault="00DF031A" w:rsidP="008B4D78">
      <w:pPr>
        <w:pStyle w:val="ListParagraph"/>
        <w:spacing w:before="100" w:beforeAutospacing="1" w:after="100" w:afterAutospacing="1"/>
        <w:ind w:left="0"/>
        <w:rPr>
          <w:rFonts w:ascii="Times New Roman" w:hAnsi="Times New Roman" w:cs="Times New Roman"/>
          <w:color w:val="000000" w:themeColor="text1"/>
        </w:rPr>
      </w:pPr>
      <w:r>
        <w:rPr>
          <w:rFonts w:ascii="Times New Roman" w:hAnsi="Times New Roman" w:cs="Times New Roman"/>
          <w:color w:val="000000" w:themeColor="text1"/>
        </w:rPr>
        <w:t xml:space="preserve">The second secondary goal is to </w:t>
      </w:r>
      <w:r w:rsidR="00EF0261">
        <w:rPr>
          <w:rFonts w:ascii="Times New Roman" w:hAnsi="Times New Roman" w:cs="Times New Roman"/>
          <w:color w:val="000000" w:themeColor="text1"/>
        </w:rPr>
        <w:t xml:space="preserve">assess the performance of </w:t>
      </w:r>
      <w:r w:rsidR="00E60932">
        <w:rPr>
          <w:rFonts w:ascii="Times New Roman" w:hAnsi="Times New Roman" w:cs="Times New Roman"/>
          <w:color w:val="000000" w:themeColor="text1"/>
        </w:rPr>
        <w:t>two</w:t>
      </w:r>
      <w:r w:rsidRPr="008E2C75">
        <w:rPr>
          <w:rFonts w:ascii="Times New Roman" w:hAnsi="Times New Roman" w:cs="Times New Roman"/>
          <w:color w:val="000000" w:themeColor="text1"/>
        </w:rPr>
        <w:t xml:space="preserve"> approaches for debriefing participants to </w:t>
      </w:r>
      <w:r>
        <w:rPr>
          <w:rFonts w:ascii="Times New Roman" w:hAnsi="Times New Roman" w:cs="Times New Roman"/>
          <w:color w:val="000000" w:themeColor="text1"/>
        </w:rPr>
        <w:t>increase</w:t>
      </w:r>
      <w:r w:rsidRPr="008E2C75">
        <w:rPr>
          <w:rFonts w:ascii="Times New Roman" w:hAnsi="Times New Roman" w:cs="Times New Roman"/>
          <w:color w:val="000000" w:themeColor="text1"/>
        </w:rPr>
        <w:t xml:space="preserve"> the likelihood that they will be </w:t>
      </w:r>
      <w:r>
        <w:rPr>
          <w:rFonts w:ascii="Times New Roman" w:hAnsi="Times New Roman" w:cs="Times New Roman"/>
          <w:color w:val="000000" w:themeColor="text1"/>
        </w:rPr>
        <w:t>fully informed about key aspects of</w:t>
      </w:r>
      <w:r w:rsidRPr="008E2C75">
        <w:rPr>
          <w:rFonts w:ascii="Times New Roman" w:hAnsi="Times New Roman" w:cs="Times New Roman"/>
          <w:color w:val="000000" w:themeColor="text1"/>
        </w:rPr>
        <w:t xml:space="preserve"> study participation. </w:t>
      </w:r>
      <w:r w:rsidR="002E7A5D">
        <w:rPr>
          <w:rFonts w:ascii="Times New Roman" w:hAnsi="Times New Roman" w:cs="Times New Roman"/>
          <w:color w:val="000000" w:themeColor="text1"/>
        </w:rPr>
        <w:t xml:space="preserve">Because this study will involve exposing participants </w:t>
      </w:r>
      <w:r w:rsidR="000A21C5">
        <w:rPr>
          <w:rFonts w:ascii="Times New Roman" w:hAnsi="Times New Roman" w:cs="Times New Roman"/>
          <w:color w:val="000000" w:themeColor="text1"/>
        </w:rPr>
        <w:t>to</w:t>
      </w:r>
      <w:r w:rsidR="002E7A5D">
        <w:rPr>
          <w:rFonts w:ascii="Times New Roman" w:hAnsi="Times New Roman" w:cs="Times New Roman"/>
          <w:color w:val="000000" w:themeColor="text1"/>
        </w:rPr>
        <w:t xml:space="preserve"> </w:t>
      </w:r>
      <w:r w:rsidR="000A21C5">
        <w:rPr>
          <w:rFonts w:ascii="Times New Roman" w:hAnsi="Times New Roman" w:cs="Times New Roman"/>
          <w:color w:val="000000" w:themeColor="text1"/>
        </w:rPr>
        <w:t>tobacco product</w:t>
      </w:r>
      <w:r w:rsidR="002E7A5D">
        <w:rPr>
          <w:rFonts w:ascii="Times New Roman" w:hAnsi="Times New Roman" w:cs="Times New Roman"/>
          <w:color w:val="000000" w:themeColor="text1"/>
        </w:rPr>
        <w:t xml:space="preserve"> ads or packages</w:t>
      </w:r>
      <w:r w:rsidR="000A21C5">
        <w:rPr>
          <w:rFonts w:ascii="Times New Roman" w:hAnsi="Times New Roman" w:cs="Times New Roman"/>
          <w:color w:val="000000" w:themeColor="text1"/>
        </w:rPr>
        <w:t>,</w:t>
      </w:r>
      <w:r w:rsidR="002E7A5D">
        <w:rPr>
          <w:rFonts w:ascii="Times New Roman" w:hAnsi="Times New Roman" w:cs="Times New Roman"/>
          <w:color w:val="000000" w:themeColor="text1"/>
        </w:rPr>
        <w:t xml:space="preserve"> some </w:t>
      </w:r>
      <w:r w:rsidR="000A21C5">
        <w:rPr>
          <w:rFonts w:ascii="Times New Roman" w:hAnsi="Times New Roman" w:cs="Times New Roman"/>
          <w:color w:val="000000" w:themeColor="text1"/>
        </w:rPr>
        <w:t xml:space="preserve">of which </w:t>
      </w:r>
      <w:r w:rsidR="002E7A5D">
        <w:rPr>
          <w:rFonts w:ascii="Times New Roman" w:hAnsi="Times New Roman" w:cs="Times New Roman"/>
          <w:color w:val="000000" w:themeColor="text1"/>
        </w:rPr>
        <w:t xml:space="preserve">will </w:t>
      </w:r>
      <w:r w:rsidR="00BD5CE7">
        <w:rPr>
          <w:rFonts w:ascii="Times New Roman" w:hAnsi="Times New Roman" w:cs="Times New Roman"/>
          <w:color w:val="000000" w:themeColor="text1"/>
        </w:rPr>
        <w:t>contain</w:t>
      </w:r>
      <w:r w:rsidR="002E7A5D">
        <w:rPr>
          <w:rFonts w:ascii="Times New Roman" w:hAnsi="Times New Roman" w:cs="Times New Roman"/>
          <w:color w:val="000000" w:themeColor="text1"/>
        </w:rPr>
        <w:t xml:space="preserve"> modified risk claims </w:t>
      </w:r>
      <w:r w:rsidR="00E059BD">
        <w:rPr>
          <w:rFonts w:ascii="Times New Roman" w:hAnsi="Times New Roman" w:cs="Times New Roman"/>
          <w:color w:val="000000" w:themeColor="text1"/>
        </w:rPr>
        <w:t xml:space="preserve">that have not been authorized by FDA (note that no such claims have been </w:t>
      </w:r>
      <w:r w:rsidR="000A21C5">
        <w:rPr>
          <w:rFonts w:ascii="Times New Roman" w:hAnsi="Times New Roman" w:cs="Times New Roman"/>
          <w:color w:val="000000" w:themeColor="text1"/>
        </w:rPr>
        <w:t xml:space="preserve">authorized </w:t>
      </w:r>
      <w:r w:rsidR="00E059BD">
        <w:rPr>
          <w:rFonts w:ascii="Times New Roman" w:hAnsi="Times New Roman" w:cs="Times New Roman"/>
          <w:color w:val="000000" w:themeColor="text1"/>
        </w:rPr>
        <w:t>at this time),</w:t>
      </w:r>
      <w:r w:rsidR="002E7A5D">
        <w:rPr>
          <w:rFonts w:ascii="Times New Roman" w:hAnsi="Times New Roman" w:cs="Times New Roman"/>
          <w:color w:val="000000" w:themeColor="text1"/>
        </w:rPr>
        <w:t xml:space="preserve"> we w</w:t>
      </w:r>
      <w:r w:rsidR="007E785A">
        <w:rPr>
          <w:rFonts w:ascii="Times New Roman" w:hAnsi="Times New Roman" w:cs="Times New Roman"/>
          <w:color w:val="000000" w:themeColor="text1"/>
        </w:rPr>
        <w:t>ill</w:t>
      </w:r>
      <w:r w:rsidR="002E7A5D">
        <w:rPr>
          <w:rFonts w:ascii="Times New Roman" w:hAnsi="Times New Roman" w:cs="Times New Roman"/>
          <w:color w:val="000000" w:themeColor="text1"/>
        </w:rPr>
        <w:t xml:space="preserve"> test two approaches</w:t>
      </w:r>
      <w:r w:rsidR="00EF0261">
        <w:rPr>
          <w:rFonts w:ascii="Times New Roman" w:hAnsi="Times New Roman" w:cs="Times New Roman"/>
          <w:color w:val="000000" w:themeColor="text1"/>
        </w:rPr>
        <w:t xml:space="preserve"> </w:t>
      </w:r>
      <w:r w:rsidR="000A21C5">
        <w:rPr>
          <w:rFonts w:ascii="Times New Roman" w:hAnsi="Times New Roman" w:cs="Times New Roman"/>
          <w:color w:val="000000" w:themeColor="text1"/>
        </w:rPr>
        <w:t>(</w:t>
      </w:r>
      <w:r w:rsidR="00EF0261">
        <w:rPr>
          <w:rFonts w:ascii="Times New Roman" w:hAnsi="Times New Roman" w:cs="Times New Roman"/>
          <w:color w:val="000000" w:themeColor="text1"/>
        </w:rPr>
        <w:t>and a combination thereof</w:t>
      </w:r>
      <w:r w:rsidR="000A21C5">
        <w:rPr>
          <w:rFonts w:ascii="Times New Roman" w:hAnsi="Times New Roman" w:cs="Times New Roman"/>
          <w:color w:val="000000" w:themeColor="text1"/>
        </w:rPr>
        <w:t>)</w:t>
      </w:r>
      <w:r w:rsidR="002E7A5D">
        <w:rPr>
          <w:rFonts w:ascii="Times New Roman" w:hAnsi="Times New Roman" w:cs="Times New Roman"/>
          <w:color w:val="000000" w:themeColor="text1"/>
        </w:rPr>
        <w:t xml:space="preserve"> </w:t>
      </w:r>
      <w:r w:rsidR="00EF0261">
        <w:rPr>
          <w:rFonts w:ascii="Times New Roman" w:hAnsi="Times New Roman" w:cs="Times New Roman"/>
          <w:color w:val="000000" w:themeColor="text1"/>
        </w:rPr>
        <w:t xml:space="preserve">of </w:t>
      </w:r>
      <w:r w:rsidR="000A21C5">
        <w:rPr>
          <w:rFonts w:ascii="Times New Roman" w:hAnsi="Times New Roman" w:cs="Times New Roman"/>
          <w:color w:val="000000" w:themeColor="text1"/>
        </w:rPr>
        <w:t>providing</w:t>
      </w:r>
      <w:r w:rsidR="002E7A5D">
        <w:rPr>
          <w:rFonts w:ascii="Times New Roman" w:hAnsi="Times New Roman" w:cs="Times New Roman"/>
          <w:color w:val="000000" w:themeColor="text1"/>
        </w:rPr>
        <w:t xml:space="preserve"> debriefing information</w:t>
      </w:r>
      <w:r w:rsidR="00B86DA5">
        <w:rPr>
          <w:rFonts w:ascii="Times New Roman" w:hAnsi="Times New Roman" w:cs="Times New Roman"/>
          <w:color w:val="000000" w:themeColor="text1"/>
        </w:rPr>
        <w:t xml:space="preserve"> </w:t>
      </w:r>
      <w:r w:rsidR="000A21C5">
        <w:rPr>
          <w:rFonts w:ascii="Times New Roman" w:hAnsi="Times New Roman" w:cs="Times New Roman"/>
          <w:color w:val="000000" w:themeColor="text1"/>
        </w:rPr>
        <w:t>(</w:t>
      </w:r>
      <w:r w:rsidR="00BD5CE7">
        <w:rPr>
          <w:rFonts w:ascii="Times New Roman" w:hAnsi="Times New Roman" w:cs="Times New Roman"/>
          <w:color w:val="000000" w:themeColor="text1"/>
        </w:rPr>
        <w:t xml:space="preserve">i.e., </w:t>
      </w:r>
      <w:r w:rsidR="007E785A">
        <w:rPr>
          <w:rFonts w:ascii="Times New Roman" w:hAnsi="Times New Roman" w:cs="Times New Roman"/>
          <w:color w:val="000000" w:themeColor="text1"/>
        </w:rPr>
        <w:t xml:space="preserve">information </w:t>
      </w:r>
      <w:r w:rsidR="00B86DA5">
        <w:rPr>
          <w:rFonts w:ascii="Times New Roman" w:hAnsi="Times New Roman" w:cs="Times New Roman"/>
          <w:color w:val="000000" w:themeColor="text1"/>
        </w:rPr>
        <w:t xml:space="preserve">about the study and </w:t>
      </w:r>
      <w:r w:rsidR="00BD5CE7">
        <w:rPr>
          <w:rFonts w:ascii="Times New Roman" w:hAnsi="Times New Roman" w:cs="Times New Roman"/>
          <w:color w:val="000000" w:themeColor="text1"/>
        </w:rPr>
        <w:t xml:space="preserve">the </w:t>
      </w:r>
      <w:r w:rsidR="00B86DA5">
        <w:rPr>
          <w:rFonts w:ascii="Times New Roman" w:hAnsi="Times New Roman" w:cs="Times New Roman"/>
          <w:color w:val="000000" w:themeColor="text1"/>
        </w:rPr>
        <w:t>risks of using tobacco products</w:t>
      </w:r>
      <w:r w:rsidR="00BD5CE7">
        <w:rPr>
          <w:rFonts w:ascii="Times New Roman" w:hAnsi="Times New Roman" w:cs="Times New Roman"/>
          <w:color w:val="000000" w:themeColor="text1"/>
        </w:rPr>
        <w:t>) in a way that participants will read and understand the information</w:t>
      </w:r>
      <w:r w:rsidR="002E7A5D">
        <w:rPr>
          <w:rFonts w:ascii="Times New Roman" w:hAnsi="Times New Roman" w:cs="Times New Roman"/>
          <w:color w:val="000000" w:themeColor="text1"/>
        </w:rPr>
        <w:t xml:space="preserve">. The first </w:t>
      </w:r>
      <w:r w:rsidR="007E785A">
        <w:rPr>
          <w:rFonts w:ascii="Times New Roman" w:hAnsi="Times New Roman" w:cs="Times New Roman"/>
          <w:color w:val="000000" w:themeColor="text1"/>
        </w:rPr>
        <w:t>approach</w:t>
      </w:r>
      <w:r w:rsidR="002E7A5D">
        <w:rPr>
          <w:rFonts w:ascii="Times New Roman" w:hAnsi="Times New Roman" w:cs="Times New Roman"/>
          <w:color w:val="000000" w:themeColor="text1"/>
        </w:rPr>
        <w:t xml:space="preserve"> is to simplify the debriefing from the standard </w:t>
      </w:r>
      <w:r w:rsidR="006F2B61">
        <w:rPr>
          <w:rFonts w:ascii="Times New Roman" w:hAnsi="Times New Roman" w:cs="Times New Roman"/>
          <w:color w:val="000000" w:themeColor="text1"/>
        </w:rPr>
        <w:t xml:space="preserve">debriefing </w:t>
      </w:r>
      <w:r w:rsidR="002E7A5D">
        <w:rPr>
          <w:rFonts w:ascii="Times New Roman" w:hAnsi="Times New Roman" w:cs="Times New Roman"/>
          <w:color w:val="000000" w:themeColor="text1"/>
        </w:rPr>
        <w:t xml:space="preserve">text </w:t>
      </w:r>
      <w:r w:rsidR="006F2B61">
        <w:rPr>
          <w:rFonts w:ascii="Times New Roman" w:hAnsi="Times New Roman" w:cs="Times New Roman"/>
          <w:color w:val="000000" w:themeColor="text1"/>
        </w:rPr>
        <w:t>to make it</w:t>
      </w:r>
      <w:r w:rsidR="00934365">
        <w:rPr>
          <w:rFonts w:ascii="Times New Roman" w:hAnsi="Times New Roman" w:cs="Times New Roman"/>
          <w:color w:val="000000" w:themeColor="text1"/>
        </w:rPr>
        <w:t xml:space="preserve"> </w:t>
      </w:r>
      <w:r w:rsidR="002E7A5D">
        <w:rPr>
          <w:rFonts w:ascii="Times New Roman" w:hAnsi="Times New Roman" w:cs="Times New Roman"/>
          <w:color w:val="000000" w:themeColor="text1"/>
        </w:rPr>
        <w:t>a</w:t>
      </w:r>
      <w:r w:rsidR="00361D54">
        <w:rPr>
          <w:rFonts w:ascii="Times New Roman" w:hAnsi="Times New Roman" w:cs="Times New Roman"/>
          <w:color w:val="000000" w:themeColor="text1"/>
        </w:rPr>
        <w:t xml:space="preserve"> lower reading level</w:t>
      </w:r>
      <w:r w:rsidR="006F2B61">
        <w:rPr>
          <w:rFonts w:ascii="Times New Roman" w:hAnsi="Times New Roman" w:cs="Times New Roman"/>
          <w:color w:val="000000" w:themeColor="text1"/>
        </w:rPr>
        <w:t>, potentially making</w:t>
      </w:r>
      <w:r w:rsidR="005D77E4">
        <w:rPr>
          <w:rFonts w:ascii="Times New Roman" w:hAnsi="Times New Roman" w:cs="Times New Roman"/>
          <w:color w:val="000000" w:themeColor="text1"/>
        </w:rPr>
        <w:t xml:space="preserve"> it easier to understand</w:t>
      </w:r>
      <w:r w:rsidR="00361D54">
        <w:rPr>
          <w:rFonts w:ascii="Times New Roman" w:hAnsi="Times New Roman" w:cs="Times New Roman"/>
          <w:color w:val="000000" w:themeColor="text1"/>
        </w:rPr>
        <w:t xml:space="preserve">. The second </w:t>
      </w:r>
      <w:r w:rsidR="007E785A">
        <w:rPr>
          <w:rFonts w:ascii="Times New Roman" w:hAnsi="Times New Roman" w:cs="Times New Roman"/>
          <w:color w:val="000000" w:themeColor="text1"/>
        </w:rPr>
        <w:t>approach</w:t>
      </w:r>
      <w:r w:rsidR="00361D54">
        <w:rPr>
          <w:rFonts w:ascii="Times New Roman" w:hAnsi="Times New Roman" w:cs="Times New Roman"/>
          <w:color w:val="000000" w:themeColor="text1"/>
        </w:rPr>
        <w:t xml:space="preserve"> is to </w:t>
      </w:r>
      <w:r w:rsidR="005D77E4">
        <w:rPr>
          <w:rFonts w:ascii="Times New Roman" w:hAnsi="Times New Roman" w:cs="Times New Roman"/>
          <w:color w:val="000000" w:themeColor="text1"/>
        </w:rPr>
        <w:t xml:space="preserve">group relevant pieces of </w:t>
      </w:r>
      <w:r w:rsidR="00586CF3">
        <w:rPr>
          <w:rFonts w:ascii="Times New Roman" w:hAnsi="Times New Roman" w:cs="Times New Roman"/>
          <w:color w:val="000000" w:themeColor="text1"/>
        </w:rPr>
        <w:t xml:space="preserve">debriefing </w:t>
      </w:r>
      <w:r w:rsidR="005D77E4">
        <w:rPr>
          <w:rFonts w:ascii="Times New Roman" w:hAnsi="Times New Roman" w:cs="Times New Roman"/>
          <w:color w:val="000000" w:themeColor="text1"/>
        </w:rPr>
        <w:t xml:space="preserve">information together in </w:t>
      </w:r>
      <w:r w:rsidR="00586CF3">
        <w:rPr>
          <w:rFonts w:ascii="Times New Roman" w:hAnsi="Times New Roman" w:cs="Times New Roman"/>
          <w:color w:val="000000" w:themeColor="text1"/>
        </w:rPr>
        <w:t>boxes</w:t>
      </w:r>
      <w:r w:rsidR="005D77E4">
        <w:rPr>
          <w:rFonts w:ascii="Times New Roman" w:hAnsi="Times New Roman" w:cs="Times New Roman"/>
          <w:color w:val="000000" w:themeColor="text1"/>
        </w:rPr>
        <w:t xml:space="preserve"> to make it easier for participants to process (vs. reading a block of text). </w:t>
      </w:r>
      <w:r w:rsidR="0021629D">
        <w:rPr>
          <w:rFonts w:ascii="Times New Roman" w:hAnsi="Times New Roman" w:cs="Times New Roman"/>
          <w:color w:val="000000" w:themeColor="text1"/>
        </w:rPr>
        <w:t xml:space="preserve">We will also test the combination of these </w:t>
      </w:r>
      <w:r w:rsidR="007E785A">
        <w:rPr>
          <w:rFonts w:ascii="Times New Roman" w:hAnsi="Times New Roman" w:cs="Times New Roman"/>
          <w:color w:val="000000" w:themeColor="text1"/>
        </w:rPr>
        <w:t>approaches</w:t>
      </w:r>
      <w:r w:rsidR="0021629D">
        <w:rPr>
          <w:rFonts w:ascii="Times New Roman" w:hAnsi="Times New Roman" w:cs="Times New Roman"/>
          <w:color w:val="000000" w:themeColor="text1"/>
        </w:rPr>
        <w:t xml:space="preserve">. </w:t>
      </w:r>
      <w:r w:rsidR="005D77E4">
        <w:rPr>
          <w:rFonts w:ascii="Times New Roman" w:hAnsi="Times New Roman" w:cs="Times New Roman"/>
          <w:color w:val="000000" w:themeColor="text1"/>
        </w:rPr>
        <w:t>The method that leads to the best knowledge scores</w:t>
      </w:r>
      <w:r w:rsidR="00586CF3">
        <w:rPr>
          <w:rFonts w:ascii="Times New Roman" w:hAnsi="Times New Roman" w:cs="Times New Roman"/>
          <w:color w:val="000000" w:themeColor="text1"/>
        </w:rPr>
        <w:t xml:space="preserve"> (number of correctly answered items about the debriefing)</w:t>
      </w:r>
      <w:r w:rsidR="005D77E4">
        <w:rPr>
          <w:rFonts w:ascii="Times New Roman" w:hAnsi="Times New Roman" w:cs="Times New Roman"/>
          <w:color w:val="000000" w:themeColor="text1"/>
        </w:rPr>
        <w:t xml:space="preserve"> can be recommended as an option for the tobacco industry and public health community to consider using in their own studies that involve presenting modified risk claims</w:t>
      </w:r>
      <w:r w:rsidR="0021629D">
        <w:rPr>
          <w:rFonts w:ascii="Times New Roman" w:hAnsi="Times New Roman" w:cs="Times New Roman"/>
          <w:color w:val="000000" w:themeColor="text1"/>
        </w:rPr>
        <w:t xml:space="preserve"> that have not yet been authorized by FDA</w:t>
      </w:r>
      <w:r w:rsidR="005D77E4">
        <w:rPr>
          <w:rFonts w:ascii="Times New Roman" w:hAnsi="Times New Roman" w:cs="Times New Roman"/>
          <w:color w:val="000000" w:themeColor="text1"/>
        </w:rPr>
        <w:t xml:space="preserve">. </w:t>
      </w:r>
    </w:p>
    <w:bookmarkEnd w:id="1"/>
    <w:p w14:paraId="53895A93" w14:textId="16AC9044" w:rsidR="00B1766D" w:rsidRDefault="00B1766D" w:rsidP="008F1161">
      <w:pPr>
        <w:pStyle w:val="ListParagraph"/>
        <w:spacing w:before="100" w:beforeAutospacing="1" w:after="100" w:afterAutospacing="1"/>
        <w:ind w:left="1080"/>
        <w:rPr>
          <w:rFonts w:ascii="Times New Roman" w:hAnsi="Times New Roman" w:cs="Times New Roman"/>
          <w:color w:val="000000" w:themeColor="text1"/>
        </w:rPr>
      </w:pPr>
    </w:p>
    <w:p w14:paraId="137ECB08" w14:textId="77777777" w:rsidR="008F1161" w:rsidRPr="00007EFD" w:rsidRDefault="008F1161" w:rsidP="00007EFD">
      <w:pPr>
        <w:pStyle w:val="ListParagraph"/>
        <w:spacing w:before="100" w:beforeAutospacing="1" w:after="100" w:afterAutospacing="1"/>
        <w:ind w:left="1080"/>
        <w:rPr>
          <w:rFonts w:ascii="Times New Roman" w:hAnsi="Times New Roman" w:cs="Times New Roman"/>
          <w:color w:val="000000" w:themeColor="text1"/>
        </w:rPr>
      </w:pPr>
    </w:p>
    <w:p w14:paraId="49BE24AD" w14:textId="1CD0E5DB" w:rsidR="004D0A24" w:rsidRPr="00BF6EAE" w:rsidRDefault="004D0A24" w:rsidP="000058E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Purpose and Use of the Information Collection</w:t>
      </w:r>
    </w:p>
    <w:p w14:paraId="5D832D8B" w14:textId="77777777" w:rsidR="00E63AAC" w:rsidRDefault="00E63AAC" w:rsidP="00203918">
      <w:pPr>
        <w:pStyle w:val="ListParagraph"/>
        <w:spacing w:before="100" w:beforeAutospacing="1" w:after="100" w:afterAutospacing="1"/>
        <w:ind w:left="0"/>
        <w:rPr>
          <w:rFonts w:ascii="Times New Roman" w:hAnsi="Times New Roman" w:cs="Times New Roman"/>
          <w:color w:val="000000" w:themeColor="text1"/>
        </w:rPr>
      </w:pPr>
    </w:p>
    <w:p w14:paraId="62BBE399" w14:textId="58934791" w:rsidR="00552193" w:rsidRDefault="00007EFD" w:rsidP="00203918">
      <w:pPr>
        <w:pStyle w:val="ListParagraph"/>
        <w:spacing w:before="100" w:beforeAutospacing="1" w:after="100" w:afterAutospacing="1"/>
        <w:ind w:left="0"/>
        <w:rPr>
          <w:rFonts w:ascii="Times New Roman" w:hAnsi="Times New Roman" w:cs="Times New Roman"/>
          <w:color w:val="000000" w:themeColor="text1"/>
        </w:rPr>
      </w:pPr>
      <w:r>
        <w:rPr>
          <w:rFonts w:ascii="Times New Roman" w:hAnsi="Times New Roman" w:cs="Times New Roman"/>
          <w:color w:val="000000" w:themeColor="text1"/>
        </w:rPr>
        <w:t>The primary goal of this</w:t>
      </w:r>
      <w:r w:rsidRPr="008E2C75">
        <w:rPr>
          <w:rFonts w:ascii="Times New Roman" w:hAnsi="Times New Roman" w:cs="Times New Roman"/>
          <w:color w:val="000000" w:themeColor="text1"/>
        </w:rPr>
        <w:t xml:space="preserve"> study </w:t>
      </w:r>
      <w:r>
        <w:rPr>
          <w:rFonts w:ascii="Times New Roman" w:hAnsi="Times New Roman" w:cs="Times New Roman"/>
          <w:color w:val="000000" w:themeColor="text1"/>
        </w:rPr>
        <w:t>is</w:t>
      </w:r>
      <w:r w:rsidRPr="008E2C75">
        <w:rPr>
          <w:rFonts w:ascii="Times New Roman" w:hAnsi="Times New Roman" w:cs="Times New Roman"/>
          <w:color w:val="000000" w:themeColor="text1"/>
        </w:rPr>
        <w:t xml:space="preserve"> to </w:t>
      </w:r>
      <w:r w:rsidR="009C653A">
        <w:rPr>
          <w:rFonts w:ascii="Times New Roman" w:hAnsi="Times New Roman" w:cs="Times New Roman"/>
          <w:color w:val="000000" w:themeColor="text1"/>
        </w:rPr>
        <w:t xml:space="preserve">develop and </w:t>
      </w:r>
      <w:r w:rsidRPr="008E2C75">
        <w:rPr>
          <w:rFonts w:ascii="Times New Roman" w:hAnsi="Times New Roman" w:cs="Times New Roman"/>
          <w:color w:val="000000" w:themeColor="text1"/>
        </w:rPr>
        <w:t xml:space="preserve">validate measures </w:t>
      </w:r>
      <w:r w:rsidR="009C653A">
        <w:rPr>
          <w:rFonts w:ascii="Times New Roman" w:hAnsi="Times New Roman" w:cs="Times New Roman"/>
          <w:color w:val="000000" w:themeColor="text1"/>
        </w:rPr>
        <w:t>of s</w:t>
      </w:r>
      <w:r w:rsidR="00012AC0">
        <w:rPr>
          <w:rFonts w:ascii="Times New Roman" w:hAnsi="Times New Roman" w:cs="Times New Roman"/>
          <w:color w:val="000000" w:themeColor="text1"/>
        </w:rPr>
        <w:t>everal specific types of risk perceptions</w:t>
      </w:r>
      <w:r w:rsidR="00203918">
        <w:rPr>
          <w:rFonts w:ascii="Times New Roman" w:hAnsi="Times New Roman" w:cs="Times New Roman"/>
          <w:color w:val="000000" w:themeColor="text1"/>
        </w:rPr>
        <w:t xml:space="preserve"> that can be used in future studies of modified risk claims on tobacco product labeling and advertising</w:t>
      </w:r>
      <w:r w:rsidR="00552193">
        <w:rPr>
          <w:rFonts w:ascii="Times New Roman" w:hAnsi="Times New Roman" w:cs="Times New Roman"/>
          <w:color w:val="000000" w:themeColor="text1"/>
        </w:rPr>
        <w:t xml:space="preserve">. These specific risk perceptions and the items used to measure them are listed </w:t>
      </w:r>
      <w:r w:rsidR="00012AC0">
        <w:rPr>
          <w:rFonts w:ascii="Times New Roman" w:hAnsi="Times New Roman" w:cs="Times New Roman"/>
          <w:color w:val="000000" w:themeColor="text1"/>
        </w:rPr>
        <w:t xml:space="preserve">below. </w:t>
      </w:r>
    </w:p>
    <w:p w14:paraId="60BF7B86" w14:textId="77777777" w:rsidR="00552193" w:rsidRDefault="00552193" w:rsidP="00203918">
      <w:pPr>
        <w:pStyle w:val="ListParagraph"/>
        <w:spacing w:before="100" w:beforeAutospacing="1" w:after="100" w:afterAutospacing="1"/>
        <w:ind w:left="0"/>
        <w:rPr>
          <w:rFonts w:ascii="Times New Roman" w:hAnsi="Times New Roman" w:cs="Times New Roman"/>
          <w:color w:val="000000" w:themeColor="text1"/>
        </w:rPr>
      </w:pPr>
    </w:p>
    <w:p w14:paraId="4D83674F" w14:textId="074C9668" w:rsidR="000C0973" w:rsidRDefault="000C0973" w:rsidP="00203918">
      <w:pPr>
        <w:pStyle w:val="ListParagraph"/>
        <w:spacing w:before="100" w:beforeAutospacing="1" w:after="100" w:afterAutospacing="1"/>
        <w:ind w:left="0"/>
        <w:rPr>
          <w:rFonts w:ascii="Times New Roman" w:hAnsi="Times New Roman" w:cs="Times New Roman"/>
          <w:color w:val="000000" w:themeColor="text1"/>
        </w:rPr>
      </w:pPr>
    </w:p>
    <w:tbl>
      <w:tblPr>
        <w:tblStyle w:val="TableGrid"/>
        <w:tblW w:w="9810" w:type="dxa"/>
        <w:tblInd w:w="-95" w:type="dxa"/>
        <w:tblLook w:val="04A0" w:firstRow="1" w:lastRow="0" w:firstColumn="1" w:lastColumn="0" w:noHBand="0" w:noVBand="1"/>
      </w:tblPr>
      <w:tblGrid>
        <w:gridCol w:w="5288"/>
        <w:gridCol w:w="22"/>
        <w:gridCol w:w="4500"/>
      </w:tblGrid>
      <w:tr w:rsidR="00905ACA" w:rsidRPr="006E0845" w14:paraId="6B237098" w14:textId="77777777" w:rsidTr="008A285D">
        <w:tc>
          <w:tcPr>
            <w:tcW w:w="9810" w:type="dxa"/>
            <w:gridSpan w:val="3"/>
            <w:tcBorders>
              <w:bottom w:val="single" w:sz="4" w:space="0" w:color="auto"/>
            </w:tcBorders>
            <w:shd w:val="clear" w:color="auto" w:fill="D9D9D9" w:themeFill="background1" w:themeFillShade="D9"/>
          </w:tcPr>
          <w:p w14:paraId="0282B341" w14:textId="527C53B6" w:rsidR="00905ACA" w:rsidRPr="00114A5A" w:rsidRDefault="00905ACA" w:rsidP="006E0845">
            <w:pPr>
              <w:pStyle w:val="ListParagraph"/>
              <w:ind w:left="0"/>
              <w:contextualSpacing w:val="0"/>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 xml:space="preserve">(1) </w:t>
            </w:r>
            <w:r w:rsidR="0092492E" w:rsidRPr="00114A5A">
              <w:rPr>
                <w:rFonts w:ascii="Times New Roman" w:hAnsi="Times New Roman" w:cs="Times New Roman"/>
                <w:b/>
                <w:color w:val="000000" w:themeColor="text1"/>
                <w:sz w:val="20"/>
                <w:szCs w:val="20"/>
              </w:rPr>
              <w:t>T</w:t>
            </w:r>
            <w:r w:rsidRPr="00114A5A">
              <w:rPr>
                <w:rFonts w:ascii="Times New Roman" w:hAnsi="Times New Roman" w:cs="Times New Roman"/>
                <w:b/>
                <w:color w:val="000000" w:themeColor="text1"/>
                <w:sz w:val="20"/>
                <w:szCs w:val="20"/>
              </w:rPr>
              <w:t>he risk of developing various diseases or conditions as a result of using certain e-cigarette or snuff products</w:t>
            </w:r>
            <w:r w:rsidR="0092492E" w:rsidRPr="00114A5A">
              <w:rPr>
                <w:rFonts w:ascii="Times New Roman" w:hAnsi="Times New Roman" w:cs="Times New Roman"/>
                <w:b/>
                <w:color w:val="000000" w:themeColor="text1"/>
                <w:sz w:val="20"/>
                <w:szCs w:val="20"/>
              </w:rPr>
              <w:t xml:space="preserve"> (questionnaire p.</w:t>
            </w:r>
            <w:r w:rsidR="00A2228B">
              <w:rPr>
                <w:rFonts w:ascii="Times New Roman" w:hAnsi="Times New Roman" w:cs="Times New Roman"/>
                <w:b/>
                <w:color w:val="000000" w:themeColor="text1"/>
                <w:sz w:val="20"/>
                <w:szCs w:val="20"/>
              </w:rPr>
              <w:t xml:space="preserve"> </w:t>
            </w:r>
            <w:r w:rsidR="0092492E" w:rsidRPr="00114A5A">
              <w:rPr>
                <w:rFonts w:ascii="Times New Roman" w:hAnsi="Times New Roman" w:cs="Times New Roman"/>
                <w:b/>
                <w:color w:val="000000" w:themeColor="text1"/>
                <w:sz w:val="20"/>
                <w:szCs w:val="20"/>
              </w:rPr>
              <w:t>12)</w:t>
            </w:r>
          </w:p>
        </w:tc>
      </w:tr>
      <w:tr w:rsidR="00905ACA" w:rsidRPr="006E0845" w14:paraId="4752057C" w14:textId="77777777" w:rsidTr="008A285D">
        <w:tc>
          <w:tcPr>
            <w:tcW w:w="9810" w:type="dxa"/>
            <w:gridSpan w:val="3"/>
            <w:tcBorders>
              <w:top w:val="single" w:sz="4" w:space="0" w:color="auto"/>
              <w:left w:val="single" w:sz="4" w:space="0" w:color="auto"/>
              <w:bottom w:val="nil"/>
              <w:right w:val="single" w:sz="4" w:space="0" w:color="auto"/>
            </w:tcBorders>
          </w:tcPr>
          <w:p w14:paraId="7A94886D" w14:textId="5070DFCD" w:rsidR="00905ACA" w:rsidRPr="00114A5A" w:rsidRDefault="00905ACA" w:rsidP="006E0845">
            <w:pPr>
              <w:pStyle w:val="aQuestion"/>
              <w:spacing w:before="0" w:after="0"/>
              <w:ind w:left="0" w:firstLine="0"/>
              <w:contextualSpacing w:val="0"/>
              <w:rPr>
                <w:rFonts w:ascii="Times New Roman" w:hAnsi="Times New Roman" w:cs="Times New Roman"/>
                <w:szCs w:val="20"/>
              </w:rPr>
            </w:pPr>
            <w:r w:rsidRPr="00114A5A">
              <w:rPr>
                <w:rFonts w:ascii="Times New Roman" w:hAnsi="Times New Roman" w:cs="Times New Roman"/>
                <w:szCs w:val="20"/>
              </w:rPr>
              <w:lastRenderedPageBreak/>
              <w:t xml:space="preserve">If you were to use [product name] </w:t>
            </w:r>
            <w:r w:rsidRPr="00114A5A">
              <w:rPr>
                <w:rFonts w:ascii="Times New Roman" w:hAnsi="Times New Roman" w:cs="Times New Roman"/>
                <w:b/>
                <w:szCs w:val="20"/>
              </w:rPr>
              <w:t>every day</w:t>
            </w:r>
            <w:r w:rsidRPr="00114A5A">
              <w:rPr>
                <w:rFonts w:ascii="Times New Roman" w:hAnsi="Times New Roman" w:cs="Times New Roman"/>
                <w:szCs w:val="20"/>
              </w:rPr>
              <w:t>, how likely is it that you would…</w:t>
            </w:r>
          </w:p>
          <w:p w14:paraId="6CBA6F70" w14:textId="2BE24E74" w:rsidR="00905ACA" w:rsidRPr="00114A5A" w:rsidRDefault="00905ACA" w:rsidP="006E0845">
            <w:pPr>
              <w:pStyle w:val="ListParagraph"/>
              <w:ind w:left="0"/>
              <w:contextualSpacing w:val="0"/>
              <w:rPr>
                <w:rFonts w:ascii="Times New Roman" w:hAnsi="Times New Roman" w:cs="Times New Roman"/>
                <w:i/>
                <w:sz w:val="20"/>
                <w:szCs w:val="20"/>
              </w:rPr>
            </w:pPr>
            <w:r w:rsidRPr="00114A5A">
              <w:rPr>
                <w:rFonts w:ascii="Times New Roman" w:hAnsi="Times New Roman" w:cs="Times New Roman"/>
                <w:sz w:val="20"/>
                <w:szCs w:val="20"/>
              </w:rPr>
              <w:t xml:space="preserve">                                                                      </w:t>
            </w:r>
            <w:r w:rsidR="00DE1797" w:rsidRPr="00114A5A">
              <w:rPr>
                <w:rFonts w:ascii="Times New Roman" w:hAnsi="Times New Roman" w:cs="Times New Roman"/>
                <w:sz w:val="20"/>
                <w:szCs w:val="20"/>
              </w:rPr>
              <w:t xml:space="preserve"> </w:t>
            </w:r>
            <w:r w:rsidRPr="00114A5A">
              <w:rPr>
                <w:rFonts w:ascii="Times New Roman" w:hAnsi="Times New Roman" w:cs="Times New Roman"/>
                <w:sz w:val="20"/>
                <w:szCs w:val="20"/>
              </w:rPr>
              <w:t xml:space="preserve"> </w:t>
            </w:r>
            <w:r w:rsidR="00114A5A" w:rsidRPr="00114A5A">
              <w:rPr>
                <w:rFonts w:ascii="Times New Roman" w:hAnsi="Times New Roman" w:cs="Times New Roman"/>
                <w:sz w:val="20"/>
                <w:szCs w:val="20"/>
              </w:rPr>
              <w:t xml:space="preserve">           </w:t>
            </w:r>
            <w:r w:rsidR="00DE1797" w:rsidRPr="00114A5A">
              <w:rPr>
                <w:rFonts w:ascii="Times New Roman" w:hAnsi="Times New Roman" w:cs="Times New Roman"/>
                <w:sz w:val="20"/>
                <w:szCs w:val="20"/>
              </w:rPr>
              <w:t xml:space="preserve"> </w:t>
            </w:r>
            <w:r w:rsidRPr="00114A5A">
              <w:rPr>
                <w:rFonts w:ascii="Times New Roman" w:hAnsi="Times New Roman" w:cs="Times New Roman"/>
                <w:sz w:val="20"/>
                <w:szCs w:val="20"/>
              </w:rPr>
              <w:t xml:space="preserve"> </w:t>
            </w:r>
            <w:r w:rsidRPr="00114A5A">
              <w:rPr>
                <w:rFonts w:ascii="Times New Roman" w:hAnsi="Times New Roman" w:cs="Times New Roman"/>
                <w:i/>
                <w:sz w:val="20"/>
                <w:szCs w:val="20"/>
              </w:rPr>
              <w:t>[Response scale: 1 (not at all likely) to 5 (extremely likely)]</w:t>
            </w:r>
          </w:p>
        </w:tc>
      </w:tr>
      <w:tr w:rsidR="007D185F" w:rsidRPr="006E0845" w14:paraId="6C4B8FF0" w14:textId="77777777" w:rsidTr="008A285D">
        <w:tc>
          <w:tcPr>
            <w:tcW w:w="5288" w:type="dxa"/>
            <w:tcBorders>
              <w:top w:val="nil"/>
              <w:left w:val="single" w:sz="4" w:space="0" w:color="auto"/>
              <w:bottom w:val="single" w:sz="4" w:space="0" w:color="auto"/>
              <w:right w:val="nil"/>
            </w:tcBorders>
          </w:tcPr>
          <w:p w14:paraId="67F3D056" w14:textId="77777777" w:rsidR="00905ACA" w:rsidRPr="00114A5A" w:rsidRDefault="00905AC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Harm your overall health</w:t>
            </w:r>
          </w:p>
          <w:p w14:paraId="0F8C6B6E" w14:textId="77777777" w:rsidR="00905ACA" w:rsidRPr="00114A5A" w:rsidRDefault="00905AC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shorter life</w:t>
            </w:r>
          </w:p>
          <w:p w14:paraId="19021BED" w14:textId="77777777" w:rsidR="00905ACA" w:rsidRPr="00114A5A" w:rsidRDefault="00905AC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sick often</w:t>
            </w:r>
          </w:p>
          <w:p w14:paraId="00F61916" w14:textId="77777777" w:rsidR="00905ACA" w:rsidRPr="00114A5A" w:rsidRDefault="00905AC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cancer</w:t>
            </w:r>
          </w:p>
          <w:p w14:paraId="49A368F6" w14:textId="5380F3BD" w:rsidR="000C0973" w:rsidRPr="00114A5A" w:rsidRDefault="00905AC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 life-threatening disease</w:t>
            </w:r>
          </w:p>
        </w:tc>
        <w:tc>
          <w:tcPr>
            <w:tcW w:w="4522" w:type="dxa"/>
            <w:gridSpan w:val="2"/>
            <w:tcBorders>
              <w:top w:val="nil"/>
              <w:left w:val="nil"/>
              <w:bottom w:val="single" w:sz="4" w:space="0" w:color="auto"/>
              <w:right w:val="single" w:sz="4" w:space="0" w:color="auto"/>
            </w:tcBorders>
          </w:tcPr>
          <w:p w14:paraId="2F094B43" w14:textId="173AF525" w:rsidR="00F6648F" w:rsidRPr="00114A5A" w:rsidRDefault="00F6648F"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heart problems</w:t>
            </w:r>
          </w:p>
          <w:p w14:paraId="4BDB508D" w14:textId="7F65CE77" w:rsidR="00F6648F" w:rsidRPr="00114A5A" w:rsidRDefault="00F6648F"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addicted</w:t>
            </w:r>
          </w:p>
          <w:p w14:paraId="7FAEBACA" w14:textId="6F5DADCC" w:rsidR="00F6648F" w:rsidRPr="00114A5A" w:rsidRDefault="00F6648F"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breathing problems</w:t>
            </w:r>
          </w:p>
          <w:p w14:paraId="77E15C9F" w14:textId="232F3E71" w:rsidR="00F6648F" w:rsidRPr="00114A5A" w:rsidRDefault="00F6648F"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Damage your teeth</w:t>
            </w:r>
          </w:p>
          <w:p w14:paraId="1CFE8BF2" w14:textId="431CE5CA" w:rsidR="00267233" w:rsidRPr="00114A5A" w:rsidRDefault="00267233" w:rsidP="006E0845">
            <w:pPr>
              <w:pStyle w:val="ListParagraph"/>
              <w:ind w:left="0"/>
              <w:contextualSpacing w:val="0"/>
              <w:rPr>
                <w:rFonts w:ascii="Times New Roman" w:hAnsi="Times New Roman" w:cs="Times New Roman"/>
                <w:color w:val="000000" w:themeColor="text1"/>
                <w:sz w:val="20"/>
                <w:szCs w:val="20"/>
              </w:rPr>
            </w:pPr>
          </w:p>
        </w:tc>
      </w:tr>
      <w:tr w:rsidR="000B2015" w:rsidRPr="006E0845" w14:paraId="10304FB9" w14:textId="77777777" w:rsidTr="008A285D">
        <w:tc>
          <w:tcPr>
            <w:tcW w:w="9810" w:type="dxa"/>
            <w:gridSpan w:val="3"/>
            <w:tcBorders>
              <w:top w:val="single" w:sz="4" w:space="0" w:color="auto"/>
              <w:bottom w:val="single" w:sz="4" w:space="0" w:color="auto"/>
            </w:tcBorders>
            <w:shd w:val="clear" w:color="auto" w:fill="D9D9D9" w:themeFill="background1" w:themeFillShade="D9"/>
          </w:tcPr>
          <w:p w14:paraId="77CD0B1D" w14:textId="5C4812F0" w:rsidR="000B2015" w:rsidRPr="00114A5A" w:rsidRDefault="000B2015" w:rsidP="006E0845">
            <w:pPr>
              <w:pStyle w:val="ListParagraph"/>
              <w:ind w:left="0"/>
              <w:contextualSpacing w:val="0"/>
              <w:rPr>
                <w:rFonts w:ascii="Times New Roman" w:hAnsi="Times New Roman" w:cs="Times New Roman"/>
                <w:b/>
                <w:sz w:val="20"/>
                <w:szCs w:val="20"/>
              </w:rPr>
            </w:pPr>
            <w:r w:rsidRPr="00114A5A">
              <w:rPr>
                <w:rFonts w:ascii="Times New Roman" w:hAnsi="Times New Roman" w:cs="Times New Roman"/>
                <w:b/>
                <w:color w:val="000000" w:themeColor="text1"/>
                <w:sz w:val="20"/>
                <w:szCs w:val="20"/>
              </w:rPr>
              <w:t xml:space="preserve">(2a) </w:t>
            </w:r>
            <w:r w:rsidR="000D3D44" w:rsidRPr="00114A5A">
              <w:rPr>
                <w:rFonts w:ascii="Times New Roman" w:hAnsi="Times New Roman" w:cs="Times New Roman"/>
                <w:b/>
                <w:color w:val="000000" w:themeColor="text1"/>
                <w:sz w:val="20"/>
                <w:szCs w:val="20"/>
              </w:rPr>
              <w:t>T</w:t>
            </w:r>
            <w:r w:rsidRPr="00114A5A">
              <w:rPr>
                <w:rFonts w:ascii="Times New Roman" w:hAnsi="Times New Roman" w:cs="Times New Roman"/>
                <w:b/>
                <w:color w:val="000000" w:themeColor="text1"/>
                <w:sz w:val="20"/>
                <w:szCs w:val="20"/>
              </w:rPr>
              <w:t>he relative risk associated with using these products compared with use of cigarettes</w:t>
            </w:r>
            <w:r w:rsidR="0092492E" w:rsidRPr="00114A5A">
              <w:rPr>
                <w:rFonts w:ascii="Times New Roman" w:hAnsi="Times New Roman" w:cs="Times New Roman"/>
                <w:b/>
                <w:color w:val="000000" w:themeColor="text1"/>
                <w:sz w:val="20"/>
                <w:szCs w:val="20"/>
              </w:rPr>
              <w:t xml:space="preserve"> (questionnaire p. 14)</w:t>
            </w:r>
          </w:p>
        </w:tc>
      </w:tr>
      <w:tr w:rsidR="000B2015" w:rsidRPr="006E0845" w14:paraId="0C8F6252" w14:textId="77777777" w:rsidTr="008A285D">
        <w:tc>
          <w:tcPr>
            <w:tcW w:w="9810" w:type="dxa"/>
            <w:gridSpan w:val="3"/>
            <w:tcBorders>
              <w:top w:val="single" w:sz="4" w:space="0" w:color="auto"/>
              <w:left w:val="single" w:sz="4" w:space="0" w:color="auto"/>
              <w:bottom w:val="nil"/>
              <w:right w:val="single" w:sz="4" w:space="0" w:color="auto"/>
            </w:tcBorders>
          </w:tcPr>
          <w:p w14:paraId="105CA175"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 xml:space="preserve">If you </w:t>
            </w:r>
            <w:r w:rsidRPr="00114A5A">
              <w:rPr>
                <w:rFonts w:ascii="Times New Roman" w:hAnsi="Times New Roman" w:cs="Times New Roman"/>
                <w:b/>
                <w:sz w:val="20"/>
                <w:szCs w:val="20"/>
              </w:rPr>
              <w:t>either</w:t>
            </w:r>
            <w:r w:rsidRPr="00114A5A">
              <w:rPr>
                <w:rFonts w:ascii="Times New Roman" w:hAnsi="Times New Roman" w:cs="Times New Roman"/>
                <w:sz w:val="20"/>
                <w:szCs w:val="20"/>
              </w:rPr>
              <w:t xml:space="preserve"> used [product name] OR cigarettes every day, which product would make it more likely that you would…</w:t>
            </w:r>
          </w:p>
          <w:p w14:paraId="6A77AF5D" w14:textId="676514F8" w:rsidR="000B2015" w:rsidRPr="00114A5A" w:rsidRDefault="00DE1797" w:rsidP="006E0845">
            <w:pPr>
              <w:pStyle w:val="ListParagraph"/>
              <w:ind w:left="0"/>
              <w:contextualSpacing w:val="0"/>
              <w:rPr>
                <w:rFonts w:ascii="Times New Roman" w:hAnsi="Times New Roman" w:cs="Times New Roman"/>
                <w:i/>
                <w:color w:val="000000" w:themeColor="text1"/>
                <w:sz w:val="20"/>
                <w:szCs w:val="20"/>
              </w:rPr>
            </w:pPr>
            <w:r w:rsidRPr="00114A5A">
              <w:rPr>
                <w:rFonts w:ascii="Times New Roman" w:hAnsi="Times New Roman" w:cs="Times New Roman"/>
                <w:color w:val="000000" w:themeColor="text1"/>
                <w:sz w:val="20"/>
                <w:szCs w:val="20"/>
              </w:rPr>
              <w:t xml:space="preserve">  </w:t>
            </w:r>
            <w:r w:rsidR="00114A5A" w:rsidRPr="00114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114A5A">
              <w:rPr>
                <w:rFonts w:ascii="Times New Roman" w:hAnsi="Times New Roman" w:cs="Times New Roman"/>
                <w:color w:val="000000" w:themeColor="text1"/>
                <w:sz w:val="20"/>
                <w:szCs w:val="20"/>
              </w:rPr>
              <w:t xml:space="preserve">  </w:t>
            </w:r>
            <w:r w:rsidRPr="00114A5A">
              <w:rPr>
                <w:rFonts w:ascii="Times New Roman" w:hAnsi="Times New Roman" w:cs="Times New Roman"/>
                <w:i/>
                <w:sz w:val="20"/>
                <w:szCs w:val="20"/>
              </w:rPr>
              <w:t>[Response scale: 1 (</w:t>
            </w:r>
            <w:r w:rsidR="0092492E" w:rsidRPr="00114A5A">
              <w:rPr>
                <w:rFonts w:ascii="Times New Roman" w:hAnsi="Times New Roman" w:cs="Times New Roman"/>
                <w:i/>
                <w:sz w:val="20"/>
                <w:szCs w:val="20"/>
              </w:rPr>
              <w:t>MUCH more likely with [product name]</w:t>
            </w:r>
            <w:r w:rsidRPr="00114A5A">
              <w:rPr>
                <w:rFonts w:ascii="Times New Roman" w:hAnsi="Times New Roman" w:cs="Times New Roman"/>
                <w:i/>
                <w:sz w:val="20"/>
                <w:szCs w:val="20"/>
              </w:rPr>
              <w:t>) to 5 (</w:t>
            </w:r>
            <w:r w:rsidR="0092492E" w:rsidRPr="00114A5A">
              <w:rPr>
                <w:rFonts w:ascii="Times New Roman" w:hAnsi="Times New Roman" w:cs="Times New Roman"/>
                <w:i/>
                <w:sz w:val="20"/>
                <w:szCs w:val="20"/>
              </w:rPr>
              <w:t>MUCH more likely with cigarettes</w:t>
            </w:r>
            <w:r w:rsidRPr="00114A5A">
              <w:rPr>
                <w:rFonts w:ascii="Times New Roman" w:hAnsi="Times New Roman" w:cs="Times New Roman"/>
                <w:i/>
                <w:sz w:val="20"/>
                <w:szCs w:val="20"/>
              </w:rPr>
              <w:t>)]</w:t>
            </w:r>
          </w:p>
        </w:tc>
      </w:tr>
      <w:tr w:rsidR="007D185F" w:rsidRPr="006E0845" w14:paraId="113A6092" w14:textId="77777777" w:rsidTr="008A285D">
        <w:tc>
          <w:tcPr>
            <w:tcW w:w="5288" w:type="dxa"/>
            <w:tcBorders>
              <w:top w:val="nil"/>
              <w:left w:val="single" w:sz="4" w:space="0" w:color="auto"/>
              <w:bottom w:val="single" w:sz="4" w:space="0" w:color="auto"/>
              <w:right w:val="nil"/>
            </w:tcBorders>
          </w:tcPr>
          <w:p w14:paraId="5914DCCD"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Damage your teeth</w:t>
            </w:r>
          </w:p>
          <w:p w14:paraId="10678429"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mouth sores</w:t>
            </w:r>
          </w:p>
          <w:p w14:paraId="6E45CAA5"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tooth decay</w:t>
            </w:r>
          </w:p>
          <w:p w14:paraId="067C0D29"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gum disease</w:t>
            </w:r>
          </w:p>
          <w:p w14:paraId="6011A30D" w14:textId="77777777" w:rsidR="000B2015" w:rsidRPr="00114A5A" w:rsidRDefault="000B2015" w:rsidP="006E0845">
            <w:pPr>
              <w:pStyle w:val="ListParagraph"/>
              <w:ind w:left="0"/>
              <w:contextualSpacing w:val="0"/>
              <w:rPr>
                <w:rFonts w:ascii="Times New Roman" w:hAnsi="Times New Roman" w:cs="Times New Roman"/>
                <w:color w:val="000000" w:themeColor="text1"/>
                <w:sz w:val="20"/>
                <w:szCs w:val="20"/>
              </w:rPr>
            </w:pPr>
            <w:r w:rsidRPr="00114A5A">
              <w:rPr>
                <w:rFonts w:ascii="Times New Roman" w:hAnsi="Times New Roman" w:cs="Times New Roman"/>
                <w:sz w:val="20"/>
                <w:szCs w:val="20"/>
              </w:rPr>
              <w:t>Get stomach ulcers</w:t>
            </w:r>
          </w:p>
          <w:p w14:paraId="1FA91CAA" w14:textId="77777777" w:rsidR="000B2015" w:rsidRPr="00114A5A" w:rsidRDefault="000B2015" w:rsidP="006E0845">
            <w:pPr>
              <w:pStyle w:val="ListParagraph"/>
              <w:ind w:left="0"/>
              <w:contextualSpacing w:val="0"/>
              <w:rPr>
                <w:rFonts w:ascii="Times New Roman" w:hAnsi="Times New Roman" w:cs="Times New Roman"/>
                <w:color w:val="000000" w:themeColor="text1"/>
                <w:sz w:val="20"/>
                <w:szCs w:val="20"/>
              </w:rPr>
            </w:pPr>
            <w:r w:rsidRPr="00114A5A">
              <w:rPr>
                <w:rFonts w:ascii="Times New Roman" w:hAnsi="Times New Roman" w:cs="Times New Roman"/>
                <w:sz w:val="20"/>
                <w:szCs w:val="20"/>
              </w:rPr>
              <w:t>Get mouth irritation</w:t>
            </w:r>
            <w:r w:rsidRPr="00114A5A">
              <w:rPr>
                <w:rFonts w:ascii="Times New Roman" w:hAnsi="Times New Roman" w:cs="Times New Roman"/>
                <w:color w:val="000000" w:themeColor="text1"/>
                <w:sz w:val="20"/>
                <w:szCs w:val="20"/>
              </w:rPr>
              <w:t xml:space="preserve"> </w:t>
            </w:r>
          </w:p>
          <w:p w14:paraId="35BD71A9"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mouth cancer</w:t>
            </w:r>
          </w:p>
          <w:p w14:paraId="3FBE3A4F"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the common cold or flu</w:t>
            </w:r>
          </w:p>
          <w:p w14:paraId="7FCFC156"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Damage your lungs</w:t>
            </w:r>
          </w:p>
          <w:p w14:paraId="6038FBDF"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pain in your lungs</w:t>
            </w:r>
          </w:p>
          <w:p w14:paraId="05238F21"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lung disease</w:t>
            </w:r>
          </w:p>
          <w:p w14:paraId="403694CB"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asthma</w:t>
            </w:r>
          </w:p>
          <w:p w14:paraId="08F7053E"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emphysema</w:t>
            </w:r>
          </w:p>
          <w:p w14:paraId="0790D8AB"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bronchitis</w:t>
            </w:r>
          </w:p>
          <w:p w14:paraId="5AD4D3FD"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Crave the product all the time</w:t>
            </w:r>
          </w:p>
          <w:p w14:paraId="31D56FC5"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lung cancer</w:t>
            </w:r>
          </w:p>
          <w:p w14:paraId="642DB0C1" w14:textId="77777777" w:rsidR="000B2015"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stomach cancer</w:t>
            </w:r>
          </w:p>
          <w:p w14:paraId="29DDDFE7" w14:textId="788D5023" w:rsidR="000C0973" w:rsidRPr="00114A5A" w:rsidRDefault="000B2015"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Cough often</w:t>
            </w:r>
          </w:p>
        </w:tc>
        <w:tc>
          <w:tcPr>
            <w:tcW w:w="4522" w:type="dxa"/>
            <w:gridSpan w:val="2"/>
            <w:tcBorders>
              <w:top w:val="nil"/>
              <w:left w:val="nil"/>
              <w:bottom w:val="single" w:sz="4" w:space="0" w:color="auto"/>
              <w:right w:val="single" w:sz="4" w:space="0" w:color="auto"/>
            </w:tcBorders>
          </w:tcPr>
          <w:p w14:paraId="0D0A0CDD" w14:textId="310635F1" w:rsidR="00114A5A" w:rsidRDefault="00114A5A"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pancreatic cancer</w:t>
            </w:r>
          </w:p>
          <w:p w14:paraId="5F3145DD" w14:textId="41C3BBD7"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hooked</w:t>
            </w:r>
          </w:p>
          <w:p w14:paraId="265333BE" w14:textId="2AEA7E55"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Irritate your throat</w:t>
            </w:r>
          </w:p>
          <w:p w14:paraId="00FD421F" w14:textId="63299D12"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shortness of breath</w:t>
            </w:r>
          </w:p>
          <w:p w14:paraId="4E7BA1BE" w14:textId="1DE6B2FF"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high blood pressure</w:t>
            </w:r>
          </w:p>
          <w:p w14:paraId="366DA01A" w14:textId="1508806A"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heart attack</w:t>
            </w:r>
          </w:p>
          <w:p w14:paraId="023330E3" w14:textId="60A400D0"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stroke</w:t>
            </w:r>
          </w:p>
          <w:p w14:paraId="0EC025A0" w14:textId="31EA9BB0"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heart disease</w:t>
            </w:r>
          </w:p>
          <w:p w14:paraId="10636E41" w14:textId="22106ED4"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trouble stopping using the product</w:t>
            </w:r>
          </w:p>
          <w:p w14:paraId="6B7877B5" w14:textId="4E6919D8"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diabetes</w:t>
            </w:r>
          </w:p>
          <w:p w14:paraId="3111545A" w14:textId="4373C3F7"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Harm your overall health</w:t>
            </w:r>
          </w:p>
          <w:p w14:paraId="4B31BC5D" w14:textId="71B42222"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shorter life</w:t>
            </w:r>
          </w:p>
          <w:p w14:paraId="268E678B" w14:textId="051B4B64"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sick often</w:t>
            </w:r>
          </w:p>
          <w:p w14:paraId="0327DF39" w14:textId="7686A26C"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cancer</w:t>
            </w:r>
          </w:p>
          <w:p w14:paraId="2611F19D" w14:textId="245ADC00"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 life-threatening disease</w:t>
            </w:r>
          </w:p>
          <w:p w14:paraId="4CB6ACD0" w14:textId="73AC5721"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heart problems</w:t>
            </w:r>
          </w:p>
          <w:p w14:paraId="3597761D" w14:textId="12821F42" w:rsidR="001B40F6" w:rsidRPr="00114A5A" w:rsidRDefault="001B40F6"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addicted</w:t>
            </w:r>
          </w:p>
          <w:p w14:paraId="3FE3622E" w14:textId="4F37BC18" w:rsidR="00BB0306" w:rsidRPr="00114A5A" w:rsidRDefault="001B40F6" w:rsidP="006E0845">
            <w:pPr>
              <w:pStyle w:val="ListParagraph"/>
              <w:ind w:left="0"/>
              <w:contextualSpacing w:val="0"/>
              <w:rPr>
                <w:rFonts w:ascii="Times New Roman" w:hAnsi="Times New Roman" w:cs="Times New Roman"/>
                <w:color w:val="000000" w:themeColor="text1"/>
                <w:sz w:val="20"/>
                <w:szCs w:val="20"/>
              </w:rPr>
            </w:pPr>
            <w:r w:rsidRPr="00114A5A">
              <w:rPr>
                <w:rFonts w:ascii="Times New Roman" w:hAnsi="Times New Roman" w:cs="Times New Roman"/>
                <w:sz w:val="20"/>
                <w:szCs w:val="20"/>
              </w:rPr>
              <w:t>Have breathing problems</w:t>
            </w:r>
          </w:p>
        </w:tc>
      </w:tr>
      <w:tr w:rsidR="0092492E" w:rsidRPr="006E0845" w14:paraId="2A3277BD" w14:textId="77777777" w:rsidTr="008A285D">
        <w:tc>
          <w:tcPr>
            <w:tcW w:w="9810" w:type="dxa"/>
            <w:gridSpan w:val="3"/>
            <w:tcBorders>
              <w:top w:val="single" w:sz="4" w:space="0" w:color="auto"/>
              <w:left w:val="single" w:sz="4" w:space="0" w:color="auto"/>
              <w:bottom w:val="nil"/>
              <w:right w:val="single" w:sz="4" w:space="0" w:color="auto"/>
            </w:tcBorders>
          </w:tcPr>
          <w:p w14:paraId="36757EBA" w14:textId="77777777" w:rsidR="006E0845" w:rsidRPr="00114A5A" w:rsidRDefault="0092492E" w:rsidP="006E0845">
            <w:pPr>
              <w:pStyle w:val="aQuestion"/>
              <w:spacing w:before="0" w:after="0"/>
              <w:contextualSpacing w:val="0"/>
              <w:rPr>
                <w:rFonts w:ascii="Times New Roman" w:hAnsi="Times New Roman" w:cs="Times New Roman"/>
                <w:szCs w:val="20"/>
              </w:rPr>
            </w:pPr>
            <w:r w:rsidRPr="00114A5A">
              <w:rPr>
                <w:rFonts w:ascii="Times New Roman" w:hAnsi="Times New Roman" w:cs="Times New Roman"/>
                <w:szCs w:val="20"/>
              </w:rPr>
              <w:t xml:space="preserve">Imagine that a woman was pregnant and </w:t>
            </w:r>
            <w:r w:rsidRPr="00114A5A">
              <w:rPr>
                <w:rFonts w:ascii="Times New Roman" w:hAnsi="Times New Roman" w:cs="Times New Roman"/>
                <w:b/>
                <w:szCs w:val="20"/>
              </w:rPr>
              <w:t>either</w:t>
            </w:r>
            <w:r w:rsidRPr="00114A5A">
              <w:rPr>
                <w:rFonts w:ascii="Times New Roman" w:hAnsi="Times New Roman" w:cs="Times New Roman"/>
                <w:szCs w:val="20"/>
              </w:rPr>
              <w:t xml:space="preserve"> used [product name] OR cigarettes every day.</w:t>
            </w:r>
          </w:p>
          <w:p w14:paraId="35C031FD" w14:textId="09590084" w:rsidR="0092492E" w:rsidRPr="00114A5A" w:rsidRDefault="0092492E" w:rsidP="006E0845">
            <w:pPr>
              <w:pStyle w:val="aQuestion"/>
              <w:spacing w:before="0" w:after="0"/>
              <w:contextualSpacing w:val="0"/>
              <w:rPr>
                <w:rFonts w:ascii="Times New Roman" w:hAnsi="Times New Roman" w:cs="Times New Roman"/>
                <w:szCs w:val="20"/>
              </w:rPr>
            </w:pPr>
            <w:r w:rsidRPr="00114A5A">
              <w:rPr>
                <w:rFonts w:ascii="Times New Roman" w:hAnsi="Times New Roman" w:cs="Times New Roman"/>
                <w:szCs w:val="20"/>
              </w:rPr>
              <w:t>Which product would make it more likely that…</w:t>
            </w:r>
          </w:p>
          <w:p w14:paraId="6C664358" w14:textId="607F85B5" w:rsidR="0092492E" w:rsidRPr="00114A5A" w:rsidRDefault="006E0845" w:rsidP="006E0845">
            <w:pPr>
              <w:pStyle w:val="ListParagraph"/>
              <w:ind w:left="0"/>
              <w:contextualSpacing w:val="0"/>
              <w:rPr>
                <w:rFonts w:ascii="Times New Roman" w:hAnsi="Times New Roman" w:cs="Times New Roman"/>
                <w:b/>
                <w:i/>
                <w:color w:val="000000" w:themeColor="text1"/>
                <w:sz w:val="20"/>
                <w:szCs w:val="20"/>
              </w:rPr>
            </w:pPr>
            <w:r w:rsidRPr="00114A5A">
              <w:rPr>
                <w:rFonts w:ascii="Times New Roman" w:hAnsi="Times New Roman" w:cs="Times New Roman"/>
                <w:i/>
                <w:sz w:val="20"/>
                <w:szCs w:val="20"/>
              </w:rPr>
              <w:t xml:space="preserve">   </w:t>
            </w:r>
            <w:r w:rsidR="00114A5A" w:rsidRPr="00114A5A">
              <w:rPr>
                <w:rFonts w:ascii="Times New Roman" w:hAnsi="Times New Roman" w:cs="Times New Roman"/>
                <w:i/>
                <w:sz w:val="20"/>
                <w:szCs w:val="20"/>
              </w:rPr>
              <w:t xml:space="preserve">          </w:t>
            </w:r>
            <w:r w:rsidRPr="00114A5A">
              <w:rPr>
                <w:rFonts w:ascii="Times New Roman" w:hAnsi="Times New Roman" w:cs="Times New Roman"/>
                <w:i/>
                <w:sz w:val="20"/>
                <w:szCs w:val="20"/>
              </w:rPr>
              <w:t xml:space="preserve">   </w:t>
            </w:r>
            <w:r w:rsidR="0092492E" w:rsidRPr="00114A5A">
              <w:rPr>
                <w:rFonts w:ascii="Times New Roman" w:hAnsi="Times New Roman" w:cs="Times New Roman"/>
                <w:i/>
                <w:sz w:val="20"/>
                <w:szCs w:val="20"/>
              </w:rPr>
              <w:t>[Response scale: 1 (MUCH more likely with [product name]) to 5 (MUCH more likely with cigarettes)]</w:t>
            </w:r>
          </w:p>
        </w:tc>
      </w:tr>
      <w:tr w:rsidR="00454F01" w:rsidRPr="006E0845" w14:paraId="3A8B9CA3" w14:textId="77777777" w:rsidTr="008A285D">
        <w:tc>
          <w:tcPr>
            <w:tcW w:w="5310" w:type="dxa"/>
            <w:gridSpan w:val="2"/>
            <w:tcBorders>
              <w:top w:val="nil"/>
              <w:left w:val="single" w:sz="4" w:space="0" w:color="auto"/>
              <w:bottom w:val="single" w:sz="4" w:space="0" w:color="auto"/>
              <w:right w:val="nil"/>
            </w:tcBorders>
          </w:tcPr>
          <w:p w14:paraId="4CEFAADB" w14:textId="77777777" w:rsidR="00454F01" w:rsidRPr="00114A5A" w:rsidRDefault="00454F01"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The baby would be harmed before it is born</w:t>
            </w:r>
          </w:p>
          <w:p w14:paraId="217A715F" w14:textId="77777777" w:rsidR="00454F01" w:rsidRPr="00114A5A" w:rsidRDefault="00454F01"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The woman would have a miscarriage</w:t>
            </w:r>
          </w:p>
          <w:p w14:paraId="2C67DA6C" w14:textId="678BB99B" w:rsidR="00454F01" w:rsidRPr="00114A5A" w:rsidRDefault="00454F01"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The baby would be born too early</w:t>
            </w:r>
          </w:p>
        </w:tc>
        <w:tc>
          <w:tcPr>
            <w:tcW w:w="4500" w:type="dxa"/>
            <w:tcBorders>
              <w:top w:val="nil"/>
              <w:left w:val="nil"/>
              <w:bottom w:val="single" w:sz="4" w:space="0" w:color="auto"/>
              <w:right w:val="single" w:sz="4" w:space="0" w:color="auto"/>
            </w:tcBorders>
          </w:tcPr>
          <w:p w14:paraId="7366AC2A" w14:textId="77777777" w:rsidR="00454F01" w:rsidRPr="00114A5A" w:rsidRDefault="00454F01"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The baby would be born too small</w:t>
            </w:r>
          </w:p>
          <w:p w14:paraId="70063E29" w14:textId="44E7A97D" w:rsidR="00454F01" w:rsidRPr="00114A5A" w:rsidRDefault="00454F01" w:rsidP="006E0845">
            <w:pPr>
              <w:pStyle w:val="ListParagraph"/>
              <w:ind w:left="0"/>
              <w:contextualSpacing w:val="0"/>
              <w:rPr>
                <w:rFonts w:ascii="Times New Roman" w:hAnsi="Times New Roman" w:cs="Times New Roman"/>
                <w:b/>
                <w:color w:val="000000" w:themeColor="text1"/>
                <w:sz w:val="20"/>
                <w:szCs w:val="20"/>
              </w:rPr>
            </w:pPr>
            <w:r w:rsidRPr="00114A5A">
              <w:rPr>
                <w:rFonts w:ascii="Times New Roman" w:hAnsi="Times New Roman" w:cs="Times New Roman"/>
                <w:sz w:val="20"/>
                <w:szCs w:val="20"/>
              </w:rPr>
              <w:t>The baby would have a birth defect</w:t>
            </w:r>
          </w:p>
        </w:tc>
      </w:tr>
      <w:tr w:rsidR="00454F01" w:rsidRPr="006E0845" w14:paraId="3A9BA40D" w14:textId="77777777" w:rsidTr="008A285D">
        <w:tc>
          <w:tcPr>
            <w:tcW w:w="9810" w:type="dxa"/>
            <w:gridSpan w:val="3"/>
            <w:tcBorders>
              <w:top w:val="single" w:sz="4" w:space="0" w:color="auto"/>
              <w:bottom w:val="single" w:sz="4" w:space="0" w:color="auto"/>
            </w:tcBorders>
            <w:shd w:val="clear" w:color="auto" w:fill="D9D9D9" w:themeFill="background1" w:themeFillShade="D9"/>
          </w:tcPr>
          <w:p w14:paraId="59A56EE1" w14:textId="06A45545" w:rsidR="00454F01" w:rsidRPr="00114A5A" w:rsidRDefault="00454F01" w:rsidP="006E0845">
            <w:pPr>
              <w:pStyle w:val="ListParagraph"/>
              <w:ind w:left="0"/>
              <w:contextualSpacing w:val="0"/>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 xml:space="preserve">(2b) </w:t>
            </w:r>
            <w:r w:rsidR="000D3D44" w:rsidRPr="00114A5A">
              <w:rPr>
                <w:rFonts w:ascii="Times New Roman" w:hAnsi="Times New Roman" w:cs="Times New Roman"/>
                <w:b/>
                <w:color w:val="000000" w:themeColor="text1"/>
                <w:sz w:val="20"/>
                <w:szCs w:val="20"/>
              </w:rPr>
              <w:t>T</w:t>
            </w:r>
            <w:r w:rsidRPr="00114A5A">
              <w:rPr>
                <w:rFonts w:ascii="Times New Roman" w:hAnsi="Times New Roman" w:cs="Times New Roman"/>
                <w:b/>
                <w:color w:val="000000" w:themeColor="text1"/>
                <w:sz w:val="20"/>
                <w:szCs w:val="20"/>
              </w:rPr>
              <w:t>he relative risk associated with using these products compared with use of nicotine replacement therapy (NRT)</w:t>
            </w:r>
            <w:r w:rsidR="00BE5998" w:rsidRPr="00114A5A">
              <w:rPr>
                <w:rFonts w:ascii="Times New Roman" w:hAnsi="Times New Roman" w:cs="Times New Roman"/>
                <w:b/>
                <w:color w:val="000000" w:themeColor="text1"/>
                <w:sz w:val="20"/>
                <w:szCs w:val="20"/>
              </w:rPr>
              <w:t xml:space="preserve"> (questionnaire p.</w:t>
            </w:r>
            <w:r w:rsidR="00A2228B">
              <w:rPr>
                <w:rFonts w:ascii="Times New Roman" w:hAnsi="Times New Roman" w:cs="Times New Roman"/>
                <w:b/>
                <w:color w:val="000000" w:themeColor="text1"/>
                <w:sz w:val="20"/>
                <w:szCs w:val="20"/>
              </w:rPr>
              <w:t xml:space="preserve"> </w:t>
            </w:r>
            <w:r w:rsidR="00BE5998" w:rsidRPr="00114A5A">
              <w:rPr>
                <w:rFonts w:ascii="Times New Roman" w:hAnsi="Times New Roman" w:cs="Times New Roman"/>
                <w:b/>
                <w:color w:val="000000" w:themeColor="text1"/>
                <w:sz w:val="20"/>
                <w:szCs w:val="20"/>
              </w:rPr>
              <w:t>18)</w:t>
            </w:r>
          </w:p>
        </w:tc>
      </w:tr>
      <w:tr w:rsidR="00454F01" w:rsidRPr="006E0845" w14:paraId="570BF07D" w14:textId="77777777" w:rsidTr="008A285D">
        <w:tc>
          <w:tcPr>
            <w:tcW w:w="9810" w:type="dxa"/>
            <w:gridSpan w:val="3"/>
            <w:tcBorders>
              <w:top w:val="single" w:sz="4" w:space="0" w:color="auto"/>
              <w:left w:val="single" w:sz="4" w:space="0" w:color="auto"/>
              <w:bottom w:val="nil"/>
              <w:right w:val="single" w:sz="4" w:space="0" w:color="auto"/>
            </w:tcBorders>
          </w:tcPr>
          <w:p w14:paraId="2BB1A70F" w14:textId="77777777" w:rsidR="00454F01"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 xml:space="preserve">Imagine you used </w:t>
            </w:r>
            <w:r w:rsidRPr="00114A5A">
              <w:rPr>
                <w:rFonts w:ascii="Times New Roman" w:hAnsi="Times New Roman" w:cs="Times New Roman"/>
                <w:b/>
                <w:sz w:val="20"/>
                <w:szCs w:val="20"/>
              </w:rPr>
              <w:t>either</w:t>
            </w:r>
            <w:r w:rsidRPr="00114A5A">
              <w:rPr>
                <w:rFonts w:ascii="Times New Roman" w:hAnsi="Times New Roman" w:cs="Times New Roman"/>
                <w:sz w:val="20"/>
                <w:szCs w:val="20"/>
              </w:rPr>
              <w:t xml:space="preserve"> [product name] OR nicotine replacement therapy (NRT)</w:t>
            </w:r>
            <w:r w:rsidRPr="00114A5A">
              <w:rPr>
                <w:rFonts w:ascii="Times New Roman" w:hAnsi="Times New Roman" w:cs="Times New Roman"/>
                <w:b/>
                <w:sz w:val="20"/>
                <w:szCs w:val="20"/>
              </w:rPr>
              <w:t xml:space="preserve"> </w:t>
            </w:r>
            <w:r w:rsidRPr="00114A5A">
              <w:rPr>
                <w:rFonts w:ascii="Times New Roman" w:hAnsi="Times New Roman" w:cs="Times New Roman"/>
                <w:sz w:val="20"/>
                <w:szCs w:val="20"/>
              </w:rPr>
              <w:t>every day, and no other nicotine or tobacco products. Which product would make it more likely that you would…</w:t>
            </w:r>
          </w:p>
          <w:p w14:paraId="1C1E7219" w14:textId="62CAC2DB" w:rsidR="0032168E" w:rsidRPr="00114A5A" w:rsidRDefault="006E0845" w:rsidP="006E0845">
            <w:pPr>
              <w:pStyle w:val="ListParagraph"/>
              <w:ind w:left="0"/>
              <w:contextualSpacing w:val="0"/>
              <w:rPr>
                <w:rFonts w:ascii="Times New Roman" w:hAnsi="Times New Roman" w:cs="Times New Roman"/>
                <w:i/>
                <w:color w:val="000000" w:themeColor="text1"/>
                <w:sz w:val="20"/>
                <w:szCs w:val="20"/>
              </w:rPr>
            </w:pPr>
            <w:r w:rsidRPr="00114A5A">
              <w:rPr>
                <w:rFonts w:ascii="Times New Roman" w:hAnsi="Times New Roman" w:cs="Times New Roman"/>
                <w:i/>
                <w:sz w:val="20"/>
                <w:szCs w:val="20"/>
              </w:rPr>
              <w:t xml:space="preserve">          </w:t>
            </w:r>
            <w:r w:rsidR="00114A5A" w:rsidRPr="00114A5A">
              <w:rPr>
                <w:rFonts w:ascii="Times New Roman" w:hAnsi="Times New Roman" w:cs="Times New Roman"/>
                <w:i/>
                <w:sz w:val="20"/>
                <w:szCs w:val="20"/>
              </w:rPr>
              <w:t xml:space="preserve">  </w:t>
            </w:r>
            <w:r w:rsidRPr="00114A5A">
              <w:rPr>
                <w:rFonts w:ascii="Times New Roman" w:hAnsi="Times New Roman" w:cs="Times New Roman"/>
                <w:i/>
                <w:sz w:val="20"/>
                <w:szCs w:val="20"/>
              </w:rPr>
              <w:t xml:space="preserve">           </w:t>
            </w:r>
            <w:r w:rsidR="0032168E" w:rsidRPr="00114A5A">
              <w:rPr>
                <w:rFonts w:ascii="Times New Roman" w:hAnsi="Times New Roman" w:cs="Times New Roman"/>
                <w:i/>
                <w:sz w:val="20"/>
                <w:szCs w:val="20"/>
              </w:rPr>
              <w:t>[Response scale: 1 (MUCH more likely with [product name]) to 5 (MUCH more likely with NRT)]</w:t>
            </w:r>
          </w:p>
        </w:tc>
      </w:tr>
      <w:tr w:rsidR="0032168E" w:rsidRPr="006E0845" w14:paraId="3CDF963C" w14:textId="77777777" w:rsidTr="008A285D">
        <w:tc>
          <w:tcPr>
            <w:tcW w:w="5288" w:type="dxa"/>
            <w:tcBorders>
              <w:top w:val="nil"/>
              <w:left w:val="single" w:sz="4" w:space="0" w:color="auto"/>
              <w:bottom w:val="single" w:sz="4" w:space="0" w:color="auto"/>
              <w:right w:val="nil"/>
            </w:tcBorders>
          </w:tcPr>
          <w:p w14:paraId="7BFE975C"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Harm your overall health</w:t>
            </w:r>
          </w:p>
          <w:p w14:paraId="674B5B4E"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shorter life</w:t>
            </w:r>
          </w:p>
          <w:p w14:paraId="3BE72B8C"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sick often</w:t>
            </w:r>
          </w:p>
          <w:p w14:paraId="4DC56322"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cancer</w:t>
            </w:r>
          </w:p>
          <w:p w14:paraId="343005BD" w14:textId="16B79CE9"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 life-threatening disease</w:t>
            </w:r>
          </w:p>
        </w:tc>
        <w:tc>
          <w:tcPr>
            <w:tcW w:w="4522" w:type="dxa"/>
            <w:gridSpan w:val="2"/>
            <w:tcBorders>
              <w:top w:val="nil"/>
              <w:left w:val="nil"/>
              <w:bottom w:val="single" w:sz="4" w:space="0" w:color="auto"/>
              <w:right w:val="single" w:sz="4" w:space="0" w:color="auto"/>
            </w:tcBorders>
          </w:tcPr>
          <w:p w14:paraId="5A41B52B"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heart problems</w:t>
            </w:r>
          </w:p>
          <w:p w14:paraId="25D008CA"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addicted</w:t>
            </w:r>
          </w:p>
          <w:p w14:paraId="38EE02E0" w14:textId="77777777" w:rsidR="0032168E" w:rsidRPr="00114A5A" w:rsidRDefault="0032168E"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breathing problems</w:t>
            </w:r>
          </w:p>
          <w:p w14:paraId="1DF12EE2" w14:textId="77777777" w:rsidR="0032168E" w:rsidRPr="00114A5A" w:rsidRDefault="0032168E" w:rsidP="006E0845">
            <w:pPr>
              <w:pStyle w:val="ListParagraph"/>
              <w:ind w:left="0"/>
              <w:contextualSpacing w:val="0"/>
              <w:rPr>
                <w:rFonts w:ascii="Times New Roman" w:hAnsi="Times New Roman" w:cs="Times New Roman"/>
                <w:color w:val="000000" w:themeColor="text1"/>
                <w:sz w:val="20"/>
                <w:szCs w:val="20"/>
              </w:rPr>
            </w:pPr>
            <w:r w:rsidRPr="00114A5A">
              <w:rPr>
                <w:rFonts w:ascii="Times New Roman" w:hAnsi="Times New Roman" w:cs="Times New Roman"/>
                <w:sz w:val="20"/>
                <w:szCs w:val="20"/>
              </w:rPr>
              <w:t>Damage your teeth</w:t>
            </w:r>
          </w:p>
          <w:p w14:paraId="3158F5EF" w14:textId="53EBB2DC" w:rsidR="0032168E" w:rsidRPr="00114A5A" w:rsidRDefault="0032168E" w:rsidP="006E0845">
            <w:pPr>
              <w:pStyle w:val="ListParagraph"/>
              <w:ind w:left="0"/>
              <w:contextualSpacing w:val="0"/>
              <w:rPr>
                <w:rFonts w:ascii="Times New Roman" w:hAnsi="Times New Roman" w:cs="Times New Roman"/>
                <w:color w:val="000000" w:themeColor="text1"/>
                <w:sz w:val="20"/>
                <w:szCs w:val="20"/>
              </w:rPr>
            </w:pPr>
          </w:p>
        </w:tc>
      </w:tr>
      <w:tr w:rsidR="0032168E" w:rsidRPr="006E0845" w14:paraId="11658E9F" w14:textId="77777777" w:rsidTr="008A285D">
        <w:tc>
          <w:tcPr>
            <w:tcW w:w="9810" w:type="dxa"/>
            <w:gridSpan w:val="3"/>
            <w:tcBorders>
              <w:top w:val="single" w:sz="4" w:space="0" w:color="auto"/>
              <w:bottom w:val="single" w:sz="4" w:space="0" w:color="auto"/>
            </w:tcBorders>
            <w:shd w:val="clear" w:color="auto" w:fill="D9D9D9" w:themeFill="background1" w:themeFillShade="D9"/>
          </w:tcPr>
          <w:p w14:paraId="68FB7287" w14:textId="6967FDF9" w:rsidR="0032168E" w:rsidRPr="00114A5A" w:rsidRDefault="0032168E" w:rsidP="006E0845">
            <w:pPr>
              <w:pStyle w:val="ListParagraph"/>
              <w:ind w:left="0"/>
              <w:contextualSpacing w:val="0"/>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(2c)</w:t>
            </w:r>
            <w:r w:rsidR="00BE5998" w:rsidRPr="00114A5A">
              <w:rPr>
                <w:rFonts w:ascii="Times New Roman" w:hAnsi="Times New Roman" w:cs="Times New Roman"/>
                <w:b/>
                <w:color w:val="000000" w:themeColor="text1"/>
                <w:sz w:val="20"/>
                <w:szCs w:val="20"/>
              </w:rPr>
              <w:t xml:space="preserve"> </w:t>
            </w:r>
            <w:r w:rsidR="000D3D44" w:rsidRPr="00114A5A">
              <w:rPr>
                <w:rFonts w:ascii="Times New Roman" w:hAnsi="Times New Roman" w:cs="Times New Roman"/>
                <w:b/>
                <w:color w:val="000000" w:themeColor="text1"/>
                <w:sz w:val="20"/>
                <w:szCs w:val="20"/>
              </w:rPr>
              <w:t>T</w:t>
            </w:r>
            <w:r w:rsidR="00BE5998" w:rsidRPr="00114A5A">
              <w:rPr>
                <w:rFonts w:ascii="Times New Roman" w:hAnsi="Times New Roman" w:cs="Times New Roman"/>
                <w:b/>
                <w:color w:val="000000" w:themeColor="text1"/>
                <w:sz w:val="20"/>
                <w:szCs w:val="20"/>
              </w:rPr>
              <w:t>he relative risk associated with using these products compared with use</w:t>
            </w:r>
            <w:r w:rsidRPr="00114A5A">
              <w:rPr>
                <w:rFonts w:ascii="Times New Roman" w:hAnsi="Times New Roman" w:cs="Times New Roman"/>
                <w:b/>
                <w:color w:val="000000" w:themeColor="text1"/>
                <w:sz w:val="20"/>
                <w:szCs w:val="20"/>
              </w:rPr>
              <w:t xml:space="preserve"> quitting all tobacco </w:t>
            </w:r>
            <w:r w:rsidR="004D75C9" w:rsidRPr="00114A5A">
              <w:rPr>
                <w:rFonts w:ascii="Times New Roman" w:hAnsi="Times New Roman" w:cs="Times New Roman"/>
                <w:b/>
                <w:color w:val="000000" w:themeColor="text1"/>
                <w:sz w:val="20"/>
                <w:szCs w:val="20"/>
              </w:rPr>
              <w:t>(questionnaire p.</w:t>
            </w:r>
            <w:r w:rsidR="00A2228B">
              <w:rPr>
                <w:rFonts w:ascii="Times New Roman" w:hAnsi="Times New Roman" w:cs="Times New Roman"/>
                <w:b/>
                <w:color w:val="000000" w:themeColor="text1"/>
                <w:sz w:val="20"/>
                <w:szCs w:val="20"/>
              </w:rPr>
              <w:t xml:space="preserve"> </w:t>
            </w:r>
            <w:r w:rsidR="004D75C9" w:rsidRPr="00114A5A">
              <w:rPr>
                <w:rFonts w:ascii="Times New Roman" w:hAnsi="Times New Roman" w:cs="Times New Roman"/>
                <w:b/>
                <w:color w:val="000000" w:themeColor="text1"/>
                <w:sz w:val="20"/>
                <w:szCs w:val="20"/>
              </w:rPr>
              <w:t>20)</w:t>
            </w:r>
          </w:p>
        </w:tc>
      </w:tr>
      <w:tr w:rsidR="0032168E" w:rsidRPr="006E0845" w14:paraId="1DCED6F8" w14:textId="77777777" w:rsidTr="008A285D">
        <w:tc>
          <w:tcPr>
            <w:tcW w:w="9810" w:type="dxa"/>
            <w:gridSpan w:val="3"/>
            <w:tcBorders>
              <w:top w:val="single" w:sz="4" w:space="0" w:color="auto"/>
              <w:left w:val="single" w:sz="4" w:space="0" w:color="auto"/>
              <w:bottom w:val="nil"/>
              <w:right w:val="single" w:sz="4" w:space="0" w:color="auto"/>
            </w:tcBorders>
          </w:tcPr>
          <w:p w14:paraId="2DC4DC20" w14:textId="77777777" w:rsidR="0028077C" w:rsidRDefault="0028077C" w:rsidP="006E0845">
            <w:pPr>
              <w:pStyle w:val="aQuestion"/>
              <w:spacing w:before="0" w:after="0"/>
              <w:contextualSpacing w:val="0"/>
              <w:rPr>
                <w:rFonts w:ascii="Times New Roman" w:hAnsi="Times New Roman" w:cs="Times New Roman"/>
                <w:szCs w:val="20"/>
              </w:rPr>
            </w:pPr>
            <w:r w:rsidRPr="00114A5A">
              <w:rPr>
                <w:rFonts w:ascii="Times New Roman" w:hAnsi="Times New Roman" w:cs="Times New Roman"/>
                <w:szCs w:val="20"/>
              </w:rPr>
              <w:t>Which situation would make it more likely that you would…</w:t>
            </w:r>
          </w:p>
          <w:p w14:paraId="1B40BE3C" w14:textId="0A79906C" w:rsidR="0032168E" w:rsidRPr="00114A5A" w:rsidRDefault="004D75C9" w:rsidP="00114A5A">
            <w:pPr>
              <w:pStyle w:val="aQuestion"/>
              <w:spacing w:before="0" w:after="0"/>
              <w:contextualSpacing w:val="0"/>
              <w:rPr>
                <w:rFonts w:ascii="Times New Roman" w:hAnsi="Times New Roman" w:cs="Times New Roman"/>
                <w:szCs w:val="20"/>
              </w:rPr>
            </w:pPr>
            <w:r w:rsidRPr="00114A5A">
              <w:rPr>
                <w:rFonts w:ascii="Times New Roman" w:hAnsi="Times New Roman" w:cs="Times New Roman"/>
                <w:i/>
                <w:szCs w:val="20"/>
              </w:rPr>
              <w:t>[Response scale: 1 (MUCH more likely with [product name]) to 5 (MUCH more likely with quitting all</w:t>
            </w:r>
            <w:r>
              <w:rPr>
                <w:rFonts w:ascii="Times New Roman" w:hAnsi="Times New Roman" w:cs="Times New Roman"/>
                <w:i/>
                <w:szCs w:val="20"/>
              </w:rPr>
              <w:t xml:space="preserve"> </w:t>
            </w:r>
            <w:r w:rsidRPr="00114A5A">
              <w:rPr>
                <w:rFonts w:ascii="Times New Roman" w:hAnsi="Times New Roman" w:cs="Times New Roman"/>
                <w:i/>
                <w:szCs w:val="20"/>
              </w:rPr>
              <w:t>tobacco)]</w:t>
            </w:r>
          </w:p>
        </w:tc>
      </w:tr>
      <w:tr w:rsidR="004D75C9" w:rsidRPr="006E0845" w14:paraId="6FD1B9E2" w14:textId="77777777" w:rsidTr="008A285D">
        <w:tc>
          <w:tcPr>
            <w:tcW w:w="5288" w:type="dxa"/>
            <w:tcBorders>
              <w:top w:val="nil"/>
              <w:left w:val="single" w:sz="4" w:space="0" w:color="auto"/>
              <w:bottom w:val="single" w:sz="4" w:space="0" w:color="auto"/>
              <w:right w:val="nil"/>
            </w:tcBorders>
          </w:tcPr>
          <w:p w14:paraId="47A0A584"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Harm your overall health</w:t>
            </w:r>
          </w:p>
          <w:p w14:paraId="78FAA17A"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a shorter life</w:t>
            </w:r>
          </w:p>
          <w:p w14:paraId="4211AE12"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sick often</w:t>
            </w:r>
          </w:p>
          <w:p w14:paraId="3B4FBFFB"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cancer</w:t>
            </w:r>
          </w:p>
          <w:p w14:paraId="0A84CBEF" w14:textId="76968C05"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 life-threatening disease</w:t>
            </w:r>
          </w:p>
        </w:tc>
        <w:tc>
          <w:tcPr>
            <w:tcW w:w="4522" w:type="dxa"/>
            <w:gridSpan w:val="2"/>
            <w:tcBorders>
              <w:top w:val="nil"/>
              <w:left w:val="nil"/>
              <w:bottom w:val="single" w:sz="4" w:space="0" w:color="auto"/>
              <w:right w:val="single" w:sz="4" w:space="0" w:color="auto"/>
            </w:tcBorders>
          </w:tcPr>
          <w:p w14:paraId="6C878B88"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heart problems</w:t>
            </w:r>
          </w:p>
          <w:p w14:paraId="2700C915"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Get addicted</w:t>
            </w:r>
          </w:p>
          <w:p w14:paraId="642EFB06" w14:textId="77777777" w:rsidR="004D75C9" w:rsidRPr="00114A5A" w:rsidRDefault="004D75C9" w:rsidP="006E0845">
            <w:pPr>
              <w:pStyle w:val="ListParagraph"/>
              <w:ind w:left="0"/>
              <w:contextualSpacing w:val="0"/>
              <w:rPr>
                <w:rFonts w:ascii="Times New Roman" w:hAnsi="Times New Roman" w:cs="Times New Roman"/>
                <w:sz w:val="20"/>
                <w:szCs w:val="20"/>
              </w:rPr>
            </w:pPr>
            <w:r w:rsidRPr="00114A5A">
              <w:rPr>
                <w:rFonts w:ascii="Times New Roman" w:hAnsi="Times New Roman" w:cs="Times New Roman"/>
                <w:sz w:val="20"/>
                <w:szCs w:val="20"/>
              </w:rPr>
              <w:t>Have breathing problems</w:t>
            </w:r>
          </w:p>
          <w:p w14:paraId="7961118F" w14:textId="77777777" w:rsidR="004D75C9" w:rsidRPr="00114A5A" w:rsidRDefault="004D75C9" w:rsidP="006E0845">
            <w:pPr>
              <w:pStyle w:val="ListParagraph"/>
              <w:ind w:left="0"/>
              <w:contextualSpacing w:val="0"/>
              <w:rPr>
                <w:rFonts w:ascii="Times New Roman" w:hAnsi="Times New Roman" w:cs="Times New Roman"/>
                <w:color w:val="000000" w:themeColor="text1"/>
                <w:sz w:val="20"/>
                <w:szCs w:val="20"/>
              </w:rPr>
            </w:pPr>
            <w:r w:rsidRPr="00114A5A">
              <w:rPr>
                <w:rFonts w:ascii="Times New Roman" w:hAnsi="Times New Roman" w:cs="Times New Roman"/>
                <w:sz w:val="20"/>
                <w:szCs w:val="20"/>
              </w:rPr>
              <w:t>Damage your teeth</w:t>
            </w:r>
          </w:p>
          <w:p w14:paraId="23903F1B" w14:textId="77777777" w:rsidR="004D75C9" w:rsidRPr="00114A5A" w:rsidRDefault="004D75C9" w:rsidP="006E0845">
            <w:pPr>
              <w:pStyle w:val="ListParagraph"/>
              <w:ind w:left="0"/>
              <w:contextualSpacing w:val="0"/>
              <w:rPr>
                <w:rFonts w:ascii="Times New Roman" w:hAnsi="Times New Roman" w:cs="Times New Roman"/>
                <w:color w:val="000000" w:themeColor="text1"/>
                <w:sz w:val="20"/>
                <w:szCs w:val="20"/>
              </w:rPr>
            </w:pPr>
          </w:p>
        </w:tc>
      </w:tr>
    </w:tbl>
    <w:p w14:paraId="71DB0DE6" w14:textId="4F819ED1" w:rsidR="00F52BF5" w:rsidRDefault="001936E8" w:rsidP="00203918">
      <w:p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 xml:space="preserve">A measure’s validity can be described as the extent to which the set of items comprising a measure accurately </w:t>
      </w:r>
      <w:r w:rsidR="00065113">
        <w:rPr>
          <w:rFonts w:ascii="Times New Roman" w:hAnsi="Times New Roman" w:cs="Times New Roman"/>
          <w:color w:val="000000" w:themeColor="text1"/>
        </w:rPr>
        <w:t>represents</w:t>
      </w:r>
      <w:r>
        <w:rPr>
          <w:rFonts w:ascii="Times New Roman" w:hAnsi="Times New Roman" w:cs="Times New Roman"/>
          <w:color w:val="000000" w:themeColor="text1"/>
        </w:rPr>
        <w:t xml:space="preserve"> the underlying theoretical construct. </w:t>
      </w:r>
      <w:r w:rsidR="00AC2700">
        <w:rPr>
          <w:rFonts w:ascii="Times New Roman" w:hAnsi="Times New Roman" w:cs="Times New Roman"/>
          <w:color w:val="000000" w:themeColor="text1"/>
        </w:rPr>
        <w:t xml:space="preserve">In developing measures of psychosocial constructs such as risk perceptions, </w:t>
      </w:r>
      <w:r>
        <w:rPr>
          <w:rFonts w:ascii="Times New Roman" w:hAnsi="Times New Roman" w:cs="Times New Roman"/>
          <w:color w:val="000000" w:themeColor="text1"/>
        </w:rPr>
        <w:t>a particular measure’s</w:t>
      </w:r>
      <w:r w:rsidR="00AC2700">
        <w:rPr>
          <w:rFonts w:ascii="Times New Roman" w:hAnsi="Times New Roman" w:cs="Times New Roman"/>
          <w:color w:val="000000" w:themeColor="text1"/>
        </w:rPr>
        <w:t xml:space="preserve"> validity is not something that is definit</w:t>
      </w:r>
      <w:r w:rsidR="00CB6F0D">
        <w:rPr>
          <w:rFonts w:ascii="Times New Roman" w:hAnsi="Times New Roman" w:cs="Times New Roman"/>
          <w:color w:val="000000" w:themeColor="text1"/>
        </w:rPr>
        <w:t>iv</w:t>
      </w:r>
      <w:r w:rsidR="00AC2700">
        <w:rPr>
          <w:rFonts w:ascii="Times New Roman" w:hAnsi="Times New Roman" w:cs="Times New Roman"/>
          <w:color w:val="000000" w:themeColor="text1"/>
        </w:rPr>
        <w:t xml:space="preserve">ely </w:t>
      </w:r>
      <w:r>
        <w:rPr>
          <w:rFonts w:ascii="Times New Roman" w:hAnsi="Times New Roman" w:cs="Times New Roman"/>
          <w:color w:val="000000" w:themeColor="text1"/>
        </w:rPr>
        <w:t>demonstrated</w:t>
      </w:r>
      <w:r w:rsidR="00AC2700">
        <w:rPr>
          <w:rFonts w:ascii="Times New Roman" w:hAnsi="Times New Roman" w:cs="Times New Roman"/>
          <w:color w:val="000000" w:themeColor="text1"/>
        </w:rPr>
        <w:t xml:space="preserve"> </w:t>
      </w:r>
      <w:r w:rsidR="00496227">
        <w:rPr>
          <w:rFonts w:ascii="Times New Roman" w:hAnsi="Times New Roman" w:cs="Times New Roman"/>
          <w:color w:val="000000" w:themeColor="text1"/>
        </w:rPr>
        <w:t>by</w:t>
      </w:r>
      <w:r w:rsidR="001E1B5F">
        <w:rPr>
          <w:rFonts w:ascii="Times New Roman" w:hAnsi="Times New Roman" w:cs="Times New Roman"/>
          <w:color w:val="000000" w:themeColor="text1"/>
        </w:rPr>
        <w:t xml:space="preserve"> a</w:t>
      </w:r>
      <w:r w:rsidR="00496227">
        <w:rPr>
          <w:rFonts w:ascii="Times New Roman" w:hAnsi="Times New Roman" w:cs="Times New Roman"/>
          <w:color w:val="000000" w:themeColor="text1"/>
        </w:rPr>
        <w:t xml:space="preserve"> </w:t>
      </w:r>
      <w:r w:rsidR="00AC2700">
        <w:rPr>
          <w:rFonts w:ascii="Times New Roman" w:hAnsi="Times New Roman" w:cs="Times New Roman"/>
          <w:color w:val="000000" w:themeColor="text1"/>
        </w:rPr>
        <w:t xml:space="preserve">single particular </w:t>
      </w:r>
      <w:r w:rsidR="00496227">
        <w:rPr>
          <w:rFonts w:ascii="Times New Roman" w:hAnsi="Times New Roman" w:cs="Times New Roman"/>
          <w:color w:val="000000" w:themeColor="text1"/>
        </w:rPr>
        <w:t xml:space="preserve">analysis or </w:t>
      </w:r>
      <w:r w:rsidR="00AC2700">
        <w:rPr>
          <w:rFonts w:ascii="Times New Roman" w:hAnsi="Times New Roman" w:cs="Times New Roman"/>
          <w:color w:val="000000" w:themeColor="text1"/>
        </w:rPr>
        <w:t>benchmark. Rather, there are numerous types of psychosocial measure</w:t>
      </w:r>
      <w:r w:rsidR="00203918">
        <w:rPr>
          <w:rFonts w:ascii="Times New Roman" w:hAnsi="Times New Roman" w:cs="Times New Roman"/>
          <w:color w:val="000000" w:themeColor="text1"/>
        </w:rPr>
        <w:t>ment</w:t>
      </w:r>
      <w:r w:rsidR="00AC2700">
        <w:rPr>
          <w:rFonts w:ascii="Times New Roman" w:hAnsi="Times New Roman" w:cs="Times New Roman"/>
          <w:color w:val="000000" w:themeColor="text1"/>
        </w:rPr>
        <w:t xml:space="preserve"> validity that can be demonstrated a number of different ways. </w:t>
      </w:r>
      <w:r w:rsidR="000C0973">
        <w:rPr>
          <w:rFonts w:ascii="Times New Roman" w:hAnsi="Times New Roman" w:cs="Times New Roman"/>
          <w:color w:val="000000" w:themeColor="text1"/>
        </w:rPr>
        <w:t xml:space="preserve">To assess the validity of </w:t>
      </w:r>
      <w:r w:rsidR="00F52BF5">
        <w:rPr>
          <w:rFonts w:ascii="Times New Roman" w:hAnsi="Times New Roman" w:cs="Times New Roman"/>
          <w:color w:val="000000" w:themeColor="text1"/>
        </w:rPr>
        <w:t>each</w:t>
      </w:r>
      <w:r w:rsidR="000C0973">
        <w:rPr>
          <w:rFonts w:ascii="Times New Roman" w:hAnsi="Times New Roman" w:cs="Times New Roman"/>
          <w:color w:val="000000" w:themeColor="text1"/>
        </w:rPr>
        <w:t xml:space="preserve"> measure</w:t>
      </w:r>
      <w:r w:rsidR="007D185F">
        <w:rPr>
          <w:rFonts w:ascii="Times New Roman" w:hAnsi="Times New Roman" w:cs="Times New Roman"/>
          <w:color w:val="000000" w:themeColor="text1"/>
        </w:rPr>
        <w:t xml:space="preserve">, we will use </w:t>
      </w:r>
      <w:r w:rsidR="00CB6F0D">
        <w:rPr>
          <w:rFonts w:ascii="Times New Roman" w:hAnsi="Times New Roman" w:cs="Times New Roman"/>
          <w:color w:val="000000" w:themeColor="text1"/>
        </w:rPr>
        <w:t>several different</w:t>
      </w:r>
      <w:r w:rsidR="00FB75E4">
        <w:rPr>
          <w:rFonts w:ascii="Times New Roman" w:hAnsi="Times New Roman" w:cs="Times New Roman"/>
          <w:color w:val="000000" w:themeColor="text1"/>
        </w:rPr>
        <w:t xml:space="preserve"> </w:t>
      </w:r>
      <w:r w:rsidR="00F52BF5">
        <w:rPr>
          <w:rFonts w:ascii="Times New Roman" w:hAnsi="Times New Roman" w:cs="Times New Roman"/>
          <w:color w:val="000000" w:themeColor="text1"/>
        </w:rPr>
        <w:t>statistical</w:t>
      </w:r>
      <w:r w:rsidR="006C2022">
        <w:rPr>
          <w:rFonts w:ascii="Times New Roman" w:hAnsi="Times New Roman" w:cs="Times New Roman"/>
          <w:color w:val="000000" w:themeColor="text1"/>
        </w:rPr>
        <w:t xml:space="preserve"> methods </w:t>
      </w:r>
      <w:r w:rsidR="00FB75E4">
        <w:rPr>
          <w:rFonts w:ascii="Times New Roman" w:hAnsi="Times New Roman" w:cs="Times New Roman"/>
          <w:color w:val="000000" w:themeColor="text1"/>
        </w:rPr>
        <w:t>commonly used in developing measures of psychosocial constructs (described in Crano, Brewer, &amp; Lack, 2014; Devellis, 2016).</w:t>
      </w:r>
      <w:r w:rsidR="006C2022">
        <w:rPr>
          <w:rFonts w:ascii="Times New Roman" w:hAnsi="Times New Roman" w:cs="Times New Roman"/>
          <w:color w:val="000000" w:themeColor="text1"/>
        </w:rPr>
        <w:t xml:space="preserve"> These methods can be grouped into two categories: methods to </w:t>
      </w:r>
      <w:r w:rsidR="00CB6F0D">
        <w:rPr>
          <w:rFonts w:ascii="Times New Roman" w:hAnsi="Times New Roman" w:cs="Times New Roman"/>
          <w:color w:val="000000" w:themeColor="text1"/>
        </w:rPr>
        <w:t xml:space="preserve">assess the structure of a measure and </w:t>
      </w:r>
      <w:r w:rsidR="000B06AF">
        <w:rPr>
          <w:rFonts w:ascii="Times New Roman" w:hAnsi="Times New Roman" w:cs="Times New Roman"/>
          <w:color w:val="000000" w:themeColor="text1"/>
        </w:rPr>
        <w:t xml:space="preserve">systematically </w:t>
      </w:r>
      <w:r w:rsidR="006C2022">
        <w:rPr>
          <w:rFonts w:ascii="Times New Roman" w:hAnsi="Times New Roman" w:cs="Times New Roman"/>
          <w:color w:val="000000" w:themeColor="text1"/>
        </w:rPr>
        <w:t xml:space="preserve">narrow down </w:t>
      </w:r>
      <w:r w:rsidR="00CB6F0D">
        <w:rPr>
          <w:rFonts w:ascii="Times New Roman" w:hAnsi="Times New Roman" w:cs="Times New Roman"/>
          <w:color w:val="000000" w:themeColor="text1"/>
        </w:rPr>
        <w:t xml:space="preserve">the list of items into </w:t>
      </w:r>
      <w:r w:rsidR="006C2022">
        <w:rPr>
          <w:rFonts w:ascii="Times New Roman" w:hAnsi="Times New Roman" w:cs="Times New Roman"/>
          <w:color w:val="000000" w:themeColor="text1"/>
        </w:rPr>
        <w:t xml:space="preserve">a smaller set </w:t>
      </w:r>
      <w:r w:rsidR="00CB6F0D">
        <w:rPr>
          <w:rFonts w:ascii="Times New Roman" w:hAnsi="Times New Roman" w:cs="Times New Roman"/>
          <w:color w:val="000000" w:themeColor="text1"/>
        </w:rPr>
        <w:t>to represent</w:t>
      </w:r>
      <w:r w:rsidR="006C2022">
        <w:rPr>
          <w:rFonts w:ascii="Times New Roman" w:hAnsi="Times New Roman" w:cs="Times New Roman"/>
          <w:color w:val="000000" w:themeColor="text1"/>
        </w:rPr>
        <w:t xml:space="preserve"> </w:t>
      </w:r>
      <w:r w:rsidR="000B06AF">
        <w:rPr>
          <w:rFonts w:ascii="Times New Roman" w:hAnsi="Times New Roman" w:cs="Times New Roman"/>
          <w:color w:val="000000" w:themeColor="text1"/>
        </w:rPr>
        <w:t xml:space="preserve">the </w:t>
      </w:r>
      <w:r w:rsidR="006C2022">
        <w:rPr>
          <w:rFonts w:ascii="Times New Roman" w:hAnsi="Times New Roman" w:cs="Times New Roman"/>
          <w:color w:val="000000" w:themeColor="text1"/>
        </w:rPr>
        <w:t>final</w:t>
      </w:r>
      <w:r w:rsidR="000B06AF">
        <w:rPr>
          <w:rFonts w:ascii="Times New Roman" w:hAnsi="Times New Roman" w:cs="Times New Roman"/>
          <w:color w:val="000000" w:themeColor="text1"/>
        </w:rPr>
        <w:t xml:space="preserve"> </w:t>
      </w:r>
      <w:r w:rsidR="006C2022">
        <w:rPr>
          <w:rFonts w:ascii="Times New Roman" w:hAnsi="Times New Roman" w:cs="Times New Roman"/>
          <w:color w:val="000000" w:themeColor="text1"/>
        </w:rPr>
        <w:t>scale</w:t>
      </w:r>
      <w:r w:rsidR="005F49EB">
        <w:rPr>
          <w:rFonts w:ascii="Times New Roman" w:hAnsi="Times New Roman" w:cs="Times New Roman"/>
          <w:color w:val="000000" w:themeColor="text1"/>
        </w:rPr>
        <w:t>;</w:t>
      </w:r>
      <w:r w:rsidR="006C2022">
        <w:rPr>
          <w:rFonts w:ascii="Times New Roman" w:hAnsi="Times New Roman" w:cs="Times New Roman"/>
          <w:color w:val="000000" w:themeColor="text1"/>
        </w:rPr>
        <w:t xml:space="preserve"> and methods to </w:t>
      </w:r>
      <w:r w:rsidR="000B06AF">
        <w:rPr>
          <w:rFonts w:ascii="Times New Roman" w:hAnsi="Times New Roman" w:cs="Times New Roman"/>
          <w:color w:val="000000" w:themeColor="text1"/>
        </w:rPr>
        <w:t xml:space="preserve">further </w:t>
      </w:r>
      <w:r w:rsidR="006C2022">
        <w:rPr>
          <w:rFonts w:ascii="Times New Roman" w:hAnsi="Times New Roman" w:cs="Times New Roman"/>
          <w:color w:val="000000" w:themeColor="text1"/>
        </w:rPr>
        <w:t>assess the validity of the final scale.</w:t>
      </w:r>
      <w:r w:rsidR="00117DD9">
        <w:rPr>
          <w:rFonts w:ascii="Times New Roman" w:hAnsi="Times New Roman" w:cs="Times New Roman"/>
          <w:color w:val="000000" w:themeColor="text1"/>
        </w:rPr>
        <w:t xml:space="preserve"> For each construct, we seek to develop a measure that consists of a subset of the items listed in the table above that have performed well in validity analyses listed in the table below. </w:t>
      </w:r>
    </w:p>
    <w:tbl>
      <w:tblPr>
        <w:tblStyle w:val="TableGrid"/>
        <w:tblW w:w="0" w:type="auto"/>
        <w:tblLook w:val="04A0" w:firstRow="1" w:lastRow="0" w:firstColumn="1" w:lastColumn="0" w:noHBand="0" w:noVBand="1"/>
      </w:tblPr>
      <w:tblGrid>
        <w:gridCol w:w="2605"/>
        <w:gridCol w:w="6745"/>
      </w:tblGrid>
      <w:tr w:rsidR="00012AC0" w14:paraId="7A969B50" w14:textId="77777777" w:rsidTr="002F1B9A">
        <w:tc>
          <w:tcPr>
            <w:tcW w:w="9350" w:type="dxa"/>
            <w:gridSpan w:val="2"/>
            <w:shd w:val="clear" w:color="auto" w:fill="D9D9D9" w:themeFill="background1" w:themeFillShade="D9"/>
          </w:tcPr>
          <w:p w14:paraId="0A3DA95A" w14:textId="77777777"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Methods to narrow down set of items to a final measure</w:t>
            </w:r>
          </w:p>
        </w:tc>
      </w:tr>
      <w:tr w:rsidR="00012AC0" w14:paraId="715E3629" w14:textId="77777777" w:rsidTr="008A285D">
        <w:tc>
          <w:tcPr>
            <w:tcW w:w="2605" w:type="dxa"/>
            <w:shd w:val="clear" w:color="auto" w:fill="D9D9D9" w:themeFill="background1" w:themeFillShade="D9"/>
          </w:tcPr>
          <w:p w14:paraId="7ED1400C" w14:textId="77777777"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Method</w:t>
            </w:r>
          </w:p>
        </w:tc>
        <w:tc>
          <w:tcPr>
            <w:tcW w:w="6745" w:type="dxa"/>
            <w:shd w:val="clear" w:color="auto" w:fill="D9D9D9" w:themeFill="background1" w:themeFillShade="D9"/>
          </w:tcPr>
          <w:p w14:paraId="3C931375" w14:textId="77777777"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Purpose</w:t>
            </w:r>
          </w:p>
        </w:tc>
      </w:tr>
      <w:tr w:rsidR="00012AC0" w14:paraId="7D8EF626" w14:textId="77777777" w:rsidTr="008A285D">
        <w:tc>
          <w:tcPr>
            <w:tcW w:w="2605" w:type="dxa"/>
          </w:tcPr>
          <w:p w14:paraId="4650A7BF"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Content validity with Exploratory Factor Analysis (EFA)</w:t>
            </w:r>
          </w:p>
        </w:tc>
        <w:tc>
          <w:tcPr>
            <w:tcW w:w="6745" w:type="dxa"/>
          </w:tcPr>
          <w:p w14:paraId="1F40371C" w14:textId="08D8140D"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 xml:space="preserve">Content validity can be described as the extent to which the items in a measure represent the full construct. EFA can help determine the underlying </w:t>
            </w:r>
            <w:r w:rsidR="00114A5A" w:rsidRPr="00114A5A">
              <w:rPr>
                <w:rFonts w:ascii="Times New Roman" w:hAnsi="Times New Roman" w:cs="Times New Roman"/>
                <w:color w:val="000000" w:themeColor="text1"/>
                <w:sz w:val="20"/>
                <w:szCs w:val="20"/>
              </w:rPr>
              <w:t>factor</w:t>
            </w:r>
            <w:r w:rsidRPr="00114A5A">
              <w:rPr>
                <w:rFonts w:ascii="Times New Roman" w:hAnsi="Times New Roman" w:cs="Times New Roman"/>
                <w:color w:val="000000" w:themeColor="text1"/>
                <w:sz w:val="20"/>
                <w:szCs w:val="20"/>
              </w:rPr>
              <w:t xml:space="preserve"> structure of the scale based on how items correlate with one another, i.e.</w:t>
            </w:r>
            <w:r w:rsidR="008B3E99" w:rsidRPr="00114A5A">
              <w:rPr>
                <w:rFonts w:ascii="Times New Roman" w:hAnsi="Times New Roman" w:cs="Times New Roman"/>
                <w:color w:val="000000" w:themeColor="text1"/>
                <w:sz w:val="20"/>
                <w:szCs w:val="20"/>
              </w:rPr>
              <w:t>,</w:t>
            </w:r>
            <w:r w:rsidRPr="00114A5A">
              <w:rPr>
                <w:rFonts w:ascii="Times New Roman" w:hAnsi="Times New Roman" w:cs="Times New Roman"/>
                <w:color w:val="000000" w:themeColor="text1"/>
                <w:sz w:val="20"/>
                <w:szCs w:val="20"/>
              </w:rPr>
              <w:t xml:space="preserve"> whether items tend to cluster into different </w:t>
            </w:r>
            <w:r w:rsidR="00114A5A" w:rsidRPr="00114A5A">
              <w:rPr>
                <w:rFonts w:ascii="Times New Roman" w:hAnsi="Times New Roman" w:cs="Times New Roman"/>
                <w:color w:val="000000" w:themeColor="text1"/>
                <w:sz w:val="20"/>
                <w:szCs w:val="20"/>
              </w:rPr>
              <w:t>factors (</w:t>
            </w:r>
            <w:r w:rsidRPr="00114A5A">
              <w:rPr>
                <w:rFonts w:ascii="Times New Roman" w:hAnsi="Times New Roman" w:cs="Times New Roman"/>
                <w:color w:val="000000" w:themeColor="text1"/>
                <w:sz w:val="20"/>
                <w:szCs w:val="20"/>
              </w:rPr>
              <w:t>subscales</w:t>
            </w:r>
            <w:r w:rsidR="00114A5A" w:rsidRPr="00114A5A">
              <w:rPr>
                <w:rFonts w:ascii="Times New Roman" w:hAnsi="Times New Roman" w:cs="Times New Roman"/>
                <w:color w:val="000000" w:themeColor="text1"/>
                <w:sz w:val="20"/>
                <w:szCs w:val="20"/>
              </w:rPr>
              <w:t>)</w:t>
            </w:r>
            <w:r w:rsidRPr="00114A5A">
              <w:rPr>
                <w:rFonts w:ascii="Times New Roman" w:hAnsi="Times New Roman" w:cs="Times New Roman"/>
                <w:color w:val="000000" w:themeColor="text1"/>
                <w:sz w:val="20"/>
                <w:szCs w:val="20"/>
              </w:rPr>
              <w:t xml:space="preserve"> or they are all part of the same main scale. </w:t>
            </w:r>
            <w:r w:rsidR="008B3E99" w:rsidRPr="00114A5A">
              <w:rPr>
                <w:rFonts w:ascii="Times New Roman" w:hAnsi="Times New Roman" w:cs="Times New Roman"/>
                <w:color w:val="000000" w:themeColor="text1"/>
                <w:sz w:val="20"/>
                <w:szCs w:val="20"/>
              </w:rPr>
              <w:t>EFA c</w:t>
            </w:r>
            <w:r w:rsidRPr="00114A5A">
              <w:rPr>
                <w:rFonts w:ascii="Times New Roman" w:hAnsi="Times New Roman" w:cs="Times New Roman"/>
                <w:color w:val="000000" w:themeColor="text1"/>
                <w:sz w:val="20"/>
                <w:szCs w:val="20"/>
              </w:rPr>
              <w:t xml:space="preserve">an also identify if </w:t>
            </w:r>
            <w:r w:rsidR="008B3E99" w:rsidRPr="00114A5A">
              <w:rPr>
                <w:rFonts w:ascii="Times New Roman" w:hAnsi="Times New Roman" w:cs="Times New Roman"/>
                <w:color w:val="000000" w:themeColor="text1"/>
                <w:sz w:val="20"/>
                <w:szCs w:val="20"/>
              </w:rPr>
              <w:t xml:space="preserve">one or several </w:t>
            </w:r>
            <w:r w:rsidRPr="00114A5A">
              <w:rPr>
                <w:rFonts w:ascii="Times New Roman" w:hAnsi="Times New Roman" w:cs="Times New Roman"/>
                <w:color w:val="000000" w:themeColor="text1"/>
                <w:sz w:val="20"/>
                <w:szCs w:val="20"/>
              </w:rPr>
              <w:t xml:space="preserve">items do not correlate with </w:t>
            </w:r>
            <w:r w:rsidR="008B3E99" w:rsidRPr="00114A5A">
              <w:rPr>
                <w:rFonts w:ascii="Times New Roman" w:hAnsi="Times New Roman" w:cs="Times New Roman"/>
                <w:color w:val="000000" w:themeColor="text1"/>
                <w:sz w:val="20"/>
                <w:szCs w:val="20"/>
              </w:rPr>
              <w:t>the scale or any subscale</w:t>
            </w:r>
            <w:r w:rsidRPr="00114A5A">
              <w:rPr>
                <w:rFonts w:ascii="Times New Roman" w:hAnsi="Times New Roman" w:cs="Times New Roman"/>
                <w:color w:val="000000" w:themeColor="text1"/>
                <w:sz w:val="20"/>
                <w:szCs w:val="20"/>
              </w:rPr>
              <w:t xml:space="preserve"> and should be removed</w:t>
            </w:r>
            <w:r w:rsidR="008B3E99" w:rsidRPr="00114A5A">
              <w:rPr>
                <w:rFonts w:ascii="Times New Roman" w:hAnsi="Times New Roman" w:cs="Times New Roman"/>
                <w:color w:val="000000" w:themeColor="text1"/>
                <w:sz w:val="20"/>
                <w:szCs w:val="20"/>
              </w:rPr>
              <w:t xml:space="preserve"> from the final measure. </w:t>
            </w:r>
          </w:p>
        </w:tc>
      </w:tr>
      <w:tr w:rsidR="00012AC0" w14:paraId="0CDC18FC" w14:textId="77777777" w:rsidTr="008A285D">
        <w:tc>
          <w:tcPr>
            <w:tcW w:w="2605" w:type="dxa"/>
          </w:tcPr>
          <w:p w14:paraId="70860CDB"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Content Validity with Confirmatory Factor Analysis (CFA)</w:t>
            </w:r>
          </w:p>
        </w:tc>
        <w:tc>
          <w:tcPr>
            <w:tcW w:w="6745" w:type="dxa"/>
          </w:tcPr>
          <w:p w14:paraId="61A833E7" w14:textId="3C6602AF"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 xml:space="preserve">After determining the underlying structure in EFA, assess the extent to which the factor structure fits the data based on </w:t>
            </w:r>
            <w:r w:rsidR="00114A5A" w:rsidRPr="00114A5A">
              <w:rPr>
                <w:rFonts w:ascii="Times New Roman" w:hAnsi="Times New Roman" w:cs="Times New Roman"/>
                <w:color w:val="000000" w:themeColor="text1"/>
                <w:sz w:val="20"/>
                <w:szCs w:val="20"/>
              </w:rPr>
              <w:t>model</w:t>
            </w:r>
            <w:r w:rsidRPr="00114A5A">
              <w:rPr>
                <w:rFonts w:ascii="Times New Roman" w:hAnsi="Times New Roman" w:cs="Times New Roman"/>
                <w:color w:val="000000" w:themeColor="text1"/>
                <w:sz w:val="20"/>
                <w:szCs w:val="20"/>
              </w:rPr>
              <w:t xml:space="preserve"> fit indices.</w:t>
            </w:r>
            <w:r w:rsidR="00114A5A" w:rsidRPr="00114A5A">
              <w:rPr>
                <w:rFonts w:ascii="Times New Roman" w:hAnsi="Times New Roman" w:cs="Times New Roman"/>
                <w:color w:val="000000" w:themeColor="text1"/>
                <w:sz w:val="20"/>
                <w:szCs w:val="20"/>
              </w:rPr>
              <w:t xml:space="preserve"> Rather than assessing what the structure is, this analysis tests to see if the structure we identified represents the data well. </w:t>
            </w:r>
          </w:p>
        </w:tc>
      </w:tr>
      <w:tr w:rsidR="00012AC0" w14:paraId="09BC6C70" w14:textId="77777777" w:rsidTr="008A285D">
        <w:tc>
          <w:tcPr>
            <w:tcW w:w="2605" w:type="dxa"/>
          </w:tcPr>
          <w:p w14:paraId="72B73CE2"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Reliability analysis based on Cronbach’s alpha</w:t>
            </w:r>
          </w:p>
        </w:tc>
        <w:tc>
          <w:tcPr>
            <w:tcW w:w="6745" w:type="dxa"/>
          </w:tcPr>
          <w:p w14:paraId="7AA792EC" w14:textId="1B732132"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For a measure to be valid, it must be reliable</w:t>
            </w:r>
            <w:r w:rsidR="009D7504" w:rsidRPr="00114A5A">
              <w:rPr>
                <w:rFonts w:ascii="Times New Roman" w:hAnsi="Times New Roman" w:cs="Times New Roman"/>
                <w:color w:val="000000" w:themeColor="text1"/>
                <w:sz w:val="20"/>
                <w:szCs w:val="20"/>
              </w:rPr>
              <w:t xml:space="preserve"> (i.e., </w:t>
            </w:r>
            <w:r w:rsidR="00114A5A" w:rsidRPr="00114A5A">
              <w:rPr>
                <w:rFonts w:ascii="Times New Roman" w:hAnsi="Times New Roman" w:cs="Times New Roman"/>
                <w:color w:val="000000" w:themeColor="text1"/>
                <w:sz w:val="20"/>
                <w:szCs w:val="20"/>
              </w:rPr>
              <w:t xml:space="preserve">internally </w:t>
            </w:r>
            <w:r w:rsidR="009D7504" w:rsidRPr="00114A5A">
              <w:rPr>
                <w:rFonts w:ascii="Times New Roman" w:hAnsi="Times New Roman" w:cs="Times New Roman"/>
                <w:color w:val="000000" w:themeColor="text1"/>
                <w:sz w:val="20"/>
                <w:szCs w:val="20"/>
              </w:rPr>
              <w:t>consistent</w:t>
            </w:r>
            <w:r w:rsidR="00114A5A" w:rsidRPr="00114A5A">
              <w:rPr>
                <w:rFonts w:ascii="Times New Roman" w:hAnsi="Times New Roman" w:cs="Times New Roman"/>
                <w:color w:val="000000" w:themeColor="text1"/>
                <w:sz w:val="20"/>
                <w:szCs w:val="20"/>
              </w:rPr>
              <w:t>; to show items are tapping into the same construct</w:t>
            </w:r>
            <w:r w:rsidR="009D7504" w:rsidRPr="00114A5A">
              <w:rPr>
                <w:rFonts w:ascii="Times New Roman" w:hAnsi="Times New Roman" w:cs="Times New Roman"/>
                <w:color w:val="000000" w:themeColor="text1"/>
                <w:sz w:val="20"/>
                <w:szCs w:val="20"/>
              </w:rPr>
              <w:t>)</w:t>
            </w:r>
            <w:r w:rsidRPr="00114A5A">
              <w:rPr>
                <w:rFonts w:ascii="Times New Roman" w:hAnsi="Times New Roman" w:cs="Times New Roman"/>
                <w:color w:val="000000" w:themeColor="text1"/>
                <w:sz w:val="20"/>
                <w:szCs w:val="20"/>
              </w:rPr>
              <w:t xml:space="preserve">. For either the overall scale (if it’s a one-factor scale based on factor analyses) or each factor of the scale (if it’s a multi-factor scale based on the factor analyses), </w:t>
            </w:r>
            <w:r w:rsidR="009D7504" w:rsidRPr="00114A5A">
              <w:rPr>
                <w:rFonts w:ascii="Times New Roman" w:hAnsi="Times New Roman" w:cs="Times New Roman"/>
                <w:color w:val="000000" w:themeColor="text1"/>
                <w:sz w:val="20"/>
                <w:szCs w:val="20"/>
              </w:rPr>
              <w:t xml:space="preserve">we will </w:t>
            </w:r>
            <w:r w:rsidRPr="00114A5A">
              <w:rPr>
                <w:rFonts w:ascii="Times New Roman" w:hAnsi="Times New Roman" w:cs="Times New Roman"/>
                <w:color w:val="000000" w:themeColor="text1"/>
                <w:sz w:val="20"/>
                <w:szCs w:val="20"/>
              </w:rPr>
              <w:t>assess the extent to which items correlate with one another. Cronbach’s alpha should be at least .70 to indicate good reliability (Crano et al., 2014; Devellis, 2016). Analyses can determine the reliability of the overall scale and whether it can be improved by removing certain items that may not correlate well with the other items.</w:t>
            </w:r>
          </w:p>
        </w:tc>
      </w:tr>
      <w:tr w:rsidR="00012AC0" w14:paraId="281209A0" w14:textId="77777777" w:rsidTr="002F1B9A">
        <w:trPr>
          <w:trHeight w:val="197"/>
        </w:trPr>
        <w:tc>
          <w:tcPr>
            <w:tcW w:w="9350" w:type="dxa"/>
            <w:gridSpan w:val="2"/>
            <w:shd w:val="clear" w:color="auto" w:fill="D9D9D9" w:themeFill="background1" w:themeFillShade="D9"/>
          </w:tcPr>
          <w:p w14:paraId="1C98AC2D" w14:textId="77777777"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Methods to assess the validity of the final measure</w:t>
            </w:r>
          </w:p>
        </w:tc>
      </w:tr>
      <w:tr w:rsidR="00012AC0" w14:paraId="50D4F3F2" w14:textId="77777777" w:rsidTr="008A285D">
        <w:tc>
          <w:tcPr>
            <w:tcW w:w="2605" w:type="dxa"/>
            <w:shd w:val="clear" w:color="auto" w:fill="D9D9D9" w:themeFill="background1" w:themeFillShade="D9"/>
          </w:tcPr>
          <w:p w14:paraId="5707F958" w14:textId="60C1BF1E"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Method</w:t>
            </w:r>
          </w:p>
        </w:tc>
        <w:tc>
          <w:tcPr>
            <w:tcW w:w="6745" w:type="dxa"/>
            <w:shd w:val="clear" w:color="auto" w:fill="D9D9D9" w:themeFill="background1" w:themeFillShade="D9"/>
          </w:tcPr>
          <w:p w14:paraId="67F583FA" w14:textId="77777777" w:rsidR="00012AC0" w:rsidRPr="00114A5A" w:rsidRDefault="00012AC0" w:rsidP="002F1B9A">
            <w:pPr>
              <w:spacing w:before="100" w:beforeAutospacing="1" w:after="100" w:afterAutospacing="1"/>
              <w:jc w:val="center"/>
              <w:rPr>
                <w:rFonts w:ascii="Times New Roman" w:hAnsi="Times New Roman" w:cs="Times New Roman"/>
                <w:b/>
                <w:color w:val="000000" w:themeColor="text1"/>
                <w:sz w:val="20"/>
                <w:szCs w:val="20"/>
              </w:rPr>
            </w:pPr>
            <w:r w:rsidRPr="00114A5A">
              <w:rPr>
                <w:rFonts w:ascii="Times New Roman" w:hAnsi="Times New Roman" w:cs="Times New Roman"/>
                <w:b/>
                <w:color w:val="000000" w:themeColor="text1"/>
                <w:sz w:val="20"/>
                <w:szCs w:val="20"/>
              </w:rPr>
              <w:t>Purpose</w:t>
            </w:r>
          </w:p>
        </w:tc>
      </w:tr>
      <w:tr w:rsidR="00012AC0" w14:paraId="28046730" w14:textId="77777777" w:rsidTr="008A285D">
        <w:tc>
          <w:tcPr>
            <w:tcW w:w="2605" w:type="dxa"/>
          </w:tcPr>
          <w:p w14:paraId="149F7ADC"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Known groups validity, t-tests comparing current product users to nonusers.</w:t>
            </w:r>
          </w:p>
          <w:p w14:paraId="45390BA2"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p>
        </w:tc>
        <w:tc>
          <w:tcPr>
            <w:tcW w:w="6745" w:type="dxa"/>
          </w:tcPr>
          <w:p w14:paraId="38802B28" w14:textId="39E01F2A"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 xml:space="preserve">This type of validity is demonstrated when groups that theoretically should have different scores on the measure actually do have different scores on the measure. Because prior literature has established that users of a particular tobacco product think it is less risky than nonusers of the product, we expect higher mean risk ratings among product </w:t>
            </w:r>
            <w:r w:rsidR="00115A85">
              <w:rPr>
                <w:rFonts w:ascii="Times New Roman" w:hAnsi="Times New Roman" w:cs="Times New Roman"/>
                <w:color w:val="000000" w:themeColor="text1"/>
                <w:sz w:val="20"/>
                <w:szCs w:val="20"/>
              </w:rPr>
              <w:t>non</w:t>
            </w:r>
            <w:r w:rsidRPr="00114A5A">
              <w:rPr>
                <w:rFonts w:ascii="Times New Roman" w:hAnsi="Times New Roman" w:cs="Times New Roman"/>
                <w:color w:val="000000" w:themeColor="text1"/>
                <w:sz w:val="20"/>
                <w:szCs w:val="20"/>
              </w:rPr>
              <w:t>users compared to users.</w:t>
            </w:r>
          </w:p>
        </w:tc>
      </w:tr>
      <w:tr w:rsidR="00012AC0" w14:paraId="2A6F1CA9" w14:textId="77777777" w:rsidTr="008A285D">
        <w:tc>
          <w:tcPr>
            <w:tcW w:w="2605" w:type="dxa"/>
          </w:tcPr>
          <w:p w14:paraId="4BF7651E"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Discriminant validity, correlational analysis with skepticism about the harms of tobacco.</w:t>
            </w:r>
          </w:p>
        </w:tc>
        <w:tc>
          <w:tcPr>
            <w:tcW w:w="6745" w:type="dxa"/>
          </w:tcPr>
          <w:p w14:paraId="6CEF1114" w14:textId="7AAEBDC1"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 xml:space="preserve">This type of validity is demonstrated when the measure of the construct differs from measures of constructs it should theoretically differ from. We will assess this by correlating scores from a valid measure of skepticism of the harms of tobacco </w:t>
            </w:r>
            <w:r w:rsidR="00C9392A" w:rsidRPr="00114A5A">
              <w:rPr>
                <w:rFonts w:ascii="Times New Roman" w:hAnsi="Times New Roman" w:cs="Times New Roman"/>
                <w:color w:val="000000" w:themeColor="text1"/>
                <w:sz w:val="20"/>
                <w:szCs w:val="20"/>
              </w:rPr>
              <w:t>(</w:t>
            </w:r>
            <w:r w:rsidR="00D97A00" w:rsidRPr="00114A5A">
              <w:rPr>
                <w:rFonts w:ascii="Times New Roman" w:hAnsi="Times New Roman" w:cs="Times New Roman"/>
                <w:color w:val="000000" w:themeColor="text1"/>
                <w:sz w:val="20"/>
                <w:szCs w:val="20"/>
              </w:rPr>
              <w:t xml:space="preserve">questionnaire </w:t>
            </w:r>
            <w:r w:rsidR="00C9392A" w:rsidRPr="00114A5A">
              <w:rPr>
                <w:rFonts w:ascii="Times New Roman" w:hAnsi="Times New Roman" w:cs="Times New Roman"/>
                <w:color w:val="000000" w:themeColor="text1"/>
                <w:sz w:val="20"/>
                <w:szCs w:val="20"/>
              </w:rPr>
              <w:t>p.</w:t>
            </w:r>
            <w:r w:rsidR="00ED7E23" w:rsidRPr="00114A5A">
              <w:rPr>
                <w:rFonts w:ascii="Times New Roman" w:hAnsi="Times New Roman" w:cs="Times New Roman"/>
                <w:color w:val="000000" w:themeColor="text1"/>
                <w:sz w:val="20"/>
                <w:szCs w:val="20"/>
              </w:rPr>
              <w:t>10</w:t>
            </w:r>
            <w:r w:rsidR="00C9392A" w:rsidRPr="00114A5A">
              <w:rPr>
                <w:rFonts w:ascii="Times New Roman" w:hAnsi="Times New Roman" w:cs="Times New Roman"/>
                <w:color w:val="000000" w:themeColor="text1"/>
                <w:sz w:val="20"/>
                <w:szCs w:val="20"/>
              </w:rPr>
              <w:t xml:space="preserve">) </w:t>
            </w:r>
            <w:r w:rsidRPr="00114A5A">
              <w:rPr>
                <w:rFonts w:ascii="Times New Roman" w:hAnsi="Times New Roman" w:cs="Times New Roman"/>
                <w:color w:val="000000" w:themeColor="text1"/>
                <w:sz w:val="20"/>
                <w:szCs w:val="20"/>
              </w:rPr>
              <w:t xml:space="preserve">with scores from each final measure. Validity will be demonstrated if correlations are moderate and negative, as people who are skeptical of the harms of tobacco should also hold low risk perceptions of tobacco. </w:t>
            </w:r>
          </w:p>
        </w:tc>
      </w:tr>
      <w:tr w:rsidR="00012AC0" w14:paraId="1418BF2A" w14:textId="77777777" w:rsidTr="008A285D">
        <w:tc>
          <w:tcPr>
            <w:tcW w:w="2605" w:type="dxa"/>
          </w:tcPr>
          <w:p w14:paraId="03AB448F" w14:textId="77777777"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 xml:space="preserve">Convergent validity, correlational analysis of single-item measure of harm perception. </w:t>
            </w:r>
          </w:p>
        </w:tc>
        <w:tc>
          <w:tcPr>
            <w:tcW w:w="6745" w:type="dxa"/>
          </w:tcPr>
          <w:p w14:paraId="5C71C829" w14:textId="23140D26" w:rsidR="00012AC0" w:rsidRPr="00114A5A" w:rsidRDefault="00012AC0" w:rsidP="002F1B9A">
            <w:pPr>
              <w:spacing w:before="100" w:beforeAutospacing="1" w:after="100" w:afterAutospacing="1"/>
              <w:rPr>
                <w:rFonts w:ascii="Times New Roman" w:hAnsi="Times New Roman" w:cs="Times New Roman"/>
                <w:color w:val="000000" w:themeColor="text1"/>
                <w:sz w:val="20"/>
                <w:szCs w:val="20"/>
              </w:rPr>
            </w:pPr>
            <w:r w:rsidRPr="00114A5A">
              <w:rPr>
                <w:rFonts w:ascii="Times New Roman" w:hAnsi="Times New Roman" w:cs="Times New Roman"/>
                <w:color w:val="000000" w:themeColor="text1"/>
                <w:sz w:val="20"/>
                <w:szCs w:val="20"/>
              </w:rPr>
              <w:t>This type of validity is demonstrated when the measure of the construct corresponds to other measures of the same construct. To assess this, we will correlate scores on each final measure with a single-item measure of harm perception</w:t>
            </w:r>
            <w:r w:rsidR="00A24AA1" w:rsidRPr="00114A5A">
              <w:rPr>
                <w:rFonts w:ascii="Times New Roman" w:hAnsi="Times New Roman" w:cs="Times New Roman"/>
                <w:color w:val="000000" w:themeColor="text1"/>
                <w:sz w:val="20"/>
                <w:szCs w:val="20"/>
              </w:rPr>
              <w:t xml:space="preserve"> of the product category (e-cigarettes or snuff)</w:t>
            </w:r>
            <w:r w:rsidRPr="00114A5A">
              <w:rPr>
                <w:rFonts w:ascii="Times New Roman" w:hAnsi="Times New Roman" w:cs="Times New Roman"/>
                <w:color w:val="000000" w:themeColor="text1"/>
                <w:sz w:val="20"/>
                <w:szCs w:val="20"/>
              </w:rPr>
              <w:t xml:space="preserve"> adapted from another government survey</w:t>
            </w:r>
            <w:r w:rsidR="00AA4087" w:rsidRPr="00114A5A">
              <w:rPr>
                <w:rFonts w:ascii="Times New Roman" w:hAnsi="Times New Roman" w:cs="Times New Roman"/>
                <w:color w:val="000000" w:themeColor="text1"/>
                <w:sz w:val="20"/>
                <w:szCs w:val="20"/>
              </w:rPr>
              <w:t xml:space="preserve"> (</w:t>
            </w:r>
            <w:r w:rsidR="00D97A00" w:rsidRPr="00114A5A">
              <w:rPr>
                <w:rFonts w:ascii="Times New Roman" w:hAnsi="Times New Roman" w:cs="Times New Roman"/>
                <w:color w:val="000000" w:themeColor="text1"/>
                <w:sz w:val="20"/>
                <w:szCs w:val="20"/>
              </w:rPr>
              <w:t xml:space="preserve">questionnaire </w:t>
            </w:r>
            <w:r w:rsidR="00AA4087" w:rsidRPr="00114A5A">
              <w:rPr>
                <w:rFonts w:ascii="Times New Roman" w:hAnsi="Times New Roman" w:cs="Times New Roman"/>
                <w:color w:val="000000" w:themeColor="text1"/>
                <w:sz w:val="20"/>
                <w:szCs w:val="20"/>
              </w:rPr>
              <w:t xml:space="preserve">p. </w:t>
            </w:r>
            <w:r w:rsidR="0032069B" w:rsidRPr="00114A5A">
              <w:rPr>
                <w:rFonts w:ascii="Times New Roman" w:hAnsi="Times New Roman" w:cs="Times New Roman"/>
                <w:color w:val="000000" w:themeColor="text1"/>
                <w:sz w:val="20"/>
                <w:szCs w:val="20"/>
              </w:rPr>
              <w:t>8</w:t>
            </w:r>
            <w:r w:rsidR="00AA4087" w:rsidRPr="00114A5A">
              <w:rPr>
                <w:rFonts w:ascii="Times New Roman" w:hAnsi="Times New Roman" w:cs="Times New Roman"/>
                <w:color w:val="000000" w:themeColor="text1"/>
                <w:sz w:val="20"/>
                <w:szCs w:val="20"/>
              </w:rPr>
              <w:t>, Q</w:t>
            </w:r>
            <w:r w:rsidR="0032069B" w:rsidRPr="00114A5A">
              <w:rPr>
                <w:rFonts w:ascii="Times New Roman" w:hAnsi="Times New Roman" w:cs="Times New Roman"/>
                <w:color w:val="000000" w:themeColor="text1"/>
                <w:sz w:val="20"/>
                <w:szCs w:val="20"/>
              </w:rPr>
              <w:t>25</w:t>
            </w:r>
            <w:r w:rsidR="00AA4087" w:rsidRPr="00114A5A">
              <w:rPr>
                <w:rFonts w:ascii="Times New Roman" w:hAnsi="Times New Roman" w:cs="Times New Roman"/>
                <w:color w:val="000000" w:themeColor="text1"/>
                <w:sz w:val="20"/>
                <w:szCs w:val="20"/>
              </w:rPr>
              <w:t>)</w:t>
            </w:r>
            <w:r w:rsidRPr="00114A5A">
              <w:rPr>
                <w:rFonts w:ascii="Times New Roman" w:hAnsi="Times New Roman" w:cs="Times New Roman"/>
                <w:color w:val="000000" w:themeColor="text1"/>
                <w:sz w:val="20"/>
                <w:szCs w:val="20"/>
              </w:rPr>
              <w:t>. Validity will be demonstrated if correlations are moderate and positive.</w:t>
            </w:r>
          </w:p>
        </w:tc>
      </w:tr>
    </w:tbl>
    <w:p w14:paraId="30E72D8F" w14:textId="757C26B2" w:rsidR="00496227" w:rsidRPr="00B6274E" w:rsidRDefault="00496227" w:rsidP="00496227">
      <w:pPr>
        <w:rPr>
          <w:rFonts w:ascii="Times New Roman" w:hAnsi="Times New Roman" w:cs="Times New Roman"/>
          <w:color w:val="000000" w:themeColor="text1"/>
          <w:sz w:val="20"/>
          <w:szCs w:val="20"/>
        </w:rPr>
      </w:pPr>
      <w:r w:rsidRPr="00B6274E">
        <w:rPr>
          <w:rFonts w:ascii="Times New Roman" w:hAnsi="Times New Roman" w:cs="Times New Roman"/>
          <w:color w:val="000000" w:themeColor="text1"/>
          <w:sz w:val="20"/>
          <w:szCs w:val="20"/>
        </w:rPr>
        <w:t>Sources:</w:t>
      </w:r>
    </w:p>
    <w:p w14:paraId="4BBF3B77" w14:textId="3349CA6B" w:rsidR="00FB75E4" w:rsidRPr="00B6274E" w:rsidRDefault="00FB75E4" w:rsidP="00496227">
      <w:pPr>
        <w:rPr>
          <w:rFonts w:ascii="Times New Roman" w:hAnsi="Times New Roman" w:cs="Times New Roman"/>
          <w:color w:val="000000" w:themeColor="text1"/>
          <w:sz w:val="20"/>
          <w:szCs w:val="20"/>
        </w:rPr>
      </w:pPr>
      <w:r w:rsidRPr="00B6274E">
        <w:rPr>
          <w:rFonts w:ascii="Times New Roman" w:hAnsi="Times New Roman" w:cs="Times New Roman"/>
          <w:color w:val="222222"/>
          <w:sz w:val="20"/>
          <w:szCs w:val="20"/>
          <w:shd w:val="clear" w:color="auto" w:fill="FFFFFF"/>
        </w:rPr>
        <w:t>Crano, W. D., Brewer, M. B., &amp; Lac, A. (2014). </w:t>
      </w:r>
      <w:r w:rsidRPr="00B6274E">
        <w:rPr>
          <w:rFonts w:ascii="Times New Roman" w:hAnsi="Times New Roman" w:cs="Times New Roman"/>
          <w:i/>
          <w:iCs/>
          <w:color w:val="222222"/>
          <w:sz w:val="20"/>
          <w:szCs w:val="20"/>
          <w:shd w:val="clear" w:color="auto" w:fill="FFFFFF"/>
        </w:rPr>
        <w:t>Principles and methods of social research</w:t>
      </w:r>
      <w:r w:rsidRPr="00B6274E">
        <w:rPr>
          <w:rFonts w:ascii="Times New Roman" w:hAnsi="Times New Roman" w:cs="Times New Roman"/>
          <w:color w:val="222222"/>
          <w:sz w:val="20"/>
          <w:szCs w:val="20"/>
          <w:shd w:val="clear" w:color="auto" w:fill="FFFFFF"/>
        </w:rPr>
        <w:t>. Routledge.</w:t>
      </w:r>
    </w:p>
    <w:p w14:paraId="2E7C1A61" w14:textId="38AA9CCE" w:rsidR="00FB75E4" w:rsidRPr="00B6274E" w:rsidRDefault="00FB75E4" w:rsidP="00496227">
      <w:pPr>
        <w:rPr>
          <w:rFonts w:ascii="Times New Roman" w:hAnsi="Times New Roman" w:cs="Times New Roman"/>
          <w:color w:val="222222"/>
          <w:sz w:val="20"/>
          <w:szCs w:val="20"/>
          <w:shd w:val="clear" w:color="auto" w:fill="FFFFFF"/>
        </w:rPr>
      </w:pPr>
      <w:r w:rsidRPr="00B6274E">
        <w:rPr>
          <w:rFonts w:ascii="Times New Roman" w:hAnsi="Times New Roman" w:cs="Times New Roman"/>
          <w:color w:val="222222"/>
          <w:sz w:val="20"/>
          <w:szCs w:val="20"/>
          <w:shd w:val="clear" w:color="auto" w:fill="FFFFFF"/>
        </w:rPr>
        <w:t>DeVellis, R. F. (2016). </w:t>
      </w:r>
      <w:r w:rsidRPr="00B6274E">
        <w:rPr>
          <w:rFonts w:ascii="Times New Roman" w:hAnsi="Times New Roman" w:cs="Times New Roman"/>
          <w:i/>
          <w:iCs/>
          <w:color w:val="222222"/>
          <w:sz w:val="20"/>
          <w:szCs w:val="20"/>
          <w:shd w:val="clear" w:color="auto" w:fill="FFFFFF"/>
        </w:rPr>
        <w:t>Scale development: Theory and applications</w:t>
      </w:r>
      <w:r w:rsidRPr="00B6274E">
        <w:rPr>
          <w:rFonts w:ascii="Times New Roman" w:hAnsi="Times New Roman" w:cs="Times New Roman"/>
          <w:color w:val="222222"/>
          <w:sz w:val="20"/>
          <w:szCs w:val="20"/>
          <w:shd w:val="clear" w:color="auto" w:fill="FFFFFF"/>
        </w:rPr>
        <w:t> (Vol. 26). Sage publications.</w:t>
      </w:r>
    </w:p>
    <w:p w14:paraId="044E5D69" w14:textId="4D623F10" w:rsidR="00D84BEE" w:rsidRDefault="00D84BEE" w:rsidP="00496227">
      <w:pPr>
        <w:rPr>
          <w:rFonts w:ascii="Times New Roman" w:hAnsi="Times New Roman" w:cs="Times New Roman"/>
          <w:color w:val="000000" w:themeColor="text1"/>
        </w:rPr>
      </w:pPr>
    </w:p>
    <w:p w14:paraId="1779F3AB" w14:textId="5D1F63B4" w:rsidR="0063610F" w:rsidRDefault="00203918" w:rsidP="00203918">
      <w:pPr>
        <w:pStyle w:val="ListParagraph"/>
        <w:spacing w:before="100" w:beforeAutospacing="1" w:after="100" w:afterAutospacing="1"/>
        <w:ind w:left="0"/>
        <w:rPr>
          <w:rFonts w:ascii="Times New Roman" w:hAnsi="Times New Roman" w:cs="Times New Roman"/>
          <w:color w:val="000000" w:themeColor="text1"/>
        </w:rPr>
      </w:pPr>
      <w:r>
        <w:rPr>
          <w:rFonts w:ascii="Times New Roman" w:hAnsi="Times New Roman" w:cs="Times New Roman"/>
          <w:color w:val="000000" w:themeColor="text1"/>
        </w:rPr>
        <w:t xml:space="preserve">This study also has two secondary goals that can inform the methods used in studies of modified risk tobacco products. </w:t>
      </w:r>
      <w:r w:rsidR="00180FCE">
        <w:rPr>
          <w:rFonts w:ascii="Times New Roman" w:hAnsi="Times New Roman" w:cs="Times New Roman"/>
          <w:color w:val="000000" w:themeColor="text1"/>
        </w:rPr>
        <w:t>The first secondary goal is to identify</w:t>
      </w:r>
      <w:r w:rsidR="00065113" w:rsidRPr="008E2C75">
        <w:rPr>
          <w:rFonts w:ascii="Times New Roman" w:hAnsi="Times New Roman" w:cs="Times New Roman"/>
          <w:color w:val="000000" w:themeColor="text1"/>
        </w:rPr>
        <w:t xml:space="preserve"> populations that may be susceptible to, or disproportionately influenced by, MRTP claims. </w:t>
      </w:r>
      <w:r w:rsidR="00180FCE">
        <w:rPr>
          <w:rFonts w:ascii="Times New Roman" w:hAnsi="Times New Roman" w:cs="Times New Roman"/>
          <w:color w:val="000000" w:themeColor="text1"/>
        </w:rPr>
        <w:t xml:space="preserve">To accomplish this, </w:t>
      </w:r>
      <w:r w:rsidR="0063610F">
        <w:rPr>
          <w:rFonts w:ascii="Times New Roman" w:hAnsi="Times New Roman" w:cs="Times New Roman"/>
          <w:color w:val="000000" w:themeColor="text1"/>
        </w:rPr>
        <w:t xml:space="preserve">we will test whether the following variables </w:t>
      </w:r>
      <w:r w:rsidR="00FE17CF">
        <w:rPr>
          <w:rFonts w:ascii="Times New Roman" w:hAnsi="Times New Roman" w:cs="Times New Roman"/>
          <w:color w:val="000000" w:themeColor="text1"/>
        </w:rPr>
        <w:t xml:space="preserve">moderate the effect of (i.e., </w:t>
      </w:r>
      <w:r w:rsidR="0063610F">
        <w:rPr>
          <w:rFonts w:ascii="Times New Roman" w:hAnsi="Times New Roman" w:cs="Times New Roman"/>
          <w:color w:val="000000" w:themeColor="text1"/>
        </w:rPr>
        <w:t>interact with</w:t>
      </w:r>
      <w:r w:rsidR="00FE17CF">
        <w:rPr>
          <w:rFonts w:ascii="Times New Roman" w:hAnsi="Times New Roman" w:cs="Times New Roman"/>
          <w:color w:val="000000" w:themeColor="text1"/>
        </w:rPr>
        <w:t>)</w:t>
      </w:r>
      <w:r w:rsidR="0063610F">
        <w:rPr>
          <w:rFonts w:ascii="Times New Roman" w:hAnsi="Times New Roman" w:cs="Times New Roman"/>
          <w:color w:val="000000" w:themeColor="text1"/>
        </w:rPr>
        <w:t xml:space="preserve"> study condition (control or modified risk information) in predicting the outcomes of risk perceptions (described above) or intentions to use the products (questionnaire p. 21):</w:t>
      </w:r>
    </w:p>
    <w:p w14:paraId="1FF90AAD" w14:textId="77777777" w:rsidR="00994D6E" w:rsidRDefault="00994D6E" w:rsidP="00994D6E">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Current tobacco product use (S2-S6)</w:t>
      </w:r>
    </w:p>
    <w:p w14:paraId="17D635EC" w14:textId="77777777" w:rsidR="00994D6E" w:rsidRDefault="00994D6E" w:rsidP="00994D6E">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Age (S1)</w:t>
      </w:r>
    </w:p>
    <w:p w14:paraId="077B3B1C" w14:textId="77777777" w:rsidR="00994D6E" w:rsidRDefault="00994D6E" w:rsidP="00994D6E">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Race/ethnicity (Q51)</w:t>
      </w:r>
    </w:p>
    <w:p w14:paraId="1D9750D4" w14:textId="77777777" w:rsidR="00994D6E" w:rsidRDefault="00994D6E" w:rsidP="00994D6E">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Whether or not they are currently serving in the U.S. armed forces (Q52)</w:t>
      </w:r>
    </w:p>
    <w:p w14:paraId="51049C92" w14:textId="77777777" w:rsidR="00994D6E" w:rsidRPr="00BC3DDB" w:rsidRDefault="00994D6E" w:rsidP="00994D6E">
      <w:pPr>
        <w:pStyle w:val="ListParagraph"/>
        <w:numPr>
          <w:ilvl w:val="0"/>
          <w:numId w:val="21"/>
        </w:numPr>
        <w:spacing w:before="100" w:beforeAutospacing="1" w:after="100" w:afterAutospacing="1"/>
        <w:rPr>
          <w:rFonts w:ascii="Times New Roman" w:hAnsi="Times New Roman" w:cs="Times New Roman"/>
          <w:color w:val="000000" w:themeColor="text1"/>
        </w:rPr>
      </w:pPr>
      <w:r w:rsidRPr="00BC3DDB">
        <w:rPr>
          <w:rFonts w:ascii="Times New Roman" w:hAnsi="Times New Roman" w:cs="Times New Roman"/>
          <w:color w:val="000000" w:themeColor="text1"/>
        </w:rPr>
        <w:t>Sex (Q55)</w:t>
      </w:r>
    </w:p>
    <w:p w14:paraId="4431F3EE" w14:textId="71A60210" w:rsidR="00C0282B" w:rsidRDefault="00B54C02" w:rsidP="00B54C02">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Interest in quitting</w:t>
      </w:r>
      <w:r w:rsidR="00C0282B">
        <w:rPr>
          <w:rFonts w:ascii="Times New Roman" w:hAnsi="Times New Roman" w:cs="Times New Roman"/>
          <w:color w:val="000000" w:themeColor="text1"/>
        </w:rPr>
        <w:t xml:space="preserve"> smoking (Q5)</w:t>
      </w:r>
    </w:p>
    <w:p w14:paraId="7C31B0F9" w14:textId="77777777" w:rsidR="00994D6E" w:rsidRDefault="00994D6E" w:rsidP="00B54C02">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Whether or not participants have children under the age of 12 living in the house (Q49)</w:t>
      </w:r>
    </w:p>
    <w:p w14:paraId="7C2D4D9F" w14:textId="77777777" w:rsidR="00982740" w:rsidRDefault="00982740" w:rsidP="00B54C02">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Educational attainment (S7)</w:t>
      </w:r>
    </w:p>
    <w:p w14:paraId="369BB344" w14:textId="53F19741" w:rsidR="00B54C02" w:rsidRPr="00982740" w:rsidRDefault="00B54C02" w:rsidP="00982740">
      <w:pPr>
        <w:pStyle w:val="ListParagraph"/>
        <w:numPr>
          <w:ilvl w:val="0"/>
          <w:numId w:val="21"/>
        </w:num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Uncertainty about the risks of the product type</w:t>
      </w:r>
      <w:r w:rsidR="00C0282B">
        <w:rPr>
          <w:rFonts w:ascii="Times New Roman" w:hAnsi="Times New Roman" w:cs="Times New Roman"/>
          <w:color w:val="000000" w:themeColor="text1"/>
        </w:rPr>
        <w:t xml:space="preserve"> (</w:t>
      </w:r>
      <w:r w:rsidR="000F79E0">
        <w:rPr>
          <w:rFonts w:ascii="Times New Roman" w:hAnsi="Times New Roman" w:cs="Times New Roman"/>
          <w:color w:val="000000" w:themeColor="text1"/>
        </w:rPr>
        <w:t>Q26-Q30</w:t>
      </w:r>
      <w:r w:rsidR="00C0282B">
        <w:rPr>
          <w:rFonts w:ascii="Times New Roman" w:hAnsi="Times New Roman" w:cs="Times New Roman"/>
          <w:color w:val="000000" w:themeColor="text1"/>
        </w:rPr>
        <w:t>)</w:t>
      </w:r>
    </w:p>
    <w:p w14:paraId="17BCB53F" w14:textId="16D76755" w:rsidR="00982740" w:rsidRDefault="00994D6E" w:rsidP="00DD6489">
      <w:p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 xml:space="preserve">These variables were selected because they relate to current tobacco use or previous research has found them to be associated with tobacco use (a-e), because they relate to interest in quitting smoking (f-g), </w:t>
      </w:r>
      <w:r w:rsidR="00982740">
        <w:rPr>
          <w:rFonts w:ascii="Times New Roman" w:hAnsi="Times New Roman" w:cs="Times New Roman"/>
          <w:color w:val="000000" w:themeColor="text1"/>
        </w:rPr>
        <w:t>because they may relate to difficulty understanding health information (</w:t>
      </w:r>
      <w:r w:rsidR="0082726B">
        <w:rPr>
          <w:rFonts w:ascii="Times New Roman" w:hAnsi="Times New Roman" w:cs="Times New Roman"/>
          <w:color w:val="000000" w:themeColor="text1"/>
        </w:rPr>
        <w:t>h</w:t>
      </w:r>
      <w:r w:rsidR="00982740">
        <w:rPr>
          <w:rFonts w:ascii="Times New Roman" w:hAnsi="Times New Roman" w:cs="Times New Roman"/>
          <w:color w:val="000000" w:themeColor="text1"/>
        </w:rPr>
        <w:t>), and because they may indicate an openness to changing beliefs about product risk (i).</w:t>
      </w:r>
    </w:p>
    <w:p w14:paraId="690298C8" w14:textId="00886EB5" w:rsidR="0063610F" w:rsidRDefault="0063610F" w:rsidP="00DD6489">
      <w:pPr>
        <w:spacing w:before="100" w:beforeAutospacing="1" w:after="100" w:afterAutospacing="1"/>
        <w:rPr>
          <w:rFonts w:ascii="Times New Roman" w:hAnsi="Times New Roman" w:cs="Times New Roman"/>
        </w:rPr>
      </w:pPr>
      <w:r w:rsidRPr="0073441D">
        <w:rPr>
          <w:rFonts w:ascii="Times New Roman" w:hAnsi="Times New Roman" w:cs="Times New Roman"/>
          <w:color w:val="000000" w:themeColor="text1"/>
        </w:rPr>
        <w:t xml:space="preserve">We will </w:t>
      </w:r>
      <w:r w:rsidR="000A1F86" w:rsidRPr="0073441D">
        <w:rPr>
          <w:rFonts w:ascii="Times New Roman" w:hAnsi="Times New Roman" w:cs="Times New Roman"/>
          <w:color w:val="000000" w:themeColor="text1"/>
        </w:rPr>
        <w:t xml:space="preserve">compute interaction terms between each of these variables and </w:t>
      </w:r>
      <w:r w:rsidR="00FE17CF" w:rsidRPr="0073441D">
        <w:rPr>
          <w:rFonts w:ascii="Times New Roman" w:hAnsi="Times New Roman" w:cs="Times New Roman"/>
          <w:color w:val="000000" w:themeColor="text1"/>
        </w:rPr>
        <w:t xml:space="preserve">study </w:t>
      </w:r>
      <w:r w:rsidR="000A1F86" w:rsidRPr="0073441D">
        <w:rPr>
          <w:rFonts w:ascii="Times New Roman" w:hAnsi="Times New Roman" w:cs="Times New Roman"/>
          <w:color w:val="000000" w:themeColor="text1"/>
        </w:rPr>
        <w:t xml:space="preserve">condition to </w:t>
      </w:r>
      <w:r w:rsidR="00FE17CF" w:rsidRPr="0073441D">
        <w:rPr>
          <w:rFonts w:ascii="Times New Roman" w:hAnsi="Times New Roman" w:cs="Times New Roman"/>
          <w:color w:val="000000" w:themeColor="text1"/>
        </w:rPr>
        <w:t xml:space="preserve">see whether they predict outcomes in linear regressions. This will </w:t>
      </w:r>
      <w:r w:rsidR="000A1F86" w:rsidRPr="0073441D">
        <w:rPr>
          <w:rFonts w:ascii="Times New Roman" w:hAnsi="Times New Roman" w:cs="Times New Roman"/>
          <w:color w:val="000000" w:themeColor="text1"/>
        </w:rPr>
        <w:t xml:space="preserve">assess whether these variables moderate the effect of seeing a claim on the outcomes. If significant, we will conduct separate linear regressions to assess the difference between the control and modified risk condition at different levels of the </w:t>
      </w:r>
      <w:r w:rsidR="00FE17CF" w:rsidRPr="0073441D">
        <w:rPr>
          <w:rFonts w:ascii="Times New Roman" w:hAnsi="Times New Roman" w:cs="Times New Roman"/>
          <w:color w:val="000000" w:themeColor="text1"/>
        </w:rPr>
        <w:t xml:space="preserve">moderator (e.g., low, medium, and high level of certainty; for participants who do and do not have children under the age of 12 living in the house). </w:t>
      </w:r>
      <w:r w:rsidR="0073441D">
        <w:rPr>
          <w:rFonts w:ascii="Times New Roman" w:hAnsi="Times New Roman" w:cs="Times New Roman"/>
          <w:color w:val="000000" w:themeColor="text1"/>
        </w:rPr>
        <w:t xml:space="preserve">This will allow </w:t>
      </w:r>
      <w:r w:rsidR="003D6E66">
        <w:rPr>
          <w:rFonts w:ascii="Times New Roman" w:hAnsi="Times New Roman" w:cs="Times New Roman"/>
          <w:color w:val="000000" w:themeColor="text1"/>
        </w:rPr>
        <w:t>FDA</w:t>
      </w:r>
      <w:r w:rsidR="0073441D">
        <w:rPr>
          <w:rFonts w:ascii="Times New Roman" w:hAnsi="Times New Roman" w:cs="Times New Roman"/>
          <w:color w:val="000000" w:themeColor="text1"/>
        </w:rPr>
        <w:t xml:space="preserve"> to see if the claim made a bigger difference in some levels of the moderator than others (e.g., perhaps modified</w:t>
      </w:r>
      <w:r w:rsidR="00EF0993">
        <w:rPr>
          <w:rFonts w:ascii="Times New Roman" w:hAnsi="Times New Roman" w:cs="Times New Roman"/>
          <w:color w:val="000000" w:themeColor="text1"/>
        </w:rPr>
        <w:t xml:space="preserve"> risk</w:t>
      </w:r>
      <w:r w:rsidR="0073441D">
        <w:rPr>
          <w:rFonts w:ascii="Times New Roman" w:hAnsi="Times New Roman" w:cs="Times New Roman"/>
          <w:color w:val="000000" w:themeColor="text1"/>
        </w:rPr>
        <w:t xml:space="preserve"> claims make a bigger impression upon people who are uncertain about the harms of</w:t>
      </w:r>
      <w:r w:rsidR="003D6E66">
        <w:rPr>
          <w:rFonts w:ascii="Times New Roman" w:hAnsi="Times New Roman" w:cs="Times New Roman"/>
          <w:color w:val="000000" w:themeColor="text1"/>
        </w:rPr>
        <w:t xml:space="preserve"> using</w:t>
      </w:r>
      <w:r w:rsidR="0073441D">
        <w:rPr>
          <w:rFonts w:ascii="Times New Roman" w:hAnsi="Times New Roman" w:cs="Times New Roman"/>
          <w:color w:val="000000" w:themeColor="text1"/>
        </w:rPr>
        <w:t xml:space="preserve"> the tobacco product). </w:t>
      </w:r>
      <w:r w:rsidR="001C049F">
        <w:rPr>
          <w:rFonts w:ascii="Times New Roman" w:hAnsi="Times New Roman" w:cs="Times New Roman"/>
          <w:color w:val="000000" w:themeColor="text1"/>
        </w:rPr>
        <w:t xml:space="preserve">This can help industry understand what populations they can consider </w:t>
      </w:r>
      <w:r w:rsidR="003D6E66">
        <w:rPr>
          <w:rFonts w:ascii="Times New Roman" w:hAnsi="Times New Roman" w:cs="Times New Roman"/>
          <w:color w:val="000000" w:themeColor="text1"/>
        </w:rPr>
        <w:t>oversampling</w:t>
      </w:r>
      <w:r w:rsidR="001C049F">
        <w:rPr>
          <w:rFonts w:ascii="Times New Roman" w:hAnsi="Times New Roman" w:cs="Times New Roman"/>
          <w:color w:val="000000" w:themeColor="text1"/>
        </w:rPr>
        <w:t xml:space="preserve"> in studies conducted to support </w:t>
      </w:r>
      <w:r w:rsidR="001C049F" w:rsidRPr="003D6E66">
        <w:rPr>
          <w:rFonts w:ascii="Times New Roman" w:hAnsi="Times New Roman" w:cs="Times New Roman"/>
          <w:color w:val="000000" w:themeColor="text1"/>
        </w:rPr>
        <w:t xml:space="preserve">applications to market tobacco products with modified risk claims, in-line with FDA draft guidance </w:t>
      </w:r>
      <w:r w:rsidR="003D6E66" w:rsidRPr="003D6E66">
        <w:rPr>
          <w:rFonts w:ascii="Times New Roman" w:hAnsi="Times New Roman" w:cs="Times New Roman"/>
          <w:color w:val="000000" w:themeColor="text1"/>
        </w:rPr>
        <w:t>recommending “</w:t>
      </w:r>
      <w:r w:rsidR="003D6E66" w:rsidRPr="003D6E66">
        <w:rPr>
          <w:rFonts w:ascii="Times New Roman" w:hAnsi="Times New Roman" w:cs="Times New Roman"/>
        </w:rPr>
        <w:t>Oversampling of populations that are particularly likely to be affected, positively or negatively, by the marketing of the product” (</w:t>
      </w:r>
      <w:r w:rsidR="003D6E66">
        <w:rPr>
          <w:rFonts w:ascii="Times New Roman" w:hAnsi="Times New Roman" w:cs="Times New Roman"/>
        </w:rPr>
        <w:t xml:space="preserve">p.28 line 1105, </w:t>
      </w:r>
      <w:hyperlink r:id="rId14" w:history="1">
        <w:r w:rsidR="00D91CD8" w:rsidRPr="00061DC9">
          <w:rPr>
            <w:rStyle w:val="Hyperlink"/>
            <w:rFonts w:ascii="Times New Roman" w:hAnsi="Times New Roman" w:cs="Times New Roman"/>
          </w:rPr>
          <w:t>https://www.fda.gov/downloads/TobaccoProducts/Labeling/UCM297751.pdf</w:t>
        </w:r>
      </w:hyperlink>
      <w:r w:rsidR="003D6E66" w:rsidRPr="003D6E66">
        <w:rPr>
          <w:rFonts w:ascii="Times New Roman" w:hAnsi="Times New Roman" w:cs="Times New Roman"/>
        </w:rPr>
        <w:t xml:space="preserve">). </w:t>
      </w:r>
    </w:p>
    <w:p w14:paraId="65001DBA" w14:textId="57C6A4F6" w:rsidR="004F2334" w:rsidRPr="003D6E66" w:rsidDel="0065436F" w:rsidRDefault="009164B2" w:rsidP="009164B2">
      <w:pPr>
        <w:spacing w:before="100" w:beforeAutospacing="1" w:after="100" w:afterAutospacing="1"/>
        <w:rPr>
          <w:rFonts w:ascii="Times New Roman" w:hAnsi="Times New Roman" w:cs="Times New Roman"/>
          <w:color w:val="000000" w:themeColor="text1"/>
        </w:rPr>
      </w:pPr>
      <w:r>
        <w:rPr>
          <w:rFonts w:ascii="Times New Roman" w:hAnsi="Times New Roman" w:cs="Times New Roman"/>
          <w:color w:val="000000" w:themeColor="text1"/>
        </w:rPr>
        <w:t>The second secondary goal is to assess the performance of two</w:t>
      </w:r>
      <w:r w:rsidRPr="008E2C75">
        <w:rPr>
          <w:rFonts w:ascii="Times New Roman" w:hAnsi="Times New Roman" w:cs="Times New Roman"/>
          <w:color w:val="000000" w:themeColor="text1"/>
        </w:rPr>
        <w:t xml:space="preserve"> approaches for debriefing participants to </w:t>
      </w:r>
      <w:r>
        <w:rPr>
          <w:rFonts w:ascii="Times New Roman" w:hAnsi="Times New Roman" w:cs="Times New Roman"/>
          <w:color w:val="000000" w:themeColor="text1"/>
        </w:rPr>
        <w:t>increase</w:t>
      </w:r>
      <w:r w:rsidRPr="008E2C75">
        <w:rPr>
          <w:rFonts w:ascii="Times New Roman" w:hAnsi="Times New Roman" w:cs="Times New Roman"/>
          <w:color w:val="000000" w:themeColor="text1"/>
        </w:rPr>
        <w:t xml:space="preserve"> the likelihood that they will be </w:t>
      </w:r>
      <w:r>
        <w:rPr>
          <w:rFonts w:ascii="Times New Roman" w:hAnsi="Times New Roman" w:cs="Times New Roman"/>
          <w:color w:val="000000" w:themeColor="text1"/>
        </w:rPr>
        <w:t>fully informed about key aspects of</w:t>
      </w:r>
      <w:r w:rsidRPr="008E2C75">
        <w:rPr>
          <w:rFonts w:ascii="Times New Roman" w:hAnsi="Times New Roman" w:cs="Times New Roman"/>
          <w:color w:val="000000" w:themeColor="text1"/>
        </w:rPr>
        <w:t xml:space="preserve"> study participation</w:t>
      </w:r>
      <w:r w:rsidR="00BB367C">
        <w:rPr>
          <w:rFonts w:ascii="Times New Roman" w:hAnsi="Times New Roman" w:cs="Times New Roman"/>
          <w:color w:val="000000" w:themeColor="text1"/>
        </w:rPr>
        <w:t xml:space="preserve"> (important because some participants will be exposed to modified risk claims</w:t>
      </w:r>
      <w:r w:rsidR="00F10187">
        <w:rPr>
          <w:rFonts w:ascii="Times New Roman" w:hAnsi="Times New Roman" w:cs="Times New Roman"/>
          <w:color w:val="000000" w:themeColor="text1"/>
        </w:rPr>
        <w:t xml:space="preserve"> on tobacco products</w:t>
      </w:r>
      <w:r w:rsidR="00BB367C">
        <w:rPr>
          <w:rFonts w:ascii="Times New Roman" w:hAnsi="Times New Roman" w:cs="Times New Roman"/>
          <w:color w:val="000000" w:themeColor="text1"/>
        </w:rPr>
        <w:t xml:space="preserve"> that have not been authorized by FDA)</w:t>
      </w:r>
      <w:r w:rsidRPr="008E2C7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7161B">
        <w:rPr>
          <w:rFonts w:ascii="Times New Roman" w:hAnsi="Times New Roman" w:cs="Times New Roman"/>
          <w:color w:val="000000" w:themeColor="text1"/>
        </w:rPr>
        <w:t xml:space="preserve">To accomplish this, we will run a 2x2 ANOVA where we will assess the effect of simplifying the </w:t>
      </w:r>
      <w:r w:rsidR="003B03B1">
        <w:rPr>
          <w:rFonts w:ascii="Times New Roman" w:hAnsi="Times New Roman" w:cs="Times New Roman"/>
          <w:color w:val="000000" w:themeColor="text1"/>
        </w:rPr>
        <w:t xml:space="preserve">standardized </w:t>
      </w:r>
      <w:r w:rsidR="0087161B">
        <w:rPr>
          <w:rFonts w:ascii="Times New Roman" w:hAnsi="Times New Roman" w:cs="Times New Roman"/>
          <w:color w:val="000000" w:themeColor="text1"/>
        </w:rPr>
        <w:t>debriefing, grouping relevant information in bubbles, and the combination of these</w:t>
      </w:r>
      <w:r w:rsidR="001C1FC4">
        <w:rPr>
          <w:rFonts w:ascii="Times New Roman" w:hAnsi="Times New Roman" w:cs="Times New Roman"/>
          <w:color w:val="000000" w:themeColor="text1"/>
        </w:rPr>
        <w:t xml:space="preserve"> strategies</w:t>
      </w:r>
      <w:r w:rsidR="0087161B">
        <w:rPr>
          <w:rFonts w:ascii="Times New Roman" w:hAnsi="Times New Roman" w:cs="Times New Roman"/>
          <w:color w:val="000000" w:themeColor="text1"/>
        </w:rPr>
        <w:t xml:space="preserve"> on debriefing knowledge. Debriefing knowledge will be assessed by number of correct responses to </w:t>
      </w:r>
      <w:r w:rsidR="00462CE7">
        <w:rPr>
          <w:rFonts w:ascii="Times New Roman" w:hAnsi="Times New Roman" w:cs="Times New Roman"/>
          <w:color w:val="000000" w:themeColor="text1"/>
        </w:rPr>
        <w:t xml:space="preserve">items asking about specific key concepts in the debriefing (items D1-D8 in the questionnaire). </w:t>
      </w:r>
      <w:r w:rsidR="003E74B8">
        <w:rPr>
          <w:rFonts w:ascii="Times New Roman" w:hAnsi="Times New Roman" w:cs="Times New Roman"/>
          <w:color w:val="000000" w:themeColor="text1"/>
        </w:rPr>
        <w:t>The method that leads to the best knowledge scores (number of correctly answered items about the debriefing) can be recommended as an option for the tobacco industry and public health community to consider using in their own studies that involve presenting modified risk claims that have not yet been authorized by FDA.</w:t>
      </w:r>
    </w:p>
    <w:p w14:paraId="67FAB64D" w14:textId="77777777" w:rsidR="0063610F" w:rsidRDefault="0063610F" w:rsidP="00007EFD">
      <w:pPr>
        <w:pStyle w:val="ListParagraph"/>
        <w:spacing w:before="100" w:beforeAutospacing="1" w:after="100" w:afterAutospacing="1"/>
        <w:ind w:left="1080"/>
        <w:rPr>
          <w:rFonts w:ascii="Times New Roman" w:hAnsi="Times New Roman" w:cs="Times New Roman"/>
          <w:color w:val="000000" w:themeColor="text1"/>
        </w:rPr>
      </w:pPr>
    </w:p>
    <w:p w14:paraId="1E38F751" w14:textId="77777777" w:rsidR="004D0A24" w:rsidRPr="00BF6EAE" w:rsidRDefault="00DF5630" w:rsidP="00645F7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Use of Improved Information Technology and Burden Reduction</w:t>
      </w:r>
    </w:p>
    <w:p w14:paraId="0A74914E" w14:textId="77777777" w:rsidR="00F43EBD" w:rsidRPr="00BF6EAE" w:rsidRDefault="00F43EBD" w:rsidP="00F43EBD">
      <w:pPr>
        <w:pStyle w:val="ListParagraph"/>
        <w:ind w:left="1440"/>
        <w:rPr>
          <w:rFonts w:ascii="Times New Roman" w:hAnsi="Times New Roman" w:cs="Times New Roman"/>
          <w:color w:val="000000" w:themeColor="text1"/>
        </w:rPr>
      </w:pPr>
    </w:p>
    <w:p w14:paraId="764A3D52" w14:textId="0DAC418E" w:rsidR="00CB463F" w:rsidRPr="000C4D17" w:rsidRDefault="00CB463F"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Automated information technology will be used in the collection of information for this study. One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participant, and by keeping the written parts of surveys to </w:t>
      </w:r>
      <w:r w:rsidR="00FC314D" w:rsidRPr="00D40322">
        <w:rPr>
          <w:rFonts w:ascii="Times New Roman" w:hAnsi="Times New Roman" w:cs="Times New Roman"/>
          <w:color w:val="000000" w:themeColor="text1"/>
        </w:rPr>
        <w:t>2</w:t>
      </w:r>
      <w:r w:rsidRPr="00D40322">
        <w:rPr>
          <w:rFonts w:ascii="Times New Roman" w:hAnsi="Times New Roman" w:cs="Times New Roman"/>
          <w:color w:val="000000" w:themeColor="text1"/>
        </w:rPr>
        <w:t>0 minutes</w:t>
      </w:r>
      <w:r w:rsidR="00614F8E">
        <w:rPr>
          <w:rFonts w:ascii="Times New Roman" w:hAnsi="Times New Roman" w:cs="Times New Roman"/>
          <w:color w:val="000000" w:themeColor="text1"/>
        </w:rPr>
        <w:t xml:space="preserve"> or less</w:t>
      </w:r>
      <w:r w:rsidRPr="00BF6EAE">
        <w:rPr>
          <w:rFonts w:ascii="Times New Roman" w:hAnsi="Times New Roman" w:cs="Times New Roman"/>
          <w:color w:val="000000" w:themeColor="text1"/>
        </w:rPr>
        <w:t xml:space="preserve"> </w:t>
      </w:r>
      <w:r w:rsidR="00601637">
        <w:rPr>
          <w:rFonts w:ascii="Times New Roman" w:hAnsi="Times New Roman" w:cs="Times New Roman"/>
          <w:color w:val="000000" w:themeColor="text1"/>
        </w:rPr>
        <w:t xml:space="preserve">per respondent on average </w:t>
      </w:r>
      <w:r w:rsidRPr="00BF6EAE">
        <w:rPr>
          <w:rFonts w:ascii="Times New Roman" w:hAnsi="Times New Roman" w:cs="Times New Roman"/>
          <w:color w:val="000000" w:themeColor="text1"/>
        </w:rPr>
        <w:t xml:space="preserve">in both the pretest and main study. Administration of the survey using web methods will help to contain costs, allowing for a sample that is geographically diverse without driving up interviewer costs for travel during data collection. Furthermore, the </w:t>
      </w:r>
      <w:r w:rsidR="00127513">
        <w:rPr>
          <w:rFonts w:ascii="Times New Roman" w:hAnsi="Times New Roman" w:cs="Times New Roman"/>
          <w:color w:val="000000" w:themeColor="text1"/>
        </w:rPr>
        <w:t>online</w:t>
      </w:r>
      <w:r w:rsidRPr="00BF6EAE">
        <w:rPr>
          <w:rFonts w:ascii="Times New Roman" w:hAnsi="Times New Roman" w:cs="Times New Roman"/>
          <w:color w:val="000000" w:themeColor="text1"/>
        </w:rPr>
        <w:t xml:space="preserve"> screener</w:t>
      </w:r>
      <w:r w:rsidR="00A16DCA">
        <w:rPr>
          <w:rFonts w:ascii="Times New Roman" w:hAnsi="Times New Roman" w:cs="Times New Roman"/>
          <w:color w:val="000000" w:themeColor="text1"/>
        </w:rPr>
        <w:t xml:space="preserve"> and survey</w:t>
      </w:r>
      <w:r w:rsidRPr="00BF6EAE">
        <w:rPr>
          <w:rFonts w:ascii="Times New Roman" w:hAnsi="Times New Roman" w:cs="Times New Roman"/>
          <w:color w:val="000000" w:themeColor="text1"/>
        </w:rPr>
        <w:t xml:space="preserve"> permit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w:t>
      </w:r>
      <w:r w:rsidR="00DE6798" w:rsidRPr="00BF6EAE">
        <w:rPr>
          <w:rFonts w:ascii="Times New Roman" w:hAnsi="Times New Roman" w:cs="Times New Roman"/>
          <w:color w:val="000000" w:themeColor="text1"/>
        </w:rPr>
        <w:t>survey questions</w:t>
      </w:r>
      <w:r w:rsidRPr="00BF6EAE">
        <w:rPr>
          <w:rFonts w:ascii="Times New Roman" w:hAnsi="Times New Roman" w:cs="Times New Roman"/>
          <w:color w:val="000000" w:themeColor="text1"/>
        </w:rPr>
        <w:t xml:space="preserve"> in privacy. Providing the respondent with a methodology that improves privacy </w:t>
      </w:r>
      <w:r w:rsidR="00A16DCA" w:rsidRPr="000C4D17">
        <w:rPr>
          <w:rFonts w:ascii="Times New Roman" w:hAnsi="Times New Roman" w:cs="Times New Roman"/>
          <w:color w:val="000000" w:themeColor="text1"/>
        </w:rPr>
        <w:t xml:space="preserve">reduces the potential for experiencing embarrassment </w:t>
      </w:r>
      <w:r w:rsidR="00AC4484" w:rsidRPr="000C4D17">
        <w:rPr>
          <w:rFonts w:ascii="Times New Roman" w:hAnsi="Times New Roman" w:cs="Times New Roman"/>
          <w:color w:val="000000" w:themeColor="text1"/>
        </w:rPr>
        <w:t xml:space="preserve">or </w:t>
      </w:r>
      <w:r w:rsidR="00A16DCA" w:rsidRPr="000C4D17">
        <w:rPr>
          <w:rFonts w:ascii="Times New Roman" w:hAnsi="Times New Roman" w:cs="Times New Roman"/>
          <w:color w:val="000000" w:themeColor="text1"/>
        </w:rPr>
        <w:t xml:space="preserve">stigmatization when reporting on tobacco use </w:t>
      </w:r>
      <w:r w:rsidR="0003066A" w:rsidRPr="000C4D17">
        <w:rPr>
          <w:rFonts w:ascii="Times New Roman" w:hAnsi="Times New Roman" w:cs="Times New Roman"/>
          <w:color w:val="000000" w:themeColor="text1"/>
        </w:rPr>
        <w:t>behaviors and</w:t>
      </w:r>
      <w:r w:rsidRPr="000C4D17">
        <w:rPr>
          <w:rFonts w:ascii="Times New Roman" w:hAnsi="Times New Roman" w:cs="Times New Roman"/>
          <w:color w:val="000000" w:themeColor="text1"/>
        </w:rPr>
        <w:t xml:space="preserve"> enhances response validity and response rates.</w:t>
      </w:r>
    </w:p>
    <w:p w14:paraId="557E9F88" w14:textId="6A960EE2" w:rsidR="00F43EBD" w:rsidRPr="000C4D17" w:rsidRDefault="00F43EBD" w:rsidP="003E4335">
      <w:pPr>
        <w:rPr>
          <w:rFonts w:ascii="Times New Roman" w:hAnsi="Times New Roman" w:cs="Times New Roman"/>
          <w:color w:val="000000" w:themeColor="text1"/>
        </w:rPr>
      </w:pPr>
    </w:p>
    <w:p w14:paraId="75BB1433" w14:textId="77777777" w:rsidR="00DF5630" w:rsidRPr="000C4D17" w:rsidRDefault="00DF5630" w:rsidP="001D3E1D">
      <w:pPr>
        <w:pStyle w:val="ListParagraph"/>
        <w:numPr>
          <w:ilvl w:val="0"/>
          <w:numId w:val="1"/>
        </w:numPr>
        <w:rPr>
          <w:rFonts w:ascii="Times New Roman" w:hAnsi="Times New Roman" w:cs="Times New Roman"/>
          <w:color w:val="000000" w:themeColor="text1"/>
          <w:u w:val="single"/>
        </w:rPr>
      </w:pPr>
      <w:r w:rsidRPr="000C4D17">
        <w:rPr>
          <w:rFonts w:ascii="Times New Roman" w:hAnsi="Times New Roman" w:cs="Times New Roman"/>
          <w:color w:val="000000" w:themeColor="text1"/>
          <w:u w:val="single"/>
        </w:rPr>
        <w:t>Efforts to Identify Duplication and Use of Similar Information</w:t>
      </w:r>
    </w:p>
    <w:p w14:paraId="2502D9AC" w14:textId="42579603" w:rsidR="009216E1" w:rsidRPr="000C4D17" w:rsidRDefault="009216E1" w:rsidP="00CE1475">
      <w:pPr>
        <w:ind w:left="1080"/>
        <w:rPr>
          <w:rFonts w:ascii="Times New Roman" w:hAnsi="Times New Roman" w:cs="Times New Roman"/>
          <w:color w:val="000000" w:themeColor="text1"/>
        </w:rPr>
      </w:pPr>
    </w:p>
    <w:p w14:paraId="400DB01C" w14:textId="4013E62D" w:rsidR="00EF0914" w:rsidRDefault="00711F94" w:rsidP="00B6274E">
      <w:pPr>
        <w:rPr>
          <w:rFonts w:ascii="Times New Roman" w:hAnsi="Times New Roman" w:cs="Times New Roman"/>
          <w:color w:val="000000" w:themeColor="text1"/>
        </w:rPr>
      </w:pPr>
      <w:r w:rsidRPr="000C4D17">
        <w:rPr>
          <w:rFonts w:ascii="Times New Roman" w:hAnsi="Times New Roman" w:cs="Times New Roman"/>
          <w:color w:val="000000" w:themeColor="text1"/>
        </w:rPr>
        <w:t xml:space="preserve">This study </w:t>
      </w:r>
      <w:r w:rsidR="00E07659">
        <w:rPr>
          <w:rFonts w:ascii="Times New Roman" w:hAnsi="Times New Roman" w:cs="Times New Roman"/>
          <w:color w:val="000000" w:themeColor="text1"/>
        </w:rPr>
        <w:t xml:space="preserve">is </w:t>
      </w:r>
      <w:r w:rsidRPr="000C4D17">
        <w:rPr>
          <w:rFonts w:ascii="Times New Roman" w:hAnsi="Times New Roman" w:cs="Times New Roman"/>
          <w:color w:val="000000" w:themeColor="text1"/>
        </w:rPr>
        <w:t xml:space="preserve">designed to </w:t>
      </w:r>
      <w:r w:rsidR="00F81759" w:rsidRPr="000C4D17">
        <w:rPr>
          <w:rFonts w:ascii="Times New Roman" w:hAnsi="Times New Roman" w:cs="Times New Roman"/>
          <w:color w:val="000000" w:themeColor="text1"/>
        </w:rPr>
        <w:t>build on the existing body of literature about the effects of marketing claims on perceptions about tobacco products, and to</w:t>
      </w:r>
      <w:r w:rsidR="00E07659">
        <w:rPr>
          <w:rFonts w:ascii="Times New Roman" w:hAnsi="Times New Roman" w:cs="Times New Roman"/>
          <w:color w:val="000000" w:themeColor="text1"/>
        </w:rPr>
        <w:t xml:space="preserve"> </w:t>
      </w:r>
      <w:r w:rsidRPr="000C4D17">
        <w:rPr>
          <w:rFonts w:ascii="Times New Roman" w:hAnsi="Times New Roman" w:cs="Times New Roman"/>
          <w:color w:val="000000" w:themeColor="text1"/>
        </w:rPr>
        <w:t>complement, but not duplicate, other d</w:t>
      </w:r>
      <w:r w:rsidR="002E03BC" w:rsidRPr="000C4D17">
        <w:rPr>
          <w:rFonts w:ascii="Times New Roman" w:hAnsi="Times New Roman" w:cs="Times New Roman"/>
          <w:color w:val="000000" w:themeColor="text1"/>
        </w:rPr>
        <w:t xml:space="preserve">ata collections. Specifically, it is one of three </w:t>
      </w:r>
      <w:r w:rsidR="00E07659">
        <w:rPr>
          <w:rFonts w:ascii="Times New Roman" w:hAnsi="Times New Roman" w:cs="Times New Roman"/>
          <w:color w:val="000000" w:themeColor="text1"/>
        </w:rPr>
        <w:t>data collection efforts</w:t>
      </w:r>
      <w:r w:rsidR="00E07659" w:rsidRPr="000C4D17">
        <w:rPr>
          <w:rFonts w:ascii="Times New Roman" w:hAnsi="Times New Roman" w:cs="Times New Roman"/>
          <w:color w:val="000000" w:themeColor="text1"/>
        </w:rPr>
        <w:t xml:space="preserve"> </w:t>
      </w:r>
      <w:r w:rsidR="002E03BC" w:rsidRPr="000C4D17">
        <w:rPr>
          <w:rFonts w:ascii="Times New Roman" w:hAnsi="Times New Roman" w:cs="Times New Roman"/>
          <w:color w:val="000000" w:themeColor="text1"/>
        </w:rPr>
        <w:t xml:space="preserve">that </w:t>
      </w:r>
      <w:r w:rsidR="00E07659">
        <w:rPr>
          <w:rFonts w:ascii="Times New Roman" w:hAnsi="Times New Roman" w:cs="Times New Roman"/>
          <w:color w:val="000000" w:themeColor="text1"/>
        </w:rPr>
        <w:t>support</w:t>
      </w:r>
      <w:r w:rsidR="002E03BC" w:rsidRPr="000C4D17">
        <w:rPr>
          <w:rFonts w:ascii="Times New Roman" w:hAnsi="Times New Roman" w:cs="Times New Roman"/>
          <w:color w:val="000000" w:themeColor="text1"/>
        </w:rPr>
        <w:t xml:space="preserve"> </w:t>
      </w:r>
      <w:r w:rsidRPr="000C4D17">
        <w:rPr>
          <w:rFonts w:ascii="Times New Roman" w:hAnsi="Times New Roman" w:cs="Times New Roman"/>
          <w:color w:val="000000" w:themeColor="text1"/>
        </w:rPr>
        <w:t xml:space="preserve">FDA’s </w:t>
      </w:r>
      <w:r w:rsidR="00E07659">
        <w:rPr>
          <w:rFonts w:ascii="Times New Roman" w:hAnsi="Times New Roman" w:cs="Times New Roman"/>
          <w:color w:val="000000" w:themeColor="text1"/>
        </w:rPr>
        <w:t xml:space="preserve">ability </w:t>
      </w:r>
      <w:r w:rsidR="00E07659" w:rsidRPr="007A1AF3">
        <w:rPr>
          <w:rFonts w:ascii="Times New Roman" w:hAnsi="Times New Roman" w:cs="Times New Roman"/>
          <w:color w:val="000000" w:themeColor="text1"/>
        </w:rPr>
        <w:t>to assess the effect</w:t>
      </w:r>
      <w:r w:rsidR="00E07659">
        <w:rPr>
          <w:rFonts w:ascii="Times New Roman" w:hAnsi="Times New Roman" w:cs="Times New Roman"/>
          <w:color w:val="000000" w:themeColor="text1"/>
        </w:rPr>
        <w:t>s</w:t>
      </w:r>
      <w:r w:rsidR="00E07659" w:rsidRPr="007A1AF3">
        <w:rPr>
          <w:rFonts w:ascii="Times New Roman" w:hAnsi="Times New Roman" w:cs="Times New Roman"/>
          <w:color w:val="000000" w:themeColor="text1"/>
        </w:rPr>
        <w:t xml:space="preserve"> of </w:t>
      </w:r>
      <w:r w:rsidR="00E07659">
        <w:rPr>
          <w:rFonts w:ascii="Times New Roman" w:hAnsi="Times New Roman" w:cs="Times New Roman"/>
          <w:color w:val="000000" w:themeColor="text1"/>
        </w:rPr>
        <w:t xml:space="preserve">modified risk </w:t>
      </w:r>
      <w:r w:rsidR="00E07659" w:rsidRPr="007A1AF3">
        <w:rPr>
          <w:rFonts w:ascii="Times New Roman" w:hAnsi="Times New Roman" w:cs="Times New Roman"/>
          <w:color w:val="000000" w:themeColor="text1"/>
        </w:rPr>
        <w:t>claims on (1) perceived harm, (2) perceived risk, and (3) perceived exposure to specific substances</w:t>
      </w:r>
      <w:r w:rsidR="00E07659">
        <w:rPr>
          <w:rFonts w:ascii="Times New Roman" w:hAnsi="Times New Roman" w:cs="Times New Roman"/>
          <w:color w:val="000000" w:themeColor="text1"/>
        </w:rPr>
        <w:t xml:space="preserve">, </w:t>
      </w:r>
      <w:r w:rsidR="006267C0">
        <w:rPr>
          <w:rFonts w:ascii="Times New Roman" w:hAnsi="Times New Roman" w:cs="Times New Roman"/>
          <w:color w:val="000000" w:themeColor="text1"/>
        </w:rPr>
        <w:t>which support FDA’s</w:t>
      </w:r>
      <w:r w:rsidR="00E07659">
        <w:rPr>
          <w:rFonts w:ascii="Times New Roman" w:hAnsi="Times New Roman" w:cs="Times New Roman"/>
          <w:color w:val="000000" w:themeColor="text1"/>
        </w:rPr>
        <w:t xml:space="preserve"> </w:t>
      </w:r>
      <w:r w:rsidRPr="000C4D17">
        <w:rPr>
          <w:rFonts w:ascii="Times New Roman" w:hAnsi="Times New Roman" w:cs="Times New Roman"/>
          <w:color w:val="000000" w:themeColor="text1"/>
        </w:rPr>
        <w:t>responsibilit</w:t>
      </w:r>
      <w:r w:rsidR="006267C0">
        <w:rPr>
          <w:rFonts w:ascii="Times New Roman" w:hAnsi="Times New Roman" w:cs="Times New Roman"/>
          <w:color w:val="000000" w:themeColor="text1"/>
        </w:rPr>
        <w:t>ies</w:t>
      </w:r>
      <w:r w:rsidRPr="000C4D17">
        <w:rPr>
          <w:rFonts w:ascii="Times New Roman" w:hAnsi="Times New Roman" w:cs="Times New Roman"/>
          <w:color w:val="000000" w:themeColor="text1"/>
        </w:rPr>
        <w:t xml:space="preserve"> as outlined in Section 911 of the </w:t>
      </w:r>
      <w:r w:rsidR="006267C0">
        <w:rPr>
          <w:rFonts w:ascii="Times New Roman" w:hAnsi="Times New Roman" w:cs="Times New Roman"/>
          <w:color w:val="000000" w:themeColor="text1"/>
        </w:rPr>
        <w:t>FD&amp;C Act</w:t>
      </w:r>
      <w:r w:rsidRPr="007A1AF3">
        <w:rPr>
          <w:rFonts w:ascii="Times New Roman" w:hAnsi="Times New Roman" w:cs="Times New Roman"/>
          <w:color w:val="000000" w:themeColor="text1"/>
        </w:rPr>
        <w:t>.</w:t>
      </w:r>
      <w:r w:rsidR="002E03BC">
        <w:rPr>
          <w:rFonts w:ascii="Times New Roman" w:hAnsi="Times New Roman" w:cs="Times New Roman"/>
          <w:color w:val="000000" w:themeColor="text1"/>
        </w:rPr>
        <w:t xml:space="preserve"> </w:t>
      </w:r>
      <w:r w:rsidR="0076031F" w:rsidRPr="0076031F">
        <w:rPr>
          <w:rFonts w:ascii="Times New Roman" w:hAnsi="Times New Roman" w:cs="Times New Roman"/>
          <w:color w:val="000000" w:themeColor="text1"/>
        </w:rPr>
        <w:t>Because of the unique nature of the information to be collected, duplication of information is highly unlikely.</w:t>
      </w:r>
      <w:r w:rsidR="0076031F">
        <w:rPr>
          <w:rFonts w:ascii="Times New Roman" w:hAnsi="Times New Roman" w:cs="Times New Roman"/>
          <w:color w:val="000000" w:themeColor="text1"/>
        </w:rPr>
        <w:t xml:space="preserve"> </w:t>
      </w:r>
      <w:r w:rsidR="005A66AB">
        <w:rPr>
          <w:rFonts w:ascii="Times New Roman" w:hAnsi="Times New Roman" w:cs="Times New Roman"/>
          <w:color w:val="000000" w:themeColor="text1"/>
        </w:rPr>
        <w:t xml:space="preserve">One </w:t>
      </w:r>
      <w:r w:rsidR="00EF0914">
        <w:rPr>
          <w:rFonts w:ascii="Times New Roman" w:hAnsi="Times New Roman" w:cs="Times New Roman"/>
          <w:color w:val="000000" w:themeColor="text1"/>
        </w:rPr>
        <w:t>previous</w:t>
      </w:r>
      <w:r w:rsidR="002E03BC">
        <w:rPr>
          <w:rFonts w:ascii="Times New Roman" w:hAnsi="Times New Roman" w:cs="Times New Roman"/>
          <w:color w:val="000000" w:themeColor="text1"/>
        </w:rPr>
        <w:t xml:space="preserve"> </w:t>
      </w:r>
      <w:r w:rsidR="005A66AB">
        <w:rPr>
          <w:rFonts w:ascii="Times New Roman" w:hAnsi="Times New Roman" w:cs="Times New Roman"/>
          <w:color w:val="000000" w:themeColor="text1"/>
        </w:rPr>
        <w:t xml:space="preserve">FDA </w:t>
      </w:r>
      <w:r w:rsidR="006267C0">
        <w:rPr>
          <w:rFonts w:ascii="Times New Roman" w:hAnsi="Times New Roman" w:cs="Times New Roman"/>
          <w:color w:val="000000" w:themeColor="text1"/>
        </w:rPr>
        <w:t xml:space="preserve">data collection effort </w:t>
      </w:r>
      <w:r w:rsidR="005A66AB">
        <w:rPr>
          <w:rFonts w:ascii="Times New Roman" w:hAnsi="Times New Roman" w:cs="Times New Roman"/>
          <w:color w:val="000000" w:themeColor="text1"/>
        </w:rPr>
        <w:t xml:space="preserve">has been conducted </w:t>
      </w:r>
      <w:r w:rsidR="002E03BC">
        <w:rPr>
          <w:rFonts w:ascii="Times New Roman" w:hAnsi="Times New Roman" w:cs="Times New Roman"/>
          <w:color w:val="000000" w:themeColor="text1"/>
        </w:rPr>
        <w:t>on the effect</w:t>
      </w:r>
      <w:r w:rsidR="006267C0">
        <w:rPr>
          <w:rFonts w:ascii="Times New Roman" w:hAnsi="Times New Roman" w:cs="Times New Roman"/>
          <w:color w:val="000000" w:themeColor="text1"/>
        </w:rPr>
        <w:t>s</w:t>
      </w:r>
      <w:r w:rsidR="002E03BC">
        <w:rPr>
          <w:rFonts w:ascii="Times New Roman" w:hAnsi="Times New Roman" w:cs="Times New Roman"/>
          <w:color w:val="000000" w:themeColor="text1"/>
        </w:rPr>
        <w:t xml:space="preserve"> of </w:t>
      </w:r>
      <w:r w:rsidR="006267C0">
        <w:rPr>
          <w:rFonts w:ascii="Times New Roman" w:hAnsi="Times New Roman" w:cs="Times New Roman"/>
          <w:color w:val="000000" w:themeColor="text1"/>
        </w:rPr>
        <w:t xml:space="preserve">modified risk </w:t>
      </w:r>
      <w:r w:rsidR="002E03BC">
        <w:rPr>
          <w:rFonts w:ascii="Times New Roman" w:hAnsi="Times New Roman" w:cs="Times New Roman"/>
          <w:color w:val="000000" w:themeColor="text1"/>
        </w:rPr>
        <w:t xml:space="preserve">claims on perceptions </w:t>
      </w:r>
      <w:r w:rsidR="007550F4">
        <w:rPr>
          <w:rFonts w:ascii="Times New Roman" w:hAnsi="Times New Roman" w:cs="Times New Roman"/>
          <w:color w:val="000000" w:themeColor="text1"/>
        </w:rPr>
        <w:t>of risk</w:t>
      </w:r>
      <w:r w:rsidR="005A66AB">
        <w:rPr>
          <w:rFonts w:ascii="Times New Roman" w:hAnsi="Times New Roman" w:cs="Times New Roman"/>
          <w:color w:val="000000" w:themeColor="text1"/>
        </w:rPr>
        <w:t xml:space="preserve"> (</w:t>
      </w:r>
      <w:r w:rsidR="00E621CD">
        <w:rPr>
          <w:rFonts w:ascii="Times New Roman" w:hAnsi="Times New Roman" w:cs="Times New Roman"/>
          <w:color w:val="000000" w:themeColor="text1"/>
        </w:rPr>
        <w:t>OMB Control Number 0910-0819</w:t>
      </w:r>
      <w:r w:rsidR="005A66AB">
        <w:rPr>
          <w:rFonts w:ascii="Times New Roman" w:hAnsi="Times New Roman" w:cs="Times New Roman"/>
          <w:color w:val="000000" w:themeColor="text1"/>
        </w:rPr>
        <w:t>).</w:t>
      </w:r>
      <w:r w:rsidR="007550F4">
        <w:rPr>
          <w:rFonts w:ascii="Times New Roman" w:hAnsi="Times New Roman" w:cs="Times New Roman"/>
          <w:color w:val="000000" w:themeColor="text1"/>
        </w:rPr>
        <w:t xml:space="preserve"> </w:t>
      </w:r>
      <w:r w:rsidR="005A66AB">
        <w:rPr>
          <w:rFonts w:ascii="Times New Roman" w:hAnsi="Times New Roman" w:cs="Times New Roman"/>
          <w:color w:val="000000" w:themeColor="text1"/>
        </w:rPr>
        <w:t xml:space="preserve">This data collection tested whether expressed modified risk claims </w:t>
      </w:r>
      <w:r w:rsidR="00EF0914">
        <w:rPr>
          <w:rFonts w:ascii="Times New Roman" w:hAnsi="Times New Roman" w:cs="Times New Roman"/>
          <w:color w:val="000000" w:themeColor="text1"/>
        </w:rPr>
        <w:t xml:space="preserve">had different effects </w:t>
      </w:r>
      <w:r w:rsidR="005A66AB">
        <w:rPr>
          <w:rFonts w:ascii="Times New Roman" w:hAnsi="Times New Roman" w:cs="Times New Roman"/>
          <w:color w:val="000000" w:themeColor="text1"/>
        </w:rPr>
        <w:t>on</w:t>
      </w:r>
      <w:r w:rsidR="00EF0914">
        <w:rPr>
          <w:rFonts w:ascii="Times New Roman" w:hAnsi="Times New Roman" w:cs="Times New Roman"/>
          <w:color w:val="000000" w:themeColor="text1"/>
        </w:rPr>
        <w:t xml:space="preserve"> consumers’</w:t>
      </w:r>
      <w:r w:rsidR="005A66AB">
        <w:rPr>
          <w:rFonts w:ascii="Times New Roman" w:hAnsi="Times New Roman" w:cs="Times New Roman"/>
          <w:color w:val="000000" w:themeColor="text1"/>
        </w:rPr>
        <w:t xml:space="preserve"> perceptions of risk d</w:t>
      </w:r>
      <w:r w:rsidR="00EF0914">
        <w:rPr>
          <w:rFonts w:ascii="Times New Roman" w:hAnsi="Times New Roman" w:cs="Times New Roman"/>
          <w:color w:val="000000" w:themeColor="text1"/>
        </w:rPr>
        <w:t>epending on</w:t>
      </w:r>
      <w:r w:rsidR="002E03BC">
        <w:rPr>
          <w:rFonts w:ascii="Times New Roman" w:hAnsi="Times New Roman" w:cs="Times New Roman"/>
          <w:color w:val="000000" w:themeColor="text1"/>
        </w:rPr>
        <w:t xml:space="preserve"> individuals</w:t>
      </w:r>
      <w:r w:rsidR="00EF0914">
        <w:rPr>
          <w:rFonts w:ascii="Times New Roman" w:hAnsi="Times New Roman" w:cs="Times New Roman"/>
          <w:color w:val="000000" w:themeColor="text1"/>
        </w:rPr>
        <w:t>’ current</w:t>
      </w:r>
      <w:r w:rsidR="002E03BC">
        <w:rPr>
          <w:rFonts w:ascii="Times New Roman" w:hAnsi="Times New Roman" w:cs="Times New Roman"/>
          <w:color w:val="000000" w:themeColor="text1"/>
        </w:rPr>
        <w:t xml:space="preserve"> tobacco use status</w:t>
      </w:r>
      <w:r w:rsidR="005A66AB">
        <w:rPr>
          <w:rFonts w:ascii="Times New Roman" w:hAnsi="Times New Roman" w:cs="Times New Roman"/>
          <w:color w:val="000000" w:themeColor="text1"/>
        </w:rPr>
        <w:t xml:space="preserve"> and, among current users of tobacco products, their preferred brand</w:t>
      </w:r>
      <w:r w:rsidR="00EF0914">
        <w:rPr>
          <w:rFonts w:ascii="Times New Roman" w:hAnsi="Times New Roman" w:cs="Times New Roman"/>
          <w:color w:val="000000" w:themeColor="text1"/>
        </w:rPr>
        <w:t>s</w:t>
      </w:r>
      <w:r w:rsidR="005A66AB">
        <w:rPr>
          <w:rFonts w:ascii="Times New Roman" w:hAnsi="Times New Roman" w:cs="Times New Roman"/>
          <w:color w:val="000000" w:themeColor="text1"/>
        </w:rPr>
        <w:t>.</w:t>
      </w:r>
      <w:r w:rsidR="000E1EC5">
        <w:rPr>
          <w:rFonts w:ascii="Times New Roman" w:hAnsi="Times New Roman" w:cs="Times New Roman"/>
          <w:color w:val="000000" w:themeColor="text1"/>
        </w:rPr>
        <w:t xml:space="preserve"> </w:t>
      </w:r>
      <w:r w:rsidR="000E1EC5" w:rsidRPr="00B660CD">
        <w:rPr>
          <w:rFonts w:ascii="Times New Roman" w:hAnsi="Times New Roman" w:cs="Times New Roman"/>
        </w:rPr>
        <w:t>FDA complete</w:t>
      </w:r>
      <w:r w:rsidR="000E1EC5">
        <w:rPr>
          <w:rFonts w:ascii="Times New Roman" w:hAnsi="Times New Roman" w:cs="Times New Roman"/>
        </w:rPr>
        <w:t>d</w:t>
      </w:r>
      <w:r w:rsidR="000E1EC5" w:rsidRPr="00B660CD">
        <w:rPr>
          <w:rFonts w:ascii="Times New Roman" w:hAnsi="Times New Roman" w:cs="Times New Roman"/>
        </w:rPr>
        <w:t xml:space="preserve"> internal analys</w:t>
      </w:r>
      <w:r w:rsidR="000E1EC5">
        <w:rPr>
          <w:rFonts w:ascii="Times New Roman" w:hAnsi="Times New Roman" w:cs="Times New Roman"/>
        </w:rPr>
        <w:t>es</w:t>
      </w:r>
      <w:r w:rsidR="000E1EC5" w:rsidRPr="00B660CD">
        <w:rPr>
          <w:rFonts w:ascii="Times New Roman" w:hAnsi="Times New Roman" w:cs="Times New Roman"/>
        </w:rPr>
        <w:t xml:space="preserve"> and disseminate</w:t>
      </w:r>
      <w:r w:rsidR="000E1EC5">
        <w:rPr>
          <w:rFonts w:ascii="Times New Roman" w:hAnsi="Times New Roman" w:cs="Times New Roman"/>
        </w:rPr>
        <w:t>d</w:t>
      </w:r>
      <w:r w:rsidR="000E1EC5" w:rsidRPr="00B660CD">
        <w:rPr>
          <w:rFonts w:ascii="Times New Roman" w:hAnsi="Times New Roman" w:cs="Times New Roman"/>
        </w:rPr>
        <w:t xml:space="preserve"> the results</w:t>
      </w:r>
      <w:r w:rsidR="000E1EC5">
        <w:rPr>
          <w:rFonts w:ascii="Times New Roman" w:hAnsi="Times New Roman" w:cs="Times New Roman"/>
        </w:rPr>
        <w:t xml:space="preserve"> internally and externally</w:t>
      </w:r>
      <w:r w:rsidR="000E1EC5" w:rsidRPr="00B660CD">
        <w:rPr>
          <w:rFonts w:ascii="Times New Roman" w:hAnsi="Times New Roman" w:cs="Times New Roman"/>
        </w:rPr>
        <w:t xml:space="preserve"> within 24 months of approval. The contractor completed a final report in April of 2017. </w:t>
      </w:r>
      <w:r w:rsidR="000E1EC5">
        <w:rPr>
          <w:rFonts w:ascii="Times New Roman" w:hAnsi="Times New Roman" w:cs="Times New Roman"/>
        </w:rPr>
        <w:t>These r</w:t>
      </w:r>
      <w:r w:rsidR="000E1EC5" w:rsidRPr="00B660CD">
        <w:rPr>
          <w:rFonts w:ascii="Times New Roman" w:hAnsi="Times New Roman" w:cs="Times New Roman"/>
        </w:rPr>
        <w:t xml:space="preserve">esults were presented internally in 2017, and were used to inform the Agency's understanding about how to implement </w:t>
      </w:r>
      <w:r w:rsidR="003F7426">
        <w:rPr>
          <w:rFonts w:ascii="Times New Roman" w:hAnsi="Times New Roman" w:cs="Times New Roman"/>
        </w:rPr>
        <w:t>S</w:t>
      </w:r>
      <w:r w:rsidR="000E1EC5" w:rsidRPr="00B660CD">
        <w:rPr>
          <w:rFonts w:ascii="Times New Roman" w:hAnsi="Times New Roman" w:cs="Times New Roman"/>
        </w:rPr>
        <w:t>ection 911 of the FD&amp;C Act</w:t>
      </w:r>
      <w:r w:rsidR="000E1EC5">
        <w:rPr>
          <w:rFonts w:ascii="Times New Roman" w:hAnsi="Times New Roman" w:cs="Times New Roman"/>
          <w:iCs/>
        </w:rPr>
        <w:t>.</w:t>
      </w:r>
      <w:r w:rsidR="000E1EC5" w:rsidRPr="00B660CD">
        <w:rPr>
          <w:rFonts w:ascii="Times New Roman" w:hAnsi="Times New Roman" w:cs="Times New Roman"/>
          <w:iCs/>
        </w:rPr>
        <w:t xml:space="preserve"> Results were also presented externally at the </w:t>
      </w:r>
      <w:r w:rsidR="00BE2C56">
        <w:rPr>
          <w:rFonts w:ascii="Times New Roman" w:hAnsi="Times New Roman" w:cs="Times New Roman"/>
          <w:iCs/>
        </w:rPr>
        <w:t xml:space="preserve">February </w:t>
      </w:r>
      <w:r w:rsidR="000E1EC5" w:rsidRPr="00B660CD">
        <w:rPr>
          <w:rFonts w:ascii="Times New Roman" w:hAnsi="Times New Roman" w:cs="Times New Roman"/>
          <w:iCs/>
        </w:rPr>
        <w:t xml:space="preserve">2018 annual meeting of the Society for Research on Nicotine and Tobacco. </w:t>
      </w:r>
      <w:r w:rsidR="005A66AB">
        <w:rPr>
          <w:rFonts w:ascii="Times New Roman" w:hAnsi="Times New Roman" w:cs="Times New Roman"/>
          <w:color w:val="000000" w:themeColor="text1"/>
        </w:rPr>
        <w:t xml:space="preserve"> Also</w:t>
      </w:r>
      <w:r w:rsidR="002E03BC">
        <w:rPr>
          <w:rFonts w:ascii="Times New Roman" w:hAnsi="Times New Roman" w:cs="Times New Roman"/>
          <w:color w:val="000000" w:themeColor="text1"/>
        </w:rPr>
        <w:t xml:space="preserve">, </w:t>
      </w:r>
      <w:r w:rsidR="005A66AB">
        <w:rPr>
          <w:rFonts w:ascii="Times New Roman" w:hAnsi="Times New Roman" w:cs="Times New Roman"/>
          <w:color w:val="000000" w:themeColor="text1"/>
        </w:rPr>
        <w:t>one other related FDA data collection is planned</w:t>
      </w:r>
      <w:r w:rsidR="00EF0914">
        <w:rPr>
          <w:rFonts w:ascii="Times New Roman" w:hAnsi="Times New Roman" w:cs="Times New Roman"/>
          <w:color w:val="000000" w:themeColor="text1"/>
        </w:rPr>
        <w:t xml:space="preserve"> for the future</w:t>
      </w:r>
      <w:r w:rsidR="005A66AB">
        <w:rPr>
          <w:rFonts w:ascii="Times New Roman" w:hAnsi="Times New Roman" w:cs="Times New Roman"/>
          <w:color w:val="000000" w:themeColor="text1"/>
        </w:rPr>
        <w:t>. However, this other data collection will test</w:t>
      </w:r>
      <w:r w:rsidR="007550F4">
        <w:rPr>
          <w:rFonts w:ascii="Times New Roman" w:hAnsi="Times New Roman" w:cs="Times New Roman"/>
          <w:color w:val="000000" w:themeColor="text1"/>
        </w:rPr>
        <w:t xml:space="preserve"> the effect</w:t>
      </w:r>
      <w:r w:rsidR="006267C0">
        <w:rPr>
          <w:rFonts w:ascii="Times New Roman" w:hAnsi="Times New Roman" w:cs="Times New Roman"/>
          <w:color w:val="000000" w:themeColor="text1"/>
        </w:rPr>
        <w:t>s</w:t>
      </w:r>
      <w:r w:rsidR="007550F4">
        <w:rPr>
          <w:rFonts w:ascii="Times New Roman" w:hAnsi="Times New Roman" w:cs="Times New Roman"/>
          <w:color w:val="000000" w:themeColor="text1"/>
        </w:rPr>
        <w:t xml:space="preserve"> of implied (</w:t>
      </w:r>
      <w:r w:rsidR="00F81759">
        <w:rPr>
          <w:rFonts w:ascii="Times New Roman" w:hAnsi="Times New Roman" w:cs="Times New Roman"/>
          <w:color w:val="000000" w:themeColor="text1"/>
        </w:rPr>
        <w:t xml:space="preserve">but </w:t>
      </w:r>
      <w:r w:rsidR="007550F4">
        <w:rPr>
          <w:rFonts w:ascii="Times New Roman" w:hAnsi="Times New Roman" w:cs="Times New Roman"/>
          <w:color w:val="000000" w:themeColor="text1"/>
        </w:rPr>
        <w:t xml:space="preserve">not explicit) </w:t>
      </w:r>
      <w:r w:rsidR="006267C0">
        <w:rPr>
          <w:rFonts w:ascii="Times New Roman" w:hAnsi="Times New Roman" w:cs="Times New Roman"/>
          <w:color w:val="000000" w:themeColor="text1"/>
        </w:rPr>
        <w:t xml:space="preserve">modified risk </w:t>
      </w:r>
      <w:r w:rsidR="007550F4">
        <w:rPr>
          <w:rFonts w:ascii="Times New Roman" w:hAnsi="Times New Roman" w:cs="Times New Roman"/>
          <w:color w:val="000000" w:themeColor="text1"/>
        </w:rPr>
        <w:t xml:space="preserve">claims on perceptions of risk </w:t>
      </w:r>
      <w:r w:rsidR="006267C0">
        <w:rPr>
          <w:rFonts w:ascii="Times New Roman" w:hAnsi="Times New Roman" w:cs="Times New Roman"/>
          <w:color w:val="000000" w:themeColor="text1"/>
        </w:rPr>
        <w:t>among</w:t>
      </w:r>
      <w:r w:rsidR="007550F4">
        <w:rPr>
          <w:rFonts w:ascii="Times New Roman" w:hAnsi="Times New Roman" w:cs="Times New Roman"/>
          <w:color w:val="000000" w:themeColor="text1"/>
        </w:rPr>
        <w:t xml:space="preserve"> individuals of different </w:t>
      </w:r>
      <w:r w:rsidR="00F81759">
        <w:rPr>
          <w:rFonts w:ascii="Times New Roman" w:hAnsi="Times New Roman" w:cs="Times New Roman"/>
          <w:color w:val="000000" w:themeColor="text1"/>
        </w:rPr>
        <w:t xml:space="preserve">ages. </w:t>
      </w:r>
      <w:r w:rsidR="00EF0914">
        <w:rPr>
          <w:rFonts w:ascii="Times New Roman" w:hAnsi="Times New Roman" w:cs="Times New Roman"/>
          <w:color w:val="000000" w:themeColor="text1"/>
        </w:rPr>
        <w:t xml:space="preserve">Each of these data collection efforts is unique and will provide distinct information for use by FDA, companies, and tobacco researchers. </w:t>
      </w:r>
    </w:p>
    <w:p w14:paraId="2E7F07B6" w14:textId="77777777" w:rsidR="00EF0914" w:rsidRDefault="00EF0914" w:rsidP="00B6274E">
      <w:pPr>
        <w:rPr>
          <w:rFonts w:ascii="Times New Roman" w:hAnsi="Times New Roman" w:cs="Times New Roman"/>
          <w:color w:val="000000" w:themeColor="text1"/>
        </w:rPr>
      </w:pPr>
    </w:p>
    <w:p w14:paraId="09B28132" w14:textId="02CBB249" w:rsidR="00F81759" w:rsidRDefault="00EF0914" w:rsidP="00B6274E">
      <w:pPr>
        <w:rPr>
          <w:rFonts w:ascii="Times New Roman" w:hAnsi="Times New Roman" w:cs="Times New Roman"/>
          <w:color w:val="000000" w:themeColor="text1"/>
        </w:rPr>
      </w:pPr>
      <w:r>
        <w:rPr>
          <w:rFonts w:ascii="Times New Roman" w:hAnsi="Times New Roman" w:cs="Times New Roman"/>
          <w:color w:val="000000" w:themeColor="text1"/>
        </w:rPr>
        <w:t xml:space="preserve">No other FDA data collections have focused on </w:t>
      </w:r>
      <w:r w:rsidR="00711F94">
        <w:rPr>
          <w:rFonts w:ascii="Times New Roman" w:hAnsi="Times New Roman" w:cs="Times New Roman"/>
          <w:color w:val="000000" w:themeColor="text1"/>
        </w:rPr>
        <w:t>validat</w:t>
      </w:r>
      <w:r>
        <w:rPr>
          <w:rFonts w:ascii="Times New Roman" w:hAnsi="Times New Roman" w:cs="Times New Roman"/>
          <w:color w:val="000000" w:themeColor="text1"/>
        </w:rPr>
        <w:t>ing</w:t>
      </w:r>
      <w:r w:rsidR="00711F94">
        <w:rPr>
          <w:rFonts w:ascii="Times New Roman" w:hAnsi="Times New Roman" w:cs="Times New Roman"/>
          <w:color w:val="000000" w:themeColor="text1"/>
        </w:rPr>
        <w:t xml:space="preserve"> measures </w:t>
      </w:r>
      <w:r w:rsidR="00F81759">
        <w:rPr>
          <w:rFonts w:ascii="Times New Roman" w:hAnsi="Times New Roman" w:cs="Times New Roman"/>
          <w:color w:val="000000" w:themeColor="text1"/>
        </w:rPr>
        <w:t>that can be used to</w:t>
      </w:r>
      <w:r w:rsidR="007550F4">
        <w:rPr>
          <w:rFonts w:ascii="Times New Roman" w:hAnsi="Times New Roman" w:cs="Times New Roman"/>
          <w:color w:val="000000" w:themeColor="text1"/>
        </w:rPr>
        <w:t xml:space="preserve"> </w:t>
      </w:r>
      <w:r w:rsidR="00F81759">
        <w:rPr>
          <w:rFonts w:ascii="Times New Roman" w:hAnsi="Times New Roman" w:cs="Times New Roman"/>
          <w:color w:val="000000" w:themeColor="text1"/>
        </w:rPr>
        <w:t>evaluate</w:t>
      </w:r>
      <w:r w:rsidR="007550F4">
        <w:rPr>
          <w:rFonts w:ascii="Times New Roman" w:hAnsi="Times New Roman" w:cs="Times New Roman"/>
          <w:color w:val="000000" w:themeColor="text1"/>
        </w:rPr>
        <w:t xml:space="preserve"> the effect</w:t>
      </w:r>
      <w:r w:rsidR="006267C0">
        <w:rPr>
          <w:rFonts w:ascii="Times New Roman" w:hAnsi="Times New Roman" w:cs="Times New Roman"/>
          <w:color w:val="000000" w:themeColor="text1"/>
        </w:rPr>
        <w:t>s</w:t>
      </w:r>
      <w:r w:rsidR="007550F4">
        <w:rPr>
          <w:rFonts w:ascii="Times New Roman" w:hAnsi="Times New Roman" w:cs="Times New Roman"/>
          <w:color w:val="000000" w:themeColor="text1"/>
        </w:rPr>
        <w:t xml:space="preserve"> of explicit </w:t>
      </w:r>
      <w:r w:rsidR="006267C0">
        <w:rPr>
          <w:rFonts w:ascii="Times New Roman" w:hAnsi="Times New Roman" w:cs="Times New Roman"/>
          <w:color w:val="000000" w:themeColor="text1"/>
        </w:rPr>
        <w:t xml:space="preserve">modified risk </w:t>
      </w:r>
      <w:r w:rsidR="007550F4">
        <w:rPr>
          <w:rFonts w:ascii="Times New Roman" w:hAnsi="Times New Roman" w:cs="Times New Roman"/>
          <w:color w:val="000000" w:themeColor="text1"/>
        </w:rPr>
        <w:t>claims on</w:t>
      </w:r>
      <w:r w:rsidR="00711F94">
        <w:rPr>
          <w:rFonts w:ascii="Times New Roman" w:hAnsi="Times New Roman" w:cs="Times New Roman"/>
          <w:color w:val="000000" w:themeColor="text1"/>
        </w:rPr>
        <w:t xml:space="preserve"> </w:t>
      </w:r>
      <w:r w:rsidR="007550F4">
        <w:rPr>
          <w:rFonts w:ascii="Times New Roman" w:hAnsi="Times New Roman" w:cs="Times New Roman"/>
          <w:color w:val="000000" w:themeColor="text1"/>
        </w:rPr>
        <w:t xml:space="preserve">perceptions of risk of </w:t>
      </w:r>
      <w:r w:rsidR="00F81759">
        <w:rPr>
          <w:rFonts w:ascii="Times New Roman" w:hAnsi="Times New Roman" w:cs="Times New Roman"/>
          <w:color w:val="000000" w:themeColor="text1"/>
        </w:rPr>
        <w:t xml:space="preserve">e-cigarette or snuff </w:t>
      </w:r>
      <w:r w:rsidR="007550F4">
        <w:rPr>
          <w:rFonts w:ascii="Times New Roman" w:hAnsi="Times New Roman" w:cs="Times New Roman"/>
          <w:color w:val="000000" w:themeColor="text1"/>
        </w:rPr>
        <w:t xml:space="preserve">use. </w:t>
      </w:r>
      <w:bookmarkStart w:id="2" w:name="_Hlk499810973"/>
      <w:r>
        <w:rPr>
          <w:rFonts w:ascii="Times New Roman" w:hAnsi="Times New Roman" w:cs="Times New Roman"/>
          <w:color w:val="000000" w:themeColor="text1"/>
        </w:rPr>
        <w:t>Also, w</w:t>
      </w:r>
      <w:r w:rsidR="00886E03">
        <w:rPr>
          <w:rFonts w:ascii="Times New Roman" w:hAnsi="Times New Roman" w:cs="Times New Roman"/>
          <w:color w:val="000000" w:themeColor="text1"/>
        </w:rPr>
        <w:t>e have searched the published literature to assess whether researchers have already developed and validated measures in this area</w:t>
      </w:r>
      <w:r w:rsidR="003D0CBB">
        <w:rPr>
          <w:rFonts w:ascii="Times New Roman" w:hAnsi="Times New Roman" w:cs="Times New Roman"/>
          <w:color w:val="000000" w:themeColor="text1"/>
        </w:rPr>
        <w:t>. W</w:t>
      </w:r>
      <w:r w:rsidR="00886E03">
        <w:rPr>
          <w:rFonts w:ascii="Times New Roman" w:hAnsi="Times New Roman" w:cs="Times New Roman"/>
          <w:color w:val="000000" w:themeColor="text1"/>
        </w:rPr>
        <w:t xml:space="preserve">e published the findings </w:t>
      </w:r>
      <w:r w:rsidR="003D0CBB">
        <w:rPr>
          <w:rFonts w:ascii="Times New Roman" w:hAnsi="Times New Roman" w:cs="Times New Roman"/>
          <w:color w:val="000000" w:themeColor="text1"/>
        </w:rPr>
        <w:t>from</w:t>
      </w:r>
      <w:r w:rsidR="00886E03">
        <w:rPr>
          <w:rFonts w:ascii="Times New Roman" w:hAnsi="Times New Roman" w:cs="Times New Roman"/>
          <w:color w:val="000000" w:themeColor="text1"/>
        </w:rPr>
        <w:t xml:space="preserve"> our literature search (O’Brien, Persoskie, &amp; Tam (2019). Multi-item measures of tobacco health perceptions: A review. </w:t>
      </w:r>
      <w:r w:rsidR="00886E03">
        <w:rPr>
          <w:rFonts w:ascii="Times New Roman" w:hAnsi="Times New Roman" w:cs="Times New Roman"/>
          <w:i/>
          <w:color w:val="000000" w:themeColor="text1"/>
        </w:rPr>
        <w:t>American Journal of Health Behavior, 43,</w:t>
      </w:r>
      <w:r w:rsidR="00886E03">
        <w:rPr>
          <w:rFonts w:ascii="Times New Roman" w:hAnsi="Times New Roman" w:cs="Times New Roman"/>
          <w:color w:val="000000" w:themeColor="text1"/>
        </w:rPr>
        <w:t xml:space="preserve"> 266-278). </w:t>
      </w:r>
      <w:r w:rsidR="00913DD3">
        <w:rPr>
          <w:rFonts w:ascii="Times New Roman" w:hAnsi="Times New Roman" w:cs="Times New Roman"/>
          <w:color w:val="000000" w:themeColor="text1"/>
        </w:rPr>
        <w:t xml:space="preserve">We identified shortcomings in all previously published measures. </w:t>
      </w:r>
      <w:r w:rsidR="00886E03">
        <w:rPr>
          <w:rFonts w:ascii="Times New Roman" w:hAnsi="Times New Roman" w:cs="Times New Roman"/>
          <w:color w:val="000000" w:themeColor="text1"/>
        </w:rPr>
        <w:t xml:space="preserve">When designing our measures for the proposed study, we built </w:t>
      </w:r>
      <w:r w:rsidR="000C0973">
        <w:rPr>
          <w:rFonts w:ascii="Times New Roman" w:hAnsi="Times New Roman" w:cs="Times New Roman"/>
          <w:color w:val="000000" w:themeColor="text1"/>
        </w:rPr>
        <w:t>on</w:t>
      </w:r>
      <w:r w:rsidR="00886E03">
        <w:rPr>
          <w:rFonts w:ascii="Times New Roman" w:hAnsi="Times New Roman" w:cs="Times New Roman"/>
          <w:color w:val="000000" w:themeColor="text1"/>
        </w:rPr>
        <w:t xml:space="preserve"> the items </w:t>
      </w:r>
      <w:r w:rsidR="00913DD3">
        <w:rPr>
          <w:rFonts w:ascii="Times New Roman" w:hAnsi="Times New Roman" w:cs="Times New Roman"/>
          <w:color w:val="000000" w:themeColor="text1"/>
        </w:rPr>
        <w:t xml:space="preserve">published in prior research: </w:t>
      </w:r>
      <w:r w:rsidR="003D0CBB">
        <w:rPr>
          <w:rFonts w:ascii="Times New Roman" w:hAnsi="Times New Roman" w:cs="Times New Roman"/>
          <w:color w:val="000000" w:themeColor="text1"/>
        </w:rPr>
        <w:t>W</w:t>
      </w:r>
      <w:r w:rsidR="00886E03">
        <w:rPr>
          <w:rFonts w:ascii="Times New Roman" w:hAnsi="Times New Roman" w:cs="Times New Roman"/>
          <w:color w:val="000000" w:themeColor="text1"/>
        </w:rPr>
        <w:t xml:space="preserve">e </w:t>
      </w:r>
      <w:r w:rsidR="00913DD3">
        <w:rPr>
          <w:rFonts w:ascii="Times New Roman" w:hAnsi="Times New Roman" w:cs="Times New Roman"/>
          <w:color w:val="000000" w:themeColor="text1"/>
        </w:rPr>
        <w:t xml:space="preserve">aggregated the items, eliminated duplicates, made additions, and reworded them where needed. For example, we added sets of items that allow participants to compare </w:t>
      </w:r>
      <w:r w:rsidR="00152F01">
        <w:rPr>
          <w:rFonts w:ascii="Times New Roman" w:hAnsi="Times New Roman" w:cs="Times New Roman"/>
          <w:color w:val="000000" w:themeColor="text1"/>
        </w:rPr>
        <w:t>the risks from</w:t>
      </w:r>
      <w:r w:rsidR="00913DD3">
        <w:rPr>
          <w:rFonts w:ascii="Times New Roman" w:hAnsi="Times New Roman" w:cs="Times New Roman"/>
          <w:color w:val="000000" w:themeColor="text1"/>
        </w:rPr>
        <w:t xml:space="preserve"> </w:t>
      </w:r>
      <w:r w:rsidR="00152F01">
        <w:rPr>
          <w:rFonts w:ascii="Times New Roman" w:hAnsi="Times New Roman" w:cs="Times New Roman"/>
          <w:color w:val="000000" w:themeColor="text1"/>
        </w:rPr>
        <w:t xml:space="preserve">using </w:t>
      </w:r>
      <w:r w:rsidR="00913DD3">
        <w:rPr>
          <w:rFonts w:ascii="Times New Roman" w:hAnsi="Times New Roman" w:cs="Times New Roman"/>
          <w:color w:val="000000" w:themeColor="text1"/>
        </w:rPr>
        <w:t>e-cigarette</w:t>
      </w:r>
      <w:r w:rsidR="003D0CBB">
        <w:rPr>
          <w:rFonts w:ascii="Times New Roman" w:hAnsi="Times New Roman" w:cs="Times New Roman"/>
          <w:color w:val="000000" w:themeColor="text1"/>
        </w:rPr>
        <w:t>s</w:t>
      </w:r>
      <w:r w:rsidR="00913DD3">
        <w:rPr>
          <w:rFonts w:ascii="Times New Roman" w:hAnsi="Times New Roman" w:cs="Times New Roman"/>
          <w:color w:val="000000" w:themeColor="text1"/>
        </w:rPr>
        <w:t xml:space="preserve"> and snuff to the risks from </w:t>
      </w:r>
      <w:r w:rsidR="00152F01">
        <w:rPr>
          <w:rFonts w:ascii="Times New Roman" w:hAnsi="Times New Roman" w:cs="Times New Roman"/>
          <w:color w:val="000000" w:themeColor="text1"/>
        </w:rPr>
        <w:t xml:space="preserve">using </w:t>
      </w:r>
      <w:r w:rsidR="00913DD3">
        <w:rPr>
          <w:rFonts w:ascii="Times New Roman" w:hAnsi="Times New Roman" w:cs="Times New Roman"/>
          <w:color w:val="000000" w:themeColor="text1"/>
        </w:rPr>
        <w:t>cigarettes</w:t>
      </w:r>
      <w:r w:rsidR="00152F01">
        <w:rPr>
          <w:rFonts w:ascii="Times New Roman" w:hAnsi="Times New Roman" w:cs="Times New Roman"/>
          <w:color w:val="000000" w:themeColor="text1"/>
        </w:rPr>
        <w:t xml:space="preserve"> and</w:t>
      </w:r>
      <w:r w:rsidR="00913DD3">
        <w:rPr>
          <w:rFonts w:ascii="Times New Roman" w:hAnsi="Times New Roman" w:cs="Times New Roman"/>
          <w:color w:val="000000" w:themeColor="text1"/>
        </w:rPr>
        <w:t xml:space="preserve"> NRT.</w:t>
      </w:r>
      <w:r w:rsidR="00886E03">
        <w:rPr>
          <w:rFonts w:ascii="Times New Roman" w:hAnsi="Times New Roman" w:cs="Times New Roman"/>
          <w:color w:val="000000" w:themeColor="text1"/>
        </w:rPr>
        <w:t xml:space="preserve"> </w:t>
      </w:r>
      <w:r w:rsidR="0015215F">
        <w:rPr>
          <w:rFonts w:ascii="Times New Roman" w:hAnsi="Times New Roman" w:cs="Times New Roman"/>
          <w:color w:val="000000" w:themeColor="text1"/>
        </w:rPr>
        <w:t>Based on our thorough review of the literature, we determined that t</w:t>
      </w:r>
      <w:r w:rsidR="0031178F">
        <w:rPr>
          <w:rFonts w:ascii="Times New Roman" w:hAnsi="Times New Roman" w:cs="Times New Roman"/>
          <w:color w:val="000000" w:themeColor="text1"/>
        </w:rPr>
        <w:t>h</w:t>
      </w:r>
      <w:r w:rsidR="003D0CBB">
        <w:rPr>
          <w:rFonts w:ascii="Times New Roman" w:hAnsi="Times New Roman" w:cs="Times New Roman"/>
          <w:color w:val="000000" w:themeColor="text1"/>
        </w:rPr>
        <w:t>e</w:t>
      </w:r>
      <w:r w:rsidR="0031178F">
        <w:rPr>
          <w:rFonts w:ascii="Times New Roman" w:hAnsi="Times New Roman" w:cs="Times New Roman"/>
          <w:color w:val="000000" w:themeColor="text1"/>
        </w:rPr>
        <w:t xml:space="preserve"> </w:t>
      </w:r>
      <w:r w:rsidR="003D0CBB">
        <w:rPr>
          <w:rFonts w:ascii="Times New Roman" w:hAnsi="Times New Roman" w:cs="Times New Roman"/>
          <w:color w:val="000000" w:themeColor="text1"/>
        </w:rPr>
        <w:t xml:space="preserve">proposed </w:t>
      </w:r>
      <w:r w:rsidR="0031178F">
        <w:rPr>
          <w:rFonts w:ascii="Times New Roman" w:hAnsi="Times New Roman" w:cs="Times New Roman"/>
          <w:color w:val="000000" w:themeColor="text1"/>
        </w:rPr>
        <w:t xml:space="preserve">study </w:t>
      </w:r>
      <w:r w:rsidR="0015215F">
        <w:rPr>
          <w:rFonts w:ascii="Times New Roman" w:hAnsi="Times New Roman" w:cs="Times New Roman"/>
          <w:color w:val="000000" w:themeColor="text1"/>
        </w:rPr>
        <w:t xml:space="preserve">will </w:t>
      </w:r>
      <w:r w:rsidR="0031178F">
        <w:rPr>
          <w:rFonts w:ascii="Times New Roman" w:hAnsi="Times New Roman" w:cs="Times New Roman"/>
          <w:color w:val="000000" w:themeColor="text1"/>
        </w:rPr>
        <w:t xml:space="preserve">contribute new and vital </w:t>
      </w:r>
      <w:r w:rsidR="003244FE">
        <w:rPr>
          <w:rFonts w:ascii="Times New Roman" w:hAnsi="Times New Roman" w:cs="Times New Roman"/>
          <w:color w:val="000000" w:themeColor="text1"/>
        </w:rPr>
        <w:t xml:space="preserve">information to FDA, so FDA can provide guidance </w:t>
      </w:r>
      <w:r w:rsidR="006267C0">
        <w:rPr>
          <w:rFonts w:ascii="Times New Roman" w:hAnsi="Times New Roman" w:cs="Times New Roman"/>
          <w:color w:val="000000" w:themeColor="text1"/>
        </w:rPr>
        <w:t xml:space="preserve">to industry </w:t>
      </w:r>
      <w:r w:rsidR="003244FE">
        <w:rPr>
          <w:rFonts w:ascii="Times New Roman" w:hAnsi="Times New Roman" w:cs="Times New Roman"/>
          <w:color w:val="000000" w:themeColor="text1"/>
        </w:rPr>
        <w:t xml:space="preserve">on </w:t>
      </w:r>
      <w:r w:rsidR="002256AD">
        <w:rPr>
          <w:rFonts w:ascii="Times New Roman" w:hAnsi="Times New Roman" w:cs="Times New Roman"/>
          <w:color w:val="000000" w:themeColor="text1"/>
        </w:rPr>
        <w:t xml:space="preserve">the </w:t>
      </w:r>
      <w:r w:rsidR="006267C0">
        <w:rPr>
          <w:rFonts w:ascii="Times New Roman" w:hAnsi="Times New Roman" w:cs="Times New Roman"/>
          <w:color w:val="000000" w:themeColor="text1"/>
        </w:rPr>
        <w:t xml:space="preserve">design of consumer perception research in </w:t>
      </w:r>
      <w:r w:rsidR="003244FE" w:rsidRPr="005D35D4">
        <w:rPr>
          <w:rFonts w:ascii="Times New Roman" w:hAnsi="Times New Roman" w:cs="Times New Roman"/>
          <w:color w:val="000000" w:themeColor="text1"/>
        </w:rPr>
        <w:t>MRTPA</w:t>
      </w:r>
      <w:r w:rsidR="003244FE">
        <w:rPr>
          <w:rFonts w:ascii="Times New Roman" w:hAnsi="Times New Roman" w:cs="Times New Roman"/>
          <w:color w:val="000000" w:themeColor="text1"/>
        </w:rPr>
        <w:t>s.</w:t>
      </w:r>
    </w:p>
    <w:bookmarkEnd w:id="2"/>
    <w:p w14:paraId="7493C0B1" w14:textId="77777777" w:rsidR="005B5DD0" w:rsidRPr="00BF6EAE" w:rsidRDefault="005B5DD0" w:rsidP="00CE1475">
      <w:pPr>
        <w:ind w:left="1080"/>
        <w:rPr>
          <w:rFonts w:ascii="Times New Roman" w:hAnsi="Times New Roman" w:cs="Times New Roman"/>
          <w:color w:val="000000" w:themeColor="text1"/>
        </w:rPr>
      </w:pPr>
    </w:p>
    <w:p w14:paraId="30D0BA6E" w14:textId="77777777" w:rsidR="00DF5630" w:rsidRPr="00BF6EAE" w:rsidRDefault="00DF5630" w:rsidP="001A4C6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Impact on Small Businesses or Other Small Entities</w:t>
      </w:r>
    </w:p>
    <w:p w14:paraId="73081E7E" w14:textId="77777777" w:rsidR="005021D9" w:rsidRPr="00BF6EAE" w:rsidRDefault="005021D9" w:rsidP="005021D9">
      <w:pPr>
        <w:ind w:left="1080"/>
        <w:rPr>
          <w:rFonts w:ascii="Times New Roman" w:hAnsi="Times New Roman" w:cs="Times New Roman"/>
          <w:color w:val="000000" w:themeColor="text1"/>
        </w:rPr>
      </w:pPr>
    </w:p>
    <w:p w14:paraId="566D9C3A" w14:textId="42C87FF7" w:rsidR="005366F0" w:rsidRPr="00BF6EAE" w:rsidRDefault="00D8794E"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Respondents in this study will be specific subpopulations</w:t>
      </w:r>
      <w:r w:rsidR="005366F0" w:rsidRPr="00BF6EAE">
        <w:rPr>
          <w:rFonts w:ascii="Times New Roman" w:hAnsi="Times New Roman" w:cs="Times New Roman"/>
          <w:color w:val="000000" w:themeColor="text1"/>
        </w:rPr>
        <w:t xml:space="preserve"> of the public</w:t>
      </w:r>
      <w:r w:rsidRPr="00BF6EAE">
        <w:rPr>
          <w:rFonts w:ascii="Times New Roman" w:hAnsi="Times New Roman" w:cs="Times New Roman"/>
          <w:color w:val="000000" w:themeColor="text1"/>
        </w:rPr>
        <w:t xml:space="preserve">, not business entities. </w:t>
      </w:r>
      <w:r w:rsidR="00BB7DE4">
        <w:rPr>
          <w:rFonts w:ascii="Times New Roman" w:hAnsi="Times New Roman" w:cs="Times New Roman"/>
          <w:color w:val="000000" w:themeColor="text1"/>
        </w:rPr>
        <w:t>We do not anticipate any</w:t>
      </w:r>
      <w:r w:rsidRPr="00BF6EAE">
        <w:rPr>
          <w:rFonts w:ascii="Times New Roman" w:hAnsi="Times New Roman" w:cs="Times New Roman"/>
          <w:color w:val="000000" w:themeColor="text1"/>
        </w:rPr>
        <w:t xml:space="preserve"> impact on small businesses or other small entities </w:t>
      </w:r>
      <w:r w:rsidR="00BB7DE4">
        <w:rPr>
          <w:rFonts w:ascii="Times New Roman" w:hAnsi="Times New Roman" w:cs="Times New Roman"/>
          <w:color w:val="000000" w:themeColor="text1"/>
        </w:rPr>
        <w:t xml:space="preserve">in terms </w:t>
      </w:r>
      <w:r w:rsidR="00614F8E">
        <w:rPr>
          <w:rFonts w:ascii="Times New Roman" w:hAnsi="Times New Roman" w:cs="Times New Roman"/>
          <w:color w:val="000000" w:themeColor="text1"/>
        </w:rPr>
        <w:t xml:space="preserve">of </w:t>
      </w:r>
      <w:r w:rsidR="00BB7DE4">
        <w:rPr>
          <w:rFonts w:ascii="Times New Roman" w:hAnsi="Times New Roman" w:cs="Times New Roman"/>
          <w:color w:val="000000" w:themeColor="text1"/>
        </w:rPr>
        <w:t>data collection</w:t>
      </w:r>
      <w:r w:rsidR="00A77CDC">
        <w:rPr>
          <w:rFonts w:ascii="Times New Roman" w:hAnsi="Times New Roman" w:cs="Times New Roman"/>
          <w:color w:val="000000" w:themeColor="text1"/>
        </w:rPr>
        <w:t xml:space="preserve"> burden</w:t>
      </w:r>
      <w:r w:rsidRPr="00BF6EAE">
        <w:rPr>
          <w:rFonts w:ascii="Times New Roman" w:hAnsi="Times New Roman" w:cs="Times New Roman"/>
          <w:color w:val="000000" w:themeColor="text1"/>
        </w:rPr>
        <w:t>.</w:t>
      </w:r>
      <w:r w:rsidR="00BB7DE4">
        <w:rPr>
          <w:rFonts w:ascii="Times New Roman" w:hAnsi="Times New Roman" w:cs="Times New Roman"/>
          <w:color w:val="000000" w:themeColor="text1"/>
        </w:rPr>
        <w:t xml:space="preserve"> Results of the data collection may be useful to small and large businesses seeking to submit MRTPAs, if the studies provide evidence for the validity of measures of consumer perceptions of risk from using tobacco products. </w:t>
      </w:r>
    </w:p>
    <w:p w14:paraId="1986C192" w14:textId="77777777" w:rsidR="005021D9" w:rsidRPr="00BF6EAE" w:rsidRDefault="005021D9" w:rsidP="005021D9">
      <w:pPr>
        <w:ind w:left="1080"/>
        <w:rPr>
          <w:rFonts w:ascii="Times New Roman" w:hAnsi="Times New Roman" w:cs="Times New Roman"/>
          <w:color w:val="000000" w:themeColor="text1"/>
        </w:rPr>
      </w:pPr>
    </w:p>
    <w:p w14:paraId="7F94B872" w14:textId="00CF64AF" w:rsidR="00DF5630" w:rsidRPr="00BF6EAE" w:rsidRDefault="00DF5630" w:rsidP="001A4C6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 xml:space="preserve">Consequences of Collecting </w:t>
      </w:r>
      <w:r w:rsidR="005021D9" w:rsidRPr="00BF6EAE">
        <w:rPr>
          <w:rFonts w:ascii="Times New Roman" w:hAnsi="Times New Roman" w:cs="Times New Roman"/>
          <w:color w:val="000000" w:themeColor="text1"/>
          <w:u w:val="single"/>
        </w:rPr>
        <w:t>the Information Less Frequently</w:t>
      </w:r>
    </w:p>
    <w:p w14:paraId="2F5638BC" w14:textId="77777777" w:rsidR="005021D9" w:rsidRPr="00BF6EAE" w:rsidRDefault="005021D9" w:rsidP="005021D9">
      <w:pPr>
        <w:ind w:left="1080"/>
        <w:rPr>
          <w:rFonts w:ascii="Times New Roman" w:hAnsi="Times New Roman" w:cs="Times New Roman"/>
          <w:color w:val="000000" w:themeColor="text1"/>
        </w:rPr>
      </w:pPr>
    </w:p>
    <w:p w14:paraId="591A3584" w14:textId="13DB3D54" w:rsidR="00D8794E" w:rsidRDefault="005F6A5F"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The proposed data collection is one-time only. There are no plans for successive data collections.</w:t>
      </w:r>
    </w:p>
    <w:p w14:paraId="4D907735" w14:textId="77777777" w:rsidR="00F70C51" w:rsidRPr="00BF6EAE" w:rsidRDefault="00F70C51" w:rsidP="00F70C51">
      <w:pPr>
        <w:ind w:left="1080"/>
        <w:rPr>
          <w:rFonts w:ascii="Times New Roman" w:hAnsi="Times New Roman" w:cs="Times New Roman"/>
          <w:color w:val="000000" w:themeColor="text1"/>
        </w:rPr>
      </w:pPr>
    </w:p>
    <w:p w14:paraId="2951C055" w14:textId="77777777" w:rsidR="00DF5630" w:rsidRPr="00BF6EAE" w:rsidRDefault="00B7358E" w:rsidP="001A4C6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Special Circumstances Relating to the Guidelines of 5 CFR 1320.5</w:t>
      </w:r>
    </w:p>
    <w:p w14:paraId="404C5119" w14:textId="77777777" w:rsidR="0055567A" w:rsidRPr="00BF6EAE" w:rsidRDefault="0055567A" w:rsidP="00CE1475">
      <w:pPr>
        <w:ind w:left="1080"/>
        <w:rPr>
          <w:rFonts w:ascii="Times New Roman" w:hAnsi="Times New Roman" w:cs="Times New Roman"/>
          <w:color w:val="000000" w:themeColor="text1"/>
        </w:rPr>
      </w:pPr>
    </w:p>
    <w:p w14:paraId="4AD00C37" w14:textId="76E1A31E" w:rsidR="0055567A" w:rsidRPr="00BF6EAE" w:rsidRDefault="0055567A"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There are no special circumstances for this collection of information that require the data collection to be conducted in a manner inconsistent </w:t>
      </w:r>
      <w:r w:rsidRPr="00E91478">
        <w:rPr>
          <w:rFonts w:ascii="Times New Roman" w:hAnsi="Times New Roman" w:cs="Times New Roman"/>
          <w:color w:val="000000" w:themeColor="text1"/>
        </w:rPr>
        <w:t xml:space="preserve">with 5 </w:t>
      </w:r>
      <w:r w:rsidR="00985A42" w:rsidRPr="00E91478">
        <w:rPr>
          <w:rFonts w:ascii="Times New Roman" w:hAnsi="Times New Roman" w:cs="Times New Roman"/>
          <w:color w:val="000000" w:themeColor="text1"/>
        </w:rPr>
        <w:t>CFR</w:t>
      </w:r>
      <w:r w:rsidRPr="00E91478">
        <w:rPr>
          <w:rFonts w:ascii="Times New Roman" w:hAnsi="Times New Roman" w:cs="Times New Roman"/>
          <w:color w:val="000000" w:themeColor="text1"/>
        </w:rPr>
        <w:t xml:space="preserve"> 1320.5(d)(2). The message testing activities fully comply with the guidelines in 5 CFR 1320.5.</w:t>
      </w:r>
    </w:p>
    <w:p w14:paraId="2A71758B" w14:textId="77777777" w:rsidR="0055567A" w:rsidRPr="00BF6EAE" w:rsidRDefault="0055567A" w:rsidP="0055567A">
      <w:pPr>
        <w:pStyle w:val="ListParagraph"/>
        <w:ind w:left="1080"/>
        <w:rPr>
          <w:rFonts w:ascii="Times New Roman" w:hAnsi="Times New Roman" w:cs="Times New Roman"/>
          <w:color w:val="000000" w:themeColor="text1"/>
        </w:rPr>
      </w:pPr>
    </w:p>
    <w:p w14:paraId="5DB72DFC" w14:textId="77777777" w:rsidR="00B7358E" w:rsidRPr="00E91478" w:rsidRDefault="00B7358E" w:rsidP="001A4C6B">
      <w:pPr>
        <w:pStyle w:val="ListParagraph"/>
        <w:numPr>
          <w:ilvl w:val="0"/>
          <w:numId w:val="1"/>
        </w:numPr>
        <w:rPr>
          <w:rFonts w:ascii="Times New Roman" w:hAnsi="Times New Roman" w:cs="Times New Roman"/>
          <w:color w:val="000000" w:themeColor="text1"/>
          <w:u w:val="single"/>
        </w:rPr>
      </w:pPr>
      <w:r w:rsidRPr="00E91478">
        <w:rPr>
          <w:rFonts w:ascii="Times New Roman" w:hAnsi="Times New Roman" w:cs="Times New Roman"/>
          <w:color w:val="000000" w:themeColor="text1"/>
          <w:u w:val="single"/>
        </w:rPr>
        <w:t>Comments in Response to the Federal Register Notice and Efforts to Consult Outside the Agency</w:t>
      </w:r>
    </w:p>
    <w:p w14:paraId="7FC34AE5" w14:textId="77777777" w:rsidR="007477B8" w:rsidRPr="00E91478" w:rsidRDefault="007477B8" w:rsidP="007477B8">
      <w:pPr>
        <w:rPr>
          <w:color w:val="000000" w:themeColor="text1"/>
        </w:rPr>
      </w:pPr>
    </w:p>
    <w:p w14:paraId="03BB901F" w14:textId="0C76391A" w:rsidR="00621516" w:rsidRDefault="00915F35" w:rsidP="00B6274E">
      <w:pPr>
        <w:rPr>
          <w:rFonts w:ascii="Times New Roman" w:hAnsi="Times New Roman" w:cs="Times New Roman"/>
          <w:color w:val="000000" w:themeColor="text1"/>
        </w:rPr>
      </w:pPr>
      <w:r w:rsidRPr="00E91478">
        <w:rPr>
          <w:rFonts w:ascii="Times New Roman" w:hAnsi="Times New Roman" w:cs="Times New Roman"/>
          <w:color w:val="000000" w:themeColor="text1"/>
        </w:rPr>
        <w:t xml:space="preserve">In accordance with 5 CFR 1320.8(d), </w:t>
      </w:r>
      <w:r w:rsidR="00150F66">
        <w:rPr>
          <w:rFonts w:ascii="Times New Roman" w:hAnsi="Times New Roman" w:cs="Times New Roman"/>
          <w:color w:val="000000" w:themeColor="text1"/>
        </w:rPr>
        <w:t>FDA published a 60-day notice i</w:t>
      </w:r>
      <w:r w:rsidR="00150F66" w:rsidRPr="00150F66">
        <w:rPr>
          <w:rFonts w:ascii="Times New Roman" w:hAnsi="Times New Roman" w:cs="Times New Roman"/>
          <w:color w:val="000000" w:themeColor="text1"/>
        </w:rPr>
        <w:t>n the Federal Register o</w:t>
      </w:r>
      <w:r w:rsidR="00DE005F">
        <w:rPr>
          <w:rFonts w:ascii="Times New Roman" w:hAnsi="Times New Roman" w:cs="Times New Roman"/>
          <w:color w:val="000000" w:themeColor="text1"/>
        </w:rPr>
        <w:t>n</w:t>
      </w:r>
      <w:r w:rsidR="00150F66" w:rsidRPr="00150F66">
        <w:rPr>
          <w:rFonts w:ascii="Times New Roman" w:hAnsi="Times New Roman" w:cs="Times New Roman"/>
          <w:color w:val="000000" w:themeColor="text1"/>
        </w:rPr>
        <w:t xml:space="preserve"> May 21, 2018 (83 FR 23464), requesting public comment on the prop</w:t>
      </w:r>
      <w:r w:rsidR="00094217">
        <w:rPr>
          <w:rFonts w:ascii="Times New Roman" w:hAnsi="Times New Roman" w:cs="Times New Roman"/>
          <w:color w:val="000000" w:themeColor="text1"/>
        </w:rPr>
        <w:t>osed collection of information</w:t>
      </w:r>
      <w:r w:rsidR="00621516" w:rsidRPr="00621516">
        <w:rPr>
          <w:rFonts w:ascii="Times New Roman" w:hAnsi="Times New Roman" w:cs="Times New Roman"/>
          <w:color w:val="000000" w:themeColor="text1"/>
        </w:rPr>
        <w:t>.  FDA received four comments that were PRA related.  Within those submissions, FDA received multiple comments</w:t>
      </w:r>
      <w:r w:rsidR="00094217">
        <w:rPr>
          <w:rFonts w:ascii="Times New Roman" w:hAnsi="Times New Roman" w:cs="Times New Roman"/>
          <w:color w:val="000000" w:themeColor="text1"/>
        </w:rPr>
        <w:t xml:space="preserve"> which the Agency has addressed.</w:t>
      </w:r>
      <w:r w:rsidR="003E4B61">
        <w:rPr>
          <w:rFonts w:ascii="Times New Roman" w:hAnsi="Times New Roman" w:cs="Times New Roman"/>
          <w:color w:val="000000" w:themeColor="text1"/>
        </w:rPr>
        <w:t xml:space="preserve"> </w:t>
      </w:r>
    </w:p>
    <w:p w14:paraId="364747C4" w14:textId="77777777" w:rsidR="00094217" w:rsidRPr="00621516" w:rsidRDefault="00094217" w:rsidP="00B6274E">
      <w:pPr>
        <w:rPr>
          <w:rFonts w:ascii="Times New Roman" w:hAnsi="Times New Roman" w:cs="Times New Roman"/>
          <w:color w:val="000000" w:themeColor="text1"/>
        </w:rPr>
      </w:pPr>
    </w:p>
    <w:p w14:paraId="4D949BA0"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Three of the comments were supportive of the usefulness and importance of the proposed data collection.  These comments stated that validated measures of consumers’ health risk perceptions could be useful for FDA, researchers in the field, and industry--in particular, sponsors of modified risk tobacco product applications (MRTPAs).  One of these comments expressed hope that the proposed study would be part of a more general effort by FDA to establish methods and standards for evaluating other aspects of MRTPAs.</w:t>
      </w:r>
    </w:p>
    <w:p w14:paraId="592322F6"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 xml:space="preserve">(Response) FDA agrees with these comments to the extent they relate to this study.  </w:t>
      </w:r>
    </w:p>
    <w:p w14:paraId="7271005B" w14:textId="77777777" w:rsidR="00094217" w:rsidRDefault="00094217" w:rsidP="00B6274E">
      <w:pPr>
        <w:rPr>
          <w:rFonts w:ascii="Times New Roman" w:hAnsi="Times New Roman" w:cs="Times New Roman"/>
          <w:color w:val="000000" w:themeColor="text1"/>
        </w:rPr>
      </w:pPr>
    </w:p>
    <w:p w14:paraId="34012F67" w14:textId="6798F80D"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One of the comments was unsupportive of the proposed data collection, stating that it should not be undertaken for two reasons.  The comment stated that the data are unneeded because U.S. consumers already understand the negative health effects of tobacco use and will not use a tobacco product if they are concerned about their health.</w:t>
      </w:r>
    </w:p>
    <w:p w14:paraId="2C845BCF"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The proposed data collection focuses on consumer perceptions of modified risk tobacco products, which are products that are sold or distributed for use to reduce harm or the risk of tobacco-related diseases associated with commercially marketed tobacco products.</w:t>
      </w:r>
    </w:p>
    <w:p w14:paraId="30B1C773" w14:textId="77777777" w:rsidR="00094217" w:rsidRDefault="00094217" w:rsidP="00B6274E">
      <w:pPr>
        <w:rPr>
          <w:rFonts w:ascii="Times New Roman" w:hAnsi="Times New Roman" w:cs="Times New Roman"/>
          <w:color w:val="000000" w:themeColor="text1"/>
        </w:rPr>
      </w:pPr>
    </w:p>
    <w:p w14:paraId="6CC2E26C" w14:textId="7427AA00"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A comment stated that the proposed data collection should not be undertaken because it would waste taxpayers’ money.</w:t>
      </w:r>
    </w:p>
    <w:p w14:paraId="0B753B5B"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 xml:space="preserve">(Response) FDA believes this study will provide information important to its implementation of The Family Smoking Prevention and Tobacco Control Act.  FDA also notes that the study is not funded by taxpayers’ money, but rather by industry user fees paid by regulated tobacco companies.  </w:t>
      </w:r>
    </w:p>
    <w:p w14:paraId="5DD63FEB" w14:textId="77777777" w:rsidR="00094217" w:rsidRDefault="00094217" w:rsidP="00B6274E">
      <w:pPr>
        <w:rPr>
          <w:rFonts w:ascii="Times New Roman" w:hAnsi="Times New Roman" w:cs="Times New Roman"/>
          <w:color w:val="000000" w:themeColor="text1"/>
        </w:rPr>
      </w:pPr>
    </w:p>
    <w:p w14:paraId="2B72B7C0" w14:textId="2F3D4D96" w:rsidR="00621516" w:rsidRPr="001707B9" w:rsidRDefault="00621516" w:rsidP="00B6274E">
      <w:pPr>
        <w:rPr>
          <w:rFonts w:ascii="Times New Roman" w:hAnsi="Times New Roman" w:cs="Times New Roman"/>
        </w:rPr>
      </w:pPr>
      <w:r w:rsidRPr="00621516">
        <w:rPr>
          <w:rFonts w:ascii="Times New Roman" w:hAnsi="Times New Roman" w:cs="Times New Roman"/>
          <w:color w:val="000000" w:themeColor="text1"/>
        </w:rPr>
        <w:t xml:space="preserve">(Comment) One </w:t>
      </w:r>
      <w:r w:rsidRPr="001707B9">
        <w:rPr>
          <w:rFonts w:ascii="Times New Roman" w:hAnsi="Times New Roman" w:cs="Times New Roman"/>
        </w:rPr>
        <w:t>comment suggested that the proposed data collection should be guided by a theoretical approach.</w:t>
      </w:r>
    </w:p>
    <w:p w14:paraId="6B00023C" w14:textId="639695B6"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The main objective of the data collection--developing and validating measures of consumer perceptions of tobacco</w:t>
      </w:r>
      <w:r w:rsidR="00094217">
        <w:rPr>
          <w:rFonts w:ascii="Times New Roman" w:hAnsi="Times New Roman" w:cs="Times New Roman"/>
          <w:color w:val="000000" w:themeColor="text1"/>
        </w:rPr>
        <w:t xml:space="preserve"> health risks--is intentionally </w:t>
      </w:r>
      <w:r w:rsidRPr="00621516">
        <w:rPr>
          <w:rFonts w:ascii="Times New Roman" w:hAnsi="Times New Roman" w:cs="Times New Roman"/>
          <w:color w:val="000000" w:themeColor="text1"/>
        </w:rPr>
        <w:t>atheoretical. We intend for this aspect of the research to be data-driven rather than theory-driven. To accomplish this, we have created a large pool of risk perception items by aggregating items from all of the multi-item measures we could find in the published tobacco literature, putting them into the main categories of tobacco health effects that have been identified in prior health reviews, changing the wording of the items to put them in a common format, eliminating redundant or poorly worded items by consulting expert colleagues in medicine, epidemiology, and social science, and adding items to fill remaining gaps in terms of the main categories of tobacco health effects. When analyzing data from this proposed data collection, we plan to use factor analysis to identify the main dimensions underlying how U.S. consumers perceive tobacco product risks. Thus, overall, the goal of the proposed measurement development research is to comprehensively assess risk perceptions without overlaying our own preconceptions about how people may perceive these risks.</w:t>
      </w:r>
    </w:p>
    <w:p w14:paraId="7A5DFB2E" w14:textId="77777777" w:rsidR="00094217" w:rsidRDefault="00094217" w:rsidP="00B6274E">
      <w:pPr>
        <w:rPr>
          <w:rFonts w:ascii="Times New Roman" w:hAnsi="Times New Roman" w:cs="Times New Roman"/>
          <w:color w:val="000000" w:themeColor="text1"/>
        </w:rPr>
      </w:pPr>
    </w:p>
    <w:p w14:paraId="7A62AE8E" w14:textId="7F5EFEB2"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One comment stated that the findings from our proposed analyses of moderation effects--in particular, the moderating effects of prior beliefs and the certainty with which those beliefs are held--should be considered exploratory, given that these effects are not well established in prior literature.  Relatedly, another comment pointed out that the findings from these moderation analyses may only apply to moist snuff smokeless tobacco and e-cigarette products, given that these are the product types under study in this proposed data collection.</w:t>
      </w:r>
    </w:p>
    <w:p w14:paraId="36CF7A0B"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FDA agrees that the findings of these analyses will be novel in the tobacco literature, and we plan to encourage others to replicate and extend our findings.  However, we also note that the measures used in this part of the study were adapted from measures developed and used previously in the attitude certainty literature, and the hypotheses about the potential moderating effects of belief certainty were developed based on prior studies of attitude certainty (Refs. 1 and 2).  Thus, there is related literature that will help us interpret our findings on this topic.</w:t>
      </w:r>
    </w:p>
    <w:p w14:paraId="2015CCDC" w14:textId="77777777" w:rsidR="00094217" w:rsidRDefault="00094217" w:rsidP="00B6274E">
      <w:pPr>
        <w:rPr>
          <w:rFonts w:ascii="Times New Roman" w:hAnsi="Times New Roman" w:cs="Times New Roman"/>
          <w:color w:val="000000" w:themeColor="text1"/>
        </w:rPr>
      </w:pPr>
    </w:p>
    <w:p w14:paraId="5089C698" w14:textId="027A121E"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A comment encouraged FDA to consider how to account for participants’ prior beliefs when the tobacco product under study has not been previously marketed in the United States and is therefore unknown to U.S. consumers.</w:t>
      </w:r>
    </w:p>
    <w:p w14:paraId="5094A3D0" w14:textId="77777777"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Our hypothesis would be that consumers may tend to be less certain about their beliefs about such unknown products, and therefore their beliefs about such products may be more susceptible to influence by modified risk information--but this is a hypothesis that has not been empirically tested.  We agree that our findings from the proposed analyses of the moderating effects of prior beliefs will benefit from replication and extension by others.</w:t>
      </w:r>
    </w:p>
    <w:p w14:paraId="431B6B33" w14:textId="77777777" w:rsidR="00094217" w:rsidRDefault="00094217" w:rsidP="00B6274E">
      <w:pPr>
        <w:rPr>
          <w:rFonts w:ascii="Times New Roman" w:hAnsi="Times New Roman" w:cs="Times New Roman"/>
          <w:color w:val="000000" w:themeColor="text1"/>
        </w:rPr>
      </w:pPr>
    </w:p>
    <w:p w14:paraId="715D404C" w14:textId="7F60E418"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One comment suggested that we should consider making four changes to the proposed data collection methodology.  First, this comment suggested modifying the study design to change it from a between-subjects design (i.e., in which participants are randomized to conditions and complete a posttest) to a mixed factorial design (i.e., in which participants complete a pretest, are randomized to conditions, and then complete a posttest).  The comment stated that this modified design, described as a pretest-posttest-control-group design, would allow us to control for pretest scores, which would “explicitly minimize the potential threat to internal validity, namely, selection bias.”</w:t>
      </w:r>
    </w:p>
    <w:p w14:paraId="071874C1" w14:textId="77777777" w:rsidR="00C36AB8"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 xml:space="preserve">(Response) </w:t>
      </w:r>
    </w:p>
    <w:p w14:paraId="12D1F4F1" w14:textId="231FAA56" w:rsidR="005E3851" w:rsidRDefault="00814BB9" w:rsidP="00B6274E">
      <w:pPr>
        <w:pStyle w:val="ListParagraph"/>
        <w:tabs>
          <w:tab w:val="left" w:pos="1080"/>
        </w:tabs>
        <w:ind w:left="0"/>
        <w:contextualSpacing w:val="0"/>
        <w:rPr>
          <w:rFonts w:ascii="Times New Roman" w:hAnsi="Times New Roman" w:cs="Times New Roman"/>
        </w:rPr>
      </w:pPr>
      <w:r w:rsidRPr="00814BB9">
        <w:rPr>
          <w:rFonts w:ascii="Times New Roman" w:hAnsi="Times New Roman" w:cs="Times New Roman"/>
        </w:rPr>
        <w:t xml:space="preserve">Including a pretest would not affect selection bias, which is when </w:t>
      </w:r>
      <w:r w:rsidR="004662C8">
        <w:rPr>
          <w:rFonts w:ascii="Times New Roman" w:hAnsi="Times New Roman" w:cs="Times New Roman"/>
        </w:rPr>
        <w:t>the sample is</w:t>
      </w:r>
      <w:r w:rsidRPr="00814BB9">
        <w:rPr>
          <w:rFonts w:ascii="Times New Roman" w:hAnsi="Times New Roman" w:cs="Times New Roman"/>
        </w:rPr>
        <w:t xml:space="preserve"> selected </w:t>
      </w:r>
      <w:r w:rsidR="004662C8">
        <w:rPr>
          <w:rFonts w:ascii="Times New Roman" w:hAnsi="Times New Roman" w:cs="Times New Roman"/>
        </w:rPr>
        <w:t xml:space="preserve">from the population </w:t>
      </w:r>
      <w:r w:rsidRPr="00814BB9">
        <w:rPr>
          <w:rFonts w:ascii="Times New Roman" w:hAnsi="Times New Roman" w:cs="Times New Roman"/>
        </w:rPr>
        <w:t xml:space="preserve">in such a way that </w:t>
      </w:r>
      <w:r w:rsidR="004662C8">
        <w:rPr>
          <w:rFonts w:ascii="Times New Roman" w:hAnsi="Times New Roman" w:cs="Times New Roman"/>
        </w:rPr>
        <w:t>participants</w:t>
      </w:r>
      <w:r w:rsidRPr="00814BB9">
        <w:rPr>
          <w:rFonts w:ascii="Times New Roman" w:hAnsi="Times New Roman" w:cs="Times New Roman"/>
        </w:rPr>
        <w:t xml:space="preserve"> do not represent the population. If present, selection bias will already be an issue before participants start the survey</w:t>
      </w:r>
      <w:r w:rsidR="00431AD0">
        <w:rPr>
          <w:rFonts w:ascii="Times New Roman" w:hAnsi="Times New Roman" w:cs="Times New Roman"/>
        </w:rPr>
        <w:t xml:space="preserve"> even if the study uses a pre-post design</w:t>
      </w:r>
      <w:r w:rsidRPr="00814BB9">
        <w:rPr>
          <w:rFonts w:ascii="Times New Roman" w:hAnsi="Times New Roman" w:cs="Times New Roman"/>
        </w:rPr>
        <w:t>.</w:t>
      </w:r>
      <w:r>
        <w:rPr>
          <w:rFonts w:ascii="Times New Roman" w:hAnsi="Times New Roman" w:cs="Times New Roman"/>
        </w:rPr>
        <w:t xml:space="preserve"> </w:t>
      </w:r>
      <w:r w:rsidR="00292A11">
        <w:rPr>
          <w:rFonts w:ascii="Times New Roman" w:hAnsi="Times New Roman" w:cs="Times New Roman"/>
        </w:rPr>
        <w:t>S</w:t>
      </w:r>
      <w:r w:rsidR="004662C8">
        <w:rPr>
          <w:rFonts w:ascii="Times New Roman" w:hAnsi="Times New Roman" w:cs="Times New Roman"/>
        </w:rPr>
        <w:t>election bias does not affect differences between the experimental and control conditions as participants selected to participate in the study are randomly assigned to conditions</w:t>
      </w:r>
      <w:r w:rsidR="00B12706">
        <w:rPr>
          <w:rFonts w:ascii="Times New Roman" w:hAnsi="Times New Roman" w:cs="Times New Roman"/>
        </w:rPr>
        <w:t xml:space="preserve"> and are expected to be equal at pretest (Crano et al., 2014)</w:t>
      </w:r>
      <w:r>
        <w:rPr>
          <w:rFonts w:ascii="Times New Roman" w:hAnsi="Times New Roman" w:cs="Times New Roman"/>
        </w:rPr>
        <w:t>.</w:t>
      </w:r>
      <w:r w:rsidRPr="00814BB9">
        <w:rPr>
          <w:rFonts w:ascii="Times New Roman" w:hAnsi="Times New Roman" w:cs="Times New Roman"/>
        </w:rPr>
        <w:t xml:space="preserve"> </w:t>
      </w:r>
    </w:p>
    <w:p w14:paraId="0E6D837C" w14:textId="77777777" w:rsidR="005E3851" w:rsidRDefault="005E3851" w:rsidP="00B6274E">
      <w:pPr>
        <w:pStyle w:val="ListParagraph"/>
        <w:tabs>
          <w:tab w:val="left" w:pos="1080"/>
        </w:tabs>
        <w:ind w:left="0"/>
        <w:contextualSpacing w:val="0"/>
        <w:rPr>
          <w:rFonts w:ascii="Times New Roman" w:hAnsi="Times New Roman" w:cs="Times New Roman"/>
        </w:rPr>
      </w:pPr>
    </w:p>
    <w:p w14:paraId="0BFB4E0F" w14:textId="5FC051FC" w:rsidR="0006108D" w:rsidRPr="00292A11" w:rsidRDefault="0006108D" w:rsidP="00B6274E">
      <w:pPr>
        <w:pStyle w:val="ListParagraph"/>
        <w:tabs>
          <w:tab w:val="left" w:pos="1080"/>
        </w:tabs>
        <w:ind w:left="0"/>
        <w:contextualSpacing w:val="0"/>
        <w:rPr>
          <w:rFonts w:ascii="Times New Roman" w:hAnsi="Times New Roman" w:cs="Times New Roman"/>
        </w:rPr>
      </w:pPr>
      <w:bookmarkStart w:id="3" w:name="_Hlk7184587"/>
      <w:r>
        <w:rPr>
          <w:rFonts w:ascii="Times New Roman" w:hAnsi="Times New Roman" w:cs="Times New Roman"/>
        </w:rPr>
        <w:t>Still, we considered the pros and cons of including a pretest. A</w:t>
      </w:r>
      <w:r w:rsidR="002B58D5">
        <w:rPr>
          <w:rFonts w:ascii="Times New Roman" w:hAnsi="Times New Roman" w:cs="Times New Roman"/>
        </w:rPr>
        <w:t xml:space="preserve"> potential</w:t>
      </w:r>
      <w:r>
        <w:rPr>
          <w:rFonts w:ascii="Times New Roman" w:hAnsi="Times New Roman" w:cs="Times New Roman"/>
        </w:rPr>
        <w:t xml:space="preserve"> upside to including a pretest is that it could allow us to control for within-person variance, increasing statistical power. However, because the survey is designed to be completed in one sitting, including a pretest would not work from a social science perspective. First, </w:t>
      </w:r>
      <w:r w:rsidR="00494EBE">
        <w:rPr>
          <w:rFonts w:ascii="Times New Roman" w:hAnsi="Times New Roman" w:cs="Times New Roman"/>
        </w:rPr>
        <w:t>including a pretest</w:t>
      </w:r>
      <w:r>
        <w:rPr>
          <w:rFonts w:ascii="Times New Roman" w:hAnsi="Times New Roman" w:cs="Times New Roman"/>
        </w:rPr>
        <w:t xml:space="preserve"> would involve repeating all the outcome questions twice in one sitting—one in the pretest and once in the posttest. This would nearly double the length of the survey, which would greatly increase participant burden and would increase the dropout rate. Second, </w:t>
      </w:r>
      <w:r w:rsidR="0073400B">
        <w:rPr>
          <w:rFonts w:ascii="Times New Roman" w:hAnsi="Times New Roman" w:cs="Times New Roman"/>
        </w:rPr>
        <w:t xml:space="preserve">including a pre-test could have two different psychological effects, </w:t>
      </w:r>
      <w:r w:rsidR="0060362D">
        <w:rPr>
          <w:rFonts w:ascii="Times New Roman" w:hAnsi="Times New Roman" w:cs="Times New Roman"/>
        </w:rPr>
        <w:t>which could affect responses in two different ways</w:t>
      </w:r>
      <w:r w:rsidR="0073400B">
        <w:rPr>
          <w:rFonts w:ascii="Times New Roman" w:hAnsi="Times New Roman" w:cs="Times New Roman"/>
        </w:rPr>
        <w:t xml:space="preserve">. First, </w:t>
      </w:r>
      <w:r>
        <w:rPr>
          <w:rFonts w:ascii="Times New Roman" w:hAnsi="Times New Roman" w:cs="Times New Roman"/>
        </w:rPr>
        <w:t xml:space="preserve">participants </w:t>
      </w:r>
      <w:r w:rsidR="00494EBE">
        <w:rPr>
          <w:rFonts w:ascii="Times New Roman" w:hAnsi="Times New Roman" w:cs="Times New Roman"/>
        </w:rPr>
        <w:t>could</w:t>
      </w:r>
      <w:r>
        <w:rPr>
          <w:rFonts w:ascii="Times New Roman" w:hAnsi="Times New Roman" w:cs="Times New Roman"/>
        </w:rPr>
        <w:t xml:space="preserve"> anchor on their responses from the pretest and respond similarly in the posttest. </w:t>
      </w:r>
      <w:r w:rsidR="0073400B">
        <w:rPr>
          <w:rFonts w:ascii="Times New Roman" w:hAnsi="Times New Roman" w:cs="Times New Roman"/>
        </w:rPr>
        <w:t>G</w:t>
      </w:r>
      <w:r w:rsidRPr="00292A11">
        <w:rPr>
          <w:rFonts w:ascii="Times New Roman" w:hAnsi="Times New Roman" w:cs="Times New Roman"/>
        </w:rPr>
        <w:t>iving their opinion twice in a row</w:t>
      </w:r>
      <w:r>
        <w:rPr>
          <w:rFonts w:ascii="Times New Roman" w:hAnsi="Times New Roman" w:cs="Times New Roman"/>
        </w:rPr>
        <w:t>, with an ad or package in between,</w:t>
      </w:r>
      <w:r w:rsidRPr="00292A11">
        <w:rPr>
          <w:rFonts w:ascii="Times New Roman" w:hAnsi="Times New Roman" w:cs="Times New Roman"/>
        </w:rPr>
        <w:t xml:space="preserve"> </w:t>
      </w:r>
      <w:r>
        <w:rPr>
          <w:rFonts w:ascii="Times New Roman" w:hAnsi="Times New Roman" w:cs="Times New Roman"/>
        </w:rPr>
        <w:t>would</w:t>
      </w:r>
      <w:r w:rsidR="0073400B">
        <w:rPr>
          <w:rFonts w:ascii="Times New Roman" w:hAnsi="Times New Roman" w:cs="Times New Roman"/>
        </w:rPr>
        <w:t xml:space="preserve"> make the experimental manipulation transparent to participants (i.e., they would suspect that we are studying the effects of the ad or package on responses). Second, i</w:t>
      </w:r>
      <w:r w:rsidR="0073400B">
        <w:t xml:space="preserve">ncluding a pretest introduces the problem of pretest sensitivity (Crano et al., 2014; Dimitrov &amp; Rumhill, 2003). Specifically, people who spend a few minutes thinking through the specific health effects of using a product might respond differently to a package or ad that speaks to the health effects of using that product. This decreases the external validity of the study. </w:t>
      </w:r>
      <w:r w:rsidRPr="00292A11">
        <w:rPr>
          <w:rFonts w:ascii="Times New Roman" w:hAnsi="Times New Roman" w:cs="Times New Roman"/>
        </w:rPr>
        <w:t xml:space="preserve">For these reasons, we do not think </w:t>
      </w:r>
      <w:r>
        <w:rPr>
          <w:rFonts w:ascii="Times New Roman" w:hAnsi="Times New Roman" w:cs="Times New Roman"/>
        </w:rPr>
        <w:t xml:space="preserve">the downsides of using a pretest outweigh the potential benefit (increased statistical power). </w:t>
      </w:r>
    </w:p>
    <w:bookmarkEnd w:id="3"/>
    <w:p w14:paraId="53658182" w14:textId="6D07F9AE" w:rsidR="00C36AB8" w:rsidRDefault="00C36AB8" w:rsidP="00B6274E">
      <w:pPr>
        <w:rPr>
          <w:rFonts w:ascii="Times New Roman" w:hAnsi="Times New Roman" w:cs="Times New Roman"/>
          <w:color w:val="000000" w:themeColor="text1"/>
        </w:rPr>
      </w:pPr>
    </w:p>
    <w:p w14:paraId="096365D4" w14:textId="6582F8ED" w:rsidR="00292A11" w:rsidRPr="00292A11" w:rsidRDefault="00292A11" w:rsidP="00B6274E">
      <w:pPr>
        <w:rPr>
          <w:rFonts w:ascii="Times New Roman" w:hAnsi="Times New Roman" w:cs="Times New Roman"/>
          <w:color w:val="000000" w:themeColor="text1"/>
        </w:rPr>
      </w:pPr>
      <w:r w:rsidRPr="00292A11">
        <w:rPr>
          <w:rFonts w:ascii="Times New Roman" w:hAnsi="Times New Roman" w:cs="Times New Roman"/>
          <w:color w:val="222222"/>
          <w:shd w:val="clear" w:color="auto" w:fill="FFFFFF"/>
        </w:rPr>
        <w:t>Crano, W. D., Brewer, M. B., &amp; Lac, A. (2014). </w:t>
      </w:r>
      <w:r w:rsidRPr="00292A11">
        <w:rPr>
          <w:rFonts w:ascii="Times New Roman" w:hAnsi="Times New Roman" w:cs="Times New Roman"/>
          <w:i/>
          <w:iCs/>
          <w:color w:val="222222"/>
          <w:shd w:val="clear" w:color="auto" w:fill="FFFFFF"/>
        </w:rPr>
        <w:t>Principles and methods of social research</w:t>
      </w:r>
      <w:r w:rsidRPr="00292A11">
        <w:rPr>
          <w:rFonts w:ascii="Times New Roman" w:hAnsi="Times New Roman" w:cs="Times New Roman"/>
          <w:color w:val="222222"/>
          <w:shd w:val="clear" w:color="auto" w:fill="FFFFFF"/>
        </w:rPr>
        <w:t>. Routledge.</w:t>
      </w:r>
      <w:r w:rsidR="005337B8">
        <w:rPr>
          <w:rFonts w:ascii="Times New Roman" w:hAnsi="Times New Roman" w:cs="Times New Roman"/>
          <w:color w:val="222222"/>
          <w:shd w:val="clear" w:color="auto" w:fill="FFFFFF"/>
        </w:rPr>
        <w:t xml:space="preserve"> </w:t>
      </w:r>
      <w:r w:rsidR="00FA2930">
        <w:rPr>
          <w:rFonts w:ascii="Times New Roman" w:hAnsi="Times New Roman" w:cs="Times New Roman"/>
          <w:color w:val="222222"/>
          <w:shd w:val="clear" w:color="auto" w:fill="FFFFFF"/>
        </w:rPr>
        <w:t xml:space="preserve"> </w:t>
      </w:r>
      <w:r w:rsidR="00B240D8">
        <w:rPr>
          <w:rFonts w:ascii="Times New Roman" w:hAnsi="Times New Roman" w:cs="Times New Roman"/>
          <w:color w:val="222222"/>
          <w:shd w:val="clear" w:color="auto" w:fill="FFFFFF"/>
        </w:rPr>
        <w:t xml:space="preserve"> </w:t>
      </w:r>
    </w:p>
    <w:p w14:paraId="660282DE" w14:textId="77777777" w:rsidR="00292A11" w:rsidRPr="00292A11" w:rsidRDefault="00292A11" w:rsidP="00B6274E">
      <w:pPr>
        <w:rPr>
          <w:rFonts w:ascii="Times New Roman" w:hAnsi="Times New Roman" w:cs="Times New Roman"/>
          <w:color w:val="000000" w:themeColor="text1"/>
        </w:rPr>
      </w:pPr>
    </w:p>
    <w:p w14:paraId="244E8626" w14:textId="6AAC1621" w:rsidR="00082AE1" w:rsidRPr="00292A11" w:rsidRDefault="00082AE1" w:rsidP="00B6274E">
      <w:pPr>
        <w:rPr>
          <w:rFonts w:ascii="Times New Roman" w:hAnsi="Times New Roman" w:cs="Times New Roman"/>
          <w:color w:val="222222"/>
          <w:shd w:val="clear" w:color="auto" w:fill="FFFFFF"/>
        </w:rPr>
      </w:pPr>
      <w:r w:rsidRPr="00292A11">
        <w:rPr>
          <w:rFonts w:ascii="Times New Roman" w:hAnsi="Times New Roman" w:cs="Times New Roman"/>
          <w:color w:val="222222"/>
          <w:shd w:val="clear" w:color="auto" w:fill="FFFFFF"/>
        </w:rPr>
        <w:t>Dimitrov, D. M., &amp; Rumrill Jr, P. D. (2003). Pretest-posttest designs and measurement of change. </w:t>
      </w:r>
      <w:r w:rsidRPr="00292A11">
        <w:rPr>
          <w:rFonts w:ascii="Times New Roman" w:hAnsi="Times New Roman" w:cs="Times New Roman"/>
          <w:i/>
          <w:iCs/>
          <w:color w:val="222222"/>
          <w:shd w:val="clear" w:color="auto" w:fill="FFFFFF"/>
        </w:rPr>
        <w:t>Work</w:t>
      </w:r>
      <w:r w:rsidRPr="00292A11">
        <w:rPr>
          <w:rFonts w:ascii="Times New Roman" w:hAnsi="Times New Roman" w:cs="Times New Roman"/>
          <w:color w:val="222222"/>
          <w:shd w:val="clear" w:color="auto" w:fill="FFFFFF"/>
        </w:rPr>
        <w:t>, </w:t>
      </w:r>
      <w:r w:rsidRPr="00292A11">
        <w:rPr>
          <w:rFonts w:ascii="Times New Roman" w:hAnsi="Times New Roman" w:cs="Times New Roman"/>
          <w:i/>
          <w:iCs/>
          <w:color w:val="222222"/>
          <w:shd w:val="clear" w:color="auto" w:fill="FFFFFF"/>
        </w:rPr>
        <w:t>20</w:t>
      </w:r>
      <w:r w:rsidRPr="00292A11">
        <w:rPr>
          <w:rFonts w:ascii="Times New Roman" w:hAnsi="Times New Roman" w:cs="Times New Roman"/>
          <w:color w:val="222222"/>
          <w:shd w:val="clear" w:color="auto" w:fill="FFFFFF"/>
        </w:rPr>
        <w:t>(2), 159-165.</w:t>
      </w:r>
      <w:r w:rsidR="009A7753">
        <w:rPr>
          <w:rFonts w:ascii="Times New Roman" w:hAnsi="Times New Roman" w:cs="Times New Roman"/>
          <w:color w:val="222222"/>
          <w:shd w:val="clear" w:color="auto" w:fill="FFFFFF"/>
        </w:rPr>
        <w:t xml:space="preserve"> </w:t>
      </w:r>
    </w:p>
    <w:p w14:paraId="6E3E721E" w14:textId="77777777" w:rsidR="00C36AB8" w:rsidRDefault="00C36AB8" w:rsidP="00B6274E">
      <w:pPr>
        <w:rPr>
          <w:rFonts w:ascii="Times New Roman" w:hAnsi="Times New Roman" w:cs="Times New Roman"/>
          <w:color w:val="000000" w:themeColor="text1"/>
        </w:rPr>
      </w:pPr>
    </w:p>
    <w:p w14:paraId="2178865E" w14:textId="78263EA7" w:rsidR="00621516" w:rsidRPr="00292A11" w:rsidRDefault="00621516" w:rsidP="00B6274E">
      <w:pPr>
        <w:rPr>
          <w:rFonts w:ascii="Times New Roman" w:hAnsi="Times New Roman" w:cs="Times New Roman"/>
          <w:strike/>
          <w:color w:val="000000" w:themeColor="text1"/>
        </w:rPr>
      </w:pPr>
      <w:r w:rsidRPr="00292A11">
        <w:rPr>
          <w:rFonts w:ascii="Times New Roman" w:hAnsi="Times New Roman" w:cs="Times New Roman"/>
          <w:strike/>
          <w:color w:val="000000" w:themeColor="text1"/>
        </w:rPr>
        <w:t>There are advantages and disadvantages to this alternative design type.  Whereas the pretest-posttest-control-group design may help determine whether there is anything unusual about the sample that would reduce its representativeness of the target population (i.e., caused by biased selection), using this design would require participants to respond to the key measures twice within a short period of time.  This would significantly lengthen the study, which is currently estimated to take approximately 20 minutes, and may influence how participants respond on the posttest (e.g., because of boredom or frustration with repetitive items, testing effects, or demand characteristics).  Instead, we propose to use the original, between-subjects design and to conduct analyses to examine the sociodemographic and other characteristics of the sample to understand its representativeness of the U.S. population and to test the success of the randomization procedure.</w:t>
      </w:r>
    </w:p>
    <w:p w14:paraId="3D87CAB0" w14:textId="77777777" w:rsidR="00094217" w:rsidRDefault="00094217" w:rsidP="00B6274E">
      <w:pPr>
        <w:rPr>
          <w:rFonts w:ascii="Times New Roman" w:hAnsi="Times New Roman" w:cs="Times New Roman"/>
          <w:color w:val="000000" w:themeColor="text1"/>
        </w:rPr>
      </w:pPr>
    </w:p>
    <w:p w14:paraId="27C78736" w14:textId="0DEC4E62"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A comment suggested that we should consider using a newly developed measure of participants’ intentions to use tobacco products rather than the currently proposed intention items.  The comment noted that the currently proposed items are based on prior research but stated that the new measure was developed and validated following procedures in FDA’s (2009) guidance on patient-reported outcome measures.</w:t>
      </w:r>
    </w:p>
    <w:p w14:paraId="2C9AEBE6" w14:textId="6E0E7D9B"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We appreciate this comment and support the continued development and validation of intention measures. However, at this time, we cannot use th</w:t>
      </w:r>
      <w:r w:rsidR="0056389A">
        <w:rPr>
          <w:rFonts w:ascii="Times New Roman" w:hAnsi="Times New Roman" w:cs="Times New Roman"/>
          <w:color w:val="000000" w:themeColor="text1"/>
        </w:rPr>
        <w:t>e commenter’s</w:t>
      </w:r>
      <w:r w:rsidRPr="00621516">
        <w:rPr>
          <w:rFonts w:ascii="Times New Roman" w:hAnsi="Times New Roman" w:cs="Times New Roman"/>
          <w:color w:val="000000" w:themeColor="text1"/>
        </w:rPr>
        <w:t xml:space="preserve"> newly developed measure</w:t>
      </w:r>
      <w:r w:rsidR="00BA1B1E">
        <w:rPr>
          <w:rFonts w:ascii="Times New Roman" w:hAnsi="Times New Roman" w:cs="Times New Roman"/>
          <w:color w:val="000000" w:themeColor="text1"/>
        </w:rPr>
        <w:t>.</w:t>
      </w:r>
      <w:r w:rsidRPr="00621516">
        <w:rPr>
          <w:rFonts w:ascii="Times New Roman" w:hAnsi="Times New Roman" w:cs="Times New Roman"/>
          <w:color w:val="000000" w:themeColor="text1"/>
        </w:rPr>
        <w:t xml:space="preserve"> </w:t>
      </w:r>
      <w:r w:rsidR="00BA1B1E">
        <w:rPr>
          <w:rFonts w:ascii="Times New Roman" w:hAnsi="Times New Roman" w:cs="Times New Roman"/>
          <w:color w:val="000000" w:themeColor="text1"/>
        </w:rPr>
        <w:t>Although</w:t>
      </w:r>
      <w:r w:rsidR="0056389A">
        <w:rPr>
          <w:rFonts w:ascii="Times New Roman" w:hAnsi="Times New Roman" w:cs="Times New Roman"/>
          <w:color w:val="000000" w:themeColor="text1"/>
        </w:rPr>
        <w:t xml:space="preserve"> the commenter stated that they used</w:t>
      </w:r>
      <w:r w:rsidR="00BA1B1E">
        <w:rPr>
          <w:rFonts w:ascii="Times New Roman" w:hAnsi="Times New Roman" w:cs="Times New Roman"/>
          <w:color w:val="000000" w:themeColor="text1"/>
        </w:rPr>
        <w:t xml:space="preserve"> principles from an FDA document when developing and validating the</w:t>
      </w:r>
      <w:r w:rsidR="000C0973">
        <w:rPr>
          <w:rFonts w:ascii="Times New Roman" w:hAnsi="Times New Roman" w:cs="Times New Roman"/>
          <w:color w:val="000000" w:themeColor="text1"/>
        </w:rPr>
        <w:t>ir own</w:t>
      </w:r>
      <w:r w:rsidR="00BA1B1E">
        <w:rPr>
          <w:rFonts w:ascii="Times New Roman" w:hAnsi="Times New Roman" w:cs="Times New Roman"/>
          <w:color w:val="000000" w:themeColor="text1"/>
        </w:rPr>
        <w:t xml:space="preserve"> measure, the research evaluating the measure’s validity</w:t>
      </w:r>
      <w:r w:rsidRPr="00621516">
        <w:rPr>
          <w:rFonts w:ascii="Times New Roman" w:hAnsi="Times New Roman" w:cs="Times New Roman"/>
          <w:color w:val="000000" w:themeColor="text1"/>
        </w:rPr>
        <w:t xml:space="preserve"> has not yet been published in a peer-reviewed journal.</w:t>
      </w:r>
    </w:p>
    <w:p w14:paraId="0D97D5E3" w14:textId="77777777" w:rsidR="00094217" w:rsidRDefault="00094217" w:rsidP="00B6274E">
      <w:pPr>
        <w:rPr>
          <w:rFonts w:ascii="Times New Roman" w:hAnsi="Times New Roman" w:cs="Times New Roman"/>
          <w:color w:val="000000" w:themeColor="text1"/>
        </w:rPr>
      </w:pPr>
    </w:p>
    <w:p w14:paraId="4E58A2C2" w14:textId="0588E07C"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A comment suggested that this proposed data collection should assess many more of participants’ pre-existing beliefs and attitudes</w:t>
      </w:r>
      <w:r w:rsidR="00F04237">
        <w:rPr>
          <w:rFonts w:ascii="Times New Roman" w:hAnsi="Times New Roman" w:cs="Times New Roman"/>
          <w:color w:val="000000" w:themeColor="text1"/>
        </w:rPr>
        <w:t xml:space="preserve"> between the subjects receiving alternative package or advertising designs</w:t>
      </w:r>
      <w:r w:rsidRPr="00621516">
        <w:rPr>
          <w:rFonts w:ascii="Times New Roman" w:hAnsi="Times New Roman" w:cs="Times New Roman"/>
          <w:color w:val="000000" w:themeColor="text1"/>
        </w:rPr>
        <w:t>.  As examples, the comment suggested assessing participants’ skepticism and perceived truthfulness of modified risk claims, stating that this would allow us to more fully capture the key constructs that explain why some people are more likely than others to recall and comprehend the claims.</w:t>
      </w:r>
    </w:p>
    <w:p w14:paraId="3968BBE7" w14:textId="7C7E2C42"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As with the recommendations above, we appreciate this suggestion but propose not to assess these additional constructs in this data collection because of concerns about participant burden.  The proposed data collection is not intended to comprehensively assess influences on consumer responses to modified risk claims.  Rather, it is intended to achieve several specific goals such as developing measures and testing novel potential moderators of the effects of modified risk information.  The constructs proposed in this comment have been studied in prior research, as have additional constructs such as brand loyalty (November 19, 2014 (79 FR 68888)).  Assessing such constructs may be informative but is not required to achieve the goals of the current proposed data collection.</w:t>
      </w:r>
    </w:p>
    <w:p w14:paraId="6B2005A8" w14:textId="77777777" w:rsidR="00B6274E" w:rsidRDefault="00B6274E" w:rsidP="00B6274E">
      <w:pPr>
        <w:rPr>
          <w:rFonts w:ascii="Times New Roman" w:hAnsi="Times New Roman" w:cs="Times New Roman"/>
          <w:color w:val="000000" w:themeColor="text1"/>
        </w:rPr>
      </w:pPr>
    </w:p>
    <w:p w14:paraId="01FD5514" w14:textId="6D941C40"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To assist with this project’s</w:t>
      </w:r>
      <w:r w:rsidR="00E1602E">
        <w:rPr>
          <w:rFonts w:ascii="Times New Roman" w:hAnsi="Times New Roman" w:cs="Times New Roman"/>
          <w:color w:val="000000" w:themeColor="text1"/>
        </w:rPr>
        <w:t xml:space="preserve"> aim of</w:t>
      </w:r>
      <w:r w:rsidRPr="00621516">
        <w:rPr>
          <w:rFonts w:ascii="Times New Roman" w:hAnsi="Times New Roman" w:cs="Times New Roman"/>
          <w:color w:val="000000" w:themeColor="text1"/>
        </w:rPr>
        <w:t xml:space="preserve"> validati</w:t>
      </w:r>
      <w:r w:rsidR="00E1602E">
        <w:rPr>
          <w:rFonts w:ascii="Times New Roman" w:hAnsi="Times New Roman" w:cs="Times New Roman"/>
          <w:color w:val="000000" w:themeColor="text1"/>
        </w:rPr>
        <w:t>ng</w:t>
      </w:r>
      <w:r w:rsidRPr="00621516">
        <w:rPr>
          <w:rFonts w:ascii="Times New Roman" w:hAnsi="Times New Roman" w:cs="Times New Roman"/>
          <w:color w:val="000000" w:themeColor="text1"/>
        </w:rPr>
        <w:t xml:space="preserve"> </w:t>
      </w:r>
      <w:r w:rsidR="00E1602E">
        <w:rPr>
          <w:rFonts w:ascii="Times New Roman" w:hAnsi="Times New Roman" w:cs="Times New Roman"/>
          <w:color w:val="000000" w:themeColor="text1"/>
        </w:rPr>
        <w:t>survey measures for assessing perceptions of risk</w:t>
      </w:r>
      <w:r w:rsidRPr="00621516">
        <w:rPr>
          <w:rFonts w:ascii="Times New Roman" w:hAnsi="Times New Roman" w:cs="Times New Roman"/>
          <w:color w:val="000000" w:themeColor="text1"/>
        </w:rPr>
        <w:t>, this comment recommended that the study should collect two types of evidence discussed in an FDA guidance on patient-reported outcome measures (FDA, 2009):  evidence of the measures’ content validity, such as open-ended input from appropriate populations, and evidence of reliability, other aspects of validity, and sensitivity to detect change.</w:t>
      </w:r>
    </w:p>
    <w:p w14:paraId="6EB590AB" w14:textId="660CBD4E"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 xml:space="preserve">(Response) The proposed data collection is consistent with both these recommendations.  As described above, to achieve content validity, we developed our initial pool of items to be as comprehensive as possible, consulting multi-item measures used previously in the tobacco literature, literature on the objective health effects of tobacco use, and expert colleagues.  Additionally, we cognitively tested our pool of items in individual, qualitative interviews with tobacco users and non-users to evaluate their understanding of the items and beliefs about product risks.  These interviews included open-ended questions, as recommended.  Moreover, the proposed data collection is designed to test the performance of our measures on the criteria discussed in the comment, including internal consistency reliability, other aspects of validity (e.g., known groups, convergent, and discriminant validity), and sensitivity to detect changes (i.e., based on responsiveness to viewing advertisements with vs. without modified risk information).  </w:t>
      </w:r>
    </w:p>
    <w:p w14:paraId="19BF27BE" w14:textId="5576BB98" w:rsidR="00094217" w:rsidRDefault="00094217" w:rsidP="00B6274E">
      <w:pPr>
        <w:rPr>
          <w:rFonts w:ascii="Times New Roman" w:hAnsi="Times New Roman" w:cs="Times New Roman"/>
          <w:color w:val="000000" w:themeColor="text1"/>
        </w:rPr>
      </w:pPr>
    </w:p>
    <w:p w14:paraId="467BD700" w14:textId="14F518A5" w:rsidR="00621516" w:rsidRPr="00621516"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(Comment) Lastly, one comment requested that we clarify how the proposed data collection will assist in measuring consumers’ understanding of modified risk information, in addition to their perceptions of health risk.</w:t>
      </w:r>
    </w:p>
    <w:p w14:paraId="216504DE" w14:textId="69487113" w:rsidR="00915F35" w:rsidRPr="00BF6EAE" w:rsidRDefault="00621516" w:rsidP="00B6274E">
      <w:pPr>
        <w:rPr>
          <w:rFonts w:ascii="Times New Roman" w:hAnsi="Times New Roman" w:cs="Times New Roman"/>
          <w:color w:val="000000" w:themeColor="text1"/>
        </w:rPr>
      </w:pPr>
      <w:r w:rsidRPr="00621516">
        <w:rPr>
          <w:rFonts w:ascii="Times New Roman" w:hAnsi="Times New Roman" w:cs="Times New Roman"/>
          <w:color w:val="000000" w:themeColor="text1"/>
        </w:rPr>
        <w:t>(Response) In our conceptualization, risk perceptions are a component of consumer understanding, which also includes other components.  The goal of the present study is to develop and validate measures of understanding insofar as this construct includes people’s perceptions of absolute and relative health risks of using tobacco products.</w:t>
      </w:r>
    </w:p>
    <w:p w14:paraId="69455DA5" w14:textId="77777777" w:rsidR="00B6274E" w:rsidRDefault="00B6274E" w:rsidP="00B6274E">
      <w:pPr>
        <w:rPr>
          <w:rFonts w:ascii="Times New Roman" w:hAnsi="Times New Roman" w:cs="Times New Roman"/>
          <w:color w:val="000000" w:themeColor="text1"/>
        </w:rPr>
      </w:pPr>
    </w:p>
    <w:p w14:paraId="3B7870D8" w14:textId="161CC885" w:rsidR="00915F35" w:rsidRPr="00BF6EAE" w:rsidRDefault="00915F35"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The following individuals inside the agency have been consulted on the</w:t>
      </w:r>
      <w:r w:rsidR="003E0DC1" w:rsidRPr="00BF6EAE">
        <w:rPr>
          <w:rFonts w:ascii="Times New Roman" w:hAnsi="Times New Roman" w:cs="Times New Roman"/>
          <w:color w:val="000000" w:themeColor="text1"/>
        </w:rPr>
        <w:t xml:space="preserve"> study</w:t>
      </w:r>
      <w:r w:rsidRPr="00BF6EAE">
        <w:rPr>
          <w:rFonts w:ascii="Times New Roman" w:hAnsi="Times New Roman" w:cs="Times New Roman"/>
          <w:color w:val="000000" w:themeColor="text1"/>
        </w:rPr>
        <w:t xml:space="preserve"> design </w:t>
      </w:r>
      <w:r w:rsidR="003E0DC1" w:rsidRPr="00BF6EAE">
        <w:rPr>
          <w:rFonts w:ascii="Times New Roman" w:hAnsi="Times New Roman" w:cs="Times New Roman"/>
          <w:color w:val="000000" w:themeColor="text1"/>
        </w:rPr>
        <w:t>and</w:t>
      </w:r>
      <w:r w:rsidRPr="00BF6EAE">
        <w:rPr>
          <w:rFonts w:ascii="Times New Roman" w:hAnsi="Times New Roman" w:cs="Times New Roman"/>
          <w:color w:val="000000" w:themeColor="text1"/>
        </w:rPr>
        <w:t xml:space="preserve"> </w:t>
      </w:r>
      <w:r w:rsidR="003E0DC1" w:rsidRPr="00BF6EAE">
        <w:rPr>
          <w:rFonts w:ascii="Times New Roman" w:hAnsi="Times New Roman" w:cs="Times New Roman"/>
          <w:color w:val="000000" w:themeColor="text1"/>
        </w:rPr>
        <w:t>questionnaire development</w:t>
      </w:r>
      <w:r w:rsidRPr="00BF6EAE">
        <w:rPr>
          <w:rFonts w:ascii="Times New Roman" w:hAnsi="Times New Roman" w:cs="Times New Roman"/>
          <w:color w:val="000000" w:themeColor="text1"/>
        </w:rPr>
        <w:t>:</w:t>
      </w:r>
    </w:p>
    <w:p w14:paraId="168DF127" w14:textId="77777777" w:rsidR="00915F35" w:rsidRPr="0083593E" w:rsidRDefault="00915F35" w:rsidP="00915F35">
      <w:pPr>
        <w:ind w:left="1080"/>
        <w:rPr>
          <w:rFonts w:ascii="Times New Roman" w:hAnsi="Times New Roman" w:cs="Times New Roman"/>
          <w:color w:val="000000" w:themeColor="text1"/>
        </w:rPr>
      </w:pPr>
    </w:p>
    <w:p w14:paraId="14D9524F" w14:textId="77777777" w:rsidR="000C4D17" w:rsidRDefault="004024E4" w:rsidP="000C4D17">
      <w:pPr>
        <w:ind w:left="1080"/>
        <w:rPr>
          <w:rFonts w:ascii="Times New Roman" w:hAnsi="Times New Roman" w:cs="Times New Roman"/>
        </w:rPr>
      </w:pPr>
      <w:r w:rsidRPr="004024E4">
        <w:rPr>
          <w:rFonts w:ascii="Times New Roman" w:hAnsi="Times New Roman" w:cs="Times New Roman"/>
        </w:rPr>
        <w:t>Alexander Persoskie, PhD</w:t>
      </w:r>
    </w:p>
    <w:p w14:paraId="202F02FB" w14:textId="77777777" w:rsidR="000C4D17" w:rsidRDefault="004024E4" w:rsidP="000C4D17">
      <w:pPr>
        <w:ind w:left="1080"/>
        <w:rPr>
          <w:rFonts w:ascii="Times New Roman" w:hAnsi="Times New Roman" w:cs="Times New Roman"/>
        </w:rPr>
      </w:pPr>
      <w:r w:rsidRPr="004024E4">
        <w:rPr>
          <w:rFonts w:ascii="Times New Roman" w:hAnsi="Times New Roman" w:cs="Times New Roman"/>
        </w:rPr>
        <w:t>Social Scientist, Office of Science</w:t>
      </w:r>
    </w:p>
    <w:p w14:paraId="1853BF0D" w14:textId="77777777" w:rsidR="000C4D17" w:rsidRDefault="004024E4" w:rsidP="000C4D17">
      <w:pPr>
        <w:ind w:left="1080"/>
        <w:rPr>
          <w:rFonts w:ascii="Times New Roman" w:hAnsi="Times New Roman" w:cs="Times New Roman"/>
        </w:rPr>
      </w:pPr>
      <w:r w:rsidRPr="004024E4">
        <w:rPr>
          <w:rFonts w:ascii="Times New Roman" w:hAnsi="Times New Roman" w:cs="Times New Roman"/>
        </w:rPr>
        <w:t>Center for Tobacco Products</w:t>
      </w:r>
    </w:p>
    <w:p w14:paraId="0E6476A0" w14:textId="77777777" w:rsidR="000C4D17" w:rsidRDefault="004024E4" w:rsidP="000C4D17">
      <w:pPr>
        <w:ind w:left="1080"/>
        <w:rPr>
          <w:rFonts w:ascii="Times New Roman" w:hAnsi="Times New Roman" w:cs="Times New Roman"/>
        </w:rPr>
      </w:pPr>
      <w:r w:rsidRPr="004024E4">
        <w:rPr>
          <w:rFonts w:ascii="Times New Roman" w:hAnsi="Times New Roman" w:cs="Times New Roman"/>
        </w:rPr>
        <w:t>U.S. Food and Drug Administration</w:t>
      </w:r>
    </w:p>
    <w:p w14:paraId="0B7B792F" w14:textId="5FD66040" w:rsidR="000C4D17" w:rsidRDefault="004024E4" w:rsidP="000C4D17">
      <w:pPr>
        <w:ind w:left="1080"/>
        <w:rPr>
          <w:rFonts w:ascii="Times New Roman" w:hAnsi="Times New Roman" w:cs="Times New Roman"/>
        </w:rPr>
      </w:pPr>
      <w:r w:rsidRPr="0083593E">
        <w:rPr>
          <w:rFonts w:ascii="Times New Roman" w:hAnsi="Times New Roman" w:cs="Times New Roman"/>
        </w:rPr>
        <w:t>10903 New Hampshire Avenue</w:t>
      </w:r>
      <w:r w:rsidRPr="0083593E">
        <w:rPr>
          <w:rFonts w:ascii="Times New Roman" w:hAnsi="Times New Roman" w:cs="Times New Roman"/>
        </w:rPr>
        <w:br/>
        <w:t>Silver Spring, MD 20993</w:t>
      </w:r>
    </w:p>
    <w:p w14:paraId="3E375B48" w14:textId="3ED9FCC9" w:rsidR="00612A6C" w:rsidRDefault="00A02CB4" w:rsidP="000C4D17">
      <w:pPr>
        <w:ind w:left="1080"/>
        <w:rPr>
          <w:rFonts w:ascii="Times New Roman" w:hAnsi="Times New Roman" w:cs="Times New Roman"/>
        </w:rPr>
      </w:pPr>
      <w:hyperlink r:id="rId15" w:history="1">
        <w:r w:rsidR="00612A6C" w:rsidRPr="0029333E">
          <w:rPr>
            <w:rStyle w:val="Hyperlink"/>
            <w:rFonts w:ascii="Times New Roman" w:hAnsi="Times New Roman" w:cs="Times New Roman"/>
          </w:rPr>
          <w:t>Alexander.Persoskie@fda.hhs.gov</w:t>
        </w:r>
      </w:hyperlink>
      <w:r w:rsidR="00612A6C">
        <w:rPr>
          <w:rFonts w:ascii="Times New Roman" w:hAnsi="Times New Roman" w:cs="Times New Roman"/>
        </w:rPr>
        <w:t xml:space="preserve"> </w:t>
      </w:r>
    </w:p>
    <w:p w14:paraId="37CD40F6" w14:textId="2B6CE434" w:rsidR="004024E4" w:rsidRDefault="004024E4" w:rsidP="000C4D17">
      <w:pPr>
        <w:ind w:left="1080"/>
        <w:rPr>
          <w:rFonts w:ascii="Times New Roman" w:hAnsi="Times New Roman" w:cs="Times New Roman"/>
        </w:rPr>
      </w:pPr>
      <w:r w:rsidRPr="004024E4">
        <w:rPr>
          <w:rFonts w:ascii="Times New Roman" w:hAnsi="Times New Roman" w:cs="Times New Roman"/>
        </w:rPr>
        <w:t>240-402-6864</w:t>
      </w:r>
    </w:p>
    <w:p w14:paraId="5244472B" w14:textId="657A5FE7" w:rsidR="001F21F8" w:rsidRPr="0083593E" w:rsidRDefault="001F21F8" w:rsidP="004024E4">
      <w:pPr>
        <w:pStyle w:val="ListContinue"/>
        <w:spacing w:before="240" w:after="0"/>
        <w:ind w:left="1080"/>
        <w:rPr>
          <w:rFonts w:ascii="Times New Roman" w:hAnsi="Times New Roman" w:cs="Times New Roman"/>
        </w:rPr>
      </w:pPr>
      <w:r w:rsidRPr="0083593E">
        <w:rPr>
          <w:rFonts w:ascii="Times New Roman" w:hAnsi="Times New Roman" w:cs="Times New Roman"/>
        </w:rPr>
        <w:t>Erin O’Brien, PhD</w:t>
      </w:r>
    </w:p>
    <w:p w14:paraId="206B1A6F"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Social Scientist, Office of Science</w:t>
      </w:r>
    </w:p>
    <w:p w14:paraId="47E1D7AF"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Center for Tobacco Products</w:t>
      </w:r>
    </w:p>
    <w:p w14:paraId="3E1C39BA"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U.S. Food and Drug Administration</w:t>
      </w:r>
    </w:p>
    <w:p w14:paraId="5BDF76A6"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10903 New Hampshire Avenue</w:t>
      </w:r>
      <w:r w:rsidRPr="0083593E">
        <w:rPr>
          <w:rFonts w:ascii="Times New Roman" w:hAnsi="Times New Roman" w:cs="Times New Roman"/>
        </w:rPr>
        <w:br/>
        <w:t>Silver Spring, MD 20993</w:t>
      </w:r>
      <w:r w:rsidRPr="0083593E">
        <w:rPr>
          <w:rFonts w:ascii="Times New Roman" w:hAnsi="Times New Roman" w:cs="Times New Roman"/>
        </w:rPr>
        <w:br/>
      </w:r>
      <w:hyperlink r:id="rId16" w:history="1">
        <w:r w:rsidRPr="0083593E">
          <w:rPr>
            <w:rStyle w:val="Hyperlink"/>
            <w:rFonts w:ascii="Times New Roman" w:hAnsi="Times New Roman" w:cs="Times New Roman"/>
          </w:rPr>
          <w:t>Erin.OBrien@fda.hhs.gov</w:t>
        </w:r>
      </w:hyperlink>
    </w:p>
    <w:p w14:paraId="6300B63D" w14:textId="37990936" w:rsidR="001F21F8" w:rsidRPr="0083593E" w:rsidRDefault="00612869" w:rsidP="00A76C5D">
      <w:pPr>
        <w:pStyle w:val="ListContinue"/>
        <w:spacing w:after="240"/>
        <w:ind w:left="1080"/>
        <w:rPr>
          <w:rFonts w:ascii="Times New Roman" w:hAnsi="Times New Roman" w:cs="Times New Roman"/>
        </w:rPr>
      </w:pPr>
      <w:r>
        <w:rPr>
          <w:rFonts w:ascii="Times New Roman" w:hAnsi="Times New Roman" w:cs="Times New Roman"/>
        </w:rPr>
        <w:t>240-402-2760</w:t>
      </w:r>
    </w:p>
    <w:p w14:paraId="5CDDBBF5" w14:textId="77777777" w:rsidR="001F21F8" w:rsidRPr="0083593E" w:rsidRDefault="001F21F8" w:rsidP="00A76C5D">
      <w:pPr>
        <w:pStyle w:val="ListContinue"/>
        <w:spacing w:after="240"/>
        <w:ind w:left="1080"/>
        <w:rPr>
          <w:rFonts w:ascii="Times New Roman" w:hAnsi="Times New Roman" w:cs="Times New Roman"/>
        </w:rPr>
      </w:pPr>
    </w:p>
    <w:p w14:paraId="54C3656C" w14:textId="613CA38F" w:rsidR="001F21F8" w:rsidRPr="0083593E" w:rsidRDefault="00614F8E" w:rsidP="00A76C5D">
      <w:pPr>
        <w:pStyle w:val="ListContinue"/>
        <w:spacing w:after="0"/>
        <w:ind w:left="1080"/>
        <w:rPr>
          <w:rFonts w:ascii="Times New Roman" w:hAnsi="Times New Roman" w:cs="Times New Roman"/>
        </w:rPr>
      </w:pPr>
      <w:r>
        <w:rPr>
          <w:rFonts w:ascii="Times New Roman" w:hAnsi="Times New Roman" w:cs="Times New Roman"/>
        </w:rPr>
        <w:t>Donna N. Cheung</w:t>
      </w:r>
    </w:p>
    <w:p w14:paraId="6716BABF"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Regulatory Health Project Manager, Office of Science</w:t>
      </w:r>
      <w:r w:rsidRPr="0083593E">
        <w:rPr>
          <w:rFonts w:ascii="Times New Roman" w:hAnsi="Times New Roman" w:cs="Times New Roman"/>
        </w:rPr>
        <w:br/>
        <w:t>Center for Tobacco Products</w:t>
      </w:r>
    </w:p>
    <w:p w14:paraId="6E071B68"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U.S. Food and Drug Administration</w:t>
      </w:r>
    </w:p>
    <w:p w14:paraId="21B365CF" w14:textId="77777777" w:rsidR="001F21F8" w:rsidRPr="0083593E" w:rsidRDefault="001F21F8" w:rsidP="00A76C5D">
      <w:pPr>
        <w:pStyle w:val="ListContinue"/>
        <w:spacing w:after="0"/>
        <w:ind w:left="1080"/>
        <w:rPr>
          <w:rFonts w:ascii="Times New Roman" w:hAnsi="Times New Roman" w:cs="Times New Roman"/>
        </w:rPr>
      </w:pPr>
      <w:r w:rsidRPr="0083593E">
        <w:rPr>
          <w:rFonts w:ascii="Times New Roman" w:hAnsi="Times New Roman" w:cs="Times New Roman"/>
        </w:rPr>
        <w:t>10903 New Hampshire Avenue</w:t>
      </w:r>
      <w:r w:rsidRPr="0083593E">
        <w:rPr>
          <w:rFonts w:ascii="Times New Roman" w:hAnsi="Times New Roman" w:cs="Times New Roman"/>
        </w:rPr>
        <w:br/>
        <w:t>Silver Spring, MD 20993</w:t>
      </w:r>
      <w:r w:rsidRPr="0083593E">
        <w:rPr>
          <w:rFonts w:ascii="Times New Roman" w:hAnsi="Times New Roman" w:cs="Times New Roman"/>
        </w:rPr>
        <w:br/>
      </w:r>
      <w:hyperlink r:id="rId17" w:history="1">
        <w:r w:rsidRPr="0083593E">
          <w:rPr>
            <w:rStyle w:val="Hyperlink"/>
            <w:rFonts w:ascii="Times New Roman" w:hAnsi="Times New Roman" w:cs="Times New Roman"/>
          </w:rPr>
          <w:t>donna.cheung@fda.hhs.gov</w:t>
        </w:r>
      </w:hyperlink>
    </w:p>
    <w:p w14:paraId="04371E80" w14:textId="431CA9A2" w:rsidR="001F21F8" w:rsidRPr="0083593E" w:rsidRDefault="001F21F8" w:rsidP="00A76C5D">
      <w:pPr>
        <w:pStyle w:val="ListContinue"/>
        <w:ind w:left="1080"/>
        <w:rPr>
          <w:rFonts w:ascii="Times New Roman" w:hAnsi="Times New Roman" w:cs="Times New Roman"/>
        </w:rPr>
      </w:pPr>
      <w:r w:rsidRPr="0083593E">
        <w:rPr>
          <w:rFonts w:ascii="Times New Roman" w:hAnsi="Times New Roman" w:cs="Times New Roman"/>
        </w:rPr>
        <w:t>240-402-5340</w:t>
      </w:r>
    </w:p>
    <w:p w14:paraId="7A300916" w14:textId="77777777" w:rsidR="00A76C5D" w:rsidRPr="0083593E" w:rsidRDefault="00A76C5D" w:rsidP="00915F35">
      <w:pPr>
        <w:ind w:left="1080"/>
        <w:rPr>
          <w:rFonts w:ascii="Times New Roman" w:hAnsi="Times New Roman" w:cs="Times New Roman"/>
          <w:color w:val="000000" w:themeColor="text1"/>
        </w:rPr>
      </w:pPr>
    </w:p>
    <w:p w14:paraId="04E5CC7D" w14:textId="0A7F5C5A" w:rsidR="00915F35" w:rsidRPr="0083593E" w:rsidRDefault="00915F35" w:rsidP="00B6274E">
      <w:pPr>
        <w:rPr>
          <w:rFonts w:ascii="Times New Roman" w:hAnsi="Times New Roman" w:cs="Times New Roman"/>
          <w:color w:val="000000" w:themeColor="text1"/>
        </w:rPr>
      </w:pPr>
      <w:r w:rsidRPr="0083593E">
        <w:rPr>
          <w:rFonts w:ascii="Times New Roman" w:hAnsi="Times New Roman" w:cs="Times New Roman"/>
          <w:color w:val="000000" w:themeColor="text1"/>
        </w:rPr>
        <w:t xml:space="preserve">The following individuals outside of the agency have been consulted on </w:t>
      </w:r>
      <w:r w:rsidR="00D71ACB" w:rsidRPr="0083593E">
        <w:rPr>
          <w:rFonts w:ascii="Times New Roman" w:hAnsi="Times New Roman" w:cs="Times New Roman"/>
          <w:color w:val="000000" w:themeColor="text1"/>
        </w:rPr>
        <w:t xml:space="preserve">study design and </w:t>
      </w:r>
      <w:r w:rsidRPr="0083593E">
        <w:rPr>
          <w:rFonts w:ascii="Times New Roman" w:hAnsi="Times New Roman" w:cs="Times New Roman"/>
          <w:color w:val="000000" w:themeColor="text1"/>
        </w:rPr>
        <w:t>questionnaire development. Additionally, input has been solicited and received from FDA on the design of this study, including participation by FDA in meetings with OMB:</w:t>
      </w:r>
    </w:p>
    <w:p w14:paraId="10155790" w14:textId="6B6E09AB" w:rsidR="001F21F8" w:rsidRPr="0083593E" w:rsidRDefault="001F21F8" w:rsidP="00915F35">
      <w:pPr>
        <w:ind w:left="1080"/>
        <w:rPr>
          <w:rFonts w:ascii="Times New Roman" w:hAnsi="Times New Roman" w:cs="Times New Roman"/>
          <w:color w:val="000000" w:themeColor="text1"/>
        </w:rPr>
      </w:pPr>
    </w:p>
    <w:p w14:paraId="0C0EA83B"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Jane A. Allen, MA</w:t>
      </w:r>
    </w:p>
    <w:p w14:paraId="2958A305"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 xml:space="preserve">Center for Health Policy Science &amp; Tobacco Research </w:t>
      </w:r>
    </w:p>
    <w:p w14:paraId="4872CA83"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RTI International</w:t>
      </w:r>
    </w:p>
    <w:p w14:paraId="76CFD94E"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3040 E. Cornwallis Road</w:t>
      </w:r>
      <w:r w:rsidRPr="0083593E">
        <w:rPr>
          <w:rFonts w:ascii="Times New Roman" w:hAnsi="Times New Roman" w:cs="Times New Roman"/>
        </w:rPr>
        <w:br/>
        <w:t>Research Triangle Park, NC 27709</w:t>
      </w:r>
    </w:p>
    <w:p w14:paraId="1ED07DC0" w14:textId="77777777" w:rsidR="002F1064" w:rsidRPr="0083593E" w:rsidRDefault="00A02CB4" w:rsidP="00A76C5D">
      <w:pPr>
        <w:pStyle w:val="ListContinue"/>
        <w:spacing w:after="0"/>
        <w:ind w:left="1080"/>
        <w:rPr>
          <w:rFonts w:ascii="Times New Roman" w:hAnsi="Times New Roman" w:cs="Times New Roman"/>
        </w:rPr>
      </w:pPr>
      <w:hyperlink r:id="rId18" w:history="1">
        <w:r w:rsidR="002F1064" w:rsidRPr="0083593E">
          <w:rPr>
            <w:rStyle w:val="Hyperlink"/>
            <w:rFonts w:ascii="Times New Roman" w:hAnsi="Times New Roman" w:cs="Times New Roman"/>
          </w:rPr>
          <w:t>janeallen@rti.org</w:t>
        </w:r>
      </w:hyperlink>
    </w:p>
    <w:p w14:paraId="3F74DE54"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919-597-5115</w:t>
      </w:r>
    </w:p>
    <w:p w14:paraId="1E7316A7" w14:textId="77777777" w:rsidR="002F1064" w:rsidRPr="0083593E" w:rsidRDefault="002F1064" w:rsidP="00A76C5D">
      <w:pPr>
        <w:ind w:left="1080"/>
        <w:rPr>
          <w:rFonts w:ascii="Times New Roman" w:hAnsi="Times New Roman" w:cs="Times New Roman"/>
        </w:rPr>
      </w:pPr>
    </w:p>
    <w:p w14:paraId="78977C18"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Sarah Parvanta, PhD, MPH</w:t>
      </w:r>
    </w:p>
    <w:p w14:paraId="6680AC30"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Center for Communication Science</w:t>
      </w:r>
    </w:p>
    <w:p w14:paraId="715AA266"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Science in the Public Sphere Program</w:t>
      </w:r>
    </w:p>
    <w:p w14:paraId="3D1511A6"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RTI International</w:t>
      </w:r>
    </w:p>
    <w:p w14:paraId="6C52EB0A"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3040 E. Cornwallis Road</w:t>
      </w:r>
    </w:p>
    <w:p w14:paraId="440FC163"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Research Triangle Park, NC 27709</w:t>
      </w:r>
    </w:p>
    <w:p w14:paraId="2B7ADC64" w14:textId="77777777" w:rsidR="002F1064" w:rsidRPr="0083593E" w:rsidRDefault="00A02CB4" w:rsidP="00A76C5D">
      <w:pPr>
        <w:pStyle w:val="ListContinue"/>
        <w:spacing w:after="0"/>
        <w:ind w:left="1080"/>
        <w:rPr>
          <w:rFonts w:ascii="Times New Roman" w:hAnsi="Times New Roman" w:cs="Times New Roman"/>
        </w:rPr>
      </w:pPr>
      <w:hyperlink r:id="rId19" w:history="1">
        <w:r w:rsidR="002F1064" w:rsidRPr="0083593E">
          <w:rPr>
            <w:rStyle w:val="Hyperlink"/>
            <w:rFonts w:ascii="Times New Roman" w:hAnsi="Times New Roman" w:cs="Times New Roman"/>
          </w:rPr>
          <w:t>sparvanta@rti.org</w:t>
        </w:r>
      </w:hyperlink>
    </w:p>
    <w:p w14:paraId="2365B19C" w14:textId="26EEC71B"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919-541-6045</w:t>
      </w:r>
    </w:p>
    <w:p w14:paraId="31591DEB" w14:textId="77777777" w:rsidR="002F1064" w:rsidRPr="0083593E" w:rsidRDefault="002F1064" w:rsidP="00A76C5D">
      <w:pPr>
        <w:pStyle w:val="ListContinue"/>
        <w:spacing w:after="0"/>
        <w:ind w:left="1080"/>
        <w:rPr>
          <w:rFonts w:ascii="Times New Roman" w:hAnsi="Times New Roman" w:cs="Times New Roman"/>
        </w:rPr>
      </w:pPr>
    </w:p>
    <w:p w14:paraId="0F5B79E1" w14:textId="77777777" w:rsidR="002F1064" w:rsidRPr="0083593E" w:rsidRDefault="002F1064" w:rsidP="00A76C5D">
      <w:pPr>
        <w:pStyle w:val="ListContinue"/>
        <w:spacing w:before="240" w:after="0"/>
        <w:ind w:left="1080"/>
        <w:rPr>
          <w:rFonts w:ascii="Times New Roman" w:hAnsi="Times New Roman" w:cs="Times New Roman"/>
        </w:rPr>
      </w:pPr>
      <w:r w:rsidRPr="0083593E">
        <w:rPr>
          <w:rFonts w:ascii="Times New Roman" w:hAnsi="Times New Roman" w:cs="Times New Roman"/>
        </w:rPr>
        <w:t>James Nonnemaker, PhD</w:t>
      </w:r>
    </w:p>
    <w:p w14:paraId="435F55CD"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 xml:space="preserve">Center for Health Policy Science &amp; Tobacco Research </w:t>
      </w:r>
    </w:p>
    <w:p w14:paraId="3B6B61A1"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RTI International</w:t>
      </w:r>
    </w:p>
    <w:p w14:paraId="218D3442"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 xml:space="preserve">3040 E. Cornwallis Road </w:t>
      </w:r>
      <w:r w:rsidRPr="0083593E">
        <w:rPr>
          <w:rFonts w:ascii="Times New Roman" w:hAnsi="Times New Roman" w:cs="Times New Roman"/>
        </w:rPr>
        <w:br/>
        <w:t>Research Triangle Park, NC 27709</w:t>
      </w:r>
    </w:p>
    <w:p w14:paraId="411A887D" w14:textId="77777777" w:rsidR="002F1064" w:rsidRPr="0083593E" w:rsidRDefault="00A02CB4" w:rsidP="00A76C5D">
      <w:pPr>
        <w:pStyle w:val="ListContinue"/>
        <w:spacing w:after="0"/>
        <w:ind w:left="1080"/>
        <w:rPr>
          <w:rFonts w:ascii="Times New Roman" w:hAnsi="Times New Roman" w:cs="Times New Roman"/>
        </w:rPr>
      </w:pPr>
      <w:hyperlink r:id="rId20" w:history="1">
        <w:r w:rsidR="002F1064" w:rsidRPr="0083593E">
          <w:rPr>
            <w:rStyle w:val="Hyperlink"/>
            <w:rFonts w:ascii="Times New Roman" w:hAnsi="Times New Roman" w:cs="Times New Roman"/>
          </w:rPr>
          <w:t>jnonnemaker@rti.org</w:t>
        </w:r>
      </w:hyperlink>
    </w:p>
    <w:p w14:paraId="31F30C50" w14:textId="77777777" w:rsidR="002F1064" w:rsidRPr="0083593E" w:rsidRDefault="002F1064" w:rsidP="00A76C5D">
      <w:pPr>
        <w:pStyle w:val="ListContinue"/>
        <w:spacing w:after="0"/>
        <w:ind w:left="1080"/>
        <w:rPr>
          <w:rFonts w:ascii="Times New Roman" w:hAnsi="Times New Roman" w:cs="Times New Roman"/>
        </w:rPr>
      </w:pPr>
      <w:r w:rsidRPr="0083593E">
        <w:rPr>
          <w:rFonts w:ascii="Times New Roman" w:hAnsi="Times New Roman" w:cs="Times New Roman"/>
        </w:rPr>
        <w:t>919-541-7064</w:t>
      </w:r>
    </w:p>
    <w:p w14:paraId="5894EEAA" w14:textId="77777777" w:rsidR="005F6A5F" w:rsidRPr="00BF6EAE" w:rsidRDefault="005F6A5F" w:rsidP="002A43A3">
      <w:pPr>
        <w:ind w:left="360" w:firstLine="720"/>
        <w:rPr>
          <w:rFonts w:ascii="Times New Roman" w:hAnsi="Times New Roman" w:cs="Times New Roman"/>
          <w:color w:val="000000" w:themeColor="text1"/>
        </w:rPr>
      </w:pPr>
    </w:p>
    <w:p w14:paraId="5C0C08E7" w14:textId="77777777" w:rsidR="00B7358E" w:rsidRPr="00BF6EAE" w:rsidRDefault="00804782" w:rsidP="001A4C6B">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Explanation of Any Payment or Gift to Respondents</w:t>
      </w:r>
    </w:p>
    <w:p w14:paraId="54BE636D" w14:textId="77777777" w:rsidR="005504F7" w:rsidRPr="00BF6EAE" w:rsidRDefault="005504F7" w:rsidP="00CE1475">
      <w:pPr>
        <w:ind w:left="1080"/>
        <w:rPr>
          <w:rFonts w:ascii="Times New Roman" w:hAnsi="Times New Roman" w:cs="Times New Roman"/>
          <w:color w:val="000000" w:themeColor="text1"/>
        </w:rPr>
      </w:pPr>
    </w:p>
    <w:p w14:paraId="07EEE41C" w14:textId="0B3520C4" w:rsidR="00FE0CA3" w:rsidRPr="007E6509" w:rsidRDefault="00CE303A" w:rsidP="00B6274E">
      <w:pPr>
        <w:pStyle w:val="ListParagraph"/>
        <w:ind w:left="0"/>
        <w:rPr>
          <w:rFonts w:ascii="Times New Roman" w:hAnsi="Times New Roman" w:cs="Times New Roman"/>
          <w:color w:val="000000" w:themeColor="text1"/>
        </w:rPr>
      </w:pPr>
      <w:bookmarkStart w:id="4" w:name="_Hlk504478566"/>
      <w:bookmarkStart w:id="5" w:name="_Hlk7093574"/>
      <w:r w:rsidRPr="00CE303A">
        <w:rPr>
          <w:rFonts w:ascii="Times New Roman" w:hAnsi="Times New Roman" w:cs="Times New Roman"/>
          <w:color w:val="000000" w:themeColor="text1"/>
        </w:rPr>
        <w:t>Respondents will receive compensation for survey completion in a non-monetary</w:t>
      </w:r>
      <w:r w:rsidR="00FC4D4F">
        <w:rPr>
          <w:rFonts w:ascii="Times New Roman" w:hAnsi="Times New Roman" w:cs="Times New Roman"/>
          <w:color w:val="000000" w:themeColor="text1"/>
        </w:rPr>
        <w:t>, virtual currency.</w:t>
      </w:r>
      <w:r w:rsidRPr="00CE303A">
        <w:rPr>
          <w:rFonts w:ascii="Times New Roman" w:hAnsi="Times New Roman" w:cs="Times New Roman"/>
          <w:color w:val="000000" w:themeColor="text1"/>
        </w:rPr>
        <w:t xml:space="preserve"> </w:t>
      </w:r>
      <w:r w:rsidRPr="000C4D17">
        <w:rPr>
          <w:rFonts w:ascii="Times New Roman" w:hAnsi="Times New Roman" w:cs="Times New Roman"/>
          <w:color w:val="000000" w:themeColor="text1"/>
        </w:rPr>
        <w:t xml:space="preserve">Respondents can redeem their virtual currency for a large range of gift cards, points programs, and partner products or services. </w:t>
      </w:r>
      <w:r w:rsidR="00834815" w:rsidRPr="007E6509">
        <w:rPr>
          <w:rFonts w:ascii="Times New Roman" w:hAnsi="Times New Roman" w:cs="Times New Roman"/>
          <w:color w:val="000000" w:themeColor="text1"/>
        </w:rPr>
        <w:t xml:space="preserve">The </w:t>
      </w:r>
      <w:r w:rsidR="007E6509" w:rsidRPr="007E6509">
        <w:rPr>
          <w:rFonts w:ascii="Times New Roman" w:hAnsi="Times New Roman" w:cs="Times New Roman"/>
          <w:color w:val="000000" w:themeColor="text1"/>
        </w:rPr>
        <w:t>vendor</w:t>
      </w:r>
      <w:r w:rsidR="00834815" w:rsidRPr="007E6509">
        <w:rPr>
          <w:rFonts w:ascii="Times New Roman" w:hAnsi="Times New Roman" w:cs="Times New Roman"/>
          <w:color w:val="000000" w:themeColor="text1"/>
        </w:rPr>
        <w:t xml:space="preserve">, </w:t>
      </w:r>
      <w:r w:rsidR="007E6509" w:rsidRPr="007E6509">
        <w:rPr>
          <w:rFonts w:ascii="Times New Roman" w:hAnsi="Times New Roman" w:cs="Times New Roman"/>
          <w:color w:val="000000" w:themeColor="text1"/>
        </w:rPr>
        <w:t>Lightspeed, LLC</w:t>
      </w:r>
      <w:r w:rsidR="00834815" w:rsidRPr="007E6509">
        <w:rPr>
          <w:rFonts w:ascii="Times New Roman" w:hAnsi="Times New Roman" w:cs="Times New Roman"/>
          <w:color w:val="000000" w:themeColor="text1"/>
        </w:rPr>
        <w:t xml:space="preserve">, set the incentive rates. </w:t>
      </w:r>
      <w:r w:rsidR="004E3F01" w:rsidRPr="007E6509">
        <w:rPr>
          <w:rFonts w:ascii="Times New Roman" w:hAnsi="Times New Roman" w:cs="Times New Roman"/>
          <w:color w:val="000000" w:themeColor="text1"/>
        </w:rPr>
        <w:t xml:space="preserve">Respondents </w:t>
      </w:r>
      <w:r w:rsidR="00FE0CA3" w:rsidRPr="007E6509">
        <w:rPr>
          <w:rFonts w:ascii="Times New Roman" w:hAnsi="Times New Roman" w:cs="Times New Roman"/>
          <w:color w:val="000000" w:themeColor="text1"/>
        </w:rPr>
        <w:t xml:space="preserve">who complete the </w:t>
      </w:r>
      <w:r w:rsidR="00BF6EAE" w:rsidRPr="007E6509">
        <w:rPr>
          <w:rFonts w:ascii="Times New Roman" w:hAnsi="Times New Roman" w:cs="Times New Roman"/>
          <w:color w:val="000000" w:themeColor="text1"/>
        </w:rPr>
        <w:t>20</w:t>
      </w:r>
      <w:r w:rsidR="00FE0CA3" w:rsidRPr="007E6509">
        <w:rPr>
          <w:rFonts w:ascii="Times New Roman" w:hAnsi="Times New Roman" w:cs="Times New Roman"/>
          <w:color w:val="000000" w:themeColor="text1"/>
        </w:rPr>
        <w:t xml:space="preserve">-minute survey </w:t>
      </w:r>
      <w:r w:rsidR="004E3F01" w:rsidRPr="007E6509">
        <w:rPr>
          <w:rFonts w:ascii="Times New Roman" w:hAnsi="Times New Roman" w:cs="Times New Roman"/>
          <w:color w:val="000000" w:themeColor="text1"/>
        </w:rPr>
        <w:t xml:space="preserve">will receive </w:t>
      </w:r>
      <w:r w:rsidR="00FC4D4F" w:rsidRPr="007E6509">
        <w:rPr>
          <w:rFonts w:ascii="Times New Roman" w:hAnsi="Times New Roman" w:cs="Times New Roman"/>
          <w:color w:val="000000" w:themeColor="text1"/>
        </w:rPr>
        <w:t xml:space="preserve">the virtual </w:t>
      </w:r>
      <w:r w:rsidR="004E3F01" w:rsidRPr="007E6509">
        <w:rPr>
          <w:rFonts w:ascii="Times New Roman" w:hAnsi="Times New Roman" w:cs="Times New Roman"/>
          <w:color w:val="000000" w:themeColor="text1"/>
        </w:rPr>
        <w:t>currency</w:t>
      </w:r>
      <w:r w:rsidR="00DD6AAB" w:rsidRPr="007E6509">
        <w:rPr>
          <w:rFonts w:ascii="Times New Roman" w:hAnsi="Times New Roman" w:cs="Times New Roman"/>
          <w:color w:val="000000" w:themeColor="text1"/>
        </w:rPr>
        <w:t>,</w:t>
      </w:r>
      <w:r w:rsidR="00FE0CA3" w:rsidRPr="007E6509">
        <w:rPr>
          <w:rFonts w:ascii="Times New Roman" w:hAnsi="Times New Roman" w:cs="Times New Roman"/>
          <w:color w:val="000000" w:themeColor="text1"/>
        </w:rPr>
        <w:t xml:space="preserve"> </w:t>
      </w:r>
      <w:r w:rsidR="00DD6AAB" w:rsidRPr="007E6509">
        <w:rPr>
          <w:rFonts w:ascii="Times New Roman" w:hAnsi="Times New Roman" w:cs="Times New Roman"/>
          <w:color w:val="000000" w:themeColor="text1"/>
        </w:rPr>
        <w:t xml:space="preserve">the cash equivalent of which is between $0.25 and $7.00. Incentives vary from panel to panel and are primarily driven by the length of the survey, but also the incidence rate and screening criteria. </w:t>
      </w:r>
      <w:r w:rsidR="007E6509">
        <w:rPr>
          <w:rFonts w:ascii="Times New Roman" w:hAnsi="Times New Roman" w:cs="Times New Roman"/>
          <w:color w:val="000000" w:themeColor="text1"/>
        </w:rPr>
        <w:t xml:space="preserve">The rates are consistent with what the same panels have offered in previous surveys conducted by the vendor. </w:t>
      </w:r>
      <w:r w:rsidR="00DD6AAB" w:rsidRPr="007E6509">
        <w:rPr>
          <w:rFonts w:ascii="Times New Roman" w:hAnsi="Times New Roman" w:cs="Times New Roman"/>
          <w:color w:val="000000" w:themeColor="text1"/>
        </w:rPr>
        <w:t xml:space="preserve">The lower end of incentives are awarded to those in high </w:t>
      </w:r>
      <w:r w:rsidR="00FC58E2" w:rsidRPr="007E6509">
        <w:rPr>
          <w:rFonts w:ascii="Times New Roman" w:hAnsi="Times New Roman" w:cs="Times New Roman"/>
          <w:color w:val="000000" w:themeColor="text1"/>
        </w:rPr>
        <w:t>incidence rate (IR)</w:t>
      </w:r>
      <w:r w:rsidR="00DD6AAB" w:rsidRPr="007E6509">
        <w:rPr>
          <w:rFonts w:ascii="Times New Roman" w:hAnsi="Times New Roman" w:cs="Times New Roman"/>
          <w:color w:val="000000" w:themeColor="text1"/>
        </w:rPr>
        <w:t xml:space="preserve"> targeted sample groups (targeted smokers) and the higher end to those we</w:t>
      </w:r>
      <w:r w:rsidR="00FC58E2" w:rsidRPr="007E6509">
        <w:rPr>
          <w:rFonts w:ascii="Times New Roman" w:hAnsi="Times New Roman" w:cs="Times New Roman"/>
          <w:color w:val="000000" w:themeColor="text1"/>
        </w:rPr>
        <w:t xml:space="preserve"> will</w:t>
      </w:r>
      <w:r w:rsidR="00DD6AAB" w:rsidRPr="007E6509">
        <w:rPr>
          <w:rFonts w:ascii="Times New Roman" w:hAnsi="Times New Roman" w:cs="Times New Roman"/>
          <w:color w:val="000000" w:themeColor="text1"/>
        </w:rPr>
        <w:t xml:space="preserve"> sample from the general population at a lower IR to collect the necessary completes from the more challenging groups such as smokeless users. </w:t>
      </w:r>
      <w:bookmarkEnd w:id="4"/>
      <w:r w:rsidR="007E6509">
        <w:rPr>
          <w:rFonts w:ascii="Times New Roman" w:hAnsi="Times New Roman" w:cs="Times New Roman"/>
          <w:color w:val="000000" w:themeColor="text1"/>
        </w:rPr>
        <w:t xml:space="preserve">The contractor, RTI, </w:t>
      </w:r>
      <w:r w:rsidR="00FE0CA3" w:rsidRPr="007E6509">
        <w:rPr>
          <w:rFonts w:ascii="Times New Roman" w:hAnsi="Times New Roman" w:cs="Times New Roman"/>
          <w:color w:val="000000" w:themeColor="text1"/>
        </w:rPr>
        <w:t xml:space="preserve">has carefully considered </w:t>
      </w:r>
      <w:r w:rsidR="007E6509">
        <w:rPr>
          <w:rFonts w:ascii="Times New Roman" w:hAnsi="Times New Roman" w:cs="Times New Roman"/>
          <w:color w:val="000000" w:themeColor="text1"/>
        </w:rPr>
        <w:t xml:space="preserve">the incentive plan and expects the incentive amounts to be high enough to recruit the </w:t>
      </w:r>
      <w:r w:rsidR="00FE0CA3" w:rsidRPr="007E6509">
        <w:rPr>
          <w:rFonts w:ascii="Times New Roman" w:hAnsi="Times New Roman" w:cs="Times New Roman"/>
          <w:color w:val="000000" w:themeColor="text1"/>
        </w:rPr>
        <w:t>participants</w:t>
      </w:r>
      <w:r w:rsidR="007E6509">
        <w:rPr>
          <w:rFonts w:ascii="Times New Roman" w:hAnsi="Times New Roman" w:cs="Times New Roman"/>
          <w:color w:val="000000" w:themeColor="text1"/>
        </w:rPr>
        <w:t xml:space="preserve"> needed</w:t>
      </w:r>
      <w:r w:rsidR="00FE0CA3" w:rsidRPr="007E6509">
        <w:rPr>
          <w:rFonts w:ascii="Times New Roman" w:hAnsi="Times New Roman" w:cs="Times New Roman"/>
          <w:color w:val="000000" w:themeColor="text1"/>
        </w:rPr>
        <w:t xml:space="preserve"> </w:t>
      </w:r>
      <w:r w:rsidR="008775B2">
        <w:rPr>
          <w:rFonts w:ascii="Times New Roman" w:hAnsi="Times New Roman" w:cs="Times New Roman"/>
          <w:color w:val="000000" w:themeColor="text1"/>
        </w:rPr>
        <w:t xml:space="preserve">(i.e., a sample of sufficient size with </w:t>
      </w:r>
      <w:r w:rsidR="00FE0CA3" w:rsidRPr="007E6509">
        <w:rPr>
          <w:rFonts w:ascii="Times New Roman" w:hAnsi="Times New Roman" w:cs="Times New Roman"/>
          <w:color w:val="000000" w:themeColor="text1"/>
        </w:rPr>
        <w:t>reaso</w:t>
      </w:r>
      <w:r w:rsidR="00D8145E" w:rsidRPr="007E6509">
        <w:rPr>
          <w:rFonts w:ascii="Times New Roman" w:hAnsi="Times New Roman" w:cs="Times New Roman"/>
          <w:color w:val="000000" w:themeColor="text1"/>
        </w:rPr>
        <w:t xml:space="preserve">nable diversity in age, income </w:t>
      </w:r>
      <w:r w:rsidR="00FE0CA3" w:rsidRPr="007E6509">
        <w:rPr>
          <w:rFonts w:ascii="Times New Roman" w:hAnsi="Times New Roman" w:cs="Times New Roman"/>
          <w:color w:val="000000" w:themeColor="text1"/>
        </w:rPr>
        <w:t>and education</w:t>
      </w:r>
      <w:r w:rsidR="008775B2">
        <w:rPr>
          <w:rFonts w:ascii="Times New Roman" w:hAnsi="Times New Roman" w:cs="Times New Roman"/>
          <w:color w:val="000000" w:themeColor="text1"/>
        </w:rPr>
        <w:t>)</w:t>
      </w:r>
      <w:r w:rsidR="00D8145E" w:rsidRPr="007E6509">
        <w:rPr>
          <w:rFonts w:ascii="Times New Roman" w:hAnsi="Times New Roman" w:cs="Times New Roman"/>
          <w:color w:val="000000" w:themeColor="text1"/>
        </w:rPr>
        <w:t>, without being coercive</w:t>
      </w:r>
      <w:bookmarkEnd w:id="5"/>
      <w:r w:rsidR="00D8145E" w:rsidRPr="007E6509">
        <w:rPr>
          <w:rFonts w:ascii="Times New Roman" w:hAnsi="Times New Roman" w:cs="Times New Roman"/>
          <w:color w:val="000000" w:themeColor="text1"/>
        </w:rPr>
        <w:t xml:space="preserve">. </w:t>
      </w:r>
    </w:p>
    <w:p w14:paraId="06FAC9C3" w14:textId="734C3F69" w:rsidR="005504F7" w:rsidRPr="00BF6EAE" w:rsidRDefault="005504F7" w:rsidP="005B5DD0">
      <w:pPr>
        <w:rPr>
          <w:rFonts w:ascii="Times New Roman" w:hAnsi="Times New Roman" w:cs="Times New Roman"/>
          <w:color w:val="000000" w:themeColor="text1"/>
        </w:rPr>
      </w:pPr>
    </w:p>
    <w:p w14:paraId="5E1AFF8D" w14:textId="77777777" w:rsidR="00520801" w:rsidRPr="00BF6EAE" w:rsidRDefault="00804782" w:rsidP="0027538D">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Assurance of Privacy Provided to Respondents</w:t>
      </w:r>
    </w:p>
    <w:p w14:paraId="2E3F5F39" w14:textId="16D0B41E" w:rsidR="00CE1475" w:rsidRDefault="00CE1475" w:rsidP="00CE1475">
      <w:pPr>
        <w:pStyle w:val="ListParagraph"/>
        <w:ind w:left="1080"/>
        <w:rPr>
          <w:rFonts w:ascii="Times New Roman" w:hAnsi="Times New Roman" w:cs="Times New Roman"/>
          <w:color w:val="000000" w:themeColor="text1"/>
        </w:rPr>
      </w:pPr>
    </w:p>
    <w:p w14:paraId="09B00B15" w14:textId="2FCE85F1"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 xml:space="preserve">In developing this study, </w:t>
      </w:r>
      <w:r w:rsidR="006264D5">
        <w:rPr>
          <w:rFonts w:ascii="Times New Roman" w:hAnsi="Times New Roman" w:cs="Times New Roman"/>
          <w:color w:val="000000" w:themeColor="text1"/>
        </w:rPr>
        <w:t>CTP</w:t>
      </w:r>
      <w:r w:rsidRPr="00150F66">
        <w:rPr>
          <w:rFonts w:ascii="Times New Roman" w:hAnsi="Times New Roman" w:cs="Times New Roman"/>
          <w:color w:val="000000" w:themeColor="text1"/>
        </w:rPr>
        <w:t xml:space="preserve"> 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CTP also identified privacy compliance requirements and coordinated with FDA’s Privacy Officer to ensure responsible offices in CTP satisfy all in accordance with law and policy. CTP submitted a privacy impact assessment which </w:t>
      </w:r>
      <w:r>
        <w:rPr>
          <w:rFonts w:ascii="Times New Roman" w:hAnsi="Times New Roman" w:cs="Times New Roman"/>
          <w:color w:val="000000" w:themeColor="text1"/>
        </w:rPr>
        <w:t xml:space="preserve">was approved by the FDA and HHS privacy offices. The PIA unique identifier number is </w:t>
      </w:r>
      <w:r w:rsidRPr="00150F66">
        <w:rPr>
          <w:rFonts w:ascii="Times New Roman" w:hAnsi="Times New Roman" w:cs="Times New Roman"/>
          <w:color w:val="000000" w:themeColor="text1"/>
        </w:rPr>
        <w:t>P-4612305-112571</w:t>
      </w:r>
      <w:r>
        <w:rPr>
          <w:rFonts w:ascii="Times New Roman" w:hAnsi="Times New Roman" w:cs="Times New Roman"/>
          <w:color w:val="000000" w:themeColor="text1"/>
        </w:rPr>
        <w:t>.</w:t>
      </w:r>
    </w:p>
    <w:p w14:paraId="41A5DB1A" w14:textId="77777777" w:rsidR="00150F66" w:rsidRPr="00150F66" w:rsidRDefault="00150F66" w:rsidP="00B6274E">
      <w:pPr>
        <w:pStyle w:val="ListParagraph"/>
        <w:ind w:left="0"/>
        <w:rPr>
          <w:rFonts w:ascii="Times New Roman" w:hAnsi="Times New Roman" w:cs="Times New Roman"/>
          <w:color w:val="000000" w:themeColor="text1"/>
        </w:rPr>
      </w:pPr>
    </w:p>
    <w:p w14:paraId="12D3504F" w14:textId="77777777" w:rsidR="00150F66" w:rsidRPr="0003066A" w:rsidRDefault="00150F66" w:rsidP="00B6274E">
      <w:pPr>
        <w:pStyle w:val="ListParagraph"/>
        <w:ind w:left="0"/>
        <w:rPr>
          <w:rFonts w:ascii="Times New Roman" w:hAnsi="Times New Roman" w:cs="Times New Roman"/>
          <w:color w:val="000000" w:themeColor="text1"/>
          <w:u w:val="single"/>
        </w:rPr>
      </w:pPr>
      <w:r w:rsidRPr="0003066A">
        <w:rPr>
          <w:rFonts w:ascii="Times New Roman" w:hAnsi="Times New Roman" w:cs="Times New Roman"/>
          <w:color w:val="000000" w:themeColor="text1"/>
          <w:u w:val="single"/>
        </w:rPr>
        <w:t xml:space="preserve">Privacy Act Applicability </w:t>
      </w:r>
    </w:p>
    <w:p w14:paraId="4FBCB4B3" w14:textId="25791848"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The information collection is not subject to the Privacy Act of 1974. Hence, no Privacy Act Statement is required to be displayed on the form, website, mobile application</w:t>
      </w:r>
      <w:r w:rsidR="00CB7159">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or other point at which information is collected.</w:t>
      </w:r>
    </w:p>
    <w:p w14:paraId="156D143E" w14:textId="77777777" w:rsidR="00150F66" w:rsidRPr="00150F66" w:rsidRDefault="00150F66" w:rsidP="00B6274E">
      <w:pPr>
        <w:pStyle w:val="ListParagraph"/>
        <w:ind w:left="0"/>
        <w:rPr>
          <w:rFonts w:ascii="Times New Roman" w:hAnsi="Times New Roman" w:cs="Times New Roman"/>
          <w:color w:val="000000" w:themeColor="text1"/>
        </w:rPr>
      </w:pPr>
    </w:p>
    <w:p w14:paraId="14AE4081" w14:textId="77777777" w:rsidR="00150F66" w:rsidRPr="0003066A" w:rsidRDefault="00150F66" w:rsidP="00B6274E">
      <w:pPr>
        <w:pStyle w:val="ListParagraph"/>
        <w:ind w:left="0"/>
        <w:rPr>
          <w:rFonts w:ascii="Times New Roman" w:hAnsi="Times New Roman" w:cs="Times New Roman"/>
          <w:color w:val="000000" w:themeColor="text1"/>
          <w:u w:val="single"/>
        </w:rPr>
      </w:pPr>
      <w:r w:rsidRPr="0003066A">
        <w:rPr>
          <w:rFonts w:ascii="Times New Roman" w:hAnsi="Times New Roman" w:cs="Times New Roman"/>
          <w:color w:val="000000" w:themeColor="text1"/>
          <w:u w:val="single"/>
        </w:rPr>
        <w:t>PII Collection</w:t>
      </w:r>
    </w:p>
    <w:p w14:paraId="7BED4E41" w14:textId="59B1DFF8"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For respondent enrollment, PII will be collected on an as needed basis during the enrollment process. Mailing address or e-mail addresses may be collected for contacting the respondent regarding enrollment details (e.g.</w:t>
      </w:r>
      <w:r w:rsidR="00483F77">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w:t>
      </w:r>
      <w:r w:rsidR="00485830">
        <w:rPr>
          <w:rFonts w:ascii="Times New Roman" w:hAnsi="Times New Roman" w:cs="Times New Roman"/>
          <w:color w:val="000000" w:themeColor="text1"/>
        </w:rPr>
        <w:t xml:space="preserve">a survey link, </w:t>
      </w:r>
      <w:r w:rsidRPr="00150F66">
        <w:rPr>
          <w:rFonts w:ascii="Times New Roman" w:hAnsi="Times New Roman" w:cs="Times New Roman"/>
          <w:color w:val="000000" w:themeColor="text1"/>
        </w:rPr>
        <w:t xml:space="preserve">directions). PII collected as part of respondent enrollment will not be maintained or linked to other study information. Contractors and subcontractors that collect data on behalf of </w:t>
      </w:r>
      <w:r w:rsidR="00485830">
        <w:rPr>
          <w:rFonts w:ascii="Times New Roman" w:hAnsi="Times New Roman" w:cs="Times New Roman"/>
          <w:color w:val="000000" w:themeColor="text1"/>
        </w:rPr>
        <w:t>FDA</w:t>
      </w:r>
      <w:r w:rsidRPr="00150F66">
        <w:rPr>
          <w:rFonts w:ascii="Times New Roman" w:hAnsi="Times New Roman" w:cs="Times New Roman"/>
          <w:color w:val="000000" w:themeColor="text1"/>
        </w:rPr>
        <w:t xml:space="preserve"> never pass along any PII</w:t>
      </w:r>
      <w:r w:rsidR="00485830">
        <w:rPr>
          <w:rFonts w:ascii="Times New Roman" w:hAnsi="Times New Roman" w:cs="Times New Roman"/>
          <w:color w:val="000000" w:themeColor="text1"/>
        </w:rPr>
        <w:t xml:space="preserve"> to FDA</w:t>
      </w:r>
      <w:r w:rsidRPr="00150F66">
        <w:rPr>
          <w:rFonts w:ascii="Times New Roman" w:hAnsi="Times New Roman" w:cs="Times New Roman"/>
          <w:color w:val="000000" w:themeColor="text1"/>
        </w:rPr>
        <w:t xml:space="preserve">. For these collections, we don’t have any systems where we maintain or retrieve PII.  </w:t>
      </w:r>
    </w:p>
    <w:p w14:paraId="59E0190F" w14:textId="17747C25" w:rsid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 xml:space="preserve"> </w:t>
      </w:r>
    </w:p>
    <w:p w14:paraId="7B5F13EE" w14:textId="7D1D405B" w:rsidR="007D2567" w:rsidRPr="00150F66" w:rsidRDefault="007D2567" w:rsidP="00B6274E">
      <w:pPr>
        <w:pStyle w:val="ListParagraph"/>
        <w:ind w:left="0"/>
        <w:rPr>
          <w:rFonts w:ascii="Times New Roman" w:hAnsi="Times New Roman" w:cs="Times New Roman"/>
          <w:color w:val="000000" w:themeColor="text1"/>
        </w:rPr>
      </w:pPr>
      <w:r w:rsidRPr="007D2567">
        <w:rPr>
          <w:rFonts w:ascii="Times New Roman" w:hAnsi="Times New Roman" w:cs="Times New Roman"/>
          <w:color w:val="000000" w:themeColor="text1"/>
        </w:rPr>
        <w:t>All data collection activities will be conducted in full compliance with FDA regulations to maintain the privacy of data obtained from respondents and to protect the rights and welfare of human research subjects as contained in their regulations. All those who handle or analyze data will be required to adhere to the standard data security policies of RTI. The vendor – i.e., the subcontracted organization that will collect the data (Lightspeed, LLC) – will compile data from completed surveys into an SPSS data set and send to RTI for analysis, with no personally identifiable information (PII). The vendor will maintain all information that can identify individual respondents in a form that is separate from the data provided to RTI and FDA. RTI will keep the data it receives from the vendor in a secured fashion that will not permit unauthorized access. RTI will also share the data it receives from the vendor with FDA, which will also maintain the data in a secured fashion that will not permit unauthorized access. Confidentiality of the information submitted is protected from disclosure under the Freedom of Information Act (FOIA) under sections 552(a) and (b) (5 U.S.C. 552(a) and (b)), and by part 20 of the agency’s regulations (21 CFR part 20).</w:t>
      </w:r>
    </w:p>
    <w:p w14:paraId="1D703EC5" w14:textId="72D80FE7"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For study implementation, PII in the form of e-mail</w:t>
      </w:r>
      <w:r w:rsidR="00485830">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IP addresses</w:t>
      </w:r>
      <w:r w:rsidR="00485830">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or zip codes may be collected on an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w:t>
      </w:r>
      <w:r w:rsidR="00485830">
        <w:rPr>
          <w:rFonts w:ascii="Times New Roman" w:hAnsi="Times New Roman" w:cs="Times New Roman"/>
          <w:color w:val="000000" w:themeColor="text1"/>
        </w:rPr>
        <w:t>and will not be sent to FDA</w:t>
      </w:r>
      <w:r w:rsidRPr="00150F66">
        <w:rPr>
          <w:rFonts w:ascii="Times New Roman" w:hAnsi="Times New Roman" w:cs="Times New Roman"/>
          <w:color w:val="000000" w:themeColor="text1"/>
        </w:rPr>
        <w:t>. PII will only be used for primary study purposes</w:t>
      </w:r>
      <w:r w:rsidR="00485830">
        <w:rPr>
          <w:rFonts w:ascii="Times New Roman" w:hAnsi="Times New Roman" w:cs="Times New Roman"/>
          <w:color w:val="000000" w:themeColor="text1"/>
        </w:rPr>
        <w:t xml:space="preserve"> (i.e., contacting, enrolling, and compensating study participants)</w:t>
      </w:r>
      <w:r w:rsidRPr="00150F66">
        <w:rPr>
          <w:rFonts w:ascii="Times New Roman" w:hAnsi="Times New Roman" w:cs="Times New Roman"/>
          <w:color w:val="000000" w:themeColor="text1"/>
        </w:rPr>
        <w:t>.</w:t>
      </w:r>
    </w:p>
    <w:p w14:paraId="7624C75B" w14:textId="77777777" w:rsidR="00150F66" w:rsidRPr="00150F66" w:rsidRDefault="00150F66" w:rsidP="00B6274E">
      <w:pPr>
        <w:pStyle w:val="ListParagraph"/>
        <w:ind w:left="0"/>
        <w:rPr>
          <w:rFonts w:ascii="Times New Roman" w:hAnsi="Times New Roman" w:cs="Times New Roman"/>
          <w:color w:val="000000" w:themeColor="text1"/>
        </w:rPr>
      </w:pPr>
    </w:p>
    <w:p w14:paraId="7C00EC4F" w14:textId="28B196F2"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FDA has minimized the risk of unnecessary access, disclosure, use</w:t>
      </w:r>
      <w:r w:rsidR="00485830">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or proliferation </w:t>
      </w:r>
      <w:r w:rsidR="00E87161">
        <w:rPr>
          <w:rFonts w:ascii="Times New Roman" w:hAnsi="Times New Roman" w:cs="Times New Roman"/>
          <w:color w:val="000000" w:themeColor="text1"/>
        </w:rPr>
        <w:t xml:space="preserve">of </w:t>
      </w:r>
      <w:r w:rsidRPr="00150F66">
        <w:rPr>
          <w:rFonts w:ascii="Times New Roman" w:hAnsi="Times New Roman" w:cs="Times New Roman"/>
          <w:color w:val="000000" w:themeColor="text1"/>
        </w:rPr>
        <w:t>PII about respondents. FDA</w:t>
      </w:r>
      <w:r w:rsidR="00B72E79">
        <w:rPr>
          <w:rFonts w:ascii="Times New Roman" w:hAnsi="Times New Roman" w:cs="Times New Roman"/>
          <w:color w:val="000000" w:themeColor="text1"/>
        </w:rPr>
        <w:t>’s subcontractor</w:t>
      </w:r>
      <w:r w:rsidRPr="00150F66">
        <w:rPr>
          <w:rFonts w:ascii="Times New Roman" w:hAnsi="Times New Roman" w:cs="Times New Roman"/>
          <w:color w:val="000000" w:themeColor="text1"/>
        </w:rPr>
        <w:t xml:space="preserve"> involved in the study collect</w:t>
      </w:r>
      <w:r w:rsidR="00B72E79">
        <w:rPr>
          <w:rFonts w:ascii="Times New Roman" w:hAnsi="Times New Roman" w:cs="Times New Roman"/>
          <w:color w:val="000000" w:themeColor="text1"/>
        </w:rPr>
        <w:t>s</w:t>
      </w:r>
      <w:r w:rsidRPr="00150F66">
        <w:rPr>
          <w:rFonts w:ascii="Times New Roman" w:hAnsi="Times New Roman" w:cs="Times New Roman"/>
          <w:color w:val="000000" w:themeColor="text1"/>
        </w:rPr>
        <w:t xml:space="preserve"> and maintain</w:t>
      </w:r>
      <w:r w:rsidR="00B72E79">
        <w:rPr>
          <w:rFonts w:ascii="Times New Roman" w:hAnsi="Times New Roman" w:cs="Times New Roman"/>
          <w:color w:val="000000" w:themeColor="text1"/>
        </w:rPr>
        <w:t>s</w:t>
      </w:r>
      <w:r w:rsidRPr="00150F66">
        <w:rPr>
          <w:rFonts w:ascii="Times New Roman" w:hAnsi="Times New Roman" w:cs="Times New Roman"/>
          <w:color w:val="000000" w:themeColor="text1"/>
        </w:rPr>
        <w:t xml:space="preserve"> study records containing PII only as long as required. PII </w:t>
      </w:r>
      <w:r w:rsidR="00B72E79">
        <w:rPr>
          <w:rFonts w:ascii="Times New Roman" w:hAnsi="Times New Roman" w:cs="Times New Roman"/>
          <w:color w:val="000000" w:themeColor="text1"/>
        </w:rPr>
        <w:t>will be</w:t>
      </w:r>
      <w:r w:rsidRPr="00150F66">
        <w:rPr>
          <w:rFonts w:ascii="Times New Roman" w:hAnsi="Times New Roman" w:cs="Times New Roman"/>
          <w:color w:val="000000" w:themeColor="text1"/>
        </w:rPr>
        <w:t xml:space="preserve"> removed before any data is sent to FDA. That PII may be linked to data by a code, only when necessary.</w:t>
      </w:r>
    </w:p>
    <w:p w14:paraId="4A769573" w14:textId="77777777" w:rsidR="00150F66" w:rsidRPr="00150F66" w:rsidRDefault="00150F66" w:rsidP="00B6274E">
      <w:pPr>
        <w:pStyle w:val="ListParagraph"/>
        <w:ind w:left="0"/>
        <w:rPr>
          <w:rFonts w:ascii="Times New Roman" w:hAnsi="Times New Roman" w:cs="Times New Roman"/>
          <w:color w:val="000000" w:themeColor="text1"/>
        </w:rPr>
      </w:pPr>
    </w:p>
    <w:p w14:paraId="42503545" w14:textId="77777777" w:rsidR="00150F66" w:rsidRPr="0003066A" w:rsidRDefault="00150F66" w:rsidP="00B6274E">
      <w:pPr>
        <w:pStyle w:val="ListParagraph"/>
        <w:ind w:left="0"/>
        <w:rPr>
          <w:rFonts w:ascii="Times New Roman" w:hAnsi="Times New Roman" w:cs="Times New Roman"/>
          <w:color w:val="000000" w:themeColor="text1"/>
          <w:u w:val="single"/>
        </w:rPr>
      </w:pPr>
      <w:r w:rsidRPr="0003066A">
        <w:rPr>
          <w:rFonts w:ascii="Times New Roman" w:hAnsi="Times New Roman" w:cs="Times New Roman"/>
          <w:color w:val="000000" w:themeColor="text1"/>
          <w:u w:val="single"/>
        </w:rPr>
        <w:t>Notice and Transparency</w:t>
      </w:r>
    </w:p>
    <w:p w14:paraId="1A185F67" w14:textId="6CA83E8D"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Neither FDA nor direct contractors, including 3rd parties</w:t>
      </w:r>
      <w:r w:rsidR="00DC3019">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share PII gathered via this collection with any other individuals or entities.</w:t>
      </w:r>
    </w:p>
    <w:p w14:paraId="3410A2E6" w14:textId="77777777" w:rsidR="00150F66" w:rsidRPr="00150F66" w:rsidRDefault="00150F66" w:rsidP="00B6274E">
      <w:pPr>
        <w:pStyle w:val="ListParagraph"/>
        <w:ind w:left="0"/>
        <w:rPr>
          <w:rFonts w:ascii="Times New Roman" w:hAnsi="Times New Roman" w:cs="Times New Roman"/>
          <w:color w:val="000000" w:themeColor="text1"/>
        </w:rPr>
      </w:pPr>
    </w:p>
    <w:p w14:paraId="7D461908" w14:textId="06BB448C"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All subjects are provided notice regarding the collection and use of the information they submit. A panel provider may collect IP addresses when participants register for the panel, but FDA does not receive IP addresses. FDA and its contractors will notify participants if IP addresses are recorded. FDA sponsorship</w:t>
      </w:r>
      <w:r w:rsidR="00843994">
        <w:rPr>
          <w:rFonts w:ascii="Times New Roman" w:hAnsi="Times New Roman" w:cs="Times New Roman"/>
          <w:color w:val="000000" w:themeColor="text1"/>
        </w:rPr>
        <w:t xml:space="preserve"> is explained to participants</w:t>
      </w:r>
      <w:r w:rsidRPr="00150F66">
        <w:rPr>
          <w:rFonts w:ascii="Times New Roman" w:hAnsi="Times New Roman" w:cs="Times New Roman"/>
          <w:color w:val="000000" w:themeColor="text1"/>
        </w:rPr>
        <w:t xml:space="preserve"> when appropriate (in some cases, FDA sponsorship will not be made known to respondents prior to data collection out of concern for the potential introduction of bias to study results</w:t>
      </w:r>
      <w:r w:rsidR="00843994">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w:t>
      </w:r>
      <w:r w:rsidR="00843994">
        <w:rPr>
          <w:rFonts w:ascii="Times New Roman" w:hAnsi="Times New Roman" w:cs="Times New Roman"/>
          <w:color w:val="000000" w:themeColor="text1"/>
        </w:rPr>
        <w:t>i</w:t>
      </w:r>
      <w:r w:rsidRPr="00150F66">
        <w:rPr>
          <w:rFonts w:ascii="Times New Roman" w:hAnsi="Times New Roman" w:cs="Times New Roman"/>
          <w:color w:val="000000" w:themeColor="text1"/>
        </w:rPr>
        <w:t>n such cases, FDA sponsorship will be made known after the data are collected.)</w:t>
      </w:r>
      <w:r w:rsidR="00843994">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w:t>
      </w:r>
      <w:r w:rsidR="00843994">
        <w:rPr>
          <w:rFonts w:ascii="Times New Roman" w:hAnsi="Times New Roman" w:cs="Times New Roman"/>
          <w:color w:val="000000" w:themeColor="text1"/>
        </w:rPr>
        <w:t xml:space="preserve">Participants will be informed that their </w:t>
      </w:r>
      <w:r w:rsidRPr="00150F66">
        <w:rPr>
          <w:rFonts w:ascii="Times New Roman" w:hAnsi="Times New Roman" w:cs="Times New Roman"/>
          <w:color w:val="000000" w:themeColor="text1"/>
        </w:rPr>
        <w:t>participation is voluntary at all times.</w:t>
      </w:r>
    </w:p>
    <w:p w14:paraId="4B3F4D7C" w14:textId="77777777" w:rsidR="007D2567" w:rsidRDefault="007D2567" w:rsidP="00B6274E">
      <w:pPr>
        <w:pStyle w:val="ListParagraph"/>
        <w:ind w:left="0"/>
        <w:rPr>
          <w:rFonts w:ascii="Times New Roman" w:hAnsi="Times New Roman" w:cs="Times New Roman"/>
          <w:color w:val="000000" w:themeColor="text1"/>
        </w:rPr>
      </w:pPr>
    </w:p>
    <w:p w14:paraId="63318644" w14:textId="7DF8C234" w:rsidR="007D2567" w:rsidRPr="00150F66" w:rsidRDefault="007D2567" w:rsidP="00B6274E">
      <w:pPr>
        <w:pStyle w:val="ListParagraph"/>
        <w:ind w:left="0"/>
        <w:rPr>
          <w:rFonts w:ascii="Times New Roman" w:hAnsi="Times New Roman" w:cs="Times New Roman"/>
          <w:color w:val="000000" w:themeColor="text1"/>
        </w:rPr>
      </w:pPr>
      <w:r w:rsidRPr="00A56498">
        <w:rPr>
          <w:rFonts w:ascii="Times New Roman" w:hAnsi="Times New Roman" w:cs="Times New Roman"/>
          <w:color w:val="000000" w:themeColor="text1"/>
        </w:rPr>
        <w:t>Prior to collecting any information, these methods will all be approved by FDA’s Research Involving Human Subjects Committee (RIHSC) and RTI’s Institutional Review Board (IRB). The primary concern of the RIHSC and IRB are to protect participants’ rights, one of which is maintaining the privacy of participant information to the fullest extent of the law.</w:t>
      </w:r>
    </w:p>
    <w:p w14:paraId="053B530D" w14:textId="77777777" w:rsidR="00150F66" w:rsidRPr="00150F66" w:rsidRDefault="00150F66" w:rsidP="00B6274E">
      <w:pPr>
        <w:pStyle w:val="ListParagraph"/>
        <w:ind w:left="0"/>
        <w:rPr>
          <w:rFonts w:ascii="Times New Roman" w:hAnsi="Times New Roman" w:cs="Times New Roman"/>
          <w:color w:val="000000" w:themeColor="text1"/>
        </w:rPr>
      </w:pPr>
    </w:p>
    <w:p w14:paraId="4FEDD909" w14:textId="77777777" w:rsidR="00150F66" w:rsidRPr="0003066A" w:rsidRDefault="00150F66" w:rsidP="00B6274E">
      <w:pPr>
        <w:pStyle w:val="ListParagraph"/>
        <w:ind w:left="0"/>
        <w:rPr>
          <w:rFonts w:ascii="Times New Roman" w:hAnsi="Times New Roman" w:cs="Times New Roman"/>
          <w:color w:val="000000" w:themeColor="text1"/>
          <w:u w:val="single"/>
        </w:rPr>
      </w:pPr>
      <w:r w:rsidRPr="0003066A">
        <w:rPr>
          <w:rFonts w:ascii="Times New Roman" w:hAnsi="Times New Roman" w:cs="Times New Roman"/>
          <w:color w:val="000000" w:themeColor="text1"/>
          <w:u w:val="single"/>
        </w:rPr>
        <w:t>Individual Participation and Control</w:t>
      </w:r>
    </w:p>
    <w:p w14:paraId="0E69DDAA" w14:textId="19836BFE" w:rsidR="00A56498" w:rsidRPr="00094217"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While anonymity of respondents generally cannot be assured unless there is a statutory requirement associated with the information collection, information provided by respondents will be kept private and anonymous, to the extent allowable by law</w:t>
      </w:r>
      <w:r w:rsidR="007D2567" w:rsidRPr="007D2567">
        <w:rPr>
          <w:rFonts w:ascii="Times New Roman" w:hAnsi="Times New Roman" w:cs="Times New Roman"/>
          <w:color w:val="000000" w:themeColor="text1"/>
        </w:rPr>
        <w:t xml:space="preserve"> </w:t>
      </w:r>
      <w:r w:rsidR="007D2567" w:rsidRPr="00A56498">
        <w:rPr>
          <w:rFonts w:ascii="Times New Roman" w:hAnsi="Times New Roman" w:cs="Times New Roman"/>
          <w:color w:val="000000" w:themeColor="text1"/>
        </w:rPr>
        <w:t xml:space="preserve">and the technology used as part of the informed consent process. See Attachment 5 for </w:t>
      </w:r>
      <w:r w:rsidR="007D2567">
        <w:rPr>
          <w:rFonts w:ascii="Times New Roman" w:hAnsi="Times New Roman" w:cs="Times New Roman"/>
          <w:color w:val="000000" w:themeColor="text1"/>
        </w:rPr>
        <w:t>the informed consent text</w:t>
      </w:r>
      <w:r w:rsidRPr="00150F66">
        <w:rPr>
          <w:rFonts w:ascii="Times New Roman" w:hAnsi="Times New Roman" w:cs="Times New Roman"/>
          <w:color w:val="000000" w:themeColor="text1"/>
        </w:rPr>
        <w:t>. This will be communicated to respondents by means of introductory letters, explanatory texts on the cover pages of questionnaires, telephone interviews, and consent forms. Respondents also will be advised of the following: the nature of the activity; the purpose and use of the data collected; FDA sponsorship (when appropriate); and the fact that participation is voluntary at all times. Because responses are voluntary, respondents will be assured that there will be no penalties if they decide not to respond, either to the information collection or to any particular questions.</w:t>
      </w:r>
    </w:p>
    <w:p w14:paraId="4F8BABA4" w14:textId="31305A47" w:rsidR="00150F66" w:rsidRPr="00150F66" w:rsidRDefault="00150F66" w:rsidP="00B6274E">
      <w:pPr>
        <w:pStyle w:val="ListParagraph"/>
        <w:ind w:left="0"/>
        <w:rPr>
          <w:rFonts w:ascii="Times New Roman" w:hAnsi="Times New Roman" w:cs="Times New Roman"/>
          <w:color w:val="000000" w:themeColor="text1"/>
        </w:rPr>
      </w:pPr>
    </w:p>
    <w:p w14:paraId="3C4495B5" w14:textId="77777777" w:rsidR="00150F66" w:rsidRPr="0003066A" w:rsidRDefault="00150F66" w:rsidP="00B6274E">
      <w:pPr>
        <w:pStyle w:val="ListParagraph"/>
        <w:ind w:left="0"/>
        <w:rPr>
          <w:rFonts w:ascii="Times New Roman" w:hAnsi="Times New Roman" w:cs="Times New Roman"/>
          <w:color w:val="000000" w:themeColor="text1"/>
          <w:u w:val="single"/>
        </w:rPr>
      </w:pPr>
      <w:r w:rsidRPr="0003066A">
        <w:rPr>
          <w:rFonts w:ascii="Times New Roman" w:hAnsi="Times New Roman" w:cs="Times New Roman"/>
          <w:color w:val="000000" w:themeColor="text1"/>
          <w:u w:val="single"/>
        </w:rPr>
        <w:t>Data Security</w:t>
      </w:r>
    </w:p>
    <w:p w14:paraId="6A5F6AD5" w14:textId="7B337313" w:rsidR="00150F66" w:rsidRPr="00692251"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Contractors are required to maintain appropriate administrative, technical</w:t>
      </w:r>
      <w:r w:rsidR="00507F47">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and physical safeguards to ensure the security and confidentiality of records. User roles and responsibilities will determine the type and content </w:t>
      </w:r>
      <w:r w:rsidR="00507F47">
        <w:rPr>
          <w:rFonts w:ascii="Times New Roman" w:hAnsi="Times New Roman" w:cs="Times New Roman"/>
          <w:color w:val="000000" w:themeColor="text1"/>
        </w:rPr>
        <w:t xml:space="preserve">of </w:t>
      </w:r>
      <w:r w:rsidRPr="00150F66">
        <w:rPr>
          <w:rFonts w:ascii="Times New Roman" w:hAnsi="Times New Roman" w:cs="Times New Roman"/>
          <w:color w:val="000000" w:themeColor="text1"/>
        </w:rPr>
        <w:t xml:space="preserve">data and information necessary for job function (both PII and non-PII). Role-based access will determine and control who will </w:t>
      </w:r>
      <w:r w:rsidR="00507F47">
        <w:rPr>
          <w:rFonts w:ascii="Times New Roman" w:hAnsi="Times New Roman" w:cs="Times New Roman"/>
          <w:color w:val="000000" w:themeColor="text1"/>
        </w:rPr>
        <w:t xml:space="preserve">have </w:t>
      </w:r>
      <w:r w:rsidRPr="00150F66">
        <w:rPr>
          <w:rFonts w:ascii="Times New Roman" w:hAnsi="Times New Roman" w:cs="Times New Roman"/>
          <w:color w:val="000000" w:themeColor="text1"/>
        </w:rPr>
        <w:t>access to PII on an as</w:t>
      </w:r>
      <w:r w:rsidR="00507F47">
        <w:rPr>
          <w:rFonts w:ascii="Times New Roman" w:hAnsi="Times New Roman" w:cs="Times New Roman"/>
          <w:color w:val="000000" w:themeColor="text1"/>
        </w:rPr>
        <w:t>-</w:t>
      </w:r>
      <w:r w:rsidRPr="00150F66">
        <w:rPr>
          <w:rFonts w:ascii="Times New Roman" w:hAnsi="Times New Roman" w:cs="Times New Roman"/>
          <w:color w:val="000000" w:themeColor="text1"/>
        </w:rPr>
        <w:t>needed basis.</w:t>
      </w:r>
      <w:r w:rsidR="00507F47">
        <w:rPr>
          <w:rFonts w:ascii="Times New Roman" w:hAnsi="Times New Roman" w:cs="Times New Roman"/>
          <w:color w:val="000000" w:themeColor="text1"/>
        </w:rPr>
        <w:t xml:space="preserve"> </w:t>
      </w:r>
      <w:r w:rsidR="00692251">
        <w:rPr>
          <w:rFonts w:ascii="Times New Roman" w:hAnsi="Times New Roman" w:cs="Times New Roman"/>
          <w:color w:val="000000" w:themeColor="text1"/>
        </w:rPr>
        <w:t xml:space="preserve"> </w:t>
      </w:r>
      <w:r w:rsidRPr="00692251">
        <w:rPr>
          <w:rFonts w:ascii="Times New Roman" w:hAnsi="Times New Roman" w:cs="Times New Roman"/>
          <w:color w:val="000000" w:themeColor="text1"/>
        </w:rPr>
        <w:t xml:space="preserve">Only personnel from </w:t>
      </w:r>
      <w:r w:rsidR="00BD3E05">
        <w:rPr>
          <w:rFonts w:ascii="Times New Roman" w:hAnsi="Times New Roman" w:cs="Times New Roman"/>
          <w:color w:val="000000" w:themeColor="text1"/>
        </w:rPr>
        <w:t>the</w:t>
      </w:r>
      <w:r w:rsidRPr="00692251">
        <w:rPr>
          <w:rFonts w:ascii="Times New Roman" w:hAnsi="Times New Roman" w:cs="Times New Roman"/>
          <w:color w:val="000000" w:themeColor="text1"/>
        </w:rPr>
        <w:t xml:space="preserve"> </w:t>
      </w:r>
      <w:r w:rsidR="00BD3E05">
        <w:rPr>
          <w:rFonts w:ascii="Times New Roman" w:hAnsi="Times New Roman" w:cs="Times New Roman"/>
          <w:color w:val="000000" w:themeColor="text1"/>
        </w:rPr>
        <w:t>sub</w:t>
      </w:r>
      <w:r w:rsidRPr="00692251">
        <w:rPr>
          <w:rFonts w:ascii="Times New Roman" w:hAnsi="Times New Roman" w:cs="Times New Roman"/>
          <w:color w:val="000000" w:themeColor="text1"/>
        </w:rPr>
        <w:t xml:space="preserve">contractor conducting the information collection will have access to </w:t>
      </w:r>
      <w:r w:rsidR="00BD3E05">
        <w:rPr>
          <w:rFonts w:ascii="Times New Roman" w:hAnsi="Times New Roman" w:cs="Times New Roman"/>
          <w:color w:val="000000" w:themeColor="text1"/>
        </w:rPr>
        <w:t>PII</w:t>
      </w:r>
      <w:r w:rsidRPr="00692251">
        <w:rPr>
          <w:rFonts w:ascii="Times New Roman" w:hAnsi="Times New Roman" w:cs="Times New Roman"/>
          <w:color w:val="000000" w:themeColor="text1"/>
        </w:rPr>
        <w:t>. 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w:t>
      </w:r>
      <w:r w:rsidR="00507F47" w:rsidRPr="00692251">
        <w:rPr>
          <w:rFonts w:ascii="Times New Roman" w:hAnsi="Times New Roman" w:cs="Times New Roman"/>
          <w:color w:val="000000" w:themeColor="text1"/>
        </w:rPr>
        <w:t>-</w:t>
      </w:r>
      <w:r w:rsidRPr="00692251">
        <w:rPr>
          <w:rFonts w:ascii="Times New Roman" w:hAnsi="Times New Roman" w:cs="Times New Roman"/>
          <w:color w:val="000000" w:themeColor="text1"/>
        </w:rPr>
        <w:t xml:space="preserve">needed </w:t>
      </w:r>
      <w:r w:rsidR="00496FF6" w:rsidRPr="00692251">
        <w:rPr>
          <w:rFonts w:ascii="Times New Roman" w:hAnsi="Times New Roman" w:cs="Times New Roman"/>
          <w:color w:val="000000" w:themeColor="text1"/>
        </w:rPr>
        <w:t>basis and</w:t>
      </w:r>
      <w:r w:rsidRPr="00692251">
        <w:rPr>
          <w:rFonts w:ascii="Times New Roman" w:hAnsi="Times New Roman" w:cs="Times New Roman"/>
          <w:color w:val="000000" w:themeColor="text1"/>
        </w:rPr>
        <w:t xml:space="preserve"> will not be linked to </w:t>
      </w:r>
      <w:r w:rsidR="00BD3E05">
        <w:rPr>
          <w:rFonts w:ascii="Times New Roman" w:hAnsi="Times New Roman" w:cs="Times New Roman"/>
          <w:color w:val="000000" w:themeColor="text1"/>
        </w:rPr>
        <w:t>study</w:t>
      </w:r>
      <w:r w:rsidRPr="00692251">
        <w:rPr>
          <w:rFonts w:ascii="Times New Roman" w:hAnsi="Times New Roman" w:cs="Times New Roman"/>
          <w:color w:val="000000" w:themeColor="text1"/>
        </w:rPr>
        <w:t xml:space="preserve"> data. All PII will be destroyed following data collection at the completion of the study.  </w:t>
      </w:r>
    </w:p>
    <w:p w14:paraId="699250CE" w14:textId="1A3B006E" w:rsid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 xml:space="preserve">Neither FDA employees nor any Federal employee of any other agency will have access to this information. </w:t>
      </w:r>
    </w:p>
    <w:p w14:paraId="648C3953" w14:textId="77777777" w:rsidR="00150F66" w:rsidRPr="00150F66" w:rsidRDefault="00150F66" w:rsidP="00B6274E">
      <w:pPr>
        <w:pStyle w:val="ListParagraph"/>
        <w:ind w:left="0"/>
        <w:rPr>
          <w:rFonts w:ascii="Times New Roman" w:hAnsi="Times New Roman" w:cs="Times New Roman"/>
          <w:color w:val="000000" w:themeColor="text1"/>
        </w:rPr>
      </w:pPr>
    </w:p>
    <w:p w14:paraId="2D32F077" w14:textId="0FB76C3F"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w:t>
      </w:r>
      <w:r w:rsidR="00507F47">
        <w:rPr>
          <w:rFonts w:ascii="Times New Roman" w:hAnsi="Times New Roman" w:cs="Times New Roman"/>
          <w:color w:val="000000" w:themeColor="text1"/>
        </w:rPr>
        <w:t>s</w:t>
      </w:r>
      <w:r w:rsidRPr="00150F66">
        <w:rPr>
          <w:rFonts w:ascii="Times New Roman" w:hAnsi="Times New Roman" w:cs="Times New Roman"/>
          <w:color w:val="000000" w:themeColor="text1"/>
        </w:rPr>
        <w:t xml:space="preserve"> of data in reports will be in aggregate form, with no links to individuals.  Reports will be used only for research purposes and for the development of communication messages.</w:t>
      </w:r>
    </w:p>
    <w:p w14:paraId="163FC1DA" w14:textId="77777777"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 xml:space="preserve">Interviews are typically considered exempt from the “Regulations for the Protection of Human Subjects” in accordance with 45 CFR 46.101(b)(3). </w:t>
      </w:r>
    </w:p>
    <w:p w14:paraId="26FC79A6" w14:textId="6DB6E193" w:rsid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Before data are collected, FDA researchers will obtain either an exemption or a full approval for all research from FDA’s Investigational Review Board (IRB), the Research Involving Human Subjects Committee.</w:t>
      </w:r>
    </w:p>
    <w:p w14:paraId="1BF8AE47" w14:textId="77777777" w:rsidR="006264D5" w:rsidRPr="00150F66" w:rsidRDefault="006264D5" w:rsidP="00B6274E">
      <w:pPr>
        <w:pStyle w:val="ListParagraph"/>
        <w:ind w:left="0"/>
        <w:rPr>
          <w:rFonts w:ascii="Times New Roman" w:hAnsi="Times New Roman" w:cs="Times New Roman"/>
          <w:color w:val="000000" w:themeColor="text1"/>
        </w:rPr>
      </w:pPr>
    </w:p>
    <w:p w14:paraId="723D69CC" w14:textId="77777777" w:rsidR="006264D5" w:rsidRPr="002E2F3D" w:rsidRDefault="006264D5" w:rsidP="00B6274E">
      <w:pPr>
        <w:pStyle w:val="ListParagraph"/>
        <w:ind w:left="0"/>
        <w:rPr>
          <w:rFonts w:ascii="Times New Roman" w:hAnsi="Times New Roman" w:cs="Times New Roman"/>
          <w:color w:val="000000" w:themeColor="text1"/>
        </w:rPr>
      </w:pPr>
      <w:r w:rsidRPr="002E2F3D">
        <w:rPr>
          <w:rFonts w:ascii="Times New Roman" w:hAnsi="Times New Roman" w:cs="Times New Roman"/>
          <w:color w:val="000000" w:themeColor="text1"/>
        </w:rPr>
        <w:t xml:space="preserve">The research team understands that the security of online transmissions is not guaranteed due to the risk of interception by third parties or the possibility of monitoring software installed on research participants’ electronic devices. All participants will be assured that the information will be used only for research purposes and will be kept private to the extent allowable by law and the technology used. The survey consent form will include information explaining this to respondents. Participants will be assured that their </w:t>
      </w:r>
      <w:r w:rsidRPr="002E2F3D">
        <w:rPr>
          <w:rFonts w:ascii="Times New Roman" w:hAnsi="Times New Roman" w:cs="Times New Roman"/>
        </w:rPr>
        <w:t>names and e</w:t>
      </w:r>
      <w:r w:rsidRPr="002E2F3D">
        <w:rPr>
          <w:rFonts w:ascii="Times New Roman" w:hAnsi="Times New Roman" w:cs="Times New Roman"/>
        </w:rPr>
        <w:noBreakHyphen/>
        <w:t xml:space="preserve">mail addresses will </w:t>
      </w:r>
      <w:r w:rsidRPr="002E2F3D">
        <w:rPr>
          <w:rFonts w:ascii="Times New Roman" w:hAnsi="Times New Roman" w:cs="Times New Roman"/>
          <w:u w:val="single"/>
        </w:rPr>
        <w:t>not</w:t>
      </w:r>
      <w:r w:rsidRPr="002E2F3D">
        <w:rPr>
          <w:rFonts w:ascii="Times New Roman" w:hAnsi="Times New Roman" w:cs="Times New Roman"/>
        </w:rPr>
        <w:t xml:space="preserve"> be shared outside of the vendor (Lightspeed), and identifying information will not be associated with any response data. </w:t>
      </w:r>
      <w:r w:rsidRPr="002E2F3D">
        <w:rPr>
          <w:rFonts w:ascii="Times New Roman" w:hAnsi="Times New Roman" w:cs="Times New Roman"/>
          <w:color w:val="000000" w:themeColor="text1"/>
        </w:rPr>
        <w:t xml:space="preserve">Participants will be told that the information obtained from all the surveys will be combined into a summary report so that details of individual questionnaires cannot be linked to a specific participant. </w:t>
      </w:r>
    </w:p>
    <w:p w14:paraId="3910B4FD" w14:textId="77777777" w:rsidR="006264D5" w:rsidRPr="00BF6EAE" w:rsidRDefault="006264D5" w:rsidP="00B6274E">
      <w:pPr>
        <w:pStyle w:val="ListParagraph"/>
        <w:ind w:left="0"/>
        <w:rPr>
          <w:rFonts w:ascii="Times New Roman" w:hAnsi="Times New Roman" w:cs="Times New Roman"/>
          <w:color w:val="000000" w:themeColor="text1"/>
        </w:rPr>
      </w:pPr>
    </w:p>
    <w:p w14:paraId="50FC2DBE" w14:textId="77777777" w:rsidR="006264D5" w:rsidRPr="00BF6EAE" w:rsidRDefault="006264D5" w:rsidP="00B6274E">
      <w:pPr>
        <w:pStyle w:val="ListParagraph"/>
        <w:ind w:left="0"/>
        <w:rPr>
          <w:rFonts w:ascii="Times New Roman" w:hAnsi="Times New Roman" w:cs="Times New Roman"/>
          <w:color w:val="000000" w:themeColor="text1"/>
        </w:rPr>
      </w:pPr>
      <w:r w:rsidRPr="00F5026F">
        <w:rPr>
          <w:rFonts w:ascii="Times New Roman" w:hAnsi="Times New Roman" w:cs="Times New Roman"/>
          <w:color w:val="000000" w:themeColor="text1"/>
        </w:rPr>
        <w:t>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or with the consent of the panel members. These standards and codes of conduct comply with those set forth by American Marketing Association, the Council of American Survey Research Organizations, and others. All Lightspeed employees and contractors are required to take yearly security awareness and ethic</w:t>
      </w:r>
      <w:r>
        <w:rPr>
          <w:rFonts w:ascii="Times New Roman" w:hAnsi="Times New Roman" w:cs="Times New Roman"/>
          <w:color w:val="000000" w:themeColor="text1"/>
        </w:rPr>
        <w:t>s</w:t>
      </w:r>
      <w:r w:rsidRPr="00F5026F">
        <w:rPr>
          <w:rFonts w:ascii="Times New Roman" w:hAnsi="Times New Roman" w:cs="Times New Roman"/>
          <w:color w:val="000000" w:themeColor="text1"/>
        </w:rPr>
        <w:t xml:space="preserve"> training, which is based on these standards</w:t>
      </w:r>
      <w:r w:rsidRPr="00BF6EAE">
        <w:rPr>
          <w:rFonts w:ascii="Times New Roman" w:hAnsi="Times New Roman" w:cs="Times New Roman"/>
          <w:color w:val="000000" w:themeColor="text1"/>
        </w:rPr>
        <w:t>.</w:t>
      </w:r>
    </w:p>
    <w:p w14:paraId="7573B813" w14:textId="77777777" w:rsidR="006264D5" w:rsidRDefault="006264D5" w:rsidP="006264D5">
      <w:pPr>
        <w:pStyle w:val="ListParagraph"/>
        <w:ind w:left="1080"/>
        <w:rPr>
          <w:rFonts w:ascii="Times New Roman" w:hAnsi="Times New Roman" w:cs="Times New Roman"/>
          <w:color w:val="000000" w:themeColor="text1"/>
        </w:rPr>
      </w:pPr>
    </w:p>
    <w:p w14:paraId="736999E0" w14:textId="77777777" w:rsidR="006264D5" w:rsidRPr="00E9464A" w:rsidRDefault="006264D5" w:rsidP="00B6274E">
      <w:pPr>
        <w:rPr>
          <w:rFonts w:ascii="Times New Roman" w:hAnsi="Times New Roman" w:cs="Times New Roman"/>
          <w:u w:val="single"/>
        </w:rPr>
      </w:pPr>
      <w:r w:rsidRPr="00E9464A">
        <w:rPr>
          <w:rFonts w:ascii="Times New Roman" w:hAnsi="Times New Roman" w:cs="Times New Roman"/>
        </w:rPr>
        <w:t>Data security provisions will involve the following:</w:t>
      </w:r>
    </w:p>
    <w:p w14:paraId="354112A6" w14:textId="77777777" w:rsidR="006264D5" w:rsidRPr="00E9464A" w:rsidRDefault="006264D5" w:rsidP="00A200CA">
      <w:pPr>
        <w:ind w:left="720" w:hanging="360"/>
        <w:rPr>
          <w:rFonts w:ascii="Times New Roman" w:hAnsi="Times New Roman" w:cs="Times New Roman"/>
        </w:rPr>
      </w:pPr>
      <w:r w:rsidRPr="00E9464A">
        <w:rPr>
          <w:rFonts w:ascii="Times New Roman" w:hAnsi="Times New Roman" w:cs="Times New Roman"/>
        </w:rPr>
        <w:t>•</w:t>
      </w:r>
      <w:r w:rsidRPr="00E9464A">
        <w:rPr>
          <w:rFonts w:ascii="Times New Roman" w:hAnsi="Times New Roman" w:cs="Times New Roman"/>
        </w:rPr>
        <w:tab/>
        <w:t>All data collection activities will be conducted in full compliance with FDA regulations to maintain the privacy of data obtained from participants and to protect the rights and welfare of human research participants as contained in their regulations. Participants will receive information about privacy protections as part of the informed consent process.</w:t>
      </w:r>
    </w:p>
    <w:p w14:paraId="1C752FEA" w14:textId="77777777" w:rsidR="006264D5" w:rsidRPr="00E9464A" w:rsidRDefault="006264D5" w:rsidP="00A200CA">
      <w:pPr>
        <w:ind w:left="720" w:hanging="360"/>
        <w:rPr>
          <w:rFonts w:ascii="Times New Roman" w:hAnsi="Times New Roman" w:cs="Times New Roman"/>
        </w:rPr>
      </w:pPr>
      <w:r w:rsidRPr="00E9464A">
        <w:rPr>
          <w:rFonts w:ascii="Times New Roman" w:hAnsi="Times New Roman" w:cs="Times New Roman"/>
        </w:rPr>
        <w:t>•</w:t>
      </w:r>
      <w:r w:rsidRPr="00E9464A">
        <w:rPr>
          <w:rFonts w:ascii="Times New Roman" w:hAnsi="Times New Roman" w:cs="Times New Roman"/>
        </w:rPr>
        <w:tab/>
        <w:t>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70914E37" w14:textId="08C1561F" w:rsidR="00B6274E" w:rsidRDefault="006264D5" w:rsidP="00A200CA">
      <w:pPr>
        <w:ind w:left="720" w:hanging="360"/>
        <w:rPr>
          <w:rFonts w:ascii="Times New Roman" w:hAnsi="Times New Roman" w:cs="Times New Roman"/>
        </w:rPr>
      </w:pPr>
      <w:r w:rsidRPr="00E9464A">
        <w:rPr>
          <w:rFonts w:ascii="Times New Roman" w:hAnsi="Times New Roman" w:cs="Times New Roman"/>
        </w:rPr>
        <w:t>•</w:t>
      </w:r>
      <w:r w:rsidRPr="00E9464A">
        <w:rPr>
          <w:rFonts w:ascii="Times New Roman" w:hAnsi="Times New Roman" w:cs="Times New Roman"/>
        </w:rPr>
        <w:tab/>
        <w:t>Participants will be given a unique alphanumeric variable and will log onto Lightspeed’s secure server using a link provided by Lightspeed, with the result that no information about the respondent’s identity will be downloaded to or</w:t>
      </w:r>
      <w:r w:rsidR="00B6274E">
        <w:rPr>
          <w:rFonts w:ascii="Times New Roman" w:hAnsi="Times New Roman" w:cs="Times New Roman"/>
        </w:rPr>
        <w:t xml:space="preserve"> </w:t>
      </w:r>
      <w:r w:rsidRPr="00E9464A">
        <w:rPr>
          <w:rFonts w:ascii="Times New Roman" w:hAnsi="Times New Roman" w:cs="Times New Roman"/>
        </w:rPr>
        <w:t>housed on RTI’s server.</w:t>
      </w:r>
    </w:p>
    <w:p w14:paraId="038DB073" w14:textId="7F6DE095" w:rsidR="006264D5" w:rsidRPr="00B6274E" w:rsidRDefault="00B6274E" w:rsidP="00A200CA">
      <w:pPr>
        <w:ind w:left="720" w:hanging="360"/>
        <w:rPr>
          <w:rFonts w:ascii="Times New Roman" w:hAnsi="Times New Roman" w:cs="Times New Roman"/>
        </w:rPr>
      </w:pPr>
      <w:r w:rsidRPr="00E9464A">
        <w:rPr>
          <w:rFonts w:ascii="Times New Roman" w:hAnsi="Times New Roman" w:cs="Times New Roman"/>
        </w:rPr>
        <w:t>•</w:t>
      </w:r>
      <w:r w:rsidRPr="00E9464A">
        <w:rPr>
          <w:rFonts w:ascii="Times New Roman" w:hAnsi="Times New Roman" w:cs="Times New Roman"/>
        </w:rPr>
        <w:tab/>
      </w:r>
      <w:r w:rsidR="006264D5" w:rsidRPr="00B6274E">
        <w:rPr>
          <w:rFonts w:ascii="Times New Roman" w:hAnsi="Times New Roman" w:cs="Times New Roman"/>
        </w:rPr>
        <w:t>All participants will be assured that the information they provide will be maintained in a secure manner and will be used only for the purpose of this research. Participants will be assured that their answers will not be shared with family members and that their names will not be reported with responses provided. Participants will be told that the information obtained from all of the surveys will be combined into a summary report so that details of individual questionnaires cannot be linked to a specific participant.</w:t>
      </w:r>
    </w:p>
    <w:p w14:paraId="7F71907B" w14:textId="77777777" w:rsidR="00150F66" w:rsidRPr="00150F66" w:rsidRDefault="00150F66" w:rsidP="00150F66">
      <w:pPr>
        <w:pStyle w:val="ListParagraph"/>
        <w:ind w:left="1080"/>
        <w:rPr>
          <w:rFonts w:ascii="Times New Roman" w:hAnsi="Times New Roman" w:cs="Times New Roman"/>
          <w:color w:val="000000" w:themeColor="text1"/>
        </w:rPr>
      </w:pPr>
    </w:p>
    <w:p w14:paraId="1C34BE70" w14:textId="3272BD27" w:rsidR="00150F66" w:rsidRPr="00150F66" w:rsidRDefault="00150F66" w:rsidP="00B6274E">
      <w:pPr>
        <w:pStyle w:val="ListParagraph"/>
        <w:ind w:left="0"/>
        <w:rPr>
          <w:rFonts w:ascii="Times New Roman" w:hAnsi="Times New Roman" w:cs="Times New Roman"/>
          <w:color w:val="000000" w:themeColor="text1"/>
        </w:rPr>
      </w:pPr>
      <w:r w:rsidRPr="00150F66">
        <w:rPr>
          <w:rFonts w:ascii="Times New Roman" w:hAnsi="Times New Roman" w:cs="Times New Roman"/>
          <w:color w:val="000000" w:themeColor="text1"/>
        </w:rPr>
        <w:t>Administrative safeguards include user training; system documentation that advises on proper use; implementation of Need to Know and Minimum Necessary principles when awarding access</w:t>
      </w:r>
      <w:r w:rsidR="00996D1C">
        <w:rPr>
          <w:rFonts w:ascii="Times New Roman" w:hAnsi="Times New Roman" w:cs="Times New Roman"/>
          <w:color w:val="000000" w:themeColor="text1"/>
        </w:rPr>
        <w:t>;</w:t>
      </w:r>
      <w:r w:rsidRPr="00150F66">
        <w:rPr>
          <w:rFonts w:ascii="Times New Roman" w:hAnsi="Times New Roman" w:cs="Times New Roman"/>
          <w:color w:val="000000" w:themeColor="text1"/>
        </w:rPr>
        <w:t xml:space="preserve">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and Technology’s (NIST’s) Special Publication 800-53, as determined using Federal Information Processing Standard (FIPS) 199.</w:t>
      </w:r>
    </w:p>
    <w:p w14:paraId="5842791C" w14:textId="396F2383" w:rsidR="00991AEF" w:rsidRPr="00BF6EAE" w:rsidRDefault="00991AEF" w:rsidP="00EA6D51">
      <w:pPr>
        <w:rPr>
          <w:rFonts w:ascii="Times New Roman" w:hAnsi="Times New Roman" w:cs="Times New Roman"/>
          <w:color w:val="000000" w:themeColor="text1"/>
        </w:rPr>
      </w:pPr>
    </w:p>
    <w:p w14:paraId="7F90D24A" w14:textId="77777777" w:rsidR="00804782" w:rsidRPr="00BF6EAE" w:rsidRDefault="00804782" w:rsidP="00EA6D51">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Justification for Sensitive Questions</w:t>
      </w:r>
    </w:p>
    <w:p w14:paraId="655A9531" w14:textId="77777777" w:rsidR="0059662F" w:rsidRPr="00BF6EAE" w:rsidRDefault="0059662F" w:rsidP="00CE1475">
      <w:pPr>
        <w:ind w:left="1080"/>
        <w:rPr>
          <w:rFonts w:ascii="Times New Roman" w:hAnsi="Times New Roman" w:cs="Times New Roman"/>
          <w:color w:val="000000" w:themeColor="text1"/>
        </w:rPr>
      </w:pPr>
    </w:p>
    <w:p w14:paraId="039A1B2F" w14:textId="106FF7D0" w:rsidR="006659A1" w:rsidRPr="00BF6EAE" w:rsidRDefault="0001133F"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The majority of questions asked will not be sensitive </w:t>
      </w:r>
      <w:r w:rsidR="00283D92" w:rsidRPr="00BF6EAE">
        <w:rPr>
          <w:rFonts w:ascii="Times New Roman" w:hAnsi="Times New Roman" w:cs="Times New Roman"/>
          <w:color w:val="000000" w:themeColor="text1"/>
        </w:rPr>
        <w:t xml:space="preserve">in </w:t>
      </w:r>
      <w:r w:rsidRPr="00BF6EAE">
        <w:rPr>
          <w:rFonts w:ascii="Times New Roman" w:hAnsi="Times New Roman" w:cs="Times New Roman"/>
          <w:color w:val="000000" w:themeColor="text1"/>
        </w:rPr>
        <w:t xml:space="preserve">nature. There will be no requests for a respondent’s Social Security Number (SSN). However, it will be necessary to ask some questions that may be considered to be sensitive </w:t>
      </w:r>
      <w:r w:rsidR="00715F00" w:rsidRPr="00BF6EAE">
        <w:rPr>
          <w:rFonts w:ascii="Times New Roman" w:hAnsi="Times New Roman" w:cs="Times New Roman"/>
          <w:color w:val="000000" w:themeColor="text1"/>
        </w:rPr>
        <w:t xml:space="preserve">in </w:t>
      </w:r>
      <w:r w:rsidRPr="00BF6EAE">
        <w:rPr>
          <w:rFonts w:ascii="Times New Roman" w:hAnsi="Times New Roman" w:cs="Times New Roman"/>
          <w:color w:val="000000" w:themeColor="text1"/>
        </w:rPr>
        <w:t xml:space="preserve">nature in order to assess specific health behaviors, </w:t>
      </w:r>
      <w:r w:rsidR="005B3A44" w:rsidRPr="00BF6EAE">
        <w:rPr>
          <w:rFonts w:ascii="Times New Roman" w:hAnsi="Times New Roman" w:cs="Times New Roman"/>
          <w:color w:val="000000" w:themeColor="text1"/>
        </w:rPr>
        <w:t xml:space="preserve">specifically </w:t>
      </w:r>
      <w:r w:rsidR="005B3A44" w:rsidRPr="00792584">
        <w:rPr>
          <w:rFonts w:ascii="Times New Roman" w:hAnsi="Times New Roman" w:cs="Times New Roman"/>
          <w:color w:val="000000" w:themeColor="text1"/>
        </w:rPr>
        <w:t>questions about tobacco use</w:t>
      </w:r>
      <w:r w:rsidRPr="00792584">
        <w:rPr>
          <w:rFonts w:ascii="Times New Roman" w:hAnsi="Times New Roman" w:cs="Times New Roman"/>
          <w:color w:val="000000" w:themeColor="text1"/>
        </w:rPr>
        <w:t xml:space="preserve">. </w:t>
      </w:r>
      <w:r w:rsidR="00CE16AD" w:rsidRPr="00792584">
        <w:rPr>
          <w:rFonts w:ascii="Times New Roman" w:hAnsi="Times New Roman" w:cs="Times New Roman"/>
          <w:color w:val="000000" w:themeColor="text1"/>
        </w:rPr>
        <w:t xml:space="preserve">While </w:t>
      </w:r>
      <w:r w:rsidR="005B3A44" w:rsidRPr="00792584">
        <w:rPr>
          <w:rFonts w:ascii="Times New Roman" w:hAnsi="Times New Roman" w:cs="Times New Roman"/>
          <w:color w:val="000000" w:themeColor="text1"/>
        </w:rPr>
        <w:t>tobacco use may be a sensitive topic</w:t>
      </w:r>
      <w:r w:rsidR="00CE16AD" w:rsidRPr="00792584">
        <w:rPr>
          <w:rFonts w:ascii="Times New Roman" w:hAnsi="Times New Roman" w:cs="Times New Roman"/>
          <w:color w:val="000000" w:themeColor="text1"/>
        </w:rPr>
        <w:t xml:space="preserve">, it is important to ask respondents </w:t>
      </w:r>
      <w:r w:rsidR="005B3A44" w:rsidRPr="00792584">
        <w:rPr>
          <w:rFonts w:ascii="Times New Roman" w:hAnsi="Times New Roman" w:cs="Times New Roman"/>
          <w:color w:val="000000" w:themeColor="text1"/>
        </w:rPr>
        <w:t xml:space="preserve">about their tobacco use because these questions determine participants’ eligibility for the study and </w:t>
      </w:r>
      <w:r w:rsidR="00AA122D">
        <w:rPr>
          <w:rFonts w:ascii="Times New Roman" w:hAnsi="Times New Roman" w:cs="Times New Roman"/>
          <w:color w:val="000000" w:themeColor="text1"/>
        </w:rPr>
        <w:t>assignment to study</w:t>
      </w:r>
      <w:r w:rsidR="00AA122D" w:rsidRPr="00792584">
        <w:rPr>
          <w:rFonts w:ascii="Times New Roman" w:hAnsi="Times New Roman" w:cs="Times New Roman"/>
          <w:color w:val="000000" w:themeColor="text1"/>
        </w:rPr>
        <w:t xml:space="preserve"> </w:t>
      </w:r>
      <w:r w:rsidR="005B3A44" w:rsidRPr="00792584">
        <w:rPr>
          <w:rFonts w:ascii="Times New Roman" w:hAnsi="Times New Roman" w:cs="Times New Roman"/>
          <w:color w:val="000000" w:themeColor="text1"/>
        </w:rPr>
        <w:t>conditions (e.g., e-cigarette</w:t>
      </w:r>
      <w:r w:rsidR="006D5A91" w:rsidRPr="00792584">
        <w:rPr>
          <w:rFonts w:ascii="Times New Roman" w:hAnsi="Times New Roman" w:cs="Times New Roman"/>
          <w:color w:val="000000" w:themeColor="text1"/>
        </w:rPr>
        <w:t xml:space="preserve"> or</w:t>
      </w:r>
      <w:r w:rsidR="00B560C0">
        <w:rPr>
          <w:rFonts w:ascii="Times New Roman" w:hAnsi="Times New Roman" w:cs="Times New Roman"/>
          <w:color w:val="000000" w:themeColor="text1"/>
        </w:rPr>
        <w:t xml:space="preserve"> </w:t>
      </w:r>
      <w:r w:rsidR="000C4D17" w:rsidRPr="00792584">
        <w:rPr>
          <w:rFonts w:ascii="Times New Roman" w:hAnsi="Times New Roman" w:cs="Times New Roman"/>
          <w:color w:val="000000" w:themeColor="text1"/>
        </w:rPr>
        <w:t>snuff</w:t>
      </w:r>
      <w:r w:rsidR="00AA122D">
        <w:rPr>
          <w:rFonts w:ascii="Times New Roman" w:hAnsi="Times New Roman" w:cs="Times New Roman"/>
          <w:color w:val="000000" w:themeColor="text1"/>
        </w:rPr>
        <w:t xml:space="preserve"> stimuli</w:t>
      </w:r>
      <w:r w:rsidR="000C4D17" w:rsidRPr="00792584">
        <w:rPr>
          <w:rFonts w:ascii="Times New Roman" w:hAnsi="Times New Roman" w:cs="Times New Roman"/>
          <w:color w:val="000000" w:themeColor="text1"/>
        </w:rPr>
        <w:t>)</w:t>
      </w:r>
      <w:r w:rsidR="00CE16AD" w:rsidRPr="00792584">
        <w:rPr>
          <w:rFonts w:ascii="Times New Roman" w:hAnsi="Times New Roman" w:cs="Times New Roman"/>
          <w:color w:val="000000" w:themeColor="text1"/>
        </w:rPr>
        <w:t xml:space="preserve">. </w:t>
      </w:r>
      <w:r w:rsidRPr="00792584">
        <w:rPr>
          <w:rFonts w:ascii="Times New Roman" w:hAnsi="Times New Roman" w:cs="Times New Roman"/>
          <w:color w:val="000000" w:themeColor="text1"/>
        </w:rPr>
        <w:t>Questions</w:t>
      </w:r>
      <w:r w:rsidRPr="00BF6EAE">
        <w:rPr>
          <w:rFonts w:ascii="Times New Roman" w:hAnsi="Times New Roman" w:cs="Times New Roman"/>
          <w:color w:val="000000" w:themeColor="text1"/>
        </w:rPr>
        <w:t xml:space="preserve"> about </w:t>
      </w:r>
      <w:r w:rsidR="00AA122D">
        <w:rPr>
          <w:rFonts w:ascii="Times New Roman" w:hAnsi="Times New Roman" w:cs="Times New Roman"/>
          <w:color w:val="000000" w:themeColor="text1"/>
        </w:rPr>
        <w:t>behavior</w:t>
      </w:r>
      <w:r w:rsidRPr="00BF6EAE">
        <w:rPr>
          <w:rFonts w:ascii="Times New Roman" w:hAnsi="Times New Roman" w:cs="Times New Roman"/>
          <w:color w:val="000000" w:themeColor="text1"/>
        </w:rPr>
        <w:t xml:space="preserve"> (e.g., smoking, attempts to quit smoking) and demographic information </w:t>
      </w:r>
      <w:r w:rsidR="00AA122D">
        <w:rPr>
          <w:rFonts w:ascii="Times New Roman" w:hAnsi="Times New Roman" w:cs="Times New Roman"/>
          <w:color w:val="000000" w:themeColor="text1"/>
        </w:rPr>
        <w:t xml:space="preserve">(e.g., </w:t>
      </w:r>
      <w:r w:rsidRPr="00BF6EAE">
        <w:rPr>
          <w:rFonts w:ascii="Times New Roman" w:hAnsi="Times New Roman" w:cs="Times New Roman"/>
          <w:color w:val="000000" w:themeColor="text1"/>
        </w:rPr>
        <w:t>race, income</w:t>
      </w:r>
      <w:r w:rsidR="00AA122D">
        <w:rPr>
          <w:rFonts w:ascii="Times New Roman" w:hAnsi="Times New Roman" w:cs="Times New Roman"/>
          <w:color w:val="000000" w:themeColor="text1"/>
        </w:rPr>
        <w:t>)</w:t>
      </w:r>
      <w:r w:rsidRPr="00BF6EAE">
        <w:rPr>
          <w:rFonts w:ascii="Times New Roman" w:hAnsi="Times New Roman" w:cs="Times New Roman"/>
          <w:color w:val="000000" w:themeColor="text1"/>
        </w:rPr>
        <w:t xml:space="preserve"> could be considered sensitive but </w:t>
      </w:r>
      <w:r w:rsidR="00AA122D">
        <w:rPr>
          <w:rFonts w:ascii="Times New Roman" w:hAnsi="Times New Roman" w:cs="Times New Roman"/>
          <w:color w:val="000000" w:themeColor="text1"/>
        </w:rPr>
        <w:t xml:space="preserve">are </w:t>
      </w:r>
      <w:r w:rsidRPr="00BF6EAE">
        <w:rPr>
          <w:rFonts w:ascii="Times New Roman" w:hAnsi="Times New Roman" w:cs="Times New Roman"/>
          <w:color w:val="000000" w:themeColor="text1"/>
        </w:rPr>
        <w:t xml:space="preserve">not highly sensitive. </w:t>
      </w:r>
      <w:r w:rsidR="00DC056C">
        <w:rPr>
          <w:rFonts w:ascii="Times New Roman" w:hAnsi="Times New Roman" w:cs="Times New Roman"/>
          <w:color w:val="000000" w:themeColor="text1"/>
        </w:rPr>
        <w:t xml:space="preserve">The Screener is </w:t>
      </w:r>
      <w:r w:rsidR="00DC056C" w:rsidRPr="00DC056C">
        <w:rPr>
          <w:rFonts w:ascii="Times New Roman" w:hAnsi="Times New Roman" w:cs="Times New Roman"/>
          <w:b/>
          <w:color w:val="000000" w:themeColor="text1"/>
        </w:rPr>
        <w:t xml:space="preserve">Attachment </w:t>
      </w:r>
      <w:r w:rsidR="00F61782">
        <w:rPr>
          <w:rFonts w:ascii="Times New Roman" w:hAnsi="Times New Roman" w:cs="Times New Roman"/>
          <w:b/>
          <w:color w:val="000000" w:themeColor="text1"/>
        </w:rPr>
        <w:t>4</w:t>
      </w:r>
      <w:r w:rsidR="00DC056C">
        <w:rPr>
          <w:rFonts w:ascii="Times New Roman" w:hAnsi="Times New Roman" w:cs="Times New Roman"/>
          <w:color w:val="000000" w:themeColor="text1"/>
        </w:rPr>
        <w:t xml:space="preserve"> and the Questionnaire is </w:t>
      </w:r>
      <w:r w:rsidR="00DC056C" w:rsidRPr="00DC056C">
        <w:rPr>
          <w:rFonts w:ascii="Times New Roman" w:hAnsi="Times New Roman" w:cs="Times New Roman"/>
          <w:b/>
          <w:color w:val="000000" w:themeColor="text1"/>
        </w:rPr>
        <w:t xml:space="preserve">Attachment </w:t>
      </w:r>
      <w:r w:rsidR="00F61782">
        <w:rPr>
          <w:rFonts w:ascii="Times New Roman" w:hAnsi="Times New Roman" w:cs="Times New Roman"/>
          <w:b/>
          <w:color w:val="000000" w:themeColor="text1"/>
        </w:rPr>
        <w:t>6</w:t>
      </w:r>
      <w:r w:rsidR="00DC056C">
        <w:rPr>
          <w:rFonts w:ascii="Times New Roman" w:hAnsi="Times New Roman" w:cs="Times New Roman"/>
          <w:color w:val="000000" w:themeColor="text1"/>
        </w:rPr>
        <w:t xml:space="preserve">. </w:t>
      </w:r>
    </w:p>
    <w:p w14:paraId="4AF68E71" w14:textId="77777777" w:rsidR="006659A1" w:rsidRPr="00BF6EAE" w:rsidRDefault="006659A1" w:rsidP="00B6274E">
      <w:pPr>
        <w:rPr>
          <w:rFonts w:ascii="Times New Roman" w:hAnsi="Times New Roman" w:cs="Times New Roman"/>
          <w:color w:val="000000" w:themeColor="text1"/>
        </w:rPr>
      </w:pPr>
    </w:p>
    <w:p w14:paraId="15AEC30D" w14:textId="49EAB646" w:rsidR="006659A1" w:rsidRPr="00BF6EAE" w:rsidRDefault="006659A1"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If a respondent does not take precautions to keep his or her answers confidential when </w:t>
      </w:r>
      <w:r w:rsidRPr="00792584">
        <w:rPr>
          <w:rFonts w:ascii="Times New Roman" w:hAnsi="Times New Roman" w:cs="Times New Roman"/>
          <w:color w:val="000000" w:themeColor="text1"/>
        </w:rPr>
        <w:t>completing the survey, it is possible that someone else in the household or other space within viewing distance of the respondent’s computer could view the respondent’s answers on the computer while the survey is in progress (e.g.,</w:t>
      </w:r>
      <w:r w:rsidR="00AA122D">
        <w:rPr>
          <w:rFonts w:ascii="Times New Roman" w:hAnsi="Times New Roman" w:cs="Times New Roman"/>
          <w:color w:val="000000" w:themeColor="text1"/>
        </w:rPr>
        <w:t xml:space="preserve"> if</w:t>
      </w:r>
      <w:r w:rsidRPr="00792584">
        <w:rPr>
          <w:rFonts w:ascii="Times New Roman" w:hAnsi="Times New Roman" w:cs="Times New Roman"/>
          <w:color w:val="000000" w:themeColor="text1"/>
        </w:rPr>
        <w:t xml:space="preserve"> the participant walks away from the computer while completing</w:t>
      </w:r>
      <w:r w:rsidRPr="00BF6EAE">
        <w:rPr>
          <w:rFonts w:ascii="Times New Roman" w:hAnsi="Times New Roman" w:cs="Times New Roman"/>
          <w:color w:val="000000" w:themeColor="text1"/>
        </w:rPr>
        <w:t xml:space="preserve"> the survey), which may make some participants feel uncomfortable. </w:t>
      </w:r>
      <w:r w:rsidR="00AA122D">
        <w:rPr>
          <w:rFonts w:ascii="Times New Roman" w:hAnsi="Times New Roman" w:cs="Times New Roman"/>
          <w:color w:val="000000" w:themeColor="text1"/>
        </w:rPr>
        <w:t>T</w:t>
      </w:r>
      <w:r w:rsidRPr="00B560C0">
        <w:rPr>
          <w:rFonts w:ascii="Times New Roman" w:hAnsi="Times New Roman" w:cs="Times New Roman"/>
          <w:color w:val="000000" w:themeColor="text1"/>
        </w:rPr>
        <w:t xml:space="preserve">he consent form </w:t>
      </w:r>
      <w:r w:rsidR="00AA122D">
        <w:rPr>
          <w:rFonts w:ascii="Times New Roman" w:hAnsi="Times New Roman" w:cs="Times New Roman"/>
          <w:color w:val="000000" w:themeColor="text1"/>
        </w:rPr>
        <w:t>informs potential participants of this possibility</w:t>
      </w:r>
      <w:r w:rsidRPr="00BF6EAE">
        <w:rPr>
          <w:rFonts w:ascii="Times New Roman" w:hAnsi="Times New Roman" w:cs="Times New Roman"/>
          <w:color w:val="000000" w:themeColor="text1"/>
        </w:rPr>
        <w:t>.</w:t>
      </w:r>
    </w:p>
    <w:p w14:paraId="7751AEC1" w14:textId="77777777" w:rsidR="006659A1" w:rsidRPr="00BF6EAE" w:rsidRDefault="006659A1" w:rsidP="00B6274E">
      <w:pPr>
        <w:rPr>
          <w:rFonts w:ascii="Times New Roman" w:hAnsi="Times New Roman" w:cs="Times New Roman"/>
          <w:color w:val="000000" w:themeColor="text1"/>
        </w:rPr>
      </w:pPr>
    </w:p>
    <w:p w14:paraId="71E05671" w14:textId="40FBCBC4" w:rsidR="0001133F" w:rsidRPr="00BF6EAE" w:rsidRDefault="0001133F"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To address</w:t>
      </w:r>
      <w:r w:rsidR="006659A1" w:rsidRPr="00BF6EAE">
        <w:rPr>
          <w:rFonts w:ascii="Times New Roman" w:hAnsi="Times New Roman" w:cs="Times New Roman"/>
          <w:color w:val="000000" w:themeColor="text1"/>
        </w:rPr>
        <w:t xml:space="preserve"> other </w:t>
      </w:r>
      <w:r w:rsidRPr="00BF6EAE">
        <w:rPr>
          <w:rFonts w:ascii="Times New Roman" w:hAnsi="Times New Roman" w:cs="Times New Roman"/>
          <w:color w:val="000000" w:themeColor="text1"/>
        </w:rPr>
        <w:t xml:space="preserve">concerns about inadvertent disclosure of sensitive information, </w:t>
      </w:r>
      <w:r w:rsidR="00874FD5">
        <w:rPr>
          <w:rFonts w:ascii="Times New Roman" w:hAnsi="Times New Roman" w:cs="Times New Roman"/>
          <w:color w:val="000000" w:themeColor="text1"/>
        </w:rPr>
        <w:t>potential participants</w:t>
      </w:r>
      <w:r w:rsidR="00874FD5" w:rsidRPr="00BF6EAE">
        <w:rPr>
          <w:rFonts w:ascii="Times New Roman" w:hAnsi="Times New Roman" w:cs="Times New Roman"/>
          <w:color w:val="000000" w:themeColor="text1"/>
        </w:rPr>
        <w:t xml:space="preserve"> </w:t>
      </w:r>
      <w:r w:rsidRPr="00BF6EAE">
        <w:rPr>
          <w:rFonts w:ascii="Times New Roman" w:hAnsi="Times New Roman" w:cs="Times New Roman"/>
          <w:color w:val="000000" w:themeColor="text1"/>
        </w:rPr>
        <w:t xml:space="preserve">will be fully informed of the applicable privacy safeguards. This study includes a number of procedures and methodological characteristics </w:t>
      </w:r>
      <w:r w:rsidR="00AE779B">
        <w:rPr>
          <w:rFonts w:ascii="Times New Roman" w:hAnsi="Times New Roman" w:cs="Times New Roman"/>
          <w:color w:val="000000" w:themeColor="text1"/>
        </w:rPr>
        <w:t>designed to</w:t>
      </w:r>
      <w:r w:rsidRPr="00BF6EAE">
        <w:rPr>
          <w:rFonts w:ascii="Times New Roman" w:hAnsi="Times New Roman" w:cs="Times New Roman"/>
          <w:color w:val="000000" w:themeColor="text1"/>
        </w:rPr>
        <w:t xml:space="preserve"> minimize potential negative reactions to these types of questions, including the following:</w:t>
      </w:r>
    </w:p>
    <w:p w14:paraId="46612D1A" w14:textId="77777777" w:rsidR="0001133F" w:rsidRPr="00BF6EAE" w:rsidRDefault="0001133F" w:rsidP="0059662F">
      <w:pPr>
        <w:ind w:left="1080"/>
        <w:rPr>
          <w:rFonts w:ascii="Times New Roman" w:hAnsi="Times New Roman" w:cs="Times New Roman"/>
          <w:color w:val="000000" w:themeColor="text1"/>
        </w:rPr>
      </w:pPr>
    </w:p>
    <w:p w14:paraId="190C289F" w14:textId="1AE5CCC5" w:rsidR="0001133F" w:rsidRPr="00BF6EAE" w:rsidRDefault="00874FD5" w:rsidP="00A200CA">
      <w:pPr>
        <w:numPr>
          <w:ilvl w:val="1"/>
          <w:numId w:val="3"/>
        </w:numPr>
        <w:ind w:left="720" w:hanging="360"/>
        <w:rPr>
          <w:rFonts w:ascii="Times New Roman" w:hAnsi="Times New Roman" w:cs="Times New Roman"/>
          <w:color w:val="000000" w:themeColor="text1"/>
        </w:rPr>
      </w:pPr>
      <w:r>
        <w:rPr>
          <w:rFonts w:ascii="Times New Roman" w:hAnsi="Times New Roman" w:cs="Times New Roman"/>
          <w:color w:val="000000" w:themeColor="text1"/>
        </w:rPr>
        <w:t>Participants</w:t>
      </w:r>
      <w:r w:rsidRPr="00BF6EAE">
        <w:rPr>
          <w:rFonts w:ascii="Times New Roman" w:hAnsi="Times New Roman" w:cs="Times New Roman"/>
          <w:color w:val="000000" w:themeColor="text1"/>
        </w:rPr>
        <w:t xml:space="preserve"> </w:t>
      </w:r>
      <w:r w:rsidR="0001133F" w:rsidRPr="00BF6EAE">
        <w:rPr>
          <w:rFonts w:ascii="Times New Roman" w:hAnsi="Times New Roman" w:cs="Times New Roman"/>
          <w:color w:val="000000" w:themeColor="text1"/>
        </w:rPr>
        <w:t>will be informed that they need not answer any question that makes them feel uncomfortable or that they do not wish to answer.</w:t>
      </w:r>
    </w:p>
    <w:p w14:paraId="027F1E01" w14:textId="77777777" w:rsidR="0001133F" w:rsidRPr="00BF6EAE" w:rsidRDefault="0001133F" w:rsidP="00A200CA">
      <w:pPr>
        <w:numPr>
          <w:ilvl w:val="1"/>
          <w:numId w:val="3"/>
        </w:numPr>
        <w:ind w:left="720" w:hanging="360"/>
        <w:rPr>
          <w:rFonts w:ascii="Times New Roman" w:hAnsi="Times New Roman" w:cs="Times New Roman"/>
          <w:color w:val="000000" w:themeColor="text1"/>
        </w:rPr>
      </w:pPr>
      <w:r w:rsidRPr="00BF6EAE">
        <w:rPr>
          <w:rFonts w:ascii="Times New Roman" w:hAnsi="Times New Roman" w:cs="Times New Roman"/>
          <w:color w:val="000000" w:themeColor="text1"/>
        </w:rPr>
        <w:t>Web surveys are entirely self-administered and maximize respondent privacy without the need to verbalize responses.</w:t>
      </w:r>
    </w:p>
    <w:p w14:paraId="61AEAF5A" w14:textId="5E16BAF5" w:rsidR="0001133F" w:rsidRPr="00BF6EAE" w:rsidRDefault="006F6FAF" w:rsidP="00A200CA">
      <w:pPr>
        <w:numPr>
          <w:ilvl w:val="1"/>
          <w:numId w:val="3"/>
        </w:numPr>
        <w:ind w:left="720" w:hanging="360"/>
        <w:rPr>
          <w:rFonts w:ascii="Times New Roman" w:hAnsi="Times New Roman" w:cs="Times New Roman"/>
          <w:color w:val="000000" w:themeColor="text1"/>
        </w:rPr>
      </w:pPr>
      <w:r>
        <w:rPr>
          <w:rFonts w:ascii="Times New Roman" w:hAnsi="Times New Roman" w:cs="Times New Roman"/>
          <w:color w:val="000000" w:themeColor="text1"/>
        </w:rPr>
        <w:t>In the Informed Consent, p</w:t>
      </w:r>
      <w:r w:rsidR="0001133F" w:rsidRPr="00BF6EAE">
        <w:rPr>
          <w:rFonts w:ascii="Times New Roman" w:hAnsi="Times New Roman" w:cs="Times New Roman"/>
          <w:color w:val="000000" w:themeColor="text1"/>
        </w:rPr>
        <w:t>articipants will be provided with a toll-free phone number (linking directly to the RTI IRB Office) to call i</w:t>
      </w:r>
      <w:r w:rsidR="00874FD5">
        <w:rPr>
          <w:rFonts w:ascii="Times New Roman" w:hAnsi="Times New Roman" w:cs="Times New Roman"/>
          <w:color w:val="000000" w:themeColor="text1"/>
        </w:rPr>
        <w:t>f</w:t>
      </w:r>
      <w:r w:rsidR="0001133F" w:rsidRPr="00BF6EAE">
        <w:rPr>
          <w:rFonts w:ascii="Times New Roman" w:hAnsi="Times New Roman" w:cs="Times New Roman"/>
          <w:color w:val="000000" w:themeColor="text1"/>
        </w:rPr>
        <w:t xml:space="preserve"> they have a question or concern about the sensitive issue.</w:t>
      </w:r>
      <w:r>
        <w:rPr>
          <w:rFonts w:ascii="Times New Roman" w:hAnsi="Times New Roman" w:cs="Times New Roman"/>
          <w:color w:val="000000" w:themeColor="text1"/>
        </w:rPr>
        <w:t xml:space="preserve"> In the debriefing at the end of the survey, participants will be provided with a phone number and an email address through which they can contact FDA’s Research Involving Human Subjects Committee. </w:t>
      </w:r>
    </w:p>
    <w:p w14:paraId="058A093C" w14:textId="77777777" w:rsidR="0001133F" w:rsidRPr="00BF6EAE" w:rsidRDefault="0001133F" w:rsidP="00D13886">
      <w:pPr>
        <w:ind w:left="1080"/>
        <w:rPr>
          <w:rFonts w:ascii="Times New Roman" w:hAnsi="Times New Roman" w:cs="Times New Roman"/>
          <w:color w:val="000000" w:themeColor="text1"/>
        </w:rPr>
      </w:pPr>
    </w:p>
    <w:p w14:paraId="1B90FEBE" w14:textId="77777777" w:rsidR="0001133F" w:rsidRPr="00BF6EAE" w:rsidRDefault="0001133F"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Finally, as with all information collected, these data will be presented with all identifiers removed.</w:t>
      </w:r>
    </w:p>
    <w:p w14:paraId="24897E7D" w14:textId="77777777" w:rsidR="0001133F" w:rsidRPr="00BF6EAE" w:rsidRDefault="0001133F" w:rsidP="00CE1475">
      <w:pPr>
        <w:ind w:left="1080"/>
        <w:rPr>
          <w:rFonts w:ascii="Times New Roman" w:hAnsi="Times New Roman" w:cs="Times New Roman"/>
          <w:color w:val="000000" w:themeColor="text1"/>
        </w:rPr>
      </w:pPr>
    </w:p>
    <w:p w14:paraId="49C6557B" w14:textId="77777777" w:rsidR="00804782" w:rsidRPr="00BF6EAE" w:rsidRDefault="00804782" w:rsidP="00B4619C">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Estimates of Annualized Burden Hours and Costs</w:t>
      </w:r>
    </w:p>
    <w:p w14:paraId="577F6C33" w14:textId="77777777" w:rsidR="00B4619C" w:rsidRPr="00BF6EAE" w:rsidRDefault="00B4619C" w:rsidP="00CE1475">
      <w:pPr>
        <w:ind w:left="1080"/>
        <w:rPr>
          <w:rFonts w:ascii="Times New Roman" w:hAnsi="Times New Roman" w:cs="Times New Roman"/>
          <w:color w:val="000000" w:themeColor="text1"/>
        </w:rPr>
      </w:pPr>
    </w:p>
    <w:p w14:paraId="58CA21E1" w14:textId="0E069318" w:rsidR="00804782" w:rsidRPr="00E9464A" w:rsidRDefault="00E9464A" w:rsidP="00B6274E">
      <w:pPr>
        <w:tabs>
          <w:tab w:val="left" w:pos="1530"/>
        </w:tabs>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12a. </w:t>
      </w:r>
      <w:r w:rsidR="00804782" w:rsidRPr="00E9464A">
        <w:rPr>
          <w:rFonts w:ascii="Times New Roman" w:hAnsi="Times New Roman" w:cs="Times New Roman"/>
          <w:color w:val="000000" w:themeColor="text1"/>
          <w:u w:val="single"/>
        </w:rPr>
        <w:t>Annualized Hour Burden Estimate</w:t>
      </w:r>
    </w:p>
    <w:p w14:paraId="175EB7C6" w14:textId="546EE299" w:rsidR="00EF08F7" w:rsidRPr="00BF6EAE" w:rsidRDefault="00EF08F7" w:rsidP="00CE1475">
      <w:pPr>
        <w:ind w:left="1080"/>
        <w:rPr>
          <w:rFonts w:ascii="Times New Roman" w:hAnsi="Times New Roman" w:cs="Times New Roman"/>
          <w:color w:val="000000" w:themeColor="text1"/>
        </w:rPr>
      </w:pPr>
    </w:p>
    <w:p w14:paraId="25541296" w14:textId="2610A4E6" w:rsidR="00185CEE" w:rsidRDefault="002736C2" w:rsidP="00B6274E">
      <w:pPr>
        <w:rPr>
          <w:rFonts w:ascii="Times New Roman" w:hAnsi="Times New Roman" w:cs="Times New Roman"/>
          <w:color w:val="000000" w:themeColor="text1"/>
        </w:rPr>
      </w:pPr>
      <w:r>
        <w:rPr>
          <w:rFonts w:ascii="Times New Roman" w:hAnsi="Times New Roman" w:cs="Times New Roman"/>
          <w:color w:val="000000" w:themeColor="text1"/>
        </w:rPr>
        <w:t xml:space="preserve">As shown below, </w:t>
      </w:r>
      <w:r w:rsidR="006A374E">
        <w:rPr>
          <w:rFonts w:ascii="Times New Roman" w:hAnsi="Times New Roman" w:cs="Times New Roman"/>
          <w:color w:val="000000" w:themeColor="text1"/>
        </w:rPr>
        <w:t>the survey invitation is e</w:t>
      </w:r>
      <w:r w:rsidR="007C3764">
        <w:rPr>
          <w:rFonts w:ascii="Times New Roman" w:hAnsi="Times New Roman" w:cs="Times New Roman"/>
          <w:color w:val="000000" w:themeColor="text1"/>
        </w:rPr>
        <w:t>xpected to take no more than 1 minute</w:t>
      </w:r>
      <w:r w:rsidR="006A374E">
        <w:rPr>
          <w:rFonts w:ascii="Times New Roman" w:hAnsi="Times New Roman" w:cs="Times New Roman"/>
          <w:color w:val="000000" w:themeColor="text1"/>
        </w:rPr>
        <w:t xml:space="preserve"> per recipient, on average. T</w:t>
      </w:r>
      <w:r w:rsidR="0036720D">
        <w:rPr>
          <w:rFonts w:ascii="Times New Roman" w:hAnsi="Times New Roman" w:cs="Times New Roman"/>
          <w:color w:val="000000" w:themeColor="text1"/>
        </w:rPr>
        <w:t>he informed consent is expected to take no more than 2 min</w:t>
      </w:r>
      <w:r w:rsidR="00400C2C">
        <w:rPr>
          <w:rFonts w:ascii="Times New Roman" w:hAnsi="Times New Roman" w:cs="Times New Roman"/>
          <w:color w:val="000000" w:themeColor="text1"/>
        </w:rPr>
        <w:t>utes per respondent, on average, and</w:t>
      </w:r>
      <w:r w:rsidR="0036720D">
        <w:rPr>
          <w:rFonts w:ascii="Times New Roman" w:hAnsi="Times New Roman" w:cs="Times New Roman"/>
          <w:color w:val="000000" w:themeColor="text1"/>
        </w:rPr>
        <w:t xml:space="preserve"> the screener is expected to take no more than 4 minutes per respondent, on average</w:t>
      </w:r>
      <w:r w:rsidR="00400C2C">
        <w:rPr>
          <w:rFonts w:ascii="Times New Roman" w:hAnsi="Times New Roman" w:cs="Times New Roman"/>
          <w:color w:val="000000" w:themeColor="text1"/>
        </w:rPr>
        <w:t xml:space="preserve">, for a total of 6 minutes across the consent and screener. </w:t>
      </w:r>
      <w:r w:rsidR="0036720D">
        <w:rPr>
          <w:rFonts w:ascii="Times New Roman" w:hAnsi="Times New Roman" w:cs="Times New Roman"/>
          <w:color w:val="000000" w:themeColor="text1"/>
        </w:rPr>
        <w:t xml:space="preserve"> </w:t>
      </w:r>
      <w:r w:rsidR="00400C2C">
        <w:rPr>
          <w:rFonts w:ascii="Times New Roman" w:hAnsi="Times New Roman" w:cs="Times New Roman"/>
          <w:color w:val="000000" w:themeColor="text1"/>
        </w:rPr>
        <w:t xml:space="preserve">The </w:t>
      </w:r>
      <w:r w:rsidR="00874FD5">
        <w:rPr>
          <w:rFonts w:ascii="Times New Roman" w:hAnsi="Times New Roman" w:cs="Times New Roman"/>
          <w:color w:val="000000" w:themeColor="text1"/>
        </w:rPr>
        <w:t>questionnaire</w:t>
      </w:r>
      <w:r w:rsidR="00557B1C" w:rsidRPr="00BF6EAE">
        <w:rPr>
          <w:rFonts w:ascii="Times New Roman" w:hAnsi="Times New Roman" w:cs="Times New Roman"/>
          <w:color w:val="000000" w:themeColor="text1"/>
        </w:rPr>
        <w:t xml:space="preserve"> </w:t>
      </w:r>
      <w:r w:rsidR="00331B4D" w:rsidRPr="00BF6EAE">
        <w:rPr>
          <w:rFonts w:ascii="Times New Roman" w:hAnsi="Times New Roman" w:cs="Times New Roman"/>
          <w:color w:val="000000" w:themeColor="text1"/>
        </w:rPr>
        <w:t xml:space="preserve">is expected to </w:t>
      </w:r>
      <w:r w:rsidR="00874FD5">
        <w:rPr>
          <w:rFonts w:ascii="Times New Roman" w:hAnsi="Times New Roman" w:cs="Times New Roman"/>
          <w:color w:val="000000" w:themeColor="text1"/>
        </w:rPr>
        <w:t>take</w:t>
      </w:r>
      <w:r w:rsidR="00331B4D" w:rsidRPr="00BF6EAE">
        <w:rPr>
          <w:rFonts w:ascii="Times New Roman" w:hAnsi="Times New Roman" w:cs="Times New Roman"/>
          <w:color w:val="000000" w:themeColor="text1"/>
        </w:rPr>
        <w:t xml:space="preserve"> </w:t>
      </w:r>
      <w:r w:rsidR="00331B4D" w:rsidRPr="000C4D17">
        <w:rPr>
          <w:rFonts w:ascii="Times New Roman" w:hAnsi="Times New Roman" w:cs="Times New Roman"/>
          <w:color w:val="000000" w:themeColor="text1"/>
        </w:rPr>
        <w:t xml:space="preserve">no more than </w:t>
      </w:r>
      <w:r w:rsidR="00185CEE" w:rsidRPr="000C4D17">
        <w:rPr>
          <w:rFonts w:ascii="Times New Roman" w:hAnsi="Times New Roman" w:cs="Times New Roman"/>
          <w:color w:val="000000" w:themeColor="text1"/>
        </w:rPr>
        <w:t>20</w:t>
      </w:r>
      <w:r w:rsidR="00331B4D" w:rsidRPr="000C4D17">
        <w:rPr>
          <w:rFonts w:ascii="Times New Roman" w:hAnsi="Times New Roman" w:cs="Times New Roman"/>
          <w:color w:val="000000" w:themeColor="text1"/>
        </w:rPr>
        <w:t xml:space="preserve"> </w:t>
      </w:r>
      <w:r w:rsidR="00331B4D" w:rsidRPr="0082367A">
        <w:rPr>
          <w:rFonts w:ascii="Times New Roman" w:hAnsi="Times New Roman" w:cs="Times New Roman"/>
          <w:color w:val="000000" w:themeColor="text1"/>
        </w:rPr>
        <w:t>minutes</w:t>
      </w:r>
      <w:r w:rsidR="00AE779B" w:rsidRPr="0082367A">
        <w:rPr>
          <w:rFonts w:ascii="Times New Roman" w:hAnsi="Times New Roman" w:cs="Times New Roman"/>
          <w:color w:val="000000" w:themeColor="text1"/>
        </w:rPr>
        <w:t xml:space="preserve"> per respondent, on average</w:t>
      </w:r>
      <w:r w:rsidR="00331B4D" w:rsidRPr="0082367A">
        <w:rPr>
          <w:rFonts w:ascii="Times New Roman" w:hAnsi="Times New Roman" w:cs="Times New Roman"/>
          <w:color w:val="000000" w:themeColor="text1"/>
        </w:rPr>
        <w:t xml:space="preserve">. </w:t>
      </w:r>
      <w:bookmarkStart w:id="6" w:name="_Hlk504151084"/>
      <w:r w:rsidR="00727151">
        <w:rPr>
          <w:rFonts w:ascii="Times New Roman" w:hAnsi="Times New Roman" w:cs="Times New Roman"/>
          <w:color w:val="000000" w:themeColor="text1"/>
        </w:rPr>
        <w:t xml:space="preserve">The </w:t>
      </w:r>
      <w:r w:rsidR="006A374E">
        <w:rPr>
          <w:rFonts w:ascii="Times New Roman" w:hAnsi="Times New Roman" w:cs="Times New Roman"/>
          <w:color w:val="000000" w:themeColor="text1"/>
        </w:rPr>
        <w:t xml:space="preserve">Invitation is </w:t>
      </w:r>
      <w:r w:rsidR="006A374E" w:rsidRPr="000D2132">
        <w:rPr>
          <w:rFonts w:ascii="Times New Roman" w:hAnsi="Times New Roman" w:cs="Times New Roman"/>
          <w:b/>
          <w:color w:val="000000" w:themeColor="text1"/>
        </w:rPr>
        <w:t>Attachment 3</w:t>
      </w:r>
      <w:r w:rsidR="006A374E">
        <w:rPr>
          <w:rFonts w:ascii="Times New Roman" w:hAnsi="Times New Roman" w:cs="Times New Roman"/>
          <w:color w:val="000000" w:themeColor="text1"/>
        </w:rPr>
        <w:t xml:space="preserve">, the </w:t>
      </w:r>
      <w:r w:rsidR="00727151">
        <w:rPr>
          <w:rFonts w:ascii="Times New Roman" w:hAnsi="Times New Roman" w:cs="Times New Roman"/>
          <w:color w:val="000000" w:themeColor="text1"/>
        </w:rPr>
        <w:t xml:space="preserve">Screener is </w:t>
      </w:r>
      <w:r w:rsidR="00727151" w:rsidRPr="00727151">
        <w:rPr>
          <w:rFonts w:ascii="Times New Roman" w:hAnsi="Times New Roman" w:cs="Times New Roman"/>
          <w:b/>
          <w:color w:val="000000" w:themeColor="text1"/>
        </w:rPr>
        <w:t xml:space="preserve">Attachment </w:t>
      </w:r>
      <w:r w:rsidR="00F61782">
        <w:rPr>
          <w:rFonts w:ascii="Times New Roman" w:hAnsi="Times New Roman" w:cs="Times New Roman"/>
          <w:b/>
          <w:color w:val="000000" w:themeColor="text1"/>
        </w:rPr>
        <w:t>4</w:t>
      </w:r>
      <w:r w:rsidR="00727151">
        <w:rPr>
          <w:rFonts w:ascii="Times New Roman" w:hAnsi="Times New Roman" w:cs="Times New Roman"/>
          <w:color w:val="000000" w:themeColor="text1"/>
        </w:rPr>
        <w:t xml:space="preserve">, the Informed Consent text is </w:t>
      </w:r>
      <w:r w:rsidR="00727151" w:rsidRPr="00727151">
        <w:rPr>
          <w:rFonts w:ascii="Times New Roman" w:hAnsi="Times New Roman" w:cs="Times New Roman"/>
          <w:b/>
          <w:color w:val="000000" w:themeColor="text1"/>
        </w:rPr>
        <w:t xml:space="preserve">Attachment </w:t>
      </w:r>
      <w:r w:rsidR="00F61782">
        <w:rPr>
          <w:rFonts w:ascii="Times New Roman" w:hAnsi="Times New Roman" w:cs="Times New Roman"/>
          <w:b/>
          <w:color w:val="000000" w:themeColor="text1"/>
        </w:rPr>
        <w:t>5</w:t>
      </w:r>
      <w:r w:rsidR="00727151">
        <w:rPr>
          <w:rFonts w:ascii="Times New Roman" w:hAnsi="Times New Roman" w:cs="Times New Roman"/>
          <w:color w:val="000000" w:themeColor="text1"/>
        </w:rPr>
        <w:t xml:space="preserve">, </w:t>
      </w:r>
      <w:r w:rsidR="00874FD5">
        <w:rPr>
          <w:rFonts w:ascii="Times New Roman" w:hAnsi="Times New Roman" w:cs="Times New Roman"/>
          <w:color w:val="000000" w:themeColor="text1"/>
        </w:rPr>
        <w:t xml:space="preserve">and </w:t>
      </w:r>
      <w:r w:rsidR="00727151">
        <w:rPr>
          <w:rFonts w:ascii="Times New Roman" w:hAnsi="Times New Roman" w:cs="Times New Roman"/>
          <w:color w:val="000000" w:themeColor="text1"/>
        </w:rPr>
        <w:t xml:space="preserve">the Questionnaire is </w:t>
      </w:r>
      <w:r w:rsidR="00727151" w:rsidRPr="00727151">
        <w:rPr>
          <w:rFonts w:ascii="Times New Roman" w:hAnsi="Times New Roman" w:cs="Times New Roman"/>
          <w:b/>
          <w:color w:val="000000" w:themeColor="text1"/>
        </w:rPr>
        <w:t xml:space="preserve">Attachment </w:t>
      </w:r>
      <w:r w:rsidR="00F61782">
        <w:rPr>
          <w:rFonts w:ascii="Times New Roman" w:hAnsi="Times New Roman" w:cs="Times New Roman"/>
          <w:b/>
          <w:color w:val="000000" w:themeColor="text1"/>
        </w:rPr>
        <w:t>6</w:t>
      </w:r>
      <w:r w:rsidR="00727151">
        <w:rPr>
          <w:rFonts w:ascii="Times New Roman" w:hAnsi="Times New Roman" w:cs="Times New Roman"/>
          <w:color w:val="000000" w:themeColor="text1"/>
        </w:rPr>
        <w:t xml:space="preserve">. </w:t>
      </w:r>
      <w:bookmarkEnd w:id="6"/>
      <w:r w:rsidR="00331B4D" w:rsidRPr="0082367A">
        <w:rPr>
          <w:rFonts w:ascii="Times New Roman" w:hAnsi="Times New Roman" w:cs="Times New Roman"/>
          <w:color w:val="000000" w:themeColor="text1"/>
        </w:rPr>
        <w:t xml:space="preserve">This will be a one-time (rather than annual) collection of information. </w:t>
      </w:r>
      <w:r w:rsidR="00874FD5">
        <w:rPr>
          <w:rFonts w:ascii="Times New Roman" w:hAnsi="Times New Roman" w:cs="Times New Roman"/>
          <w:color w:val="000000" w:themeColor="text1"/>
        </w:rPr>
        <w:t xml:space="preserve">Exhibit 1 shows </w:t>
      </w:r>
      <w:r w:rsidR="00331B4D" w:rsidRPr="0082367A">
        <w:rPr>
          <w:rFonts w:ascii="Times New Roman" w:hAnsi="Times New Roman" w:cs="Times New Roman"/>
          <w:color w:val="000000" w:themeColor="text1"/>
        </w:rPr>
        <w:t>FDA</w:t>
      </w:r>
      <w:r w:rsidR="00874FD5">
        <w:rPr>
          <w:rFonts w:ascii="Times New Roman" w:hAnsi="Times New Roman" w:cs="Times New Roman"/>
          <w:color w:val="000000" w:themeColor="text1"/>
        </w:rPr>
        <w:t>’s</w:t>
      </w:r>
      <w:r w:rsidR="00331B4D" w:rsidRPr="0082367A">
        <w:rPr>
          <w:rFonts w:ascii="Times New Roman" w:hAnsi="Times New Roman" w:cs="Times New Roman"/>
          <w:color w:val="000000" w:themeColor="text1"/>
        </w:rPr>
        <w:t xml:space="preserve"> estimates </w:t>
      </w:r>
      <w:r w:rsidR="00874FD5">
        <w:rPr>
          <w:rFonts w:ascii="Times New Roman" w:hAnsi="Times New Roman" w:cs="Times New Roman"/>
          <w:color w:val="000000" w:themeColor="text1"/>
        </w:rPr>
        <w:t xml:space="preserve">of </w:t>
      </w:r>
      <w:r w:rsidR="00331B4D" w:rsidRPr="0082367A">
        <w:rPr>
          <w:rFonts w:ascii="Times New Roman" w:hAnsi="Times New Roman" w:cs="Times New Roman"/>
          <w:color w:val="000000" w:themeColor="text1"/>
        </w:rPr>
        <w:t xml:space="preserve">the burden of this </w:t>
      </w:r>
      <w:r w:rsidR="00874FD5">
        <w:rPr>
          <w:rFonts w:ascii="Times New Roman" w:hAnsi="Times New Roman" w:cs="Times New Roman"/>
          <w:color w:val="000000" w:themeColor="text1"/>
        </w:rPr>
        <w:t xml:space="preserve">information </w:t>
      </w:r>
      <w:r w:rsidR="00331B4D" w:rsidRPr="0082367A">
        <w:rPr>
          <w:rFonts w:ascii="Times New Roman" w:hAnsi="Times New Roman" w:cs="Times New Roman"/>
          <w:color w:val="000000" w:themeColor="text1"/>
        </w:rPr>
        <w:t>colle</w:t>
      </w:r>
      <w:r w:rsidR="00185CEE" w:rsidRPr="0082367A">
        <w:rPr>
          <w:rFonts w:ascii="Times New Roman" w:hAnsi="Times New Roman" w:cs="Times New Roman"/>
          <w:color w:val="000000" w:themeColor="text1"/>
        </w:rPr>
        <w:t>ction. These estimates are based on FDA’s and the contractor’s experience with</w:t>
      </w:r>
      <w:r w:rsidR="00185CEE" w:rsidRPr="00BF6EAE">
        <w:rPr>
          <w:rFonts w:ascii="Times New Roman" w:hAnsi="Times New Roman" w:cs="Times New Roman"/>
          <w:color w:val="000000" w:themeColor="text1"/>
        </w:rPr>
        <w:t xml:space="preserve"> </w:t>
      </w:r>
      <w:r w:rsidR="00850581">
        <w:rPr>
          <w:rFonts w:ascii="Times New Roman" w:hAnsi="Times New Roman" w:cs="Times New Roman"/>
          <w:color w:val="000000" w:themeColor="text1"/>
        </w:rPr>
        <w:t>similar</w:t>
      </w:r>
      <w:r w:rsidR="00185CEE" w:rsidRPr="00BF6EAE">
        <w:rPr>
          <w:rFonts w:ascii="Times New Roman" w:hAnsi="Times New Roman" w:cs="Times New Roman"/>
          <w:color w:val="000000" w:themeColor="text1"/>
        </w:rPr>
        <w:t xml:space="preserve"> studies.</w:t>
      </w:r>
      <w:r w:rsidR="00727151">
        <w:rPr>
          <w:rFonts w:ascii="Times New Roman" w:hAnsi="Times New Roman" w:cs="Times New Roman"/>
          <w:color w:val="000000" w:themeColor="text1"/>
        </w:rPr>
        <w:t xml:space="preserve"> </w:t>
      </w:r>
    </w:p>
    <w:p w14:paraId="17816C13" w14:textId="77777777" w:rsidR="00727151" w:rsidRDefault="00727151" w:rsidP="001E4B3C">
      <w:pPr>
        <w:rPr>
          <w:rFonts w:ascii="Times New Roman" w:hAnsi="Times New Roman" w:cs="Times New Roman"/>
          <w:color w:val="000000" w:themeColor="text1"/>
        </w:rPr>
      </w:pPr>
    </w:p>
    <w:p w14:paraId="0F1C32B0" w14:textId="246062F1" w:rsidR="00B560C0" w:rsidRPr="00DB2E83" w:rsidRDefault="00B560C0" w:rsidP="00B560C0">
      <w:pPr>
        <w:spacing w:before="120" w:after="120" w:line="360" w:lineRule="auto"/>
        <w:rPr>
          <w:rFonts w:ascii="Times New Roman" w:hAnsi="Times New Roman" w:cs="Times New Roman"/>
          <w:color w:val="000000" w:themeColor="text1"/>
        </w:rPr>
      </w:pPr>
      <w:bookmarkStart w:id="7" w:name="_Hlk504143610"/>
      <w:r w:rsidRPr="00DB2E83">
        <w:rPr>
          <w:rFonts w:ascii="Times New Roman" w:hAnsi="Times New Roman" w:cs="Times New Roman"/>
          <w:b/>
          <w:color w:val="000000" w:themeColor="text1"/>
        </w:rPr>
        <w:t>Exhibit 1. Estimated Annual Burden Hours</w:t>
      </w:r>
    </w:p>
    <w:tbl>
      <w:tblPr>
        <w:tblW w:w="9271" w:type="dxa"/>
        <w:jc w:val="center"/>
        <w:tblLayout w:type="fixed"/>
        <w:tblCellMar>
          <w:left w:w="0" w:type="dxa"/>
          <w:right w:w="0" w:type="dxa"/>
        </w:tblCellMar>
        <w:tblLook w:val="04A0" w:firstRow="1" w:lastRow="0" w:firstColumn="1" w:lastColumn="0" w:noHBand="0" w:noVBand="1"/>
      </w:tblPr>
      <w:tblGrid>
        <w:gridCol w:w="3050"/>
        <w:gridCol w:w="1440"/>
        <w:gridCol w:w="1350"/>
        <w:gridCol w:w="1170"/>
        <w:gridCol w:w="1260"/>
        <w:gridCol w:w="990"/>
        <w:gridCol w:w="11"/>
      </w:tblGrid>
      <w:tr w:rsidR="00B560C0" w:rsidRPr="00A82310" w14:paraId="30235AE1" w14:textId="77777777" w:rsidTr="00134B59">
        <w:trPr>
          <w:gridAfter w:val="1"/>
          <w:wAfter w:w="11" w:type="dxa"/>
          <w:trHeight w:val="274"/>
          <w:jc w:val="center"/>
        </w:trPr>
        <w:tc>
          <w:tcPr>
            <w:tcW w:w="3050" w:type="dxa"/>
            <w:tcBorders>
              <w:top w:val="single" w:sz="8" w:space="0" w:color="auto"/>
              <w:left w:val="single" w:sz="8" w:space="0" w:color="auto"/>
              <w:bottom w:val="single" w:sz="12" w:space="0" w:color="auto"/>
              <w:right w:val="single" w:sz="4" w:space="0" w:color="auto"/>
            </w:tcBorders>
            <w:shd w:val="clear" w:color="auto" w:fill="E0E0E0"/>
            <w:tcMar>
              <w:top w:w="0" w:type="dxa"/>
              <w:left w:w="108" w:type="dxa"/>
              <w:bottom w:w="0" w:type="dxa"/>
              <w:right w:w="108" w:type="dxa"/>
            </w:tcMar>
            <w:vAlign w:val="bottom"/>
            <w:hideMark/>
          </w:tcPr>
          <w:p w14:paraId="47D1564A" w14:textId="77777777" w:rsidR="00B560C0" w:rsidRPr="00A82310" w:rsidRDefault="00B560C0" w:rsidP="00A37C23">
            <w:pPr>
              <w:jc w:val="center"/>
              <w:rPr>
                <w:rFonts w:ascii="Times New Roman" w:hAnsi="Times New Roman" w:cs="Times New Roman"/>
                <w:b/>
                <w:bCs/>
              </w:rPr>
            </w:pPr>
            <w:r w:rsidRPr="00A82310">
              <w:rPr>
                <w:rFonts w:ascii="Times New Roman" w:hAnsi="Times New Roman" w:cs="Times New Roman"/>
                <w:b/>
                <w:bCs/>
              </w:rPr>
              <w:t>Participant Subgroup</w:t>
            </w:r>
          </w:p>
        </w:tc>
        <w:tc>
          <w:tcPr>
            <w:tcW w:w="1440" w:type="dxa"/>
            <w:tcBorders>
              <w:top w:val="single" w:sz="4" w:space="0" w:color="auto"/>
              <w:left w:val="single" w:sz="4" w:space="0" w:color="auto"/>
              <w:bottom w:val="single" w:sz="12" w:space="0" w:color="auto"/>
              <w:right w:val="single" w:sz="4" w:space="0" w:color="auto"/>
            </w:tcBorders>
            <w:shd w:val="clear" w:color="auto" w:fill="E0E0E0"/>
            <w:tcMar>
              <w:top w:w="0" w:type="dxa"/>
              <w:left w:w="108" w:type="dxa"/>
              <w:bottom w:w="0" w:type="dxa"/>
              <w:right w:w="108" w:type="dxa"/>
            </w:tcMar>
            <w:hideMark/>
          </w:tcPr>
          <w:p w14:paraId="44E8323E" w14:textId="77777777" w:rsidR="00B560C0" w:rsidRPr="00A82310" w:rsidRDefault="00B560C0" w:rsidP="00134B59">
            <w:pPr>
              <w:ind w:right="-16"/>
              <w:jc w:val="center"/>
              <w:rPr>
                <w:rFonts w:ascii="Times New Roman" w:hAnsi="Times New Roman" w:cs="Times New Roman"/>
                <w:color w:val="000000" w:themeColor="text1"/>
              </w:rPr>
            </w:pPr>
            <w:r w:rsidRPr="00A82310">
              <w:rPr>
                <w:rFonts w:ascii="Times New Roman" w:hAnsi="Times New Roman" w:cs="Times New Roman"/>
                <w:color w:val="000000" w:themeColor="text1"/>
              </w:rPr>
              <w:t>No. of Respondents</w:t>
            </w:r>
          </w:p>
        </w:tc>
        <w:tc>
          <w:tcPr>
            <w:tcW w:w="1350" w:type="dxa"/>
            <w:tcBorders>
              <w:top w:val="single" w:sz="4" w:space="0" w:color="auto"/>
              <w:left w:val="single" w:sz="4" w:space="0" w:color="auto"/>
              <w:bottom w:val="single" w:sz="12" w:space="0" w:color="auto"/>
              <w:right w:val="single" w:sz="4" w:space="0" w:color="auto"/>
            </w:tcBorders>
            <w:shd w:val="clear" w:color="auto" w:fill="E0E0E0"/>
          </w:tcPr>
          <w:p w14:paraId="1ADC5ACE" w14:textId="77777777" w:rsidR="00B560C0" w:rsidRPr="00A82310" w:rsidRDefault="00B560C0" w:rsidP="00A37C23">
            <w:pPr>
              <w:ind w:right="78"/>
              <w:jc w:val="center"/>
              <w:rPr>
                <w:rFonts w:ascii="Times New Roman" w:hAnsi="Times New Roman" w:cs="Times New Roman"/>
                <w:color w:val="000000" w:themeColor="text1"/>
              </w:rPr>
            </w:pPr>
            <w:r w:rsidRPr="00A82310">
              <w:rPr>
                <w:rFonts w:ascii="Times New Roman" w:hAnsi="Times New Roman" w:cs="Times New Roman"/>
                <w:color w:val="000000" w:themeColor="text1"/>
              </w:rPr>
              <w:t>No. of Responses per Respondent</w:t>
            </w:r>
          </w:p>
        </w:tc>
        <w:tc>
          <w:tcPr>
            <w:tcW w:w="1170" w:type="dxa"/>
            <w:tcBorders>
              <w:top w:val="single" w:sz="4" w:space="0" w:color="auto"/>
              <w:left w:val="single" w:sz="4" w:space="0" w:color="auto"/>
              <w:bottom w:val="single" w:sz="12" w:space="0" w:color="auto"/>
              <w:right w:val="single" w:sz="4" w:space="0" w:color="auto"/>
            </w:tcBorders>
            <w:shd w:val="clear" w:color="auto" w:fill="E0E0E0"/>
          </w:tcPr>
          <w:p w14:paraId="129441FE" w14:textId="77777777" w:rsidR="00B560C0" w:rsidRPr="00A82310" w:rsidRDefault="00B560C0" w:rsidP="00A37C23">
            <w:pPr>
              <w:ind w:right="78"/>
              <w:jc w:val="center"/>
              <w:rPr>
                <w:rFonts w:ascii="Times New Roman" w:hAnsi="Times New Roman" w:cs="Times New Roman"/>
                <w:color w:val="000000" w:themeColor="text1"/>
              </w:rPr>
            </w:pPr>
            <w:r w:rsidRPr="00A82310">
              <w:rPr>
                <w:rFonts w:ascii="Times New Roman" w:hAnsi="Times New Roman" w:cs="Times New Roman"/>
                <w:color w:val="000000" w:themeColor="text1"/>
              </w:rPr>
              <w:t>Total Annual Responses</w:t>
            </w:r>
          </w:p>
        </w:tc>
        <w:tc>
          <w:tcPr>
            <w:tcW w:w="1260" w:type="dxa"/>
            <w:tcBorders>
              <w:top w:val="single" w:sz="4" w:space="0" w:color="auto"/>
              <w:left w:val="single" w:sz="4" w:space="0" w:color="auto"/>
              <w:bottom w:val="single" w:sz="12" w:space="0" w:color="auto"/>
              <w:right w:val="single" w:sz="4" w:space="0" w:color="auto"/>
            </w:tcBorders>
            <w:shd w:val="clear" w:color="auto" w:fill="E0E0E0"/>
            <w:tcMar>
              <w:top w:w="0" w:type="dxa"/>
              <w:left w:w="108" w:type="dxa"/>
              <w:bottom w:w="0" w:type="dxa"/>
              <w:right w:w="108" w:type="dxa"/>
            </w:tcMar>
            <w:hideMark/>
          </w:tcPr>
          <w:p w14:paraId="5CB466BE" w14:textId="191624F7" w:rsidR="00B560C0" w:rsidRPr="00A82310" w:rsidRDefault="00B560C0" w:rsidP="00A37C23">
            <w:pPr>
              <w:ind w:right="78"/>
              <w:jc w:val="center"/>
              <w:rPr>
                <w:rFonts w:ascii="Times New Roman" w:hAnsi="Times New Roman" w:cs="Times New Roman"/>
                <w:color w:val="000000" w:themeColor="text1"/>
              </w:rPr>
            </w:pPr>
            <w:r w:rsidRPr="00A82310">
              <w:rPr>
                <w:rFonts w:ascii="Times New Roman" w:hAnsi="Times New Roman" w:cs="Times New Roman"/>
                <w:color w:val="000000" w:themeColor="text1"/>
              </w:rPr>
              <w:t>Average Burden per Response</w:t>
            </w:r>
            <w:r w:rsidR="00D61D61" w:rsidRPr="008150AC">
              <w:rPr>
                <w:rFonts w:ascii="Times New Roman" w:hAnsi="Times New Roman" w:cs="Times New Roman"/>
                <w:color w:val="000000" w:themeColor="text1"/>
                <w:vertAlign w:val="superscript"/>
              </w:rPr>
              <w:t>a</w:t>
            </w:r>
          </w:p>
        </w:tc>
        <w:tc>
          <w:tcPr>
            <w:tcW w:w="990" w:type="dxa"/>
            <w:tcBorders>
              <w:top w:val="single" w:sz="4" w:space="0" w:color="auto"/>
              <w:left w:val="single" w:sz="4" w:space="0" w:color="auto"/>
              <w:bottom w:val="single" w:sz="12" w:space="0" w:color="auto"/>
              <w:right w:val="single" w:sz="4" w:space="0" w:color="auto"/>
            </w:tcBorders>
            <w:shd w:val="clear" w:color="auto" w:fill="E0E0E0"/>
            <w:tcMar>
              <w:top w:w="0" w:type="dxa"/>
              <w:left w:w="108" w:type="dxa"/>
              <w:bottom w:w="0" w:type="dxa"/>
              <w:right w:w="108" w:type="dxa"/>
            </w:tcMar>
            <w:hideMark/>
          </w:tcPr>
          <w:p w14:paraId="0FD66D14" w14:textId="77777777" w:rsidR="00B560C0" w:rsidRPr="00A82310" w:rsidRDefault="00B560C0" w:rsidP="00A37C23">
            <w:pPr>
              <w:ind w:right="78"/>
              <w:jc w:val="center"/>
              <w:rPr>
                <w:rFonts w:ascii="Times New Roman" w:hAnsi="Times New Roman" w:cs="Times New Roman"/>
                <w:color w:val="000000" w:themeColor="text1"/>
              </w:rPr>
            </w:pPr>
            <w:r w:rsidRPr="00A82310">
              <w:rPr>
                <w:rFonts w:ascii="Times New Roman" w:hAnsi="Times New Roman" w:cs="Times New Roman"/>
                <w:color w:val="000000" w:themeColor="text1"/>
              </w:rPr>
              <w:t>Total Hours</w:t>
            </w:r>
            <w:r w:rsidRPr="008150AC">
              <w:rPr>
                <w:rFonts w:ascii="Times New Roman" w:hAnsi="Times New Roman" w:cs="Times New Roman"/>
                <w:color w:val="000000" w:themeColor="text1"/>
                <w:vertAlign w:val="superscript"/>
              </w:rPr>
              <w:t>a</w:t>
            </w:r>
          </w:p>
        </w:tc>
      </w:tr>
      <w:tr w:rsidR="002736C2" w:rsidRPr="00A82310" w14:paraId="437F9F7F" w14:textId="77777777" w:rsidTr="002736C2">
        <w:trPr>
          <w:gridAfter w:val="1"/>
          <w:wAfter w:w="11" w:type="dxa"/>
          <w:trHeight w:val="274"/>
          <w:jc w:val="center"/>
        </w:trPr>
        <w:tc>
          <w:tcPr>
            <w:tcW w:w="9260" w:type="dxa"/>
            <w:gridSpan w:val="6"/>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D926028" w14:textId="5045F388" w:rsidR="002736C2" w:rsidRDefault="002736C2" w:rsidP="009D597F">
            <w:pPr>
              <w:ind w:right="78"/>
              <w:rPr>
                <w:rFonts w:ascii="Times New Roman" w:hAnsi="Times New Roman" w:cs="Times New Roman"/>
              </w:rPr>
            </w:pPr>
            <w:r>
              <w:rPr>
                <w:rFonts w:ascii="Times New Roman" w:hAnsi="Times New Roman"/>
                <w:b/>
              </w:rPr>
              <w:t xml:space="preserve">Number to </w:t>
            </w:r>
            <w:r w:rsidR="009D597F">
              <w:rPr>
                <w:rFonts w:ascii="Times New Roman" w:hAnsi="Times New Roman"/>
                <w:b/>
              </w:rPr>
              <w:t>read</w:t>
            </w:r>
            <w:r w:rsidRPr="005C7C64">
              <w:rPr>
                <w:rFonts w:ascii="Times New Roman" w:hAnsi="Times New Roman"/>
                <w:b/>
              </w:rPr>
              <w:t xml:space="preserve"> the </w:t>
            </w:r>
            <w:r w:rsidR="009D597F">
              <w:rPr>
                <w:rFonts w:ascii="Times New Roman" w:hAnsi="Times New Roman"/>
                <w:b/>
              </w:rPr>
              <w:t>survey invitation</w:t>
            </w:r>
            <w:r w:rsidRPr="002736C2">
              <w:rPr>
                <w:rFonts w:ascii="Times New Roman" w:hAnsi="Times New Roman"/>
                <w:b/>
                <w:shd w:val="clear" w:color="auto" w:fill="D9D9D9" w:themeFill="background1" w:themeFillShade="D9"/>
              </w:rPr>
              <w:t xml:space="preserve"> </w:t>
            </w:r>
          </w:p>
        </w:tc>
      </w:tr>
      <w:tr w:rsidR="002736C2" w:rsidRPr="00A82310" w14:paraId="40049F91" w14:textId="77777777" w:rsidTr="005129B2">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9DB6F45" w14:textId="77777777" w:rsidR="002736C2" w:rsidRPr="00DC056C" w:rsidRDefault="002736C2" w:rsidP="002736C2">
            <w:pPr>
              <w:pStyle w:val="TableTextIndent1"/>
              <w:rPr>
                <w:rFonts w:ascii="Times New Roman" w:hAnsi="Times New Roman"/>
                <w:sz w:val="20"/>
              </w:rPr>
            </w:pPr>
            <w:r w:rsidRPr="00DC056C">
              <w:rPr>
                <w:rFonts w:ascii="Times New Roman" w:hAnsi="Times New Roman"/>
                <w:sz w:val="20"/>
              </w:rPr>
              <w:t>Adults (ages 26+)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488782" w14:textId="5FFEE4D1" w:rsidR="002736C2" w:rsidRPr="00DC056C" w:rsidRDefault="009D597F" w:rsidP="002736C2">
            <w:pPr>
              <w:pStyle w:val="TableText"/>
              <w:spacing w:before="0" w:after="0"/>
              <w:ind w:right="78"/>
              <w:jc w:val="center"/>
              <w:rPr>
                <w:rFonts w:ascii="Times New Roman" w:hAnsi="Times New Roman"/>
                <w:sz w:val="20"/>
                <w:szCs w:val="20"/>
              </w:rPr>
            </w:pPr>
            <w:r>
              <w:rPr>
                <w:rFonts w:ascii="Times New Roman" w:hAnsi="Times New Roman"/>
                <w:sz w:val="20"/>
                <w:szCs w:val="20"/>
              </w:rPr>
              <w:t>29,000</w:t>
            </w:r>
          </w:p>
        </w:tc>
        <w:tc>
          <w:tcPr>
            <w:tcW w:w="1350" w:type="dxa"/>
            <w:tcBorders>
              <w:top w:val="single" w:sz="4" w:space="0" w:color="auto"/>
              <w:left w:val="single" w:sz="4" w:space="0" w:color="auto"/>
              <w:bottom w:val="single" w:sz="4" w:space="0" w:color="auto"/>
              <w:right w:val="single" w:sz="4" w:space="0" w:color="auto"/>
            </w:tcBorders>
          </w:tcPr>
          <w:p w14:paraId="338326BF" w14:textId="77777777" w:rsidR="002736C2" w:rsidRPr="00DC056C" w:rsidRDefault="002736C2"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97240C9" w14:textId="0FB05765" w:rsidR="002736C2" w:rsidRPr="00DC056C" w:rsidRDefault="009D597F" w:rsidP="002736C2">
            <w:pPr>
              <w:ind w:right="78"/>
              <w:jc w:val="center"/>
              <w:rPr>
                <w:rFonts w:ascii="Times New Roman" w:hAnsi="Times New Roman" w:cs="Times New Roman"/>
                <w:sz w:val="20"/>
                <w:szCs w:val="20"/>
              </w:rPr>
            </w:pPr>
            <w:r>
              <w:rPr>
                <w:rFonts w:ascii="Times New Roman" w:hAnsi="Times New Roman" w:cs="Times New Roman"/>
                <w:sz w:val="20"/>
                <w:szCs w:val="20"/>
              </w:rPr>
              <w:t>29,000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C2FDE" w14:textId="12DAE830" w:rsidR="002736C2" w:rsidRPr="00DC056C" w:rsidRDefault="00D878DC" w:rsidP="002736C2">
            <w:pPr>
              <w:ind w:right="7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p w14:paraId="1D35311E" w14:textId="413A9026" w:rsidR="002736C2" w:rsidRPr="00DC056C" w:rsidRDefault="00B37A54" w:rsidP="005B6A53">
            <w:pPr>
              <w:ind w:right="7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878DC">
              <w:rPr>
                <w:rFonts w:ascii="Times New Roman" w:hAnsi="Times New Roman" w:cs="Times New Roman"/>
                <w:color w:val="000000" w:themeColor="text1"/>
                <w:sz w:val="20"/>
                <w:szCs w:val="20"/>
              </w:rPr>
              <w:t>1</w:t>
            </w:r>
            <w:r w:rsidR="002736C2" w:rsidRPr="00DC056C">
              <w:rPr>
                <w:rFonts w:ascii="Times New Roman" w:hAnsi="Times New Roman" w:cs="Times New Roman"/>
                <w:color w:val="000000" w:themeColor="text1"/>
                <w:sz w:val="20"/>
                <w:szCs w:val="20"/>
              </w:rPr>
              <w:t xml:space="preserve"> 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9FABB" w14:textId="548CD6FE" w:rsidR="002736C2" w:rsidRPr="00DC056C" w:rsidRDefault="00D878DC" w:rsidP="002736C2">
            <w:pPr>
              <w:ind w:right="78"/>
              <w:jc w:val="center"/>
              <w:rPr>
                <w:rFonts w:ascii="Times New Roman" w:hAnsi="Times New Roman" w:cs="Times New Roman"/>
                <w:sz w:val="20"/>
                <w:szCs w:val="20"/>
              </w:rPr>
            </w:pPr>
            <w:r>
              <w:rPr>
                <w:rFonts w:ascii="Times New Roman" w:hAnsi="Times New Roman" w:cs="Times New Roman"/>
                <w:sz w:val="20"/>
                <w:szCs w:val="20"/>
              </w:rPr>
              <w:t>580</w:t>
            </w:r>
          </w:p>
        </w:tc>
      </w:tr>
      <w:tr w:rsidR="009D6A43" w:rsidRPr="00A82310" w14:paraId="0AF1E381" w14:textId="77777777" w:rsidTr="005129B2">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9882C37" w14:textId="3F15BB11" w:rsidR="009D6A43" w:rsidRPr="00DC056C" w:rsidRDefault="009D6A43" w:rsidP="002736C2">
            <w:pPr>
              <w:pStyle w:val="TableTextIndent1"/>
              <w:rPr>
                <w:rFonts w:ascii="Times New Roman" w:hAnsi="Times New Roman"/>
                <w:sz w:val="20"/>
              </w:rPr>
            </w:pPr>
            <w:r w:rsidRPr="00DC056C">
              <w:rPr>
                <w:rFonts w:ascii="Times New Roman" w:hAnsi="Times New Roman"/>
                <w:sz w:val="20"/>
              </w:rPr>
              <w:t>Young adults (ages 18-25)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151637" w14:textId="509D198A" w:rsidR="009D6A43" w:rsidRPr="00DC056C" w:rsidRDefault="009D597F" w:rsidP="002736C2">
            <w:pPr>
              <w:pStyle w:val="TableText"/>
              <w:spacing w:before="0" w:after="0"/>
              <w:ind w:right="78"/>
              <w:jc w:val="center"/>
              <w:rPr>
                <w:rFonts w:ascii="Times New Roman" w:hAnsi="Times New Roman"/>
                <w:sz w:val="20"/>
                <w:szCs w:val="20"/>
              </w:rPr>
            </w:pPr>
            <w:r>
              <w:rPr>
                <w:rFonts w:ascii="Times New Roman" w:hAnsi="Times New Roman"/>
                <w:sz w:val="20"/>
                <w:szCs w:val="20"/>
              </w:rPr>
              <w:t>29,000</w:t>
            </w:r>
          </w:p>
        </w:tc>
        <w:tc>
          <w:tcPr>
            <w:tcW w:w="1350" w:type="dxa"/>
            <w:tcBorders>
              <w:top w:val="single" w:sz="4" w:space="0" w:color="auto"/>
              <w:left w:val="single" w:sz="4" w:space="0" w:color="auto"/>
              <w:bottom w:val="single" w:sz="4" w:space="0" w:color="auto"/>
              <w:right w:val="single" w:sz="4" w:space="0" w:color="auto"/>
            </w:tcBorders>
          </w:tcPr>
          <w:p w14:paraId="0C022CD3" w14:textId="5FC75C27" w:rsidR="009D6A43" w:rsidRPr="00DC056C" w:rsidRDefault="009D597F" w:rsidP="002736C2">
            <w:pPr>
              <w:ind w:right="78"/>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A7E6342" w14:textId="7B156BEB" w:rsidR="009D6A43" w:rsidRPr="00DC056C" w:rsidRDefault="009D597F" w:rsidP="002736C2">
            <w:pPr>
              <w:ind w:right="78"/>
              <w:jc w:val="center"/>
              <w:rPr>
                <w:rFonts w:ascii="Times New Roman" w:hAnsi="Times New Roman" w:cs="Times New Roman"/>
                <w:sz w:val="20"/>
                <w:szCs w:val="20"/>
              </w:rPr>
            </w:pPr>
            <w:r>
              <w:rPr>
                <w:rFonts w:ascii="Times New Roman" w:hAnsi="Times New Roman" w:cs="Times New Roman"/>
                <w:sz w:val="20"/>
                <w:szCs w:val="20"/>
              </w:rPr>
              <w:t>29,000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08722" w14:textId="730A3201" w:rsidR="00B37A54" w:rsidRPr="00DC056C" w:rsidRDefault="00D878DC" w:rsidP="00B37A54">
            <w:pPr>
              <w:ind w:right="7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p w14:paraId="6DB2B530" w14:textId="13288DA1" w:rsidR="009D6A43" w:rsidRPr="00DC056C" w:rsidRDefault="00B37A54" w:rsidP="00B37A54">
            <w:pPr>
              <w:ind w:right="7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878DC">
              <w:rPr>
                <w:rFonts w:ascii="Times New Roman" w:hAnsi="Times New Roman" w:cs="Times New Roman"/>
                <w:color w:val="000000" w:themeColor="text1"/>
                <w:sz w:val="20"/>
                <w:szCs w:val="20"/>
              </w:rPr>
              <w:t>1</w:t>
            </w:r>
            <w:r w:rsidRPr="00DC056C">
              <w:rPr>
                <w:rFonts w:ascii="Times New Roman" w:hAnsi="Times New Roman" w:cs="Times New Roman"/>
                <w:color w:val="000000" w:themeColor="text1"/>
                <w:sz w:val="20"/>
                <w:szCs w:val="20"/>
              </w:rPr>
              <w:t xml:space="preserve"> 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E6F3" w14:textId="3A20BF1E" w:rsidR="009D6A43" w:rsidRPr="00DC056C" w:rsidRDefault="00D878DC" w:rsidP="002736C2">
            <w:pPr>
              <w:ind w:right="78"/>
              <w:jc w:val="center"/>
              <w:rPr>
                <w:rFonts w:ascii="Times New Roman" w:hAnsi="Times New Roman" w:cs="Times New Roman"/>
                <w:sz w:val="20"/>
                <w:szCs w:val="20"/>
              </w:rPr>
            </w:pPr>
            <w:r>
              <w:rPr>
                <w:rFonts w:ascii="Times New Roman" w:hAnsi="Times New Roman" w:cs="Times New Roman"/>
                <w:sz w:val="20"/>
                <w:szCs w:val="20"/>
              </w:rPr>
              <w:t>580</w:t>
            </w:r>
          </w:p>
        </w:tc>
      </w:tr>
      <w:tr w:rsidR="009D6A43" w:rsidRPr="00A82310" w14:paraId="412E4B42" w14:textId="77777777" w:rsidTr="009D6A43">
        <w:trPr>
          <w:gridAfter w:val="1"/>
          <w:wAfter w:w="11" w:type="dxa"/>
          <w:trHeight w:val="274"/>
          <w:jc w:val="center"/>
        </w:trPr>
        <w:tc>
          <w:tcPr>
            <w:tcW w:w="3050"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21B2A63B" w14:textId="3FB65A56" w:rsidR="009D6A43" w:rsidRPr="00DC056C" w:rsidRDefault="009D6A43" w:rsidP="002736C2">
            <w:pPr>
              <w:pStyle w:val="TableTextIndent1"/>
              <w:rPr>
                <w:rFonts w:ascii="Times New Roman" w:hAnsi="Times New Roman"/>
                <w:sz w:val="20"/>
              </w:rPr>
            </w:pPr>
            <w:r w:rsidRPr="00E9464A">
              <w:rPr>
                <w:rFonts w:ascii="Times New Roman" w:hAnsi="Times New Roman"/>
                <w:b/>
                <w:i/>
                <w:sz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9FF7B4" w14:textId="35E9A763" w:rsidR="009D6A43" w:rsidRPr="009D597F" w:rsidRDefault="009D597F" w:rsidP="002736C2">
            <w:pPr>
              <w:pStyle w:val="TableText"/>
              <w:spacing w:before="0" w:after="0"/>
              <w:ind w:right="78"/>
              <w:jc w:val="center"/>
              <w:rPr>
                <w:rFonts w:ascii="Times New Roman" w:hAnsi="Times New Roman"/>
                <w:i/>
                <w:sz w:val="20"/>
                <w:szCs w:val="20"/>
              </w:rPr>
            </w:pPr>
            <w:r w:rsidRPr="009D597F">
              <w:rPr>
                <w:rFonts w:ascii="Times New Roman" w:hAnsi="Times New Roman"/>
                <w:i/>
                <w:sz w:val="20"/>
                <w:szCs w:val="20"/>
              </w:rPr>
              <w:t>58,000</w:t>
            </w:r>
          </w:p>
        </w:tc>
        <w:tc>
          <w:tcPr>
            <w:tcW w:w="1350" w:type="dxa"/>
            <w:tcBorders>
              <w:top w:val="single" w:sz="4" w:space="0" w:color="auto"/>
              <w:left w:val="single" w:sz="4" w:space="0" w:color="auto"/>
              <w:bottom w:val="single" w:sz="4" w:space="0" w:color="auto"/>
              <w:right w:val="single" w:sz="4" w:space="0" w:color="auto"/>
            </w:tcBorders>
          </w:tcPr>
          <w:p w14:paraId="5CEE9F29" w14:textId="7E27202D" w:rsidR="009D6A43" w:rsidRPr="009D597F" w:rsidRDefault="009D597F" w:rsidP="002736C2">
            <w:pPr>
              <w:ind w:right="78"/>
              <w:jc w:val="center"/>
              <w:rPr>
                <w:rFonts w:ascii="Times New Roman" w:hAnsi="Times New Roman" w:cs="Times New Roman"/>
                <w:i/>
                <w:sz w:val="20"/>
                <w:szCs w:val="20"/>
              </w:rPr>
            </w:pPr>
            <w:r w:rsidRPr="009D597F">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95CE1E1" w14:textId="7FDA1958" w:rsidR="009D6A43" w:rsidRPr="009D597F" w:rsidRDefault="009D597F" w:rsidP="002736C2">
            <w:pPr>
              <w:ind w:right="78"/>
              <w:jc w:val="center"/>
              <w:rPr>
                <w:rFonts w:ascii="Times New Roman" w:hAnsi="Times New Roman" w:cs="Times New Roman"/>
                <w:i/>
                <w:sz w:val="20"/>
                <w:szCs w:val="20"/>
              </w:rPr>
            </w:pPr>
            <w:r>
              <w:rPr>
                <w:rFonts w:ascii="Times New Roman" w:hAnsi="Times New Roman" w:cs="Times New Roman"/>
                <w:i/>
                <w:sz w:val="20"/>
                <w:szCs w:val="20"/>
              </w:rPr>
              <w:t>58,000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B72CD" w14:textId="692D55E2" w:rsidR="00B37A54" w:rsidRPr="00DC056C" w:rsidRDefault="00D878DC" w:rsidP="00B37A54">
            <w:pPr>
              <w:ind w:right="7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p w14:paraId="0B52437E" w14:textId="15CE0493" w:rsidR="009D6A43" w:rsidRPr="005B6A53" w:rsidRDefault="00B37A54" w:rsidP="005B6A53">
            <w:pPr>
              <w:ind w:right="78"/>
              <w:jc w:val="center"/>
              <w:rPr>
                <w:rFonts w:ascii="Times New Roman" w:hAnsi="Times New Roman" w:cs="Times New Roman"/>
                <w:i/>
                <w:color w:val="000000" w:themeColor="text1"/>
                <w:sz w:val="20"/>
                <w:szCs w:val="20"/>
              </w:rPr>
            </w:pPr>
            <w:r w:rsidRPr="005B6A53">
              <w:rPr>
                <w:rFonts w:ascii="Times New Roman" w:hAnsi="Times New Roman" w:cs="Times New Roman"/>
                <w:i/>
                <w:color w:val="000000" w:themeColor="text1"/>
                <w:sz w:val="20"/>
                <w:szCs w:val="20"/>
              </w:rPr>
              <w:t>(</w:t>
            </w:r>
            <w:r w:rsidR="00D878DC" w:rsidRPr="005B6A53">
              <w:rPr>
                <w:rFonts w:ascii="Times New Roman" w:hAnsi="Times New Roman" w:cs="Times New Roman"/>
                <w:i/>
                <w:color w:val="000000" w:themeColor="text1"/>
                <w:sz w:val="20"/>
                <w:szCs w:val="20"/>
              </w:rPr>
              <w:t>1</w:t>
            </w:r>
            <w:r w:rsidRPr="005B6A53">
              <w:rPr>
                <w:rFonts w:ascii="Times New Roman" w:hAnsi="Times New Roman" w:cs="Times New Roman"/>
                <w:i/>
                <w:color w:val="000000" w:themeColor="text1"/>
                <w:sz w:val="20"/>
                <w:szCs w:val="20"/>
              </w:rPr>
              <w:t xml:space="preserve"> 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E893" w14:textId="1550AA82" w:rsidR="009D6A43" w:rsidRPr="00D878DC" w:rsidRDefault="00D878DC" w:rsidP="002736C2">
            <w:pPr>
              <w:ind w:right="78"/>
              <w:jc w:val="center"/>
              <w:rPr>
                <w:rFonts w:ascii="Times New Roman" w:hAnsi="Times New Roman" w:cs="Times New Roman"/>
                <w:b/>
                <w:i/>
                <w:sz w:val="20"/>
                <w:szCs w:val="20"/>
              </w:rPr>
            </w:pPr>
            <w:r w:rsidRPr="00D878DC">
              <w:rPr>
                <w:rFonts w:ascii="Times New Roman" w:hAnsi="Times New Roman" w:cs="Times New Roman"/>
                <w:b/>
                <w:i/>
                <w:sz w:val="20"/>
                <w:szCs w:val="20"/>
              </w:rPr>
              <w:t>1,160</w:t>
            </w:r>
          </w:p>
        </w:tc>
      </w:tr>
      <w:tr w:rsidR="009D6A43" w:rsidRPr="00A82310" w14:paraId="0EBB894E" w14:textId="77777777" w:rsidTr="009D6A43">
        <w:trPr>
          <w:gridAfter w:val="1"/>
          <w:wAfter w:w="11" w:type="dxa"/>
          <w:trHeight w:val="274"/>
          <w:jc w:val="center"/>
        </w:trPr>
        <w:tc>
          <w:tcPr>
            <w:tcW w:w="9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6EF8B2F" w14:textId="205F2724" w:rsidR="009D6A43" w:rsidRPr="00DC056C" w:rsidRDefault="009D6A43" w:rsidP="009D6A43">
            <w:pPr>
              <w:ind w:right="78"/>
              <w:rPr>
                <w:rFonts w:ascii="Times New Roman" w:hAnsi="Times New Roman" w:cs="Times New Roman"/>
                <w:sz w:val="20"/>
                <w:szCs w:val="20"/>
              </w:rPr>
            </w:pPr>
            <w:r>
              <w:rPr>
                <w:rFonts w:ascii="Times New Roman" w:hAnsi="Times New Roman"/>
                <w:b/>
              </w:rPr>
              <w:t>Number to complete</w:t>
            </w:r>
            <w:r w:rsidRPr="005C7C64">
              <w:rPr>
                <w:rFonts w:ascii="Times New Roman" w:hAnsi="Times New Roman"/>
                <w:b/>
              </w:rPr>
              <w:t xml:space="preserve"> the </w:t>
            </w:r>
            <w:r w:rsidR="0036720D">
              <w:rPr>
                <w:rFonts w:ascii="Times New Roman" w:hAnsi="Times New Roman"/>
                <w:b/>
              </w:rPr>
              <w:t xml:space="preserve">consent and </w:t>
            </w:r>
            <w:r w:rsidRPr="005C7C64">
              <w:rPr>
                <w:rFonts w:ascii="Times New Roman" w:hAnsi="Times New Roman"/>
                <w:b/>
              </w:rPr>
              <w:t>s</w:t>
            </w:r>
            <w:r w:rsidRPr="002736C2">
              <w:rPr>
                <w:rFonts w:ascii="Times New Roman" w:hAnsi="Times New Roman"/>
                <w:b/>
                <w:shd w:val="clear" w:color="auto" w:fill="D9D9D9" w:themeFill="background1" w:themeFillShade="D9"/>
              </w:rPr>
              <w:t xml:space="preserve">creener </w:t>
            </w:r>
          </w:p>
        </w:tc>
      </w:tr>
      <w:tr w:rsidR="009D6A43" w:rsidRPr="00A82310" w14:paraId="1C60393A" w14:textId="77777777" w:rsidTr="009D6A43">
        <w:trPr>
          <w:gridAfter w:val="1"/>
          <w:wAfter w:w="11" w:type="dxa"/>
          <w:trHeight w:val="274"/>
          <w:jc w:val="center"/>
        </w:trPr>
        <w:tc>
          <w:tcPr>
            <w:tcW w:w="305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36FD974B" w14:textId="0BA5423C" w:rsidR="009D6A43" w:rsidRPr="00DC056C" w:rsidRDefault="009D6A43" w:rsidP="002736C2">
            <w:pPr>
              <w:pStyle w:val="TableTextIndent1"/>
              <w:rPr>
                <w:rFonts w:ascii="Times New Roman" w:hAnsi="Times New Roman"/>
                <w:sz w:val="20"/>
              </w:rPr>
            </w:pPr>
            <w:r w:rsidRPr="00DC056C">
              <w:rPr>
                <w:rFonts w:ascii="Times New Roman" w:hAnsi="Times New Roman"/>
                <w:sz w:val="20"/>
              </w:rPr>
              <w:t>Adults (ages 26+)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A1DC95" w14:textId="5DEAA38E" w:rsidR="009D6A43" w:rsidRPr="00DC056C" w:rsidRDefault="009D6A43" w:rsidP="002736C2">
            <w:pPr>
              <w:pStyle w:val="TableText"/>
              <w:spacing w:before="0" w:after="0"/>
              <w:ind w:right="78"/>
              <w:jc w:val="center"/>
              <w:rPr>
                <w:rFonts w:ascii="Times New Roman" w:hAnsi="Times New Roman"/>
                <w:sz w:val="20"/>
                <w:szCs w:val="20"/>
              </w:rPr>
            </w:pPr>
            <w:r w:rsidRPr="00DC056C">
              <w:rPr>
                <w:rFonts w:ascii="Times New Roman" w:hAnsi="Times New Roman"/>
                <w:sz w:val="20"/>
                <w:szCs w:val="20"/>
              </w:rPr>
              <w:t>16,500</w:t>
            </w:r>
          </w:p>
        </w:tc>
        <w:tc>
          <w:tcPr>
            <w:tcW w:w="1350" w:type="dxa"/>
            <w:tcBorders>
              <w:top w:val="single" w:sz="4" w:space="0" w:color="auto"/>
              <w:left w:val="single" w:sz="4" w:space="0" w:color="auto"/>
              <w:bottom w:val="single" w:sz="4" w:space="0" w:color="auto"/>
              <w:right w:val="single" w:sz="4" w:space="0" w:color="auto"/>
            </w:tcBorders>
          </w:tcPr>
          <w:p w14:paraId="11980CC9" w14:textId="0D915B6D"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112F2788" w14:textId="1C6D1A19"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16,500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EFF16" w14:textId="1B923FE4" w:rsidR="009D6A43" w:rsidRPr="00DC056C" w:rsidRDefault="009D6A43" w:rsidP="00204031">
            <w:pPr>
              <w:ind w:right="78"/>
              <w:jc w:val="center"/>
              <w:rPr>
                <w:rFonts w:ascii="Times New Roman" w:hAnsi="Times New Roman" w:cs="Times New Roman"/>
                <w:color w:val="000000" w:themeColor="text1"/>
                <w:sz w:val="20"/>
                <w:szCs w:val="20"/>
              </w:rPr>
            </w:pPr>
            <w:r w:rsidRPr="00DC056C">
              <w:rPr>
                <w:rFonts w:ascii="Times New Roman" w:hAnsi="Times New Roman" w:cs="Times New Roman"/>
                <w:color w:val="000000" w:themeColor="text1"/>
                <w:sz w:val="20"/>
                <w:szCs w:val="20"/>
              </w:rPr>
              <w:t>0.</w:t>
            </w:r>
            <w:r w:rsidR="0036720D">
              <w:rPr>
                <w:rFonts w:ascii="Times New Roman" w:hAnsi="Times New Roman" w:cs="Times New Roman"/>
                <w:color w:val="000000" w:themeColor="text1"/>
                <w:sz w:val="20"/>
                <w:szCs w:val="20"/>
              </w:rPr>
              <w:t>10</w:t>
            </w:r>
          </w:p>
          <w:p w14:paraId="590C3BD6" w14:textId="0F865DB8" w:rsidR="009D6A43" w:rsidRPr="00DC056C" w:rsidRDefault="009D6A43" w:rsidP="002736C2">
            <w:pPr>
              <w:ind w:right="78"/>
              <w:jc w:val="center"/>
              <w:rPr>
                <w:rFonts w:ascii="Times New Roman" w:hAnsi="Times New Roman" w:cs="Times New Roman"/>
                <w:color w:val="000000" w:themeColor="text1"/>
                <w:sz w:val="20"/>
                <w:szCs w:val="20"/>
              </w:rPr>
            </w:pPr>
            <w:r w:rsidRPr="00DC056C">
              <w:rPr>
                <w:rFonts w:ascii="Times New Roman" w:hAnsi="Times New Roman" w:cs="Times New Roman"/>
                <w:color w:val="000000" w:themeColor="text1"/>
                <w:sz w:val="20"/>
                <w:szCs w:val="20"/>
              </w:rPr>
              <w:t>(</w:t>
            </w:r>
            <w:r w:rsidR="00D91E0E">
              <w:rPr>
                <w:rFonts w:ascii="Times New Roman" w:hAnsi="Times New Roman" w:cs="Times New Roman"/>
                <w:color w:val="000000" w:themeColor="text1"/>
                <w:sz w:val="20"/>
                <w:szCs w:val="20"/>
              </w:rPr>
              <w:t>6</w:t>
            </w:r>
            <w:r w:rsidR="00CC291E" w:rsidRPr="00DC056C">
              <w:rPr>
                <w:rFonts w:ascii="Times New Roman" w:hAnsi="Times New Roman" w:cs="Times New Roman"/>
                <w:color w:val="000000" w:themeColor="text1"/>
                <w:sz w:val="20"/>
                <w:szCs w:val="20"/>
              </w:rPr>
              <w:t xml:space="preserve"> </w:t>
            </w:r>
            <w:r w:rsidRPr="00DC056C">
              <w:rPr>
                <w:rFonts w:ascii="Times New Roman" w:hAnsi="Times New Roman" w:cs="Times New Roman"/>
                <w:color w:val="000000" w:themeColor="text1"/>
                <w:sz w:val="20"/>
                <w:szCs w:val="20"/>
              </w:rPr>
              <w:t>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059C2" w14:textId="30C60C06"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r w:rsidR="0036720D">
              <w:rPr>
                <w:rFonts w:ascii="Times New Roman" w:hAnsi="Times New Roman" w:cs="Times New Roman"/>
                <w:sz w:val="20"/>
                <w:szCs w:val="20"/>
              </w:rPr>
              <w:t>650</w:t>
            </w:r>
          </w:p>
        </w:tc>
      </w:tr>
      <w:tr w:rsidR="009D6A43" w:rsidRPr="00A82310" w14:paraId="4EAB40D1" w14:textId="77777777" w:rsidTr="005129B2">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C6A4A08" w14:textId="77777777" w:rsidR="009D6A43" w:rsidRPr="00DC056C" w:rsidRDefault="009D6A43" w:rsidP="002736C2">
            <w:pPr>
              <w:pStyle w:val="TableTextIndent1"/>
              <w:rPr>
                <w:rFonts w:ascii="Times New Roman" w:hAnsi="Times New Roman"/>
                <w:sz w:val="20"/>
              </w:rPr>
            </w:pPr>
            <w:r w:rsidRPr="00DC056C">
              <w:rPr>
                <w:rFonts w:ascii="Times New Roman" w:hAnsi="Times New Roman"/>
                <w:sz w:val="20"/>
              </w:rPr>
              <w:t>Young adults (ages 18-25)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A6CBE7" w14:textId="731DEDBB" w:rsidR="009D6A43" w:rsidRPr="00DC056C" w:rsidRDefault="009D6A43" w:rsidP="002736C2">
            <w:pPr>
              <w:pStyle w:val="TableText"/>
              <w:spacing w:before="0" w:after="0"/>
              <w:ind w:right="78"/>
              <w:jc w:val="center"/>
              <w:rPr>
                <w:rFonts w:ascii="Times New Roman" w:hAnsi="Times New Roman"/>
                <w:sz w:val="20"/>
                <w:szCs w:val="20"/>
              </w:rPr>
            </w:pPr>
            <w:r w:rsidRPr="00DC056C">
              <w:rPr>
                <w:rFonts w:ascii="Times New Roman" w:hAnsi="Times New Roman"/>
                <w:sz w:val="20"/>
                <w:szCs w:val="20"/>
              </w:rPr>
              <w:t>11,000</w:t>
            </w:r>
          </w:p>
        </w:tc>
        <w:tc>
          <w:tcPr>
            <w:tcW w:w="1350" w:type="dxa"/>
            <w:tcBorders>
              <w:top w:val="single" w:sz="4" w:space="0" w:color="auto"/>
              <w:left w:val="single" w:sz="4" w:space="0" w:color="auto"/>
              <w:bottom w:val="single" w:sz="4" w:space="0" w:color="auto"/>
              <w:right w:val="single" w:sz="4" w:space="0" w:color="auto"/>
            </w:tcBorders>
          </w:tcPr>
          <w:p w14:paraId="6DE94331" w14:textId="77777777"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28C3ACAF" w14:textId="53A13035"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11,000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46F0B" w14:textId="38C81427" w:rsidR="009D6A43" w:rsidRPr="00DC056C" w:rsidRDefault="009D6A43" w:rsidP="002736C2">
            <w:pPr>
              <w:ind w:right="78"/>
              <w:jc w:val="center"/>
              <w:rPr>
                <w:rFonts w:ascii="Times New Roman" w:hAnsi="Times New Roman" w:cs="Times New Roman"/>
                <w:color w:val="000000" w:themeColor="text1"/>
                <w:sz w:val="20"/>
                <w:szCs w:val="20"/>
              </w:rPr>
            </w:pPr>
            <w:r w:rsidRPr="00DC056C">
              <w:rPr>
                <w:rFonts w:ascii="Times New Roman" w:hAnsi="Times New Roman" w:cs="Times New Roman"/>
                <w:color w:val="000000" w:themeColor="text1"/>
                <w:sz w:val="20"/>
                <w:szCs w:val="20"/>
              </w:rPr>
              <w:t>0.</w:t>
            </w:r>
            <w:r w:rsidR="0036720D">
              <w:rPr>
                <w:rFonts w:ascii="Times New Roman" w:hAnsi="Times New Roman" w:cs="Times New Roman"/>
                <w:color w:val="000000" w:themeColor="text1"/>
                <w:sz w:val="20"/>
                <w:szCs w:val="20"/>
              </w:rPr>
              <w:t>10</w:t>
            </w:r>
          </w:p>
          <w:p w14:paraId="0BE4DF0D" w14:textId="6D7BCF47" w:rsidR="009D6A43" w:rsidRPr="00DC056C" w:rsidRDefault="009D6A43" w:rsidP="002736C2">
            <w:pPr>
              <w:ind w:right="78"/>
              <w:jc w:val="center"/>
              <w:rPr>
                <w:rFonts w:ascii="Times New Roman" w:hAnsi="Times New Roman" w:cs="Times New Roman"/>
                <w:color w:val="000000" w:themeColor="text1"/>
                <w:sz w:val="20"/>
                <w:szCs w:val="20"/>
              </w:rPr>
            </w:pPr>
            <w:r w:rsidRPr="00DC056C">
              <w:rPr>
                <w:rFonts w:ascii="Times New Roman" w:hAnsi="Times New Roman" w:cs="Times New Roman"/>
                <w:color w:val="000000" w:themeColor="text1"/>
                <w:sz w:val="20"/>
                <w:szCs w:val="20"/>
              </w:rPr>
              <w:t>(</w:t>
            </w:r>
            <w:r w:rsidR="00D91E0E">
              <w:rPr>
                <w:rFonts w:ascii="Times New Roman" w:hAnsi="Times New Roman" w:cs="Times New Roman"/>
                <w:color w:val="000000" w:themeColor="text1"/>
                <w:sz w:val="20"/>
                <w:szCs w:val="20"/>
              </w:rPr>
              <w:t>6</w:t>
            </w:r>
            <w:r w:rsidR="00CC291E" w:rsidRPr="00DC056C">
              <w:rPr>
                <w:rFonts w:ascii="Times New Roman" w:hAnsi="Times New Roman" w:cs="Times New Roman"/>
                <w:color w:val="000000" w:themeColor="text1"/>
                <w:sz w:val="20"/>
                <w:szCs w:val="20"/>
              </w:rPr>
              <w:t xml:space="preserve"> </w:t>
            </w:r>
            <w:r w:rsidRPr="00DC056C">
              <w:rPr>
                <w:rFonts w:ascii="Times New Roman" w:hAnsi="Times New Roman" w:cs="Times New Roman"/>
                <w:color w:val="000000" w:themeColor="text1"/>
                <w:sz w:val="20"/>
                <w:szCs w:val="20"/>
              </w:rPr>
              <w:t>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DB87B" w14:textId="41CBCA68" w:rsidR="009D6A43" w:rsidRPr="00DC056C" w:rsidRDefault="0036720D" w:rsidP="002736C2">
            <w:pPr>
              <w:ind w:right="78"/>
              <w:jc w:val="center"/>
              <w:rPr>
                <w:rFonts w:ascii="Times New Roman" w:hAnsi="Times New Roman" w:cs="Times New Roman"/>
                <w:sz w:val="20"/>
                <w:szCs w:val="20"/>
              </w:rPr>
            </w:pPr>
            <w:r>
              <w:rPr>
                <w:rFonts w:ascii="Times New Roman" w:hAnsi="Times New Roman" w:cs="Times New Roman"/>
                <w:sz w:val="20"/>
                <w:szCs w:val="20"/>
              </w:rPr>
              <w:t>1,100</w:t>
            </w:r>
          </w:p>
        </w:tc>
      </w:tr>
      <w:tr w:rsidR="009D6A43" w:rsidRPr="00A82310" w14:paraId="700DED67" w14:textId="77777777" w:rsidTr="005129B2">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0373FA6" w14:textId="3A0306A4" w:rsidR="009D6A43" w:rsidRPr="00E9464A" w:rsidRDefault="009D6A43" w:rsidP="002736C2">
            <w:pPr>
              <w:pStyle w:val="TableTextIndent1"/>
              <w:rPr>
                <w:rFonts w:ascii="Times New Roman" w:hAnsi="Times New Roman"/>
                <w:b/>
                <w:i/>
                <w:sz w:val="20"/>
              </w:rPr>
            </w:pPr>
            <w:r w:rsidRPr="00E9464A">
              <w:rPr>
                <w:rFonts w:ascii="Times New Roman" w:hAnsi="Times New Roman"/>
                <w:b/>
                <w:i/>
                <w:sz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91A5D6" w14:textId="0EDDBF4B" w:rsidR="009D6A43" w:rsidRPr="00DC056C" w:rsidRDefault="009D6A43" w:rsidP="002736C2">
            <w:pPr>
              <w:pStyle w:val="TableText"/>
              <w:spacing w:before="0" w:after="0"/>
              <w:ind w:right="78"/>
              <w:jc w:val="center"/>
              <w:rPr>
                <w:rFonts w:ascii="Times New Roman" w:hAnsi="Times New Roman"/>
                <w:i/>
                <w:sz w:val="20"/>
                <w:szCs w:val="20"/>
              </w:rPr>
            </w:pPr>
            <w:r w:rsidRPr="00DC056C">
              <w:rPr>
                <w:rFonts w:ascii="Times New Roman" w:hAnsi="Times New Roman"/>
                <w:i/>
                <w:sz w:val="20"/>
                <w:szCs w:val="20"/>
              </w:rPr>
              <w:t>27,500</w:t>
            </w:r>
          </w:p>
        </w:tc>
        <w:tc>
          <w:tcPr>
            <w:tcW w:w="1350" w:type="dxa"/>
            <w:tcBorders>
              <w:top w:val="single" w:sz="4" w:space="0" w:color="auto"/>
              <w:left w:val="single" w:sz="4" w:space="0" w:color="auto"/>
              <w:bottom w:val="single" w:sz="4" w:space="0" w:color="auto"/>
              <w:right w:val="single" w:sz="4" w:space="0" w:color="auto"/>
            </w:tcBorders>
          </w:tcPr>
          <w:p w14:paraId="6893D71C" w14:textId="7AC455B4" w:rsidR="009D6A43" w:rsidRPr="00DC056C" w:rsidRDefault="009D6A43" w:rsidP="002736C2">
            <w:pPr>
              <w:ind w:right="78"/>
              <w:jc w:val="center"/>
              <w:rPr>
                <w:rFonts w:ascii="Times New Roman" w:hAnsi="Times New Roman" w:cs="Times New Roman"/>
                <w:i/>
                <w:sz w:val="20"/>
                <w:szCs w:val="20"/>
              </w:rPr>
            </w:pPr>
            <w:r w:rsidRPr="00DC056C">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0AB03B3F" w14:textId="26E9A063" w:rsidR="009D6A43" w:rsidRPr="00DC056C" w:rsidRDefault="009D6A43" w:rsidP="002736C2">
            <w:pPr>
              <w:ind w:right="78"/>
              <w:jc w:val="center"/>
              <w:rPr>
                <w:rFonts w:ascii="Times New Roman" w:hAnsi="Times New Roman" w:cs="Times New Roman"/>
                <w:i/>
                <w:sz w:val="20"/>
                <w:szCs w:val="20"/>
              </w:rPr>
            </w:pPr>
            <w:r w:rsidRPr="00DC056C">
              <w:rPr>
                <w:rFonts w:ascii="Times New Roman" w:hAnsi="Times New Roman" w:cs="Times New Roman"/>
                <w:i/>
                <w:sz w:val="20"/>
                <w:szCs w:val="20"/>
              </w:rPr>
              <w:t>27,500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AB171" w14:textId="4220DC1C" w:rsidR="009D6A43" w:rsidRPr="00DC056C" w:rsidRDefault="009D6A43" w:rsidP="002736C2">
            <w:pPr>
              <w:ind w:right="78"/>
              <w:jc w:val="center"/>
              <w:rPr>
                <w:rFonts w:ascii="Times New Roman" w:hAnsi="Times New Roman" w:cs="Times New Roman"/>
                <w:i/>
                <w:color w:val="000000" w:themeColor="text1"/>
                <w:sz w:val="20"/>
                <w:szCs w:val="20"/>
              </w:rPr>
            </w:pPr>
            <w:r w:rsidRPr="00DC056C">
              <w:rPr>
                <w:rFonts w:ascii="Times New Roman" w:hAnsi="Times New Roman" w:cs="Times New Roman"/>
                <w:i/>
                <w:color w:val="000000" w:themeColor="text1"/>
                <w:sz w:val="20"/>
                <w:szCs w:val="20"/>
              </w:rPr>
              <w:t>0.</w:t>
            </w:r>
            <w:r w:rsidR="0036720D">
              <w:rPr>
                <w:rFonts w:ascii="Times New Roman" w:hAnsi="Times New Roman" w:cs="Times New Roman"/>
                <w:i/>
                <w:color w:val="000000" w:themeColor="text1"/>
                <w:sz w:val="20"/>
                <w:szCs w:val="20"/>
              </w:rPr>
              <w:t>10</w:t>
            </w:r>
          </w:p>
          <w:p w14:paraId="25DD8CD8" w14:textId="4B7E6E68" w:rsidR="009D6A43" w:rsidRPr="00DC056C" w:rsidRDefault="009D6A43" w:rsidP="002736C2">
            <w:pPr>
              <w:ind w:right="78"/>
              <w:jc w:val="center"/>
              <w:rPr>
                <w:rFonts w:ascii="Times New Roman" w:hAnsi="Times New Roman" w:cs="Times New Roman"/>
                <w:i/>
                <w:color w:val="000000" w:themeColor="text1"/>
                <w:sz w:val="20"/>
                <w:szCs w:val="20"/>
              </w:rPr>
            </w:pPr>
            <w:r w:rsidRPr="00DC056C">
              <w:rPr>
                <w:rFonts w:ascii="Times New Roman" w:hAnsi="Times New Roman" w:cs="Times New Roman"/>
                <w:i/>
                <w:color w:val="000000" w:themeColor="text1"/>
                <w:sz w:val="20"/>
                <w:szCs w:val="20"/>
              </w:rPr>
              <w:t>(</w:t>
            </w:r>
            <w:r w:rsidR="00D91E0E">
              <w:rPr>
                <w:rFonts w:ascii="Times New Roman" w:hAnsi="Times New Roman" w:cs="Times New Roman"/>
                <w:i/>
                <w:color w:val="000000" w:themeColor="text1"/>
                <w:sz w:val="20"/>
                <w:szCs w:val="20"/>
              </w:rPr>
              <w:t>6</w:t>
            </w:r>
            <w:r w:rsidR="00CC291E" w:rsidRPr="00DC056C">
              <w:rPr>
                <w:rFonts w:ascii="Times New Roman" w:hAnsi="Times New Roman" w:cs="Times New Roman"/>
                <w:i/>
                <w:color w:val="000000" w:themeColor="text1"/>
                <w:sz w:val="20"/>
                <w:szCs w:val="20"/>
              </w:rPr>
              <w:t xml:space="preserve"> </w:t>
            </w:r>
            <w:r w:rsidRPr="00DC056C">
              <w:rPr>
                <w:rFonts w:ascii="Times New Roman" w:hAnsi="Times New Roman" w:cs="Times New Roman"/>
                <w:i/>
                <w:color w:val="000000" w:themeColor="text1"/>
                <w:sz w:val="20"/>
                <w:szCs w:val="20"/>
              </w:rPr>
              <w:t>min)</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113B5" w14:textId="4C5E6818" w:rsidR="009D6A43" w:rsidRPr="00CA28C6" w:rsidRDefault="0036720D" w:rsidP="00D61D61">
            <w:pPr>
              <w:ind w:right="78"/>
              <w:jc w:val="center"/>
              <w:rPr>
                <w:rFonts w:ascii="Times New Roman" w:hAnsi="Times New Roman" w:cs="Times New Roman"/>
                <w:b/>
                <w:i/>
                <w:sz w:val="20"/>
                <w:szCs w:val="20"/>
              </w:rPr>
            </w:pPr>
            <w:r>
              <w:rPr>
                <w:rFonts w:ascii="Times New Roman" w:hAnsi="Times New Roman" w:cs="Times New Roman"/>
                <w:b/>
                <w:i/>
                <w:sz w:val="20"/>
                <w:szCs w:val="20"/>
              </w:rPr>
              <w:t>2,750</w:t>
            </w:r>
          </w:p>
        </w:tc>
      </w:tr>
      <w:tr w:rsidR="009D6A43" w:rsidRPr="00A82310" w14:paraId="7BBA4AF5" w14:textId="77777777" w:rsidTr="00134B59">
        <w:trPr>
          <w:trHeight w:val="274"/>
          <w:jc w:val="center"/>
        </w:trPr>
        <w:tc>
          <w:tcPr>
            <w:tcW w:w="9271" w:type="dxa"/>
            <w:gridSpan w:val="7"/>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bottom"/>
            <w:hideMark/>
          </w:tcPr>
          <w:p w14:paraId="1AE26E9D" w14:textId="5ACCDA97" w:rsidR="009D6A43" w:rsidRPr="00A82310" w:rsidRDefault="009D6A43" w:rsidP="00DC056C">
            <w:pPr>
              <w:ind w:right="78"/>
              <w:rPr>
                <w:rFonts w:ascii="Times New Roman" w:hAnsi="Times New Roman" w:cs="Times New Roman"/>
              </w:rPr>
            </w:pPr>
            <w:r>
              <w:rPr>
                <w:rFonts w:ascii="Times New Roman" w:hAnsi="Times New Roman" w:cs="Times New Roman"/>
                <w:b/>
              </w:rPr>
              <w:t>Number of survey completes</w:t>
            </w:r>
          </w:p>
        </w:tc>
      </w:tr>
      <w:tr w:rsidR="009D6A43" w:rsidRPr="00A82310" w14:paraId="24CA6D9A" w14:textId="77777777" w:rsidTr="00134B59">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4DA959C" w14:textId="77777777" w:rsidR="009D6A43" w:rsidRPr="00DC056C" w:rsidRDefault="009D6A43" w:rsidP="002736C2">
            <w:pPr>
              <w:pStyle w:val="TableTextIndent1"/>
              <w:ind w:left="247"/>
              <w:rPr>
                <w:rFonts w:ascii="Times New Roman" w:hAnsi="Times New Roman"/>
                <w:sz w:val="20"/>
              </w:rPr>
            </w:pPr>
            <w:r w:rsidRPr="00DC056C">
              <w:rPr>
                <w:rFonts w:ascii="Times New Roman" w:hAnsi="Times New Roman"/>
                <w:sz w:val="20"/>
              </w:rPr>
              <w:t>Adults (ages 26+)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5E35" w14:textId="77777777" w:rsidR="009D6A43" w:rsidRPr="00DC056C" w:rsidRDefault="009D6A43" w:rsidP="002736C2">
            <w:pPr>
              <w:pStyle w:val="TableText"/>
              <w:spacing w:before="0" w:after="0"/>
              <w:ind w:right="78"/>
              <w:jc w:val="center"/>
              <w:rPr>
                <w:rFonts w:ascii="Times New Roman" w:hAnsi="Times New Roman"/>
                <w:sz w:val="20"/>
                <w:szCs w:val="20"/>
              </w:rPr>
            </w:pPr>
            <w:r w:rsidRPr="00DC056C">
              <w:rPr>
                <w:rFonts w:ascii="Times New Roman" w:hAnsi="Times New Roman"/>
                <w:sz w:val="20"/>
                <w:szCs w:val="20"/>
              </w:rPr>
              <w:t>3,300</w:t>
            </w:r>
          </w:p>
        </w:tc>
        <w:tc>
          <w:tcPr>
            <w:tcW w:w="1350" w:type="dxa"/>
            <w:tcBorders>
              <w:top w:val="single" w:sz="4" w:space="0" w:color="auto"/>
              <w:left w:val="single" w:sz="4" w:space="0" w:color="auto"/>
              <w:bottom w:val="single" w:sz="4" w:space="0" w:color="auto"/>
              <w:right w:val="single" w:sz="4" w:space="0" w:color="auto"/>
            </w:tcBorders>
          </w:tcPr>
          <w:p w14:paraId="62ECFD9B" w14:textId="77777777"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38CA01CB" w14:textId="471BD26D"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3,300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3ABFC" w14:textId="71F1BCCB" w:rsidR="009D6A43" w:rsidRPr="00DC056C" w:rsidRDefault="009D6A43" w:rsidP="002736C2">
            <w:pPr>
              <w:ind w:right="78"/>
              <w:jc w:val="center"/>
              <w:rPr>
                <w:rFonts w:ascii="Times New Roman" w:hAnsi="Times New Roman" w:cs="Times New Roman"/>
                <w:sz w:val="20"/>
                <w:szCs w:val="20"/>
              </w:rPr>
            </w:pPr>
            <w:r>
              <w:rPr>
                <w:rFonts w:ascii="Times New Roman" w:hAnsi="Times New Roman" w:cs="Times New Roman"/>
                <w:sz w:val="20"/>
                <w:szCs w:val="20"/>
              </w:rPr>
              <w:t>0</w:t>
            </w:r>
            <w:r w:rsidRPr="00DC056C">
              <w:rPr>
                <w:rFonts w:ascii="Times New Roman" w:hAnsi="Times New Roman" w:cs="Times New Roman"/>
                <w:sz w:val="20"/>
                <w:szCs w:val="20"/>
              </w:rPr>
              <w:t xml:space="preserve">.33 </w:t>
            </w:r>
          </w:p>
          <w:p w14:paraId="38B3A476" w14:textId="68451E93"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(20 mins)</w:t>
            </w:r>
          </w:p>
          <w:p w14:paraId="5EB902EE" w14:textId="1ECCC495" w:rsidR="009D6A43" w:rsidRPr="00DC056C" w:rsidRDefault="009D6A43" w:rsidP="002736C2">
            <w:pPr>
              <w:ind w:right="78"/>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A0D5" w14:textId="2E506120" w:rsidR="009D6A43" w:rsidRPr="00DC056C" w:rsidRDefault="009D6A43" w:rsidP="002736C2">
            <w:pPr>
              <w:ind w:right="78"/>
              <w:jc w:val="center"/>
              <w:rPr>
                <w:rFonts w:ascii="Times New Roman" w:hAnsi="Times New Roman" w:cs="Times New Roman"/>
                <w:sz w:val="20"/>
                <w:szCs w:val="20"/>
              </w:rPr>
            </w:pPr>
          </w:p>
          <w:p w14:paraId="7AB249E9" w14:textId="2D943067"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1,089</w:t>
            </w:r>
          </w:p>
        </w:tc>
      </w:tr>
      <w:tr w:rsidR="009D6A43" w:rsidRPr="00A82310" w14:paraId="7FF8CA40" w14:textId="77777777" w:rsidTr="00134B59">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4DB6D76" w14:textId="77777777" w:rsidR="009D6A43" w:rsidRPr="00DC056C" w:rsidRDefault="009D6A43" w:rsidP="002736C2">
            <w:pPr>
              <w:pStyle w:val="TableTextIndent1"/>
              <w:ind w:left="247"/>
              <w:rPr>
                <w:rFonts w:ascii="Times New Roman" w:hAnsi="Times New Roman"/>
                <w:sz w:val="20"/>
              </w:rPr>
            </w:pPr>
            <w:r w:rsidRPr="00DC056C">
              <w:rPr>
                <w:rFonts w:ascii="Times New Roman" w:hAnsi="Times New Roman"/>
                <w:sz w:val="20"/>
              </w:rPr>
              <w:t>Young adults (ages 18-25)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30A67" w14:textId="77777777" w:rsidR="009D6A43" w:rsidRPr="00DC056C" w:rsidRDefault="009D6A43" w:rsidP="002736C2">
            <w:pPr>
              <w:pStyle w:val="TableText"/>
              <w:spacing w:before="0" w:after="0"/>
              <w:ind w:right="78"/>
              <w:jc w:val="center"/>
              <w:rPr>
                <w:rFonts w:ascii="Times New Roman" w:hAnsi="Times New Roman"/>
                <w:sz w:val="20"/>
                <w:szCs w:val="20"/>
              </w:rPr>
            </w:pPr>
            <w:r w:rsidRPr="00DC056C">
              <w:rPr>
                <w:rFonts w:ascii="Times New Roman" w:hAnsi="Times New Roman"/>
                <w:sz w:val="20"/>
                <w:szCs w:val="20"/>
              </w:rPr>
              <w:t>3,300</w:t>
            </w:r>
          </w:p>
        </w:tc>
        <w:tc>
          <w:tcPr>
            <w:tcW w:w="1350" w:type="dxa"/>
            <w:tcBorders>
              <w:top w:val="single" w:sz="4" w:space="0" w:color="auto"/>
              <w:left w:val="single" w:sz="4" w:space="0" w:color="auto"/>
              <w:bottom w:val="single" w:sz="4" w:space="0" w:color="auto"/>
              <w:right w:val="single" w:sz="4" w:space="0" w:color="auto"/>
            </w:tcBorders>
          </w:tcPr>
          <w:p w14:paraId="1CB2F6A6" w14:textId="77777777"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18AD0112" w14:textId="6EA9466F"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3,300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B206F" w14:textId="61E49B53" w:rsidR="009D6A43" w:rsidRPr="00DC056C" w:rsidRDefault="009D6A43" w:rsidP="002736C2">
            <w:pPr>
              <w:ind w:right="78"/>
              <w:jc w:val="center"/>
              <w:rPr>
                <w:rFonts w:ascii="Times New Roman" w:hAnsi="Times New Roman" w:cs="Times New Roman"/>
                <w:sz w:val="20"/>
                <w:szCs w:val="20"/>
              </w:rPr>
            </w:pPr>
            <w:r>
              <w:rPr>
                <w:rFonts w:ascii="Times New Roman" w:hAnsi="Times New Roman" w:cs="Times New Roman"/>
                <w:sz w:val="20"/>
                <w:szCs w:val="20"/>
              </w:rPr>
              <w:t>0</w:t>
            </w:r>
            <w:r w:rsidRPr="00DC056C">
              <w:rPr>
                <w:rFonts w:ascii="Times New Roman" w:hAnsi="Times New Roman" w:cs="Times New Roman"/>
                <w:sz w:val="20"/>
                <w:szCs w:val="20"/>
              </w:rPr>
              <w:t xml:space="preserve">.33 </w:t>
            </w:r>
          </w:p>
          <w:p w14:paraId="10736C9B" w14:textId="20E97C88"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(20 mins)</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51058" w14:textId="64FFB70C" w:rsidR="009D6A43" w:rsidRPr="00DC056C" w:rsidRDefault="009D6A43" w:rsidP="002736C2">
            <w:pPr>
              <w:ind w:right="78"/>
              <w:jc w:val="center"/>
              <w:rPr>
                <w:rFonts w:ascii="Times New Roman" w:hAnsi="Times New Roman" w:cs="Times New Roman"/>
                <w:sz w:val="20"/>
                <w:szCs w:val="20"/>
              </w:rPr>
            </w:pPr>
          </w:p>
          <w:p w14:paraId="371A1DDF" w14:textId="52BEDA99" w:rsidR="009D6A43" w:rsidRPr="00DC056C" w:rsidRDefault="009D6A43" w:rsidP="002736C2">
            <w:pPr>
              <w:ind w:right="78"/>
              <w:jc w:val="center"/>
              <w:rPr>
                <w:rFonts w:ascii="Times New Roman" w:hAnsi="Times New Roman" w:cs="Times New Roman"/>
                <w:sz w:val="20"/>
                <w:szCs w:val="20"/>
              </w:rPr>
            </w:pPr>
            <w:r w:rsidRPr="00DC056C">
              <w:rPr>
                <w:rFonts w:ascii="Times New Roman" w:hAnsi="Times New Roman" w:cs="Times New Roman"/>
                <w:sz w:val="20"/>
                <w:szCs w:val="20"/>
              </w:rPr>
              <w:t>1,089</w:t>
            </w:r>
          </w:p>
        </w:tc>
      </w:tr>
      <w:tr w:rsidR="009D6A43" w:rsidRPr="00A82310" w14:paraId="0B2FC379" w14:textId="77777777" w:rsidTr="00134B59">
        <w:trPr>
          <w:gridAfter w:val="1"/>
          <w:wAfter w:w="11" w:type="dxa"/>
          <w:trHeight w:val="274"/>
          <w:jc w:val="center"/>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71A79EA" w14:textId="71463399" w:rsidR="009D6A43" w:rsidRPr="00CA28C6" w:rsidRDefault="009D6A43" w:rsidP="002736C2">
            <w:pPr>
              <w:pStyle w:val="TableTextIndent1"/>
              <w:ind w:left="247"/>
              <w:rPr>
                <w:rFonts w:ascii="Times New Roman" w:hAnsi="Times New Roman"/>
                <w:b/>
                <w:i/>
                <w:sz w:val="20"/>
              </w:rPr>
            </w:pPr>
            <w:r w:rsidRPr="00CA28C6">
              <w:rPr>
                <w:rFonts w:ascii="Times New Roman" w:hAnsi="Times New Roman"/>
                <w:b/>
                <w:i/>
                <w:sz w:val="20"/>
              </w:rPr>
              <w:t>Total</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3D056" w14:textId="7D0D5C88" w:rsidR="009D6A43" w:rsidRPr="00DC056C" w:rsidRDefault="009D6A43" w:rsidP="002736C2">
            <w:pPr>
              <w:pStyle w:val="TableText"/>
              <w:spacing w:before="0" w:after="0"/>
              <w:ind w:right="78"/>
              <w:jc w:val="center"/>
              <w:rPr>
                <w:rFonts w:ascii="Times New Roman" w:hAnsi="Times New Roman"/>
                <w:i/>
                <w:sz w:val="20"/>
                <w:szCs w:val="20"/>
              </w:rPr>
            </w:pPr>
            <w:r w:rsidRPr="00DC056C">
              <w:rPr>
                <w:rFonts w:ascii="Times New Roman" w:hAnsi="Times New Roman"/>
                <w:i/>
                <w:sz w:val="20"/>
                <w:szCs w:val="20"/>
              </w:rPr>
              <w:t>6,600</w:t>
            </w:r>
          </w:p>
        </w:tc>
        <w:tc>
          <w:tcPr>
            <w:tcW w:w="1350" w:type="dxa"/>
            <w:tcBorders>
              <w:top w:val="single" w:sz="4" w:space="0" w:color="auto"/>
              <w:left w:val="single" w:sz="4" w:space="0" w:color="auto"/>
              <w:bottom w:val="single" w:sz="4" w:space="0" w:color="auto"/>
              <w:right w:val="single" w:sz="4" w:space="0" w:color="auto"/>
            </w:tcBorders>
          </w:tcPr>
          <w:p w14:paraId="0C1C5447" w14:textId="6B3B67A2" w:rsidR="009D6A43" w:rsidRPr="00DC056C" w:rsidRDefault="009D6A43" w:rsidP="002736C2">
            <w:pPr>
              <w:ind w:right="78"/>
              <w:jc w:val="center"/>
              <w:rPr>
                <w:rFonts w:ascii="Times New Roman" w:hAnsi="Times New Roman" w:cs="Times New Roman"/>
                <w:i/>
                <w:sz w:val="20"/>
                <w:szCs w:val="20"/>
              </w:rPr>
            </w:pPr>
            <w:r w:rsidRPr="00DC056C">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35D9E3F6" w14:textId="6538EA24" w:rsidR="009D6A43" w:rsidRPr="00DC056C" w:rsidRDefault="009D6A43" w:rsidP="002736C2">
            <w:pPr>
              <w:ind w:right="78"/>
              <w:jc w:val="center"/>
              <w:rPr>
                <w:rFonts w:ascii="Times New Roman" w:hAnsi="Times New Roman" w:cs="Times New Roman"/>
                <w:i/>
                <w:sz w:val="20"/>
                <w:szCs w:val="20"/>
              </w:rPr>
            </w:pPr>
            <w:r w:rsidRPr="00DC056C">
              <w:rPr>
                <w:rFonts w:ascii="Times New Roman" w:hAnsi="Times New Roman" w:cs="Times New Roman"/>
                <w:i/>
                <w:sz w:val="20"/>
                <w:szCs w:val="20"/>
              </w:rPr>
              <w:t>6,600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712C2" w14:textId="1A27A86E" w:rsidR="009D6A43" w:rsidRPr="00DC056C" w:rsidRDefault="009D6A43" w:rsidP="002736C2">
            <w:pPr>
              <w:ind w:right="78"/>
              <w:jc w:val="center"/>
              <w:rPr>
                <w:rFonts w:ascii="Times New Roman" w:hAnsi="Times New Roman" w:cs="Times New Roman"/>
                <w:i/>
                <w:sz w:val="20"/>
                <w:szCs w:val="20"/>
              </w:rPr>
            </w:pPr>
            <w:r>
              <w:rPr>
                <w:rFonts w:ascii="Times New Roman" w:hAnsi="Times New Roman" w:cs="Times New Roman"/>
                <w:i/>
                <w:sz w:val="20"/>
                <w:szCs w:val="20"/>
              </w:rPr>
              <w:t>0</w:t>
            </w:r>
            <w:r w:rsidRPr="00DC056C">
              <w:rPr>
                <w:rFonts w:ascii="Times New Roman" w:hAnsi="Times New Roman" w:cs="Times New Roman"/>
                <w:i/>
                <w:sz w:val="20"/>
                <w:szCs w:val="20"/>
              </w:rPr>
              <w:t>.33</w:t>
            </w:r>
          </w:p>
          <w:p w14:paraId="030B28BE" w14:textId="4E5CA2B7" w:rsidR="009D6A43" w:rsidRPr="00DC056C" w:rsidRDefault="009D6A43" w:rsidP="002736C2">
            <w:pPr>
              <w:ind w:right="78"/>
              <w:jc w:val="center"/>
              <w:rPr>
                <w:rFonts w:ascii="Times New Roman" w:hAnsi="Times New Roman" w:cs="Times New Roman"/>
                <w:i/>
                <w:sz w:val="20"/>
                <w:szCs w:val="20"/>
              </w:rPr>
            </w:pPr>
            <w:r w:rsidRPr="00DC056C">
              <w:rPr>
                <w:rFonts w:ascii="Times New Roman" w:hAnsi="Times New Roman" w:cs="Times New Roman"/>
                <w:i/>
                <w:sz w:val="20"/>
                <w:szCs w:val="20"/>
              </w:rPr>
              <w:t>(20 mins)</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A25D" w14:textId="776FA4D9" w:rsidR="009D6A43" w:rsidRPr="00CA28C6" w:rsidRDefault="009D6A43" w:rsidP="002736C2">
            <w:pPr>
              <w:ind w:right="78"/>
              <w:jc w:val="center"/>
              <w:rPr>
                <w:rFonts w:ascii="Times New Roman" w:hAnsi="Times New Roman" w:cs="Times New Roman"/>
                <w:b/>
                <w:i/>
                <w:sz w:val="20"/>
                <w:szCs w:val="20"/>
              </w:rPr>
            </w:pPr>
            <w:r w:rsidRPr="00CA28C6">
              <w:rPr>
                <w:rFonts w:ascii="Times New Roman" w:hAnsi="Times New Roman" w:cs="Times New Roman"/>
                <w:b/>
                <w:i/>
                <w:sz w:val="20"/>
                <w:szCs w:val="20"/>
              </w:rPr>
              <w:t>2,178</w:t>
            </w:r>
          </w:p>
        </w:tc>
      </w:tr>
      <w:tr w:rsidR="009D6A43" w:rsidRPr="00A82310" w14:paraId="7B4046DD" w14:textId="77777777" w:rsidTr="00134B59">
        <w:trPr>
          <w:gridAfter w:val="1"/>
          <w:wAfter w:w="11" w:type="dxa"/>
          <w:trHeight w:val="274"/>
          <w:jc w:val="center"/>
        </w:trPr>
        <w:tc>
          <w:tcPr>
            <w:tcW w:w="3050" w:type="dxa"/>
            <w:tcBorders>
              <w:top w:val="nil"/>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hideMark/>
          </w:tcPr>
          <w:p w14:paraId="0673FC14" w14:textId="77777777" w:rsidR="009D6A43" w:rsidRPr="00A82310" w:rsidRDefault="009D6A43" w:rsidP="002736C2">
            <w:pPr>
              <w:rPr>
                <w:rFonts w:ascii="Times New Roman" w:hAnsi="Times New Roman" w:cs="Times New Roman"/>
                <w:b/>
                <w:bCs/>
              </w:rPr>
            </w:pPr>
            <w:r w:rsidRPr="00A82310">
              <w:rPr>
                <w:rFonts w:ascii="Times New Roman" w:hAnsi="Times New Roman" w:cs="Times New Roman"/>
                <w:b/>
                <w:bCs/>
              </w:rPr>
              <w:t>Total Hours</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hideMark/>
          </w:tcPr>
          <w:p w14:paraId="2A9A4470" w14:textId="5CCC3DA1" w:rsidR="009D6A43" w:rsidRPr="00A82310" w:rsidRDefault="0036720D" w:rsidP="002736C2">
            <w:pPr>
              <w:ind w:right="78"/>
              <w:jc w:val="right"/>
              <w:rPr>
                <w:rFonts w:ascii="Times New Roman" w:hAnsi="Times New Roman" w:cs="Times New Roman"/>
                <w:b/>
                <w:bCs/>
              </w:rPr>
            </w:pPr>
            <w:r>
              <w:rPr>
                <w:rFonts w:ascii="Times New Roman" w:hAnsi="Times New Roman" w:cs="Times New Roman"/>
                <w:b/>
                <w:bCs/>
              </w:rPr>
              <w:t>6,088</w:t>
            </w:r>
          </w:p>
        </w:tc>
      </w:tr>
    </w:tbl>
    <w:p w14:paraId="6BEB85BE" w14:textId="0893A03E" w:rsidR="00B560C0" w:rsidRDefault="00B560C0" w:rsidP="00B560C0">
      <w:pPr>
        <w:spacing w:before="120" w:after="120" w:line="360" w:lineRule="auto"/>
      </w:pPr>
      <w:r w:rsidRPr="008150AC">
        <w:rPr>
          <w:vertAlign w:val="superscript"/>
        </w:rPr>
        <w:t>a</w:t>
      </w:r>
      <w:r w:rsidR="00F025D0">
        <w:t>Rounded from minutes to hours.</w:t>
      </w:r>
    </w:p>
    <w:bookmarkEnd w:id="7"/>
    <w:p w14:paraId="483414FD" w14:textId="1655E5B0" w:rsidR="00F735A9" w:rsidRPr="00E9464A" w:rsidRDefault="00E9464A" w:rsidP="00B6274E">
      <w:pPr>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12b. </w:t>
      </w:r>
      <w:r w:rsidR="00F735A9" w:rsidRPr="00E9464A">
        <w:rPr>
          <w:rFonts w:ascii="Times New Roman" w:hAnsi="Times New Roman" w:cs="Times New Roman"/>
          <w:color w:val="000000" w:themeColor="text1"/>
          <w:u w:val="single"/>
        </w:rPr>
        <w:t>Annualized Cost Burden Estimate</w:t>
      </w:r>
    </w:p>
    <w:p w14:paraId="2CE6BA63" w14:textId="77777777" w:rsidR="00F62514" w:rsidRPr="00134B59" w:rsidRDefault="00F62514" w:rsidP="00CE1475">
      <w:pPr>
        <w:ind w:left="1080"/>
        <w:rPr>
          <w:rFonts w:ascii="Times New Roman" w:hAnsi="Times New Roman" w:cs="Times New Roman"/>
          <w:color w:val="000000" w:themeColor="text1"/>
        </w:rPr>
      </w:pPr>
    </w:p>
    <w:p w14:paraId="111614CA" w14:textId="69A0600A" w:rsidR="00077F09" w:rsidRPr="00134B59" w:rsidRDefault="00077F09" w:rsidP="00B6274E">
      <w:pPr>
        <w:rPr>
          <w:rFonts w:ascii="Times New Roman" w:hAnsi="Times New Roman" w:cs="Times New Roman"/>
          <w:color w:val="000000" w:themeColor="text1"/>
        </w:rPr>
      </w:pPr>
      <w:r w:rsidRPr="00134B59">
        <w:rPr>
          <w:rFonts w:ascii="Times New Roman" w:hAnsi="Times New Roman" w:cs="Times New Roman"/>
          <w:color w:val="000000" w:themeColor="text1"/>
        </w:rPr>
        <w:t xml:space="preserve">Respondents participate on a purely voluntary basis and are subject to no direct costs other than time to participate. There are also no start-up or maintenance costs. RTI has conducted many smoking-related surveys of similar length among </w:t>
      </w:r>
      <w:r w:rsidR="004C2F91" w:rsidRPr="00134B59">
        <w:rPr>
          <w:rFonts w:ascii="Times New Roman" w:hAnsi="Times New Roman" w:cs="Times New Roman"/>
          <w:color w:val="000000" w:themeColor="text1"/>
        </w:rPr>
        <w:t>adults</w:t>
      </w:r>
      <w:r w:rsidRPr="00134B59">
        <w:rPr>
          <w:rFonts w:ascii="Times New Roman" w:hAnsi="Times New Roman" w:cs="Times New Roman"/>
          <w:color w:val="000000" w:themeColor="text1"/>
        </w:rPr>
        <w:t xml:space="preserve">. We have examined diagnostic data from each of these prior surveys and estimate that data collection for this study will take approximately </w:t>
      </w:r>
      <w:r w:rsidR="00AE779B" w:rsidRPr="00134B59">
        <w:rPr>
          <w:rFonts w:ascii="Times New Roman" w:hAnsi="Times New Roman" w:cs="Times New Roman"/>
          <w:color w:val="000000" w:themeColor="text1"/>
        </w:rPr>
        <w:t>2</w:t>
      </w:r>
      <w:r w:rsidR="00917058">
        <w:rPr>
          <w:rFonts w:ascii="Times New Roman" w:hAnsi="Times New Roman" w:cs="Times New Roman"/>
          <w:color w:val="000000" w:themeColor="text1"/>
        </w:rPr>
        <w:t>7</w:t>
      </w:r>
      <w:r w:rsidRPr="00134B59">
        <w:rPr>
          <w:rFonts w:ascii="Times New Roman" w:hAnsi="Times New Roman" w:cs="Times New Roman"/>
          <w:color w:val="000000" w:themeColor="text1"/>
        </w:rPr>
        <w:t xml:space="preserve"> minutes per respondent</w:t>
      </w:r>
      <w:r w:rsidR="00AE779B" w:rsidRPr="00134B59">
        <w:rPr>
          <w:rFonts w:ascii="Times New Roman" w:hAnsi="Times New Roman" w:cs="Times New Roman"/>
          <w:color w:val="000000" w:themeColor="text1"/>
        </w:rPr>
        <w:t xml:space="preserve">, on average. </w:t>
      </w:r>
      <w:bookmarkStart w:id="8" w:name="_Hlk499820214"/>
      <w:r w:rsidRPr="00134B59">
        <w:rPr>
          <w:rFonts w:ascii="Times New Roman" w:hAnsi="Times New Roman" w:cs="Times New Roman"/>
          <w:color w:val="000000" w:themeColor="text1"/>
        </w:rPr>
        <w:t>According to U.S. Department of Labor Bureau of Labor Statistics</w:t>
      </w:r>
      <w:r w:rsidR="00D61D61">
        <w:rPr>
          <w:rFonts w:ascii="Times New Roman" w:hAnsi="Times New Roman" w:cs="Times New Roman"/>
          <w:color w:val="000000" w:themeColor="text1"/>
        </w:rPr>
        <w:t>,</w:t>
      </w:r>
      <w:r w:rsidRPr="00134B59">
        <w:rPr>
          <w:rFonts w:ascii="Times New Roman" w:hAnsi="Times New Roman" w:cs="Times New Roman"/>
          <w:color w:val="000000" w:themeColor="text1"/>
        </w:rPr>
        <w:t xml:space="preserve"> the average h</w:t>
      </w:r>
      <w:r w:rsidR="00A03C56" w:rsidRPr="00134B59">
        <w:rPr>
          <w:rFonts w:ascii="Times New Roman" w:hAnsi="Times New Roman" w:cs="Times New Roman"/>
          <w:color w:val="000000" w:themeColor="text1"/>
        </w:rPr>
        <w:t xml:space="preserve">ourly wage in </w:t>
      </w:r>
      <w:r w:rsidR="009470DC" w:rsidRPr="00134B59">
        <w:rPr>
          <w:rFonts w:ascii="Times New Roman" w:hAnsi="Times New Roman" w:cs="Times New Roman"/>
          <w:color w:val="000000" w:themeColor="text1"/>
        </w:rPr>
        <w:t xml:space="preserve">2016 </w:t>
      </w:r>
      <w:r w:rsidR="00A03C56" w:rsidRPr="00134B59">
        <w:rPr>
          <w:rFonts w:ascii="Times New Roman" w:hAnsi="Times New Roman" w:cs="Times New Roman"/>
          <w:color w:val="000000" w:themeColor="text1"/>
        </w:rPr>
        <w:t>was $</w:t>
      </w:r>
      <w:r w:rsidR="009470DC" w:rsidRPr="00134B59">
        <w:rPr>
          <w:rFonts w:ascii="Times New Roman" w:hAnsi="Times New Roman" w:cs="Times New Roman"/>
          <w:color w:val="000000" w:themeColor="text1"/>
        </w:rPr>
        <w:t>25.</w:t>
      </w:r>
      <w:r w:rsidR="00CC4295">
        <w:rPr>
          <w:rFonts w:ascii="Times New Roman" w:hAnsi="Times New Roman" w:cs="Times New Roman"/>
          <w:color w:val="000000" w:themeColor="text1"/>
        </w:rPr>
        <w:t>5</w:t>
      </w:r>
      <w:r w:rsidR="009470DC" w:rsidRPr="00134B59">
        <w:rPr>
          <w:rFonts w:ascii="Times New Roman" w:hAnsi="Times New Roman" w:cs="Times New Roman"/>
          <w:color w:val="000000" w:themeColor="text1"/>
        </w:rPr>
        <w:t>3</w:t>
      </w:r>
      <w:r w:rsidR="00CF3FC0" w:rsidRPr="00134B59">
        <w:rPr>
          <w:rFonts w:ascii="Times New Roman" w:hAnsi="Times New Roman" w:cs="Times New Roman"/>
          <w:color w:val="000000" w:themeColor="text1"/>
        </w:rPr>
        <w:t xml:space="preserve"> </w:t>
      </w:r>
      <w:r w:rsidR="00A03C56" w:rsidRPr="00134B59">
        <w:rPr>
          <w:rFonts w:ascii="Times New Roman" w:hAnsi="Times New Roman" w:cs="Times New Roman"/>
          <w:color w:val="000000" w:themeColor="text1"/>
        </w:rPr>
        <w:t xml:space="preserve">for </w:t>
      </w:r>
      <w:r w:rsidR="00613611">
        <w:rPr>
          <w:rFonts w:ascii="Times New Roman" w:hAnsi="Times New Roman" w:cs="Times New Roman"/>
          <w:color w:val="000000" w:themeColor="text1"/>
        </w:rPr>
        <w:t xml:space="preserve">U.S. </w:t>
      </w:r>
      <w:r w:rsidR="00A03C56" w:rsidRPr="00134B59">
        <w:rPr>
          <w:rFonts w:ascii="Times New Roman" w:hAnsi="Times New Roman" w:cs="Times New Roman"/>
          <w:color w:val="000000" w:themeColor="text1"/>
        </w:rPr>
        <w:t>adults over 18</w:t>
      </w:r>
      <w:r w:rsidRPr="00134B59">
        <w:rPr>
          <w:rFonts w:ascii="Times New Roman" w:hAnsi="Times New Roman" w:cs="Times New Roman"/>
          <w:color w:val="000000" w:themeColor="text1"/>
        </w:rPr>
        <w:t xml:space="preserve">. </w:t>
      </w:r>
      <w:bookmarkEnd w:id="8"/>
      <w:r w:rsidRPr="00134B59">
        <w:rPr>
          <w:rFonts w:ascii="Times New Roman" w:hAnsi="Times New Roman" w:cs="Times New Roman"/>
          <w:color w:val="000000" w:themeColor="text1"/>
        </w:rPr>
        <w:t xml:space="preserve">Thus, assuming an average hourly wage for adults </w:t>
      </w:r>
      <w:r w:rsidR="00A03C56" w:rsidRPr="00134B59">
        <w:rPr>
          <w:rFonts w:ascii="Times New Roman" w:hAnsi="Times New Roman" w:cs="Times New Roman"/>
          <w:color w:val="000000" w:themeColor="text1"/>
        </w:rPr>
        <w:t>of $</w:t>
      </w:r>
      <w:r w:rsidR="009470DC" w:rsidRPr="00134B59">
        <w:rPr>
          <w:rFonts w:ascii="Times New Roman" w:hAnsi="Times New Roman" w:cs="Times New Roman"/>
          <w:color w:val="000000" w:themeColor="text1"/>
        </w:rPr>
        <w:t>25.53</w:t>
      </w:r>
      <w:r w:rsidRPr="00134B59">
        <w:rPr>
          <w:rFonts w:ascii="Times New Roman" w:hAnsi="Times New Roman" w:cs="Times New Roman"/>
          <w:color w:val="000000" w:themeColor="text1"/>
        </w:rPr>
        <w:t xml:space="preserve">, the estimated total </w:t>
      </w:r>
      <w:r w:rsidR="00613611">
        <w:rPr>
          <w:rFonts w:ascii="Times New Roman" w:hAnsi="Times New Roman" w:cs="Times New Roman"/>
          <w:color w:val="000000" w:themeColor="text1"/>
        </w:rPr>
        <w:t xml:space="preserve">opportunity </w:t>
      </w:r>
      <w:r w:rsidRPr="00134B59">
        <w:rPr>
          <w:rFonts w:ascii="Times New Roman" w:hAnsi="Times New Roman" w:cs="Times New Roman"/>
          <w:color w:val="000000" w:themeColor="text1"/>
        </w:rPr>
        <w:t>cost to participants will be $</w:t>
      </w:r>
      <w:r w:rsidR="00D91E0E">
        <w:rPr>
          <w:rFonts w:ascii="Times New Roman" w:hAnsi="Times New Roman" w:cs="Times New Roman"/>
          <w:color w:val="000000" w:themeColor="text1"/>
        </w:rPr>
        <w:t>155,427</w:t>
      </w:r>
      <w:r w:rsidRPr="00134B59">
        <w:rPr>
          <w:rFonts w:ascii="Times New Roman" w:hAnsi="Times New Roman" w:cs="Times New Roman"/>
          <w:color w:val="000000" w:themeColor="text1"/>
        </w:rPr>
        <w:t xml:space="preserve">. The estimated </w:t>
      </w:r>
      <w:r w:rsidR="00A835EE" w:rsidRPr="00134B59">
        <w:rPr>
          <w:rFonts w:ascii="Times New Roman" w:hAnsi="Times New Roman" w:cs="Times New Roman"/>
          <w:color w:val="000000" w:themeColor="text1"/>
        </w:rPr>
        <w:t xml:space="preserve">annual </w:t>
      </w:r>
      <w:r w:rsidRPr="00134B59">
        <w:rPr>
          <w:rFonts w:ascii="Times New Roman" w:hAnsi="Times New Roman" w:cs="Times New Roman"/>
          <w:color w:val="000000" w:themeColor="text1"/>
        </w:rPr>
        <w:t>value of respondents’ time for participating in the information collection is summarized in Exhibit 2.</w:t>
      </w:r>
    </w:p>
    <w:p w14:paraId="17284BEC" w14:textId="0B68164D" w:rsidR="00077F09" w:rsidRPr="00134B59" w:rsidRDefault="00077F09" w:rsidP="00077F09">
      <w:pPr>
        <w:keepNext/>
        <w:keepLines/>
        <w:spacing w:before="240" w:after="240"/>
        <w:ind w:left="720"/>
        <w:rPr>
          <w:rFonts w:ascii="Times New Roman" w:hAnsi="Times New Roman" w:cs="Times New Roman"/>
          <w:b/>
          <w:color w:val="000000" w:themeColor="text1"/>
          <w:szCs w:val="20"/>
        </w:rPr>
      </w:pPr>
      <w:r w:rsidRPr="00134B59">
        <w:rPr>
          <w:rFonts w:ascii="Times New Roman" w:hAnsi="Times New Roman" w:cs="Times New Roman"/>
          <w:b/>
          <w:color w:val="000000" w:themeColor="text1"/>
          <w:szCs w:val="20"/>
        </w:rPr>
        <w:t>Exhibit 2. Estimated Annual Cost</w:t>
      </w:r>
    </w:p>
    <w:tbl>
      <w:tblPr>
        <w:tblW w:w="8284"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134B59" w:rsidRPr="00134B59" w14:paraId="3BD5B17B" w14:textId="77777777" w:rsidTr="004C2EB9">
        <w:trPr>
          <w:cantSplit/>
          <w:tblHeader/>
        </w:trPr>
        <w:tc>
          <w:tcPr>
            <w:tcW w:w="1862" w:type="dxa"/>
            <w:vAlign w:val="bottom"/>
          </w:tcPr>
          <w:p w14:paraId="7FF55B98" w14:textId="77777777" w:rsidR="00077F09" w:rsidRPr="00134B59" w:rsidRDefault="00077F09" w:rsidP="00077F09">
            <w:pPr>
              <w:keepNext/>
              <w:spacing w:before="60" w:after="60"/>
              <w:jc w:val="center"/>
              <w:rPr>
                <w:rFonts w:ascii="Times New Roman" w:hAnsi="Times New Roman" w:cs="Times New Roman"/>
                <w:b/>
                <w:color w:val="000000" w:themeColor="text1"/>
                <w:sz w:val="20"/>
              </w:rPr>
            </w:pPr>
            <w:r w:rsidRPr="00134B59">
              <w:rPr>
                <w:rFonts w:ascii="Times New Roman" w:hAnsi="Times New Roman" w:cs="Times New Roman"/>
                <w:b/>
                <w:color w:val="000000" w:themeColor="text1"/>
                <w:sz w:val="20"/>
              </w:rPr>
              <w:t>Type of Respondent</w:t>
            </w:r>
          </w:p>
        </w:tc>
        <w:tc>
          <w:tcPr>
            <w:tcW w:w="2610" w:type="dxa"/>
            <w:vAlign w:val="bottom"/>
          </w:tcPr>
          <w:p w14:paraId="02C7E5A3" w14:textId="77777777" w:rsidR="00077F09" w:rsidRPr="00134B59" w:rsidRDefault="00077F09" w:rsidP="00077F09">
            <w:pPr>
              <w:keepNext/>
              <w:spacing w:before="60" w:after="60"/>
              <w:jc w:val="center"/>
              <w:rPr>
                <w:rFonts w:ascii="Times New Roman" w:hAnsi="Times New Roman" w:cs="Times New Roman"/>
                <w:b/>
                <w:color w:val="000000" w:themeColor="text1"/>
                <w:sz w:val="20"/>
              </w:rPr>
            </w:pPr>
            <w:r w:rsidRPr="00134B59">
              <w:rPr>
                <w:rFonts w:ascii="Times New Roman" w:hAnsi="Times New Roman" w:cs="Times New Roman"/>
                <w:b/>
                <w:color w:val="000000" w:themeColor="text1"/>
                <w:sz w:val="20"/>
              </w:rPr>
              <w:t>Activity</w:t>
            </w:r>
          </w:p>
        </w:tc>
        <w:tc>
          <w:tcPr>
            <w:tcW w:w="1350" w:type="dxa"/>
            <w:vAlign w:val="bottom"/>
          </w:tcPr>
          <w:p w14:paraId="49C144CD" w14:textId="77777777" w:rsidR="00077F09" w:rsidRPr="00134B59" w:rsidRDefault="00077F09" w:rsidP="00077F09">
            <w:pPr>
              <w:keepNext/>
              <w:spacing w:before="60" w:after="60"/>
              <w:jc w:val="center"/>
              <w:rPr>
                <w:rFonts w:ascii="Times New Roman" w:hAnsi="Times New Roman" w:cs="Times New Roman"/>
                <w:b/>
                <w:color w:val="000000" w:themeColor="text1"/>
                <w:sz w:val="20"/>
              </w:rPr>
            </w:pPr>
            <w:r w:rsidRPr="00134B59">
              <w:rPr>
                <w:rFonts w:ascii="Times New Roman" w:hAnsi="Times New Roman" w:cs="Times New Roman"/>
                <w:b/>
                <w:color w:val="000000" w:themeColor="text1"/>
                <w:sz w:val="20"/>
              </w:rPr>
              <w:t>Annual Burden Hours</w:t>
            </w:r>
          </w:p>
        </w:tc>
        <w:tc>
          <w:tcPr>
            <w:tcW w:w="1080" w:type="dxa"/>
            <w:vAlign w:val="bottom"/>
          </w:tcPr>
          <w:p w14:paraId="16795B39" w14:textId="77777777" w:rsidR="00077F09" w:rsidRPr="00134B59" w:rsidRDefault="00077F09" w:rsidP="00077F09">
            <w:pPr>
              <w:keepNext/>
              <w:spacing w:before="60" w:after="60"/>
              <w:jc w:val="center"/>
              <w:rPr>
                <w:rFonts w:ascii="Times New Roman" w:hAnsi="Times New Roman" w:cs="Times New Roman"/>
                <w:b/>
                <w:color w:val="000000" w:themeColor="text1"/>
                <w:sz w:val="20"/>
              </w:rPr>
            </w:pPr>
            <w:r w:rsidRPr="00134B59">
              <w:rPr>
                <w:rFonts w:ascii="Times New Roman" w:hAnsi="Times New Roman" w:cs="Times New Roman"/>
                <w:b/>
                <w:color w:val="000000" w:themeColor="text1"/>
                <w:sz w:val="20"/>
              </w:rPr>
              <w:t>Hourly Wage Rate</w:t>
            </w:r>
          </w:p>
        </w:tc>
        <w:tc>
          <w:tcPr>
            <w:tcW w:w="1382" w:type="dxa"/>
            <w:vAlign w:val="bottom"/>
          </w:tcPr>
          <w:p w14:paraId="48AD4FA8" w14:textId="77777777" w:rsidR="00077F09" w:rsidRPr="00134B59" w:rsidRDefault="00077F09" w:rsidP="00077F09">
            <w:pPr>
              <w:keepNext/>
              <w:spacing w:before="60" w:after="60"/>
              <w:jc w:val="center"/>
              <w:rPr>
                <w:rFonts w:ascii="Times New Roman" w:hAnsi="Times New Roman" w:cs="Times New Roman"/>
                <w:b/>
                <w:color w:val="000000" w:themeColor="text1"/>
                <w:sz w:val="20"/>
              </w:rPr>
            </w:pPr>
            <w:r w:rsidRPr="00134B59">
              <w:rPr>
                <w:rFonts w:ascii="Times New Roman" w:hAnsi="Times New Roman" w:cs="Times New Roman"/>
                <w:b/>
                <w:color w:val="000000" w:themeColor="text1"/>
                <w:sz w:val="20"/>
              </w:rPr>
              <w:t>Total Cost</w:t>
            </w:r>
          </w:p>
        </w:tc>
      </w:tr>
      <w:tr w:rsidR="00134B59" w:rsidRPr="00134B59" w14:paraId="167E4DBA" w14:textId="77777777" w:rsidTr="005129B2">
        <w:trPr>
          <w:cantSplit/>
        </w:trPr>
        <w:tc>
          <w:tcPr>
            <w:tcW w:w="1862" w:type="dxa"/>
            <w:tcBorders>
              <w:top w:val="single" w:sz="4" w:space="0" w:color="auto"/>
            </w:tcBorders>
            <w:vAlign w:val="center"/>
          </w:tcPr>
          <w:p w14:paraId="2B4310F0" w14:textId="77777777" w:rsidR="00837283" w:rsidRDefault="00D875BD" w:rsidP="00D875BD">
            <w:pPr>
              <w:spacing w:before="60" w:after="60"/>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Adults 18 and older in the United States</w:t>
            </w:r>
          </w:p>
          <w:p w14:paraId="1006802C" w14:textId="4177C811" w:rsidR="00D875BD" w:rsidRPr="005129B2" w:rsidRDefault="00D875BD" w:rsidP="00D875BD">
            <w:pPr>
              <w:spacing w:before="60" w:after="60"/>
              <w:rPr>
                <w:rFonts w:ascii="Times New Roman" w:hAnsi="Times New Roman" w:cs="Times New Roman"/>
                <w:color w:val="000000" w:themeColor="text1"/>
                <w:sz w:val="20"/>
              </w:rPr>
            </w:pPr>
          </w:p>
        </w:tc>
        <w:tc>
          <w:tcPr>
            <w:tcW w:w="2610" w:type="dxa"/>
            <w:tcBorders>
              <w:top w:val="single" w:sz="4" w:space="0" w:color="auto"/>
            </w:tcBorders>
          </w:tcPr>
          <w:p w14:paraId="646FCC35" w14:textId="3EE8EE4D" w:rsidR="00837283" w:rsidRPr="005129B2" w:rsidDel="00841491" w:rsidRDefault="00276324" w:rsidP="00837283">
            <w:pPr>
              <w:keepNext/>
              <w:spacing w:before="60" w:after="60"/>
              <w:rPr>
                <w:rFonts w:ascii="Times New Roman" w:hAnsi="Times New Roman" w:cs="Times New Roman"/>
                <w:color w:val="000000" w:themeColor="text1"/>
                <w:sz w:val="20"/>
              </w:rPr>
            </w:pPr>
            <w:r>
              <w:rPr>
                <w:rFonts w:ascii="Times New Roman" w:hAnsi="Times New Roman" w:cs="Times New Roman"/>
                <w:color w:val="000000" w:themeColor="text1"/>
                <w:sz w:val="20"/>
              </w:rPr>
              <w:t>Invitation</w:t>
            </w:r>
          </w:p>
        </w:tc>
        <w:tc>
          <w:tcPr>
            <w:tcW w:w="1350" w:type="dxa"/>
            <w:tcBorders>
              <w:top w:val="single" w:sz="4" w:space="0" w:color="auto"/>
            </w:tcBorders>
          </w:tcPr>
          <w:p w14:paraId="2FF9FE3F" w14:textId="4BBC6C83" w:rsidR="00837283" w:rsidRPr="00D875BD" w:rsidRDefault="00D875BD" w:rsidP="005129B2">
            <w:pPr>
              <w:keepNext/>
              <w:tabs>
                <w:tab w:val="decimal" w:pos="752"/>
              </w:tabs>
              <w:spacing w:before="60" w:after="60"/>
              <w:jc w:val="center"/>
              <w:rPr>
                <w:rFonts w:ascii="Times New Roman" w:eastAsia="Times New Roman" w:hAnsi="Times New Roman" w:cs="Times New Roman"/>
                <w:color w:val="000000" w:themeColor="text1"/>
                <w:sz w:val="20"/>
                <w:szCs w:val="20"/>
              </w:rPr>
            </w:pPr>
            <w:r w:rsidRPr="00D875BD">
              <w:rPr>
                <w:rFonts w:ascii="Times New Roman" w:hAnsi="Times New Roman" w:cs="Times New Roman"/>
                <w:sz w:val="20"/>
                <w:szCs w:val="20"/>
              </w:rPr>
              <w:t>1,160</w:t>
            </w:r>
          </w:p>
        </w:tc>
        <w:tc>
          <w:tcPr>
            <w:tcW w:w="1080" w:type="dxa"/>
            <w:tcBorders>
              <w:top w:val="single" w:sz="4" w:space="0" w:color="auto"/>
            </w:tcBorders>
          </w:tcPr>
          <w:p w14:paraId="249B8D6E" w14:textId="330B6C7B" w:rsidR="00837283" w:rsidRPr="005129B2" w:rsidRDefault="00276324" w:rsidP="005129B2">
            <w:pPr>
              <w:keepNext/>
              <w:tabs>
                <w:tab w:val="decimal" w:pos="476"/>
              </w:tabs>
              <w:spacing w:before="60" w:after="60"/>
              <w:ind w:right="144"/>
              <w:jc w:val="center"/>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$25.53</w:t>
            </w:r>
          </w:p>
        </w:tc>
        <w:tc>
          <w:tcPr>
            <w:tcW w:w="1382" w:type="dxa"/>
            <w:tcBorders>
              <w:top w:val="single" w:sz="4" w:space="0" w:color="auto"/>
            </w:tcBorders>
          </w:tcPr>
          <w:p w14:paraId="7E8D86EE" w14:textId="4EA937B3" w:rsidR="00837283" w:rsidRPr="005129B2" w:rsidRDefault="00276324" w:rsidP="005129B2">
            <w:pPr>
              <w:keepNext/>
              <w:tabs>
                <w:tab w:val="decimal" w:pos="476"/>
              </w:tabs>
              <w:spacing w:before="60" w:after="60"/>
              <w:ind w:right="144"/>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$29,615</w:t>
            </w:r>
          </w:p>
        </w:tc>
      </w:tr>
      <w:tr w:rsidR="00D875BD" w:rsidRPr="00134B59" w14:paraId="543FAB48" w14:textId="77777777" w:rsidTr="005129B2">
        <w:trPr>
          <w:cantSplit/>
        </w:trPr>
        <w:tc>
          <w:tcPr>
            <w:tcW w:w="1862" w:type="dxa"/>
            <w:tcBorders>
              <w:top w:val="single" w:sz="4" w:space="0" w:color="auto"/>
            </w:tcBorders>
            <w:vAlign w:val="center"/>
          </w:tcPr>
          <w:p w14:paraId="460F75CD" w14:textId="77777777" w:rsidR="00D875BD" w:rsidRPr="005129B2" w:rsidRDefault="00D875BD" w:rsidP="00204031">
            <w:pPr>
              <w:spacing w:before="60" w:after="60"/>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Adults 18 and older in the United States</w:t>
            </w:r>
          </w:p>
          <w:p w14:paraId="22DA50C1" w14:textId="77777777" w:rsidR="00D875BD" w:rsidRPr="005129B2" w:rsidRDefault="00D875BD" w:rsidP="00837283">
            <w:pPr>
              <w:spacing w:before="60" w:after="60"/>
              <w:rPr>
                <w:rFonts w:ascii="Times New Roman" w:hAnsi="Times New Roman" w:cs="Times New Roman"/>
                <w:color w:val="000000" w:themeColor="text1"/>
                <w:sz w:val="20"/>
              </w:rPr>
            </w:pPr>
          </w:p>
        </w:tc>
        <w:tc>
          <w:tcPr>
            <w:tcW w:w="2610" w:type="dxa"/>
            <w:tcBorders>
              <w:top w:val="single" w:sz="4" w:space="0" w:color="auto"/>
            </w:tcBorders>
          </w:tcPr>
          <w:p w14:paraId="2C58B523" w14:textId="6F85A540" w:rsidR="00D875BD" w:rsidRPr="005129B2" w:rsidRDefault="00D91E0E" w:rsidP="00837283">
            <w:pPr>
              <w:keepNext/>
              <w:spacing w:before="60" w:after="6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Consent and </w:t>
            </w:r>
            <w:r w:rsidR="00D875BD" w:rsidRPr="005129B2">
              <w:rPr>
                <w:rFonts w:ascii="Times New Roman" w:hAnsi="Times New Roman" w:cs="Times New Roman"/>
                <w:color w:val="000000" w:themeColor="text1"/>
                <w:sz w:val="20"/>
              </w:rPr>
              <w:t xml:space="preserve">Screener </w:t>
            </w:r>
          </w:p>
        </w:tc>
        <w:tc>
          <w:tcPr>
            <w:tcW w:w="1350" w:type="dxa"/>
            <w:tcBorders>
              <w:top w:val="single" w:sz="4" w:space="0" w:color="auto"/>
            </w:tcBorders>
          </w:tcPr>
          <w:p w14:paraId="6229BBF5" w14:textId="489156C5" w:rsidR="00D875BD" w:rsidRDefault="00D91E0E" w:rsidP="00D91E0E">
            <w:pPr>
              <w:keepNext/>
              <w:tabs>
                <w:tab w:val="decimal" w:pos="752"/>
              </w:tabs>
              <w:spacing w:before="60" w:after="6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2,750</w:t>
            </w:r>
          </w:p>
        </w:tc>
        <w:tc>
          <w:tcPr>
            <w:tcW w:w="1080" w:type="dxa"/>
            <w:tcBorders>
              <w:top w:val="single" w:sz="4" w:space="0" w:color="auto"/>
            </w:tcBorders>
          </w:tcPr>
          <w:p w14:paraId="761C8157" w14:textId="6CA6FE8E" w:rsidR="00D875BD" w:rsidRPr="005129B2" w:rsidRDefault="00D875BD" w:rsidP="005129B2">
            <w:pPr>
              <w:keepNext/>
              <w:tabs>
                <w:tab w:val="decimal" w:pos="476"/>
              </w:tabs>
              <w:spacing w:before="60" w:after="60"/>
              <w:ind w:right="144"/>
              <w:jc w:val="center"/>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$25.53</w:t>
            </w:r>
          </w:p>
        </w:tc>
        <w:tc>
          <w:tcPr>
            <w:tcW w:w="1382" w:type="dxa"/>
            <w:tcBorders>
              <w:top w:val="single" w:sz="4" w:space="0" w:color="auto"/>
            </w:tcBorders>
          </w:tcPr>
          <w:p w14:paraId="3E9AD08E" w14:textId="0ABA9611" w:rsidR="00D875BD" w:rsidRPr="005129B2" w:rsidRDefault="00D875BD" w:rsidP="00D91E0E">
            <w:pPr>
              <w:keepNext/>
              <w:tabs>
                <w:tab w:val="decimal" w:pos="476"/>
              </w:tabs>
              <w:spacing w:before="60" w:after="60"/>
              <w:ind w:right="144"/>
              <w:jc w:val="center"/>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w:t>
            </w:r>
            <w:r w:rsidR="00D91E0E">
              <w:rPr>
                <w:rFonts w:ascii="Times New Roman" w:hAnsi="Times New Roman" w:cs="Times New Roman"/>
                <w:color w:val="000000" w:themeColor="text1"/>
                <w:sz w:val="20"/>
              </w:rPr>
              <w:t>70,208</w:t>
            </w:r>
          </w:p>
        </w:tc>
      </w:tr>
      <w:tr w:rsidR="00D875BD" w:rsidRPr="00134B59" w14:paraId="610AF318" w14:textId="77777777" w:rsidTr="005129B2">
        <w:trPr>
          <w:cantSplit/>
        </w:trPr>
        <w:tc>
          <w:tcPr>
            <w:tcW w:w="1862" w:type="dxa"/>
            <w:vAlign w:val="center"/>
          </w:tcPr>
          <w:p w14:paraId="6CB34578" w14:textId="77777777" w:rsidR="00D875BD" w:rsidRPr="005129B2" w:rsidRDefault="00D875BD" w:rsidP="00621A9E">
            <w:pPr>
              <w:spacing w:before="60" w:after="60"/>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Adults 18 and older in the United States</w:t>
            </w:r>
          </w:p>
          <w:p w14:paraId="2C27AC71" w14:textId="77777777" w:rsidR="00D875BD" w:rsidRPr="005129B2" w:rsidRDefault="00D875BD" w:rsidP="00837283">
            <w:pPr>
              <w:spacing w:before="60" w:after="60"/>
              <w:rPr>
                <w:rFonts w:ascii="Times New Roman" w:hAnsi="Times New Roman" w:cs="Times New Roman"/>
                <w:color w:val="000000" w:themeColor="text1"/>
                <w:sz w:val="20"/>
              </w:rPr>
            </w:pPr>
          </w:p>
        </w:tc>
        <w:tc>
          <w:tcPr>
            <w:tcW w:w="2610" w:type="dxa"/>
            <w:tcBorders>
              <w:top w:val="single" w:sz="4" w:space="0" w:color="auto"/>
            </w:tcBorders>
          </w:tcPr>
          <w:p w14:paraId="090F3D07" w14:textId="3B0C91E4" w:rsidR="00D875BD" w:rsidRPr="005129B2" w:rsidRDefault="00D875BD" w:rsidP="00837283">
            <w:pPr>
              <w:keepNext/>
              <w:spacing w:before="60" w:after="60"/>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 xml:space="preserve">Main Study </w:t>
            </w:r>
          </w:p>
        </w:tc>
        <w:tc>
          <w:tcPr>
            <w:tcW w:w="1350" w:type="dxa"/>
            <w:tcBorders>
              <w:top w:val="single" w:sz="4" w:space="0" w:color="auto"/>
            </w:tcBorders>
          </w:tcPr>
          <w:p w14:paraId="28A4DE15" w14:textId="1DC45F59" w:rsidR="00D875BD" w:rsidRPr="005129B2" w:rsidRDefault="00D875BD" w:rsidP="005129B2">
            <w:pPr>
              <w:keepNext/>
              <w:tabs>
                <w:tab w:val="decimal" w:pos="752"/>
              </w:tabs>
              <w:spacing w:before="60" w:after="60"/>
              <w:jc w:val="center"/>
              <w:rPr>
                <w:rFonts w:ascii="Times New Roman" w:eastAsia="Times New Roman" w:hAnsi="Times New Roman" w:cs="Times New Roman"/>
                <w:color w:val="000000" w:themeColor="text1"/>
                <w:sz w:val="20"/>
                <w:szCs w:val="20"/>
              </w:rPr>
            </w:pPr>
            <w:r w:rsidRPr="005129B2">
              <w:rPr>
                <w:rFonts w:ascii="Times New Roman" w:eastAsia="Times New Roman" w:hAnsi="Times New Roman" w:cs="Times New Roman"/>
                <w:color w:val="000000" w:themeColor="text1"/>
                <w:sz w:val="20"/>
                <w:szCs w:val="20"/>
              </w:rPr>
              <w:t>2,178</w:t>
            </w:r>
          </w:p>
        </w:tc>
        <w:tc>
          <w:tcPr>
            <w:tcW w:w="1080" w:type="dxa"/>
            <w:tcBorders>
              <w:top w:val="single" w:sz="4" w:space="0" w:color="auto"/>
            </w:tcBorders>
          </w:tcPr>
          <w:p w14:paraId="57E8895E" w14:textId="5AF58945" w:rsidR="00D875BD" w:rsidRPr="005129B2" w:rsidRDefault="00D875BD" w:rsidP="005129B2">
            <w:pPr>
              <w:keepNext/>
              <w:tabs>
                <w:tab w:val="decimal" w:pos="476"/>
              </w:tabs>
              <w:spacing w:before="60" w:after="60"/>
              <w:ind w:right="144"/>
              <w:jc w:val="center"/>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$25.53</w:t>
            </w:r>
          </w:p>
        </w:tc>
        <w:tc>
          <w:tcPr>
            <w:tcW w:w="1382" w:type="dxa"/>
            <w:tcBorders>
              <w:top w:val="single" w:sz="4" w:space="0" w:color="auto"/>
            </w:tcBorders>
          </w:tcPr>
          <w:p w14:paraId="0EEACEC4" w14:textId="4332DA26" w:rsidR="00D875BD" w:rsidRPr="005129B2" w:rsidRDefault="00D875BD" w:rsidP="005129B2">
            <w:pPr>
              <w:keepNext/>
              <w:tabs>
                <w:tab w:val="decimal" w:pos="476"/>
              </w:tabs>
              <w:spacing w:before="60" w:after="60"/>
              <w:ind w:right="144"/>
              <w:jc w:val="center"/>
              <w:rPr>
                <w:rFonts w:ascii="Times New Roman" w:hAnsi="Times New Roman" w:cs="Times New Roman"/>
                <w:color w:val="000000" w:themeColor="text1"/>
                <w:sz w:val="20"/>
              </w:rPr>
            </w:pPr>
            <w:r w:rsidRPr="005129B2">
              <w:rPr>
                <w:rFonts w:ascii="Times New Roman" w:hAnsi="Times New Roman" w:cs="Times New Roman"/>
                <w:color w:val="000000" w:themeColor="text1"/>
                <w:sz w:val="20"/>
              </w:rPr>
              <w:t>$55,604</w:t>
            </w:r>
          </w:p>
        </w:tc>
      </w:tr>
      <w:tr w:rsidR="00D875BD" w:rsidRPr="00134B59" w14:paraId="333ED2C6" w14:textId="77777777" w:rsidTr="004C2EB9">
        <w:trPr>
          <w:cantSplit/>
        </w:trPr>
        <w:tc>
          <w:tcPr>
            <w:tcW w:w="1862" w:type="dxa"/>
            <w:vAlign w:val="center"/>
          </w:tcPr>
          <w:p w14:paraId="49ADF28A" w14:textId="532FD176" w:rsidR="00D875BD" w:rsidRPr="00134B59" w:rsidRDefault="00D875BD" w:rsidP="00837283">
            <w:pPr>
              <w:spacing w:before="60" w:after="60"/>
              <w:rPr>
                <w:rFonts w:ascii="Times New Roman" w:hAnsi="Times New Roman" w:cs="Times New Roman"/>
                <w:color w:val="000000" w:themeColor="text1"/>
                <w:sz w:val="20"/>
              </w:rPr>
            </w:pPr>
            <w:r w:rsidRPr="00134B59">
              <w:rPr>
                <w:rFonts w:ascii="Times New Roman" w:hAnsi="Times New Roman" w:cs="Times New Roman"/>
                <w:color w:val="000000" w:themeColor="text1"/>
                <w:sz w:val="20"/>
              </w:rPr>
              <w:t>Total</w:t>
            </w:r>
          </w:p>
        </w:tc>
        <w:tc>
          <w:tcPr>
            <w:tcW w:w="2610" w:type="dxa"/>
          </w:tcPr>
          <w:p w14:paraId="313E6B3B" w14:textId="77777777" w:rsidR="00D875BD" w:rsidRPr="00134B59" w:rsidRDefault="00D875BD" w:rsidP="00837283">
            <w:pPr>
              <w:keepNext/>
              <w:spacing w:before="60" w:after="60"/>
              <w:rPr>
                <w:rFonts w:ascii="Times New Roman" w:hAnsi="Times New Roman" w:cs="Times New Roman"/>
                <w:color w:val="000000" w:themeColor="text1"/>
                <w:sz w:val="20"/>
              </w:rPr>
            </w:pPr>
          </w:p>
        </w:tc>
        <w:tc>
          <w:tcPr>
            <w:tcW w:w="1350" w:type="dxa"/>
            <w:vAlign w:val="bottom"/>
          </w:tcPr>
          <w:p w14:paraId="42A47AC5" w14:textId="263427F4" w:rsidR="00D875BD" w:rsidRPr="00134B59" w:rsidRDefault="00D875BD" w:rsidP="00837283">
            <w:pPr>
              <w:keepNext/>
              <w:tabs>
                <w:tab w:val="decimal" w:pos="752"/>
              </w:tabs>
              <w:spacing w:before="60" w:after="60"/>
              <w:jc w:val="center"/>
              <w:rPr>
                <w:rFonts w:ascii="Times New Roman" w:eastAsia="Times New Roman" w:hAnsi="Times New Roman" w:cs="Times New Roman"/>
                <w:color w:val="000000" w:themeColor="text1"/>
                <w:sz w:val="20"/>
                <w:szCs w:val="20"/>
              </w:rPr>
            </w:pPr>
          </w:p>
        </w:tc>
        <w:tc>
          <w:tcPr>
            <w:tcW w:w="1080" w:type="dxa"/>
            <w:vAlign w:val="bottom"/>
          </w:tcPr>
          <w:p w14:paraId="3B06A438" w14:textId="77777777" w:rsidR="00D875BD" w:rsidRPr="00134B59" w:rsidRDefault="00D875BD" w:rsidP="00837283">
            <w:pPr>
              <w:keepNext/>
              <w:tabs>
                <w:tab w:val="decimal" w:pos="476"/>
              </w:tabs>
              <w:spacing w:before="60" w:after="60"/>
              <w:jc w:val="center"/>
              <w:rPr>
                <w:rFonts w:ascii="Times New Roman" w:hAnsi="Times New Roman" w:cs="Times New Roman"/>
                <w:color w:val="000000" w:themeColor="text1"/>
                <w:sz w:val="20"/>
              </w:rPr>
            </w:pPr>
          </w:p>
        </w:tc>
        <w:tc>
          <w:tcPr>
            <w:tcW w:w="1382" w:type="dxa"/>
            <w:vAlign w:val="center"/>
          </w:tcPr>
          <w:p w14:paraId="08D6CB38" w14:textId="304CDAC3" w:rsidR="00D875BD" w:rsidRPr="00134B59" w:rsidRDefault="00D875BD" w:rsidP="001F5772">
            <w:pPr>
              <w:keepNext/>
              <w:tabs>
                <w:tab w:val="decimal" w:pos="476"/>
              </w:tabs>
              <w:spacing w:before="60" w:after="60"/>
              <w:ind w:right="144"/>
              <w:jc w:val="right"/>
              <w:rPr>
                <w:rFonts w:ascii="Times New Roman" w:hAnsi="Times New Roman" w:cs="Times New Roman"/>
                <w:color w:val="000000" w:themeColor="text1"/>
                <w:sz w:val="20"/>
              </w:rPr>
            </w:pPr>
            <w:r w:rsidRPr="00134B59">
              <w:rPr>
                <w:rFonts w:ascii="Times New Roman" w:hAnsi="Times New Roman" w:cs="Times New Roman"/>
                <w:color w:val="000000" w:themeColor="text1"/>
                <w:sz w:val="20"/>
              </w:rPr>
              <w:t>$</w:t>
            </w:r>
            <w:r w:rsidR="00276324">
              <w:rPr>
                <w:rFonts w:ascii="Times New Roman" w:hAnsi="Times New Roman" w:cs="Times New Roman"/>
                <w:color w:val="000000" w:themeColor="text1"/>
                <w:sz w:val="20"/>
              </w:rPr>
              <w:t>1</w:t>
            </w:r>
            <w:r w:rsidR="001F5772">
              <w:rPr>
                <w:rFonts w:ascii="Times New Roman" w:hAnsi="Times New Roman" w:cs="Times New Roman"/>
                <w:color w:val="000000" w:themeColor="text1"/>
                <w:sz w:val="20"/>
              </w:rPr>
              <w:t>55,427</w:t>
            </w:r>
          </w:p>
        </w:tc>
      </w:tr>
    </w:tbl>
    <w:p w14:paraId="143DE5B3" w14:textId="77777777" w:rsidR="009E02BE" w:rsidRDefault="009E02BE" w:rsidP="009E02BE">
      <w:pPr>
        <w:ind w:left="360"/>
        <w:rPr>
          <w:rFonts w:ascii="Times New Roman" w:hAnsi="Times New Roman" w:cs="Times New Roman"/>
          <w:color w:val="000000" w:themeColor="text1"/>
          <w:u w:val="single"/>
        </w:rPr>
      </w:pPr>
    </w:p>
    <w:p w14:paraId="4F8B7EA4" w14:textId="3111862B" w:rsidR="00B80443" w:rsidRPr="00BF6EAE" w:rsidRDefault="00B80443" w:rsidP="009E02BE">
      <w:pPr>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Estimates of Other Total Annual Costs to Respondents and Recordkeepers</w:t>
      </w:r>
      <w:r w:rsidR="00613611">
        <w:rPr>
          <w:rFonts w:ascii="Times New Roman" w:hAnsi="Times New Roman" w:cs="Times New Roman"/>
          <w:color w:val="000000" w:themeColor="text1"/>
          <w:u w:val="single"/>
        </w:rPr>
        <w:t xml:space="preserve"> and </w:t>
      </w:r>
      <w:r w:rsidRPr="00BF6EAE">
        <w:rPr>
          <w:rFonts w:ascii="Times New Roman" w:hAnsi="Times New Roman" w:cs="Times New Roman"/>
          <w:color w:val="000000" w:themeColor="text1"/>
          <w:u w:val="single"/>
        </w:rPr>
        <w:t>Capital Costs</w:t>
      </w:r>
    </w:p>
    <w:p w14:paraId="58266825" w14:textId="77777777" w:rsidR="009E02BE" w:rsidRDefault="009E02BE" w:rsidP="00B6274E">
      <w:pPr>
        <w:pStyle w:val="ListParagraph"/>
        <w:ind w:left="0"/>
        <w:rPr>
          <w:rFonts w:ascii="Times New Roman" w:hAnsi="Times New Roman" w:cs="Times New Roman"/>
          <w:color w:val="000000" w:themeColor="text1"/>
        </w:rPr>
      </w:pPr>
    </w:p>
    <w:p w14:paraId="31E7D457" w14:textId="2A60A1A8" w:rsidR="00B80443" w:rsidRPr="00BF6EAE" w:rsidRDefault="00B80443" w:rsidP="00B6274E">
      <w:pPr>
        <w:pStyle w:val="ListParagraph"/>
        <w:ind w:left="0"/>
        <w:rPr>
          <w:rFonts w:ascii="Times New Roman" w:hAnsi="Times New Roman" w:cs="Times New Roman"/>
          <w:color w:val="000000" w:themeColor="text1"/>
        </w:rPr>
      </w:pPr>
      <w:r w:rsidRPr="00BF6EAE">
        <w:rPr>
          <w:rFonts w:ascii="Times New Roman" w:hAnsi="Times New Roman" w:cs="Times New Roman"/>
          <w:color w:val="000000" w:themeColor="text1"/>
        </w:rPr>
        <w:t>There are no capital, start-up, operating, or maintenance costs associated with this            information collection.</w:t>
      </w:r>
    </w:p>
    <w:p w14:paraId="71F95011" w14:textId="77777777" w:rsidR="00AB2CE8" w:rsidRPr="00BF6EAE" w:rsidRDefault="00AB2CE8" w:rsidP="00CE1475">
      <w:pPr>
        <w:ind w:left="1080"/>
        <w:rPr>
          <w:rFonts w:ascii="Times New Roman" w:hAnsi="Times New Roman" w:cs="Times New Roman"/>
          <w:color w:val="000000" w:themeColor="text1"/>
        </w:rPr>
      </w:pPr>
    </w:p>
    <w:p w14:paraId="04819DBB" w14:textId="77777777" w:rsidR="00F735A9" w:rsidRPr="00BF6EAE" w:rsidRDefault="00F735A9" w:rsidP="00E1044E">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Annualized Cost to the Federal Government</w:t>
      </w:r>
    </w:p>
    <w:p w14:paraId="2F0E119E" w14:textId="77777777" w:rsidR="00B7586B" w:rsidRPr="00BF6EAE" w:rsidRDefault="00B7586B" w:rsidP="00CE1475">
      <w:pPr>
        <w:ind w:left="1080"/>
        <w:rPr>
          <w:rFonts w:ascii="Times New Roman" w:hAnsi="Times New Roman" w:cs="Times New Roman"/>
          <w:color w:val="000000" w:themeColor="text1"/>
        </w:rPr>
      </w:pPr>
    </w:p>
    <w:p w14:paraId="117E0CBB" w14:textId="0F713672" w:rsidR="001076B3" w:rsidRPr="00CC4295" w:rsidRDefault="00E741A6"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 xml:space="preserve">This information collection is funded through a contract with RTI. The contract was awarded as a result of competition. </w:t>
      </w:r>
      <w:r w:rsidR="001076B3" w:rsidRPr="00BF6EAE">
        <w:rPr>
          <w:rFonts w:ascii="Times New Roman" w:hAnsi="Times New Roman" w:cs="Times New Roman"/>
          <w:color w:val="000000" w:themeColor="text1"/>
        </w:rPr>
        <w:t>The total estimated cost to the Federal Government for the collection of data is $</w:t>
      </w:r>
      <w:r w:rsidR="00B345C6">
        <w:rPr>
          <w:rFonts w:ascii="Times New Roman" w:hAnsi="Times New Roman" w:cs="Times New Roman"/>
          <w:color w:val="000000" w:themeColor="text1"/>
        </w:rPr>
        <w:t>353,445</w:t>
      </w:r>
      <w:r w:rsidR="00E26DB0">
        <w:rPr>
          <w:rFonts w:ascii="Times New Roman" w:hAnsi="Times New Roman" w:cs="Times New Roman"/>
          <w:color w:val="000000" w:themeColor="text1"/>
        </w:rPr>
        <w:t>, as shown in Exhibit 3</w:t>
      </w:r>
      <w:r w:rsidR="001076B3" w:rsidRPr="00BF6EAE">
        <w:rPr>
          <w:rFonts w:ascii="Times New Roman" w:hAnsi="Times New Roman" w:cs="Times New Roman"/>
          <w:color w:val="000000" w:themeColor="text1"/>
        </w:rPr>
        <w:t xml:space="preserve">. This includes the </w:t>
      </w:r>
      <w:r w:rsidR="001076B3" w:rsidRPr="00134B59">
        <w:rPr>
          <w:rFonts w:ascii="Times New Roman" w:hAnsi="Times New Roman" w:cs="Times New Roman"/>
          <w:color w:val="000000" w:themeColor="text1"/>
        </w:rPr>
        <w:t xml:space="preserve">costs paid to the contractors to program the study, draw the sample, </w:t>
      </w:r>
      <w:r w:rsidRPr="00134B59">
        <w:rPr>
          <w:rFonts w:ascii="Times New Roman" w:hAnsi="Times New Roman" w:cs="Times New Roman"/>
          <w:color w:val="000000" w:themeColor="text1"/>
        </w:rPr>
        <w:t xml:space="preserve">and </w:t>
      </w:r>
      <w:r w:rsidR="001076B3" w:rsidRPr="00134B59">
        <w:rPr>
          <w:rFonts w:ascii="Times New Roman" w:hAnsi="Times New Roman" w:cs="Times New Roman"/>
          <w:color w:val="000000" w:themeColor="text1"/>
        </w:rPr>
        <w:t>collect the data</w:t>
      </w:r>
      <w:r w:rsidRPr="00134B59">
        <w:rPr>
          <w:rFonts w:ascii="Times New Roman" w:hAnsi="Times New Roman" w:cs="Times New Roman"/>
          <w:color w:val="000000" w:themeColor="text1"/>
        </w:rPr>
        <w:t>. Other activities outside this data collection include coordination with FDA, stimuli development, instrument development</w:t>
      </w:r>
      <w:r w:rsidRPr="00BF6EAE">
        <w:rPr>
          <w:rFonts w:ascii="Times New Roman" w:hAnsi="Times New Roman" w:cs="Times New Roman"/>
          <w:color w:val="000000" w:themeColor="text1"/>
        </w:rPr>
        <w:t xml:space="preserve">, reporting, and RTI IRB. </w:t>
      </w:r>
      <w:r w:rsidR="001076B3" w:rsidRPr="00BF6EAE">
        <w:rPr>
          <w:rFonts w:ascii="Times New Roman" w:hAnsi="Times New Roman" w:cs="Times New Roman"/>
          <w:color w:val="000000" w:themeColor="text1"/>
        </w:rPr>
        <w:t>Specific cost information other than the award amount is proprietary to the contractor and is not public information</w:t>
      </w:r>
      <w:r w:rsidR="001076B3" w:rsidRPr="00CC4295">
        <w:rPr>
          <w:rFonts w:ascii="Times New Roman" w:hAnsi="Times New Roman" w:cs="Times New Roman"/>
          <w:color w:val="000000" w:themeColor="text1"/>
        </w:rPr>
        <w:t xml:space="preserve">.  The cost also includes </w:t>
      </w:r>
      <w:r w:rsidR="001076B3" w:rsidRPr="001A0074">
        <w:rPr>
          <w:rFonts w:ascii="Times New Roman" w:hAnsi="Times New Roman" w:cs="Times New Roman"/>
          <w:color w:val="000000" w:themeColor="text1"/>
        </w:rPr>
        <w:t>FDA staff time to design and manage the study, to analyze the resultant data, and to draft a report ($</w:t>
      </w:r>
      <w:r w:rsidR="00B345C6" w:rsidRPr="001A0074">
        <w:rPr>
          <w:rFonts w:ascii="Times New Roman" w:hAnsi="Times New Roman" w:cs="Times New Roman"/>
          <w:color w:val="000000" w:themeColor="text1"/>
        </w:rPr>
        <w:t>34,915</w:t>
      </w:r>
      <w:r w:rsidR="001076B3" w:rsidRPr="001A0074">
        <w:rPr>
          <w:rFonts w:ascii="Times New Roman" w:hAnsi="Times New Roman" w:cs="Times New Roman"/>
          <w:color w:val="000000" w:themeColor="text1"/>
        </w:rPr>
        <w:t xml:space="preserve">; </w:t>
      </w:r>
      <w:r w:rsidR="0088781F">
        <w:rPr>
          <w:rFonts w:ascii="Times New Roman" w:hAnsi="Times New Roman" w:cs="Times New Roman"/>
          <w:color w:val="000000" w:themeColor="text1"/>
        </w:rPr>
        <w:t>640</w:t>
      </w:r>
      <w:r w:rsidR="0053371B" w:rsidRPr="001A0074">
        <w:rPr>
          <w:rFonts w:ascii="Times New Roman" w:hAnsi="Times New Roman" w:cs="Times New Roman"/>
          <w:color w:val="000000" w:themeColor="text1"/>
        </w:rPr>
        <w:t xml:space="preserve"> </w:t>
      </w:r>
      <w:r w:rsidR="001076B3" w:rsidRPr="001A0074">
        <w:rPr>
          <w:rFonts w:ascii="Times New Roman" w:hAnsi="Times New Roman" w:cs="Times New Roman"/>
          <w:color w:val="000000" w:themeColor="text1"/>
        </w:rPr>
        <w:t xml:space="preserve">hours </w:t>
      </w:r>
      <w:r w:rsidR="0053371B" w:rsidRPr="001A0074">
        <w:rPr>
          <w:rFonts w:ascii="Times New Roman" w:hAnsi="Times New Roman" w:cs="Times New Roman"/>
          <w:color w:val="000000" w:themeColor="text1"/>
        </w:rPr>
        <w:t>over the life of the study</w:t>
      </w:r>
      <w:r w:rsidR="001076B3" w:rsidRPr="001A0074">
        <w:rPr>
          <w:rFonts w:ascii="Times New Roman" w:hAnsi="Times New Roman" w:cs="Times New Roman"/>
          <w:color w:val="000000" w:themeColor="text1"/>
        </w:rPr>
        <w:t>).</w:t>
      </w:r>
      <w:r w:rsidR="001076B3" w:rsidRPr="00CC4295">
        <w:rPr>
          <w:rFonts w:ascii="Times New Roman" w:hAnsi="Times New Roman" w:cs="Times New Roman"/>
          <w:color w:val="000000" w:themeColor="text1"/>
        </w:rPr>
        <w:t xml:space="preserve">  </w:t>
      </w:r>
    </w:p>
    <w:p w14:paraId="626143EF" w14:textId="77777777" w:rsidR="00D36196" w:rsidRPr="00134B59" w:rsidRDefault="00D36196" w:rsidP="00D36196">
      <w:pPr>
        <w:pStyle w:val="FigureTitle"/>
        <w:ind w:left="720"/>
        <w:rPr>
          <w:color w:val="000000" w:themeColor="text1"/>
        </w:rPr>
      </w:pPr>
      <w:bookmarkStart w:id="9" w:name="_Toc361824171"/>
      <w:r w:rsidRPr="00CC4295">
        <w:rPr>
          <w:color w:val="000000" w:themeColor="text1"/>
        </w:rPr>
        <w:t>Exhibit 3. Itemized Cost to the Federal Government</w:t>
      </w:r>
      <w:bookmarkEnd w:id="9"/>
    </w:p>
    <w:tbl>
      <w:tblPr>
        <w:tblW w:w="8748" w:type="dxa"/>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34B59" w:rsidRPr="00134B59" w14:paraId="3382D922" w14:textId="77777777" w:rsidTr="00B87995">
        <w:tc>
          <w:tcPr>
            <w:tcW w:w="2386" w:type="dxa"/>
            <w:tcBorders>
              <w:top w:val="single" w:sz="12" w:space="0" w:color="auto"/>
            </w:tcBorders>
            <w:shd w:val="clear" w:color="auto" w:fill="auto"/>
          </w:tcPr>
          <w:p w14:paraId="48781F09" w14:textId="77777777" w:rsidR="00D36196" w:rsidRPr="00134B59" w:rsidRDefault="00D36196" w:rsidP="00D36196">
            <w:pPr>
              <w:pStyle w:val="FigureTitle"/>
              <w:spacing w:before="0" w:after="120"/>
              <w:jc w:val="center"/>
              <w:rPr>
                <w:color w:val="000000" w:themeColor="text1"/>
                <w:sz w:val="22"/>
                <w:szCs w:val="22"/>
              </w:rPr>
            </w:pPr>
            <w:r w:rsidRPr="00134B59">
              <w:rPr>
                <w:color w:val="000000" w:themeColor="text1"/>
                <w:sz w:val="22"/>
                <w:szCs w:val="22"/>
              </w:rPr>
              <w:t>Government Personnel</w:t>
            </w:r>
          </w:p>
        </w:tc>
        <w:tc>
          <w:tcPr>
            <w:tcW w:w="2007" w:type="dxa"/>
            <w:tcBorders>
              <w:top w:val="single" w:sz="12" w:space="0" w:color="auto"/>
            </w:tcBorders>
            <w:shd w:val="clear" w:color="auto" w:fill="auto"/>
          </w:tcPr>
          <w:p w14:paraId="434B75BC" w14:textId="77777777" w:rsidR="00D36196" w:rsidRPr="00134B59" w:rsidRDefault="00D36196" w:rsidP="00D36196">
            <w:pPr>
              <w:pStyle w:val="FigureTitle"/>
              <w:spacing w:before="0" w:after="120"/>
              <w:jc w:val="center"/>
              <w:rPr>
                <w:color w:val="000000" w:themeColor="text1"/>
                <w:sz w:val="22"/>
                <w:szCs w:val="22"/>
              </w:rPr>
            </w:pPr>
            <w:r w:rsidRPr="00134B59">
              <w:rPr>
                <w:color w:val="000000" w:themeColor="text1"/>
                <w:sz w:val="22"/>
                <w:szCs w:val="22"/>
              </w:rPr>
              <w:t>Time Commitment</w:t>
            </w:r>
          </w:p>
        </w:tc>
        <w:tc>
          <w:tcPr>
            <w:tcW w:w="2735" w:type="dxa"/>
            <w:tcBorders>
              <w:top w:val="single" w:sz="12" w:space="0" w:color="auto"/>
            </w:tcBorders>
            <w:shd w:val="clear" w:color="auto" w:fill="auto"/>
            <w:vAlign w:val="bottom"/>
          </w:tcPr>
          <w:p w14:paraId="40F0827E" w14:textId="77777777" w:rsidR="00D36196" w:rsidRPr="00134B59" w:rsidRDefault="00D36196" w:rsidP="00D36196">
            <w:pPr>
              <w:pStyle w:val="FigureTitle"/>
              <w:spacing w:before="0" w:after="120"/>
              <w:jc w:val="center"/>
              <w:rPr>
                <w:color w:val="000000" w:themeColor="text1"/>
                <w:sz w:val="22"/>
                <w:szCs w:val="22"/>
              </w:rPr>
            </w:pPr>
            <w:r w:rsidRPr="00134B59">
              <w:rPr>
                <w:color w:val="000000" w:themeColor="text1"/>
                <w:sz w:val="22"/>
                <w:szCs w:val="22"/>
              </w:rPr>
              <w:t>Average Annual Salary</w:t>
            </w:r>
          </w:p>
        </w:tc>
        <w:tc>
          <w:tcPr>
            <w:tcW w:w="1620" w:type="dxa"/>
            <w:tcBorders>
              <w:top w:val="single" w:sz="12" w:space="0" w:color="auto"/>
            </w:tcBorders>
            <w:shd w:val="clear" w:color="auto" w:fill="auto"/>
          </w:tcPr>
          <w:p w14:paraId="65CAE367" w14:textId="77777777" w:rsidR="00D36196" w:rsidRPr="00134B59" w:rsidRDefault="00D36196" w:rsidP="00D36196">
            <w:pPr>
              <w:pStyle w:val="FigureTitle"/>
              <w:spacing w:before="0" w:after="120"/>
              <w:jc w:val="center"/>
              <w:rPr>
                <w:color w:val="000000" w:themeColor="text1"/>
                <w:sz w:val="22"/>
                <w:szCs w:val="22"/>
              </w:rPr>
            </w:pPr>
            <w:r w:rsidRPr="00134B59">
              <w:rPr>
                <w:color w:val="000000" w:themeColor="text1"/>
                <w:sz w:val="22"/>
                <w:szCs w:val="22"/>
              </w:rPr>
              <w:t>Total</w:t>
            </w:r>
          </w:p>
        </w:tc>
      </w:tr>
      <w:tr w:rsidR="00134B59" w:rsidRPr="00134B59" w14:paraId="66132F0B" w14:textId="77777777" w:rsidTr="00B87995">
        <w:tc>
          <w:tcPr>
            <w:tcW w:w="2386" w:type="dxa"/>
            <w:shd w:val="clear" w:color="auto" w:fill="auto"/>
          </w:tcPr>
          <w:p w14:paraId="3DD0CAB6" w14:textId="77777777" w:rsidR="005B1E9C" w:rsidRPr="00134B59" w:rsidRDefault="005B1E9C" w:rsidP="00D36196">
            <w:pPr>
              <w:pStyle w:val="FigureTitle"/>
              <w:spacing w:before="0" w:after="60"/>
              <w:jc w:val="center"/>
              <w:rPr>
                <w:b w:val="0"/>
                <w:color w:val="000000" w:themeColor="text1"/>
                <w:sz w:val="22"/>
                <w:szCs w:val="22"/>
              </w:rPr>
            </w:pPr>
            <w:r w:rsidRPr="00134B59">
              <w:rPr>
                <w:b w:val="0"/>
                <w:color w:val="000000" w:themeColor="text1"/>
                <w:sz w:val="22"/>
                <w:szCs w:val="22"/>
              </w:rPr>
              <w:t>GS-13</w:t>
            </w:r>
          </w:p>
        </w:tc>
        <w:tc>
          <w:tcPr>
            <w:tcW w:w="2007" w:type="dxa"/>
            <w:shd w:val="clear" w:color="auto" w:fill="auto"/>
          </w:tcPr>
          <w:p w14:paraId="0DFD8E66" w14:textId="5967AA01" w:rsidR="005B1E9C" w:rsidRPr="00134B59" w:rsidRDefault="00AB3645" w:rsidP="00D36196">
            <w:pPr>
              <w:pStyle w:val="FigureTitle"/>
              <w:spacing w:before="0" w:after="60"/>
              <w:jc w:val="center"/>
              <w:rPr>
                <w:b w:val="0"/>
                <w:color w:val="000000" w:themeColor="text1"/>
                <w:sz w:val="22"/>
                <w:szCs w:val="22"/>
              </w:rPr>
            </w:pPr>
            <w:r>
              <w:rPr>
                <w:b w:val="0"/>
                <w:color w:val="000000" w:themeColor="text1"/>
                <w:sz w:val="22"/>
                <w:szCs w:val="22"/>
              </w:rPr>
              <w:t>15</w:t>
            </w:r>
            <w:r w:rsidR="005B1E9C" w:rsidRPr="00134B59">
              <w:rPr>
                <w:b w:val="0"/>
                <w:color w:val="000000" w:themeColor="text1"/>
                <w:sz w:val="22"/>
                <w:szCs w:val="22"/>
              </w:rPr>
              <w:t>%</w:t>
            </w:r>
          </w:p>
        </w:tc>
        <w:tc>
          <w:tcPr>
            <w:tcW w:w="2735" w:type="dxa"/>
            <w:shd w:val="clear" w:color="auto" w:fill="auto"/>
          </w:tcPr>
          <w:p w14:paraId="534C9035" w14:textId="55994282" w:rsidR="005B1E9C" w:rsidRPr="00B345C6" w:rsidRDefault="00AB3645" w:rsidP="00AB3645">
            <w:pPr>
              <w:pStyle w:val="FigureTitle"/>
              <w:spacing w:before="0" w:after="60"/>
              <w:jc w:val="right"/>
              <w:rPr>
                <w:b w:val="0"/>
                <w:color w:val="000000" w:themeColor="text1"/>
                <w:sz w:val="22"/>
                <w:szCs w:val="22"/>
              </w:rPr>
            </w:pPr>
            <w:r w:rsidRPr="00B345C6">
              <w:rPr>
                <w:b w:val="0"/>
                <w:color w:val="000000" w:themeColor="text1"/>
                <w:sz w:val="22"/>
                <w:szCs w:val="22"/>
              </w:rPr>
              <w:t>$100,203</w:t>
            </w:r>
          </w:p>
        </w:tc>
        <w:tc>
          <w:tcPr>
            <w:tcW w:w="1620" w:type="dxa"/>
            <w:shd w:val="clear" w:color="auto" w:fill="auto"/>
          </w:tcPr>
          <w:p w14:paraId="3B452116" w14:textId="74BB5DBC" w:rsidR="005B1E9C" w:rsidRPr="00B345C6" w:rsidRDefault="00AB3645" w:rsidP="00BE1B08">
            <w:pPr>
              <w:pStyle w:val="FigureTitle"/>
              <w:spacing w:before="0" w:after="60"/>
              <w:rPr>
                <w:b w:val="0"/>
                <w:color w:val="000000" w:themeColor="text1"/>
                <w:sz w:val="22"/>
                <w:szCs w:val="22"/>
              </w:rPr>
            </w:pPr>
            <w:r w:rsidRPr="00B345C6">
              <w:rPr>
                <w:b w:val="0"/>
                <w:color w:val="000000" w:themeColor="text1"/>
                <w:sz w:val="22"/>
                <w:szCs w:val="22"/>
              </w:rPr>
              <w:t>$15,030</w:t>
            </w:r>
          </w:p>
        </w:tc>
      </w:tr>
      <w:tr w:rsidR="00134B59" w:rsidRPr="00134B59" w14:paraId="458D19D1" w14:textId="77777777" w:rsidTr="00B87995">
        <w:tc>
          <w:tcPr>
            <w:tcW w:w="2386" w:type="dxa"/>
            <w:shd w:val="clear" w:color="auto" w:fill="auto"/>
          </w:tcPr>
          <w:p w14:paraId="0900A1F9" w14:textId="77777777" w:rsidR="005B1E9C" w:rsidRPr="00134B59" w:rsidRDefault="005B1E9C" w:rsidP="00D36196">
            <w:pPr>
              <w:pStyle w:val="FigureTitle"/>
              <w:spacing w:before="0" w:after="60"/>
              <w:jc w:val="center"/>
              <w:rPr>
                <w:b w:val="0"/>
                <w:color w:val="000000" w:themeColor="text1"/>
                <w:sz w:val="22"/>
                <w:szCs w:val="22"/>
              </w:rPr>
            </w:pPr>
            <w:r w:rsidRPr="00134B59">
              <w:rPr>
                <w:b w:val="0"/>
                <w:color w:val="000000" w:themeColor="text1"/>
                <w:sz w:val="22"/>
                <w:szCs w:val="22"/>
              </w:rPr>
              <w:t>GS-14</w:t>
            </w:r>
          </w:p>
        </w:tc>
        <w:tc>
          <w:tcPr>
            <w:tcW w:w="2007" w:type="dxa"/>
            <w:shd w:val="clear" w:color="auto" w:fill="auto"/>
          </w:tcPr>
          <w:p w14:paraId="78529349" w14:textId="6D4C9B37" w:rsidR="005B1E9C" w:rsidRPr="00134B59" w:rsidRDefault="00AB3645" w:rsidP="00D36196">
            <w:pPr>
              <w:pStyle w:val="FigureTitle"/>
              <w:spacing w:before="0" w:after="60"/>
              <w:jc w:val="center"/>
              <w:rPr>
                <w:b w:val="0"/>
                <w:color w:val="000000" w:themeColor="text1"/>
                <w:sz w:val="22"/>
                <w:szCs w:val="22"/>
              </w:rPr>
            </w:pPr>
            <w:r>
              <w:rPr>
                <w:b w:val="0"/>
                <w:color w:val="000000" w:themeColor="text1"/>
                <w:sz w:val="22"/>
                <w:szCs w:val="22"/>
              </w:rPr>
              <w:t>15</w:t>
            </w:r>
            <w:r w:rsidR="005B1E9C" w:rsidRPr="00134B59">
              <w:rPr>
                <w:b w:val="0"/>
                <w:color w:val="000000" w:themeColor="text1"/>
                <w:sz w:val="22"/>
                <w:szCs w:val="22"/>
              </w:rPr>
              <w:t>%</w:t>
            </w:r>
          </w:p>
        </w:tc>
        <w:tc>
          <w:tcPr>
            <w:tcW w:w="2735" w:type="dxa"/>
            <w:shd w:val="clear" w:color="auto" w:fill="auto"/>
          </w:tcPr>
          <w:p w14:paraId="12E962D0" w14:textId="1A40E72D" w:rsidR="005B1E9C" w:rsidRPr="00B345C6" w:rsidRDefault="005B1E9C" w:rsidP="00AB3645">
            <w:pPr>
              <w:pStyle w:val="FigureTitle"/>
              <w:spacing w:before="0" w:after="60"/>
              <w:jc w:val="right"/>
              <w:rPr>
                <w:b w:val="0"/>
                <w:color w:val="000000" w:themeColor="text1"/>
                <w:sz w:val="22"/>
                <w:szCs w:val="22"/>
              </w:rPr>
            </w:pPr>
            <w:r w:rsidRPr="00B345C6">
              <w:rPr>
                <w:b w:val="0"/>
                <w:color w:val="000000" w:themeColor="text1"/>
                <w:sz w:val="22"/>
                <w:szCs w:val="22"/>
              </w:rPr>
              <w:t>$11</w:t>
            </w:r>
            <w:r w:rsidR="00AB3645" w:rsidRPr="00B345C6">
              <w:rPr>
                <w:b w:val="0"/>
                <w:color w:val="000000" w:themeColor="text1"/>
                <w:sz w:val="22"/>
                <w:szCs w:val="22"/>
              </w:rPr>
              <w:t>4</w:t>
            </w:r>
            <w:r w:rsidRPr="00B345C6">
              <w:rPr>
                <w:b w:val="0"/>
                <w:color w:val="000000" w:themeColor="text1"/>
                <w:sz w:val="22"/>
                <w:szCs w:val="22"/>
              </w:rPr>
              <w:t>,</w:t>
            </w:r>
            <w:r w:rsidR="00AB3645" w:rsidRPr="00B345C6">
              <w:rPr>
                <w:b w:val="0"/>
                <w:color w:val="000000" w:themeColor="text1"/>
                <w:sz w:val="22"/>
                <w:szCs w:val="22"/>
              </w:rPr>
              <w:t>590</w:t>
            </w:r>
          </w:p>
        </w:tc>
        <w:tc>
          <w:tcPr>
            <w:tcW w:w="1620" w:type="dxa"/>
            <w:shd w:val="clear" w:color="auto" w:fill="auto"/>
          </w:tcPr>
          <w:p w14:paraId="1E8092D1" w14:textId="47228DAE" w:rsidR="00BE1B08" w:rsidRPr="00B345C6" w:rsidRDefault="00AB3645" w:rsidP="00BE1B08">
            <w:pPr>
              <w:pStyle w:val="FigureTitle"/>
              <w:spacing w:before="0" w:after="60"/>
              <w:rPr>
                <w:b w:val="0"/>
                <w:color w:val="000000" w:themeColor="text1"/>
                <w:sz w:val="22"/>
                <w:szCs w:val="22"/>
              </w:rPr>
            </w:pPr>
            <w:r w:rsidRPr="00B345C6">
              <w:rPr>
                <w:b w:val="0"/>
                <w:color w:val="000000" w:themeColor="text1"/>
                <w:sz w:val="22"/>
                <w:szCs w:val="22"/>
              </w:rPr>
              <w:t>$17,189</w:t>
            </w:r>
          </w:p>
        </w:tc>
      </w:tr>
      <w:tr w:rsidR="00134B59" w:rsidRPr="00134B59" w14:paraId="46CE0F3A" w14:textId="77777777" w:rsidTr="00B87995">
        <w:tc>
          <w:tcPr>
            <w:tcW w:w="2386" w:type="dxa"/>
            <w:tcBorders>
              <w:bottom w:val="single" w:sz="4" w:space="0" w:color="auto"/>
            </w:tcBorders>
            <w:shd w:val="clear" w:color="auto" w:fill="auto"/>
          </w:tcPr>
          <w:p w14:paraId="5124421D" w14:textId="77777777" w:rsidR="005B1E9C" w:rsidRPr="00134B59" w:rsidRDefault="005B1E9C" w:rsidP="00D36196">
            <w:pPr>
              <w:pStyle w:val="FigureTitle"/>
              <w:spacing w:before="0" w:after="60"/>
              <w:jc w:val="center"/>
              <w:rPr>
                <w:b w:val="0"/>
                <w:color w:val="000000" w:themeColor="text1"/>
                <w:sz w:val="22"/>
                <w:szCs w:val="22"/>
              </w:rPr>
            </w:pPr>
            <w:r w:rsidRPr="00134B59">
              <w:rPr>
                <w:b w:val="0"/>
                <w:color w:val="000000" w:themeColor="text1"/>
                <w:sz w:val="22"/>
                <w:szCs w:val="22"/>
              </w:rPr>
              <w:t>GS-15</w:t>
            </w:r>
          </w:p>
        </w:tc>
        <w:tc>
          <w:tcPr>
            <w:tcW w:w="2007" w:type="dxa"/>
            <w:tcBorders>
              <w:bottom w:val="single" w:sz="4" w:space="0" w:color="auto"/>
            </w:tcBorders>
            <w:shd w:val="clear" w:color="auto" w:fill="auto"/>
          </w:tcPr>
          <w:p w14:paraId="77092E8B" w14:textId="75EBFD06" w:rsidR="005B1E9C" w:rsidRPr="00134B59" w:rsidRDefault="00AB3645" w:rsidP="00D36196">
            <w:pPr>
              <w:pStyle w:val="FigureTitle"/>
              <w:spacing w:before="0" w:after="60"/>
              <w:jc w:val="center"/>
              <w:rPr>
                <w:b w:val="0"/>
                <w:color w:val="000000" w:themeColor="text1"/>
                <w:sz w:val="22"/>
                <w:szCs w:val="22"/>
              </w:rPr>
            </w:pPr>
            <w:r>
              <w:rPr>
                <w:b w:val="0"/>
                <w:color w:val="000000" w:themeColor="text1"/>
                <w:sz w:val="22"/>
                <w:szCs w:val="22"/>
              </w:rPr>
              <w:t>2</w:t>
            </w:r>
            <w:r w:rsidR="005B1E9C" w:rsidRPr="00134B59">
              <w:rPr>
                <w:b w:val="0"/>
                <w:color w:val="000000" w:themeColor="text1"/>
                <w:sz w:val="22"/>
                <w:szCs w:val="22"/>
              </w:rPr>
              <w:t>%</w:t>
            </w:r>
          </w:p>
        </w:tc>
        <w:tc>
          <w:tcPr>
            <w:tcW w:w="2735" w:type="dxa"/>
            <w:tcBorders>
              <w:bottom w:val="single" w:sz="4" w:space="0" w:color="auto"/>
            </w:tcBorders>
            <w:shd w:val="clear" w:color="auto" w:fill="auto"/>
          </w:tcPr>
          <w:p w14:paraId="364B8CCC" w14:textId="7EC28977" w:rsidR="005B1E9C" w:rsidRPr="00B345C6" w:rsidRDefault="005B1E9C" w:rsidP="00AB3645">
            <w:pPr>
              <w:pStyle w:val="FigureTitle"/>
              <w:spacing w:before="0" w:after="60"/>
              <w:jc w:val="right"/>
              <w:rPr>
                <w:b w:val="0"/>
                <w:color w:val="000000" w:themeColor="text1"/>
                <w:sz w:val="22"/>
                <w:szCs w:val="22"/>
              </w:rPr>
            </w:pPr>
            <w:r w:rsidRPr="00B345C6">
              <w:rPr>
                <w:b w:val="0"/>
                <w:color w:val="000000" w:themeColor="text1"/>
                <w:sz w:val="22"/>
                <w:szCs w:val="22"/>
              </w:rPr>
              <w:t>$1</w:t>
            </w:r>
            <w:r w:rsidR="00AB3645" w:rsidRPr="00B345C6">
              <w:rPr>
                <w:b w:val="0"/>
                <w:color w:val="000000" w:themeColor="text1"/>
                <w:sz w:val="22"/>
                <w:szCs w:val="22"/>
              </w:rPr>
              <w:t>34</w:t>
            </w:r>
            <w:r w:rsidRPr="00B345C6">
              <w:rPr>
                <w:b w:val="0"/>
                <w:color w:val="000000" w:themeColor="text1"/>
                <w:sz w:val="22"/>
                <w:szCs w:val="22"/>
              </w:rPr>
              <w:t>,</w:t>
            </w:r>
            <w:r w:rsidR="00AB3645" w:rsidRPr="00B345C6">
              <w:rPr>
                <w:b w:val="0"/>
                <w:color w:val="000000" w:themeColor="text1"/>
                <w:sz w:val="22"/>
                <w:szCs w:val="22"/>
              </w:rPr>
              <w:t>789</w:t>
            </w:r>
          </w:p>
        </w:tc>
        <w:tc>
          <w:tcPr>
            <w:tcW w:w="1620" w:type="dxa"/>
            <w:tcBorders>
              <w:bottom w:val="single" w:sz="4" w:space="0" w:color="auto"/>
            </w:tcBorders>
            <w:shd w:val="clear" w:color="auto" w:fill="auto"/>
          </w:tcPr>
          <w:p w14:paraId="0B654328" w14:textId="3C7B4E3C" w:rsidR="005B1E9C" w:rsidRPr="00B345C6" w:rsidRDefault="00AB3645" w:rsidP="00BE1B08">
            <w:pPr>
              <w:pStyle w:val="FigureTitle"/>
              <w:spacing w:before="0" w:after="60"/>
              <w:rPr>
                <w:b w:val="0"/>
                <w:color w:val="000000" w:themeColor="text1"/>
                <w:sz w:val="22"/>
                <w:szCs w:val="22"/>
              </w:rPr>
            </w:pPr>
            <w:r w:rsidRPr="00B345C6">
              <w:rPr>
                <w:b w:val="0"/>
                <w:color w:val="000000" w:themeColor="text1"/>
                <w:sz w:val="22"/>
                <w:szCs w:val="22"/>
              </w:rPr>
              <w:t>$2,696</w:t>
            </w:r>
          </w:p>
        </w:tc>
      </w:tr>
      <w:tr w:rsidR="00134B59" w:rsidRPr="00134B59" w14:paraId="45A0F978" w14:textId="77777777" w:rsidTr="00B87995">
        <w:tc>
          <w:tcPr>
            <w:tcW w:w="7128" w:type="dxa"/>
            <w:gridSpan w:val="3"/>
            <w:tcBorders>
              <w:bottom w:val="single" w:sz="4" w:space="0" w:color="auto"/>
            </w:tcBorders>
            <w:shd w:val="clear" w:color="auto" w:fill="auto"/>
          </w:tcPr>
          <w:p w14:paraId="6A2AF8A9" w14:textId="77777777" w:rsidR="005B1E9C" w:rsidRPr="00B345C6" w:rsidRDefault="005B1E9C" w:rsidP="00D36196">
            <w:pPr>
              <w:pStyle w:val="FigureTitle"/>
              <w:spacing w:before="0" w:after="60"/>
              <w:jc w:val="right"/>
              <w:rPr>
                <w:b w:val="0"/>
                <w:color w:val="000000" w:themeColor="text1"/>
                <w:sz w:val="22"/>
                <w:szCs w:val="22"/>
              </w:rPr>
            </w:pPr>
            <w:r w:rsidRPr="00B345C6">
              <w:rPr>
                <w:b w:val="0"/>
                <w:color w:val="000000" w:themeColor="text1"/>
                <w:sz w:val="22"/>
                <w:szCs w:val="22"/>
              </w:rPr>
              <w:t>Total Salary Costs</w:t>
            </w:r>
          </w:p>
        </w:tc>
        <w:tc>
          <w:tcPr>
            <w:tcW w:w="1620" w:type="dxa"/>
            <w:tcBorders>
              <w:bottom w:val="single" w:sz="4" w:space="0" w:color="auto"/>
            </w:tcBorders>
            <w:shd w:val="clear" w:color="auto" w:fill="auto"/>
          </w:tcPr>
          <w:p w14:paraId="0D926E5F" w14:textId="0912CC99" w:rsidR="00BE1B08" w:rsidRPr="00B345C6" w:rsidRDefault="00AB3645" w:rsidP="00320B91">
            <w:pPr>
              <w:pStyle w:val="FigureTitle"/>
              <w:spacing w:before="0" w:after="60"/>
              <w:jc w:val="right"/>
              <w:rPr>
                <w:b w:val="0"/>
                <w:color w:val="000000" w:themeColor="text1"/>
                <w:sz w:val="22"/>
                <w:szCs w:val="22"/>
              </w:rPr>
            </w:pPr>
            <w:r w:rsidRPr="00B345C6">
              <w:rPr>
                <w:color w:val="000000" w:themeColor="text1"/>
                <w:sz w:val="22"/>
                <w:szCs w:val="22"/>
              </w:rPr>
              <w:t>$34,915</w:t>
            </w:r>
          </w:p>
        </w:tc>
      </w:tr>
      <w:tr w:rsidR="00134B59" w:rsidRPr="00134B59" w14:paraId="2B07D643" w14:textId="77777777" w:rsidTr="00B87995">
        <w:tc>
          <w:tcPr>
            <w:tcW w:w="7128" w:type="dxa"/>
            <w:gridSpan w:val="3"/>
            <w:shd w:val="clear" w:color="auto" w:fill="auto"/>
          </w:tcPr>
          <w:p w14:paraId="4B8F4AF5" w14:textId="77777777" w:rsidR="005B1E9C" w:rsidRPr="00B345C6" w:rsidRDefault="005B1E9C" w:rsidP="00D36196">
            <w:pPr>
              <w:pStyle w:val="FigureTitle"/>
              <w:spacing w:before="0" w:after="60"/>
              <w:jc w:val="right"/>
              <w:rPr>
                <w:b w:val="0"/>
                <w:color w:val="000000" w:themeColor="text1"/>
                <w:sz w:val="22"/>
                <w:szCs w:val="22"/>
              </w:rPr>
            </w:pPr>
            <w:r w:rsidRPr="00B345C6">
              <w:rPr>
                <w:b w:val="0"/>
                <w:color w:val="000000" w:themeColor="text1"/>
                <w:sz w:val="22"/>
                <w:szCs w:val="22"/>
              </w:rPr>
              <w:t>Contract Cost</w:t>
            </w:r>
          </w:p>
        </w:tc>
        <w:tc>
          <w:tcPr>
            <w:tcW w:w="1620" w:type="dxa"/>
            <w:shd w:val="clear" w:color="auto" w:fill="auto"/>
          </w:tcPr>
          <w:p w14:paraId="533B7517" w14:textId="6FB98A7A" w:rsidR="005B1E9C" w:rsidRPr="00B345C6" w:rsidRDefault="00BE1B08" w:rsidP="00320B91">
            <w:pPr>
              <w:pStyle w:val="FigureTitle"/>
              <w:spacing w:before="0" w:after="60"/>
              <w:jc w:val="right"/>
              <w:rPr>
                <w:color w:val="000000" w:themeColor="text1"/>
                <w:sz w:val="22"/>
                <w:szCs w:val="22"/>
              </w:rPr>
            </w:pPr>
            <w:r w:rsidRPr="00B345C6">
              <w:rPr>
                <w:color w:val="000000" w:themeColor="text1"/>
                <w:sz w:val="22"/>
                <w:szCs w:val="22"/>
              </w:rPr>
              <w:t>$318,530</w:t>
            </w:r>
          </w:p>
        </w:tc>
      </w:tr>
      <w:tr w:rsidR="005B1E9C" w:rsidRPr="00134B59" w14:paraId="4CEB361C" w14:textId="77777777" w:rsidTr="00B87995">
        <w:tc>
          <w:tcPr>
            <w:tcW w:w="7128" w:type="dxa"/>
            <w:gridSpan w:val="3"/>
            <w:tcBorders>
              <w:bottom w:val="single" w:sz="12" w:space="0" w:color="auto"/>
            </w:tcBorders>
            <w:shd w:val="clear" w:color="auto" w:fill="auto"/>
          </w:tcPr>
          <w:p w14:paraId="66B3992F" w14:textId="77777777" w:rsidR="005B1E9C" w:rsidRPr="00B345C6" w:rsidRDefault="005B1E9C" w:rsidP="00D36196">
            <w:pPr>
              <w:pStyle w:val="FigureTitle"/>
              <w:spacing w:before="0" w:after="60"/>
              <w:jc w:val="right"/>
              <w:rPr>
                <w:b w:val="0"/>
                <w:color w:val="000000" w:themeColor="text1"/>
                <w:sz w:val="22"/>
                <w:szCs w:val="22"/>
              </w:rPr>
            </w:pPr>
            <w:r w:rsidRPr="00B345C6">
              <w:rPr>
                <w:b w:val="0"/>
                <w:color w:val="000000" w:themeColor="text1"/>
                <w:sz w:val="22"/>
                <w:szCs w:val="22"/>
              </w:rPr>
              <w:t>Total</w:t>
            </w:r>
          </w:p>
        </w:tc>
        <w:tc>
          <w:tcPr>
            <w:tcW w:w="1620" w:type="dxa"/>
            <w:tcBorders>
              <w:bottom w:val="single" w:sz="12" w:space="0" w:color="auto"/>
            </w:tcBorders>
            <w:shd w:val="clear" w:color="auto" w:fill="auto"/>
          </w:tcPr>
          <w:p w14:paraId="13089FE8" w14:textId="46DA8E48" w:rsidR="005B1E9C" w:rsidRPr="00B345C6" w:rsidRDefault="00AB3645" w:rsidP="00320B91">
            <w:pPr>
              <w:pStyle w:val="FigureTitle"/>
              <w:spacing w:before="0" w:after="60"/>
              <w:jc w:val="right"/>
              <w:rPr>
                <w:color w:val="000000" w:themeColor="text1"/>
                <w:sz w:val="22"/>
                <w:szCs w:val="22"/>
              </w:rPr>
            </w:pPr>
            <w:r w:rsidRPr="00B345C6">
              <w:rPr>
                <w:color w:val="000000" w:themeColor="text1"/>
                <w:sz w:val="22"/>
                <w:szCs w:val="22"/>
              </w:rPr>
              <w:t>$353,445</w:t>
            </w:r>
          </w:p>
        </w:tc>
      </w:tr>
    </w:tbl>
    <w:p w14:paraId="7687BE2A" w14:textId="77777777" w:rsidR="00D36196" w:rsidRPr="00134B59" w:rsidRDefault="00D36196" w:rsidP="005B1E9C">
      <w:pPr>
        <w:rPr>
          <w:color w:val="000000" w:themeColor="text1"/>
        </w:rPr>
      </w:pPr>
    </w:p>
    <w:p w14:paraId="509743F9" w14:textId="77777777" w:rsidR="00F735A9" w:rsidRPr="00134B59" w:rsidRDefault="00F735A9" w:rsidP="00F43600">
      <w:pPr>
        <w:pStyle w:val="ListParagraph"/>
        <w:numPr>
          <w:ilvl w:val="0"/>
          <w:numId w:val="1"/>
        </w:numPr>
        <w:rPr>
          <w:rFonts w:ascii="Times New Roman" w:hAnsi="Times New Roman" w:cs="Times New Roman"/>
          <w:color w:val="000000" w:themeColor="text1"/>
          <w:u w:val="single"/>
        </w:rPr>
      </w:pPr>
      <w:r w:rsidRPr="00134B59">
        <w:rPr>
          <w:rFonts w:ascii="Times New Roman" w:hAnsi="Times New Roman" w:cs="Times New Roman"/>
          <w:color w:val="000000" w:themeColor="text1"/>
          <w:u w:val="single"/>
        </w:rPr>
        <w:t>Explanation for Program Changes or Adjustments</w:t>
      </w:r>
    </w:p>
    <w:p w14:paraId="63378549" w14:textId="77777777" w:rsidR="00B7586B" w:rsidRPr="00BF6EAE" w:rsidRDefault="00B7586B" w:rsidP="00CE1475">
      <w:pPr>
        <w:ind w:left="1080"/>
        <w:rPr>
          <w:rFonts w:ascii="Times New Roman" w:hAnsi="Times New Roman" w:cs="Times New Roman"/>
          <w:color w:val="000000" w:themeColor="text1"/>
        </w:rPr>
      </w:pPr>
    </w:p>
    <w:p w14:paraId="561784E4" w14:textId="77777777" w:rsidR="00AB2CE8" w:rsidRPr="00BF6EAE" w:rsidRDefault="00AB2CE8"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This is a new data collection.</w:t>
      </w:r>
    </w:p>
    <w:p w14:paraId="5F520C12" w14:textId="77777777" w:rsidR="00AB2CE8" w:rsidRPr="00BF6EAE" w:rsidRDefault="00AB2CE8" w:rsidP="00CE1475">
      <w:pPr>
        <w:ind w:left="1080"/>
        <w:rPr>
          <w:rFonts w:ascii="Times New Roman" w:hAnsi="Times New Roman" w:cs="Times New Roman"/>
          <w:color w:val="000000" w:themeColor="text1"/>
        </w:rPr>
      </w:pPr>
    </w:p>
    <w:p w14:paraId="69A6084C" w14:textId="77777777" w:rsidR="00F735A9" w:rsidRPr="00BF6EAE" w:rsidRDefault="00F735A9" w:rsidP="00F43600">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Plans for Tabulation and Publication and Project Time Schedule</w:t>
      </w:r>
    </w:p>
    <w:p w14:paraId="64011E81" w14:textId="77777777" w:rsidR="00B7586B" w:rsidRPr="00BF6EAE" w:rsidRDefault="00B7586B" w:rsidP="00CE1475">
      <w:pPr>
        <w:ind w:left="1080"/>
        <w:rPr>
          <w:rFonts w:ascii="Times New Roman" w:hAnsi="Times New Roman" w:cs="Times New Roman"/>
          <w:color w:val="000000" w:themeColor="text1"/>
        </w:rPr>
      </w:pPr>
    </w:p>
    <w:p w14:paraId="31045A2A" w14:textId="7993F984" w:rsidR="00CB0632" w:rsidRDefault="007E3DC4" w:rsidP="007A79B6">
      <w:pPr>
        <w:rPr>
          <w:rFonts w:ascii="Times New Roman" w:hAnsi="Times New Roman" w:cs="Times New Roman"/>
          <w:color w:val="000000" w:themeColor="text1"/>
        </w:rPr>
      </w:pPr>
      <w:r>
        <w:rPr>
          <w:rFonts w:ascii="Times New Roman" w:hAnsi="Times New Roman" w:cs="Times New Roman"/>
          <w:color w:val="000000" w:themeColor="text1"/>
        </w:rPr>
        <w:t xml:space="preserve">As </w:t>
      </w:r>
      <w:r w:rsidR="00282DD9">
        <w:rPr>
          <w:rFonts w:ascii="Times New Roman" w:hAnsi="Times New Roman" w:cs="Times New Roman"/>
          <w:color w:val="000000" w:themeColor="text1"/>
        </w:rPr>
        <w:t>described previously</w:t>
      </w:r>
      <w:r>
        <w:rPr>
          <w:rFonts w:ascii="Times New Roman" w:hAnsi="Times New Roman" w:cs="Times New Roman"/>
          <w:color w:val="000000" w:themeColor="text1"/>
        </w:rPr>
        <w:t xml:space="preserve">, </w:t>
      </w:r>
      <w:r w:rsidR="001D0F71">
        <w:rPr>
          <w:rFonts w:ascii="Times New Roman" w:hAnsi="Times New Roman" w:cs="Times New Roman"/>
          <w:color w:val="000000" w:themeColor="text1"/>
        </w:rPr>
        <w:t xml:space="preserve">this research seeks to develop measures and methods to support the robustness of </w:t>
      </w:r>
      <w:r w:rsidR="00874003">
        <w:rPr>
          <w:rFonts w:ascii="Times New Roman" w:hAnsi="Times New Roman" w:cs="Times New Roman"/>
          <w:color w:val="000000" w:themeColor="text1"/>
        </w:rPr>
        <w:t xml:space="preserve">consumer perception research conducted to study </w:t>
      </w:r>
      <w:r w:rsidR="00282DD9">
        <w:rPr>
          <w:rFonts w:ascii="Times New Roman" w:hAnsi="Times New Roman" w:cs="Times New Roman"/>
          <w:color w:val="000000" w:themeColor="text1"/>
        </w:rPr>
        <w:t xml:space="preserve">tobacco product </w:t>
      </w:r>
      <w:r w:rsidR="00874003">
        <w:rPr>
          <w:rFonts w:ascii="Times New Roman" w:hAnsi="Times New Roman" w:cs="Times New Roman"/>
          <w:color w:val="000000" w:themeColor="text1"/>
        </w:rPr>
        <w:t xml:space="preserve">modified risk claims. This research has three goals, </w:t>
      </w:r>
      <w:r w:rsidR="006E7CCB">
        <w:rPr>
          <w:rFonts w:ascii="Times New Roman" w:hAnsi="Times New Roman" w:cs="Times New Roman"/>
          <w:color w:val="000000" w:themeColor="text1"/>
        </w:rPr>
        <w:t>including one primary goal and two secondary goals:</w:t>
      </w:r>
    </w:p>
    <w:p w14:paraId="674CD236" w14:textId="77777777" w:rsidR="00CB0632" w:rsidRPr="00CB0632" w:rsidRDefault="00CB0632" w:rsidP="007A79B6">
      <w:pPr>
        <w:rPr>
          <w:rFonts w:ascii="Times New Roman" w:hAnsi="Times New Roman" w:cs="Times New Roman"/>
          <w:color w:val="000000" w:themeColor="text1"/>
        </w:rPr>
      </w:pPr>
    </w:p>
    <w:p w14:paraId="0F03C664" w14:textId="4FE7D17F" w:rsidR="00CB0632" w:rsidRPr="00CB0632" w:rsidRDefault="007C2072" w:rsidP="007A79B6">
      <w:pPr>
        <w:pStyle w:val="ListParagraph"/>
        <w:numPr>
          <w:ilvl w:val="0"/>
          <w:numId w:val="10"/>
        </w:numPr>
        <w:ind w:left="720"/>
        <w:rPr>
          <w:rFonts w:ascii="Times New Roman" w:hAnsi="Times New Roman" w:cs="Times New Roman"/>
          <w:color w:val="000000" w:themeColor="text1"/>
        </w:rPr>
      </w:pPr>
      <w:r w:rsidRPr="00774C01">
        <w:rPr>
          <w:rFonts w:ascii="Times New Roman" w:hAnsi="Times New Roman" w:cs="Times New Roman"/>
          <w:color w:val="000000" w:themeColor="text1"/>
          <w:u w:val="single"/>
        </w:rPr>
        <w:t xml:space="preserve">Primary </w:t>
      </w:r>
      <w:r w:rsidR="006F1E9E" w:rsidRPr="00774C01">
        <w:rPr>
          <w:rFonts w:ascii="Times New Roman" w:hAnsi="Times New Roman" w:cs="Times New Roman"/>
          <w:color w:val="000000" w:themeColor="text1"/>
          <w:u w:val="single"/>
        </w:rPr>
        <w:t>G</w:t>
      </w:r>
      <w:r w:rsidR="006E7CCB" w:rsidRPr="00774C01">
        <w:rPr>
          <w:rFonts w:ascii="Times New Roman" w:hAnsi="Times New Roman" w:cs="Times New Roman"/>
          <w:color w:val="000000" w:themeColor="text1"/>
          <w:u w:val="single"/>
        </w:rPr>
        <w:t>oal</w:t>
      </w:r>
      <w:r>
        <w:rPr>
          <w:rFonts w:ascii="Times New Roman" w:hAnsi="Times New Roman" w:cs="Times New Roman"/>
          <w:color w:val="000000" w:themeColor="text1"/>
        </w:rPr>
        <w:t xml:space="preserve">: </w:t>
      </w:r>
      <w:r w:rsidR="006E7CCB">
        <w:rPr>
          <w:rFonts w:ascii="Times New Roman" w:hAnsi="Times New Roman" w:cs="Times New Roman"/>
          <w:color w:val="000000" w:themeColor="text1"/>
        </w:rPr>
        <w:t>To develop and validate survey measures for assessing several specific risk perception constructs</w:t>
      </w:r>
      <w:r w:rsidR="006F1E9E">
        <w:rPr>
          <w:rFonts w:ascii="Times New Roman" w:hAnsi="Times New Roman" w:cs="Times New Roman"/>
          <w:color w:val="000000" w:themeColor="text1"/>
        </w:rPr>
        <w:t xml:space="preserve"> that can be used in future research related to studying modified risk tobacco products. </w:t>
      </w:r>
    </w:p>
    <w:p w14:paraId="5EF6A6E2" w14:textId="145E317D" w:rsidR="00CB0632" w:rsidRPr="00CB0632" w:rsidRDefault="006E7CCB" w:rsidP="007A79B6">
      <w:pPr>
        <w:pStyle w:val="ListParagraph"/>
        <w:numPr>
          <w:ilvl w:val="0"/>
          <w:numId w:val="10"/>
        </w:numPr>
        <w:ind w:left="720"/>
        <w:rPr>
          <w:rFonts w:ascii="Times New Roman" w:hAnsi="Times New Roman" w:cs="Times New Roman"/>
          <w:color w:val="000000" w:themeColor="text1"/>
        </w:rPr>
      </w:pPr>
      <w:r w:rsidRPr="00774C01">
        <w:rPr>
          <w:rFonts w:ascii="Times New Roman" w:hAnsi="Times New Roman" w:cs="Times New Roman"/>
          <w:color w:val="000000" w:themeColor="text1"/>
          <w:u w:val="single"/>
        </w:rPr>
        <w:t>First Secondary Goal</w:t>
      </w:r>
      <w:r w:rsidR="007C2072">
        <w:rPr>
          <w:rFonts w:ascii="Times New Roman" w:hAnsi="Times New Roman" w:cs="Times New Roman"/>
          <w:color w:val="000000" w:themeColor="text1"/>
        </w:rPr>
        <w:t xml:space="preserve">: </w:t>
      </w:r>
      <w:r>
        <w:rPr>
          <w:rFonts w:ascii="Times New Roman" w:hAnsi="Times New Roman" w:cs="Times New Roman"/>
          <w:color w:val="000000" w:themeColor="text1"/>
        </w:rPr>
        <w:t>To</w:t>
      </w:r>
      <w:r w:rsidRPr="008E2C75">
        <w:rPr>
          <w:rFonts w:ascii="Times New Roman" w:hAnsi="Times New Roman" w:cs="Times New Roman"/>
          <w:color w:val="000000" w:themeColor="text1"/>
        </w:rPr>
        <w:t xml:space="preserve"> identify populations that may be susceptible to, or disproportionately influenced by, MRTP claims</w:t>
      </w:r>
      <w:r>
        <w:rPr>
          <w:rFonts w:ascii="Times New Roman" w:hAnsi="Times New Roman" w:cs="Times New Roman"/>
          <w:color w:val="000000" w:themeColor="text1"/>
        </w:rPr>
        <w:t xml:space="preserve"> </w:t>
      </w:r>
      <w:r w:rsidR="00CB0632" w:rsidRPr="00CB0632">
        <w:rPr>
          <w:rFonts w:ascii="Times New Roman" w:hAnsi="Times New Roman" w:cs="Times New Roman"/>
          <w:color w:val="000000" w:themeColor="text1"/>
        </w:rPr>
        <w:t>(such as</w:t>
      </w:r>
      <w:r w:rsidR="00ED017E">
        <w:rPr>
          <w:rFonts w:ascii="Times New Roman" w:hAnsi="Times New Roman" w:cs="Times New Roman"/>
          <w:color w:val="000000" w:themeColor="text1"/>
        </w:rPr>
        <w:t xml:space="preserve"> those with</w:t>
      </w:r>
      <w:r w:rsidR="00CB0632" w:rsidRPr="00CB0632">
        <w:rPr>
          <w:rFonts w:ascii="Times New Roman" w:hAnsi="Times New Roman" w:cs="Times New Roman"/>
          <w:color w:val="000000" w:themeColor="text1"/>
        </w:rPr>
        <w:t xml:space="preserve"> </w:t>
      </w:r>
      <w:r w:rsidR="007C2072">
        <w:rPr>
          <w:rFonts w:ascii="Times New Roman" w:hAnsi="Times New Roman" w:cs="Times New Roman"/>
          <w:color w:val="000000" w:themeColor="text1"/>
        </w:rPr>
        <w:t xml:space="preserve">high interest in quitting smoking; </w:t>
      </w:r>
      <w:r w:rsidR="00CB0632" w:rsidRPr="00CB0632">
        <w:rPr>
          <w:rFonts w:ascii="Times New Roman" w:hAnsi="Times New Roman" w:cs="Times New Roman"/>
          <w:color w:val="000000" w:themeColor="text1"/>
        </w:rPr>
        <w:t xml:space="preserve">uncertainty about the risks of a product </w:t>
      </w:r>
      <w:r w:rsidR="00D23424">
        <w:rPr>
          <w:rFonts w:ascii="Times New Roman" w:hAnsi="Times New Roman" w:cs="Times New Roman"/>
          <w:color w:val="000000" w:themeColor="text1"/>
        </w:rPr>
        <w:t>type</w:t>
      </w:r>
      <w:r w:rsidR="007C2072">
        <w:rPr>
          <w:rFonts w:ascii="Times New Roman" w:hAnsi="Times New Roman" w:cs="Times New Roman"/>
          <w:color w:val="000000" w:themeColor="text1"/>
        </w:rPr>
        <w:t>;</w:t>
      </w:r>
      <w:r w:rsidR="00CB0632" w:rsidRPr="00CB0632">
        <w:rPr>
          <w:rFonts w:ascii="Times New Roman" w:hAnsi="Times New Roman" w:cs="Times New Roman"/>
          <w:color w:val="000000" w:themeColor="text1"/>
        </w:rPr>
        <w:t xml:space="preserve"> low educational attainment</w:t>
      </w:r>
      <w:r w:rsidR="007C2072">
        <w:rPr>
          <w:rFonts w:ascii="Times New Roman" w:hAnsi="Times New Roman" w:cs="Times New Roman"/>
          <w:color w:val="000000" w:themeColor="text1"/>
        </w:rPr>
        <w:t xml:space="preserve">; current tobacco product use; </w:t>
      </w:r>
      <w:r w:rsidR="00276882">
        <w:rPr>
          <w:rFonts w:ascii="Times New Roman" w:hAnsi="Times New Roman" w:cs="Times New Roman"/>
          <w:color w:val="000000" w:themeColor="text1"/>
        </w:rPr>
        <w:t>age; whether they have children under age 12 living in the house; race/ethnicity; current U.S. armed forces service; sex</w:t>
      </w:r>
      <w:r w:rsidR="00CB0632" w:rsidRPr="00CB0632">
        <w:rPr>
          <w:rFonts w:ascii="Times New Roman" w:hAnsi="Times New Roman" w:cs="Times New Roman"/>
          <w:color w:val="000000" w:themeColor="text1"/>
        </w:rPr>
        <w:t>)</w:t>
      </w:r>
      <w:r w:rsidR="006F1E9E">
        <w:rPr>
          <w:rFonts w:ascii="Times New Roman" w:hAnsi="Times New Roman" w:cs="Times New Roman"/>
          <w:color w:val="000000" w:themeColor="text1"/>
        </w:rPr>
        <w:t xml:space="preserve"> so that they can be overrecruited</w:t>
      </w:r>
      <w:r w:rsidR="00CB0632" w:rsidRPr="00CB0632">
        <w:rPr>
          <w:rFonts w:ascii="Times New Roman" w:hAnsi="Times New Roman" w:cs="Times New Roman"/>
          <w:color w:val="000000" w:themeColor="text1"/>
        </w:rPr>
        <w:t xml:space="preserve"> </w:t>
      </w:r>
      <w:r w:rsidR="006F1E9E">
        <w:rPr>
          <w:rFonts w:ascii="Times New Roman" w:hAnsi="Times New Roman" w:cs="Times New Roman"/>
          <w:color w:val="000000" w:themeColor="text1"/>
        </w:rPr>
        <w:t>in future research related to studying modified risk tobacco products.</w:t>
      </w:r>
    </w:p>
    <w:p w14:paraId="16AFAC7A" w14:textId="361AF021" w:rsidR="007104B4" w:rsidRPr="00CB0632" w:rsidRDefault="006860B5" w:rsidP="007A79B6">
      <w:pPr>
        <w:pStyle w:val="ListParagraph"/>
        <w:numPr>
          <w:ilvl w:val="0"/>
          <w:numId w:val="10"/>
        </w:numPr>
        <w:ind w:left="720"/>
        <w:rPr>
          <w:rFonts w:ascii="Times New Roman" w:hAnsi="Times New Roman" w:cs="Times New Roman"/>
          <w:color w:val="000000" w:themeColor="text1"/>
        </w:rPr>
      </w:pPr>
      <w:r w:rsidRPr="00ED017E">
        <w:rPr>
          <w:rFonts w:ascii="Times New Roman" w:hAnsi="Times New Roman" w:cs="Times New Roman"/>
          <w:color w:val="000000" w:themeColor="text1"/>
          <w:u w:val="single"/>
        </w:rPr>
        <w:t>Second Secondary Goal</w:t>
      </w:r>
      <w:r w:rsidR="007C2072">
        <w:rPr>
          <w:rFonts w:ascii="Times New Roman" w:hAnsi="Times New Roman" w:cs="Times New Roman"/>
          <w:color w:val="000000" w:themeColor="text1"/>
        </w:rPr>
        <w:t xml:space="preserve">: </w:t>
      </w:r>
      <w:r>
        <w:rPr>
          <w:rFonts w:ascii="Times New Roman" w:hAnsi="Times New Roman" w:cs="Times New Roman"/>
          <w:color w:val="000000" w:themeColor="text1"/>
        </w:rPr>
        <w:t>To assess the performance of two</w:t>
      </w:r>
      <w:r w:rsidRPr="008E2C75">
        <w:rPr>
          <w:rFonts w:ascii="Times New Roman" w:hAnsi="Times New Roman" w:cs="Times New Roman"/>
          <w:color w:val="000000" w:themeColor="text1"/>
        </w:rPr>
        <w:t xml:space="preserve"> </w:t>
      </w:r>
      <w:r w:rsidR="001C1FC4">
        <w:rPr>
          <w:rFonts w:ascii="Times New Roman" w:hAnsi="Times New Roman" w:cs="Times New Roman"/>
          <w:color w:val="000000" w:themeColor="text1"/>
        </w:rPr>
        <w:t>approaches</w:t>
      </w:r>
      <w:r w:rsidR="000B1DE1">
        <w:rPr>
          <w:rFonts w:ascii="Times New Roman" w:hAnsi="Times New Roman" w:cs="Times New Roman"/>
          <w:color w:val="000000" w:themeColor="text1"/>
        </w:rPr>
        <w:t xml:space="preserve"> to</w:t>
      </w:r>
      <w:r w:rsidR="00DB25E1">
        <w:rPr>
          <w:rFonts w:ascii="Times New Roman" w:hAnsi="Times New Roman" w:cs="Times New Roman"/>
          <w:color w:val="000000" w:themeColor="text1"/>
        </w:rPr>
        <w:t xml:space="preserve"> potentially</w:t>
      </w:r>
      <w:r w:rsidR="000B1DE1">
        <w:rPr>
          <w:rFonts w:ascii="Times New Roman" w:hAnsi="Times New Roman" w:cs="Times New Roman"/>
          <w:color w:val="000000" w:themeColor="text1"/>
        </w:rPr>
        <w:t xml:space="preserve"> improve</w:t>
      </w:r>
      <w:r w:rsidR="001C1FC4">
        <w:rPr>
          <w:rFonts w:ascii="Times New Roman" w:hAnsi="Times New Roman" w:cs="Times New Roman"/>
          <w:color w:val="000000" w:themeColor="text1"/>
        </w:rPr>
        <w:t xml:space="preserve"> the effectiveness</w:t>
      </w:r>
      <w:r w:rsidR="000B1DE1">
        <w:rPr>
          <w:rFonts w:ascii="Times New Roman" w:hAnsi="Times New Roman" w:cs="Times New Roman"/>
          <w:color w:val="000000" w:themeColor="text1"/>
        </w:rPr>
        <w:t xml:space="preserve"> participant </w:t>
      </w:r>
      <w:r w:rsidRPr="008E2C75">
        <w:rPr>
          <w:rFonts w:ascii="Times New Roman" w:hAnsi="Times New Roman" w:cs="Times New Roman"/>
          <w:color w:val="000000" w:themeColor="text1"/>
        </w:rPr>
        <w:t>debriefing</w:t>
      </w:r>
      <w:r w:rsidR="00DB25E1">
        <w:rPr>
          <w:rFonts w:ascii="Times New Roman" w:hAnsi="Times New Roman" w:cs="Times New Roman"/>
          <w:color w:val="000000" w:themeColor="text1"/>
        </w:rPr>
        <w:t xml:space="preserve">, </w:t>
      </w:r>
      <w:r w:rsidRPr="008E2C75">
        <w:rPr>
          <w:rFonts w:ascii="Times New Roman" w:hAnsi="Times New Roman" w:cs="Times New Roman"/>
          <w:color w:val="000000" w:themeColor="text1"/>
        </w:rPr>
        <w:t xml:space="preserve">to </w:t>
      </w:r>
      <w:r>
        <w:rPr>
          <w:rFonts w:ascii="Times New Roman" w:hAnsi="Times New Roman" w:cs="Times New Roman"/>
          <w:color w:val="000000" w:themeColor="text1"/>
        </w:rPr>
        <w:t>increase</w:t>
      </w:r>
      <w:r w:rsidRPr="008E2C75">
        <w:rPr>
          <w:rFonts w:ascii="Times New Roman" w:hAnsi="Times New Roman" w:cs="Times New Roman"/>
          <w:color w:val="000000" w:themeColor="text1"/>
        </w:rPr>
        <w:t xml:space="preserve"> the likelihood that </w:t>
      </w:r>
      <w:r w:rsidR="00DB25E1">
        <w:rPr>
          <w:rFonts w:ascii="Times New Roman" w:hAnsi="Times New Roman" w:cs="Times New Roman"/>
          <w:color w:val="000000" w:themeColor="text1"/>
        </w:rPr>
        <w:t>participants</w:t>
      </w:r>
      <w:r w:rsidRPr="008E2C75">
        <w:rPr>
          <w:rFonts w:ascii="Times New Roman" w:hAnsi="Times New Roman" w:cs="Times New Roman"/>
          <w:color w:val="000000" w:themeColor="text1"/>
        </w:rPr>
        <w:t xml:space="preserve"> will be </w:t>
      </w:r>
      <w:r>
        <w:rPr>
          <w:rFonts w:ascii="Times New Roman" w:hAnsi="Times New Roman" w:cs="Times New Roman"/>
          <w:color w:val="000000" w:themeColor="text1"/>
        </w:rPr>
        <w:t>fully informed about key aspects of</w:t>
      </w:r>
      <w:r w:rsidRPr="008E2C75">
        <w:rPr>
          <w:rFonts w:ascii="Times New Roman" w:hAnsi="Times New Roman" w:cs="Times New Roman"/>
          <w:color w:val="000000" w:themeColor="text1"/>
        </w:rPr>
        <w:t xml:space="preserve"> study participation</w:t>
      </w:r>
      <w:r w:rsidR="00180DAE">
        <w:rPr>
          <w:rFonts w:ascii="Times New Roman" w:hAnsi="Times New Roman" w:cs="Times New Roman"/>
          <w:color w:val="000000" w:themeColor="text1"/>
        </w:rPr>
        <w:t xml:space="preserve"> (important because this study will involve exposing participants to </w:t>
      </w:r>
      <w:r w:rsidR="007A79B6">
        <w:rPr>
          <w:rFonts w:ascii="Times New Roman" w:hAnsi="Times New Roman" w:cs="Times New Roman"/>
          <w:color w:val="000000" w:themeColor="text1"/>
        </w:rPr>
        <w:t xml:space="preserve">tobacco product </w:t>
      </w:r>
      <w:r w:rsidR="00180DAE">
        <w:rPr>
          <w:rFonts w:ascii="Times New Roman" w:hAnsi="Times New Roman" w:cs="Times New Roman"/>
          <w:color w:val="000000" w:themeColor="text1"/>
        </w:rPr>
        <w:t xml:space="preserve">modified risk claims that have not been authorized by FDA). </w:t>
      </w:r>
      <w:r w:rsidR="00DB25E1">
        <w:rPr>
          <w:rFonts w:ascii="Times New Roman" w:hAnsi="Times New Roman" w:cs="Times New Roman"/>
          <w:color w:val="000000" w:themeColor="text1"/>
        </w:rPr>
        <w:t>T</w:t>
      </w:r>
      <w:r>
        <w:rPr>
          <w:rFonts w:ascii="Times New Roman" w:hAnsi="Times New Roman" w:cs="Times New Roman"/>
          <w:color w:val="000000" w:themeColor="text1"/>
        </w:rPr>
        <w:t>he most effective approach can be used in future research related to studying modified risk tobacco products.</w:t>
      </w:r>
    </w:p>
    <w:p w14:paraId="0C45BD63" w14:textId="640C6D88" w:rsidR="007104B4" w:rsidRDefault="007104B4" w:rsidP="00576FF9">
      <w:pPr>
        <w:ind w:left="1080"/>
        <w:rPr>
          <w:rFonts w:ascii="Times New Roman" w:hAnsi="Times New Roman" w:cs="Times New Roman"/>
          <w:color w:val="000000" w:themeColor="text1"/>
        </w:rPr>
      </w:pPr>
    </w:p>
    <w:p w14:paraId="26AEB105" w14:textId="61B54DB9" w:rsidR="000F5644" w:rsidRDefault="006860B5" w:rsidP="007A79B6">
      <w:pPr>
        <w:rPr>
          <w:rFonts w:ascii="Times New Roman" w:hAnsi="Times New Roman" w:cs="Times New Roman"/>
          <w:color w:val="000000" w:themeColor="text1"/>
        </w:rPr>
      </w:pPr>
      <w:r>
        <w:rPr>
          <w:rFonts w:ascii="Times New Roman" w:hAnsi="Times New Roman" w:cs="Times New Roman"/>
          <w:color w:val="000000" w:themeColor="text1"/>
        </w:rPr>
        <w:t>As discussed in Section 2, c</w:t>
      </w:r>
      <w:r w:rsidR="000F5644" w:rsidRPr="00635628">
        <w:rPr>
          <w:rFonts w:ascii="Times New Roman" w:hAnsi="Times New Roman" w:cs="Times New Roman"/>
          <w:color w:val="000000" w:themeColor="text1"/>
        </w:rPr>
        <w:t xml:space="preserve">onventional statistical techniques, such as </w:t>
      </w:r>
      <w:r w:rsidR="000F5644">
        <w:rPr>
          <w:rFonts w:ascii="Times New Roman" w:hAnsi="Times New Roman" w:cs="Times New Roman"/>
          <w:color w:val="000000" w:themeColor="text1"/>
        </w:rPr>
        <w:t xml:space="preserve">factor analysis, </w:t>
      </w:r>
      <w:r w:rsidR="000F5644" w:rsidRPr="00635628">
        <w:rPr>
          <w:rFonts w:ascii="Times New Roman" w:hAnsi="Times New Roman" w:cs="Times New Roman"/>
          <w:color w:val="000000" w:themeColor="text1"/>
        </w:rPr>
        <w:t>descriptive statistics, analysis of variance, and regression models, will be used to analyze the data.</w:t>
      </w:r>
      <w:r>
        <w:rPr>
          <w:rFonts w:ascii="Times New Roman" w:hAnsi="Times New Roman" w:cs="Times New Roman"/>
          <w:color w:val="000000" w:themeColor="text1"/>
        </w:rPr>
        <w:t xml:space="preserve"> The primary goal will be assessed by conducting factor analyses, reliability analyses, t-tests, and correlations (see table of validity analyses in Section 2). The first secondary goal will be assessed by testing whether certain individual traits moderate the effect of the modified risk claims on risk perception and intention outcomes </w:t>
      </w:r>
      <w:r w:rsidR="007A79B6">
        <w:rPr>
          <w:rFonts w:ascii="Times New Roman" w:hAnsi="Times New Roman" w:cs="Times New Roman"/>
          <w:color w:val="000000" w:themeColor="text1"/>
        </w:rPr>
        <w:t>by including interaction terms in</w:t>
      </w:r>
      <w:r>
        <w:rPr>
          <w:rFonts w:ascii="Times New Roman" w:hAnsi="Times New Roman" w:cs="Times New Roman"/>
          <w:color w:val="000000" w:themeColor="text1"/>
        </w:rPr>
        <w:t xml:space="preserve"> regression analyses. The second secondary goal will be assessed by </w:t>
      </w:r>
      <w:r w:rsidR="00282DD9">
        <w:rPr>
          <w:rFonts w:ascii="Times New Roman" w:hAnsi="Times New Roman" w:cs="Times New Roman"/>
          <w:color w:val="000000" w:themeColor="text1"/>
        </w:rPr>
        <w:t xml:space="preserve">conducting a 2x2 ANOVA to </w:t>
      </w:r>
      <w:r w:rsidR="00341E31">
        <w:rPr>
          <w:rFonts w:ascii="Times New Roman" w:hAnsi="Times New Roman" w:cs="Times New Roman"/>
          <w:color w:val="000000" w:themeColor="text1"/>
        </w:rPr>
        <w:t>determin</w:t>
      </w:r>
      <w:r w:rsidR="00282DD9">
        <w:rPr>
          <w:rFonts w:ascii="Times New Roman" w:hAnsi="Times New Roman" w:cs="Times New Roman"/>
          <w:color w:val="000000" w:themeColor="text1"/>
        </w:rPr>
        <w:t>e</w:t>
      </w:r>
      <w:r w:rsidR="00341E31">
        <w:rPr>
          <w:rFonts w:ascii="Times New Roman" w:hAnsi="Times New Roman" w:cs="Times New Roman"/>
          <w:color w:val="000000" w:themeColor="text1"/>
        </w:rPr>
        <w:t xml:space="preserve"> which of </w:t>
      </w:r>
      <w:r w:rsidR="00282DD9">
        <w:rPr>
          <w:rFonts w:ascii="Times New Roman" w:hAnsi="Times New Roman" w:cs="Times New Roman"/>
          <w:color w:val="000000" w:themeColor="text1"/>
        </w:rPr>
        <w:t xml:space="preserve">four debriefing formats (standard and simplified, with and without similar information grouped into bubbles) results in the highest debriefing knowledge scores. </w:t>
      </w:r>
    </w:p>
    <w:p w14:paraId="57E52C42" w14:textId="77777777" w:rsidR="000F5644" w:rsidRDefault="000F5644" w:rsidP="000F5644">
      <w:pPr>
        <w:ind w:left="1080"/>
        <w:rPr>
          <w:rFonts w:ascii="Times New Roman" w:hAnsi="Times New Roman" w:cs="Times New Roman"/>
          <w:color w:val="000000" w:themeColor="text1"/>
        </w:rPr>
      </w:pPr>
    </w:p>
    <w:p w14:paraId="481820E9" w14:textId="406DFBB0" w:rsidR="00D42019" w:rsidRPr="00D42019" w:rsidRDefault="00D42019" w:rsidP="00580BD1">
      <w:pPr>
        <w:rPr>
          <w:rFonts w:ascii="Times New Roman" w:hAnsi="Times New Roman" w:cs="Times New Roman"/>
          <w:color w:val="000000" w:themeColor="text1"/>
        </w:rPr>
      </w:pPr>
      <w:r w:rsidRPr="00635628">
        <w:rPr>
          <w:rFonts w:ascii="Times New Roman" w:hAnsi="Times New Roman" w:cs="Times New Roman"/>
          <w:color w:val="000000" w:themeColor="text1"/>
        </w:rPr>
        <w:t xml:space="preserve">The reporting and dissemination mechanism will consist of </w:t>
      </w:r>
      <w:r w:rsidR="009017AA" w:rsidRPr="00635628">
        <w:rPr>
          <w:rFonts w:ascii="Times New Roman" w:hAnsi="Times New Roman" w:cs="Times New Roman"/>
          <w:color w:val="000000" w:themeColor="text1"/>
        </w:rPr>
        <w:t>a draft and final report.</w:t>
      </w:r>
      <w:r w:rsidR="00C03B02">
        <w:rPr>
          <w:rFonts w:ascii="Times New Roman" w:hAnsi="Times New Roman" w:cs="Times New Roman"/>
          <w:color w:val="000000" w:themeColor="text1"/>
        </w:rPr>
        <w:t xml:space="preserve"> Exhibit 4 shows the schedule for completing these deliverables.</w:t>
      </w:r>
    </w:p>
    <w:p w14:paraId="384AE28E" w14:textId="1717BF5C" w:rsidR="00006572" w:rsidRPr="00BF6EAE" w:rsidRDefault="00006572" w:rsidP="00D42019">
      <w:pPr>
        <w:rPr>
          <w:rFonts w:ascii="Times New Roman" w:hAnsi="Times New Roman" w:cs="Times New Roman"/>
          <w:color w:val="000000" w:themeColor="text1"/>
        </w:rPr>
      </w:pP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415"/>
      </w:tblGrid>
      <w:tr w:rsidR="00006572" w:rsidRPr="00ED40B7" w14:paraId="41B601E7" w14:textId="77777777" w:rsidTr="00301C69">
        <w:tc>
          <w:tcPr>
            <w:tcW w:w="5000" w:type="pct"/>
            <w:gridSpan w:val="2"/>
            <w:tcBorders>
              <w:top w:val="nil"/>
              <w:left w:val="nil"/>
              <w:right w:val="nil"/>
            </w:tcBorders>
            <w:shd w:val="clear" w:color="auto" w:fill="auto"/>
          </w:tcPr>
          <w:p w14:paraId="123CCDF6" w14:textId="3184F71A" w:rsidR="00006572" w:rsidRPr="00ED40B7" w:rsidRDefault="00C03B02" w:rsidP="00301C69">
            <w:pPr>
              <w:rPr>
                <w:rFonts w:ascii="Times New Roman" w:hAnsi="Times New Roman" w:cs="Times New Roman"/>
                <w:b/>
                <w:color w:val="000000" w:themeColor="text1"/>
              </w:rPr>
            </w:pPr>
            <w:r w:rsidRPr="00ED40B7">
              <w:rPr>
                <w:rFonts w:ascii="Times New Roman" w:hAnsi="Times New Roman" w:cs="Times New Roman"/>
                <w:b/>
                <w:color w:val="000000" w:themeColor="text1"/>
              </w:rPr>
              <w:t xml:space="preserve">Exhibit 4. </w:t>
            </w:r>
            <w:r w:rsidR="00006572" w:rsidRPr="00ED40B7">
              <w:rPr>
                <w:rFonts w:ascii="Times New Roman" w:hAnsi="Times New Roman" w:cs="Times New Roman"/>
                <w:b/>
                <w:color w:val="000000" w:themeColor="text1"/>
              </w:rPr>
              <w:t>Project Time Schedule</w:t>
            </w:r>
          </w:p>
        </w:tc>
      </w:tr>
      <w:tr w:rsidR="00006572" w:rsidRPr="00ED40B7" w14:paraId="2C51F2CD" w14:textId="77777777" w:rsidTr="00635628">
        <w:tc>
          <w:tcPr>
            <w:tcW w:w="2547" w:type="pct"/>
            <w:shd w:val="clear" w:color="auto" w:fill="auto"/>
          </w:tcPr>
          <w:p w14:paraId="7E73C2D8" w14:textId="77777777" w:rsidR="00006572" w:rsidRPr="00ED40B7" w:rsidRDefault="00006572" w:rsidP="00301C69">
            <w:pPr>
              <w:rPr>
                <w:rFonts w:ascii="Times New Roman" w:hAnsi="Times New Roman" w:cs="Times New Roman"/>
                <w:b/>
                <w:color w:val="000000" w:themeColor="text1"/>
              </w:rPr>
            </w:pPr>
            <w:r w:rsidRPr="00ED40B7">
              <w:rPr>
                <w:rFonts w:ascii="Times New Roman" w:hAnsi="Times New Roman" w:cs="Times New Roman"/>
                <w:b/>
                <w:color w:val="000000" w:themeColor="text1"/>
              </w:rPr>
              <w:t>Task</w:t>
            </w:r>
          </w:p>
        </w:tc>
        <w:tc>
          <w:tcPr>
            <w:tcW w:w="2453" w:type="pct"/>
            <w:shd w:val="clear" w:color="auto" w:fill="auto"/>
          </w:tcPr>
          <w:p w14:paraId="3A06E70F" w14:textId="77777777" w:rsidR="00006572" w:rsidRPr="00ED40B7" w:rsidRDefault="00006572" w:rsidP="00301C69">
            <w:pPr>
              <w:rPr>
                <w:rFonts w:ascii="Times New Roman" w:hAnsi="Times New Roman" w:cs="Times New Roman"/>
                <w:b/>
                <w:color w:val="000000" w:themeColor="text1"/>
              </w:rPr>
            </w:pPr>
            <w:r w:rsidRPr="00ED40B7">
              <w:rPr>
                <w:rFonts w:ascii="Times New Roman" w:hAnsi="Times New Roman" w:cs="Times New Roman"/>
                <w:b/>
                <w:color w:val="000000" w:themeColor="text1"/>
              </w:rPr>
              <w:t xml:space="preserve">Estimated Number of Weeks </w:t>
            </w:r>
          </w:p>
          <w:p w14:paraId="35DAF767" w14:textId="77777777" w:rsidR="00006572" w:rsidRPr="00ED40B7" w:rsidRDefault="00006572" w:rsidP="00301C69">
            <w:pPr>
              <w:rPr>
                <w:rFonts w:ascii="Times New Roman" w:hAnsi="Times New Roman" w:cs="Times New Roman"/>
                <w:b/>
                <w:color w:val="000000" w:themeColor="text1"/>
              </w:rPr>
            </w:pPr>
            <w:r w:rsidRPr="00ED40B7">
              <w:rPr>
                <w:rFonts w:ascii="Times New Roman" w:hAnsi="Times New Roman" w:cs="Times New Roman"/>
                <w:b/>
                <w:color w:val="000000" w:themeColor="text1"/>
              </w:rPr>
              <w:t>after OMB Approval</w:t>
            </w:r>
          </w:p>
        </w:tc>
      </w:tr>
      <w:tr w:rsidR="00006572" w:rsidRPr="00ED40B7" w14:paraId="6BB22EB3" w14:textId="77777777" w:rsidTr="00635628">
        <w:tc>
          <w:tcPr>
            <w:tcW w:w="2547" w:type="pct"/>
            <w:shd w:val="clear" w:color="auto" w:fill="auto"/>
          </w:tcPr>
          <w:p w14:paraId="1FDC519B" w14:textId="77777777" w:rsidR="00006572" w:rsidRPr="00ED40B7" w:rsidRDefault="00006572" w:rsidP="00301C69">
            <w:pPr>
              <w:rPr>
                <w:rFonts w:ascii="Times New Roman" w:hAnsi="Times New Roman" w:cs="Times New Roman"/>
                <w:color w:val="000000" w:themeColor="text1"/>
              </w:rPr>
            </w:pPr>
            <w:r w:rsidRPr="00ED40B7">
              <w:rPr>
                <w:rFonts w:ascii="Times New Roman" w:hAnsi="Times New Roman" w:cs="Times New Roman"/>
                <w:color w:val="000000" w:themeColor="text1"/>
              </w:rPr>
              <w:t xml:space="preserve">Main study data collected </w:t>
            </w:r>
          </w:p>
        </w:tc>
        <w:tc>
          <w:tcPr>
            <w:tcW w:w="2453" w:type="pct"/>
            <w:shd w:val="clear" w:color="auto" w:fill="auto"/>
          </w:tcPr>
          <w:p w14:paraId="623378E7" w14:textId="6C93C4D9" w:rsidR="00006572" w:rsidRPr="00ED40B7" w:rsidRDefault="00CE6FEC" w:rsidP="00301C69">
            <w:pPr>
              <w:rPr>
                <w:rFonts w:ascii="Times New Roman" w:hAnsi="Times New Roman" w:cs="Times New Roman"/>
                <w:color w:val="000000" w:themeColor="text1"/>
              </w:rPr>
            </w:pPr>
            <w:r w:rsidRPr="00ED40B7">
              <w:rPr>
                <w:rFonts w:ascii="Times New Roman" w:hAnsi="Times New Roman" w:cs="Times New Roman"/>
                <w:color w:val="000000" w:themeColor="text1"/>
              </w:rPr>
              <w:t xml:space="preserve">22 </w:t>
            </w:r>
            <w:r w:rsidR="00006572" w:rsidRPr="00ED40B7">
              <w:rPr>
                <w:rFonts w:ascii="Times New Roman" w:hAnsi="Times New Roman" w:cs="Times New Roman"/>
                <w:color w:val="000000" w:themeColor="text1"/>
              </w:rPr>
              <w:t xml:space="preserve">weeks </w:t>
            </w:r>
          </w:p>
        </w:tc>
      </w:tr>
      <w:tr w:rsidR="00006572" w:rsidRPr="00ED40B7" w14:paraId="3BEBE939" w14:textId="77777777" w:rsidTr="00635628">
        <w:tc>
          <w:tcPr>
            <w:tcW w:w="2547" w:type="pct"/>
            <w:shd w:val="clear" w:color="auto" w:fill="auto"/>
          </w:tcPr>
          <w:p w14:paraId="5A0C175E" w14:textId="77777777" w:rsidR="00006572" w:rsidRPr="00ED40B7" w:rsidRDefault="00006572" w:rsidP="00301C69">
            <w:pPr>
              <w:rPr>
                <w:rFonts w:ascii="Times New Roman" w:hAnsi="Times New Roman" w:cs="Times New Roman"/>
                <w:color w:val="000000" w:themeColor="text1"/>
              </w:rPr>
            </w:pPr>
            <w:r w:rsidRPr="00ED40B7">
              <w:rPr>
                <w:rFonts w:ascii="Times New Roman" w:hAnsi="Times New Roman" w:cs="Times New Roman"/>
                <w:color w:val="000000" w:themeColor="text1"/>
              </w:rPr>
              <w:t>Final results report completed</w:t>
            </w:r>
          </w:p>
        </w:tc>
        <w:tc>
          <w:tcPr>
            <w:tcW w:w="2453" w:type="pct"/>
            <w:shd w:val="clear" w:color="auto" w:fill="auto"/>
          </w:tcPr>
          <w:p w14:paraId="1CE9443F" w14:textId="31A2A8A6" w:rsidR="00006572" w:rsidRPr="00ED40B7" w:rsidRDefault="00CE6FEC" w:rsidP="00301C69">
            <w:pPr>
              <w:rPr>
                <w:rFonts w:ascii="Times New Roman" w:hAnsi="Times New Roman" w:cs="Times New Roman"/>
                <w:color w:val="000000" w:themeColor="text1"/>
              </w:rPr>
            </w:pPr>
            <w:r w:rsidRPr="00ED40B7">
              <w:rPr>
                <w:rFonts w:ascii="Times New Roman" w:hAnsi="Times New Roman" w:cs="Times New Roman"/>
                <w:color w:val="000000" w:themeColor="text1"/>
              </w:rPr>
              <w:t xml:space="preserve">34 </w:t>
            </w:r>
            <w:r w:rsidR="00006572" w:rsidRPr="00ED40B7">
              <w:rPr>
                <w:rFonts w:ascii="Times New Roman" w:hAnsi="Times New Roman" w:cs="Times New Roman"/>
                <w:color w:val="000000" w:themeColor="text1"/>
              </w:rPr>
              <w:t>weeks</w:t>
            </w:r>
          </w:p>
        </w:tc>
      </w:tr>
    </w:tbl>
    <w:p w14:paraId="7D63D37E" w14:textId="33C762CF" w:rsidR="005D1AEC" w:rsidRPr="00BF6EAE" w:rsidRDefault="005D1AEC" w:rsidP="00D42019">
      <w:pPr>
        <w:rPr>
          <w:rFonts w:ascii="Times New Roman" w:hAnsi="Times New Roman" w:cs="Times New Roman"/>
          <w:color w:val="000000" w:themeColor="text1"/>
        </w:rPr>
      </w:pPr>
    </w:p>
    <w:p w14:paraId="79B58766" w14:textId="77777777" w:rsidR="00FD6331" w:rsidRPr="00BF6EAE" w:rsidRDefault="00FD6331" w:rsidP="00172001">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Reason(s) Display of OMB Expiration is Inappropriate</w:t>
      </w:r>
    </w:p>
    <w:p w14:paraId="3954B2C3" w14:textId="77777777" w:rsidR="00F05AD0" w:rsidRPr="00BF6EAE" w:rsidRDefault="00F05AD0" w:rsidP="00CE1475">
      <w:pPr>
        <w:ind w:left="1080"/>
        <w:rPr>
          <w:rFonts w:ascii="Times New Roman" w:hAnsi="Times New Roman" w:cs="Times New Roman"/>
          <w:color w:val="000000" w:themeColor="text1"/>
        </w:rPr>
      </w:pPr>
    </w:p>
    <w:p w14:paraId="4418535C" w14:textId="77777777" w:rsidR="00AB2CE8" w:rsidRPr="00BF6EAE" w:rsidRDefault="00AB2CE8"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Not applicable. All data collection instruments will display the expiration date for OMB approval of the information collection.</w:t>
      </w:r>
    </w:p>
    <w:p w14:paraId="7442BB46" w14:textId="77777777" w:rsidR="00AB2CE8" w:rsidRPr="00BF6EAE" w:rsidRDefault="00AB2CE8" w:rsidP="00CE1475">
      <w:pPr>
        <w:ind w:left="1080"/>
        <w:rPr>
          <w:rFonts w:ascii="Times New Roman" w:hAnsi="Times New Roman" w:cs="Times New Roman"/>
          <w:color w:val="000000" w:themeColor="text1"/>
        </w:rPr>
      </w:pPr>
    </w:p>
    <w:p w14:paraId="3F1757E1" w14:textId="77777777" w:rsidR="00FD6331" w:rsidRPr="00BF6EAE" w:rsidRDefault="00FD6331" w:rsidP="00172001">
      <w:pPr>
        <w:pStyle w:val="ListParagraph"/>
        <w:numPr>
          <w:ilvl w:val="0"/>
          <w:numId w:val="1"/>
        </w:numPr>
        <w:rPr>
          <w:rFonts w:ascii="Times New Roman" w:hAnsi="Times New Roman" w:cs="Times New Roman"/>
          <w:color w:val="000000" w:themeColor="text1"/>
          <w:u w:val="single"/>
        </w:rPr>
      </w:pPr>
      <w:r w:rsidRPr="00BF6EAE">
        <w:rPr>
          <w:rFonts w:ascii="Times New Roman" w:hAnsi="Times New Roman" w:cs="Times New Roman"/>
          <w:color w:val="000000" w:themeColor="text1"/>
          <w:u w:val="single"/>
        </w:rPr>
        <w:t>Exceptions to Certification for Paperwork Reduction Act Submissions</w:t>
      </w:r>
    </w:p>
    <w:p w14:paraId="015AB7E3" w14:textId="77777777" w:rsidR="00F05AD0" w:rsidRPr="00BF6EAE" w:rsidRDefault="00F05AD0" w:rsidP="00CE1475">
      <w:pPr>
        <w:ind w:left="1080"/>
        <w:rPr>
          <w:rFonts w:ascii="Times New Roman" w:hAnsi="Times New Roman" w:cs="Times New Roman"/>
          <w:color w:val="000000" w:themeColor="text1"/>
        </w:rPr>
      </w:pPr>
    </w:p>
    <w:p w14:paraId="7D93187E" w14:textId="77777777" w:rsidR="00FD6331" w:rsidRPr="00BF6EAE" w:rsidRDefault="00AB2CE8" w:rsidP="00B6274E">
      <w:pPr>
        <w:rPr>
          <w:rFonts w:ascii="Times New Roman" w:hAnsi="Times New Roman" w:cs="Times New Roman"/>
          <w:color w:val="000000" w:themeColor="text1"/>
        </w:rPr>
      </w:pPr>
      <w:r w:rsidRPr="00BF6EAE">
        <w:rPr>
          <w:rFonts w:ascii="Times New Roman" w:hAnsi="Times New Roman" w:cs="Times New Roman"/>
          <w:color w:val="000000" w:themeColor="text1"/>
        </w:rPr>
        <w:t>Not applicable. There are no exceptions to the certification statement.</w:t>
      </w:r>
    </w:p>
    <w:p w14:paraId="1E992D9C" w14:textId="77777777" w:rsidR="002D2F17" w:rsidRPr="00BF6EAE" w:rsidRDefault="002D2F17" w:rsidP="00B6274E">
      <w:pPr>
        <w:rPr>
          <w:rFonts w:ascii="Times New Roman" w:hAnsi="Times New Roman" w:cs="Times New Roman"/>
          <w:color w:val="000000" w:themeColor="text1"/>
        </w:rPr>
      </w:pPr>
    </w:p>
    <w:p w14:paraId="6E4A2FAA" w14:textId="77777777" w:rsidR="002D2F17" w:rsidRPr="00BF6EAE" w:rsidRDefault="002D2F17" w:rsidP="004048E1">
      <w:pPr>
        <w:rPr>
          <w:rFonts w:ascii="Times New Roman" w:hAnsi="Times New Roman" w:cs="Times New Roman"/>
          <w:color w:val="000000" w:themeColor="text1"/>
        </w:rPr>
      </w:pPr>
    </w:p>
    <w:p w14:paraId="1BEABA83" w14:textId="6E951D61" w:rsidR="002A5684" w:rsidRPr="00BF6EAE" w:rsidRDefault="002A5684" w:rsidP="004048E1">
      <w:pPr>
        <w:rPr>
          <w:rFonts w:ascii="Times New Roman" w:hAnsi="Times New Roman" w:cs="Times New Roman"/>
          <w:b/>
          <w:color w:val="000000" w:themeColor="text1"/>
        </w:rPr>
      </w:pPr>
      <w:r w:rsidRPr="00BF6EAE">
        <w:rPr>
          <w:rFonts w:ascii="Times New Roman" w:hAnsi="Times New Roman" w:cs="Times New Roman"/>
          <w:b/>
          <w:color w:val="000000" w:themeColor="text1"/>
        </w:rPr>
        <w:tab/>
      </w:r>
    </w:p>
    <w:sectPr w:rsidR="002A5684" w:rsidRPr="00BF6EAE" w:rsidSect="00803DF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61DF4" w14:textId="77777777" w:rsidR="00C31808" w:rsidRDefault="00C31808" w:rsidP="007609A6">
      <w:r>
        <w:separator/>
      </w:r>
    </w:p>
  </w:endnote>
  <w:endnote w:type="continuationSeparator" w:id="0">
    <w:p w14:paraId="5AA476CD" w14:textId="77777777" w:rsidR="00C31808" w:rsidRDefault="00C31808" w:rsidP="007609A6">
      <w:r>
        <w:continuationSeparator/>
      </w:r>
    </w:p>
  </w:endnote>
  <w:endnote w:type="continuationNotice" w:id="1">
    <w:p w14:paraId="13362EF6" w14:textId="77777777" w:rsidR="00C31808" w:rsidRDefault="00C31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C31808" w:rsidRDefault="00C31808"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C31808" w:rsidRDefault="00C31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784D8993" w:rsidR="00C31808" w:rsidRPr="007609A6" w:rsidRDefault="00C31808" w:rsidP="007609A6">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A02CB4">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278990AA" w14:textId="77777777" w:rsidR="00C31808" w:rsidRDefault="00C31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DAA5" w14:textId="77777777" w:rsidR="00C31808" w:rsidRDefault="00C31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5A5EA" w14:textId="77777777" w:rsidR="00C31808" w:rsidRDefault="00C31808" w:rsidP="007609A6">
      <w:r>
        <w:separator/>
      </w:r>
    </w:p>
  </w:footnote>
  <w:footnote w:type="continuationSeparator" w:id="0">
    <w:p w14:paraId="162CC043" w14:textId="77777777" w:rsidR="00C31808" w:rsidRDefault="00C31808" w:rsidP="007609A6">
      <w:r>
        <w:continuationSeparator/>
      </w:r>
    </w:p>
  </w:footnote>
  <w:footnote w:type="continuationNotice" w:id="1">
    <w:p w14:paraId="05AA493D" w14:textId="77777777" w:rsidR="00C31808" w:rsidRDefault="00C31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1005" w14:textId="77777777" w:rsidR="00C31808" w:rsidRDefault="00C31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F44" w14:textId="77777777" w:rsidR="00C31808" w:rsidRDefault="00C31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BFF" w14:textId="77777777" w:rsidR="00C31808" w:rsidRDefault="00C31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1">
    <w:nsid w:val="FFFFFF89"/>
    <w:multiLevelType w:val="singleLevel"/>
    <w:tmpl w:val="1F2A050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AC0F12"/>
    <w:multiLevelType w:val="hybridMultilevel"/>
    <w:tmpl w:val="BFC440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800010"/>
    <w:multiLevelType w:val="hybridMultilevel"/>
    <w:tmpl w:val="AAD659FE"/>
    <w:lvl w:ilvl="0" w:tplc="66BCA7C0">
      <w:start w:val="1"/>
      <w:numFmt w:val="decimal"/>
      <w:lvlText w:val="%1."/>
      <w:lvlJc w:val="left"/>
      <w:pPr>
        <w:ind w:left="1440" w:hanging="360"/>
      </w:pPr>
      <w:rPr>
        <w:rFonts w:hint="default"/>
      </w:rPr>
    </w:lvl>
    <w:lvl w:ilvl="1" w:tplc="F8545A70">
      <w:start w:val="1"/>
      <w:numFmt w:val="bullet"/>
      <w:lvlText w:val="–"/>
      <w:lvlJc w:val="left"/>
      <w:pPr>
        <w:ind w:left="2160" w:hanging="360"/>
      </w:pPr>
      <w:rPr>
        <w:rFonts w:ascii="Times New Roman" w:eastAsiaTheme="minorEastAsia"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A97E2A"/>
    <w:multiLevelType w:val="hybridMultilevel"/>
    <w:tmpl w:val="C7BCF5B8"/>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1D7F57"/>
    <w:multiLevelType w:val="hybridMultilevel"/>
    <w:tmpl w:val="DE82B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E441FA"/>
    <w:multiLevelType w:val="hybridMultilevel"/>
    <w:tmpl w:val="CDB42E3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FE679D"/>
    <w:multiLevelType w:val="hybridMultilevel"/>
    <w:tmpl w:val="47E0B158"/>
    <w:lvl w:ilvl="0" w:tplc="EF9CC968">
      <w:start w:val="1"/>
      <w:numFmt w:val="decimal"/>
      <w:pStyle w:val="ListNumber"/>
      <w:lvlText w:val="%1."/>
      <w:lvlJc w:val="center"/>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D03942"/>
    <w:multiLevelType w:val="hybridMultilevel"/>
    <w:tmpl w:val="CB5E7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075637"/>
    <w:multiLevelType w:val="hybridMultilevel"/>
    <w:tmpl w:val="A4B2C5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F67148"/>
    <w:multiLevelType w:val="hybridMultilevel"/>
    <w:tmpl w:val="D95E9728"/>
    <w:lvl w:ilvl="0" w:tplc="5D340B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8C4EA6"/>
    <w:multiLevelType w:val="hybridMultilevel"/>
    <w:tmpl w:val="175E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CF327A"/>
    <w:multiLevelType w:val="hybridMultilevel"/>
    <w:tmpl w:val="7DB4DB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C41839"/>
    <w:multiLevelType w:val="multilevel"/>
    <w:tmpl w:val="060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A7861"/>
    <w:multiLevelType w:val="hybridMultilevel"/>
    <w:tmpl w:val="04D825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8"/>
  </w:num>
  <w:num w:numId="3">
    <w:abstractNumId w:val="14"/>
  </w:num>
  <w:num w:numId="4">
    <w:abstractNumId w:val="5"/>
  </w:num>
  <w:num w:numId="5">
    <w:abstractNumId w:val="8"/>
  </w:num>
  <w:num w:numId="6">
    <w:abstractNumId w:val="8"/>
    <w:lvlOverride w:ilvl="0">
      <w:startOverride w:val="1"/>
    </w:lvlOverride>
  </w:num>
  <w:num w:numId="7">
    <w:abstractNumId w:val="7"/>
  </w:num>
  <w:num w:numId="8">
    <w:abstractNumId w:val="11"/>
  </w:num>
  <w:num w:numId="9">
    <w:abstractNumId w:val="17"/>
  </w:num>
  <w:num w:numId="10">
    <w:abstractNumId w:val="10"/>
  </w:num>
  <w:num w:numId="11">
    <w:abstractNumId w:val="0"/>
  </w:num>
  <w:num w:numId="12">
    <w:abstractNumId w:val="1"/>
  </w:num>
  <w:num w:numId="13">
    <w:abstractNumId w:val="9"/>
  </w:num>
  <w:num w:numId="14">
    <w:abstractNumId w:val="2"/>
  </w:num>
  <w:num w:numId="15">
    <w:abstractNumId w:val="3"/>
  </w:num>
  <w:num w:numId="16">
    <w:abstractNumId w:val="6"/>
  </w:num>
  <w:num w:numId="17">
    <w:abstractNumId w:val="16"/>
  </w:num>
  <w:num w:numId="18">
    <w:abstractNumId w:val="12"/>
  </w:num>
  <w:num w:numId="19">
    <w:abstractNumId w:val="15"/>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41F6"/>
    <w:rsid w:val="000058EB"/>
    <w:rsid w:val="00006572"/>
    <w:rsid w:val="00006F58"/>
    <w:rsid w:val="00007243"/>
    <w:rsid w:val="000078E9"/>
    <w:rsid w:val="00007EFD"/>
    <w:rsid w:val="0001133F"/>
    <w:rsid w:val="00011F8B"/>
    <w:rsid w:val="00012AC0"/>
    <w:rsid w:val="00013213"/>
    <w:rsid w:val="00014F9A"/>
    <w:rsid w:val="000205A2"/>
    <w:rsid w:val="00025C44"/>
    <w:rsid w:val="00026816"/>
    <w:rsid w:val="00027F6C"/>
    <w:rsid w:val="00030096"/>
    <w:rsid w:val="00030491"/>
    <w:rsid w:val="0003066A"/>
    <w:rsid w:val="00036137"/>
    <w:rsid w:val="00040D7E"/>
    <w:rsid w:val="000430BE"/>
    <w:rsid w:val="00043EBC"/>
    <w:rsid w:val="00046CE3"/>
    <w:rsid w:val="00050BF6"/>
    <w:rsid w:val="00051CF7"/>
    <w:rsid w:val="00053B42"/>
    <w:rsid w:val="00053DDB"/>
    <w:rsid w:val="00060DFF"/>
    <w:rsid w:val="0006108D"/>
    <w:rsid w:val="00061B50"/>
    <w:rsid w:val="000622F6"/>
    <w:rsid w:val="000642D5"/>
    <w:rsid w:val="0006461A"/>
    <w:rsid w:val="00065113"/>
    <w:rsid w:val="000677F5"/>
    <w:rsid w:val="00071429"/>
    <w:rsid w:val="00072C02"/>
    <w:rsid w:val="00072FF1"/>
    <w:rsid w:val="00077F09"/>
    <w:rsid w:val="000828CA"/>
    <w:rsid w:val="00082AE1"/>
    <w:rsid w:val="00087672"/>
    <w:rsid w:val="000921B5"/>
    <w:rsid w:val="00092E7D"/>
    <w:rsid w:val="000940E5"/>
    <w:rsid w:val="00094217"/>
    <w:rsid w:val="000944AA"/>
    <w:rsid w:val="00094B65"/>
    <w:rsid w:val="00096255"/>
    <w:rsid w:val="000963E1"/>
    <w:rsid w:val="000A02EC"/>
    <w:rsid w:val="000A0CC3"/>
    <w:rsid w:val="000A118F"/>
    <w:rsid w:val="000A12AA"/>
    <w:rsid w:val="000A1332"/>
    <w:rsid w:val="000A1F86"/>
    <w:rsid w:val="000A21C5"/>
    <w:rsid w:val="000A227A"/>
    <w:rsid w:val="000A3EBE"/>
    <w:rsid w:val="000A45F5"/>
    <w:rsid w:val="000A6593"/>
    <w:rsid w:val="000B06AF"/>
    <w:rsid w:val="000B1DE1"/>
    <w:rsid w:val="000B1F0B"/>
    <w:rsid w:val="000B2015"/>
    <w:rsid w:val="000B5434"/>
    <w:rsid w:val="000C0973"/>
    <w:rsid w:val="000C17CD"/>
    <w:rsid w:val="000C4A94"/>
    <w:rsid w:val="000C4D17"/>
    <w:rsid w:val="000C7178"/>
    <w:rsid w:val="000C71CD"/>
    <w:rsid w:val="000C7962"/>
    <w:rsid w:val="000D17A0"/>
    <w:rsid w:val="000D2132"/>
    <w:rsid w:val="000D36CB"/>
    <w:rsid w:val="000D3CF9"/>
    <w:rsid w:val="000D3D44"/>
    <w:rsid w:val="000E0F69"/>
    <w:rsid w:val="000E160E"/>
    <w:rsid w:val="000E1EC5"/>
    <w:rsid w:val="000E3E05"/>
    <w:rsid w:val="000F0D3E"/>
    <w:rsid w:val="000F1E2F"/>
    <w:rsid w:val="000F2F43"/>
    <w:rsid w:val="000F52AB"/>
    <w:rsid w:val="000F52C3"/>
    <w:rsid w:val="000F5644"/>
    <w:rsid w:val="000F5C2B"/>
    <w:rsid w:val="000F5F24"/>
    <w:rsid w:val="000F6374"/>
    <w:rsid w:val="000F79E0"/>
    <w:rsid w:val="000F7CDF"/>
    <w:rsid w:val="00100BFF"/>
    <w:rsid w:val="001032E0"/>
    <w:rsid w:val="001046B9"/>
    <w:rsid w:val="001076B3"/>
    <w:rsid w:val="00114A5A"/>
    <w:rsid w:val="0011540E"/>
    <w:rsid w:val="00115A85"/>
    <w:rsid w:val="00115EA4"/>
    <w:rsid w:val="00117791"/>
    <w:rsid w:val="00117DD9"/>
    <w:rsid w:val="00120688"/>
    <w:rsid w:val="00122D7E"/>
    <w:rsid w:val="00122DFB"/>
    <w:rsid w:val="00124231"/>
    <w:rsid w:val="001248FF"/>
    <w:rsid w:val="00125720"/>
    <w:rsid w:val="00125B4F"/>
    <w:rsid w:val="00126942"/>
    <w:rsid w:val="00127473"/>
    <w:rsid w:val="00127513"/>
    <w:rsid w:val="00130754"/>
    <w:rsid w:val="001349E7"/>
    <w:rsid w:val="00134AAC"/>
    <w:rsid w:val="00134B59"/>
    <w:rsid w:val="0013517F"/>
    <w:rsid w:val="001359B5"/>
    <w:rsid w:val="00137893"/>
    <w:rsid w:val="0014129D"/>
    <w:rsid w:val="00142CE8"/>
    <w:rsid w:val="00145D79"/>
    <w:rsid w:val="00150F66"/>
    <w:rsid w:val="001510D4"/>
    <w:rsid w:val="001516B9"/>
    <w:rsid w:val="0015215F"/>
    <w:rsid w:val="0015218D"/>
    <w:rsid w:val="00152F01"/>
    <w:rsid w:val="0015330D"/>
    <w:rsid w:val="00153777"/>
    <w:rsid w:val="00153ECD"/>
    <w:rsid w:val="00154687"/>
    <w:rsid w:val="00154974"/>
    <w:rsid w:val="00160DB0"/>
    <w:rsid w:val="00161CC5"/>
    <w:rsid w:val="00162B05"/>
    <w:rsid w:val="0016322A"/>
    <w:rsid w:val="00164943"/>
    <w:rsid w:val="001651B3"/>
    <w:rsid w:val="0016581A"/>
    <w:rsid w:val="001675B4"/>
    <w:rsid w:val="00167ECC"/>
    <w:rsid w:val="001707B9"/>
    <w:rsid w:val="00172001"/>
    <w:rsid w:val="00174DD9"/>
    <w:rsid w:val="00177567"/>
    <w:rsid w:val="00180DAE"/>
    <w:rsid w:val="00180FCE"/>
    <w:rsid w:val="00182169"/>
    <w:rsid w:val="001829B8"/>
    <w:rsid w:val="00182B4F"/>
    <w:rsid w:val="0018509A"/>
    <w:rsid w:val="00185CEE"/>
    <w:rsid w:val="00187926"/>
    <w:rsid w:val="0019126C"/>
    <w:rsid w:val="00192838"/>
    <w:rsid w:val="0019307C"/>
    <w:rsid w:val="001936E8"/>
    <w:rsid w:val="001A0074"/>
    <w:rsid w:val="001A07E5"/>
    <w:rsid w:val="001A4881"/>
    <w:rsid w:val="001A4C6B"/>
    <w:rsid w:val="001A5137"/>
    <w:rsid w:val="001A63B1"/>
    <w:rsid w:val="001B10E3"/>
    <w:rsid w:val="001B2054"/>
    <w:rsid w:val="001B234B"/>
    <w:rsid w:val="001B40F6"/>
    <w:rsid w:val="001B5BEC"/>
    <w:rsid w:val="001B5F87"/>
    <w:rsid w:val="001B6AA3"/>
    <w:rsid w:val="001B6F1F"/>
    <w:rsid w:val="001B7678"/>
    <w:rsid w:val="001C049F"/>
    <w:rsid w:val="001C1FC4"/>
    <w:rsid w:val="001C302D"/>
    <w:rsid w:val="001C3346"/>
    <w:rsid w:val="001C3DF1"/>
    <w:rsid w:val="001C5299"/>
    <w:rsid w:val="001C7278"/>
    <w:rsid w:val="001D0F71"/>
    <w:rsid w:val="001D3E1D"/>
    <w:rsid w:val="001D47A6"/>
    <w:rsid w:val="001D4AAC"/>
    <w:rsid w:val="001D6D4C"/>
    <w:rsid w:val="001E16E2"/>
    <w:rsid w:val="001E1B5F"/>
    <w:rsid w:val="001E2BFC"/>
    <w:rsid w:val="001E4895"/>
    <w:rsid w:val="001E4B3C"/>
    <w:rsid w:val="001E7760"/>
    <w:rsid w:val="001F05EF"/>
    <w:rsid w:val="001F098B"/>
    <w:rsid w:val="001F21F8"/>
    <w:rsid w:val="001F39BA"/>
    <w:rsid w:val="001F4C37"/>
    <w:rsid w:val="001F50D9"/>
    <w:rsid w:val="001F5772"/>
    <w:rsid w:val="001F693A"/>
    <w:rsid w:val="00200209"/>
    <w:rsid w:val="00200481"/>
    <w:rsid w:val="0020215C"/>
    <w:rsid w:val="00203918"/>
    <w:rsid w:val="00204031"/>
    <w:rsid w:val="00204F47"/>
    <w:rsid w:val="00205BA4"/>
    <w:rsid w:val="002060DD"/>
    <w:rsid w:val="00206893"/>
    <w:rsid w:val="002073E5"/>
    <w:rsid w:val="002104A5"/>
    <w:rsid w:val="00212BAB"/>
    <w:rsid w:val="002139D1"/>
    <w:rsid w:val="00215F06"/>
    <w:rsid w:val="0021629D"/>
    <w:rsid w:val="002172F6"/>
    <w:rsid w:val="0022264B"/>
    <w:rsid w:val="0022494E"/>
    <w:rsid w:val="002256AD"/>
    <w:rsid w:val="00232037"/>
    <w:rsid w:val="002359F5"/>
    <w:rsid w:val="0023774B"/>
    <w:rsid w:val="00240394"/>
    <w:rsid w:val="00241C77"/>
    <w:rsid w:val="00243BC4"/>
    <w:rsid w:val="00245495"/>
    <w:rsid w:val="002454FE"/>
    <w:rsid w:val="00246878"/>
    <w:rsid w:val="00246CE2"/>
    <w:rsid w:val="00246F6B"/>
    <w:rsid w:val="00247746"/>
    <w:rsid w:val="00247F14"/>
    <w:rsid w:val="002512C9"/>
    <w:rsid w:val="002514B2"/>
    <w:rsid w:val="00252008"/>
    <w:rsid w:val="00257C48"/>
    <w:rsid w:val="00261FB7"/>
    <w:rsid w:val="00264B35"/>
    <w:rsid w:val="00265762"/>
    <w:rsid w:val="00267233"/>
    <w:rsid w:val="00270A54"/>
    <w:rsid w:val="00271BE5"/>
    <w:rsid w:val="00272CAB"/>
    <w:rsid w:val="0027344D"/>
    <w:rsid w:val="002736C2"/>
    <w:rsid w:val="0027538D"/>
    <w:rsid w:val="00276324"/>
    <w:rsid w:val="00276496"/>
    <w:rsid w:val="002764C6"/>
    <w:rsid w:val="00276882"/>
    <w:rsid w:val="002770AA"/>
    <w:rsid w:val="00277AD0"/>
    <w:rsid w:val="0028035D"/>
    <w:rsid w:val="002806C5"/>
    <w:rsid w:val="0028077C"/>
    <w:rsid w:val="00282DD9"/>
    <w:rsid w:val="00282F9D"/>
    <w:rsid w:val="00283D92"/>
    <w:rsid w:val="0028646D"/>
    <w:rsid w:val="002865A1"/>
    <w:rsid w:val="00286902"/>
    <w:rsid w:val="00292A11"/>
    <w:rsid w:val="00293A81"/>
    <w:rsid w:val="00296833"/>
    <w:rsid w:val="002A1F6A"/>
    <w:rsid w:val="002A24A2"/>
    <w:rsid w:val="002A2CE1"/>
    <w:rsid w:val="002A41E8"/>
    <w:rsid w:val="002A43A3"/>
    <w:rsid w:val="002A4E0C"/>
    <w:rsid w:val="002A5684"/>
    <w:rsid w:val="002A678B"/>
    <w:rsid w:val="002B0F32"/>
    <w:rsid w:val="002B1927"/>
    <w:rsid w:val="002B229D"/>
    <w:rsid w:val="002B38ED"/>
    <w:rsid w:val="002B542D"/>
    <w:rsid w:val="002B58D5"/>
    <w:rsid w:val="002B5B65"/>
    <w:rsid w:val="002C0D93"/>
    <w:rsid w:val="002C1118"/>
    <w:rsid w:val="002C11AC"/>
    <w:rsid w:val="002C2075"/>
    <w:rsid w:val="002C68A6"/>
    <w:rsid w:val="002D1AA0"/>
    <w:rsid w:val="002D2F17"/>
    <w:rsid w:val="002D36A5"/>
    <w:rsid w:val="002D3A68"/>
    <w:rsid w:val="002D4C12"/>
    <w:rsid w:val="002D53BA"/>
    <w:rsid w:val="002E03BC"/>
    <w:rsid w:val="002E140A"/>
    <w:rsid w:val="002E23E0"/>
    <w:rsid w:val="002E2F3D"/>
    <w:rsid w:val="002E5DE8"/>
    <w:rsid w:val="002E7A5D"/>
    <w:rsid w:val="002F1064"/>
    <w:rsid w:val="002F18C0"/>
    <w:rsid w:val="002F1B9A"/>
    <w:rsid w:val="002F3555"/>
    <w:rsid w:val="002F4A9A"/>
    <w:rsid w:val="002F70E9"/>
    <w:rsid w:val="00301C69"/>
    <w:rsid w:val="0031178F"/>
    <w:rsid w:val="00312F14"/>
    <w:rsid w:val="00313A4E"/>
    <w:rsid w:val="00313DC3"/>
    <w:rsid w:val="00314EDC"/>
    <w:rsid w:val="00317A0D"/>
    <w:rsid w:val="0032069B"/>
    <w:rsid w:val="00320B91"/>
    <w:rsid w:val="0032168E"/>
    <w:rsid w:val="00321824"/>
    <w:rsid w:val="00321FAC"/>
    <w:rsid w:val="00323FBC"/>
    <w:rsid w:val="003244FE"/>
    <w:rsid w:val="00325A04"/>
    <w:rsid w:val="00325A95"/>
    <w:rsid w:val="00325FC2"/>
    <w:rsid w:val="0032618B"/>
    <w:rsid w:val="0032742F"/>
    <w:rsid w:val="00331096"/>
    <w:rsid w:val="00331B19"/>
    <w:rsid w:val="00331B4D"/>
    <w:rsid w:val="00331CC2"/>
    <w:rsid w:val="003328E5"/>
    <w:rsid w:val="00332E3B"/>
    <w:rsid w:val="00334542"/>
    <w:rsid w:val="00340BAD"/>
    <w:rsid w:val="00341E31"/>
    <w:rsid w:val="00342AF9"/>
    <w:rsid w:val="003439A9"/>
    <w:rsid w:val="00343C8D"/>
    <w:rsid w:val="00344679"/>
    <w:rsid w:val="0034566B"/>
    <w:rsid w:val="00350438"/>
    <w:rsid w:val="00350D54"/>
    <w:rsid w:val="00351D07"/>
    <w:rsid w:val="0035339C"/>
    <w:rsid w:val="0035618F"/>
    <w:rsid w:val="00360E95"/>
    <w:rsid w:val="00361D54"/>
    <w:rsid w:val="0036395F"/>
    <w:rsid w:val="003640E2"/>
    <w:rsid w:val="003658E4"/>
    <w:rsid w:val="00366496"/>
    <w:rsid w:val="0036720D"/>
    <w:rsid w:val="003675FE"/>
    <w:rsid w:val="00371819"/>
    <w:rsid w:val="00377026"/>
    <w:rsid w:val="0037785B"/>
    <w:rsid w:val="00382317"/>
    <w:rsid w:val="00382E69"/>
    <w:rsid w:val="00384DF8"/>
    <w:rsid w:val="003853C7"/>
    <w:rsid w:val="00391C2D"/>
    <w:rsid w:val="0039201E"/>
    <w:rsid w:val="0039614D"/>
    <w:rsid w:val="0039704F"/>
    <w:rsid w:val="003A1044"/>
    <w:rsid w:val="003A1375"/>
    <w:rsid w:val="003A3E2B"/>
    <w:rsid w:val="003B03B1"/>
    <w:rsid w:val="003B2D66"/>
    <w:rsid w:val="003B2F4C"/>
    <w:rsid w:val="003B3BE9"/>
    <w:rsid w:val="003B469F"/>
    <w:rsid w:val="003C5531"/>
    <w:rsid w:val="003C57D0"/>
    <w:rsid w:val="003C7A11"/>
    <w:rsid w:val="003D0CBB"/>
    <w:rsid w:val="003D6E66"/>
    <w:rsid w:val="003D71F8"/>
    <w:rsid w:val="003E0DC1"/>
    <w:rsid w:val="003E2A27"/>
    <w:rsid w:val="003E3EDF"/>
    <w:rsid w:val="003E4335"/>
    <w:rsid w:val="003E4B61"/>
    <w:rsid w:val="003E64B7"/>
    <w:rsid w:val="003E684C"/>
    <w:rsid w:val="003E6B02"/>
    <w:rsid w:val="003E74B8"/>
    <w:rsid w:val="003F2CA8"/>
    <w:rsid w:val="003F4702"/>
    <w:rsid w:val="003F667E"/>
    <w:rsid w:val="003F7426"/>
    <w:rsid w:val="004003B7"/>
    <w:rsid w:val="00400C2C"/>
    <w:rsid w:val="004012EA"/>
    <w:rsid w:val="004024E4"/>
    <w:rsid w:val="0040276D"/>
    <w:rsid w:val="004048E1"/>
    <w:rsid w:val="004048EE"/>
    <w:rsid w:val="00406008"/>
    <w:rsid w:val="004070FB"/>
    <w:rsid w:val="004130E8"/>
    <w:rsid w:val="0041612B"/>
    <w:rsid w:val="00421AB2"/>
    <w:rsid w:val="00422397"/>
    <w:rsid w:val="00424C19"/>
    <w:rsid w:val="00427DB1"/>
    <w:rsid w:val="00430E36"/>
    <w:rsid w:val="00431AD0"/>
    <w:rsid w:val="00431D77"/>
    <w:rsid w:val="0043349F"/>
    <w:rsid w:val="00435232"/>
    <w:rsid w:val="00435A38"/>
    <w:rsid w:val="004377F1"/>
    <w:rsid w:val="0044177E"/>
    <w:rsid w:val="004426C7"/>
    <w:rsid w:val="004443D0"/>
    <w:rsid w:val="00445994"/>
    <w:rsid w:val="0045409D"/>
    <w:rsid w:val="00454F01"/>
    <w:rsid w:val="00455A14"/>
    <w:rsid w:val="00457B82"/>
    <w:rsid w:val="004623B1"/>
    <w:rsid w:val="00462CE7"/>
    <w:rsid w:val="004662C8"/>
    <w:rsid w:val="00477ED2"/>
    <w:rsid w:val="00483F77"/>
    <w:rsid w:val="00485830"/>
    <w:rsid w:val="004860B7"/>
    <w:rsid w:val="0048668C"/>
    <w:rsid w:val="00486902"/>
    <w:rsid w:val="00490846"/>
    <w:rsid w:val="00490DFB"/>
    <w:rsid w:val="004916B4"/>
    <w:rsid w:val="00491F51"/>
    <w:rsid w:val="004930E9"/>
    <w:rsid w:val="00494EBE"/>
    <w:rsid w:val="00496227"/>
    <w:rsid w:val="00496FF6"/>
    <w:rsid w:val="004A15A1"/>
    <w:rsid w:val="004B0DE7"/>
    <w:rsid w:val="004B24BB"/>
    <w:rsid w:val="004B3CE0"/>
    <w:rsid w:val="004B7359"/>
    <w:rsid w:val="004B792B"/>
    <w:rsid w:val="004C1558"/>
    <w:rsid w:val="004C2EB9"/>
    <w:rsid w:val="004C2F91"/>
    <w:rsid w:val="004C5095"/>
    <w:rsid w:val="004C50F1"/>
    <w:rsid w:val="004D0A24"/>
    <w:rsid w:val="004D0FE8"/>
    <w:rsid w:val="004D1961"/>
    <w:rsid w:val="004D75C9"/>
    <w:rsid w:val="004E27BB"/>
    <w:rsid w:val="004E2CCE"/>
    <w:rsid w:val="004E3324"/>
    <w:rsid w:val="004E3F01"/>
    <w:rsid w:val="004E6325"/>
    <w:rsid w:val="004F0108"/>
    <w:rsid w:val="004F16EC"/>
    <w:rsid w:val="004F2334"/>
    <w:rsid w:val="004F5FEE"/>
    <w:rsid w:val="004F75B1"/>
    <w:rsid w:val="004F78D3"/>
    <w:rsid w:val="005021D9"/>
    <w:rsid w:val="00505CE9"/>
    <w:rsid w:val="00507791"/>
    <w:rsid w:val="00507F47"/>
    <w:rsid w:val="005129B2"/>
    <w:rsid w:val="0051553B"/>
    <w:rsid w:val="00517428"/>
    <w:rsid w:val="00517B8A"/>
    <w:rsid w:val="005204F6"/>
    <w:rsid w:val="00520801"/>
    <w:rsid w:val="005211CB"/>
    <w:rsid w:val="00521BC1"/>
    <w:rsid w:val="00522EE8"/>
    <w:rsid w:val="0052798F"/>
    <w:rsid w:val="00531D78"/>
    <w:rsid w:val="0053289B"/>
    <w:rsid w:val="0053371B"/>
    <w:rsid w:val="005337B8"/>
    <w:rsid w:val="005366F0"/>
    <w:rsid w:val="005366FE"/>
    <w:rsid w:val="00540DDD"/>
    <w:rsid w:val="0054142A"/>
    <w:rsid w:val="00541634"/>
    <w:rsid w:val="005427D4"/>
    <w:rsid w:val="0054315D"/>
    <w:rsid w:val="00543C6D"/>
    <w:rsid w:val="00545601"/>
    <w:rsid w:val="005461AA"/>
    <w:rsid w:val="00547034"/>
    <w:rsid w:val="00547680"/>
    <w:rsid w:val="005504A5"/>
    <w:rsid w:val="005504F7"/>
    <w:rsid w:val="005516C0"/>
    <w:rsid w:val="0055180B"/>
    <w:rsid w:val="00551CFA"/>
    <w:rsid w:val="005520CE"/>
    <w:rsid w:val="00552193"/>
    <w:rsid w:val="00553487"/>
    <w:rsid w:val="0055567A"/>
    <w:rsid w:val="00555EEA"/>
    <w:rsid w:val="00557B1C"/>
    <w:rsid w:val="0056005E"/>
    <w:rsid w:val="005610F9"/>
    <w:rsid w:val="0056389A"/>
    <w:rsid w:val="00563E81"/>
    <w:rsid w:val="005647AA"/>
    <w:rsid w:val="00572FAF"/>
    <w:rsid w:val="005730CD"/>
    <w:rsid w:val="00573429"/>
    <w:rsid w:val="00574C53"/>
    <w:rsid w:val="00575985"/>
    <w:rsid w:val="00575CF6"/>
    <w:rsid w:val="00576FF9"/>
    <w:rsid w:val="00577641"/>
    <w:rsid w:val="00580BD1"/>
    <w:rsid w:val="00581078"/>
    <w:rsid w:val="00581548"/>
    <w:rsid w:val="005816B5"/>
    <w:rsid w:val="00582074"/>
    <w:rsid w:val="00582411"/>
    <w:rsid w:val="0058378E"/>
    <w:rsid w:val="0058387C"/>
    <w:rsid w:val="005849A9"/>
    <w:rsid w:val="00585A29"/>
    <w:rsid w:val="00586826"/>
    <w:rsid w:val="00586CF3"/>
    <w:rsid w:val="00587E81"/>
    <w:rsid w:val="00590AFE"/>
    <w:rsid w:val="00592023"/>
    <w:rsid w:val="00592583"/>
    <w:rsid w:val="005950E9"/>
    <w:rsid w:val="00595B5C"/>
    <w:rsid w:val="005964BA"/>
    <w:rsid w:val="0059662F"/>
    <w:rsid w:val="0059672B"/>
    <w:rsid w:val="005A0F39"/>
    <w:rsid w:val="005A2643"/>
    <w:rsid w:val="005A2875"/>
    <w:rsid w:val="005A47F5"/>
    <w:rsid w:val="005A66AB"/>
    <w:rsid w:val="005B1101"/>
    <w:rsid w:val="005B1E9C"/>
    <w:rsid w:val="005B3A44"/>
    <w:rsid w:val="005B5DD0"/>
    <w:rsid w:val="005B6A42"/>
    <w:rsid w:val="005B6A53"/>
    <w:rsid w:val="005C27BE"/>
    <w:rsid w:val="005D196E"/>
    <w:rsid w:val="005D1AEC"/>
    <w:rsid w:val="005D35D4"/>
    <w:rsid w:val="005D53EB"/>
    <w:rsid w:val="005D5C16"/>
    <w:rsid w:val="005D739E"/>
    <w:rsid w:val="005D77E4"/>
    <w:rsid w:val="005E1F3F"/>
    <w:rsid w:val="005E2947"/>
    <w:rsid w:val="005E3851"/>
    <w:rsid w:val="005F0600"/>
    <w:rsid w:val="005F417E"/>
    <w:rsid w:val="005F45EB"/>
    <w:rsid w:val="005F49EB"/>
    <w:rsid w:val="005F558A"/>
    <w:rsid w:val="005F55F6"/>
    <w:rsid w:val="005F6479"/>
    <w:rsid w:val="005F6610"/>
    <w:rsid w:val="005F6A5F"/>
    <w:rsid w:val="005F7D6E"/>
    <w:rsid w:val="005F7FAB"/>
    <w:rsid w:val="00600CB1"/>
    <w:rsid w:val="00601637"/>
    <w:rsid w:val="0060287B"/>
    <w:rsid w:val="0060362D"/>
    <w:rsid w:val="006042C3"/>
    <w:rsid w:val="00605EF1"/>
    <w:rsid w:val="00612869"/>
    <w:rsid w:val="00612A6C"/>
    <w:rsid w:val="00613611"/>
    <w:rsid w:val="00614B10"/>
    <w:rsid w:val="00614F8E"/>
    <w:rsid w:val="00620890"/>
    <w:rsid w:val="00621516"/>
    <w:rsid w:val="00621A9E"/>
    <w:rsid w:val="00624E4B"/>
    <w:rsid w:val="006264D5"/>
    <w:rsid w:val="006267C0"/>
    <w:rsid w:val="006279D4"/>
    <w:rsid w:val="00630211"/>
    <w:rsid w:val="00631A3A"/>
    <w:rsid w:val="0063257F"/>
    <w:rsid w:val="00634378"/>
    <w:rsid w:val="00635628"/>
    <w:rsid w:val="0063610F"/>
    <w:rsid w:val="006414D1"/>
    <w:rsid w:val="006432D6"/>
    <w:rsid w:val="0064563C"/>
    <w:rsid w:val="00645F7B"/>
    <w:rsid w:val="006505F5"/>
    <w:rsid w:val="00651C3D"/>
    <w:rsid w:val="00652657"/>
    <w:rsid w:val="0065436F"/>
    <w:rsid w:val="00655F3E"/>
    <w:rsid w:val="00656825"/>
    <w:rsid w:val="00656CBF"/>
    <w:rsid w:val="00656E88"/>
    <w:rsid w:val="0066130C"/>
    <w:rsid w:val="00664585"/>
    <w:rsid w:val="006659A1"/>
    <w:rsid w:val="00670F8C"/>
    <w:rsid w:val="00671512"/>
    <w:rsid w:val="006732FB"/>
    <w:rsid w:val="006736C3"/>
    <w:rsid w:val="00675C9B"/>
    <w:rsid w:val="00681652"/>
    <w:rsid w:val="00684C1A"/>
    <w:rsid w:val="006860B5"/>
    <w:rsid w:val="006861C4"/>
    <w:rsid w:val="00686CD2"/>
    <w:rsid w:val="00692251"/>
    <w:rsid w:val="006973EA"/>
    <w:rsid w:val="006A0FA7"/>
    <w:rsid w:val="006A2702"/>
    <w:rsid w:val="006A317E"/>
    <w:rsid w:val="006A31C6"/>
    <w:rsid w:val="006A374E"/>
    <w:rsid w:val="006A4AD4"/>
    <w:rsid w:val="006A685A"/>
    <w:rsid w:val="006A7F6E"/>
    <w:rsid w:val="006B0E6A"/>
    <w:rsid w:val="006B1477"/>
    <w:rsid w:val="006B48B9"/>
    <w:rsid w:val="006C004E"/>
    <w:rsid w:val="006C0DBF"/>
    <w:rsid w:val="006C1141"/>
    <w:rsid w:val="006C2022"/>
    <w:rsid w:val="006C2F97"/>
    <w:rsid w:val="006C4C8E"/>
    <w:rsid w:val="006C59F1"/>
    <w:rsid w:val="006C71C0"/>
    <w:rsid w:val="006C7BCB"/>
    <w:rsid w:val="006D0B5C"/>
    <w:rsid w:val="006D44F1"/>
    <w:rsid w:val="006D5141"/>
    <w:rsid w:val="006D5199"/>
    <w:rsid w:val="006D5A91"/>
    <w:rsid w:val="006D6134"/>
    <w:rsid w:val="006D62A3"/>
    <w:rsid w:val="006D64D5"/>
    <w:rsid w:val="006D79C0"/>
    <w:rsid w:val="006D7E1D"/>
    <w:rsid w:val="006E038B"/>
    <w:rsid w:val="006E081D"/>
    <w:rsid w:val="006E0845"/>
    <w:rsid w:val="006E3777"/>
    <w:rsid w:val="006E44B3"/>
    <w:rsid w:val="006E4586"/>
    <w:rsid w:val="006E5F8F"/>
    <w:rsid w:val="006E6FFA"/>
    <w:rsid w:val="006E71C8"/>
    <w:rsid w:val="006E7CCB"/>
    <w:rsid w:val="006F1637"/>
    <w:rsid w:val="006F1E9E"/>
    <w:rsid w:val="006F2B61"/>
    <w:rsid w:val="006F2D7E"/>
    <w:rsid w:val="006F3485"/>
    <w:rsid w:val="006F369D"/>
    <w:rsid w:val="006F4391"/>
    <w:rsid w:val="006F4CC0"/>
    <w:rsid w:val="006F540B"/>
    <w:rsid w:val="006F6FAF"/>
    <w:rsid w:val="0070017B"/>
    <w:rsid w:val="00707047"/>
    <w:rsid w:val="00707901"/>
    <w:rsid w:val="007104B4"/>
    <w:rsid w:val="007108BB"/>
    <w:rsid w:val="00711F94"/>
    <w:rsid w:val="007135E7"/>
    <w:rsid w:val="00714865"/>
    <w:rsid w:val="00715F00"/>
    <w:rsid w:val="00716F7B"/>
    <w:rsid w:val="00720817"/>
    <w:rsid w:val="0072150D"/>
    <w:rsid w:val="00722C03"/>
    <w:rsid w:val="0072471E"/>
    <w:rsid w:val="00725887"/>
    <w:rsid w:val="007260E0"/>
    <w:rsid w:val="00727151"/>
    <w:rsid w:val="0073250F"/>
    <w:rsid w:val="00732E4E"/>
    <w:rsid w:val="00733377"/>
    <w:rsid w:val="0073379D"/>
    <w:rsid w:val="0073400B"/>
    <w:rsid w:val="0073441D"/>
    <w:rsid w:val="00735637"/>
    <w:rsid w:val="00741639"/>
    <w:rsid w:val="00743A9E"/>
    <w:rsid w:val="00746723"/>
    <w:rsid w:val="007477B8"/>
    <w:rsid w:val="00747D4C"/>
    <w:rsid w:val="007515B3"/>
    <w:rsid w:val="00751792"/>
    <w:rsid w:val="00753696"/>
    <w:rsid w:val="007550A4"/>
    <w:rsid w:val="007550F4"/>
    <w:rsid w:val="00755210"/>
    <w:rsid w:val="007555BC"/>
    <w:rsid w:val="0076031F"/>
    <w:rsid w:val="007609A6"/>
    <w:rsid w:val="00760D66"/>
    <w:rsid w:val="007626EB"/>
    <w:rsid w:val="00764BC4"/>
    <w:rsid w:val="00765813"/>
    <w:rsid w:val="00770F1E"/>
    <w:rsid w:val="00771D9A"/>
    <w:rsid w:val="00772353"/>
    <w:rsid w:val="0077416E"/>
    <w:rsid w:val="00774C01"/>
    <w:rsid w:val="00776500"/>
    <w:rsid w:val="00782F62"/>
    <w:rsid w:val="007921C1"/>
    <w:rsid w:val="00792584"/>
    <w:rsid w:val="00794B3E"/>
    <w:rsid w:val="007A1AF3"/>
    <w:rsid w:val="007A1ED9"/>
    <w:rsid w:val="007A2550"/>
    <w:rsid w:val="007A3189"/>
    <w:rsid w:val="007A3BEA"/>
    <w:rsid w:val="007A71BC"/>
    <w:rsid w:val="007A79B6"/>
    <w:rsid w:val="007A7F75"/>
    <w:rsid w:val="007B1080"/>
    <w:rsid w:val="007B7240"/>
    <w:rsid w:val="007C0466"/>
    <w:rsid w:val="007C15D6"/>
    <w:rsid w:val="007C172D"/>
    <w:rsid w:val="007C1AFB"/>
    <w:rsid w:val="007C2072"/>
    <w:rsid w:val="007C3764"/>
    <w:rsid w:val="007C3BBF"/>
    <w:rsid w:val="007C7E5F"/>
    <w:rsid w:val="007D185F"/>
    <w:rsid w:val="007D1ED5"/>
    <w:rsid w:val="007D2567"/>
    <w:rsid w:val="007D36F1"/>
    <w:rsid w:val="007E3519"/>
    <w:rsid w:val="007E3DC4"/>
    <w:rsid w:val="007E6509"/>
    <w:rsid w:val="007E785A"/>
    <w:rsid w:val="007F090A"/>
    <w:rsid w:val="007F0AD5"/>
    <w:rsid w:val="007F1AAF"/>
    <w:rsid w:val="007F1E16"/>
    <w:rsid w:val="007F4057"/>
    <w:rsid w:val="007F46D7"/>
    <w:rsid w:val="007F48C2"/>
    <w:rsid w:val="007F530E"/>
    <w:rsid w:val="007F55B3"/>
    <w:rsid w:val="007F6EC3"/>
    <w:rsid w:val="00803CCC"/>
    <w:rsid w:val="00803DF1"/>
    <w:rsid w:val="00804782"/>
    <w:rsid w:val="00805945"/>
    <w:rsid w:val="008120FC"/>
    <w:rsid w:val="008131B6"/>
    <w:rsid w:val="00814BB9"/>
    <w:rsid w:val="008207AA"/>
    <w:rsid w:val="00821033"/>
    <w:rsid w:val="008210D4"/>
    <w:rsid w:val="00822128"/>
    <w:rsid w:val="00822616"/>
    <w:rsid w:val="0082367A"/>
    <w:rsid w:val="00823814"/>
    <w:rsid w:val="00824172"/>
    <w:rsid w:val="00825B1A"/>
    <w:rsid w:val="0082726B"/>
    <w:rsid w:val="00830275"/>
    <w:rsid w:val="00831BA3"/>
    <w:rsid w:val="008330AB"/>
    <w:rsid w:val="00834815"/>
    <w:rsid w:val="0083593E"/>
    <w:rsid w:val="00835FFC"/>
    <w:rsid w:val="0083643F"/>
    <w:rsid w:val="00837283"/>
    <w:rsid w:val="008372EC"/>
    <w:rsid w:val="008424AD"/>
    <w:rsid w:val="00843994"/>
    <w:rsid w:val="008440A3"/>
    <w:rsid w:val="00844532"/>
    <w:rsid w:val="00844B50"/>
    <w:rsid w:val="008453B5"/>
    <w:rsid w:val="0084735A"/>
    <w:rsid w:val="00850581"/>
    <w:rsid w:val="008508E6"/>
    <w:rsid w:val="00850A34"/>
    <w:rsid w:val="008515EE"/>
    <w:rsid w:val="00852045"/>
    <w:rsid w:val="0085209B"/>
    <w:rsid w:val="00860AA4"/>
    <w:rsid w:val="008655A1"/>
    <w:rsid w:val="008677C6"/>
    <w:rsid w:val="00870C1E"/>
    <w:rsid w:val="008710BD"/>
    <w:rsid w:val="0087161B"/>
    <w:rsid w:val="00872710"/>
    <w:rsid w:val="00874003"/>
    <w:rsid w:val="00874EFC"/>
    <w:rsid w:val="00874FC3"/>
    <w:rsid w:val="00874FD5"/>
    <w:rsid w:val="008757DA"/>
    <w:rsid w:val="008775B2"/>
    <w:rsid w:val="00880E4E"/>
    <w:rsid w:val="00881EB8"/>
    <w:rsid w:val="0088209C"/>
    <w:rsid w:val="00882EDA"/>
    <w:rsid w:val="00885C56"/>
    <w:rsid w:val="00886E03"/>
    <w:rsid w:val="0088781F"/>
    <w:rsid w:val="00891229"/>
    <w:rsid w:val="0089294C"/>
    <w:rsid w:val="00894304"/>
    <w:rsid w:val="00896028"/>
    <w:rsid w:val="0089631D"/>
    <w:rsid w:val="008A0F6E"/>
    <w:rsid w:val="008A1F1D"/>
    <w:rsid w:val="008A285D"/>
    <w:rsid w:val="008A440D"/>
    <w:rsid w:val="008A6F8B"/>
    <w:rsid w:val="008A752D"/>
    <w:rsid w:val="008A783B"/>
    <w:rsid w:val="008B38EB"/>
    <w:rsid w:val="008B3E99"/>
    <w:rsid w:val="008B46DA"/>
    <w:rsid w:val="008B4D78"/>
    <w:rsid w:val="008B73FC"/>
    <w:rsid w:val="008C1998"/>
    <w:rsid w:val="008C1F40"/>
    <w:rsid w:val="008C2146"/>
    <w:rsid w:val="008C27FD"/>
    <w:rsid w:val="008C2AF3"/>
    <w:rsid w:val="008C3CAE"/>
    <w:rsid w:val="008C53ED"/>
    <w:rsid w:val="008D1476"/>
    <w:rsid w:val="008D35F8"/>
    <w:rsid w:val="008D43A5"/>
    <w:rsid w:val="008D4AA8"/>
    <w:rsid w:val="008E0F26"/>
    <w:rsid w:val="008E2C75"/>
    <w:rsid w:val="008E42F8"/>
    <w:rsid w:val="008E4CE7"/>
    <w:rsid w:val="008E58E9"/>
    <w:rsid w:val="008E66C3"/>
    <w:rsid w:val="008F030C"/>
    <w:rsid w:val="008F1161"/>
    <w:rsid w:val="008F1BE7"/>
    <w:rsid w:val="008F44EC"/>
    <w:rsid w:val="008F7B54"/>
    <w:rsid w:val="008F7E39"/>
    <w:rsid w:val="009017AA"/>
    <w:rsid w:val="009036F9"/>
    <w:rsid w:val="00905376"/>
    <w:rsid w:val="00905ACA"/>
    <w:rsid w:val="00913A57"/>
    <w:rsid w:val="00913DD3"/>
    <w:rsid w:val="0091426E"/>
    <w:rsid w:val="00914EBC"/>
    <w:rsid w:val="00915F35"/>
    <w:rsid w:val="009164B2"/>
    <w:rsid w:val="00917058"/>
    <w:rsid w:val="00917549"/>
    <w:rsid w:val="009216E1"/>
    <w:rsid w:val="0092382D"/>
    <w:rsid w:val="00923A79"/>
    <w:rsid w:val="00923D6B"/>
    <w:rsid w:val="0092492E"/>
    <w:rsid w:val="00924B92"/>
    <w:rsid w:val="00924CCF"/>
    <w:rsid w:val="0092672C"/>
    <w:rsid w:val="009277E7"/>
    <w:rsid w:val="00933070"/>
    <w:rsid w:val="00934365"/>
    <w:rsid w:val="009367DB"/>
    <w:rsid w:val="009369E1"/>
    <w:rsid w:val="00945DE7"/>
    <w:rsid w:val="00946EE4"/>
    <w:rsid w:val="009470DC"/>
    <w:rsid w:val="009532D9"/>
    <w:rsid w:val="009567C1"/>
    <w:rsid w:val="0095687C"/>
    <w:rsid w:val="00957034"/>
    <w:rsid w:val="00957D5A"/>
    <w:rsid w:val="0096083C"/>
    <w:rsid w:val="0096106F"/>
    <w:rsid w:val="00961E80"/>
    <w:rsid w:val="00966ECB"/>
    <w:rsid w:val="0097358C"/>
    <w:rsid w:val="00973690"/>
    <w:rsid w:val="0097406E"/>
    <w:rsid w:val="009743F2"/>
    <w:rsid w:val="009744A8"/>
    <w:rsid w:val="00976F60"/>
    <w:rsid w:val="009820E9"/>
    <w:rsid w:val="00982740"/>
    <w:rsid w:val="00982C92"/>
    <w:rsid w:val="00984652"/>
    <w:rsid w:val="00985A42"/>
    <w:rsid w:val="009870B3"/>
    <w:rsid w:val="0099042F"/>
    <w:rsid w:val="00991AEF"/>
    <w:rsid w:val="0099474D"/>
    <w:rsid w:val="00994D6E"/>
    <w:rsid w:val="00995379"/>
    <w:rsid w:val="00996D1C"/>
    <w:rsid w:val="009A3172"/>
    <w:rsid w:val="009A4936"/>
    <w:rsid w:val="009A7753"/>
    <w:rsid w:val="009A7CB8"/>
    <w:rsid w:val="009B00FF"/>
    <w:rsid w:val="009B17B8"/>
    <w:rsid w:val="009B1E3A"/>
    <w:rsid w:val="009B254A"/>
    <w:rsid w:val="009B4F0D"/>
    <w:rsid w:val="009B51D0"/>
    <w:rsid w:val="009B73EC"/>
    <w:rsid w:val="009B778F"/>
    <w:rsid w:val="009B787E"/>
    <w:rsid w:val="009C2A7A"/>
    <w:rsid w:val="009C31B5"/>
    <w:rsid w:val="009C4209"/>
    <w:rsid w:val="009C5C46"/>
    <w:rsid w:val="009C653A"/>
    <w:rsid w:val="009C7FA0"/>
    <w:rsid w:val="009D0AD0"/>
    <w:rsid w:val="009D1564"/>
    <w:rsid w:val="009D19C3"/>
    <w:rsid w:val="009D2299"/>
    <w:rsid w:val="009D597F"/>
    <w:rsid w:val="009D609E"/>
    <w:rsid w:val="009D6A43"/>
    <w:rsid w:val="009D7504"/>
    <w:rsid w:val="009D7EE3"/>
    <w:rsid w:val="009E02BE"/>
    <w:rsid w:val="009E0F19"/>
    <w:rsid w:val="009E45BB"/>
    <w:rsid w:val="009E55E9"/>
    <w:rsid w:val="009F110D"/>
    <w:rsid w:val="009F76D1"/>
    <w:rsid w:val="00A020BC"/>
    <w:rsid w:val="00A02CB4"/>
    <w:rsid w:val="00A03C56"/>
    <w:rsid w:val="00A04002"/>
    <w:rsid w:val="00A05120"/>
    <w:rsid w:val="00A06212"/>
    <w:rsid w:val="00A11F3E"/>
    <w:rsid w:val="00A126BA"/>
    <w:rsid w:val="00A1368E"/>
    <w:rsid w:val="00A13C81"/>
    <w:rsid w:val="00A14115"/>
    <w:rsid w:val="00A1453D"/>
    <w:rsid w:val="00A1464C"/>
    <w:rsid w:val="00A14A3B"/>
    <w:rsid w:val="00A156CD"/>
    <w:rsid w:val="00A15D14"/>
    <w:rsid w:val="00A16DCA"/>
    <w:rsid w:val="00A200CA"/>
    <w:rsid w:val="00A211AC"/>
    <w:rsid w:val="00A2228B"/>
    <w:rsid w:val="00A24AA1"/>
    <w:rsid w:val="00A30D93"/>
    <w:rsid w:val="00A3193F"/>
    <w:rsid w:val="00A31F41"/>
    <w:rsid w:val="00A3368D"/>
    <w:rsid w:val="00A35C57"/>
    <w:rsid w:val="00A37C23"/>
    <w:rsid w:val="00A412A9"/>
    <w:rsid w:val="00A4293C"/>
    <w:rsid w:val="00A451BC"/>
    <w:rsid w:val="00A47DCE"/>
    <w:rsid w:val="00A5164D"/>
    <w:rsid w:val="00A52E33"/>
    <w:rsid w:val="00A535E7"/>
    <w:rsid w:val="00A56498"/>
    <w:rsid w:val="00A56954"/>
    <w:rsid w:val="00A65512"/>
    <w:rsid w:val="00A65B1E"/>
    <w:rsid w:val="00A663D9"/>
    <w:rsid w:val="00A67F64"/>
    <w:rsid w:val="00A70E83"/>
    <w:rsid w:val="00A71556"/>
    <w:rsid w:val="00A715CB"/>
    <w:rsid w:val="00A724AE"/>
    <w:rsid w:val="00A768B0"/>
    <w:rsid w:val="00A76C5D"/>
    <w:rsid w:val="00A77CDC"/>
    <w:rsid w:val="00A80A7D"/>
    <w:rsid w:val="00A835EE"/>
    <w:rsid w:val="00A839BE"/>
    <w:rsid w:val="00A867D4"/>
    <w:rsid w:val="00A86EEE"/>
    <w:rsid w:val="00A9465B"/>
    <w:rsid w:val="00A975B3"/>
    <w:rsid w:val="00AA122D"/>
    <w:rsid w:val="00AA1899"/>
    <w:rsid w:val="00AA273B"/>
    <w:rsid w:val="00AA3A42"/>
    <w:rsid w:val="00AA404A"/>
    <w:rsid w:val="00AA4087"/>
    <w:rsid w:val="00AA4F6B"/>
    <w:rsid w:val="00AB008F"/>
    <w:rsid w:val="00AB00B8"/>
    <w:rsid w:val="00AB0A2A"/>
    <w:rsid w:val="00AB122D"/>
    <w:rsid w:val="00AB2CE8"/>
    <w:rsid w:val="00AB2F94"/>
    <w:rsid w:val="00AB34D4"/>
    <w:rsid w:val="00AB3645"/>
    <w:rsid w:val="00AB5CBC"/>
    <w:rsid w:val="00AB6542"/>
    <w:rsid w:val="00AB7A10"/>
    <w:rsid w:val="00AC2700"/>
    <w:rsid w:val="00AC4484"/>
    <w:rsid w:val="00AC7065"/>
    <w:rsid w:val="00AD1197"/>
    <w:rsid w:val="00AD79FB"/>
    <w:rsid w:val="00AE779B"/>
    <w:rsid w:val="00AF2FEB"/>
    <w:rsid w:val="00B04254"/>
    <w:rsid w:val="00B04D6C"/>
    <w:rsid w:val="00B06646"/>
    <w:rsid w:val="00B071CC"/>
    <w:rsid w:val="00B07611"/>
    <w:rsid w:val="00B07C4B"/>
    <w:rsid w:val="00B07FE2"/>
    <w:rsid w:val="00B100DF"/>
    <w:rsid w:val="00B10ABA"/>
    <w:rsid w:val="00B1108D"/>
    <w:rsid w:val="00B12295"/>
    <w:rsid w:val="00B12706"/>
    <w:rsid w:val="00B13749"/>
    <w:rsid w:val="00B13943"/>
    <w:rsid w:val="00B166E4"/>
    <w:rsid w:val="00B1766D"/>
    <w:rsid w:val="00B17E76"/>
    <w:rsid w:val="00B2072F"/>
    <w:rsid w:val="00B20F96"/>
    <w:rsid w:val="00B224BB"/>
    <w:rsid w:val="00B2344D"/>
    <w:rsid w:val="00B240D8"/>
    <w:rsid w:val="00B24429"/>
    <w:rsid w:val="00B249EC"/>
    <w:rsid w:val="00B25045"/>
    <w:rsid w:val="00B27A3B"/>
    <w:rsid w:val="00B31E96"/>
    <w:rsid w:val="00B32660"/>
    <w:rsid w:val="00B3423F"/>
    <w:rsid w:val="00B345C6"/>
    <w:rsid w:val="00B35261"/>
    <w:rsid w:val="00B37A54"/>
    <w:rsid w:val="00B41C56"/>
    <w:rsid w:val="00B4504B"/>
    <w:rsid w:val="00B4619C"/>
    <w:rsid w:val="00B501B6"/>
    <w:rsid w:val="00B51671"/>
    <w:rsid w:val="00B5199A"/>
    <w:rsid w:val="00B54C02"/>
    <w:rsid w:val="00B560C0"/>
    <w:rsid w:val="00B60CEF"/>
    <w:rsid w:val="00B6274E"/>
    <w:rsid w:val="00B639B8"/>
    <w:rsid w:val="00B63EC7"/>
    <w:rsid w:val="00B643F9"/>
    <w:rsid w:val="00B656F7"/>
    <w:rsid w:val="00B65708"/>
    <w:rsid w:val="00B660CD"/>
    <w:rsid w:val="00B662BE"/>
    <w:rsid w:val="00B66EED"/>
    <w:rsid w:val="00B72657"/>
    <w:rsid w:val="00B72E79"/>
    <w:rsid w:val="00B7358E"/>
    <w:rsid w:val="00B7536D"/>
    <w:rsid w:val="00B7586B"/>
    <w:rsid w:val="00B77C73"/>
    <w:rsid w:val="00B80443"/>
    <w:rsid w:val="00B813CD"/>
    <w:rsid w:val="00B81F76"/>
    <w:rsid w:val="00B86DA5"/>
    <w:rsid w:val="00B87995"/>
    <w:rsid w:val="00B87CD3"/>
    <w:rsid w:val="00B91382"/>
    <w:rsid w:val="00BA1B1E"/>
    <w:rsid w:val="00BA2FC6"/>
    <w:rsid w:val="00BA3BD7"/>
    <w:rsid w:val="00BA412C"/>
    <w:rsid w:val="00BA43C9"/>
    <w:rsid w:val="00BA4A0A"/>
    <w:rsid w:val="00BA6608"/>
    <w:rsid w:val="00BA66C5"/>
    <w:rsid w:val="00BA73CF"/>
    <w:rsid w:val="00BA7536"/>
    <w:rsid w:val="00BB0306"/>
    <w:rsid w:val="00BB0FA4"/>
    <w:rsid w:val="00BB1D93"/>
    <w:rsid w:val="00BB2258"/>
    <w:rsid w:val="00BB2FA6"/>
    <w:rsid w:val="00BB367C"/>
    <w:rsid w:val="00BB6A62"/>
    <w:rsid w:val="00BB7506"/>
    <w:rsid w:val="00BB7DE4"/>
    <w:rsid w:val="00BC0729"/>
    <w:rsid w:val="00BC243C"/>
    <w:rsid w:val="00BC2B92"/>
    <w:rsid w:val="00BC36F9"/>
    <w:rsid w:val="00BC3DDB"/>
    <w:rsid w:val="00BC441C"/>
    <w:rsid w:val="00BC5C8D"/>
    <w:rsid w:val="00BD3E05"/>
    <w:rsid w:val="00BD423E"/>
    <w:rsid w:val="00BD5AFB"/>
    <w:rsid w:val="00BD5CE7"/>
    <w:rsid w:val="00BE0BC5"/>
    <w:rsid w:val="00BE1B08"/>
    <w:rsid w:val="00BE2C56"/>
    <w:rsid w:val="00BE368B"/>
    <w:rsid w:val="00BE3F48"/>
    <w:rsid w:val="00BE4A20"/>
    <w:rsid w:val="00BE583A"/>
    <w:rsid w:val="00BE5998"/>
    <w:rsid w:val="00BE6806"/>
    <w:rsid w:val="00BE7026"/>
    <w:rsid w:val="00BF2CF8"/>
    <w:rsid w:val="00BF2DBC"/>
    <w:rsid w:val="00BF5207"/>
    <w:rsid w:val="00BF6EAE"/>
    <w:rsid w:val="00C0282B"/>
    <w:rsid w:val="00C03B02"/>
    <w:rsid w:val="00C057E6"/>
    <w:rsid w:val="00C06FD1"/>
    <w:rsid w:val="00C139C2"/>
    <w:rsid w:val="00C15251"/>
    <w:rsid w:val="00C166ED"/>
    <w:rsid w:val="00C17C08"/>
    <w:rsid w:val="00C20274"/>
    <w:rsid w:val="00C23174"/>
    <w:rsid w:val="00C23C92"/>
    <w:rsid w:val="00C302BA"/>
    <w:rsid w:val="00C30680"/>
    <w:rsid w:val="00C31808"/>
    <w:rsid w:val="00C31C2D"/>
    <w:rsid w:val="00C344F4"/>
    <w:rsid w:val="00C36776"/>
    <w:rsid w:val="00C36AB8"/>
    <w:rsid w:val="00C40FED"/>
    <w:rsid w:val="00C4158D"/>
    <w:rsid w:val="00C41761"/>
    <w:rsid w:val="00C42E49"/>
    <w:rsid w:val="00C4373A"/>
    <w:rsid w:val="00C44027"/>
    <w:rsid w:val="00C4452C"/>
    <w:rsid w:val="00C46E6B"/>
    <w:rsid w:val="00C61597"/>
    <w:rsid w:val="00C63101"/>
    <w:rsid w:val="00C64B3D"/>
    <w:rsid w:val="00C651DA"/>
    <w:rsid w:val="00C65427"/>
    <w:rsid w:val="00C73720"/>
    <w:rsid w:val="00C73A66"/>
    <w:rsid w:val="00C73EB8"/>
    <w:rsid w:val="00C75367"/>
    <w:rsid w:val="00C753FA"/>
    <w:rsid w:val="00C766DC"/>
    <w:rsid w:val="00C82643"/>
    <w:rsid w:val="00C855F5"/>
    <w:rsid w:val="00C85B76"/>
    <w:rsid w:val="00C87D07"/>
    <w:rsid w:val="00C90C75"/>
    <w:rsid w:val="00C9162F"/>
    <w:rsid w:val="00C91ACE"/>
    <w:rsid w:val="00C92E56"/>
    <w:rsid w:val="00C9392A"/>
    <w:rsid w:val="00C95160"/>
    <w:rsid w:val="00C95FC2"/>
    <w:rsid w:val="00C977DC"/>
    <w:rsid w:val="00CA1BDC"/>
    <w:rsid w:val="00CA28C6"/>
    <w:rsid w:val="00CA3D5A"/>
    <w:rsid w:val="00CA58DD"/>
    <w:rsid w:val="00CA6FDD"/>
    <w:rsid w:val="00CB0632"/>
    <w:rsid w:val="00CB0983"/>
    <w:rsid w:val="00CB20E4"/>
    <w:rsid w:val="00CB463F"/>
    <w:rsid w:val="00CB49B9"/>
    <w:rsid w:val="00CB6365"/>
    <w:rsid w:val="00CB6F0D"/>
    <w:rsid w:val="00CB7159"/>
    <w:rsid w:val="00CB737B"/>
    <w:rsid w:val="00CB754B"/>
    <w:rsid w:val="00CC291E"/>
    <w:rsid w:val="00CC384E"/>
    <w:rsid w:val="00CC4295"/>
    <w:rsid w:val="00CC54D2"/>
    <w:rsid w:val="00CC6096"/>
    <w:rsid w:val="00CC6B85"/>
    <w:rsid w:val="00CD03F3"/>
    <w:rsid w:val="00CD1098"/>
    <w:rsid w:val="00CD393E"/>
    <w:rsid w:val="00CD5531"/>
    <w:rsid w:val="00CD6D27"/>
    <w:rsid w:val="00CE1475"/>
    <w:rsid w:val="00CE16AD"/>
    <w:rsid w:val="00CE303A"/>
    <w:rsid w:val="00CE377D"/>
    <w:rsid w:val="00CE3D22"/>
    <w:rsid w:val="00CE6FEC"/>
    <w:rsid w:val="00CE6FFE"/>
    <w:rsid w:val="00CF1719"/>
    <w:rsid w:val="00CF3FC0"/>
    <w:rsid w:val="00CF47EC"/>
    <w:rsid w:val="00CF4EA1"/>
    <w:rsid w:val="00CF6A8F"/>
    <w:rsid w:val="00D01919"/>
    <w:rsid w:val="00D02320"/>
    <w:rsid w:val="00D03549"/>
    <w:rsid w:val="00D07D19"/>
    <w:rsid w:val="00D13886"/>
    <w:rsid w:val="00D13FC9"/>
    <w:rsid w:val="00D143A4"/>
    <w:rsid w:val="00D15AFB"/>
    <w:rsid w:val="00D16DB7"/>
    <w:rsid w:val="00D17CDC"/>
    <w:rsid w:val="00D21D61"/>
    <w:rsid w:val="00D23424"/>
    <w:rsid w:val="00D25AF0"/>
    <w:rsid w:val="00D27B61"/>
    <w:rsid w:val="00D30E3D"/>
    <w:rsid w:val="00D32976"/>
    <w:rsid w:val="00D3438B"/>
    <w:rsid w:val="00D36196"/>
    <w:rsid w:val="00D363EA"/>
    <w:rsid w:val="00D37532"/>
    <w:rsid w:val="00D37C35"/>
    <w:rsid w:val="00D37F88"/>
    <w:rsid w:val="00D40322"/>
    <w:rsid w:val="00D4064A"/>
    <w:rsid w:val="00D41C7D"/>
    <w:rsid w:val="00D42019"/>
    <w:rsid w:val="00D45AB2"/>
    <w:rsid w:val="00D45F20"/>
    <w:rsid w:val="00D46192"/>
    <w:rsid w:val="00D47161"/>
    <w:rsid w:val="00D5029C"/>
    <w:rsid w:val="00D51AC7"/>
    <w:rsid w:val="00D54365"/>
    <w:rsid w:val="00D60254"/>
    <w:rsid w:val="00D61492"/>
    <w:rsid w:val="00D61D61"/>
    <w:rsid w:val="00D62009"/>
    <w:rsid w:val="00D6696F"/>
    <w:rsid w:val="00D70A4F"/>
    <w:rsid w:val="00D711B8"/>
    <w:rsid w:val="00D71ACB"/>
    <w:rsid w:val="00D72A70"/>
    <w:rsid w:val="00D72C93"/>
    <w:rsid w:val="00D72F30"/>
    <w:rsid w:val="00D73191"/>
    <w:rsid w:val="00D739AB"/>
    <w:rsid w:val="00D74BEA"/>
    <w:rsid w:val="00D74E12"/>
    <w:rsid w:val="00D7515E"/>
    <w:rsid w:val="00D7670F"/>
    <w:rsid w:val="00D76C44"/>
    <w:rsid w:val="00D80547"/>
    <w:rsid w:val="00D8107E"/>
    <w:rsid w:val="00D8145E"/>
    <w:rsid w:val="00D81BDD"/>
    <w:rsid w:val="00D82C97"/>
    <w:rsid w:val="00D83326"/>
    <w:rsid w:val="00D83415"/>
    <w:rsid w:val="00D84BEE"/>
    <w:rsid w:val="00D84C7F"/>
    <w:rsid w:val="00D86ECC"/>
    <w:rsid w:val="00D87227"/>
    <w:rsid w:val="00D875BD"/>
    <w:rsid w:val="00D878DC"/>
    <w:rsid w:val="00D8794E"/>
    <w:rsid w:val="00D9051F"/>
    <w:rsid w:val="00D91CD8"/>
    <w:rsid w:val="00D91E0E"/>
    <w:rsid w:val="00D93929"/>
    <w:rsid w:val="00D93F16"/>
    <w:rsid w:val="00D940E2"/>
    <w:rsid w:val="00D94F7F"/>
    <w:rsid w:val="00D97A00"/>
    <w:rsid w:val="00DA00C2"/>
    <w:rsid w:val="00DA6EA6"/>
    <w:rsid w:val="00DA7EB5"/>
    <w:rsid w:val="00DB19E4"/>
    <w:rsid w:val="00DB216F"/>
    <w:rsid w:val="00DB25E1"/>
    <w:rsid w:val="00DB2F88"/>
    <w:rsid w:val="00DB617D"/>
    <w:rsid w:val="00DB6D50"/>
    <w:rsid w:val="00DB6FF3"/>
    <w:rsid w:val="00DC056C"/>
    <w:rsid w:val="00DC2FCA"/>
    <w:rsid w:val="00DC3019"/>
    <w:rsid w:val="00DC5AA5"/>
    <w:rsid w:val="00DD10A1"/>
    <w:rsid w:val="00DD2AAE"/>
    <w:rsid w:val="00DD641F"/>
    <w:rsid w:val="00DD6489"/>
    <w:rsid w:val="00DD6AAB"/>
    <w:rsid w:val="00DD7716"/>
    <w:rsid w:val="00DE005F"/>
    <w:rsid w:val="00DE01BC"/>
    <w:rsid w:val="00DE076E"/>
    <w:rsid w:val="00DE1797"/>
    <w:rsid w:val="00DE188E"/>
    <w:rsid w:val="00DE33B6"/>
    <w:rsid w:val="00DE5C27"/>
    <w:rsid w:val="00DE611E"/>
    <w:rsid w:val="00DE6798"/>
    <w:rsid w:val="00DE7748"/>
    <w:rsid w:val="00DF031A"/>
    <w:rsid w:val="00DF069B"/>
    <w:rsid w:val="00DF52E1"/>
    <w:rsid w:val="00DF5630"/>
    <w:rsid w:val="00DF570A"/>
    <w:rsid w:val="00DF6C6E"/>
    <w:rsid w:val="00E02259"/>
    <w:rsid w:val="00E059BD"/>
    <w:rsid w:val="00E06951"/>
    <w:rsid w:val="00E07659"/>
    <w:rsid w:val="00E079C3"/>
    <w:rsid w:val="00E1044E"/>
    <w:rsid w:val="00E111FD"/>
    <w:rsid w:val="00E1602E"/>
    <w:rsid w:val="00E1634F"/>
    <w:rsid w:val="00E22207"/>
    <w:rsid w:val="00E22739"/>
    <w:rsid w:val="00E22EE3"/>
    <w:rsid w:val="00E25F55"/>
    <w:rsid w:val="00E26DB0"/>
    <w:rsid w:val="00E31476"/>
    <w:rsid w:val="00E3211C"/>
    <w:rsid w:val="00E3270F"/>
    <w:rsid w:val="00E33ABC"/>
    <w:rsid w:val="00E34D10"/>
    <w:rsid w:val="00E451CA"/>
    <w:rsid w:val="00E46442"/>
    <w:rsid w:val="00E5266E"/>
    <w:rsid w:val="00E55821"/>
    <w:rsid w:val="00E60932"/>
    <w:rsid w:val="00E621CD"/>
    <w:rsid w:val="00E62CF7"/>
    <w:rsid w:val="00E63466"/>
    <w:rsid w:val="00E63470"/>
    <w:rsid w:val="00E63AAC"/>
    <w:rsid w:val="00E641EF"/>
    <w:rsid w:val="00E741A6"/>
    <w:rsid w:val="00E751D9"/>
    <w:rsid w:val="00E756AC"/>
    <w:rsid w:val="00E808DF"/>
    <w:rsid w:val="00E8439C"/>
    <w:rsid w:val="00E869A8"/>
    <w:rsid w:val="00E87161"/>
    <w:rsid w:val="00E872FF"/>
    <w:rsid w:val="00E87E40"/>
    <w:rsid w:val="00E9034B"/>
    <w:rsid w:val="00E90C56"/>
    <w:rsid w:val="00E91478"/>
    <w:rsid w:val="00E9464A"/>
    <w:rsid w:val="00E94680"/>
    <w:rsid w:val="00E94B99"/>
    <w:rsid w:val="00EA07B1"/>
    <w:rsid w:val="00EA24BA"/>
    <w:rsid w:val="00EA59DA"/>
    <w:rsid w:val="00EA6D51"/>
    <w:rsid w:val="00EA727F"/>
    <w:rsid w:val="00EA775F"/>
    <w:rsid w:val="00EB0822"/>
    <w:rsid w:val="00EB3B43"/>
    <w:rsid w:val="00EB4C38"/>
    <w:rsid w:val="00ED017E"/>
    <w:rsid w:val="00ED0AF7"/>
    <w:rsid w:val="00ED11C3"/>
    <w:rsid w:val="00ED40B7"/>
    <w:rsid w:val="00ED6A6E"/>
    <w:rsid w:val="00ED7E23"/>
    <w:rsid w:val="00EE1437"/>
    <w:rsid w:val="00EE2A7A"/>
    <w:rsid w:val="00EE39A6"/>
    <w:rsid w:val="00EE47E1"/>
    <w:rsid w:val="00EE51A6"/>
    <w:rsid w:val="00EE531D"/>
    <w:rsid w:val="00EE6CFF"/>
    <w:rsid w:val="00EF0261"/>
    <w:rsid w:val="00EF08F7"/>
    <w:rsid w:val="00EF0914"/>
    <w:rsid w:val="00EF0993"/>
    <w:rsid w:val="00EF169F"/>
    <w:rsid w:val="00EF4A98"/>
    <w:rsid w:val="00EF6049"/>
    <w:rsid w:val="00EF6A70"/>
    <w:rsid w:val="00F00B8F"/>
    <w:rsid w:val="00F02269"/>
    <w:rsid w:val="00F025D0"/>
    <w:rsid w:val="00F04237"/>
    <w:rsid w:val="00F04AF7"/>
    <w:rsid w:val="00F05AD0"/>
    <w:rsid w:val="00F05B78"/>
    <w:rsid w:val="00F0666D"/>
    <w:rsid w:val="00F06AC0"/>
    <w:rsid w:val="00F07946"/>
    <w:rsid w:val="00F10187"/>
    <w:rsid w:val="00F111A0"/>
    <w:rsid w:val="00F11373"/>
    <w:rsid w:val="00F13D4E"/>
    <w:rsid w:val="00F1412A"/>
    <w:rsid w:val="00F148FD"/>
    <w:rsid w:val="00F16BED"/>
    <w:rsid w:val="00F21D0D"/>
    <w:rsid w:val="00F22037"/>
    <w:rsid w:val="00F2459E"/>
    <w:rsid w:val="00F26D4D"/>
    <w:rsid w:val="00F334E4"/>
    <w:rsid w:val="00F3401C"/>
    <w:rsid w:val="00F35761"/>
    <w:rsid w:val="00F35DE0"/>
    <w:rsid w:val="00F4056C"/>
    <w:rsid w:val="00F419AA"/>
    <w:rsid w:val="00F41ED4"/>
    <w:rsid w:val="00F42B79"/>
    <w:rsid w:val="00F43600"/>
    <w:rsid w:val="00F4390D"/>
    <w:rsid w:val="00F43EBD"/>
    <w:rsid w:val="00F47D21"/>
    <w:rsid w:val="00F5026F"/>
    <w:rsid w:val="00F5242C"/>
    <w:rsid w:val="00F52BF5"/>
    <w:rsid w:val="00F531F0"/>
    <w:rsid w:val="00F544E6"/>
    <w:rsid w:val="00F55C30"/>
    <w:rsid w:val="00F55E47"/>
    <w:rsid w:val="00F569F1"/>
    <w:rsid w:val="00F57237"/>
    <w:rsid w:val="00F60C8B"/>
    <w:rsid w:val="00F61782"/>
    <w:rsid w:val="00F62514"/>
    <w:rsid w:val="00F6254C"/>
    <w:rsid w:val="00F62D12"/>
    <w:rsid w:val="00F6648F"/>
    <w:rsid w:val="00F70C51"/>
    <w:rsid w:val="00F7150A"/>
    <w:rsid w:val="00F71EED"/>
    <w:rsid w:val="00F735A9"/>
    <w:rsid w:val="00F81759"/>
    <w:rsid w:val="00F86A23"/>
    <w:rsid w:val="00F92AB4"/>
    <w:rsid w:val="00F937FE"/>
    <w:rsid w:val="00F94154"/>
    <w:rsid w:val="00F94AB0"/>
    <w:rsid w:val="00F96C6C"/>
    <w:rsid w:val="00F975EC"/>
    <w:rsid w:val="00FA2930"/>
    <w:rsid w:val="00FA32E1"/>
    <w:rsid w:val="00FA4397"/>
    <w:rsid w:val="00FA486C"/>
    <w:rsid w:val="00FA5FBC"/>
    <w:rsid w:val="00FA6079"/>
    <w:rsid w:val="00FB6BE6"/>
    <w:rsid w:val="00FB75E4"/>
    <w:rsid w:val="00FB7916"/>
    <w:rsid w:val="00FC0600"/>
    <w:rsid w:val="00FC0A62"/>
    <w:rsid w:val="00FC285C"/>
    <w:rsid w:val="00FC314D"/>
    <w:rsid w:val="00FC3C54"/>
    <w:rsid w:val="00FC4D4F"/>
    <w:rsid w:val="00FC500E"/>
    <w:rsid w:val="00FC56F7"/>
    <w:rsid w:val="00FC58E2"/>
    <w:rsid w:val="00FC59A4"/>
    <w:rsid w:val="00FC6699"/>
    <w:rsid w:val="00FC7B6D"/>
    <w:rsid w:val="00FD0FB8"/>
    <w:rsid w:val="00FD40DD"/>
    <w:rsid w:val="00FD4C5C"/>
    <w:rsid w:val="00FD4FD3"/>
    <w:rsid w:val="00FD5BCE"/>
    <w:rsid w:val="00FD6092"/>
    <w:rsid w:val="00FD6331"/>
    <w:rsid w:val="00FD67F2"/>
    <w:rsid w:val="00FD6D1B"/>
    <w:rsid w:val="00FE0CA3"/>
    <w:rsid w:val="00FE17CF"/>
    <w:rsid w:val="00FE1ABD"/>
    <w:rsid w:val="00FE3525"/>
    <w:rsid w:val="00FE3CB5"/>
    <w:rsid w:val="00FE5C27"/>
    <w:rsid w:val="00FF48F4"/>
    <w:rsid w:val="00FF5B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4">
    <w:name w:val="heading 4"/>
    <w:basedOn w:val="Normal"/>
    <w:next w:val="Normal"/>
    <w:link w:val="Heading4Char"/>
    <w:uiPriority w:val="9"/>
    <w:semiHidden/>
    <w:unhideWhenUsed/>
    <w:qFormat/>
    <w:rsid w:val="000622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paragraph" w:styleId="BodyText">
    <w:name w:val="Body Text"/>
    <w:basedOn w:val="Normal"/>
    <w:link w:val="BodyTextChar0"/>
    <w:uiPriority w:val="99"/>
    <w:unhideWhenUsed/>
    <w:rsid w:val="00D47161"/>
    <w:pPr>
      <w:spacing w:after="120"/>
    </w:pPr>
  </w:style>
  <w:style w:type="character" w:customStyle="1" w:styleId="BodyTextChar0">
    <w:name w:val="Body Text Char"/>
    <w:basedOn w:val="DefaultParagraphFont"/>
    <w:link w:val="BodyText"/>
    <w:uiPriority w:val="99"/>
    <w:rsid w:val="00D47161"/>
  </w:style>
  <w:style w:type="character" w:customStyle="1" w:styleId="UnresolvedMention1">
    <w:name w:val="Unresolved Mention1"/>
    <w:basedOn w:val="DefaultParagraphFont"/>
    <w:uiPriority w:val="99"/>
    <w:semiHidden/>
    <w:unhideWhenUsed/>
    <w:rsid w:val="00B17E76"/>
    <w:rPr>
      <w:color w:val="808080"/>
      <w:shd w:val="clear" w:color="auto" w:fill="E6E6E6"/>
    </w:rPr>
  </w:style>
  <w:style w:type="character" w:customStyle="1" w:styleId="Heading4Char">
    <w:name w:val="Heading 4 Char"/>
    <w:basedOn w:val="DefaultParagraphFont"/>
    <w:link w:val="Heading4"/>
    <w:uiPriority w:val="9"/>
    <w:semiHidden/>
    <w:rsid w:val="000622F6"/>
    <w:rPr>
      <w:rFonts w:asciiTheme="majorHAnsi" w:eastAsiaTheme="majorEastAsia" w:hAnsiTheme="majorHAnsi" w:cstheme="majorBidi"/>
      <w:i/>
      <w:iCs/>
      <w:color w:val="365F91" w:themeColor="accent1" w:themeShade="BF"/>
    </w:rPr>
  </w:style>
  <w:style w:type="paragraph" w:styleId="ListNumber">
    <w:name w:val="List Number"/>
    <w:basedOn w:val="Normal"/>
    <w:rsid w:val="000622F6"/>
    <w:pPr>
      <w:numPr>
        <w:numId w:val="5"/>
      </w:numPr>
      <w:spacing w:after="160"/>
    </w:pPr>
    <w:rPr>
      <w:rFonts w:ascii="Verdana" w:eastAsia="MS Mincho" w:hAnsi="Verdana" w:cs="Times New Roman"/>
      <w:sz w:val="20"/>
      <w:szCs w:val="20"/>
    </w:rPr>
  </w:style>
  <w:style w:type="paragraph" w:customStyle="1" w:styleId="TableText">
    <w:name w:val="Table Text"/>
    <w:basedOn w:val="Normal"/>
    <w:qFormat/>
    <w:rsid w:val="008A6F8B"/>
    <w:pPr>
      <w:spacing w:before="60" w:after="60"/>
    </w:pPr>
    <w:rPr>
      <w:rFonts w:ascii="Verdana" w:eastAsiaTheme="minorHAnsi" w:hAnsi="Verdana" w:cs="Calibri"/>
      <w:sz w:val="18"/>
      <w:szCs w:val="18"/>
    </w:rPr>
  </w:style>
  <w:style w:type="paragraph" w:styleId="ListContinue">
    <w:name w:val="List Continue"/>
    <w:basedOn w:val="Normal"/>
    <w:uiPriority w:val="99"/>
    <w:unhideWhenUsed/>
    <w:rsid w:val="001F21F8"/>
    <w:pPr>
      <w:spacing w:after="120"/>
      <w:ind w:left="360"/>
      <w:contextualSpacing/>
    </w:pPr>
  </w:style>
  <w:style w:type="paragraph" w:customStyle="1" w:styleId="TableBulletInd">
    <w:name w:val="Table Bullet Ind"/>
    <w:basedOn w:val="Normal"/>
    <w:qFormat/>
    <w:rsid w:val="00C4158D"/>
    <w:pPr>
      <w:numPr>
        <w:numId w:val="9"/>
      </w:numPr>
      <w:spacing w:before="60" w:after="60"/>
    </w:pPr>
    <w:rPr>
      <w:rFonts w:ascii="Verdana" w:eastAsia="MS Mincho" w:hAnsi="Verdana" w:cs="Times New Roman"/>
      <w:sz w:val="18"/>
      <w:szCs w:val="18"/>
    </w:rPr>
  </w:style>
  <w:style w:type="paragraph" w:styleId="ListBullet2">
    <w:name w:val="List Bullet 2"/>
    <w:basedOn w:val="Normal"/>
    <w:rsid w:val="00CB0632"/>
    <w:pPr>
      <w:numPr>
        <w:numId w:val="11"/>
      </w:numPr>
      <w:spacing w:after="120"/>
    </w:pPr>
    <w:rPr>
      <w:rFonts w:ascii="Verdana" w:eastAsia="MS Mincho" w:hAnsi="Verdana" w:cs="Times New Roman"/>
      <w:sz w:val="20"/>
      <w:szCs w:val="20"/>
    </w:rPr>
  </w:style>
  <w:style w:type="paragraph" w:styleId="ListBullet">
    <w:name w:val="List Bullet"/>
    <w:basedOn w:val="Normal"/>
    <w:uiPriority w:val="99"/>
    <w:semiHidden/>
    <w:unhideWhenUsed/>
    <w:rsid w:val="004D0FE8"/>
    <w:pPr>
      <w:numPr>
        <w:numId w:val="12"/>
      </w:numPr>
      <w:contextualSpacing/>
    </w:pPr>
  </w:style>
  <w:style w:type="paragraph" w:customStyle="1" w:styleId="TableTextIndent1">
    <w:name w:val="Table Text Indent1"/>
    <w:basedOn w:val="Normal"/>
    <w:qFormat/>
    <w:rsid w:val="00B560C0"/>
    <w:pPr>
      <w:spacing w:before="60" w:after="60"/>
      <w:ind w:left="245"/>
    </w:pPr>
    <w:rPr>
      <w:rFonts w:ascii="Verdana" w:eastAsia="MS Mincho" w:hAnsi="Verdana" w:cs="Times New Roman"/>
      <w:sz w:val="18"/>
      <w:szCs w:val="20"/>
    </w:rPr>
  </w:style>
  <w:style w:type="paragraph" w:customStyle="1" w:styleId="aQuestion">
    <w:name w:val="a_Question"/>
    <w:basedOn w:val="Normal"/>
    <w:qFormat/>
    <w:rsid w:val="00BA3BD7"/>
    <w:pPr>
      <w:keepNext/>
      <w:keepLines/>
      <w:spacing w:before="240" w:after="60"/>
      <w:ind w:left="907" w:hanging="907"/>
      <w:contextualSpacing/>
    </w:pPr>
    <w:rPr>
      <w:rFonts w:ascii="Verdana" w:eastAsia="Calibri" w:hAnsi="Verdana" w:cs="Arial"/>
      <w:bCs/>
      <w:sz w:val="20"/>
    </w:rPr>
  </w:style>
  <w:style w:type="character" w:customStyle="1" w:styleId="UnresolvedMention2">
    <w:name w:val="Unresolved Mention2"/>
    <w:basedOn w:val="DefaultParagraphFont"/>
    <w:uiPriority w:val="99"/>
    <w:semiHidden/>
    <w:unhideWhenUsed/>
    <w:rsid w:val="00DA00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4">
    <w:name w:val="heading 4"/>
    <w:basedOn w:val="Normal"/>
    <w:next w:val="Normal"/>
    <w:link w:val="Heading4Char"/>
    <w:uiPriority w:val="9"/>
    <w:semiHidden/>
    <w:unhideWhenUsed/>
    <w:qFormat/>
    <w:rsid w:val="000622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paragraph" w:styleId="BodyText">
    <w:name w:val="Body Text"/>
    <w:basedOn w:val="Normal"/>
    <w:link w:val="BodyTextChar0"/>
    <w:uiPriority w:val="99"/>
    <w:unhideWhenUsed/>
    <w:rsid w:val="00D47161"/>
    <w:pPr>
      <w:spacing w:after="120"/>
    </w:pPr>
  </w:style>
  <w:style w:type="character" w:customStyle="1" w:styleId="BodyTextChar0">
    <w:name w:val="Body Text Char"/>
    <w:basedOn w:val="DefaultParagraphFont"/>
    <w:link w:val="BodyText"/>
    <w:uiPriority w:val="99"/>
    <w:rsid w:val="00D47161"/>
  </w:style>
  <w:style w:type="character" w:customStyle="1" w:styleId="UnresolvedMention1">
    <w:name w:val="Unresolved Mention1"/>
    <w:basedOn w:val="DefaultParagraphFont"/>
    <w:uiPriority w:val="99"/>
    <w:semiHidden/>
    <w:unhideWhenUsed/>
    <w:rsid w:val="00B17E76"/>
    <w:rPr>
      <w:color w:val="808080"/>
      <w:shd w:val="clear" w:color="auto" w:fill="E6E6E6"/>
    </w:rPr>
  </w:style>
  <w:style w:type="character" w:customStyle="1" w:styleId="Heading4Char">
    <w:name w:val="Heading 4 Char"/>
    <w:basedOn w:val="DefaultParagraphFont"/>
    <w:link w:val="Heading4"/>
    <w:uiPriority w:val="9"/>
    <w:semiHidden/>
    <w:rsid w:val="000622F6"/>
    <w:rPr>
      <w:rFonts w:asciiTheme="majorHAnsi" w:eastAsiaTheme="majorEastAsia" w:hAnsiTheme="majorHAnsi" w:cstheme="majorBidi"/>
      <w:i/>
      <w:iCs/>
      <w:color w:val="365F91" w:themeColor="accent1" w:themeShade="BF"/>
    </w:rPr>
  </w:style>
  <w:style w:type="paragraph" w:styleId="ListNumber">
    <w:name w:val="List Number"/>
    <w:basedOn w:val="Normal"/>
    <w:rsid w:val="000622F6"/>
    <w:pPr>
      <w:numPr>
        <w:numId w:val="5"/>
      </w:numPr>
      <w:spacing w:after="160"/>
    </w:pPr>
    <w:rPr>
      <w:rFonts w:ascii="Verdana" w:eastAsia="MS Mincho" w:hAnsi="Verdana" w:cs="Times New Roman"/>
      <w:sz w:val="20"/>
      <w:szCs w:val="20"/>
    </w:rPr>
  </w:style>
  <w:style w:type="paragraph" w:customStyle="1" w:styleId="TableText">
    <w:name w:val="Table Text"/>
    <w:basedOn w:val="Normal"/>
    <w:qFormat/>
    <w:rsid w:val="008A6F8B"/>
    <w:pPr>
      <w:spacing w:before="60" w:after="60"/>
    </w:pPr>
    <w:rPr>
      <w:rFonts w:ascii="Verdana" w:eastAsiaTheme="minorHAnsi" w:hAnsi="Verdana" w:cs="Calibri"/>
      <w:sz w:val="18"/>
      <w:szCs w:val="18"/>
    </w:rPr>
  </w:style>
  <w:style w:type="paragraph" w:styleId="ListContinue">
    <w:name w:val="List Continue"/>
    <w:basedOn w:val="Normal"/>
    <w:uiPriority w:val="99"/>
    <w:unhideWhenUsed/>
    <w:rsid w:val="001F21F8"/>
    <w:pPr>
      <w:spacing w:after="120"/>
      <w:ind w:left="360"/>
      <w:contextualSpacing/>
    </w:pPr>
  </w:style>
  <w:style w:type="paragraph" w:customStyle="1" w:styleId="TableBulletInd">
    <w:name w:val="Table Bullet Ind"/>
    <w:basedOn w:val="Normal"/>
    <w:qFormat/>
    <w:rsid w:val="00C4158D"/>
    <w:pPr>
      <w:numPr>
        <w:numId w:val="9"/>
      </w:numPr>
      <w:spacing w:before="60" w:after="60"/>
    </w:pPr>
    <w:rPr>
      <w:rFonts w:ascii="Verdana" w:eastAsia="MS Mincho" w:hAnsi="Verdana" w:cs="Times New Roman"/>
      <w:sz w:val="18"/>
      <w:szCs w:val="18"/>
    </w:rPr>
  </w:style>
  <w:style w:type="paragraph" w:styleId="ListBullet2">
    <w:name w:val="List Bullet 2"/>
    <w:basedOn w:val="Normal"/>
    <w:rsid w:val="00CB0632"/>
    <w:pPr>
      <w:numPr>
        <w:numId w:val="11"/>
      </w:numPr>
      <w:spacing w:after="120"/>
    </w:pPr>
    <w:rPr>
      <w:rFonts w:ascii="Verdana" w:eastAsia="MS Mincho" w:hAnsi="Verdana" w:cs="Times New Roman"/>
      <w:sz w:val="20"/>
      <w:szCs w:val="20"/>
    </w:rPr>
  </w:style>
  <w:style w:type="paragraph" w:styleId="ListBullet">
    <w:name w:val="List Bullet"/>
    <w:basedOn w:val="Normal"/>
    <w:uiPriority w:val="99"/>
    <w:semiHidden/>
    <w:unhideWhenUsed/>
    <w:rsid w:val="004D0FE8"/>
    <w:pPr>
      <w:numPr>
        <w:numId w:val="12"/>
      </w:numPr>
      <w:contextualSpacing/>
    </w:pPr>
  </w:style>
  <w:style w:type="paragraph" w:customStyle="1" w:styleId="TableTextIndent1">
    <w:name w:val="Table Text Indent1"/>
    <w:basedOn w:val="Normal"/>
    <w:qFormat/>
    <w:rsid w:val="00B560C0"/>
    <w:pPr>
      <w:spacing w:before="60" w:after="60"/>
      <w:ind w:left="245"/>
    </w:pPr>
    <w:rPr>
      <w:rFonts w:ascii="Verdana" w:eastAsia="MS Mincho" w:hAnsi="Verdana" w:cs="Times New Roman"/>
      <w:sz w:val="18"/>
      <w:szCs w:val="20"/>
    </w:rPr>
  </w:style>
  <w:style w:type="paragraph" w:customStyle="1" w:styleId="aQuestion">
    <w:name w:val="a_Question"/>
    <w:basedOn w:val="Normal"/>
    <w:qFormat/>
    <w:rsid w:val="00BA3BD7"/>
    <w:pPr>
      <w:keepNext/>
      <w:keepLines/>
      <w:spacing w:before="240" w:after="60"/>
      <w:ind w:left="907" w:hanging="907"/>
      <w:contextualSpacing/>
    </w:pPr>
    <w:rPr>
      <w:rFonts w:ascii="Verdana" w:eastAsia="Calibri" w:hAnsi="Verdana" w:cs="Arial"/>
      <w:bCs/>
      <w:sz w:val="20"/>
    </w:rPr>
  </w:style>
  <w:style w:type="character" w:customStyle="1" w:styleId="UnresolvedMention2">
    <w:name w:val="Unresolved Mention2"/>
    <w:basedOn w:val="DefaultParagraphFont"/>
    <w:uiPriority w:val="99"/>
    <w:semiHidden/>
    <w:unhideWhenUsed/>
    <w:rsid w:val="00DA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441151913">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51388511">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669332234">
      <w:bodyDiv w:val="1"/>
      <w:marLeft w:val="0"/>
      <w:marRight w:val="0"/>
      <w:marTop w:val="0"/>
      <w:marBottom w:val="0"/>
      <w:divBdr>
        <w:top w:val="none" w:sz="0" w:space="0" w:color="auto"/>
        <w:left w:val="none" w:sz="0" w:space="0" w:color="auto"/>
        <w:bottom w:val="none" w:sz="0" w:space="0" w:color="auto"/>
        <w:right w:val="none" w:sz="0" w:space="0" w:color="auto"/>
      </w:divBdr>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953485320">
      <w:bodyDiv w:val="1"/>
      <w:marLeft w:val="0"/>
      <w:marRight w:val="0"/>
      <w:marTop w:val="0"/>
      <w:marBottom w:val="0"/>
      <w:divBdr>
        <w:top w:val="none" w:sz="0" w:space="0" w:color="auto"/>
        <w:left w:val="none" w:sz="0" w:space="0" w:color="auto"/>
        <w:bottom w:val="none" w:sz="0" w:space="0" w:color="auto"/>
        <w:right w:val="none" w:sz="0" w:space="0" w:color="auto"/>
      </w:divBdr>
    </w:div>
    <w:div w:id="1017928790">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296327581">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19680731">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647584106">
      <w:bodyDiv w:val="1"/>
      <w:marLeft w:val="0"/>
      <w:marRight w:val="0"/>
      <w:marTop w:val="0"/>
      <w:marBottom w:val="0"/>
      <w:divBdr>
        <w:top w:val="none" w:sz="0" w:space="0" w:color="auto"/>
        <w:left w:val="none" w:sz="0" w:space="0" w:color="auto"/>
        <w:bottom w:val="none" w:sz="0" w:space="0" w:color="auto"/>
        <w:right w:val="none" w:sz="0" w:space="0" w:color="auto"/>
      </w:divBdr>
    </w:div>
    <w:div w:id="1653099843">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da.gov/media/122008/download" TargetMode="External"/><Relationship Id="rId18" Type="http://schemas.openxmlformats.org/officeDocument/2006/relationships/hyperlink" Target="mailto:janeallen@rti.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onna.cheung@fda.hhs.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rin.OBrien@fda.hhs.gov" TargetMode="External"/><Relationship Id="rId20" Type="http://schemas.openxmlformats.org/officeDocument/2006/relationships/hyperlink" Target="mailto:jnonnemaker@r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lexander.Persoskie@fda.hhs.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parvanta@rti.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downloads/TobaccoProducts/Labeling/UCM297751.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D9999D3C06E44B79B26324062BD52" ma:contentTypeVersion="1" ma:contentTypeDescription="Create a new document." ma:contentTypeScope="" ma:versionID="bc34c6f44d1659f8e9df59c558dc23b1">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32edc7ea837053a853140df4eb4f3e0d"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Working draft</Document_x0020_Type>
    <Author0 xmlns="8ae0da10-6ae8-4796-8a88-54cca0b2a7ec">
      <UserInfo>
        <DisplayName/>
        <AccountId xsi:nil="true"/>
        <AccountType/>
      </UserInfo>
    </Author0>
    <Confidentiality xmlns="2e9935a5-20a2-403e-8dd7-41ca93ef841b">Internal/Confidential</Confidentiality>
    <_dlc_DocId xmlns="c593544c-8bc9-488a-9957-4d59a7b3d015">ECW2UC57Z33M-269-327</_dlc_DocId>
    <_dlc_DocIdUrl xmlns="c593544c-8bc9-488a-9957-4d59a7b3d015">
      <Url>http://sharepoint.fda.gov/orgs/CTP-OS/PopHealthSci/SocialScience/_layouts/DocIdRedir.aspx?ID=ECW2UC57Z33M-269-327</Url>
      <Description>ECW2UC57Z33M-269-327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407D-5F37-4E98-BE16-84C68533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8BE47-E078-4822-89B8-1E27E4DB12D6}">
  <ds:schemaRefs>
    <ds:schemaRef ds:uri="http://schemas.microsoft.com/sharepoint/events"/>
  </ds:schemaRefs>
</ds:datastoreItem>
</file>

<file path=customXml/itemProps3.xml><?xml version="1.0" encoding="utf-8"?>
<ds:datastoreItem xmlns:ds="http://schemas.openxmlformats.org/officeDocument/2006/customXml" ds:itemID="{AACABB8A-D943-43FA-9B9B-255B5D63362A}">
  <ds:schemaRefs>
    <ds:schemaRef ds:uri="http://schemas.microsoft.com/sharepoint/v3/contenttype/forms"/>
  </ds:schemaRefs>
</ds:datastoreItem>
</file>

<file path=customXml/itemProps4.xml><?xml version="1.0" encoding="utf-8"?>
<ds:datastoreItem xmlns:ds="http://schemas.openxmlformats.org/officeDocument/2006/customXml" ds:itemID="{915057C3-013F-4996-9448-14E75A46452B}">
  <ds:schemaRefs>
    <ds:schemaRef ds:uri="2e9935a5-20a2-403e-8dd7-41ca93ef841b"/>
    <ds:schemaRef ds:uri="http://purl.org/dc/elements/1.1/"/>
    <ds:schemaRef ds:uri="c593544c-8bc9-488a-9957-4d59a7b3d015"/>
    <ds:schemaRef ds:uri="http://schemas.microsoft.com/office/infopath/2007/PartnerControls"/>
    <ds:schemaRef ds:uri="ee268373-24bd-46db-9f88-fe8cfe7fef0e"/>
    <ds:schemaRef ds:uri="http://schemas.microsoft.com/office/2006/documentManagement/types"/>
    <ds:schemaRef ds:uri="http://schemas.openxmlformats.org/package/2006/metadata/core-properties"/>
    <ds:schemaRef ds:uri="http://purl.org/dc/dcmitype/"/>
    <ds:schemaRef ds:uri="http://purl.org/dc/terms/"/>
    <ds:schemaRef ds:uri="8ae0da10-6ae8-4796-8a88-54cca0b2a7e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5468D30-DB47-4889-916E-CEEE1827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9238</Words>
  <Characters>52658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Persoskie, Alexander</dc:creator>
  <cp:lastModifiedBy>SYSTEM</cp:lastModifiedBy>
  <cp:revision>2</cp:revision>
  <dcterms:created xsi:type="dcterms:W3CDTF">2019-06-14T21:09:00Z</dcterms:created>
  <dcterms:modified xsi:type="dcterms:W3CDTF">2019-06-14T21:09:00Z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0x0101003F9D9999D3C06E44B79B26324062BD52</vt:lpwstr>
  </property>
  <property fmtid="{D5CDD505-2E9C-101B-9397-08002B2CF9AE}" pid="3" name="_dlc_DocIdItemGuid">
    <vt:lpwstr>a72c3543-7541-4873-bdc6-700a87e03db9</vt:lpwstr>
  </property>
</Properties>
</file>