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45" w:rsidRPr="00961B45" w:rsidRDefault="00961B45" w:rsidP="00961B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61B45">
        <w:rPr>
          <w:rFonts w:ascii="Times New Roman" w:hAnsi="Times New Roman" w:cs="Times New Roman"/>
          <w:sz w:val="24"/>
          <w:szCs w:val="24"/>
        </w:rPr>
        <w:t>United States Food and Drug Administration</w:t>
      </w:r>
    </w:p>
    <w:p w:rsidR="00961B45" w:rsidRDefault="00961B45" w:rsidP="00961B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61B45">
        <w:rPr>
          <w:rFonts w:ascii="Times New Roman" w:hAnsi="Times New Roman" w:cs="Times New Roman"/>
          <w:sz w:val="24"/>
          <w:szCs w:val="24"/>
        </w:rPr>
        <w:t xml:space="preserve">Adverse Event, Product Experience, and Safety Reporting – </w:t>
      </w:r>
    </w:p>
    <w:p w:rsidR="00961B45" w:rsidRDefault="00961B45" w:rsidP="00961B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61B45">
        <w:rPr>
          <w:rFonts w:ascii="Times New Roman" w:hAnsi="Times New Roman" w:cs="Times New Roman"/>
          <w:sz w:val="24"/>
          <w:szCs w:val="24"/>
        </w:rPr>
        <w:t>Electronic Submissions</w:t>
      </w:r>
    </w:p>
    <w:p w:rsidR="00961B45" w:rsidRPr="00961B45" w:rsidRDefault="00961B45" w:rsidP="00961B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61B45" w:rsidRPr="00961B45" w:rsidRDefault="00961B45" w:rsidP="00961B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61B45">
        <w:rPr>
          <w:rFonts w:ascii="Times New Roman" w:hAnsi="Times New Roman" w:cs="Times New Roman"/>
          <w:sz w:val="24"/>
          <w:szCs w:val="24"/>
        </w:rPr>
        <w:t>OMB Control No. 0910-0645</w:t>
      </w:r>
    </w:p>
    <w:p w:rsidR="00961B45" w:rsidRDefault="00961B45" w:rsidP="00D822A0">
      <w:pPr>
        <w:rPr>
          <w:rFonts w:ascii="Times New Roman" w:hAnsi="Times New Roman" w:cs="Times New Roman"/>
          <w:sz w:val="24"/>
          <w:szCs w:val="24"/>
        </w:rPr>
      </w:pPr>
    </w:p>
    <w:p w:rsidR="00ED352E" w:rsidRDefault="00961B45" w:rsidP="00D822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Non-Substantive Change Request for CTP</w:t>
      </w:r>
      <w:r w:rsidR="00ED352E" w:rsidRPr="00ED352E">
        <w:rPr>
          <w:rFonts w:ascii="Times New Roman" w:hAnsi="Times New Roman" w:cs="Times New Roman"/>
          <w:b/>
          <w:sz w:val="24"/>
          <w:szCs w:val="24"/>
        </w:rPr>
        <w:t xml:space="preserve"> Safety Reporting Portal </w:t>
      </w:r>
      <w:r>
        <w:rPr>
          <w:rFonts w:ascii="Times New Roman" w:hAnsi="Times New Roman" w:cs="Times New Roman"/>
          <w:b/>
          <w:sz w:val="24"/>
          <w:szCs w:val="24"/>
        </w:rPr>
        <w:t>Questionnaire</w:t>
      </w:r>
    </w:p>
    <w:p w:rsidR="00ED352E" w:rsidRPr="00487E1D" w:rsidRDefault="00ED352E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EE2">
        <w:rPr>
          <w:rFonts w:ascii="Times New Roman" w:hAnsi="Times New Roman" w:cs="Times New Roman"/>
          <w:bCs/>
          <w:sz w:val="24"/>
          <w:szCs w:val="24"/>
        </w:rPr>
        <w:t xml:space="preserve">The Food and Drug Administration is </w:t>
      </w:r>
      <w:r w:rsidR="00687B2D">
        <w:rPr>
          <w:rFonts w:ascii="Times New Roman" w:hAnsi="Times New Roman" w:cs="Times New Roman"/>
          <w:bCs/>
          <w:sz w:val="24"/>
          <w:szCs w:val="24"/>
        </w:rPr>
        <w:t xml:space="preserve">requesting a non-substantive change request </w:t>
      </w:r>
      <w:r w:rsidRPr="00713EE2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687B2D">
        <w:rPr>
          <w:rFonts w:ascii="Times New Roman" w:hAnsi="Times New Roman" w:cs="Times New Roman"/>
          <w:bCs/>
          <w:sz w:val="24"/>
          <w:szCs w:val="24"/>
        </w:rPr>
        <w:t xml:space="preserve">OMB Control No. 0910-0645, which supports adverse event, product experience, and safety reporting associated with FDA-regulated products.  The </w:t>
      </w:r>
      <w:r w:rsidR="00487E1D" w:rsidRPr="00487E1D">
        <w:rPr>
          <w:rFonts w:ascii="Times New Roman" w:hAnsi="Times New Roman" w:cs="Times New Roman"/>
          <w:sz w:val="24"/>
          <w:szCs w:val="24"/>
        </w:rPr>
        <w:t xml:space="preserve">Safety Reporting Portal (SRP) </w:t>
      </w:r>
      <w:r w:rsidR="00687B2D">
        <w:rPr>
          <w:rFonts w:ascii="Times New Roman" w:hAnsi="Times New Roman" w:cs="Times New Roman"/>
          <w:sz w:val="24"/>
          <w:szCs w:val="24"/>
        </w:rPr>
        <w:t xml:space="preserve">is one of the </w:t>
      </w:r>
      <w:r w:rsidR="009E0DB8">
        <w:rPr>
          <w:rFonts w:ascii="Times New Roman" w:hAnsi="Times New Roman" w:cs="Times New Roman"/>
          <w:sz w:val="24"/>
          <w:szCs w:val="24"/>
        </w:rPr>
        <w:t xml:space="preserve">systems </w:t>
      </w:r>
      <w:r w:rsidR="00687B2D">
        <w:rPr>
          <w:rFonts w:ascii="Times New Roman" w:hAnsi="Times New Roman" w:cs="Times New Roman"/>
          <w:sz w:val="24"/>
          <w:szCs w:val="24"/>
        </w:rPr>
        <w:t xml:space="preserve">we developed to </w:t>
      </w:r>
      <w:r w:rsidR="00487E1D" w:rsidRPr="00487E1D">
        <w:rPr>
          <w:rFonts w:ascii="Times New Roman" w:hAnsi="Times New Roman" w:cs="Times New Roman"/>
          <w:sz w:val="24"/>
          <w:szCs w:val="24"/>
        </w:rPr>
        <w:t>collect data</w:t>
      </w:r>
      <w:r w:rsidR="009E0DB8">
        <w:rPr>
          <w:rFonts w:ascii="Times New Roman" w:hAnsi="Times New Roman" w:cs="Times New Roman"/>
          <w:sz w:val="24"/>
          <w:szCs w:val="24"/>
        </w:rPr>
        <w:t xml:space="preserve"> electronically</w:t>
      </w:r>
      <w:r w:rsidR="00687B2D">
        <w:rPr>
          <w:rFonts w:ascii="Times New Roman" w:hAnsi="Times New Roman" w:cs="Times New Roman"/>
          <w:sz w:val="24"/>
          <w:szCs w:val="24"/>
        </w:rPr>
        <w:t xml:space="preserve">.  </w:t>
      </w:r>
      <w:r w:rsidR="009E0DB8">
        <w:rPr>
          <w:rFonts w:ascii="Times New Roman" w:hAnsi="Times New Roman" w:cs="Times New Roman"/>
          <w:sz w:val="24"/>
          <w:szCs w:val="24"/>
        </w:rPr>
        <w:t xml:space="preserve">The </w:t>
      </w:r>
      <w:r w:rsidR="00487E1D" w:rsidRPr="00487E1D">
        <w:rPr>
          <w:rFonts w:ascii="Times New Roman" w:hAnsi="Times New Roman" w:cs="Times New Roman"/>
          <w:sz w:val="24"/>
          <w:szCs w:val="24"/>
        </w:rPr>
        <w:t>SRP enables industry,</w:t>
      </w:r>
      <w:r w:rsidR="00487E1D">
        <w:rPr>
          <w:rFonts w:ascii="Times New Roman" w:hAnsi="Times New Roman" w:cs="Times New Roman"/>
          <w:sz w:val="24"/>
          <w:szCs w:val="24"/>
        </w:rPr>
        <w:t xml:space="preserve"> </w:t>
      </w:r>
      <w:r w:rsidR="00487E1D" w:rsidRPr="00487E1D">
        <w:rPr>
          <w:rFonts w:ascii="Times New Roman" w:hAnsi="Times New Roman" w:cs="Times New Roman"/>
          <w:sz w:val="24"/>
          <w:szCs w:val="24"/>
        </w:rPr>
        <w:t>health professionals, consumers</w:t>
      </w:r>
      <w:r w:rsidR="009E0DB8">
        <w:rPr>
          <w:rFonts w:ascii="Times New Roman" w:hAnsi="Times New Roman" w:cs="Times New Roman"/>
          <w:sz w:val="24"/>
          <w:szCs w:val="24"/>
        </w:rPr>
        <w:t>,</w:t>
      </w:r>
      <w:r w:rsidR="00487E1D" w:rsidRPr="00487E1D">
        <w:rPr>
          <w:rFonts w:ascii="Times New Roman" w:hAnsi="Times New Roman" w:cs="Times New Roman"/>
          <w:sz w:val="24"/>
          <w:szCs w:val="24"/>
        </w:rPr>
        <w:t xml:space="preserve"> and others to report adverse events or</w:t>
      </w:r>
      <w:r w:rsidR="00487E1D">
        <w:rPr>
          <w:rFonts w:ascii="Times New Roman" w:hAnsi="Times New Roman" w:cs="Times New Roman"/>
          <w:sz w:val="24"/>
          <w:szCs w:val="24"/>
        </w:rPr>
        <w:t xml:space="preserve"> </w:t>
      </w:r>
      <w:r w:rsidR="00487E1D" w:rsidRPr="00487E1D">
        <w:rPr>
          <w:rFonts w:ascii="Times New Roman" w:hAnsi="Times New Roman" w:cs="Times New Roman"/>
          <w:sz w:val="24"/>
          <w:szCs w:val="24"/>
        </w:rPr>
        <w:t xml:space="preserve">problems associated with </w:t>
      </w:r>
      <w:r w:rsidR="009E0DB8">
        <w:rPr>
          <w:rFonts w:ascii="Times New Roman" w:hAnsi="Times New Roman" w:cs="Times New Roman"/>
          <w:sz w:val="24"/>
          <w:szCs w:val="24"/>
        </w:rPr>
        <w:t xml:space="preserve">regulated </w:t>
      </w:r>
      <w:r w:rsidR="00487E1D" w:rsidRPr="00487E1D">
        <w:rPr>
          <w:rFonts w:ascii="Times New Roman" w:hAnsi="Times New Roman" w:cs="Times New Roman"/>
          <w:sz w:val="24"/>
          <w:szCs w:val="24"/>
        </w:rPr>
        <w:t xml:space="preserve">products </w:t>
      </w:r>
      <w:r w:rsidR="00687B2D">
        <w:rPr>
          <w:rFonts w:ascii="Times New Roman" w:hAnsi="Times New Roman" w:cs="Times New Roman"/>
          <w:sz w:val="24"/>
          <w:szCs w:val="24"/>
        </w:rPr>
        <w:t xml:space="preserve">by completing </w:t>
      </w:r>
      <w:r w:rsidR="00487E1D" w:rsidRPr="00487E1D">
        <w:rPr>
          <w:rFonts w:ascii="Times New Roman" w:hAnsi="Times New Roman" w:cs="Times New Roman"/>
          <w:sz w:val="24"/>
          <w:szCs w:val="24"/>
        </w:rPr>
        <w:t>web-based</w:t>
      </w:r>
      <w:r w:rsidR="00487E1D">
        <w:rPr>
          <w:rFonts w:ascii="Times New Roman" w:hAnsi="Times New Roman" w:cs="Times New Roman"/>
          <w:sz w:val="24"/>
          <w:szCs w:val="24"/>
        </w:rPr>
        <w:t xml:space="preserve"> </w:t>
      </w:r>
      <w:r w:rsidR="00487E1D" w:rsidRPr="00487E1D">
        <w:rPr>
          <w:rFonts w:ascii="Times New Roman" w:hAnsi="Times New Roman" w:cs="Times New Roman"/>
          <w:sz w:val="24"/>
          <w:szCs w:val="24"/>
        </w:rPr>
        <w:t xml:space="preserve">rational questionnaires </w:t>
      </w:r>
      <w:r w:rsidR="009E0DB8">
        <w:rPr>
          <w:rFonts w:ascii="Times New Roman" w:hAnsi="Times New Roman" w:cs="Times New Roman"/>
          <w:sz w:val="24"/>
          <w:szCs w:val="24"/>
        </w:rPr>
        <w:t xml:space="preserve">(RQ) </w:t>
      </w:r>
      <w:r w:rsidR="00487E1D" w:rsidRPr="00487E1D">
        <w:rPr>
          <w:rFonts w:ascii="Times New Roman" w:hAnsi="Times New Roman" w:cs="Times New Roman"/>
          <w:sz w:val="24"/>
          <w:szCs w:val="24"/>
        </w:rPr>
        <w:t xml:space="preserve">tailored to </w:t>
      </w:r>
      <w:r w:rsidR="00687B2D">
        <w:rPr>
          <w:rFonts w:ascii="Times New Roman" w:hAnsi="Times New Roman" w:cs="Times New Roman"/>
          <w:sz w:val="24"/>
          <w:szCs w:val="24"/>
        </w:rPr>
        <w:t xml:space="preserve">product categories.  </w:t>
      </w:r>
      <w:r w:rsidR="00487E1D" w:rsidRPr="00487E1D">
        <w:rPr>
          <w:rFonts w:ascii="Times New Roman" w:hAnsi="Times New Roman" w:cs="Times New Roman"/>
          <w:sz w:val="24"/>
          <w:szCs w:val="24"/>
        </w:rPr>
        <w:t>The information</w:t>
      </w:r>
      <w:r w:rsidR="00487E1D">
        <w:rPr>
          <w:rFonts w:ascii="Times New Roman" w:hAnsi="Times New Roman" w:cs="Times New Roman"/>
          <w:sz w:val="24"/>
          <w:szCs w:val="24"/>
        </w:rPr>
        <w:t xml:space="preserve"> </w:t>
      </w:r>
      <w:r w:rsidR="00687B2D">
        <w:rPr>
          <w:rFonts w:ascii="Times New Roman" w:hAnsi="Times New Roman" w:cs="Times New Roman"/>
          <w:sz w:val="24"/>
          <w:szCs w:val="24"/>
        </w:rPr>
        <w:t xml:space="preserve">submitted </w:t>
      </w:r>
      <w:r w:rsidR="00487E1D" w:rsidRPr="00487E1D">
        <w:rPr>
          <w:rFonts w:ascii="Times New Roman" w:hAnsi="Times New Roman" w:cs="Times New Roman"/>
          <w:sz w:val="24"/>
          <w:szCs w:val="24"/>
        </w:rPr>
        <w:t xml:space="preserve">through </w:t>
      </w:r>
      <w:r w:rsidR="00687B2D">
        <w:rPr>
          <w:rFonts w:ascii="Times New Roman" w:hAnsi="Times New Roman" w:cs="Times New Roman"/>
          <w:sz w:val="24"/>
          <w:szCs w:val="24"/>
        </w:rPr>
        <w:t xml:space="preserve">the SRP </w:t>
      </w:r>
      <w:r w:rsidR="00487E1D" w:rsidRPr="00487E1D">
        <w:rPr>
          <w:rFonts w:ascii="Times New Roman" w:hAnsi="Times New Roman" w:cs="Times New Roman"/>
          <w:sz w:val="24"/>
          <w:szCs w:val="24"/>
        </w:rPr>
        <w:t xml:space="preserve">is routed to appropriate </w:t>
      </w:r>
      <w:r w:rsidR="009E0DB8">
        <w:rPr>
          <w:rFonts w:ascii="Times New Roman" w:hAnsi="Times New Roman" w:cs="Times New Roman"/>
          <w:sz w:val="24"/>
          <w:szCs w:val="24"/>
        </w:rPr>
        <w:t xml:space="preserve">FDA components so that we have </w:t>
      </w:r>
      <w:r w:rsidR="00487E1D" w:rsidRPr="00487E1D">
        <w:rPr>
          <w:rFonts w:ascii="Times New Roman" w:hAnsi="Times New Roman" w:cs="Times New Roman"/>
          <w:sz w:val="24"/>
          <w:szCs w:val="24"/>
        </w:rPr>
        <w:t xml:space="preserve">real time access to </w:t>
      </w:r>
      <w:r w:rsidR="00487E1D">
        <w:rPr>
          <w:rFonts w:ascii="Times New Roman" w:hAnsi="Times New Roman" w:cs="Times New Roman"/>
          <w:sz w:val="24"/>
          <w:szCs w:val="24"/>
        </w:rPr>
        <w:t>r</w:t>
      </w:r>
      <w:r w:rsidR="00487E1D" w:rsidRPr="00487E1D">
        <w:rPr>
          <w:rFonts w:ascii="Times New Roman" w:hAnsi="Times New Roman" w:cs="Times New Roman"/>
          <w:sz w:val="24"/>
          <w:szCs w:val="24"/>
        </w:rPr>
        <w:t xml:space="preserve">eports </w:t>
      </w:r>
      <w:r w:rsidR="009E0DB8">
        <w:rPr>
          <w:rFonts w:ascii="Times New Roman" w:hAnsi="Times New Roman" w:cs="Times New Roman"/>
          <w:sz w:val="24"/>
          <w:szCs w:val="24"/>
        </w:rPr>
        <w:t xml:space="preserve">and are able to </w:t>
      </w:r>
      <w:r w:rsidR="00487E1D" w:rsidRPr="00487E1D">
        <w:rPr>
          <w:rFonts w:ascii="Times New Roman" w:hAnsi="Times New Roman" w:cs="Times New Roman"/>
          <w:sz w:val="24"/>
          <w:szCs w:val="24"/>
        </w:rPr>
        <w:t>more rapid</w:t>
      </w:r>
      <w:r w:rsidR="009E0DB8">
        <w:rPr>
          <w:rFonts w:ascii="Times New Roman" w:hAnsi="Times New Roman" w:cs="Times New Roman"/>
          <w:sz w:val="24"/>
          <w:szCs w:val="24"/>
        </w:rPr>
        <w:t>ly analyze</w:t>
      </w:r>
      <w:r w:rsidR="00487E1D" w:rsidRPr="00487E1D">
        <w:rPr>
          <w:rFonts w:ascii="Times New Roman" w:hAnsi="Times New Roman" w:cs="Times New Roman"/>
          <w:sz w:val="24"/>
          <w:szCs w:val="24"/>
        </w:rPr>
        <w:t xml:space="preserve"> safety problems.</w:t>
      </w:r>
    </w:p>
    <w:p w:rsidR="003E71B2" w:rsidRDefault="003E71B2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0DB8" w:rsidRDefault="003E71B2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Below are proposed modifications </w:t>
      </w:r>
      <w:r w:rsidR="009E0DB8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E0DB8">
        <w:rPr>
          <w:rFonts w:ascii="Times New Roman" w:hAnsi="Times New Roman" w:cs="Times New Roman"/>
          <w:sz w:val="24"/>
          <w:szCs w:val="24"/>
        </w:rPr>
        <w:t>rational questionnaire ass</w:t>
      </w:r>
      <w:r>
        <w:rPr>
          <w:rFonts w:ascii="Times New Roman" w:hAnsi="Times New Roman" w:cs="Times New Roman"/>
          <w:sz w:val="24"/>
          <w:szCs w:val="24"/>
        </w:rPr>
        <w:t xml:space="preserve">ociated with tobacco products.  We believe these revisions </w:t>
      </w:r>
      <w:r w:rsidR="00116B6F">
        <w:rPr>
          <w:rFonts w:ascii="Times New Roman" w:hAnsi="Times New Roman" w:cs="Times New Roman"/>
          <w:sz w:val="24"/>
          <w:szCs w:val="24"/>
        </w:rPr>
        <w:t xml:space="preserve">improve the clarity of the information being collected and will allow for corresponding </w:t>
      </w:r>
      <w:r w:rsidR="000F517C">
        <w:rPr>
          <w:rFonts w:ascii="Times New Roman" w:hAnsi="Times New Roman" w:cs="Times New Roman"/>
          <w:sz w:val="24"/>
          <w:szCs w:val="24"/>
        </w:rPr>
        <w:t>technical</w:t>
      </w:r>
      <w:r w:rsidR="00116B6F">
        <w:rPr>
          <w:rFonts w:ascii="Times New Roman" w:hAnsi="Times New Roman" w:cs="Times New Roman"/>
          <w:sz w:val="24"/>
          <w:szCs w:val="24"/>
        </w:rPr>
        <w:t xml:space="preserve"> enhancements that </w:t>
      </w:r>
      <w:r w:rsidR="000F517C">
        <w:rPr>
          <w:rFonts w:ascii="Times New Roman" w:hAnsi="Times New Roman" w:cs="Times New Roman"/>
          <w:sz w:val="24"/>
          <w:szCs w:val="24"/>
        </w:rPr>
        <w:t xml:space="preserve">will facilitate FDA response.  </w:t>
      </w:r>
      <w:r w:rsidR="00116B6F">
        <w:rPr>
          <w:rFonts w:ascii="Times New Roman" w:hAnsi="Times New Roman" w:cs="Times New Roman"/>
          <w:sz w:val="24"/>
          <w:szCs w:val="24"/>
        </w:rPr>
        <w:t>We are also proposing to remove certain questions previously approved</w:t>
      </w:r>
      <w:r w:rsidR="000F517C">
        <w:rPr>
          <w:rFonts w:ascii="Times New Roman" w:hAnsi="Times New Roman" w:cs="Times New Roman"/>
          <w:sz w:val="24"/>
          <w:szCs w:val="24"/>
        </w:rPr>
        <w:t xml:space="preserve"> that our </w:t>
      </w:r>
      <w:r w:rsidR="00B77FA7">
        <w:rPr>
          <w:rFonts w:ascii="Times New Roman" w:hAnsi="Times New Roman" w:cs="Times New Roman"/>
          <w:sz w:val="24"/>
          <w:szCs w:val="24"/>
        </w:rPr>
        <w:t xml:space="preserve">evaluation </w:t>
      </w:r>
      <w:r w:rsidR="000F517C">
        <w:rPr>
          <w:rFonts w:ascii="Times New Roman" w:hAnsi="Times New Roman" w:cs="Times New Roman"/>
          <w:sz w:val="24"/>
          <w:szCs w:val="24"/>
        </w:rPr>
        <w:t xml:space="preserve">suggests </w:t>
      </w:r>
      <w:r w:rsidR="00116B6F">
        <w:rPr>
          <w:rFonts w:ascii="Times New Roman" w:hAnsi="Times New Roman" w:cs="Times New Roman"/>
          <w:sz w:val="24"/>
          <w:szCs w:val="24"/>
        </w:rPr>
        <w:t>do not add to the utility of the information collection</w:t>
      </w:r>
      <w:r w:rsidR="00E612E1">
        <w:rPr>
          <w:rFonts w:ascii="Times New Roman" w:hAnsi="Times New Roman" w:cs="Times New Roman"/>
          <w:sz w:val="24"/>
          <w:szCs w:val="24"/>
        </w:rPr>
        <w:t xml:space="preserve">.  By </w:t>
      </w:r>
      <w:r w:rsidR="000F517C">
        <w:rPr>
          <w:rFonts w:ascii="Times New Roman" w:hAnsi="Times New Roman" w:cs="Times New Roman"/>
          <w:sz w:val="24"/>
          <w:szCs w:val="24"/>
        </w:rPr>
        <w:t xml:space="preserve">removing the questions </w:t>
      </w:r>
      <w:r w:rsidR="00E612E1">
        <w:rPr>
          <w:rFonts w:ascii="Times New Roman" w:hAnsi="Times New Roman" w:cs="Times New Roman"/>
          <w:sz w:val="24"/>
          <w:szCs w:val="24"/>
        </w:rPr>
        <w:t>we hope to further minimize burden on respondents.</w:t>
      </w:r>
    </w:p>
    <w:p w:rsidR="00116B6F" w:rsidRDefault="00116B6F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t xml:space="preserve">1. Change "health-related problem" to "health problem" throughout </w:t>
      </w:r>
    </w:p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t xml:space="preserve">2. </w:t>
      </w:r>
      <w:bookmarkStart w:id="1" w:name="_Hlk526328513"/>
      <w:r w:rsidRPr="00487E1D">
        <w:rPr>
          <w:rFonts w:ascii="Times New Roman" w:hAnsi="Times New Roman" w:cs="Times New Roman"/>
          <w:sz w:val="24"/>
          <w:szCs w:val="24"/>
        </w:rPr>
        <w:t xml:space="preserve">Revise LOV for “Type of Attachment.” One list for all CTP reporters. </w:t>
      </w:r>
    </w:p>
    <w:bookmarkEnd w:id="1"/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t xml:space="preserve">3. Make optional - "Description of Attachment" and its associated free-text box. </w:t>
      </w:r>
    </w:p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t xml:space="preserve">4. Add four new values to “Healthcare Professional Type” and make it required. </w:t>
      </w:r>
    </w:p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t xml:space="preserve">5. Increase character limit on two fields (from 200 to 1000). Fields: “Describe who the problem was reported to” and “Additional notes about this report.” </w:t>
      </w:r>
    </w:p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87E1D">
        <w:rPr>
          <w:rFonts w:ascii="Times New Roman" w:hAnsi="Times New Roman" w:cs="Times New Roman"/>
          <w:sz w:val="24"/>
          <w:szCs w:val="24"/>
        </w:rPr>
        <w:t>Update text on Introduction page to provide clarification for reporters</w:t>
      </w:r>
    </w:p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t>7. Under race – Add value of “other”</w:t>
      </w:r>
    </w:p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t>8. Add a new question about the event location: “In what setting(s) did this problem occur?” (not required)</w:t>
      </w:r>
    </w:p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t xml:space="preserve">9. Change" Birth defect" value to "adverse pregnancy outcome including birth defects." Remove “Emergency room visit without hospital admission. </w:t>
      </w:r>
    </w:p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t xml:space="preserve">10. Treatment Received (select all that apply): Add: “Emergency room visit without hospital admission.” </w:t>
      </w:r>
    </w:p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t xml:space="preserve">11. Ability to deselect selections before saving. </w:t>
      </w:r>
    </w:p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t xml:space="preserve">12. Remove Cancel and Reactivate options from Follow-up reasons. </w:t>
      </w:r>
    </w:p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t xml:space="preserve">13. To help assure that registered reporters receive the SRP confirmation e-mail add the following line to the Report Submission Confirmation Page: Please contact SRPSupport@fda.hhs.gov, if you don’t receive a confirmation email from noreply.safetyreporting@hhs.gov. </w:t>
      </w:r>
    </w:p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t xml:space="preserve">14. "FDA-assigned protocol number" - change from not required to a required field. </w:t>
      </w:r>
    </w:p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lastRenderedPageBreak/>
        <w:t xml:space="preserve">15. Remove “Health problem” language from the following questions: How soon after the tobacco product was last used did the [health-delete] problem occur? And "Did this same or similar [ health-delete] problem happen again after repeat use of the tobacco product?" </w:t>
      </w:r>
    </w:p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t xml:space="preserve">16. Remove: Three questions on how FDA may share reporter identity with manufacturer/distributor, federal / state/local agencies. Retain the “did you report the problem to the manufacturer?” question. </w:t>
      </w:r>
    </w:p>
    <w:p w:rsidR="00487E1D" w:rsidRP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t xml:space="preserve">17. Remove: Do you think this problem was caused by a particular package or unit of this product? (Yes or No) </w:t>
      </w:r>
    </w:p>
    <w:p w:rsidR="00487E1D" w:rsidRDefault="00487E1D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E1D">
        <w:rPr>
          <w:rFonts w:ascii="Times New Roman" w:hAnsi="Times New Roman" w:cs="Times New Roman"/>
          <w:sz w:val="24"/>
          <w:szCs w:val="24"/>
        </w:rPr>
        <w:t>18. Remove: In your opinion, how likely is it that the tobacco product part is related to the problem?</w:t>
      </w:r>
    </w:p>
    <w:p w:rsidR="003F1242" w:rsidRDefault="003F1242" w:rsidP="00487E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E1D" w:rsidRPr="00AA6863" w:rsidRDefault="00487E1D" w:rsidP="00487E1D">
      <w:pPr>
        <w:jc w:val="center"/>
        <w:rPr>
          <w:b/>
          <w:sz w:val="28"/>
        </w:rPr>
      </w:pPr>
      <w:r w:rsidRPr="00AA6863">
        <w:rPr>
          <w:b/>
          <w:sz w:val="28"/>
        </w:rPr>
        <w:t xml:space="preserve">Summary of Changes </w:t>
      </w:r>
      <w:r>
        <w:rPr>
          <w:b/>
          <w:sz w:val="28"/>
        </w:rPr>
        <w:t>to CTP’s Questionnaire in the Safety Reporting Portal (OMB No. 0910-0645)</w:t>
      </w:r>
    </w:p>
    <w:tbl>
      <w:tblPr>
        <w:tblStyle w:val="TableGrid"/>
        <w:tblW w:w="11031" w:type="dxa"/>
        <w:tblInd w:w="-735" w:type="dxa"/>
        <w:tblLayout w:type="fixed"/>
        <w:tblLook w:val="04A0" w:firstRow="1" w:lastRow="0" w:firstColumn="1" w:lastColumn="0" w:noHBand="0" w:noVBand="1"/>
      </w:tblPr>
      <w:tblGrid>
        <w:gridCol w:w="1316"/>
        <w:gridCol w:w="1796"/>
        <w:gridCol w:w="1197"/>
        <w:gridCol w:w="698"/>
        <w:gridCol w:w="3356"/>
        <w:gridCol w:w="1334"/>
        <w:gridCol w:w="1334"/>
      </w:tblGrid>
      <w:tr w:rsidR="00487E1D" w:rsidRPr="009B6BB3" w:rsidTr="00FB316C">
        <w:trPr>
          <w:tblHeader/>
        </w:trPr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E1D" w:rsidRPr="009B6BB3" w:rsidRDefault="00487E1D" w:rsidP="00FB316C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>Item Number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E1D" w:rsidRPr="009B6BB3" w:rsidRDefault="00487E1D" w:rsidP="00FB316C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>Description</w:t>
            </w: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E1D" w:rsidRPr="009B6BB3" w:rsidRDefault="00487E1D" w:rsidP="00FB316C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>Addition</w:t>
            </w:r>
            <w:r>
              <w:rPr>
                <w:rFonts w:ascii="Calibri" w:hAnsi="Calibri"/>
                <w:b/>
              </w:rPr>
              <w:t xml:space="preserve"> or Deletion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E1D" w:rsidRPr="009B6BB3" w:rsidRDefault="00487E1D" w:rsidP="00FB316C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 xml:space="preserve">Edit </w:t>
            </w:r>
          </w:p>
        </w:tc>
        <w:tc>
          <w:tcPr>
            <w:tcW w:w="3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E1D" w:rsidRPr="009B6BB3" w:rsidRDefault="00487E1D" w:rsidP="00FB316C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>Rationale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E1D" w:rsidRPr="009B6BB3" w:rsidRDefault="00487E1D" w:rsidP="00FB316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Example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E1D" w:rsidRPr="009B6BB3" w:rsidRDefault="00487E1D" w:rsidP="00FB316C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 xml:space="preserve">Prior Approval Given by OMB </w:t>
            </w:r>
          </w:p>
        </w:tc>
      </w:tr>
      <w:tr w:rsidR="00487E1D" w:rsidRPr="009B6BB3" w:rsidTr="00FB316C">
        <w:tc>
          <w:tcPr>
            <w:tcW w:w="131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Change wording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335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t>In the questionnaire, the term “health-related problem” occurs a couple times. We are removing the word “related” so it just reads “health problem”. This makes the item more specific to the end user.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516" w:dyaOrig="987" w14:anchorId="6DD81F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9.5pt" o:ole="">
                  <v:imagedata r:id="rId8" o:title=""/>
                </v:shape>
                <o:OLEObject Type="Embed" ProgID="Package" ShapeID="_x0000_i1025" DrawAspect="Icon" ObjectID="_1601445086" r:id="rId9"/>
              </w:objec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487E1D" w:rsidRPr="009B6BB3" w:rsidTr="00FB316C">
        <w:tc>
          <w:tcPr>
            <w:tcW w:w="131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Change a list of values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335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Change the “Type of Attachment” List of values (see attached screenshot”. This provides a more complete set of choices to the end user.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516" w:dyaOrig="987" w14:anchorId="174F9E74">
                <v:shape id="_x0000_i1026" type="#_x0000_t75" style="width:75.75pt;height:49.5pt" o:ole="">
                  <v:imagedata r:id="rId10" o:title=""/>
                </v:shape>
                <o:OLEObject Type="Embed" ProgID="Package" ShapeID="_x0000_i1026" DrawAspect="Icon" ObjectID="_1601445087" r:id="rId11"/>
              </w:objec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487E1D" w:rsidRPr="009B6BB3" w:rsidTr="00FB316C">
        <w:tc>
          <w:tcPr>
            <w:tcW w:w="1316" w:type="dxa"/>
            <w:shd w:val="clear" w:color="auto" w:fill="FFFFFF" w:themeFill="background1"/>
          </w:tcPr>
          <w:p w:rsidR="00487E1D" w:rsidRPr="009B6BB3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Change from required to optional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335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Change “Description of Attachment” field from required to optional. –Less burden on reporter.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516" w:dyaOrig="987" w14:anchorId="647E7984">
                <v:shape id="_x0000_i1027" type="#_x0000_t75" style="width:49.5pt;height:32.25pt" o:ole="">
                  <v:imagedata r:id="rId10" o:title=""/>
                </v:shape>
                <o:OLEObject Type="Embed" ProgID="Package" ShapeID="_x0000_i1027" DrawAspect="Icon" ObjectID="_1601445088" r:id="rId12"/>
              </w:objec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487E1D" w:rsidRPr="009B6BB3" w:rsidTr="00FB316C">
        <w:tc>
          <w:tcPr>
            <w:tcW w:w="1316" w:type="dxa"/>
            <w:shd w:val="clear" w:color="auto" w:fill="FFFFFF" w:themeFill="background1"/>
          </w:tcPr>
          <w:p w:rsidR="00487E1D" w:rsidRPr="009B6BB3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Change a list of values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335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t>Add four new values to “Healthcare Professional Type” to make choices more specific for reporter.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516" w:dyaOrig="987" w14:anchorId="6308B1B1">
                <v:shape id="_x0000_i1028" type="#_x0000_t75" style="width:75.75pt;height:49.5pt" o:ole="">
                  <v:imagedata r:id="rId13" o:title=""/>
                </v:shape>
                <o:OLEObject Type="Embed" ProgID="Package" ShapeID="_x0000_i1028" DrawAspect="Icon" ObjectID="_1601445089" r:id="rId14"/>
              </w:objec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487E1D" w:rsidRPr="009B6BB3" w:rsidTr="00FB316C">
        <w:tc>
          <w:tcPr>
            <w:tcW w:w="1316" w:type="dxa"/>
            <w:shd w:val="clear" w:color="auto" w:fill="FFFFFF" w:themeFill="background1"/>
          </w:tcPr>
          <w:p w:rsidR="00487E1D" w:rsidRPr="009B6BB3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t>Increase character limit on two fields (from 200 to 1000).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335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t>Fields: “Describe who the problem was reported to” and “Additional notes about this report.” This allows report the ability to provide more specific information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487E1D" w:rsidRPr="009B6BB3" w:rsidTr="00FB316C">
        <w:tc>
          <w:tcPr>
            <w:tcW w:w="1316" w:type="dxa"/>
            <w:shd w:val="clear" w:color="auto" w:fill="FFFFFF" w:themeFill="background1"/>
          </w:tcPr>
          <w:p w:rsidR="00487E1D" w:rsidRPr="009B6BB3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t>Update text on Introduction page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Addition</w:t>
            </w: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335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t>Include chart (see screenshot) to provide clarification for reporters.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516" w:dyaOrig="987" w14:anchorId="5F95ACFD">
                <v:shape id="_x0000_i1029" type="#_x0000_t75" style="width:75.75pt;height:49.5pt" o:ole="">
                  <v:imagedata r:id="rId15" o:title=""/>
                </v:shape>
                <o:OLEObject Type="Embed" ProgID="Package" ShapeID="_x0000_i1029" DrawAspect="Icon" ObjectID="_1601445090" r:id="rId16"/>
              </w:objec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Original item approved previously</w:t>
            </w:r>
          </w:p>
        </w:tc>
      </w:tr>
      <w:tr w:rsidR="00487E1D" w:rsidRPr="009B6BB3" w:rsidTr="00FB316C">
        <w:trPr>
          <w:cantSplit/>
        </w:trPr>
        <w:tc>
          <w:tcPr>
            <w:tcW w:w="1316" w:type="dxa"/>
            <w:shd w:val="clear" w:color="auto" w:fill="FFFFFF" w:themeFill="background1"/>
          </w:tcPr>
          <w:p w:rsidR="00487E1D" w:rsidRPr="009B6BB3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7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Update Race values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335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t>Under race – Add value of “other” to allow for better reporting statistics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487E1D" w:rsidRPr="009B6BB3" w:rsidTr="00FB316C">
        <w:tc>
          <w:tcPr>
            <w:tcW w:w="13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7E1D" w:rsidRPr="009B6BB3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New question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Addition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335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t>Add a new question about the event location: “In what setting(s) did this problem occur?” (not required)—this allows CTP to better understand the context of the Adverse Event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</w:tr>
      <w:tr w:rsidR="00487E1D" w:rsidRPr="009B6BB3" w:rsidTr="00FB316C">
        <w:tc>
          <w:tcPr>
            <w:tcW w:w="1316" w:type="dxa"/>
            <w:shd w:val="clear" w:color="auto" w:fill="FFFFFF" w:themeFill="background1"/>
          </w:tcPr>
          <w:p w:rsidR="00487E1D" w:rsidRPr="009B6BB3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Change list of values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335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t>Change "Birth defect" value to "adverse pregnancy outcome including birth defects." Remove “Emergency room visit without hospital admission.” Changes will provide CTP more appropriate data points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516" w:dyaOrig="987" w14:anchorId="0C1A5003">
                <v:shape id="_x0000_i1030" type="#_x0000_t75" style="width:75.75pt;height:49.5pt" o:ole="">
                  <v:imagedata r:id="rId17" o:title=""/>
                </v:shape>
                <o:OLEObject Type="Embed" ProgID="Package" ShapeID="_x0000_i1030" DrawAspect="Icon" ObjectID="_1601445091" r:id="rId18"/>
              </w:objec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487E1D" w:rsidRPr="009B6BB3" w:rsidTr="00FB316C">
        <w:tc>
          <w:tcPr>
            <w:tcW w:w="1316" w:type="dxa"/>
            <w:shd w:val="clear" w:color="auto" w:fill="FFFFFF" w:themeFill="background1"/>
          </w:tcPr>
          <w:p w:rsidR="00487E1D" w:rsidRPr="009B6BB3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Change list of values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335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t>Under Treatment Received (select all that apply): Add: “Emergency room visit without hospital admission.” Changes will provide CTP more appropriate data points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516" w:dyaOrig="987" w14:anchorId="687C3E5B">
                <v:shape id="_x0000_i1031" type="#_x0000_t75" style="width:75.75pt;height:49.5pt" o:ole="">
                  <v:imagedata r:id="rId19" o:title=""/>
                </v:shape>
                <o:OLEObject Type="Embed" ProgID="Package" ShapeID="_x0000_i1031" DrawAspect="Icon" ObjectID="_1601445092" r:id="rId20"/>
              </w:objec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487E1D" w:rsidRPr="009B6BB3" w:rsidTr="00FB316C">
        <w:tc>
          <w:tcPr>
            <w:tcW w:w="1316" w:type="dxa"/>
            <w:shd w:val="clear" w:color="auto" w:fill="FFFFFF" w:themeFill="background1"/>
          </w:tcPr>
          <w:p w:rsidR="00487E1D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EC5AC4" w:rsidRDefault="00487E1D" w:rsidP="00FB316C">
            <w:r>
              <w:t xml:space="preserve">Ability to deselect selections before saving. 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335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Currently, a reporter cannot unselect items once selected. This change allows users the opportunity to make corrections to their report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Default="00487E1D" w:rsidP="00FB316C"/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487E1D" w:rsidRPr="009B6BB3" w:rsidTr="00FB316C">
        <w:tc>
          <w:tcPr>
            <w:tcW w:w="1316" w:type="dxa"/>
            <w:shd w:val="clear" w:color="auto" w:fill="FFFFFF" w:themeFill="background1"/>
          </w:tcPr>
          <w:p w:rsidR="00487E1D" w:rsidRPr="009B6BB3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Change list of values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335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t>Remove Cancel and Reactivate options from report “Follow-up” reasons. These are not appropriate values for reporter selections.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487E1D" w:rsidRPr="009B6BB3" w:rsidTr="00FB316C">
        <w:tc>
          <w:tcPr>
            <w:tcW w:w="1316" w:type="dxa"/>
            <w:shd w:val="clear" w:color="auto" w:fill="FFFFFF" w:themeFill="background1"/>
          </w:tcPr>
          <w:p w:rsidR="00487E1D" w:rsidRPr="009B6BB3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Change message that is sent to reporters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335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t xml:space="preserve">To help assure that registered reporters receive the SRP confirmation e-mail add the following line to the Report Submission Confirmation Page: Please contact </w:t>
            </w:r>
            <w:hyperlink r:id="rId21" w:history="1">
              <w:r>
                <w:rPr>
                  <w:rStyle w:val="Hyperlink"/>
                </w:rPr>
                <w:t>SRPSupport@fda.hhs.gov</w:t>
              </w:r>
            </w:hyperlink>
            <w:r>
              <w:t xml:space="preserve">, if you don’t receive a confirmation email from </w:t>
            </w:r>
            <w:hyperlink r:id="rId22" w:history="1">
              <w:r>
                <w:rPr>
                  <w:rStyle w:val="Hyperlink"/>
                </w:rPr>
                <w:t>noreply.safetyreporting@hhs.gov</w:t>
              </w:r>
            </w:hyperlink>
            <w:r>
              <w:t>.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487E1D" w:rsidRPr="009B6BB3" w:rsidTr="00FB316C">
        <w:tc>
          <w:tcPr>
            <w:tcW w:w="1316" w:type="dxa"/>
            <w:shd w:val="clear" w:color="auto" w:fill="FFFFFF" w:themeFill="background1"/>
          </w:tcPr>
          <w:p w:rsidR="00487E1D" w:rsidRPr="009B6BB3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Change question from optional to required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335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t>"FDA-assigned protocol number" - change from not required to a required field. This value is needed to associate adverse events to FDA research protocols.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487E1D" w:rsidRPr="009B6BB3" w:rsidTr="00FB316C">
        <w:tc>
          <w:tcPr>
            <w:tcW w:w="1316" w:type="dxa"/>
            <w:shd w:val="clear" w:color="auto" w:fill="FFFFFF" w:themeFill="background1"/>
          </w:tcPr>
          <w:p w:rsidR="00487E1D" w:rsidRPr="009B6BB3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Change wording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3356" w:type="dxa"/>
            <w:shd w:val="clear" w:color="auto" w:fill="FFFFFF" w:themeFill="background1"/>
          </w:tcPr>
          <w:p w:rsidR="00487E1D" w:rsidRPr="00EC5AC4" w:rsidRDefault="00487E1D" w:rsidP="00FB316C">
            <w:r>
              <w:t xml:space="preserve">Remove “Health problem” language from the following questions: How soon after the tobacco product was last used did the </w:t>
            </w:r>
            <w:r w:rsidRPr="00EC5AC4">
              <w:rPr>
                <w:strike/>
              </w:rPr>
              <w:t>health</w:t>
            </w:r>
            <w:r>
              <w:t xml:space="preserve"> problem occur? And "Did this same or similar </w:t>
            </w:r>
            <w:r w:rsidRPr="00EC5AC4">
              <w:rPr>
                <w:strike/>
              </w:rPr>
              <w:t>health</w:t>
            </w:r>
            <w:r>
              <w:rPr>
                <w:strike/>
              </w:rPr>
              <w:t>-</w:t>
            </w:r>
            <w:r>
              <w:t xml:space="preserve"> problem happen again after repeat use of the tobacco product?" This is a more appropriate way to present this question.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487E1D" w:rsidRPr="009B6BB3" w:rsidTr="00FB316C">
        <w:tc>
          <w:tcPr>
            <w:tcW w:w="1316" w:type="dxa"/>
            <w:shd w:val="clear" w:color="auto" w:fill="FFFFFF" w:themeFill="background1"/>
          </w:tcPr>
          <w:p w:rsidR="00487E1D" w:rsidRPr="009B6BB3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Remove questions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Deletion</w:t>
            </w: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335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t>Remove: Three questions on how FDA may share reporter identity with manufacturer/distributor, federal / state/local agencies. Retain the “did you report the problem to the manufacturer?” question. Unnecessary data points, decrease burden on reporter.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487E1D" w:rsidRPr="009B6BB3" w:rsidTr="00FB316C">
        <w:tc>
          <w:tcPr>
            <w:tcW w:w="1316" w:type="dxa"/>
            <w:shd w:val="clear" w:color="auto" w:fill="FFFFFF" w:themeFill="background1"/>
          </w:tcPr>
          <w:p w:rsidR="00487E1D" w:rsidRPr="009B6BB3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Remove question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Deletion</w:t>
            </w: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335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t>Remove: Do you think this problem was caused by a particular package or unit of this product? (Yes or No) Unnecessary data points, decrease burden on reporter.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487E1D" w:rsidRPr="009B6BB3" w:rsidTr="00FB316C">
        <w:tc>
          <w:tcPr>
            <w:tcW w:w="1316" w:type="dxa"/>
            <w:shd w:val="clear" w:color="auto" w:fill="FFFFFF" w:themeFill="background1"/>
          </w:tcPr>
          <w:p w:rsidR="00487E1D" w:rsidRPr="009B6BB3" w:rsidRDefault="003F1242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179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Remove question</w:t>
            </w:r>
          </w:p>
        </w:tc>
        <w:tc>
          <w:tcPr>
            <w:tcW w:w="1197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Deletion</w:t>
            </w:r>
          </w:p>
        </w:tc>
        <w:tc>
          <w:tcPr>
            <w:tcW w:w="698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3356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t>Remove: In your opinion, how likely is it that the tobacco product part is related to the problem? Unnecessary data points, decrease burden on reporter.</w:t>
            </w: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</w:p>
        </w:tc>
        <w:tc>
          <w:tcPr>
            <w:tcW w:w="1334" w:type="dxa"/>
            <w:shd w:val="clear" w:color="auto" w:fill="FFFFFF" w:themeFill="background1"/>
          </w:tcPr>
          <w:p w:rsidR="00487E1D" w:rsidRPr="009B6BB3" w:rsidRDefault="00487E1D" w:rsidP="00FB316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</w:tbl>
    <w:p w:rsidR="003E71B2" w:rsidRDefault="003E71B2" w:rsidP="003F12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1B2" w:rsidRDefault="003E71B2" w:rsidP="003F12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Dated:  October 2018</w:t>
      </w:r>
    </w:p>
    <w:sectPr w:rsidR="003E71B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6C7" w:rsidRDefault="003636C7" w:rsidP="00FF632F">
      <w:pPr>
        <w:spacing w:after="0" w:line="240" w:lineRule="auto"/>
      </w:pPr>
      <w:r>
        <w:separator/>
      </w:r>
    </w:p>
  </w:endnote>
  <w:endnote w:type="continuationSeparator" w:id="0">
    <w:p w:rsidR="003636C7" w:rsidRDefault="003636C7" w:rsidP="00FF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2F" w:rsidRDefault="00FF63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2F" w:rsidRDefault="00FF63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2F" w:rsidRDefault="00FF63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6C7" w:rsidRDefault="003636C7" w:rsidP="00FF632F">
      <w:pPr>
        <w:spacing w:after="0" w:line="240" w:lineRule="auto"/>
      </w:pPr>
      <w:r>
        <w:separator/>
      </w:r>
    </w:p>
  </w:footnote>
  <w:footnote w:type="continuationSeparator" w:id="0">
    <w:p w:rsidR="003636C7" w:rsidRDefault="003636C7" w:rsidP="00FF6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2F" w:rsidRDefault="00FF63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2F" w:rsidRDefault="00FF63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2F" w:rsidRDefault="00FF63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E68"/>
    <w:multiLevelType w:val="hybridMultilevel"/>
    <w:tmpl w:val="0282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E7866"/>
    <w:multiLevelType w:val="hybridMultilevel"/>
    <w:tmpl w:val="5588ABB6"/>
    <w:lvl w:ilvl="0" w:tplc="684EDC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28A1"/>
    <w:multiLevelType w:val="hybridMultilevel"/>
    <w:tmpl w:val="CC4280D2"/>
    <w:lvl w:ilvl="0" w:tplc="1930C5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37B2E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646542"/>
    <w:multiLevelType w:val="multilevel"/>
    <w:tmpl w:val="B02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66A694C"/>
    <w:multiLevelType w:val="hybridMultilevel"/>
    <w:tmpl w:val="EF02E76A"/>
    <w:lvl w:ilvl="0" w:tplc="F12A74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32827"/>
    <w:multiLevelType w:val="hybridMultilevel"/>
    <w:tmpl w:val="B6DCCADC"/>
    <w:lvl w:ilvl="0" w:tplc="BDCA9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657793"/>
    <w:multiLevelType w:val="hybridMultilevel"/>
    <w:tmpl w:val="382A1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F0"/>
    <w:rsid w:val="00022397"/>
    <w:rsid w:val="0003121B"/>
    <w:rsid w:val="000365EC"/>
    <w:rsid w:val="00066319"/>
    <w:rsid w:val="0007724D"/>
    <w:rsid w:val="00083518"/>
    <w:rsid w:val="000C7442"/>
    <w:rsid w:val="000E1C09"/>
    <w:rsid w:val="000F517C"/>
    <w:rsid w:val="001135EE"/>
    <w:rsid w:val="00116B6F"/>
    <w:rsid w:val="00175775"/>
    <w:rsid w:val="001C1A76"/>
    <w:rsid w:val="00210AB0"/>
    <w:rsid w:val="00220049"/>
    <w:rsid w:val="00222F62"/>
    <w:rsid w:val="00227527"/>
    <w:rsid w:val="002A03A0"/>
    <w:rsid w:val="003250A8"/>
    <w:rsid w:val="00343682"/>
    <w:rsid w:val="003636C7"/>
    <w:rsid w:val="00385703"/>
    <w:rsid w:val="003E71B2"/>
    <w:rsid w:val="003F1242"/>
    <w:rsid w:val="003F40EC"/>
    <w:rsid w:val="00412BE0"/>
    <w:rsid w:val="00413D53"/>
    <w:rsid w:val="0041516B"/>
    <w:rsid w:val="00434371"/>
    <w:rsid w:val="00441A7D"/>
    <w:rsid w:val="00446108"/>
    <w:rsid w:val="0045256E"/>
    <w:rsid w:val="00455A1D"/>
    <w:rsid w:val="004662EB"/>
    <w:rsid w:val="00487E1D"/>
    <w:rsid w:val="004B1990"/>
    <w:rsid w:val="004B6D40"/>
    <w:rsid w:val="004C2C2A"/>
    <w:rsid w:val="004F7526"/>
    <w:rsid w:val="005056F6"/>
    <w:rsid w:val="00521BDA"/>
    <w:rsid w:val="00560449"/>
    <w:rsid w:val="00583F9E"/>
    <w:rsid w:val="00586312"/>
    <w:rsid w:val="005B477F"/>
    <w:rsid w:val="005B618A"/>
    <w:rsid w:val="005D071F"/>
    <w:rsid w:val="005E7235"/>
    <w:rsid w:val="005F20CA"/>
    <w:rsid w:val="0063252D"/>
    <w:rsid w:val="00651972"/>
    <w:rsid w:val="006604CD"/>
    <w:rsid w:val="006635A3"/>
    <w:rsid w:val="00685474"/>
    <w:rsid w:val="00687B2D"/>
    <w:rsid w:val="006A5EC0"/>
    <w:rsid w:val="006B2ACA"/>
    <w:rsid w:val="006B5E1C"/>
    <w:rsid w:val="006F095E"/>
    <w:rsid w:val="00713EE2"/>
    <w:rsid w:val="00714894"/>
    <w:rsid w:val="0071663B"/>
    <w:rsid w:val="00742270"/>
    <w:rsid w:val="00755542"/>
    <w:rsid w:val="007700FB"/>
    <w:rsid w:val="007853A7"/>
    <w:rsid w:val="00787538"/>
    <w:rsid w:val="007B5296"/>
    <w:rsid w:val="008016DE"/>
    <w:rsid w:val="00835C60"/>
    <w:rsid w:val="00850221"/>
    <w:rsid w:val="00850E39"/>
    <w:rsid w:val="008542DA"/>
    <w:rsid w:val="00877389"/>
    <w:rsid w:val="008953C1"/>
    <w:rsid w:val="008A3B76"/>
    <w:rsid w:val="008C2F9D"/>
    <w:rsid w:val="008D74A9"/>
    <w:rsid w:val="008F046B"/>
    <w:rsid w:val="00955417"/>
    <w:rsid w:val="00961B45"/>
    <w:rsid w:val="00966F1E"/>
    <w:rsid w:val="0097570D"/>
    <w:rsid w:val="0098030F"/>
    <w:rsid w:val="00981178"/>
    <w:rsid w:val="009953C3"/>
    <w:rsid w:val="009D46C6"/>
    <w:rsid w:val="009D7F68"/>
    <w:rsid w:val="009E0DB8"/>
    <w:rsid w:val="009E30F9"/>
    <w:rsid w:val="009F17F8"/>
    <w:rsid w:val="009F74B6"/>
    <w:rsid w:val="00A12301"/>
    <w:rsid w:val="00A54018"/>
    <w:rsid w:val="00A5709B"/>
    <w:rsid w:val="00A57E3D"/>
    <w:rsid w:val="00A67433"/>
    <w:rsid w:val="00A735D8"/>
    <w:rsid w:val="00AC1E25"/>
    <w:rsid w:val="00AC5BAF"/>
    <w:rsid w:val="00B1316D"/>
    <w:rsid w:val="00B312D8"/>
    <w:rsid w:val="00B44FE7"/>
    <w:rsid w:val="00B77FA7"/>
    <w:rsid w:val="00BD435D"/>
    <w:rsid w:val="00BF66F0"/>
    <w:rsid w:val="00C171E0"/>
    <w:rsid w:val="00C343FD"/>
    <w:rsid w:val="00C4552A"/>
    <w:rsid w:val="00C8781D"/>
    <w:rsid w:val="00CC6BE4"/>
    <w:rsid w:val="00CD1606"/>
    <w:rsid w:val="00CE53BB"/>
    <w:rsid w:val="00CF6408"/>
    <w:rsid w:val="00D5026E"/>
    <w:rsid w:val="00D822A0"/>
    <w:rsid w:val="00DC7CB0"/>
    <w:rsid w:val="00E07363"/>
    <w:rsid w:val="00E21AF5"/>
    <w:rsid w:val="00E41E2E"/>
    <w:rsid w:val="00E43FD6"/>
    <w:rsid w:val="00E44568"/>
    <w:rsid w:val="00E53A8B"/>
    <w:rsid w:val="00E558CC"/>
    <w:rsid w:val="00E612E1"/>
    <w:rsid w:val="00EC0BC3"/>
    <w:rsid w:val="00ED352E"/>
    <w:rsid w:val="00EE6563"/>
    <w:rsid w:val="00EF0C06"/>
    <w:rsid w:val="00F06F48"/>
    <w:rsid w:val="00FA3E45"/>
    <w:rsid w:val="00FB017E"/>
    <w:rsid w:val="00FD5FE2"/>
    <w:rsid w:val="00FF4C19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9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31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2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2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2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32F"/>
  </w:style>
  <w:style w:type="paragraph" w:styleId="Footer">
    <w:name w:val="footer"/>
    <w:basedOn w:val="Normal"/>
    <w:link w:val="FooterChar"/>
    <w:uiPriority w:val="99"/>
    <w:unhideWhenUsed/>
    <w:rsid w:val="00FF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32F"/>
  </w:style>
  <w:style w:type="paragraph" w:styleId="NoSpacing">
    <w:name w:val="No Spacing"/>
    <w:uiPriority w:val="1"/>
    <w:qFormat/>
    <w:rsid w:val="00487E1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87E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9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B31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12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2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2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32F"/>
  </w:style>
  <w:style w:type="paragraph" w:styleId="Footer">
    <w:name w:val="footer"/>
    <w:basedOn w:val="Normal"/>
    <w:link w:val="FooterChar"/>
    <w:uiPriority w:val="99"/>
    <w:unhideWhenUsed/>
    <w:rsid w:val="00FF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32F"/>
  </w:style>
  <w:style w:type="paragraph" w:styleId="NoSpacing">
    <w:name w:val="No Spacing"/>
    <w:uiPriority w:val="1"/>
    <w:qFormat/>
    <w:rsid w:val="00487E1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87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oleObject" Target="embeddings/oleObject6.bin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mailto:SRPSupport@fda.hhs.gov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e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hyperlink" Target="mailto:noreply.safetyreporting@hhs.gov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2018-10-19T13:05:00Z</dcterms:created>
  <dcterms:modified xsi:type="dcterms:W3CDTF">2018-10-19T13:05:00Z</dcterms:modified>
</cp:coreProperties>
</file>