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2A957" w14:textId="71E9E2D3" w:rsidR="008D1294" w:rsidRDefault="007003A9" w:rsidP="004D52AC">
      <w:pPr>
        <w:pStyle w:val="Heading1"/>
        <w:jc w:val="center"/>
      </w:pPr>
      <w:bookmarkStart w:id="0" w:name="_GoBack"/>
      <w:bookmarkEnd w:id="0"/>
      <w:r>
        <w:t>S</w:t>
      </w:r>
      <w:r w:rsidR="00EA6C04" w:rsidRPr="000C4969">
        <w:t xml:space="preserve">UPPORTING </w:t>
      </w:r>
      <w:r w:rsidRPr="000C4969">
        <w:t>STATEMENT -</w:t>
      </w:r>
      <w:r w:rsidR="00EA6C04" w:rsidRPr="000C4969">
        <w:t xml:space="preserve"> PART A</w:t>
      </w:r>
    </w:p>
    <w:p w14:paraId="31E75FAC" w14:textId="77777777" w:rsidR="000036C8" w:rsidRDefault="000036C8" w:rsidP="004D52AC">
      <w:pPr>
        <w:pStyle w:val="Heading6"/>
        <w:jc w:val="center"/>
      </w:pPr>
      <w:r w:rsidRPr="00BE02FC">
        <w:t>OMB Control Numbe</w:t>
      </w:r>
      <w:r w:rsidRPr="007003A9">
        <w:t>r 07</w:t>
      </w:r>
      <w:r w:rsidR="00AE0CE3" w:rsidRPr="007003A9">
        <w:t>04-0546</w:t>
      </w:r>
    </w:p>
    <w:p w14:paraId="144E26FF" w14:textId="57587AFB" w:rsidR="000036C8" w:rsidRDefault="00AE0CE3" w:rsidP="004D52AC">
      <w:pPr>
        <w:jc w:val="center"/>
        <w:rPr>
          <w:rStyle w:val="IntenseEmphasis"/>
          <w:b w:val="0"/>
          <w:i w:val="0"/>
        </w:rPr>
      </w:pPr>
      <w:r>
        <w:rPr>
          <w:rStyle w:val="IntenseEmphasis"/>
          <w:b w:val="0"/>
          <w:i w:val="0"/>
        </w:rPr>
        <w:t>“Defense User Registration System (DURS)”</w:t>
      </w:r>
    </w:p>
    <w:p w14:paraId="09513B51" w14:textId="77777777" w:rsidR="004D52AC" w:rsidRDefault="004D52AC" w:rsidP="004D52AC">
      <w:pPr>
        <w:spacing w:after="0" w:line="240" w:lineRule="auto"/>
        <w:rPr>
          <w:rStyle w:val="IntenseEmphasis"/>
          <w:rFonts w:ascii="Courier New" w:hAnsi="Courier New" w:cs="Courier New"/>
        </w:rPr>
      </w:pPr>
    </w:p>
    <w:p w14:paraId="592CF706" w14:textId="246672DD" w:rsidR="004D52AC" w:rsidRPr="00D67C24" w:rsidRDefault="004D52AC" w:rsidP="004D52AC">
      <w:pPr>
        <w:spacing w:after="0" w:line="240" w:lineRule="auto"/>
        <w:rPr>
          <w:rStyle w:val="IntenseEmphasis"/>
          <w:rFonts w:ascii="Courier New" w:hAnsi="Courier New" w:cs="Courier New"/>
          <w:sz w:val="24"/>
          <w:szCs w:val="24"/>
        </w:rPr>
      </w:pPr>
      <w:r w:rsidRPr="00D67C24">
        <w:rPr>
          <w:rStyle w:val="IntenseEmphasis"/>
          <w:rFonts w:ascii="Courier New" w:hAnsi="Courier New" w:cs="Courier New"/>
          <w:sz w:val="24"/>
          <w:szCs w:val="24"/>
        </w:rPr>
        <w:t>SUMMARY OF CHANGES</w:t>
      </w:r>
    </w:p>
    <w:p w14:paraId="23A5D89D" w14:textId="24C48ECD" w:rsidR="004D52AC" w:rsidRPr="004D52AC" w:rsidRDefault="004D52AC" w:rsidP="004D52AC">
      <w:pPr>
        <w:spacing w:after="0" w:line="240" w:lineRule="auto"/>
        <w:rPr>
          <w:rStyle w:val="IntenseEmphasis"/>
          <w:b w:val="0"/>
          <w:i w:val="0"/>
        </w:rPr>
      </w:pPr>
      <w:r w:rsidRPr="004D52AC">
        <w:rPr>
          <w:rStyle w:val="IntenseEmphasis"/>
          <w:b w:val="0"/>
          <w:i w:val="0"/>
        </w:rPr>
        <w:t>There are no maj</w:t>
      </w:r>
      <w:r w:rsidR="00A40540">
        <w:rPr>
          <w:rStyle w:val="IntenseEmphasis"/>
          <w:b w:val="0"/>
          <w:i w:val="0"/>
        </w:rPr>
        <w:t xml:space="preserve">or revisions to the collection process or instrument.  The burden is increasing – see section 15 for details. </w:t>
      </w:r>
    </w:p>
    <w:p w14:paraId="758E4DB1" w14:textId="77777777" w:rsidR="004D52AC" w:rsidRPr="004D52AC" w:rsidRDefault="004D52AC" w:rsidP="004D52AC">
      <w:pPr>
        <w:rPr>
          <w:rStyle w:val="IntenseEmphasis"/>
          <w:b w:val="0"/>
          <w:i w:val="0"/>
        </w:rPr>
      </w:pPr>
    </w:p>
    <w:p w14:paraId="153AD27D" w14:textId="77777777" w:rsidR="000C4969" w:rsidRDefault="000C4969" w:rsidP="00B25C3B">
      <w:pPr>
        <w:pStyle w:val="Heading2"/>
        <w:numPr>
          <w:ilvl w:val="0"/>
          <w:numId w:val="27"/>
        </w:numPr>
      </w:pPr>
      <w:r w:rsidRPr="000C4969">
        <w:t>Need for the Information Collection</w:t>
      </w:r>
    </w:p>
    <w:p w14:paraId="0CA9D4B0" w14:textId="105FF1A3" w:rsidR="000C4969" w:rsidRDefault="00AE0CE3" w:rsidP="00B25C3B">
      <w:r>
        <w:t xml:space="preserve">The Defense Technical Information Center (DTIC) requires all eligible users to be registered for access to DTIC’s repository of access-controlled scientific and technical information documents. This system is called the Defense User Registration System, or DURS. The registration of a user enforces validation of an individual’s identity, as well as that individual’s persona (i.e., whether the individual is Department of Defense (DoD), federal government, or a contractor supporting the DoD or another federal agency) and that </w:t>
      </w:r>
      <w:r w:rsidR="007003A9">
        <w:t>individual’s</w:t>
      </w:r>
      <w:r>
        <w:t xml:space="preserve"> authority to access limited and classified documents with distribution controls. A role-based environment based on a user’s identification ensures security for DTIC’s electronic information collection while the online systems increase availability of information to each user based on his or her mission needs. </w:t>
      </w:r>
    </w:p>
    <w:p w14:paraId="6A511E28" w14:textId="77777777" w:rsidR="00AE0CE3" w:rsidRDefault="00AE0CE3" w:rsidP="00B25C3B">
      <w:r>
        <w:t>The authority to maintain DURS is governed by the following:</w:t>
      </w:r>
    </w:p>
    <w:p w14:paraId="44FEC38A" w14:textId="77777777" w:rsidR="00AE0CE3" w:rsidRDefault="00AE0CE3" w:rsidP="00AE0CE3">
      <w:pPr>
        <w:pStyle w:val="ListParagraph"/>
        <w:numPr>
          <w:ilvl w:val="0"/>
          <w:numId w:val="31"/>
        </w:numPr>
      </w:pPr>
      <w:r>
        <w:t>E.O 13526, “Classified National Security Information”</w:t>
      </w:r>
    </w:p>
    <w:p w14:paraId="7CA06B42" w14:textId="77777777" w:rsidR="00AE0CE3" w:rsidRDefault="00AE0CE3" w:rsidP="00AE0CE3">
      <w:pPr>
        <w:pStyle w:val="ListParagraph"/>
        <w:numPr>
          <w:ilvl w:val="0"/>
          <w:numId w:val="31"/>
        </w:numPr>
      </w:pPr>
      <w:r>
        <w:t>DoD Directive 5105.73, “Defense Technical Information Center (DTIC)”</w:t>
      </w:r>
    </w:p>
    <w:p w14:paraId="313FB2EC" w14:textId="77777777" w:rsidR="00AE0CE3" w:rsidRDefault="00AE0CE3" w:rsidP="00AE0CE3">
      <w:pPr>
        <w:pStyle w:val="ListParagraph"/>
        <w:numPr>
          <w:ilvl w:val="0"/>
          <w:numId w:val="31"/>
        </w:numPr>
      </w:pPr>
      <w:r>
        <w:t>DoD Instruction 3200.12, “DoD Scientific and Technical Information Program (STIP)”</w:t>
      </w:r>
    </w:p>
    <w:p w14:paraId="73BFC998" w14:textId="77777777" w:rsidR="00AE0CE3" w:rsidRDefault="00AE0CE3" w:rsidP="00AE0CE3">
      <w:pPr>
        <w:pStyle w:val="ListParagraph"/>
        <w:numPr>
          <w:ilvl w:val="0"/>
          <w:numId w:val="31"/>
        </w:numPr>
      </w:pPr>
      <w:r>
        <w:t>DoD Manual 3200.14, Volume 1, “Principals and Operational Parameters of the DoD Scientific and Technical Information Program (STIP): General Processes”</w:t>
      </w:r>
    </w:p>
    <w:p w14:paraId="1FA5BF76" w14:textId="77777777" w:rsidR="00AE0CE3" w:rsidRDefault="00AE0CE3" w:rsidP="00AE0CE3">
      <w:pPr>
        <w:pStyle w:val="ListParagraph"/>
        <w:numPr>
          <w:ilvl w:val="0"/>
          <w:numId w:val="31"/>
        </w:numPr>
      </w:pPr>
      <w:r>
        <w:t>DoD Instruction 5230.24, “Distribution Statements on Technical Documents”</w:t>
      </w:r>
    </w:p>
    <w:p w14:paraId="34AED36E" w14:textId="77777777" w:rsidR="00AE0CE3" w:rsidRPr="00316991" w:rsidRDefault="00AE0CE3" w:rsidP="00AE0CE3">
      <w:pPr>
        <w:pStyle w:val="ListParagraph"/>
        <w:numPr>
          <w:ilvl w:val="0"/>
          <w:numId w:val="31"/>
        </w:numPr>
      </w:pPr>
      <w:r>
        <w:t>DoD Directive 5230.25, “Withholding of Unclassified Technical Data from Public Disclosure”</w:t>
      </w:r>
    </w:p>
    <w:p w14:paraId="31F1FA54" w14:textId="77777777" w:rsidR="000C4969" w:rsidRPr="00B25C3B" w:rsidRDefault="000C4969" w:rsidP="00B25C3B">
      <w:pPr>
        <w:pStyle w:val="Heading2"/>
        <w:numPr>
          <w:ilvl w:val="0"/>
          <w:numId w:val="27"/>
        </w:numPr>
      </w:pPr>
      <w:r w:rsidRPr="00B25C3B">
        <w:t>Use of the Information</w:t>
      </w:r>
    </w:p>
    <w:p w14:paraId="2B1D3A6A" w14:textId="64B6D9CE" w:rsidR="00BE07A9" w:rsidRDefault="00AE0CE3" w:rsidP="00B25C3B">
      <w:r>
        <w:t xml:space="preserve">The purpose of DURS is to collect registration requests, validate eligibility, and maintain an official registry that identifies individuals who apply for, and are granted, access privileges to DTIC-owned or –controlled databases, products, services, and electronic information systems on the NIPRNet and SIPRnet. The registration information provides the validation for a user’s access to unclassified, limited, and classified information which has specific distribution markings. In the past, registration was </w:t>
      </w:r>
      <w:r w:rsidR="007003A9">
        <w:t>manual</w:t>
      </w:r>
      <w:r>
        <w:t xml:space="preserve"> process and document delivery of scientific and technical reports to users also involved printed documentation. However, for many years now, registration has been electronic, and the DTIC collection is digitized with authorized users accessing electronic databases and full-text files based on their registration profiles. </w:t>
      </w:r>
    </w:p>
    <w:p w14:paraId="1B56BC71" w14:textId="77777777" w:rsidR="00AC4DE1" w:rsidRPr="00316991" w:rsidRDefault="00AE0CE3" w:rsidP="00B25C3B">
      <w:r>
        <w:t>User records contain: name</w:t>
      </w:r>
      <w:r w:rsidR="00AC4DE1">
        <w:t>;</w:t>
      </w:r>
      <w:r>
        <w:t xml:space="preserve"> DoD identification (ID) number; citizenship; service type; personnel category; civilian pay grade; military rank; organization/company name; office mailing address/physical location; office email address; user ID/password reset questions; office telephone number(s); access </w:t>
      </w:r>
      <w:r>
        <w:lastRenderedPageBreak/>
        <w:t xml:space="preserve">eligibility; dissemination/distribution group codes; and personal and facility security clearance level(s). Records also contain the following government approving official information: </w:t>
      </w:r>
      <w:r w:rsidR="00AC4DE1">
        <w:t>name; office phone number; office email address; dates of registration activation; projected date of registration expiration. Where applicable, records also contain contract number(s), contract expiration date(s), and the Militarily Critical Technical Data Agreement (MCTDA) Certification Number. With this information, DTIC creates a role-based environment that adds a comprehensive level of security for the wealth of various documents available.</w:t>
      </w:r>
    </w:p>
    <w:p w14:paraId="6987FCE9" w14:textId="77777777" w:rsidR="000C4969" w:rsidRDefault="000C4969" w:rsidP="00B25C3B">
      <w:pPr>
        <w:pStyle w:val="Heading2"/>
        <w:numPr>
          <w:ilvl w:val="0"/>
          <w:numId w:val="27"/>
        </w:numPr>
      </w:pPr>
      <w:r>
        <w:t>Use of Information Technology</w:t>
      </w:r>
    </w:p>
    <w:p w14:paraId="20FE69E3" w14:textId="77777777" w:rsidR="000F1313" w:rsidRPr="00316991" w:rsidRDefault="00AC4DE1" w:rsidP="00B25C3B">
      <w:pPr>
        <w:rPr>
          <w:i/>
        </w:rPr>
      </w:pPr>
      <w:r>
        <w:t>DTIC new user registration occurs entirely (100%) electronically. DTIC leverages existing DoD and federal information systems – such as those maintained by the Defense Manpower Data Center (DMDC) and the Office of Personnel Management (OPM) – to collect authoritative information electronically for personnel digital identity. The smaller group of eligible non-DoD and non-federal users, such as support contractors with a business relationship to DTIC, input their information electronically and confirmation of contracts is done by email with the government approving official</w:t>
      </w:r>
    </w:p>
    <w:p w14:paraId="5B30EAE0" w14:textId="77777777" w:rsidR="000C4969" w:rsidRDefault="000C4969" w:rsidP="00B25C3B">
      <w:pPr>
        <w:pStyle w:val="Heading2"/>
        <w:numPr>
          <w:ilvl w:val="0"/>
          <w:numId w:val="27"/>
        </w:numPr>
      </w:pPr>
      <w:r>
        <w:t>Non-Duplication</w:t>
      </w:r>
    </w:p>
    <w:p w14:paraId="7EAF832A" w14:textId="77777777" w:rsidR="00F92887" w:rsidRPr="00316991" w:rsidRDefault="00AC4DE1" w:rsidP="00B25C3B">
      <w:r>
        <w:t>DTIC has agreements in place with DMDC and OPM to utilize only the fields needed from these authoritative DoD and federal personnel collections to ease the burden for registrants and to eliminate collecting duplicative information.</w:t>
      </w:r>
    </w:p>
    <w:p w14:paraId="2E47E2C3" w14:textId="77777777" w:rsidR="00445EA8" w:rsidRDefault="00F92887" w:rsidP="00B25C3B">
      <w:pPr>
        <w:pStyle w:val="Heading2"/>
        <w:numPr>
          <w:ilvl w:val="0"/>
          <w:numId w:val="27"/>
        </w:numPr>
      </w:pPr>
      <w:r w:rsidRPr="00445EA8">
        <w:t>Burden on Small Businesse</w:t>
      </w:r>
      <w:r w:rsidR="00445EA8" w:rsidRPr="00445EA8">
        <w:t>s</w:t>
      </w:r>
    </w:p>
    <w:p w14:paraId="16D31A19" w14:textId="77777777" w:rsidR="00445EA8" w:rsidRPr="00316991" w:rsidRDefault="00445EA8" w:rsidP="00B25C3B">
      <w:r w:rsidRPr="00AC4DE1">
        <w:t>This information collection does not impose a significant economic impact on a substantial number of small businesses or other small entities.</w:t>
      </w:r>
    </w:p>
    <w:p w14:paraId="3B9D00F5" w14:textId="77777777" w:rsidR="00F92887" w:rsidRDefault="00F92887" w:rsidP="00B25C3B">
      <w:pPr>
        <w:pStyle w:val="Heading2"/>
        <w:numPr>
          <w:ilvl w:val="0"/>
          <w:numId w:val="27"/>
        </w:numPr>
      </w:pPr>
      <w:r w:rsidRPr="00445EA8">
        <w:t>Less Frequent Collection</w:t>
      </w:r>
    </w:p>
    <w:p w14:paraId="113A829C" w14:textId="77777777" w:rsidR="00445EA8" w:rsidRPr="00316991" w:rsidRDefault="00AC4DE1" w:rsidP="00B25C3B">
      <w:r>
        <w:t>Failure to collect this user information would prevent the safe and efficient sharing and disseminating of essential scientific and technical information for the DoD and federal research and engineering communities. AS such, the availability of important research to decision-makers would cause major duplication of effort and inflate the cost of future research.</w:t>
      </w:r>
    </w:p>
    <w:p w14:paraId="0CB158B7" w14:textId="77777777" w:rsidR="00F92887" w:rsidRDefault="00F92887" w:rsidP="00B25C3B">
      <w:pPr>
        <w:pStyle w:val="Heading2"/>
        <w:numPr>
          <w:ilvl w:val="0"/>
          <w:numId w:val="27"/>
        </w:numPr>
      </w:pPr>
      <w:r w:rsidRPr="00445EA8">
        <w:t>Paperwork Reduction Act Guidelines</w:t>
      </w:r>
    </w:p>
    <w:p w14:paraId="0AA5273F" w14:textId="77777777" w:rsidR="00445EA8" w:rsidRPr="00316991" w:rsidRDefault="00445EA8" w:rsidP="00B25C3B">
      <w:r w:rsidRPr="00AC4DE1">
        <w:t>This collection of inform</w:t>
      </w:r>
      <w:r w:rsidR="00B25C3B" w:rsidRPr="00AC4DE1">
        <w:t>ation will be conducted in a manner consistent with the guidelines delineated in 5 CFR 1320.5(d)(2).</w:t>
      </w:r>
      <w:r w:rsidR="00B25C3B" w:rsidRPr="00316991">
        <w:t xml:space="preserve"> </w:t>
      </w:r>
    </w:p>
    <w:p w14:paraId="7CDF494A" w14:textId="77777777" w:rsidR="00B25C3B" w:rsidRDefault="00F92887" w:rsidP="00B25C3B">
      <w:pPr>
        <w:pStyle w:val="Heading2"/>
        <w:numPr>
          <w:ilvl w:val="0"/>
          <w:numId w:val="27"/>
        </w:numPr>
      </w:pPr>
      <w:r w:rsidRPr="00445EA8">
        <w:t>Consultation and Public Comments</w:t>
      </w:r>
    </w:p>
    <w:p w14:paraId="1D0B9EEF" w14:textId="77777777" w:rsidR="00B25C3B" w:rsidRDefault="00B25C3B" w:rsidP="00B25C3B">
      <w:pPr>
        <w:pStyle w:val="Heading3"/>
      </w:pPr>
      <w:r>
        <w:t>Part A: Public Notice</w:t>
      </w:r>
    </w:p>
    <w:p w14:paraId="61DD04D3" w14:textId="77777777" w:rsidR="00154FEC" w:rsidRDefault="00154FEC" w:rsidP="00154FEC">
      <w:pPr>
        <w:pStyle w:val="Heading4"/>
      </w:pPr>
      <w:r>
        <w:t>60-Day Federal Register Notice</w:t>
      </w:r>
    </w:p>
    <w:p w14:paraId="770EEFDC" w14:textId="60E3C837" w:rsidR="00B25C3B" w:rsidRPr="00316991" w:rsidRDefault="00B25C3B" w:rsidP="00B25C3B">
      <w:r w:rsidRPr="00316991">
        <w:t xml:space="preserve">A 60-Day Federal Register Notice (FRN) for the collection published on </w:t>
      </w:r>
      <w:r w:rsidR="00747C42">
        <w:t>Friday, August 17, 2018</w:t>
      </w:r>
      <w:r w:rsidRPr="00316991">
        <w:t xml:space="preserve">. The 60-Day FRN citation </w:t>
      </w:r>
      <w:r w:rsidR="00747C42">
        <w:t>is 83</w:t>
      </w:r>
      <w:r w:rsidRPr="00316991">
        <w:t xml:space="preserve"> FRN </w:t>
      </w:r>
      <w:r w:rsidR="00747C42">
        <w:t>41068.</w:t>
      </w:r>
    </w:p>
    <w:p w14:paraId="1F87DEF6" w14:textId="267D6D69" w:rsidR="00154FEC" w:rsidRPr="00316991" w:rsidRDefault="00747C42" w:rsidP="00B25C3B">
      <w:r w:rsidRPr="00316991" w:rsidDel="00747C42">
        <w:t xml:space="preserve"> </w:t>
      </w:r>
      <w:r w:rsidR="00154FEC" w:rsidRPr="00747C42">
        <w:t xml:space="preserve">During the 60-Day FRN comment period, our agency received </w:t>
      </w:r>
      <w:r w:rsidRPr="00747C42">
        <w:t xml:space="preserve">1 </w:t>
      </w:r>
      <w:r w:rsidR="00154FEC" w:rsidRPr="00747C42">
        <w:t>comments which were determined to be irrelevant to this collection of information.</w:t>
      </w:r>
    </w:p>
    <w:p w14:paraId="0BF65910" w14:textId="77777777" w:rsidR="00154FEC" w:rsidRDefault="00154FEC" w:rsidP="00154FEC">
      <w:pPr>
        <w:pStyle w:val="Heading4"/>
      </w:pPr>
      <w:r>
        <w:t>30-Day Federal Register Notice</w:t>
      </w:r>
    </w:p>
    <w:p w14:paraId="04C380A6" w14:textId="528D4DA7" w:rsidR="00154FEC" w:rsidRPr="00316991" w:rsidRDefault="00154FEC" w:rsidP="00154FEC">
      <w:r w:rsidRPr="00316991">
        <w:t xml:space="preserve">A 30-Day Federal Register Notice for the collection published on </w:t>
      </w:r>
      <w:r w:rsidR="000A1746">
        <w:t xml:space="preserve">Wednesday, October 24, 2018. </w:t>
      </w:r>
      <w:r w:rsidRPr="00316991">
        <w:t xml:space="preserve">The 30-Day FRN citation is </w:t>
      </w:r>
      <w:r w:rsidR="000A1746">
        <w:t>83</w:t>
      </w:r>
      <w:r w:rsidRPr="00316991">
        <w:t xml:space="preserve"> FRN </w:t>
      </w:r>
      <w:r w:rsidR="000A1746">
        <w:t>53611.</w:t>
      </w:r>
    </w:p>
    <w:p w14:paraId="5B2B1EDE" w14:textId="77777777" w:rsidR="00154FEC" w:rsidRDefault="00154FEC" w:rsidP="00154FEC">
      <w:pPr>
        <w:pStyle w:val="Heading3"/>
      </w:pPr>
      <w:r>
        <w:t>Part B: Consultation</w:t>
      </w:r>
    </w:p>
    <w:p w14:paraId="204C1E31" w14:textId="77777777" w:rsidR="00154FEC" w:rsidRPr="00316991" w:rsidRDefault="004D1138" w:rsidP="00154FEC">
      <w:r>
        <w:t>The User Council, made up of elected members from the user community, provides feedback on procedures. In addition, there is an electronic feedback capabilities for users to make comments or suggestions directly to DTIC regarding the registration system.</w:t>
      </w:r>
    </w:p>
    <w:p w14:paraId="232EF4BA" w14:textId="77777777" w:rsidR="00F92887" w:rsidRDefault="00F92887" w:rsidP="00DB371F">
      <w:pPr>
        <w:pStyle w:val="Heading2"/>
        <w:numPr>
          <w:ilvl w:val="0"/>
          <w:numId w:val="27"/>
        </w:numPr>
      </w:pPr>
      <w:r w:rsidRPr="00DB371F">
        <w:t>Gifts or Payments</w:t>
      </w:r>
    </w:p>
    <w:p w14:paraId="5B6F3C84" w14:textId="20169F81" w:rsidR="00DB371F" w:rsidRDefault="00DB371F" w:rsidP="00DB371F">
      <w:r w:rsidRPr="004D1138">
        <w:t>No payments or gifts are being offered to respondents as an incentive to participate in the collection.</w:t>
      </w:r>
    </w:p>
    <w:p w14:paraId="1EF1ED95" w14:textId="77777777" w:rsidR="00A40540" w:rsidRPr="00316991" w:rsidRDefault="00A40540" w:rsidP="00DB371F"/>
    <w:p w14:paraId="55716F97" w14:textId="77777777" w:rsidR="00F92887" w:rsidRDefault="00F92887" w:rsidP="00DB371F">
      <w:pPr>
        <w:pStyle w:val="Heading2"/>
        <w:numPr>
          <w:ilvl w:val="0"/>
          <w:numId w:val="27"/>
        </w:numPr>
      </w:pPr>
      <w:r w:rsidRPr="00445EA8">
        <w:t>Confidentiality</w:t>
      </w:r>
    </w:p>
    <w:p w14:paraId="5F94A03E" w14:textId="5A89AB0B" w:rsidR="00EA4719" w:rsidRDefault="00A43B4B" w:rsidP="00A40540">
      <w:pPr>
        <w:pStyle w:val="Heading4"/>
        <w:rPr>
          <w:i/>
          <w:caps w:val="0"/>
        </w:rPr>
      </w:pPr>
      <w:r>
        <w:t>Privacy Act Statement (PAS)</w:t>
      </w:r>
      <w:r w:rsidR="00A40540">
        <w:t xml:space="preserve">.  </w:t>
      </w:r>
      <w:r w:rsidR="00DB371F" w:rsidRPr="00747C42">
        <w:t>A</w:t>
      </w:r>
      <w:r w:rsidR="00A40540">
        <w:rPr>
          <w:caps w:val="0"/>
        </w:rPr>
        <w:t xml:space="preserve"> PAS</w:t>
      </w:r>
      <w:r w:rsidR="00A40540" w:rsidRPr="00747C42">
        <w:rPr>
          <w:caps w:val="0"/>
        </w:rPr>
        <w:t xml:space="preserve"> is </w:t>
      </w:r>
      <w:r w:rsidR="00A40540">
        <w:rPr>
          <w:caps w:val="0"/>
        </w:rPr>
        <w:t>provided to all respondents on the login screen to DTIC.</w:t>
      </w:r>
      <w:r w:rsidR="00A40540">
        <w:t xml:space="preserve">  </w:t>
      </w:r>
      <w:r w:rsidR="00A40540" w:rsidRPr="00A40540">
        <w:rPr>
          <w:i/>
          <w:caps w:val="0"/>
        </w:rPr>
        <w:t>Note: the current link to the SORN in the PAS is broken, however it is being fixed.</w:t>
      </w:r>
      <w:r w:rsidR="00A40540" w:rsidRPr="00A40540">
        <w:rPr>
          <w:i/>
        </w:rPr>
        <w:t xml:space="preserve">  T</w:t>
      </w:r>
      <w:r w:rsidR="00A40540" w:rsidRPr="00A40540">
        <w:rPr>
          <w:i/>
          <w:caps w:val="0"/>
        </w:rPr>
        <w:t>he link below will take you to the accurate SORN.</w:t>
      </w:r>
    </w:p>
    <w:p w14:paraId="6E73A367" w14:textId="77777777" w:rsidR="00A40540" w:rsidRPr="00A40540" w:rsidRDefault="00A40540" w:rsidP="00A40540"/>
    <w:p w14:paraId="70A37D81" w14:textId="77777777" w:rsidR="00A43B4B" w:rsidRPr="006858C2" w:rsidRDefault="00A43B4B" w:rsidP="00A43B4B">
      <w:pPr>
        <w:pStyle w:val="Heading4"/>
      </w:pPr>
      <w:r w:rsidRPr="006858C2">
        <w:t>System of Records Notice (SORN)</w:t>
      </w:r>
    </w:p>
    <w:p w14:paraId="4B12AF28" w14:textId="0E1A8206" w:rsidR="00DB371F" w:rsidRDefault="00DB371F" w:rsidP="00DB371F">
      <w:r w:rsidRPr="00747C42">
        <w:t>A copy of the SORN for this collection (SORN</w:t>
      </w:r>
      <w:r w:rsidRPr="006858C2">
        <w:t xml:space="preserve"> </w:t>
      </w:r>
      <w:r w:rsidR="00B53BFA" w:rsidRPr="006858C2">
        <w:t>DTIC 01</w:t>
      </w:r>
      <w:r w:rsidRPr="00747C42">
        <w:t>, “</w:t>
      </w:r>
      <w:r w:rsidR="00B53BFA" w:rsidRPr="006858C2">
        <w:t>‘Defense User Registration System (DURS) Records</w:t>
      </w:r>
      <w:r w:rsidRPr="00747C42">
        <w:t xml:space="preserve">”) </w:t>
      </w:r>
      <w:r w:rsidR="007418FA">
        <w:t>may be found at the link below</w:t>
      </w:r>
      <w:r w:rsidRPr="00747C42">
        <w:t>.</w:t>
      </w:r>
      <w:r w:rsidRPr="006858C2">
        <w:t xml:space="preserve"> </w:t>
      </w:r>
    </w:p>
    <w:p w14:paraId="684F772C" w14:textId="38C72100" w:rsidR="007418FA" w:rsidRPr="00A40540" w:rsidRDefault="00A40540" w:rsidP="007418FA">
      <w:pPr>
        <w:pStyle w:val="PlainText"/>
        <w:rPr>
          <w:rStyle w:val="Hyperlink"/>
        </w:rPr>
      </w:pPr>
      <w:r>
        <w:fldChar w:fldCharType="begin"/>
      </w:r>
      <w:r>
        <w:instrText xml:space="preserve"> HYPERLINK "http://www.esd.whs.mil/Directives/collections/" </w:instrText>
      </w:r>
      <w:r>
        <w:fldChar w:fldCharType="separate"/>
      </w:r>
      <w:r w:rsidR="007418FA" w:rsidRPr="00A40540">
        <w:rPr>
          <w:rStyle w:val="Hyperlink"/>
        </w:rPr>
        <w:t>https://dpcld.defense.gov/Portals/49/Documents/Privacy/SORNs/OSDJS/DTIC%2001</w:t>
      </w:r>
    </w:p>
    <w:p w14:paraId="4B9BCAB8" w14:textId="4DEC0BEF" w:rsidR="007418FA" w:rsidRDefault="007418FA" w:rsidP="007418FA">
      <w:pPr>
        <w:pStyle w:val="PlainText"/>
      </w:pPr>
      <w:r w:rsidRPr="00A40540">
        <w:rPr>
          <w:rStyle w:val="Hyperlink"/>
        </w:rPr>
        <w:t>.pdf?ver=2017-02-22-101642-020</w:t>
      </w:r>
      <w:r w:rsidR="00A40540">
        <w:fldChar w:fldCharType="end"/>
      </w:r>
    </w:p>
    <w:p w14:paraId="1444390A" w14:textId="77777777" w:rsidR="007418FA" w:rsidRPr="006858C2" w:rsidRDefault="007418FA" w:rsidP="00DB371F"/>
    <w:p w14:paraId="26D65D96" w14:textId="77777777" w:rsidR="00A43B4B" w:rsidRPr="006858C2" w:rsidRDefault="00A43B4B" w:rsidP="00A43B4B">
      <w:pPr>
        <w:pStyle w:val="Heading4"/>
      </w:pPr>
      <w:r w:rsidRPr="006858C2">
        <w:t>Privacy Impact Assessment (PIA)</w:t>
      </w:r>
    </w:p>
    <w:p w14:paraId="08D104FC" w14:textId="64235B23" w:rsidR="00A43B4B" w:rsidRDefault="00761F3E" w:rsidP="00DB371F">
      <w:r>
        <w:t xml:space="preserve">A </w:t>
      </w:r>
      <w:r w:rsidR="00A43B4B" w:rsidRPr="00747C42">
        <w:t>copy of the Privacy Impact Assessment (PIA) for this collection, “</w:t>
      </w:r>
      <w:r w:rsidR="005258EC" w:rsidRPr="006858C2">
        <w:t>Defense User Registration System (DURS) Records</w:t>
      </w:r>
      <w:r w:rsidR="00A43B4B" w:rsidRPr="00747C42">
        <w:t>,” has been provided with this package for OMB’s review</w:t>
      </w:r>
      <w:r w:rsidR="00A40540">
        <w:t xml:space="preserve"> (under supporting documentation)</w:t>
      </w:r>
      <w:r w:rsidR="00A43B4B" w:rsidRPr="00747C42">
        <w:t>.</w:t>
      </w:r>
      <w:r w:rsidR="00A43B4B" w:rsidRPr="006858C2">
        <w:t xml:space="preserve"> </w:t>
      </w:r>
    </w:p>
    <w:p w14:paraId="4E3790BB" w14:textId="77777777" w:rsidR="00A40540" w:rsidRPr="006858C2" w:rsidRDefault="00A40540" w:rsidP="00DB371F"/>
    <w:p w14:paraId="55B8E195" w14:textId="77777777" w:rsidR="00A43B4B" w:rsidRPr="006858C2" w:rsidRDefault="00A43B4B" w:rsidP="00A43B4B">
      <w:pPr>
        <w:pStyle w:val="Heading4"/>
      </w:pPr>
      <w:r w:rsidRPr="006858C2">
        <w:t>Records Retention and Disposition Schedule</w:t>
      </w:r>
    </w:p>
    <w:p w14:paraId="30B2E726" w14:textId="23B3397F" w:rsidR="00A43B4B" w:rsidRDefault="006858C2" w:rsidP="00A40540">
      <w:r>
        <w:t>The retention and disposition schedule for this collection is as follows:</w:t>
      </w:r>
      <w:r w:rsidR="00A40540">
        <w:t xml:space="preserve"> </w:t>
      </w:r>
      <w:r w:rsidR="00663484" w:rsidRPr="00747C42">
        <w:t>GRS 3.2 item 030 Item 3 Disposition Authority DAA-GRS-2013-0006-0003</w:t>
      </w:r>
      <w:r w:rsidR="00A43B4B" w:rsidRPr="00747C42">
        <w:t xml:space="preserve">. </w:t>
      </w:r>
      <w:r w:rsidR="005258EC" w:rsidRPr="00747C42">
        <w:t>Electronic records are to be deleted when DTIC determines they are no longer needed for administrative, audit, legal, or operational purposes</w:t>
      </w:r>
      <w:r w:rsidR="00663484" w:rsidRPr="00747C42">
        <w:t>.</w:t>
      </w:r>
    </w:p>
    <w:p w14:paraId="2DB17FF9" w14:textId="77777777" w:rsidR="00A40540" w:rsidRPr="006858C2" w:rsidRDefault="00A40540" w:rsidP="00A40540"/>
    <w:p w14:paraId="5A5A645C" w14:textId="77777777" w:rsidR="00F92887" w:rsidRDefault="00F92887" w:rsidP="00A43B4B">
      <w:pPr>
        <w:pStyle w:val="Heading2"/>
        <w:numPr>
          <w:ilvl w:val="0"/>
          <w:numId w:val="27"/>
        </w:numPr>
      </w:pPr>
      <w:r w:rsidRPr="00445EA8">
        <w:t>Sensitive Questions</w:t>
      </w:r>
    </w:p>
    <w:p w14:paraId="58C9092B" w14:textId="0D874E33" w:rsidR="00A43B4B" w:rsidRDefault="00A43B4B" w:rsidP="00B25C3B">
      <w:r w:rsidRPr="004D1138">
        <w:t>This collection of information includes no questions considered sensitive.</w:t>
      </w:r>
      <w:r w:rsidRPr="00316991">
        <w:t xml:space="preserve"> </w:t>
      </w:r>
    </w:p>
    <w:p w14:paraId="1ACFACBB" w14:textId="2C22503C" w:rsidR="00A40540" w:rsidRDefault="00A40540" w:rsidP="00B25C3B"/>
    <w:p w14:paraId="3B6CE085" w14:textId="5AEE162C" w:rsidR="00A40540" w:rsidRDefault="00A40540" w:rsidP="00B25C3B"/>
    <w:p w14:paraId="7AD5773D" w14:textId="6A4C5685" w:rsidR="00A40540" w:rsidRDefault="00A40540" w:rsidP="00B25C3B"/>
    <w:p w14:paraId="0DA013CC" w14:textId="512426AA" w:rsidR="00A40540" w:rsidRDefault="00A40540" w:rsidP="00B25C3B"/>
    <w:p w14:paraId="72EC3261" w14:textId="77777777" w:rsidR="00A40540" w:rsidRPr="00316991" w:rsidRDefault="00A40540" w:rsidP="00B25C3B"/>
    <w:p w14:paraId="3371981B" w14:textId="77777777" w:rsidR="00F92887" w:rsidRDefault="00F92887" w:rsidP="00C77226">
      <w:pPr>
        <w:pStyle w:val="Heading2"/>
        <w:numPr>
          <w:ilvl w:val="0"/>
          <w:numId w:val="27"/>
        </w:numPr>
      </w:pPr>
      <w:r w:rsidRPr="00445EA8">
        <w:t>Respondent Burden and Labor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D87EE4" w14:paraId="66BA6600" w14:textId="77777777" w:rsidTr="00DF0CCA">
        <w:tc>
          <w:tcPr>
            <w:tcW w:w="9350" w:type="dxa"/>
          </w:tcPr>
          <w:p w14:paraId="27E50359" w14:textId="23463F91" w:rsidR="00D87EE4" w:rsidRPr="00316991" w:rsidRDefault="0060167F" w:rsidP="00316991">
            <w:pPr>
              <w:rPr>
                <w:rStyle w:val="IntenseEmphasis"/>
              </w:rPr>
            </w:pPr>
            <w:r>
              <w:rPr>
                <w:rStyle w:val="IntenseEmphasis"/>
              </w:rPr>
              <w:t xml:space="preserve">DURS </w:t>
            </w:r>
          </w:p>
          <w:p w14:paraId="17BE485F" w14:textId="77777777" w:rsidR="00D87EE4" w:rsidRDefault="00D87EE4" w:rsidP="00D87EE4">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D87EE4" w14:paraId="55B00E37" w14:textId="77777777" w:rsidTr="00316991">
              <w:trPr>
                <w:trHeight w:val="308"/>
              </w:trPr>
              <w:tc>
                <w:tcPr>
                  <w:tcW w:w="2907" w:type="dxa"/>
                  <w:shd w:val="clear" w:color="auto" w:fill="F2F2F2" w:themeFill="background1" w:themeFillShade="F2"/>
                </w:tcPr>
                <w:p w14:paraId="79EB3295" w14:textId="77777777" w:rsidR="00D87EE4" w:rsidRPr="00304E76" w:rsidRDefault="00D87EE4" w:rsidP="00316991">
                  <w:r w:rsidRPr="00304E76">
                    <w:t># Respondents</w:t>
                  </w:r>
                </w:p>
              </w:tc>
              <w:tc>
                <w:tcPr>
                  <w:tcW w:w="2107" w:type="dxa"/>
                  <w:tcBorders>
                    <w:right w:val="single" w:sz="4" w:space="0" w:color="auto"/>
                  </w:tcBorders>
                </w:tcPr>
                <w:p w14:paraId="4F0088AC" w14:textId="481B9FDB" w:rsidR="00D87EE4" w:rsidRPr="0060167F" w:rsidRDefault="00CC7481" w:rsidP="00D87EE4">
                  <w:r>
                    <w:t>6625</w:t>
                  </w:r>
                </w:p>
              </w:tc>
              <w:tc>
                <w:tcPr>
                  <w:tcW w:w="4007" w:type="dxa"/>
                  <w:vMerge w:val="restart"/>
                  <w:tcBorders>
                    <w:top w:val="nil"/>
                    <w:left w:val="single" w:sz="4" w:space="0" w:color="auto"/>
                    <w:right w:val="nil"/>
                  </w:tcBorders>
                </w:tcPr>
                <w:p w14:paraId="628802C7" w14:textId="77777777" w:rsidR="00D87EE4" w:rsidRDefault="00D87EE4" w:rsidP="00D87EE4">
                  <w:pPr>
                    <w:rPr>
                      <w:i/>
                      <w:sz w:val="18"/>
                    </w:rPr>
                  </w:pPr>
                </w:p>
                <w:p w14:paraId="16DF7366" w14:textId="77777777" w:rsidR="00D87EE4" w:rsidRPr="00304E76" w:rsidRDefault="00D87EE4" w:rsidP="00D87EE4">
                  <w:pPr>
                    <w:jc w:val="right"/>
                    <w:rPr>
                      <w:i/>
                      <w:sz w:val="15"/>
                      <w:szCs w:val="15"/>
                    </w:rPr>
                  </w:pPr>
                  <w:r w:rsidRPr="00304E76">
                    <w:rPr>
                      <w:i/>
                      <w:sz w:val="15"/>
                      <w:szCs w:val="15"/>
                    </w:rPr>
                    <w:t>Tot</w:t>
                  </w:r>
                  <w:r w:rsidR="00304E76">
                    <w:rPr>
                      <w:i/>
                      <w:sz w:val="15"/>
                      <w:szCs w:val="15"/>
                    </w:rPr>
                    <w:t>al # Responses =</w:t>
                  </w:r>
                </w:p>
                <w:p w14:paraId="155AC123" w14:textId="77777777" w:rsidR="00D87EE4" w:rsidRPr="00D87EE4" w:rsidRDefault="00D87EE4" w:rsidP="00D87EE4">
                  <w:pPr>
                    <w:jc w:val="right"/>
                    <w:rPr>
                      <w:i/>
                      <w:highlight w:val="yellow"/>
                    </w:rPr>
                  </w:pPr>
                  <w:r w:rsidRPr="00304E76">
                    <w:rPr>
                      <w:i/>
                      <w:sz w:val="15"/>
                      <w:szCs w:val="15"/>
                    </w:rPr>
                    <w:t>(# Respondents) X (# Responses per Respondent)</w:t>
                  </w:r>
                </w:p>
              </w:tc>
            </w:tr>
            <w:tr w:rsidR="00D87EE4" w:rsidRPr="00962EF6" w14:paraId="2BA27CE8" w14:textId="77777777" w:rsidTr="00316991">
              <w:trPr>
                <w:trHeight w:val="308"/>
              </w:trPr>
              <w:tc>
                <w:tcPr>
                  <w:tcW w:w="2907" w:type="dxa"/>
                  <w:shd w:val="clear" w:color="auto" w:fill="F2F2F2" w:themeFill="background1" w:themeFillShade="F2"/>
                </w:tcPr>
                <w:p w14:paraId="5E1E3E27" w14:textId="77777777" w:rsidR="00D87EE4" w:rsidRPr="00304E76" w:rsidRDefault="00D87EE4" w:rsidP="00316991">
                  <w:r w:rsidRPr="00304E76">
                    <w:t># Responses per Respondent</w:t>
                  </w:r>
                </w:p>
              </w:tc>
              <w:tc>
                <w:tcPr>
                  <w:tcW w:w="2107" w:type="dxa"/>
                  <w:tcBorders>
                    <w:right w:val="single" w:sz="4" w:space="0" w:color="auto"/>
                  </w:tcBorders>
                  <w:shd w:val="clear" w:color="auto" w:fill="FFFFFF" w:themeFill="background1"/>
                </w:tcPr>
                <w:p w14:paraId="494346C5" w14:textId="59017364" w:rsidR="00D87EE4" w:rsidRPr="0060167F" w:rsidRDefault="0060167F" w:rsidP="00D87EE4">
                  <w:r w:rsidRPr="0060167F">
                    <w:t>1</w:t>
                  </w:r>
                </w:p>
              </w:tc>
              <w:tc>
                <w:tcPr>
                  <w:tcW w:w="4007" w:type="dxa"/>
                  <w:vMerge/>
                  <w:tcBorders>
                    <w:left w:val="single" w:sz="4" w:space="0" w:color="auto"/>
                    <w:right w:val="nil"/>
                  </w:tcBorders>
                  <w:shd w:val="clear" w:color="auto" w:fill="FFFFFF" w:themeFill="background1"/>
                </w:tcPr>
                <w:p w14:paraId="34FEBCEC" w14:textId="77777777" w:rsidR="00D87EE4" w:rsidRPr="00D87EE4" w:rsidRDefault="00D87EE4" w:rsidP="00D87EE4">
                  <w:pPr>
                    <w:rPr>
                      <w:highlight w:val="yellow"/>
                    </w:rPr>
                  </w:pPr>
                </w:p>
              </w:tc>
            </w:tr>
            <w:tr w:rsidR="00D87EE4" w14:paraId="58E6FEDE" w14:textId="77777777" w:rsidTr="00316991">
              <w:trPr>
                <w:trHeight w:val="308"/>
              </w:trPr>
              <w:tc>
                <w:tcPr>
                  <w:tcW w:w="2907" w:type="dxa"/>
                  <w:shd w:val="clear" w:color="auto" w:fill="D9D9D9" w:themeFill="background1" w:themeFillShade="D9"/>
                </w:tcPr>
                <w:p w14:paraId="139E9B96" w14:textId="77777777" w:rsidR="00D87EE4" w:rsidRPr="00304E76" w:rsidRDefault="00D87EE4" w:rsidP="00316991">
                  <w:pPr>
                    <w:rPr>
                      <w:b/>
                    </w:rPr>
                  </w:pPr>
                  <w:r w:rsidRPr="00304E76">
                    <w:rPr>
                      <w:b/>
                    </w:rPr>
                    <w:t>Total # Responses</w:t>
                  </w:r>
                </w:p>
              </w:tc>
              <w:tc>
                <w:tcPr>
                  <w:tcW w:w="2107" w:type="dxa"/>
                  <w:tcBorders>
                    <w:right w:val="single" w:sz="4" w:space="0" w:color="auto"/>
                  </w:tcBorders>
                </w:tcPr>
                <w:p w14:paraId="46C39206" w14:textId="66D08313" w:rsidR="00D87EE4" w:rsidRPr="0060167F" w:rsidRDefault="00CC7481" w:rsidP="00D87EE4">
                  <w:pPr>
                    <w:rPr>
                      <w:b/>
                    </w:rPr>
                  </w:pPr>
                  <w:r>
                    <w:rPr>
                      <w:b/>
                    </w:rPr>
                    <w:t>6625</w:t>
                  </w:r>
                </w:p>
              </w:tc>
              <w:tc>
                <w:tcPr>
                  <w:tcW w:w="4007" w:type="dxa"/>
                  <w:vMerge/>
                  <w:tcBorders>
                    <w:left w:val="single" w:sz="4" w:space="0" w:color="auto"/>
                    <w:bottom w:val="nil"/>
                    <w:right w:val="nil"/>
                  </w:tcBorders>
                </w:tcPr>
                <w:p w14:paraId="57C5C36D" w14:textId="77777777" w:rsidR="00D87EE4" w:rsidRPr="00D87EE4" w:rsidRDefault="00D87EE4" w:rsidP="00D87EE4">
                  <w:pPr>
                    <w:rPr>
                      <w:b/>
                      <w:i/>
                      <w:highlight w:val="yellow"/>
                    </w:rPr>
                  </w:pPr>
                </w:p>
              </w:tc>
            </w:tr>
          </w:tbl>
          <w:p w14:paraId="30CC756C" w14:textId="77777777" w:rsidR="00D87EE4" w:rsidRDefault="00D87EE4" w:rsidP="00D87EE4">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D87EE4" w14:paraId="13BEC525" w14:textId="77777777" w:rsidTr="00316991">
              <w:tc>
                <w:tcPr>
                  <w:tcW w:w="2942" w:type="dxa"/>
                  <w:shd w:val="clear" w:color="auto" w:fill="F2F2F2" w:themeFill="background1" w:themeFillShade="F2"/>
                </w:tcPr>
                <w:p w14:paraId="2EC183DB" w14:textId="77777777" w:rsidR="00D87EE4" w:rsidRPr="00316991" w:rsidRDefault="00D87EE4" w:rsidP="00316991">
                  <w:r w:rsidRPr="00316991">
                    <w:t>Time per Response (Hours)</w:t>
                  </w:r>
                </w:p>
              </w:tc>
              <w:tc>
                <w:tcPr>
                  <w:tcW w:w="2070" w:type="dxa"/>
                  <w:tcBorders>
                    <w:right w:val="single" w:sz="4" w:space="0" w:color="auto"/>
                  </w:tcBorders>
                </w:tcPr>
                <w:p w14:paraId="50EC374F" w14:textId="60929076" w:rsidR="00D87EE4" w:rsidRPr="0060167F" w:rsidRDefault="0060167F" w:rsidP="00D87EE4">
                  <w:r>
                    <w:t>.2</w:t>
                  </w:r>
                </w:p>
              </w:tc>
              <w:tc>
                <w:tcPr>
                  <w:tcW w:w="4124" w:type="dxa"/>
                  <w:tcBorders>
                    <w:top w:val="nil"/>
                    <w:left w:val="single" w:sz="4" w:space="0" w:color="auto"/>
                    <w:bottom w:val="nil"/>
                    <w:right w:val="nil"/>
                  </w:tcBorders>
                </w:tcPr>
                <w:p w14:paraId="1112A7DF" w14:textId="77777777" w:rsidR="00D87EE4" w:rsidRPr="00D87EE4" w:rsidRDefault="00D87EE4" w:rsidP="00D87EE4">
                  <w:pPr>
                    <w:rPr>
                      <w:highlight w:val="yellow"/>
                    </w:rPr>
                  </w:pPr>
                </w:p>
              </w:tc>
            </w:tr>
            <w:tr w:rsidR="00D87EE4" w:rsidRPr="00962EF6" w14:paraId="27D74D80" w14:textId="77777777" w:rsidTr="00316991">
              <w:tc>
                <w:tcPr>
                  <w:tcW w:w="2942" w:type="dxa"/>
                  <w:shd w:val="clear" w:color="auto" w:fill="F2F2F2" w:themeFill="background1" w:themeFillShade="F2"/>
                </w:tcPr>
                <w:p w14:paraId="189DD996" w14:textId="77777777" w:rsidR="00D87EE4" w:rsidRPr="00316991" w:rsidRDefault="00D87EE4" w:rsidP="00316991">
                  <w:r w:rsidRPr="00316991">
                    <w:t>Cost per Response (Dollars)</w:t>
                  </w:r>
                </w:p>
              </w:tc>
              <w:tc>
                <w:tcPr>
                  <w:tcW w:w="2070" w:type="dxa"/>
                  <w:tcBorders>
                    <w:right w:val="single" w:sz="4" w:space="0" w:color="auto"/>
                  </w:tcBorders>
                  <w:shd w:val="clear" w:color="auto" w:fill="FFFFFF" w:themeFill="background1"/>
                </w:tcPr>
                <w:p w14:paraId="7AB10B5B" w14:textId="11FF3591" w:rsidR="00D87EE4" w:rsidRPr="0060167F" w:rsidRDefault="00DF0CCA" w:rsidP="00D87EE4">
                  <w:r>
                    <w:t>$6.20</w:t>
                  </w:r>
                </w:p>
              </w:tc>
              <w:tc>
                <w:tcPr>
                  <w:tcW w:w="4124" w:type="dxa"/>
                  <w:tcBorders>
                    <w:top w:val="nil"/>
                    <w:left w:val="single" w:sz="4" w:space="0" w:color="auto"/>
                    <w:bottom w:val="nil"/>
                    <w:right w:val="nil"/>
                  </w:tcBorders>
                  <w:shd w:val="clear" w:color="auto" w:fill="FFFFFF" w:themeFill="background1"/>
                </w:tcPr>
                <w:p w14:paraId="750DA747" w14:textId="77777777" w:rsidR="00D87EE4" w:rsidRPr="00D87EE4" w:rsidRDefault="00D87EE4" w:rsidP="00D87EE4">
                  <w:pPr>
                    <w:rPr>
                      <w:highlight w:val="yellow"/>
                    </w:rPr>
                  </w:pPr>
                </w:p>
              </w:tc>
            </w:tr>
          </w:tbl>
          <w:p w14:paraId="09C4E0F9" w14:textId="77777777" w:rsidR="00D87EE4" w:rsidRDefault="00D87EE4" w:rsidP="00D87EE4">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D87EE4" w14:paraId="04559705" w14:textId="77777777" w:rsidTr="00747C42">
              <w:tc>
                <w:tcPr>
                  <w:tcW w:w="2967" w:type="dxa"/>
                  <w:shd w:val="clear" w:color="auto" w:fill="D9D9D9" w:themeFill="background1" w:themeFillShade="D9"/>
                </w:tcPr>
                <w:p w14:paraId="60F77025" w14:textId="77777777" w:rsidR="00D87EE4" w:rsidRPr="00316991" w:rsidRDefault="00D87EE4" w:rsidP="00316991">
                  <w:pPr>
                    <w:rPr>
                      <w:b/>
                    </w:rPr>
                  </w:pPr>
                  <w:r w:rsidRPr="00316991">
                    <w:rPr>
                      <w:b/>
                    </w:rPr>
                    <w:t>Annual Time Burden (Hours)</w:t>
                  </w:r>
                </w:p>
              </w:tc>
              <w:tc>
                <w:tcPr>
                  <w:tcW w:w="2049" w:type="dxa"/>
                  <w:tcBorders>
                    <w:right w:val="single" w:sz="4" w:space="0" w:color="auto"/>
                  </w:tcBorders>
                </w:tcPr>
                <w:p w14:paraId="0F96246B" w14:textId="19B84674" w:rsidR="00D87EE4" w:rsidRPr="00D87EE4" w:rsidRDefault="00F730D5" w:rsidP="00D87EE4">
                  <w:r>
                    <w:t>1,325</w:t>
                  </w:r>
                </w:p>
              </w:tc>
              <w:tc>
                <w:tcPr>
                  <w:tcW w:w="4196" w:type="dxa"/>
                  <w:vMerge w:val="restart"/>
                  <w:tcBorders>
                    <w:top w:val="nil"/>
                    <w:left w:val="single" w:sz="4" w:space="0" w:color="auto"/>
                    <w:bottom w:val="nil"/>
                    <w:right w:val="nil"/>
                  </w:tcBorders>
                </w:tcPr>
                <w:p w14:paraId="0DFFE2B5" w14:textId="77777777" w:rsidR="00D87EE4" w:rsidRPr="00304E76" w:rsidRDefault="00D87EE4" w:rsidP="00304E76">
                  <w:pPr>
                    <w:jc w:val="right"/>
                    <w:rPr>
                      <w:i/>
                      <w:sz w:val="15"/>
                      <w:szCs w:val="15"/>
                    </w:rPr>
                  </w:pPr>
                  <w:r w:rsidRPr="00304E76">
                    <w:rPr>
                      <w:i/>
                      <w:sz w:val="15"/>
                      <w:szCs w:val="15"/>
                    </w:rPr>
                    <w:t xml:space="preserve">Annual Time Burden = (Total # Responses) X (Time per </w:t>
                  </w:r>
                  <w:r w:rsidR="00304E76" w:rsidRPr="00304E76">
                    <w:rPr>
                      <w:i/>
                      <w:sz w:val="15"/>
                      <w:szCs w:val="15"/>
                    </w:rPr>
                    <w:t>Response</w:t>
                  </w:r>
                  <w:r w:rsidRPr="00304E76">
                    <w:rPr>
                      <w:i/>
                      <w:sz w:val="15"/>
                      <w:szCs w:val="15"/>
                    </w:rPr>
                    <w:t>)</w:t>
                  </w:r>
                </w:p>
                <w:p w14:paraId="2CA8F852" w14:textId="77777777" w:rsidR="00304E76" w:rsidRPr="00304E76" w:rsidRDefault="00304E76" w:rsidP="00304E76">
                  <w:pPr>
                    <w:jc w:val="right"/>
                    <w:rPr>
                      <w:i/>
                      <w:sz w:val="15"/>
                      <w:szCs w:val="15"/>
                    </w:rPr>
                  </w:pPr>
                </w:p>
                <w:p w14:paraId="694B2EF7" w14:textId="77777777" w:rsidR="00304E76" w:rsidRPr="00304E76" w:rsidRDefault="00304E76" w:rsidP="00304E76">
                  <w:pPr>
                    <w:jc w:val="right"/>
                    <w:rPr>
                      <w:i/>
                      <w:sz w:val="16"/>
                    </w:rPr>
                  </w:pPr>
                  <w:r w:rsidRPr="00304E76">
                    <w:rPr>
                      <w:i/>
                      <w:sz w:val="15"/>
                      <w:szCs w:val="15"/>
                    </w:rPr>
                    <w:t>Annual Cost Burden = (Total # Responses) X (Cost per Response)</w:t>
                  </w:r>
                </w:p>
              </w:tc>
            </w:tr>
            <w:tr w:rsidR="00D87EE4" w:rsidRPr="00962EF6" w14:paraId="34B839DE" w14:textId="77777777" w:rsidTr="00747C42">
              <w:tc>
                <w:tcPr>
                  <w:tcW w:w="2967" w:type="dxa"/>
                  <w:shd w:val="clear" w:color="auto" w:fill="D9D9D9" w:themeFill="background1" w:themeFillShade="D9"/>
                </w:tcPr>
                <w:p w14:paraId="628F53C3" w14:textId="77777777" w:rsidR="00D87EE4" w:rsidRPr="00316991" w:rsidRDefault="00D87EE4" w:rsidP="00316991">
                  <w:pPr>
                    <w:rPr>
                      <w:b/>
                    </w:rPr>
                  </w:pPr>
                  <w:r w:rsidRPr="00316991">
                    <w:rPr>
                      <w:b/>
                    </w:rPr>
                    <w:t>Annual Cost Burden (Dollars)</w:t>
                  </w:r>
                </w:p>
              </w:tc>
              <w:tc>
                <w:tcPr>
                  <w:tcW w:w="2049" w:type="dxa"/>
                  <w:tcBorders>
                    <w:right w:val="single" w:sz="4" w:space="0" w:color="auto"/>
                  </w:tcBorders>
                  <w:shd w:val="clear" w:color="auto" w:fill="FFFFFF" w:themeFill="background1"/>
                </w:tcPr>
                <w:p w14:paraId="2F8D3B7A" w14:textId="4D739C31" w:rsidR="00D87EE4" w:rsidRPr="00D87EE4" w:rsidRDefault="00CC7481" w:rsidP="00F730D5">
                  <w:pPr>
                    <w:rPr>
                      <w:b/>
                    </w:rPr>
                  </w:pPr>
                  <w:r>
                    <w:rPr>
                      <w:b/>
                    </w:rPr>
                    <w:t>$</w:t>
                  </w:r>
                  <w:r w:rsidR="00F730D5">
                    <w:rPr>
                      <w:b/>
                    </w:rPr>
                    <w:t>41,075</w:t>
                  </w:r>
                </w:p>
              </w:tc>
              <w:tc>
                <w:tcPr>
                  <w:tcW w:w="4196" w:type="dxa"/>
                  <w:vMerge/>
                  <w:tcBorders>
                    <w:left w:val="single" w:sz="4" w:space="0" w:color="auto"/>
                    <w:bottom w:val="nil"/>
                    <w:right w:val="nil"/>
                  </w:tcBorders>
                  <w:shd w:val="clear" w:color="auto" w:fill="FFFFFF" w:themeFill="background1"/>
                </w:tcPr>
                <w:p w14:paraId="582F96C7" w14:textId="77777777" w:rsidR="00D87EE4" w:rsidRPr="00D87EE4" w:rsidRDefault="00D87EE4" w:rsidP="00D87EE4">
                  <w:pPr>
                    <w:rPr>
                      <w:b/>
                    </w:rPr>
                  </w:pPr>
                </w:p>
              </w:tc>
            </w:tr>
          </w:tbl>
          <w:p w14:paraId="1A90D0DE" w14:textId="77777777" w:rsidR="00D87EE4" w:rsidRDefault="00D87EE4" w:rsidP="00D87EE4">
            <w:r>
              <w:t xml:space="preserve"> </w:t>
            </w:r>
          </w:p>
          <w:p w14:paraId="40A9989C" w14:textId="61C5BF93" w:rsidR="00316991" w:rsidRDefault="00304E76" w:rsidP="00304E76">
            <w:r w:rsidRPr="00DF0CCA">
              <w:t xml:space="preserve">This collection is conducted </w:t>
            </w:r>
            <w:r w:rsidR="00DF0CCA">
              <w:t>on occasion (as required)</w:t>
            </w:r>
            <w:r w:rsidRPr="00DF0CCA">
              <w:t>.</w:t>
            </w:r>
          </w:p>
          <w:p w14:paraId="3A490752" w14:textId="77777777" w:rsidR="00DF0CCA" w:rsidRDefault="00DF0CCA" w:rsidP="00304E76"/>
          <w:p w14:paraId="71CC8AA9" w14:textId="77777777" w:rsidR="00304E76" w:rsidRDefault="00DF0CCA" w:rsidP="00DF0CCA">
            <w:r>
              <w:t xml:space="preserve">Respondent wage was estimated based on a median hourly wage of $31.01 (rounded down to $31.00) using wage information available from the Bureau of Labor Statistics at </w:t>
            </w:r>
            <w:hyperlink r:id="rId9" w:history="1">
              <w:r w:rsidRPr="00376B2C">
                <w:rPr>
                  <w:rStyle w:val="Hyperlink"/>
                </w:rPr>
                <w:t>https://www.bls.gov</w:t>
              </w:r>
            </w:hyperlink>
            <w:r>
              <w:t xml:space="preserve">. </w:t>
            </w:r>
          </w:p>
          <w:p w14:paraId="13CAD0D6" w14:textId="6A559F48" w:rsidR="00A40540" w:rsidRPr="00D87EE4" w:rsidRDefault="00A40540" w:rsidP="00DF0CCA"/>
        </w:tc>
      </w:tr>
    </w:tbl>
    <w:p w14:paraId="5995BACC" w14:textId="77777777" w:rsidR="00F92887" w:rsidRDefault="00F92887" w:rsidP="00883A92">
      <w:pPr>
        <w:pStyle w:val="Heading2"/>
        <w:numPr>
          <w:ilvl w:val="0"/>
          <w:numId w:val="27"/>
        </w:numPr>
      </w:pPr>
      <w:r w:rsidRPr="00445EA8">
        <w:t>Respondent Costs Other Than Burden Hour Costs</w:t>
      </w:r>
    </w:p>
    <w:p w14:paraId="602BFEC5" w14:textId="4EF058C0" w:rsidR="00883A92" w:rsidRDefault="00883A92" w:rsidP="00883A92">
      <w:r w:rsidRPr="00DF0CCA">
        <w:t>There are no annualized costs to respondents to complete this collection other than the labor burden costs addressed in Section 12 of this document.</w:t>
      </w:r>
    </w:p>
    <w:p w14:paraId="75899231" w14:textId="77777777" w:rsidR="00A40540" w:rsidRPr="00883A92" w:rsidRDefault="00A40540" w:rsidP="00883A92"/>
    <w:p w14:paraId="12D9C388" w14:textId="77777777" w:rsidR="00F92887" w:rsidRDefault="00F92887" w:rsidP="00883A92">
      <w:pPr>
        <w:pStyle w:val="Heading2"/>
        <w:numPr>
          <w:ilvl w:val="0"/>
          <w:numId w:val="27"/>
        </w:numPr>
      </w:pPr>
      <w:r w:rsidRPr="00445EA8">
        <w:t>Cost to the Federal Government</w:t>
      </w:r>
    </w:p>
    <w:p w14:paraId="472EE477" w14:textId="77777777" w:rsidR="009E0C42" w:rsidRDefault="009E0C42" w:rsidP="009E0C42">
      <w:pPr>
        <w:pStyle w:val="Heading3"/>
      </w:pPr>
      <w:r>
        <w:t>Part A: Labor Cost to the Federal Government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883A92" w14:paraId="59C11E13" w14:textId="77777777" w:rsidTr="00DF0CCA">
        <w:tc>
          <w:tcPr>
            <w:tcW w:w="9350" w:type="dxa"/>
          </w:tcPr>
          <w:p w14:paraId="2034A825" w14:textId="15B1A550" w:rsidR="00883A92" w:rsidRPr="00316991" w:rsidRDefault="00DF0CCA" w:rsidP="00342781">
            <w:pPr>
              <w:rPr>
                <w:rStyle w:val="IntenseEmphasis"/>
              </w:rPr>
            </w:pPr>
            <w:r>
              <w:rPr>
                <w:rStyle w:val="IntenseEmphasis"/>
              </w:rPr>
              <w:t>DURS</w:t>
            </w:r>
          </w:p>
          <w:p w14:paraId="1F236318" w14:textId="77777777" w:rsidR="00883A92" w:rsidRDefault="00883A92" w:rsidP="00342781">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883A92" w:rsidRPr="006858C2" w14:paraId="54C6144B" w14:textId="77777777" w:rsidTr="00883A92">
              <w:trPr>
                <w:trHeight w:val="308"/>
              </w:trPr>
              <w:tc>
                <w:tcPr>
                  <w:tcW w:w="2907" w:type="dxa"/>
                  <w:shd w:val="clear" w:color="auto" w:fill="D9D9D9" w:themeFill="background1" w:themeFillShade="D9"/>
                </w:tcPr>
                <w:p w14:paraId="2B9D466B" w14:textId="77777777" w:rsidR="00883A92" w:rsidRPr="006858C2" w:rsidRDefault="00883A92" w:rsidP="00342781">
                  <w:pPr>
                    <w:rPr>
                      <w:b/>
                    </w:rPr>
                  </w:pPr>
                  <w:r w:rsidRPr="006858C2">
                    <w:rPr>
                      <w:b/>
                    </w:rPr>
                    <w:t>Total # Responses</w:t>
                  </w:r>
                </w:p>
              </w:tc>
              <w:tc>
                <w:tcPr>
                  <w:tcW w:w="2107" w:type="dxa"/>
                  <w:tcBorders>
                    <w:right w:val="single" w:sz="4" w:space="0" w:color="auto"/>
                  </w:tcBorders>
                </w:tcPr>
                <w:p w14:paraId="4BA34146" w14:textId="02D78B8F" w:rsidR="00883A92" w:rsidRPr="00747C42" w:rsidRDefault="00CC7481" w:rsidP="00342781">
                  <w:pPr>
                    <w:rPr>
                      <w:b/>
                    </w:rPr>
                  </w:pPr>
                  <w:r w:rsidRPr="00747C42">
                    <w:rPr>
                      <w:b/>
                    </w:rPr>
                    <w:t>6625</w:t>
                  </w:r>
                </w:p>
              </w:tc>
              <w:tc>
                <w:tcPr>
                  <w:tcW w:w="4007" w:type="dxa"/>
                  <w:tcBorders>
                    <w:top w:val="nil"/>
                    <w:left w:val="single" w:sz="4" w:space="0" w:color="auto"/>
                    <w:bottom w:val="nil"/>
                    <w:right w:val="nil"/>
                  </w:tcBorders>
                </w:tcPr>
                <w:p w14:paraId="510C026E" w14:textId="77777777" w:rsidR="00883A92" w:rsidRPr="006858C2" w:rsidRDefault="00883A92" w:rsidP="00883A92">
                  <w:pPr>
                    <w:jc w:val="right"/>
                    <w:rPr>
                      <w:i/>
                    </w:rPr>
                  </w:pPr>
                  <w:r w:rsidRPr="006858C2">
                    <w:rPr>
                      <w:i/>
                      <w:sz w:val="15"/>
                      <w:szCs w:val="15"/>
                    </w:rPr>
                    <w:t>Matches Total # Responses from Section 12</w:t>
                  </w:r>
                </w:p>
              </w:tc>
            </w:tr>
          </w:tbl>
          <w:p w14:paraId="4E057562" w14:textId="77777777" w:rsidR="00883A92" w:rsidRPr="006858C2" w:rsidRDefault="00883A92" w:rsidP="00342781">
            <w:pPr>
              <w:pStyle w:val="Heading5"/>
              <w:outlineLvl w:val="4"/>
            </w:pPr>
            <w:r w:rsidRPr="006858C2">
              <w:t>Processing Burden per Response</w:t>
            </w:r>
          </w:p>
          <w:tbl>
            <w:tblPr>
              <w:tblStyle w:val="TableGrid"/>
              <w:tblW w:w="9136" w:type="dxa"/>
              <w:tblLook w:val="04A0" w:firstRow="1" w:lastRow="0" w:firstColumn="1" w:lastColumn="0" w:noHBand="0" w:noVBand="1"/>
            </w:tblPr>
            <w:tblGrid>
              <w:gridCol w:w="2942"/>
              <w:gridCol w:w="2070"/>
              <w:gridCol w:w="4124"/>
            </w:tblGrid>
            <w:tr w:rsidR="00883A92" w:rsidRPr="006858C2" w14:paraId="0EA0D02E" w14:textId="77777777" w:rsidTr="00342781">
              <w:tc>
                <w:tcPr>
                  <w:tcW w:w="2942" w:type="dxa"/>
                  <w:shd w:val="clear" w:color="auto" w:fill="F2F2F2" w:themeFill="background1" w:themeFillShade="F2"/>
                </w:tcPr>
                <w:p w14:paraId="42751F45" w14:textId="77777777" w:rsidR="00883A92" w:rsidRPr="006858C2" w:rsidRDefault="00883A92" w:rsidP="00342781">
                  <w:r w:rsidRPr="006858C2">
                    <w:t>Time per Response (Hours)</w:t>
                  </w:r>
                </w:p>
              </w:tc>
              <w:tc>
                <w:tcPr>
                  <w:tcW w:w="2070" w:type="dxa"/>
                  <w:tcBorders>
                    <w:right w:val="single" w:sz="4" w:space="0" w:color="auto"/>
                  </w:tcBorders>
                </w:tcPr>
                <w:p w14:paraId="223D7EC6" w14:textId="2211ABD1" w:rsidR="00883A92" w:rsidRPr="00747C42" w:rsidRDefault="00CC7481" w:rsidP="00342781">
                  <w:r w:rsidRPr="00747C42">
                    <w:t>.33</w:t>
                  </w:r>
                </w:p>
              </w:tc>
              <w:tc>
                <w:tcPr>
                  <w:tcW w:w="4124" w:type="dxa"/>
                  <w:tcBorders>
                    <w:top w:val="nil"/>
                    <w:left w:val="single" w:sz="4" w:space="0" w:color="auto"/>
                    <w:bottom w:val="nil"/>
                    <w:right w:val="nil"/>
                  </w:tcBorders>
                </w:tcPr>
                <w:p w14:paraId="2C352A34" w14:textId="77777777" w:rsidR="00883A92" w:rsidRPr="00747C42" w:rsidRDefault="00883A92" w:rsidP="00342781"/>
              </w:tc>
            </w:tr>
            <w:tr w:rsidR="00883A92" w:rsidRPr="00962EF6" w14:paraId="4048B04C" w14:textId="77777777" w:rsidTr="00342781">
              <w:tc>
                <w:tcPr>
                  <w:tcW w:w="2942" w:type="dxa"/>
                  <w:shd w:val="clear" w:color="auto" w:fill="F2F2F2" w:themeFill="background1" w:themeFillShade="F2"/>
                </w:tcPr>
                <w:p w14:paraId="4A5F2C88" w14:textId="77777777" w:rsidR="00883A92" w:rsidRPr="006858C2" w:rsidRDefault="00883A92" w:rsidP="00342781">
                  <w:r w:rsidRPr="006858C2">
                    <w:t>Cost per Response (Dollars)</w:t>
                  </w:r>
                </w:p>
              </w:tc>
              <w:tc>
                <w:tcPr>
                  <w:tcW w:w="2070" w:type="dxa"/>
                  <w:tcBorders>
                    <w:right w:val="single" w:sz="4" w:space="0" w:color="auto"/>
                  </w:tcBorders>
                  <w:shd w:val="clear" w:color="auto" w:fill="FFFFFF" w:themeFill="background1"/>
                </w:tcPr>
                <w:p w14:paraId="403C439C" w14:textId="1AF9339E" w:rsidR="00883A92" w:rsidRPr="00747C42" w:rsidRDefault="00CC7481" w:rsidP="00342781">
                  <w:r w:rsidRPr="00747C42">
                    <w:t>8.25</w:t>
                  </w:r>
                </w:p>
              </w:tc>
              <w:tc>
                <w:tcPr>
                  <w:tcW w:w="4124" w:type="dxa"/>
                  <w:tcBorders>
                    <w:top w:val="nil"/>
                    <w:left w:val="single" w:sz="4" w:space="0" w:color="auto"/>
                    <w:bottom w:val="nil"/>
                    <w:right w:val="nil"/>
                  </w:tcBorders>
                  <w:shd w:val="clear" w:color="auto" w:fill="FFFFFF" w:themeFill="background1"/>
                </w:tcPr>
                <w:p w14:paraId="62FA8838" w14:textId="77777777" w:rsidR="00883A92" w:rsidRPr="00747C42" w:rsidRDefault="00883A92" w:rsidP="00342781"/>
              </w:tc>
            </w:tr>
          </w:tbl>
          <w:p w14:paraId="3FA0394A" w14:textId="77777777" w:rsidR="00883A92" w:rsidRDefault="00883A92" w:rsidP="00342781">
            <w:pPr>
              <w:pStyle w:val="Heading5"/>
              <w:outlineLvl w:val="4"/>
            </w:pPr>
            <w:r>
              <w:t xml:space="preserve">Annual </w:t>
            </w:r>
            <w:r w:rsidR="009E0C42">
              <w:t xml:space="preserve">Processing </w:t>
            </w:r>
            <w:r>
              <w:t>Burden</w:t>
            </w:r>
          </w:p>
          <w:tbl>
            <w:tblPr>
              <w:tblStyle w:val="TableGrid"/>
              <w:tblW w:w="9212" w:type="dxa"/>
              <w:tblLook w:val="04A0" w:firstRow="1" w:lastRow="0" w:firstColumn="1" w:lastColumn="0" w:noHBand="0" w:noVBand="1"/>
            </w:tblPr>
            <w:tblGrid>
              <w:gridCol w:w="2967"/>
              <w:gridCol w:w="2049"/>
              <w:gridCol w:w="4196"/>
            </w:tblGrid>
            <w:tr w:rsidR="00883A92" w14:paraId="2707CA27" w14:textId="77777777" w:rsidTr="00342781">
              <w:tc>
                <w:tcPr>
                  <w:tcW w:w="2967" w:type="dxa"/>
                  <w:shd w:val="clear" w:color="auto" w:fill="D9D9D9" w:themeFill="background1" w:themeFillShade="D9"/>
                </w:tcPr>
                <w:p w14:paraId="00C29205" w14:textId="77777777" w:rsidR="00883A92" w:rsidRPr="00316991" w:rsidRDefault="00883A92" w:rsidP="00342781">
                  <w:pPr>
                    <w:rPr>
                      <w:b/>
                    </w:rPr>
                  </w:pPr>
                  <w:r w:rsidRPr="00316991">
                    <w:rPr>
                      <w:b/>
                    </w:rPr>
                    <w:t>Annual Time Burden (Hours)</w:t>
                  </w:r>
                </w:p>
              </w:tc>
              <w:tc>
                <w:tcPr>
                  <w:tcW w:w="2049" w:type="dxa"/>
                  <w:tcBorders>
                    <w:right w:val="single" w:sz="4" w:space="0" w:color="auto"/>
                  </w:tcBorders>
                </w:tcPr>
                <w:p w14:paraId="43687DE4" w14:textId="01C70FE5" w:rsidR="00883A92" w:rsidRPr="00D87EE4" w:rsidRDefault="005D2EB8" w:rsidP="00342781">
                  <w:r>
                    <w:t>2208.3</w:t>
                  </w:r>
                </w:p>
              </w:tc>
              <w:tc>
                <w:tcPr>
                  <w:tcW w:w="4196" w:type="dxa"/>
                  <w:vMerge w:val="restart"/>
                  <w:tcBorders>
                    <w:top w:val="nil"/>
                    <w:left w:val="single" w:sz="4" w:space="0" w:color="auto"/>
                    <w:right w:val="nil"/>
                  </w:tcBorders>
                </w:tcPr>
                <w:p w14:paraId="1AB276E3" w14:textId="77777777" w:rsidR="00883A92" w:rsidRPr="00304E76" w:rsidRDefault="00883A92" w:rsidP="00342781">
                  <w:pPr>
                    <w:jc w:val="right"/>
                    <w:rPr>
                      <w:i/>
                      <w:sz w:val="15"/>
                      <w:szCs w:val="15"/>
                    </w:rPr>
                  </w:pPr>
                  <w:r w:rsidRPr="00304E76">
                    <w:rPr>
                      <w:i/>
                      <w:sz w:val="15"/>
                      <w:szCs w:val="15"/>
                    </w:rPr>
                    <w:t>Annual Time Burden = (Total # Responses) X (Time per Response)</w:t>
                  </w:r>
                </w:p>
                <w:p w14:paraId="4B87A659" w14:textId="77777777" w:rsidR="00883A92" w:rsidRPr="00304E76" w:rsidRDefault="00883A92" w:rsidP="00342781">
                  <w:pPr>
                    <w:jc w:val="right"/>
                    <w:rPr>
                      <w:i/>
                      <w:sz w:val="15"/>
                      <w:szCs w:val="15"/>
                    </w:rPr>
                  </w:pPr>
                </w:p>
                <w:p w14:paraId="2E0593E7" w14:textId="77777777" w:rsidR="00883A92" w:rsidRPr="00304E76" w:rsidRDefault="00883A92" w:rsidP="00342781">
                  <w:pPr>
                    <w:jc w:val="right"/>
                    <w:rPr>
                      <w:i/>
                      <w:sz w:val="16"/>
                    </w:rPr>
                  </w:pPr>
                  <w:r w:rsidRPr="00304E76">
                    <w:rPr>
                      <w:i/>
                      <w:sz w:val="15"/>
                      <w:szCs w:val="15"/>
                    </w:rPr>
                    <w:t>Annual Cost Burden = (Total # Responses) X (Cost per Response)</w:t>
                  </w:r>
                </w:p>
              </w:tc>
            </w:tr>
            <w:tr w:rsidR="00883A92" w:rsidRPr="00962EF6" w14:paraId="72DF9E58" w14:textId="77777777" w:rsidTr="00342781">
              <w:tc>
                <w:tcPr>
                  <w:tcW w:w="2967" w:type="dxa"/>
                  <w:shd w:val="clear" w:color="auto" w:fill="D9D9D9" w:themeFill="background1" w:themeFillShade="D9"/>
                </w:tcPr>
                <w:p w14:paraId="70E30DB6" w14:textId="77777777" w:rsidR="00883A92" w:rsidRPr="00316991" w:rsidRDefault="00883A92" w:rsidP="00342781">
                  <w:pPr>
                    <w:rPr>
                      <w:b/>
                    </w:rPr>
                  </w:pPr>
                  <w:r w:rsidRPr="00316991">
                    <w:rPr>
                      <w:b/>
                    </w:rPr>
                    <w:t>Annual Cost Burden (Dollars)</w:t>
                  </w:r>
                </w:p>
              </w:tc>
              <w:tc>
                <w:tcPr>
                  <w:tcW w:w="2049" w:type="dxa"/>
                  <w:tcBorders>
                    <w:right w:val="single" w:sz="4" w:space="0" w:color="auto"/>
                  </w:tcBorders>
                  <w:shd w:val="clear" w:color="auto" w:fill="FFFFFF" w:themeFill="background1"/>
                </w:tcPr>
                <w:p w14:paraId="5191ED43" w14:textId="39ED3337" w:rsidR="00883A92" w:rsidRPr="00D87EE4" w:rsidRDefault="005D2EB8" w:rsidP="00342781">
                  <w:pPr>
                    <w:rPr>
                      <w:b/>
                    </w:rPr>
                  </w:pPr>
                  <w:r>
                    <w:rPr>
                      <w:b/>
                    </w:rPr>
                    <w:t>$55,208</w:t>
                  </w:r>
                  <w:r w:rsidR="006858C2">
                    <w:rPr>
                      <w:b/>
                    </w:rPr>
                    <w:t>.00</w:t>
                  </w:r>
                </w:p>
              </w:tc>
              <w:tc>
                <w:tcPr>
                  <w:tcW w:w="4196" w:type="dxa"/>
                  <w:vMerge/>
                  <w:tcBorders>
                    <w:left w:val="single" w:sz="4" w:space="0" w:color="auto"/>
                    <w:bottom w:val="nil"/>
                    <w:right w:val="nil"/>
                  </w:tcBorders>
                  <w:shd w:val="clear" w:color="auto" w:fill="FFFFFF" w:themeFill="background1"/>
                </w:tcPr>
                <w:p w14:paraId="6647FDC7" w14:textId="77777777" w:rsidR="00883A92" w:rsidRPr="00D87EE4" w:rsidRDefault="00883A92" w:rsidP="00342781">
                  <w:pPr>
                    <w:rPr>
                      <w:b/>
                    </w:rPr>
                  </w:pPr>
                </w:p>
              </w:tc>
            </w:tr>
          </w:tbl>
          <w:p w14:paraId="07CA9B1F" w14:textId="77777777" w:rsidR="00883A92" w:rsidRDefault="00883A92" w:rsidP="00342781">
            <w:r>
              <w:t xml:space="preserve"> </w:t>
            </w:r>
          </w:p>
          <w:p w14:paraId="3CA24574" w14:textId="77777777" w:rsidR="00DF0CCA" w:rsidRDefault="00DF0CCA" w:rsidP="00342781">
            <w:r>
              <w:t>Wage information for government employee(s) processing responses was based on the hourly wage of a GS-7, Step 5 ($25.05, rounded down to $25.00).</w:t>
            </w:r>
          </w:p>
          <w:p w14:paraId="57571330" w14:textId="77777777" w:rsidR="00A40540" w:rsidRDefault="00A40540" w:rsidP="00342781"/>
          <w:p w14:paraId="764C299B" w14:textId="77777777" w:rsidR="00A40540" w:rsidRDefault="00A40540" w:rsidP="00342781"/>
          <w:p w14:paraId="02AD9F33" w14:textId="4287FEF1" w:rsidR="00A40540" w:rsidRPr="00D87EE4" w:rsidRDefault="00A40540" w:rsidP="00342781"/>
        </w:tc>
      </w:tr>
    </w:tbl>
    <w:p w14:paraId="7C150C27" w14:textId="77777777" w:rsidR="00883A92" w:rsidRDefault="009E0C42" w:rsidP="009E0C42">
      <w:pPr>
        <w:pStyle w:val="Heading3"/>
      </w:pPr>
      <w:r>
        <w:t>Part B: Operational and Maintenance Costs to the Federal Government</w:t>
      </w:r>
    </w:p>
    <w:tbl>
      <w:tblPr>
        <w:tblStyle w:val="TableGrid"/>
        <w:tblW w:w="7450" w:type="dxa"/>
        <w:tblLook w:val="04A0" w:firstRow="1" w:lastRow="0" w:firstColumn="1" w:lastColumn="0" w:noHBand="0" w:noVBand="1"/>
      </w:tblPr>
      <w:tblGrid>
        <w:gridCol w:w="5837"/>
        <w:gridCol w:w="1613"/>
      </w:tblGrid>
      <w:tr w:rsidR="009E0C42" w14:paraId="776532FD" w14:textId="77777777" w:rsidTr="00747C42">
        <w:tc>
          <w:tcPr>
            <w:tcW w:w="7450" w:type="dxa"/>
            <w:gridSpan w:val="2"/>
          </w:tcPr>
          <w:p w14:paraId="2754B309" w14:textId="352B5943" w:rsidR="009E0C42" w:rsidRPr="009E0C42" w:rsidRDefault="006858C2">
            <w:pPr>
              <w:rPr>
                <w:b/>
                <w:bCs/>
                <w:i/>
                <w:iCs/>
              </w:rPr>
            </w:pPr>
            <w:r>
              <w:rPr>
                <w:rStyle w:val="IntenseEmphasis"/>
              </w:rPr>
              <w:t>Operational and Maintenance Costs</w:t>
            </w:r>
          </w:p>
        </w:tc>
      </w:tr>
      <w:tr w:rsidR="009E0C42" w14:paraId="3C525AC2" w14:textId="77777777" w:rsidTr="00747C42">
        <w:tc>
          <w:tcPr>
            <w:tcW w:w="5837" w:type="dxa"/>
            <w:shd w:val="clear" w:color="auto" w:fill="F2F2F2" w:themeFill="background1" w:themeFillShade="F2"/>
          </w:tcPr>
          <w:p w14:paraId="00620222" w14:textId="5B0C27A5" w:rsidR="009E0C42" w:rsidRPr="00D07CCA" w:rsidRDefault="006858C2" w:rsidP="009E0C42">
            <w:r>
              <w:t>Operations and maintenance (including bandwidth, hardware, software, systems support, licenses, storage, and personnel costs)</w:t>
            </w:r>
          </w:p>
        </w:tc>
        <w:tc>
          <w:tcPr>
            <w:tcW w:w="1613" w:type="dxa"/>
          </w:tcPr>
          <w:p w14:paraId="4AF88D52" w14:textId="7C59C9A4" w:rsidR="009E0C42" w:rsidRPr="00D07CCA" w:rsidRDefault="006858C2" w:rsidP="00D07CCA">
            <w:r>
              <w:t>$550,587.00</w:t>
            </w:r>
          </w:p>
        </w:tc>
      </w:tr>
      <w:tr w:rsidR="009E0C42" w14:paraId="233568AF" w14:textId="77777777" w:rsidTr="00747C42">
        <w:tc>
          <w:tcPr>
            <w:tcW w:w="5837" w:type="dxa"/>
            <w:shd w:val="clear" w:color="auto" w:fill="F2F2F2" w:themeFill="background1" w:themeFillShade="F2"/>
          </w:tcPr>
          <w:p w14:paraId="3E708FC8" w14:textId="1B999D94" w:rsidR="009E0C42" w:rsidRPr="00D07CCA" w:rsidRDefault="006858C2" w:rsidP="009E0C42">
            <w:r>
              <w:t>Software development (including bug fixes and software vulnerability remediation)</w:t>
            </w:r>
          </w:p>
        </w:tc>
        <w:tc>
          <w:tcPr>
            <w:tcW w:w="1613" w:type="dxa"/>
          </w:tcPr>
          <w:p w14:paraId="7F48B42F" w14:textId="6F3EFA20" w:rsidR="009E0C42" w:rsidRPr="00D07CCA" w:rsidRDefault="006858C2" w:rsidP="009E0C42">
            <w:r>
              <w:t>$450,000.00</w:t>
            </w:r>
          </w:p>
        </w:tc>
      </w:tr>
      <w:tr w:rsidR="006858C2" w14:paraId="1CB7B809" w14:textId="77777777" w:rsidTr="00747C42">
        <w:tc>
          <w:tcPr>
            <w:tcW w:w="5837" w:type="dxa"/>
            <w:shd w:val="clear" w:color="auto" w:fill="D9D9D9" w:themeFill="background1" w:themeFillShade="D9"/>
          </w:tcPr>
          <w:p w14:paraId="52FDD3EB" w14:textId="6DBBEE86" w:rsidR="006858C2" w:rsidRPr="00D07CCA" w:rsidRDefault="006858C2" w:rsidP="00D07CCA">
            <w:r w:rsidRPr="00D07CCA" w:rsidDel="006558CA">
              <w:rPr>
                <w:b/>
              </w:rPr>
              <w:t>Total</w:t>
            </w:r>
          </w:p>
        </w:tc>
        <w:tc>
          <w:tcPr>
            <w:tcW w:w="1613" w:type="dxa"/>
          </w:tcPr>
          <w:p w14:paraId="6EB7D01C" w14:textId="5DBA698A" w:rsidR="006858C2" w:rsidRPr="00D07CCA" w:rsidRDefault="006858C2">
            <w:r w:rsidDel="006558CA">
              <w:rPr>
                <w:b/>
              </w:rPr>
              <w:t>$</w:t>
            </w:r>
            <w:r>
              <w:rPr>
                <w:b/>
              </w:rPr>
              <w:t>1,000,587.00</w:t>
            </w:r>
          </w:p>
        </w:tc>
      </w:tr>
    </w:tbl>
    <w:p w14:paraId="061D4B8D" w14:textId="77777777" w:rsidR="009E0C42" w:rsidRDefault="00D07CCA" w:rsidP="00D07CCA">
      <w:pPr>
        <w:pStyle w:val="Heading3"/>
      </w:pPr>
      <w:r>
        <w:t>Part C: Total Cost to the Federal Government</w:t>
      </w:r>
    </w:p>
    <w:p w14:paraId="2CE81F3D" w14:textId="77777777" w:rsidR="00D07CCA" w:rsidRPr="00D07CCA" w:rsidRDefault="00D07CCA" w:rsidP="00D07CCA">
      <w:r>
        <w:t>[</w:t>
      </w:r>
      <w:r>
        <w:rPr>
          <w:i/>
        </w:rPr>
        <w:t>Using the information from Parts A and B, determine the total cost to the Federal Government.</w:t>
      </w:r>
      <w:r>
        <w:t>]</w:t>
      </w:r>
    </w:p>
    <w:tbl>
      <w:tblPr>
        <w:tblStyle w:val="TableGrid"/>
        <w:tblW w:w="0" w:type="auto"/>
        <w:tblLook w:val="04A0" w:firstRow="1" w:lastRow="0" w:firstColumn="1" w:lastColumn="0" w:noHBand="0" w:noVBand="1"/>
      </w:tblPr>
      <w:tblGrid>
        <w:gridCol w:w="3265"/>
        <w:gridCol w:w="2220"/>
      </w:tblGrid>
      <w:tr w:rsidR="00D07CCA" w14:paraId="767FDE93" w14:textId="77777777" w:rsidTr="00D07CCA">
        <w:tc>
          <w:tcPr>
            <w:tcW w:w="5485" w:type="dxa"/>
            <w:gridSpan w:val="2"/>
          </w:tcPr>
          <w:p w14:paraId="600337C8" w14:textId="77777777" w:rsidR="00D07CCA" w:rsidRDefault="00D07CCA" w:rsidP="00D07CCA">
            <w:r w:rsidRPr="00D07CCA">
              <w:rPr>
                <w:rStyle w:val="IntenseEmphasis"/>
              </w:rPr>
              <w:t>Cost Summary</w:t>
            </w:r>
          </w:p>
        </w:tc>
      </w:tr>
      <w:tr w:rsidR="00D07CCA" w14:paraId="42E1A50E" w14:textId="77777777" w:rsidTr="00D07CCA">
        <w:tc>
          <w:tcPr>
            <w:tcW w:w="3265" w:type="dxa"/>
            <w:shd w:val="clear" w:color="auto" w:fill="F2F2F2" w:themeFill="background1" w:themeFillShade="F2"/>
          </w:tcPr>
          <w:p w14:paraId="228AB553" w14:textId="77777777" w:rsidR="00D07CCA" w:rsidRDefault="00D07CCA" w:rsidP="00D07CCA">
            <w:r>
              <w:t>Labor Cost</w:t>
            </w:r>
          </w:p>
        </w:tc>
        <w:tc>
          <w:tcPr>
            <w:tcW w:w="2220" w:type="dxa"/>
          </w:tcPr>
          <w:p w14:paraId="3E5AF7CF" w14:textId="5BD295AD" w:rsidR="00D07CCA" w:rsidRDefault="005D2EB8" w:rsidP="00D07CCA">
            <w:r>
              <w:t>$55,208</w:t>
            </w:r>
            <w:r w:rsidR="006858C2">
              <w:t>.00</w:t>
            </w:r>
          </w:p>
        </w:tc>
      </w:tr>
      <w:tr w:rsidR="00D07CCA" w14:paraId="37FD1B9A" w14:textId="77777777" w:rsidTr="00D07CCA">
        <w:tc>
          <w:tcPr>
            <w:tcW w:w="3265" w:type="dxa"/>
            <w:shd w:val="clear" w:color="auto" w:fill="F2F2F2" w:themeFill="background1" w:themeFillShade="F2"/>
          </w:tcPr>
          <w:p w14:paraId="6585D04B" w14:textId="77777777" w:rsidR="00D07CCA" w:rsidRDefault="00D07CCA" w:rsidP="00D07CCA">
            <w:r>
              <w:t>Operational &amp; Maintenance Cost</w:t>
            </w:r>
          </w:p>
        </w:tc>
        <w:tc>
          <w:tcPr>
            <w:tcW w:w="2220" w:type="dxa"/>
          </w:tcPr>
          <w:p w14:paraId="5994AEA7" w14:textId="7E1220B6" w:rsidR="00D07CCA" w:rsidRDefault="007003A9">
            <w:r>
              <w:t>$</w:t>
            </w:r>
            <w:r w:rsidR="006858C2">
              <w:t>1,000,587.00</w:t>
            </w:r>
          </w:p>
        </w:tc>
      </w:tr>
      <w:tr w:rsidR="00D07CCA" w14:paraId="2D1F89EE" w14:textId="77777777" w:rsidTr="00D07CCA">
        <w:tc>
          <w:tcPr>
            <w:tcW w:w="3265" w:type="dxa"/>
            <w:shd w:val="clear" w:color="auto" w:fill="D9D9D9" w:themeFill="background1" w:themeFillShade="D9"/>
          </w:tcPr>
          <w:p w14:paraId="0418C21C" w14:textId="77777777" w:rsidR="00D07CCA" w:rsidRPr="00D07CCA" w:rsidRDefault="00D07CCA" w:rsidP="00D07CCA">
            <w:pPr>
              <w:rPr>
                <w:b/>
              </w:rPr>
            </w:pPr>
            <w:r w:rsidRPr="00D07CCA">
              <w:rPr>
                <w:b/>
              </w:rPr>
              <w:t>Total Cost</w:t>
            </w:r>
          </w:p>
        </w:tc>
        <w:tc>
          <w:tcPr>
            <w:tcW w:w="2220" w:type="dxa"/>
          </w:tcPr>
          <w:p w14:paraId="44DB5382" w14:textId="187DEB91" w:rsidR="00D07CCA" w:rsidRPr="00D07CCA" w:rsidRDefault="000559DE">
            <w:pPr>
              <w:rPr>
                <w:b/>
              </w:rPr>
            </w:pPr>
            <w:r>
              <w:rPr>
                <w:b/>
              </w:rPr>
              <w:t>$</w:t>
            </w:r>
            <w:r w:rsidR="006858C2">
              <w:rPr>
                <w:b/>
              </w:rPr>
              <w:t>1,055,797.00</w:t>
            </w:r>
          </w:p>
        </w:tc>
      </w:tr>
    </w:tbl>
    <w:p w14:paraId="18B708FF" w14:textId="77777777" w:rsidR="00F92887" w:rsidRDefault="00F92887" w:rsidP="00D07CCA">
      <w:pPr>
        <w:pStyle w:val="Heading2"/>
        <w:numPr>
          <w:ilvl w:val="0"/>
          <w:numId w:val="27"/>
        </w:numPr>
      </w:pPr>
      <w:r w:rsidRPr="00445EA8">
        <w:t>Reasons for Change in Burden</w:t>
      </w:r>
    </w:p>
    <w:p w14:paraId="44A29093" w14:textId="3D4F89AD" w:rsidR="005474E7" w:rsidRPr="004559D9" w:rsidRDefault="005474E7" w:rsidP="005474E7">
      <w:r w:rsidRPr="00747C42">
        <w:t>This is an extension with change to an active collection.</w:t>
      </w:r>
      <w:r>
        <w:t xml:space="preserve"> </w:t>
      </w:r>
    </w:p>
    <w:tbl>
      <w:tblPr>
        <w:tblStyle w:val="TableGrid"/>
        <w:tblW w:w="0" w:type="auto"/>
        <w:tblLook w:val="04A0" w:firstRow="1" w:lastRow="0" w:firstColumn="1" w:lastColumn="0" w:noHBand="0" w:noVBand="1"/>
      </w:tblPr>
      <w:tblGrid>
        <w:gridCol w:w="9350"/>
      </w:tblGrid>
      <w:tr w:rsidR="00EC02F5" w14:paraId="20E01B9C" w14:textId="77777777" w:rsidTr="00311E21">
        <w:tc>
          <w:tcPr>
            <w:tcW w:w="9350" w:type="dxa"/>
          </w:tcPr>
          <w:p w14:paraId="6684A2F2" w14:textId="2F6189BD" w:rsidR="00EC02F5" w:rsidRPr="00316991" w:rsidRDefault="006558CA" w:rsidP="00311E21">
            <w:pPr>
              <w:rPr>
                <w:rStyle w:val="IntenseEmphasis"/>
              </w:rPr>
            </w:pPr>
            <w:r w:rsidRPr="006558CA">
              <w:rPr>
                <w:rStyle w:val="IntenseEmphasis"/>
              </w:rPr>
              <w:t>Defense User Registration System (DURS) Records</w:t>
            </w:r>
          </w:p>
          <w:tbl>
            <w:tblPr>
              <w:tblStyle w:val="TableGrid"/>
              <w:tblW w:w="0" w:type="auto"/>
              <w:tblLook w:val="04A0" w:firstRow="1" w:lastRow="0" w:firstColumn="1" w:lastColumn="0" w:noHBand="0" w:noVBand="1"/>
            </w:tblPr>
            <w:tblGrid>
              <w:gridCol w:w="3041"/>
              <w:gridCol w:w="2169"/>
              <w:gridCol w:w="2417"/>
            </w:tblGrid>
            <w:tr w:rsidR="00EC02F5" w14:paraId="467E9CCE" w14:textId="77777777" w:rsidTr="00EC02F5">
              <w:tc>
                <w:tcPr>
                  <w:tcW w:w="3041" w:type="dxa"/>
                  <w:tcBorders>
                    <w:top w:val="nil"/>
                    <w:left w:val="nil"/>
                  </w:tcBorders>
                </w:tcPr>
                <w:p w14:paraId="096BF8A8" w14:textId="77777777" w:rsidR="00EC02F5" w:rsidRDefault="00EC02F5" w:rsidP="00EC02F5"/>
              </w:tc>
              <w:tc>
                <w:tcPr>
                  <w:tcW w:w="2169" w:type="dxa"/>
                  <w:shd w:val="clear" w:color="auto" w:fill="D9D9D9" w:themeFill="background1" w:themeFillShade="D9"/>
                </w:tcPr>
                <w:p w14:paraId="0E2EF73D" w14:textId="77777777" w:rsidR="00EC02F5" w:rsidRPr="00EC02F5" w:rsidRDefault="00EC02F5" w:rsidP="00EC02F5">
                  <w:pPr>
                    <w:rPr>
                      <w:b/>
                    </w:rPr>
                  </w:pPr>
                  <w:r w:rsidRPr="00EC02F5">
                    <w:rPr>
                      <w:b/>
                    </w:rPr>
                    <w:t>Previously Approved</w:t>
                  </w:r>
                </w:p>
              </w:tc>
              <w:tc>
                <w:tcPr>
                  <w:tcW w:w="2417" w:type="dxa"/>
                  <w:shd w:val="clear" w:color="auto" w:fill="D9D9D9" w:themeFill="background1" w:themeFillShade="D9"/>
                </w:tcPr>
                <w:p w14:paraId="3ACF8719" w14:textId="77777777" w:rsidR="00EC02F5" w:rsidRPr="00EC02F5" w:rsidRDefault="00EC02F5" w:rsidP="00EC02F5">
                  <w:pPr>
                    <w:rPr>
                      <w:b/>
                    </w:rPr>
                  </w:pPr>
                  <w:r w:rsidRPr="00EC02F5">
                    <w:rPr>
                      <w:b/>
                    </w:rPr>
                    <w:t>Request</w:t>
                  </w:r>
                  <w:r>
                    <w:rPr>
                      <w:b/>
                    </w:rPr>
                    <w:t>ed</w:t>
                  </w:r>
                </w:p>
              </w:tc>
            </w:tr>
            <w:tr w:rsidR="00EC02F5" w14:paraId="3F7C4152" w14:textId="77777777" w:rsidTr="00EC02F5">
              <w:tc>
                <w:tcPr>
                  <w:tcW w:w="3041" w:type="dxa"/>
                  <w:shd w:val="clear" w:color="auto" w:fill="D9D9D9" w:themeFill="background1" w:themeFillShade="D9"/>
                </w:tcPr>
                <w:p w14:paraId="025252B2" w14:textId="77777777" w:rsidR="00EC02F5" w:rsidRPr="00304E76" w:rsidRDefault="00EC02F5" w:rsidP="00EC02F5">
                  <w:pPr>
                    <w:rPr>
                      <w:b/>
                    </w:rPr>
                  </w:pPr>
                  <w:r w:rsidRPr="00304E76">
                    <w:rPr>
                      <w:b/>
                    </w:rPr>
                    <w:t>Total # Responses</w:t>
                  </w:r>
                </w:p>
              </w:tc>
              <w:tc>
                <w:tcPr>
                  <w:tcW w:w="2169" w:type="dxa"/>
                </w:tcPr>
                <w:p w14:paraId="2B3B318F" w14:textId="45E60420" w:rsidR="00EC02F5" w:rsidRDefault="00CC0CFB" w:rsidP="00EC02F5">
                  <w:r>
                    <w:t>605</w:t>
                  </w:r>
                </w:p>
              </w:tc>
              <w:tc>
                <w:tcPr>
                  <w:tcW w:w="2417" w:type="dxa"/>
                </w:tcPr>
                <w:p w14:paraId="18E90BF4" w14:textId="454A13CA" w:rsidR="00EC02F5" w:rsidRDefault="00CC0CFB" w:rsidP="00EC02F5">
                  <w:r w:rsidRPr="00747C42">
                    <w:t>6</w:t>
                  </w:r>
                  <w:r>
                    <w:t>,</w:t>
                  </w:r>
                  <w:r w:rsidRPr="00747C42">
                    <w:t>625</w:t>
                  </w:r>
                </w:p>
              </w:tc>
            </w:tr>
            <w:tr w:rsidR="00EC02F5" w14:paraId="1773FB56" w14:textId="77777777" w:rsidTr="00EC02F5">
              <w:tc>
                <w:tcPr>
                  <w:tcW w:w="3041" w:type="dxa"/>
                  <w:shd w:val="clear" w:color="auto" w:fill="D9D9D9" w:themeFill="background1" w:themeFillShade="D9"/>
                </w:tcPr>
                <w:p w14:paraId="1CE2AAAD" w14:textId="77777777" w:rsidR="00EC02F5" w:rsidRPr="00316991" w:rsidRDefault="00EC02F5" w:rsidP="00EC02F5">
                  <w:pPr>
                    <w:rPr>
                      <w:b/>
                    </w:rPr>
                  </w:pPr>
                  <w:r w:rsidRPr="00316991">
                    <w:rPr>
                      <w:b/>
                    </w:rPr>
                    <w:t>Annual Time Burden (Hours)</w:t>
                  </w:r>
                </w:p>
              </w:tc>
              <w:tc>
                <w:tcPr>
                  <w:tcW w:w="2169" w:type="dxa"/>
                </w:tcPr>
                <w:p w14:paraId="3EBA780E" w14:textId="3BDAEFB1" w:rsidR="00EC02F5" w:rsidRDefault="00CC0CFB" w:rsidP="00EC02F5">
                  <w:r>
                    <w:t>101</w:t>
                  </w:r>
                </w:p>
              </w:tc>
              <w:tc>
                <w:tcPr>
                  <w:tcW w:w="2417" w:type="dxa"/>
                </w:tcPr>
                <w:p w14:paraId="129C7653" w14:textId="666B45B8" w:rsidR="00EC02F5" w:rsidRDefault="00F730D5" w:rsidP="00EC02F5">
                  <w:r>
                    <w:t>1,325</w:t>
                  </w:r>
                </w:p>
              </w:tc>
            </w:tr>
            <w:tr w:rsidR="00EC02F5" w14:paraId="628ABF24" w14:textId="77777777" w:rsidTr="00EC02F5">
              <w:tc>
                <w:tcPr>
                  <w:tcW w:w="3041" w:type="dxa"/>
                  <w:shd w:val="clear" w:color="auto" w:fill="D9D9D9" w:themeFill="background1" w:themeFillShade="D9"/>
                </w:tcPr>
                <w:p w14:paraId="577DDA06" w14:textId="77777777" w:rsidR="00EC02F5" w:rsidRPr="00316991" w:rsidRDefault="00EC02F5" w:rsidP="00EC02F5">
                  <w:pPr>
                    <w:rPr>
                      <w:b/>
                    </w:rPr>
                  </w:pPr>
                  <w:r w:rsidRPr="00316991">
                    <w:rPr>
                      <w:b/>
                    </w:rPr>
                    <w:t>Annual Cost Burden (Dollars)</w:t>
                  </w:r>
                </w:p>
              </w:tc>
              <w:tc>
                <w:tcPr>
                  <w:tcW w:w="2169" w:type="dxa"/>
                </w:tcPr>
                <w:p w14:paraId="1221F279" w14:textId="48704265" w:rsidR="00EC02F5" w:rsidRDefault="00CC0CFB" w:rsidP="00EC02F5">
                  <w:r>
                    <w:t>$3,140.00</w:t>
                  </w:r>
                </w:p>
              </w:tc>
              <w:tc>
                <w:tcPr>
                  <w:tcW w:w="2417" w:type="dxa"/>
                </w:tcPr>
                <w:p w14:paraId="3B5FBAB7" w14:textId="4254586D" w:rsidR="00EC02F5" w:rsidRPr="00CC0CFB" w:rsidRDefault="00CC0CFB" w:rsidP="00F730D5">
                  <w:r w:rsidRPr="00747C42">
                    <w:t>$</w:t>
                  </w:r>
                  <w:r w:rsidR="00F730D5">
                    <w:t>41,075</w:t>
                  </w:r>
                </w:p>
              </w:tc>
            </w:tr>
          </w:tbl>
          <w:p w14:paraId="7FD3BEE9" w14:textId="77777777" w:rsidR="00EC02F5" w:rsidRDefault="00EC02F5" w:rsidP="00EC02F5"/>
          <w:p w14:paraId="0B504127" w14:textId="247CD25F" w:rsidR="00EC02F5" w:rsidRPr="00D87EE4" w:rsidRDefault="00444317">
            <w:r w:rsidRPr="00444317">
              <w:t>The DTIC controlled access search and collaborative tools website was redesigned and a number of new assets were incorporated into the suite of RDT&amp;E information products.</w:t>
            </w:r>
            <w:r w:rsidR="00CC0CFB">
              <w:t xml:space="preserve"> These changes have altered the burden per response. Additionally, however, the annual number of responses has increased with adoption of the system.</w:t>
            </w:r>
          </w:p>
        </w:tc>
      </w:tr>
    </w:tbl>
    <w:p w14:paraId="246E323B" w14:textId="77777777" w:rsidR="00F92887" w:rsidRPr="007003A9" w:rsidRDefault="00F92887" w:rsidP="00D07CCA">
      <w:pPr>
        <w:pStyle w:val="Heading2"/>
        <w:numPr>
          <w:ilvl w:val="0"/>
          <w:numId w:val="27"/>
        </w:numPr>
      </w:pPr>
      <w:r w:rsidRPr="007003A9">
        <w:t>Publication of Results</w:t>
      </w:r>
    </w:p>
    <w:p w14:paraId="3289D714" w14:textId="4D2256C7" w:rsidR="004559D9" w:rsidRPr="007003A9" w:rsidRDefault="00A35E3E" w:rsidP="004559D9">
      <w:r w:rsidRPr="007003A9">
        <w:t>The results of this information collection will not be published.</w:t>
      </w:r>
    </w:p>
    <w:p w14:paraId="6D0CE557" w14:textId="77777777" w:rsidR="00F92887" w:rsidRPr="007003A9" w:rsidRDefault="00F92887" w:rsidP="00D07CCA">
      <w:pPr>
        <w:pStyle w:val="Heading2"/>
        <w:numPr>
          <w:ilvl w:val="0"/>
          <w:numId w:val="27"/>
        </w:numPr>
      </w:pPr>
      <w:r w:rsidRPr="007003A9">
        <w:t>Non-Display of OMB Expiration Date</w:t>
      </w:r>
    </w:p>
    <w:p w14:paraId="22C73AF6" w14:textId="3967E2F1" w:rsidR="00A35E3E" w:rsidRPr="007003A9" w:rsidRDefault="00A35E3E" w:rsidP="00A35E3E">
      <w:r w:rsidRPr="007003A9">
        <w:t>We are not seeking approval to omit the display of the expiration date of the OMB approval on the collection instrument.</w:t>
      </w:r>
    </w:p>
    <w:p w14:paraId="502DA8B0" w14:textId="77777777" w:rsidR="00F92887" w:rsidRPr="007003A9" w:rsidRDefault="00F92887" w:rsidP="00D07CCA">
      <w:pPr>
        <w:pStyle w:val="Heading2"/>
        <w:numPr>
          <w:ilvl w:val="0"/>
          <w:numId w:val="27"/>
        </w:numPr>
      </w:pPr>
      <w:r w:rsidRPr="007003A9">
        <w:t xml:space="preserve">Exceptions to </w:t>
      </w:r>
      <w:r w:rsidR="00D07CCA" w:rsidRPr="007003A9">
        <w:t>Certification for PRA Submission</w:t>
      </w:r>
    </w:p>
    <w:p w14:paraId="02AD400F" w14:textId="6179F870" w:rsidR="00B933B0" w:rsidRPr="00F92887" w:rsidRDefault="00D07CCA" w:rsidP="00B25C3B">
      <w:r w:rsidRPr="007003A9">
        <w:t>We are not requesting any exemptions to the provisions stated in 5 CFR 1320.9.</w:t>
      </w:r>
    </w:p>
    <w:p w14:paraId="1F3CC611" w14:textId="77777777" w:rsidR="007003A9" w:rsidRPr="00F92887" w:rsidRDefault="007003A9"/>
    <w:sectPr w:rsidR="007003A9" w:rsidRPr="00F92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3664" w14:textId="77777777" w:rsidR="00B435EE" w:rsidRDefault="00B435EE" w:rsidP="00FB569C">
      <w:pPr>
        <w:spacing w:after="0" w:line="240" w:lineRule="auto"/>
      </w:pPr>
      <w:r>
        <w:separator/>
      </w:r>
    </w:p>
  </w:endnote>
  <w:endnote w:type="continuationSeparator" w:id="0">
    <w:p w14:paraId="49FDBE6D" w14:textId="77777777" w:rsidR="00B435EE" w:rsidRDefault="00B435E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31583" w14:textId="77777777" w:rsidR="00B435EE" w:rsidRDefault="00B435EE" w:rsidP="00FB569C">
      <w:pPr>
        <w:spacing w:after="0" w:line="240" w:lineRule="auto"/>
      </w:pPr>
      <w:r>
        <w:separator/>
      </w:r>
    </w:p>
  </w:footnote>
  <w:footnote w:type="continuationSeparator" w:id="0">
    <w:p w14:paraId="2A17F901" w14:textId="77777777" w:rsidR="00B435EE" w:rsidRDefault="00B435E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0D"/>
    <w:multiLevelType w:val="hybridMultilevel"/>
    <w:tmpl w:val="6BE8157C"/>
    <w:lvl w:ilvl="0" w:tplc="351CC47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D7876"/>
    <w:multiLevelType w:val="hybridMultilevel"/>
    <w:tmpl w:val="70DE6216"/>
    <w:lvl w:ilvl="0" w:tplc="40FC6AE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B7414"/>
    <w:multiLevelType w:val="hybridMultilevel"/>
    <w:tmpl w:val="B114F5D4"/>
    <w:lvl w:ilvl="0" w:tplc="68BA320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15917"/>
    <w:multiLevelType w:val="hybridMultilevel"/>
    <w:tmpl w:val="1A602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E74AEA"/>
    <w:multiLevelType w:val="hybridMultilevel"/>
    <w:tmpl w:val="C316C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03F749B"/>
    <w:multiLevelType w:val="hybridMultilevel"/>
    <w:tmpl w:val="7436A79A"/>
    <w:lvl w:ilvl="0" w:tplc="351CC47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3345C8"/>
    <w:multiLevelType w:val="hybridMultilevel"/>
    <w:tmpl w:val="58D8CB78"/>
    <w:lvl w:ilvl="0" w:tplc="3DF2F0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E543B9"/>
    <w:multiLevelType w:val="hybridMultilevel"/>
    <w:tmpl w:val="A5CA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4474C4"/>
    <w:multiLevelType w:val="hybridMultilevel"/>
    <w:tmpl w:val="CF1CE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7"/>
  </w:num>
  <w:num w:numId="4">
    <w:abstractNumId w:val="14"/>
  </w:num>
  <w:num w:numId="5">
    <w:abstractNumId w:val="25"/>
  </w:num>
  <w:num w:numId="6">
    <w:abstractNumId w:val="3"/>
  </w:num>
  <w:num w:numId="7">
    <w:abstractNumId w:val="26"/>
  </w:num>
  <w:num w:numId="8">
    <w:abstractNumId w:val="23"/>
  </w:num>
  <w:num w:numId="9">
    <w:abstractNumId w:val="27"/>
  </w:num>
  <w:num w:numId="10">
    <w:abstractNumId w:val="6"/>
  </w:num>
  <w:num w:numId="11">
    <w:abstractNumId w:val="22"/>
  </w:num>
  <w:num w:numId="12">
    <w:abstractNumId w:val="24"/>
  </w:num>
  <w:num w:numId="13">
    <w:abstractNumId w:val="29"/>
  </w:num>
  <w:num w:numId="14">
    <w:abstractNumId w:val="30"/>
  </w:num>
  <w:num w:numId="15">
    <w:abstractNumId w:val="13"/>
  </w:num>
  <w:num w:numId="16">
    <w:abstractNumId w:val="12"/>
  </w:num>
  <w:num w:numId="17">
    <w:abstractNumId w:val="19"/>
  </w:num>
  <w:num w:numId="18">
    <w:abstractNumId w:val="9"/>
  </w:num>
  <w:num w:numId="19">
    <w:abstractNumId w:val="8"/>
  </w:num>
  <w:num w:numId="20">
    <w:abstractNumId w:val="7"/>
  </w:num>
  <w:num w:numId="21">
    <w:abstractNumId w:val="20"/>
  </w:num>
  <w:num w:numId="22">
    <w:abstractNumId w:val="4"/>
  </w:num>
  <w:num w:numId="23">
    <w:abstractNumId w:val="28"/>
  </w:num>
  <w:num w:numId="24">
    <w:abstractNumId w:val="10"/>
  </w:num>
  <w:num w:numId="25">
    <w:abstractNumId w:val="16"/>
  </w:num>
  <w:num w:numId="26">
    <w:abstractNumId w:val="18"/>
  </w:num>
  <w:num w:numId="27">
    <w:abstractNumId w:val="11"/>
  </w:num>
  <w:num w:numId="28">
    <w:abstractNumId w:val="0"/>
  </w:num>
  <w:num w:numId="29">
    <w:abstractNumId w:val="15"/>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36C8"/>
    <w:rsid w:val="000559DE"/>
    <w:rsid w:val="000A1746"/>
    <w:rsid w:val="000B0E70"/>
    <w:rsid w:val="000C3075"/>
    <w:rsid w:val="000C4969"/>
    <w:rsid w:val="000F1313"/>
    <w:rsid w:val="00105F45"/>
    <w:rsid w:val="00154FEC"/>
    <w:rsid w:val="0019309D"/>
    <w:rsid w:val="001F526C"/>
    <w:rsid w:val="00200261"/>
    <w:rsid w:val="00203BC2"/>
    <w:rsid w:val="00211832"/>
    <w:rsid w:val="00222D1B"/>
    <w:rsid w:val="00235D71"/>
    <w:rsid w:val="0024335E"/>
    <w:rsid w:val="00254DCF"/>
    <w:rsid w:val="002567F9"/>
    <w:rsid w:val="0027743E"/>
    <w:rsid w:val="00294E92"/>
    <w:rsid w:val="00304E76"/>
    <w:rsid w:val="003132E7"/>
    <w:rsid w:val="00316991"/>
    <w:rsid w:val="00331D7E"/>
    <w:rsid w:val="00337EF1"/>
    <w:rsid w:val="00377025"/>
    <w:rsid w:val="00394A8A"/>
    <w:rsid w:val="003C0540"/>
    <w:rsid w:val="00420AE9"/>
    <w:rsid w:val="00444317"/>
    <w:rsid w:val="00445EA8"/>
    <w:rsid w:val="004559D9"/>
    <w:rsid w:val="00480AFF"/>
    <w:rsid w:val="00486235"/>
    <w:rsid w:val="00490797"/>
    <w:rsid w:val="004C74D6"/>
    <w:rsid w:val="004D1138"/>
    <w:rsid w:val="004D52AC"/>
    <w:rsid w:val="004F4F5D"/>
    <w:rsid w:val="00502FF3"/>
    <w:rsid w:val="00510F0C"/>
    <w:rsid w:val="00520B36"/>
    <w:rsid w:val="005258EC"/>
    <w:rsid w:val="00533957"/>
    <w:rsid w:val="005474E7"/>
    <w:rsid w:val="00571698"/>
    <w:rsid w:val="00576EDB"/>
    <w:rsid w:val="00596BBA"/>
    <w:rsid w:val="005C3A95"/>
    <w:rsid w:val="005C7428"/>
    <w:rsid w:val="005D2EB8"/>
    <w:rsid w:val="005D5C81"/>
    <w:rsid w:val="005E4C55"/>
    <w:rsid w:val="0060167F"/>
    <w:rsid w:val="00616558"/>
    <w:rsid w:val="00642741"/>
    <w:rsid w:val="0065530D"/>
    <w:rsid w:val="006558CA"/>
    <w:rsid w:val="00663484"/>
    <w:rsid w:val="006858C2"/>
    <w:rsid w:val="006A13FA"/>
    <w:rsid w:val="006E563D"/>
    <w:rsid w:val="006F2DF8"/>
    <w:rsid w:val="007003A9"/>
    <w:rsid w:val="00722FDB"/>
    <w:rsid w:val="007418FA"/>
    <w:rsid w:val="00747C42"/>
    <w:rsid w:val="00752CB3"/>
    <w:rsid w:val="00761F3E"/>
    <w:rsid w:val="0077261C"/>
    <w:rsid w:val="007D0BDB"/>
    <w:rsid w:val="008279FE"/>
    <w:rsid w:val="008635C4"/>
    <w:rsid w:val="00883A92"/>
    <w:rsid w:val="008A06EF"/>
    <w:rsid w:val="008D1294"/>
    <w:rsid w:val="008E3029"/>
    <w:rsid w:val="00962EF6"/>
    <w:rsid w:val="0098628F"/>
    <w:rsid w:val="00994F2B"/>
    <w:rsid w:val="00996894"/>
    <w:rsid w:val="009A6246"/>
    <w:rsid w:val="009E0C42"/>
    <w:rsid w:val="009F2544"/>
    <w:rsid w:val="00A13A53"/>
    <w:rsid w:val="00A35E3E"/>
    <w:rsid w:val="00A40540"/>
    <w:rsid w:val="00A40D5D"/>
    <w:rsid w:val="00A43B4B"/>
    <w:rsid w:val="00A50A0F"/>
    <w:rsid w:val="00A76F7E"/>
    <w:rsid w:val="00A77157"/>
    <w:rsid w:val="00AC4DE1"/>
    <w:rsid w:val="00AE0CE3"/>
    <w:rsid w:val="00B25C3B"/>
    <w:rsid w:val="00B33E74"/>
    <w:rsid w:val="00B435EE"/>
    <w:rsid w:val="00B52F4E"/>
    <w:rsid w:val="00B53BFA"/>
    <w:rsid w:val="00B55E9F"/>
    <w:rsid w:val="00B933B0"/>
    <w:rsid w:val="00BD7755"/>
    <w:rsid w:val="00BE07A9"/>
    <w:rsid w:val="00C33684"/>
    <w:rsid w:val="00C62D17"/>
    <w:rsid w:val="00C77226"/>
    <w:rsid w:val="00C808F4"/>
    <w:rsid w:val="00CA15B1"/>
    <w:rsid w:val="00CC0CFB"/>
    <w:rsid w:val="00CC24D5"/>
    <w:rsid w:val="00CC2835"/>
    <w:rsid w:val="00CC7481"/>
    <w:rsid w:val="00D07CCA"/>
    <w:rsid w:val="00D21AA6"/>
    <w:rsid w:val="00D462F7"/>
    <w:rsid w:val="00D67C24"/>
    <w:rsid w:val="00D87EE4"/>
    <w:rsid w:val="00DA2B37"/>
    <w:rsid w:val="00DB371F"/>
    <w:rsid w:val="00DF0CCA"/>
    <w:rsid w:val="00E50534"/>
    <w:rsid w:val="00E5409A"/>
    <w:rsid w:val="00E95FFB"/>
    <w:rsid w:val="00EA4719"/>
    <w:rsid w:val="00EA6C04"/>
    <w:rsid w:val="00EC02F5"/>
    <w:rsid w:val="00F2327D"/>
    <w:rsid w:val="00F25499"/>
    <w:rsid w:val="00F615E6"/>
    <w:rsid w:val="00F730D5"/>
    <w:rsid w:val="00F86C35"/>
    <w:rsid w:val="00F92887"/>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55"/>
  </w:style>
  <w:style w:type="paragraph" w:styleId="Heading1">
    <w:name w:val="heading 1"/>
    <w:basedOn w:val="Normal"/>
    <w:next w:val="Normal"/>
    <w:link w:val="Heading1Char"/>
    <w:uiPriority w:val="9"/>
    <w:qFormat/>
    <w:rsid w:val="005E4C5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E4C5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E4C5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E4C5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5E4C5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5E4C5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E4C5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E4C5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E4C5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4C5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E4C55"/>
    <w:rPr>
      <w:rFonts w:asciiTheme="majorHAnsi" w:eastAsiaTheme="majorEastAsia" w:hAnsiTheme="majorHAnsi" w:cstheme="majorBidi"/>
      <w:caps/>
      <w:color w:val="404040" w:themeColor="text1" w:themeTint="BF"/>
      <w:spacing w:val="-10"/>
      <w:sz w:val="72"/>
      <w:szCs w:val="72"/>
    </w:rPr>
  </w:style>
  <w:style w:type="character" w:customStyle="1" w:styleId="Heading2Char">
    <w:name w:val="Heading 2 Char"/>
    <w:basedOn w:val="DefaultParagraphFont"/>
    <w:link w:val="Heading2"/>
    <w:uiPriority w:val="9"/>
    <w:rsid w:val="005E4C55"/>
    <w:rPr>
      <w:rFonts w:asciiTheme="majorHAnsi" w:eastAsiaTheme="majorEastAsia" w:hAnsiTheme="majorHAnsi" w:cstheme="majorBidi"/>
      <w:caps/>
      <w:sz w:val="28"/>
      <w:szCs w:val="28"/>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E4C55"/>
    <w:rPr>
      <w:rFonts w:asciiTheme="majorHAnsi" w:eastAsiaTheme="majorEastAsia" w:hAnsiTheme="majorHAnsi" w:cstheme="majorBidi"/>
      <w:smallCaps/>
      <w:sz w:val="28"/>
      <w:szCs w:val="28"/>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5E4C55"/>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5E4C55"/>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E4C5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E4C5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E4C5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E4C5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E4C5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E4C5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E4C5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E4C5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E4C55"/>
    <w:rPr>
      <w:b/>
      <w:bCs/>
    </w:rPr>
  </w:style>
  <w:style w:type="character" w:styleId="Emphasis">
    <w:name w:val="Emphasis"/>
    <w:basedOn w:val="DefaultParagraphFont"/>
    <w:uiPriority w:val="20"/>
    <w:qFormat/>
    <w:rsid w:val="005E4C55"/>
    <w:rPr>
      <w:i/>
      <w:iCs/>
    </w:rPr>
  </w:style>
  <w:style w:type="paragraph" w:styleId="NoSpacing">
    <w:name w:val="No Spacing"/>
    <w:uiPriority w:val="1"/>
    <w:qFormat/>
    <w:rsid w:val="005E4C55"/>
    <w:pPr>
      <w:spacing w:after="0" w:line="240" w:lineRule="auto"/>
    </w:pPr>
  </w:style>
  <w:style w:type="paragraph" w:styleId="Quote">
    <w:name w:val="Quote"/>
    <w:basedOn w:val="Normal"/>
    <w:next w:val="Normal"/>
    <w:link w:val="QuoteChar"/>
    <w:uiPriority w:val="29"/>
    <w:qFormat/>
    <w:rsid w:val="005E4C5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E4C5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E4C5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E4C55"/>
    <w:rPr>
      <w:color w:val="404040" w:themeColor="text1" w:themeTint="BF"/>
      <w:sz w:val="32"/>
      <w:szCs w:val="32"/>
    </w:rPr>
  </w:style>
  <w:style w:type="character" w:styleId="SubtleEmphasis">
    <w:name w:val="Subtle Emphasis"/>
    <w:basedOn w:val="DefaultParagraphFont"/>
    <w:uiPriority w:val="19"/>
    <w:qFormat/>
    <w:rsid w:val="005E4C55"/>
    <w:rPr>
      <w:i/>
      <w:iCs/>
      <w:color w:val="595959" w:themeColor="text1" w:themeTint="A6"/>
    </w:rPr>
  </w:style>
  <w:style w:type="character" w:styleId="IntenseEmphasis">
    <w:name w:val="Intense Emphasis"/>
    <w:basedOn w:val="DefaultParagraphFont"/>
    <w:uiPriority w:val="21"/>
    <w:qFormat/>
    <w:rsid w:val="005E4C55"/>
    <w:rPr>
      <w:b/>
      <w:bCs/>
      <w:i/>
      <w:iCs/>
    </w:rPr>
  </w:style>
  <w:style w:type="character" w:styleId="SubtleReference">
    <w:name w:val="Subtle Reference"/>
    <w:basedOn w:val="DefaultParagraphFont"/>
    <w:uiPriority w:val="31"/>
    <w:qFormat/>
    <w:rsid w:val="005E4C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4C55"/>
    <w:rPr>
      <w:b/>
      <w:bCs/>
      <w:caps w:val="0"/>
      <w:smallCaps/>
      <w:color w:val="auto"/>
      <w:spacing w:val="3"/>
      <w:u w:val="single"/>
    </w:rPr>
  </w:style>
  <w:style w:type="character" w:styleId="BookTitle">
    <w:name w:val="Book Title"/>
    <w:basedOn w:val="DefaultParagraphFont"/>
    <w:uiPriority w:val="33"/>
    <w:qFormat/>
    <w:rsid w:val="005E4C55"/>
    <w:rPr>
      <w:b/>
      <w:bCs/>
      <w:smallCaps/>
      <w:spacing w:val="7"/>
    </w:rPr>
  </w:style>
  <w:style w:type="paragraph" w:styleId="TOCHeading">
    <w:name w:val="TOC Heading"/>
    <w:basedOn w:val="Heading1"/>
    <w:next w:val="Normal"/>
    <w:uiPriority w:val="39"/>
    <w:semiHidden/>
    <w:unhideWhenUsed/>
    <w:qFormat/>
    <w:rsid w:val="005E4C55"/>
    <w:pPr>
      <w:outlineLvl w:val="9"/>
    </w:pPr>
  </w:style>
  <w:style w:type="table" w:styleId="TableGrid">
    <w:name w:val="Table Grid"/>
    <w:basedOn w:val="TableNormal"/>
    <w:uiPriority w:val="39"/>
    <w:rsid w:val="00962E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DE1"/>
    <w:rPr>
      <w:sz w:val="16"/>
      <w:szCs w:val="16"/>
    </w:rPr>
  </w:style>
  <w:style w:type="paragraph" w:styleId="CommentText">
    <w:name w:val="annotation text"/>
    <w:basedOn w:val="Normal"/>
    <w:link w:val="CommentTextChar"/>
    <w:uiPriority w:val="99"/>
    <w:semiHidden/>
    <w:unhideWhenUsed/>
    <w:rsid w:val="00AC4DE1"/>
    <w:pPr>
      <w:spacing w:line="240" w:lineRule="auto"/>
    </w:pPr>
    <w:rPr>
      <w:sz w:val="20"/>
      <w:szCs w:val="20"/>
    </w:rPr>
  </w:style>
  <w:style w:type="character" w:customStyle="1" w:styleId="CommentTextChar">
    <w:name w:val="Comment Text Char"/>
    <w:basedOn w:val="DefaultParagraphFont"/>
    <w:link w:val="CommentText"/>
    <w:uiPriority w:val="99"/>
    <w:semiHidden/>
    <w:rsid w:val="00AC4DE1"/>
    <w:rPr>
      <w:sz w:val="20"/>
      <w:szCs w:val="20"/>
    </w:rPr>
  </w:style>
  <w:style w:type="paragraph" w:styleId="CommentSubject">
    <w:name w:val="annotation subject"/>
    <w:basedOn w:val="CommentText"/>
    <w:next w:val="CommentText"/>
    <w:link w:val="CommentSubjectChar"/>
    <w:uiPriority w:val="99"/>
    <w:semiHidden/>
    <w:unhideWhenUsed/>
    <w:rsid w:val="00AC4DE1"/>
    <w:rPr>
      <w:b/>
      <w:bCs/>
    </w:rPr>
  </w:style>
  <w:style w:type="character" w:customStyle="1" w:styleId="CommentSubjectChar">
    <w:name w:val="Comment Subject Char"/>
    <w:basedOn w:val="CommentTextChar"/>
    <w:link w:val="CommentSubject"/>
    <w:uiPriority w:val="99"/>
    <w:semiHidden/>
    <w:rsid w:val="00AC4DE1"/>
    <w:rPr>
      <w:b/>
      <w:bCs/>
      <w:sz w:val="20"/>
      <w:szCs w:val="20"/>
    </w:rPr>
  </w:style>
  <w:style w:type="paragraph" w:styleId="PlainText">
    <w:name w:val="Plain Text"/>
    <w:basedOn w:val="Normal"/>
    <w:link w:val="PlainTextChar"/>
    <w:uiPriority w:val="99"/>
    <w:unhideWhenUsed/>
    <w:rsid w:val="006558CA"/>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558CA"/>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55"/>
  </w:style>
  <w:style w:type="paragraph" w:styleId="Heading1">
    <w:name w:val="heading 1"/>
    <w:basedOn w:val="Normal"/>
    <w:next w:val="Normal"/>
    <w:link w:val="Heading1Char"/>
    <w:uiPriority w:val="9"/>
    <w:qFormat/>
    <w:rsid w:val="005E4C5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E4C5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E4C5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E4C5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5E4C5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5E4C5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E4C5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E4C5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E4C5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4C5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E4C55"/>
    <w:rPr>
      <w:rFonts w:asciiTheme="majorHAnsi" w:eastAsiaTheme="majorEastAsia" w:hAnsiTheme="majorHAnsi" w:cstheme="majorBidi"/>
      <w:caps/>
      <w:color w:val="404040" w:themeColor="text1" w:themeTint="BF"/>
      <w:spacing w:val="-10"/>
      <w:sz w:val="72"/>
      <w:szCs w:val="72"/>
    </w:rPr>
  </w:style>
  <w:style w:type="character" w:customStyle="1" w:styleId="Heading2Char">
    <w:name w:val="Heading 2 Char"/>
    <w:basedOn w:val="DefaultParagraphFont"/>
    <w:link w:val="Heading2"/>
    <w:uiPriority w:val="9"/>
    <w:rsid w:val="005E4C55"/>
    <w:rPr>
      <w:rFonts w:asciiTheme="majorHAnsi" w:eastAsiaTheme="majorEastAsia" w:hAnsiTheme="majorHAnsi" w:cstheme="majorBidi"/>
      <w:caps/>
      <w:sz w:val="28"/>
      <w:szCs w:val="28"/>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E4C55"/>
    <w:rPr>
      <w:rFonts w:asciiTheme="majorHAnsi" w:eastAsiaTheme="majorEastAsia" w:hAnsiTheme="majorHAnsi" w:cstheme="majorBidi"/>
      <w:smallCaps/>
      <w:sz w:val="28"/>
      <w:szCs w:val="28"/>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5E4C55"/>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5E4C55"/>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E4C5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E4C5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E4C5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E4C5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E4C5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E4C5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E4C5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E4C5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E4C55"/>
    <w:rPr>
      <w:b/>
      <w:bCs/>
    </w:rPr>
  </w:style>
  <w:style w:type="character" w:styleId="Emphasis">
    <w:name w:val="Emphasis"/>
    <w:basedOn w:val="DefaultParagraphFont"/>
    <w:uiPriority w:val="20"/>
    <w:qFormat/>
    <w:rsid w:val="005E4C55"/>
    <w:rPr>
      <w:i/>
      <w:iCs/>
    </w:rPr>
  </w:style>
  <w:style w:type="paragraph" w:styleId="NoSpacing">
    <w:name w:val="No Spacing"/>
    <w:uiPriority w:val="1"/>
    <w:qFormat/>
    <w:rsid w:val="005E4C55"/>
    <w:pPr>
      <w:spacing w:after="0" w:line="240" w:lineRule="auto"/>
    </w:pPr>
  </w:style>
  <w:style w:type="paragraph" w:styleId="Quote">
    <w:name w:val="Quote"/>
    <w:basedOn w:val="Normal"/>
    <w:next w:val="Normal"/>
    <w:link w:val="QuoteChar"/>
    <w:uiPriority w:val="29"/>
    <w:qFormat/>
    <w:rsid w:val="005E4C5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E4C5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E4C5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E4C55"/>
    <w:rPr>
      <w:color w:val="404040" w:themeColor="text1" w:themeTint="BF"/>
      <w:sz w:val="32"/>
      <w:szCs w:val="32"/>
    </w:rPr>
  </w:style>
  <w:style w:type="character" w:styleId="SubtleEmphasis">
    <w:name w:val="Subtle Emphasis"/>
    <w:basedOn w:val="DefaultParagraphFont"/>
    <w:uiPriority w:val="19"/>
    <w:qFormat/>
    <w:rsid w:val="005E4C55"/>
    <w:rPr>
      <w:i/>
      <w:iCs/>
      <w:color w:val="595959" w:themeColor="text1" w:themeTint="A6"/>
    </w:rPr>
  </w:style>
  <w:style w:type="character" w:styleId="IntenseEmphasis">
    <w:name w:val="Intense Emphasis"/>
    <w:basedOn w:val="DefaultParagraphFont"/>
    <w:uiPriority w:val="21"/>
    <w:qFormat/>
    <w:rsid w:val="005E4C55"/>
    <w:rPr>
      <w:b/>
      <w:bCs/>
      <w:i/>
      <w:iCs/>
    </w:rPr>
  </w:style>
  <w:style w:type="character" w:styleId="SubtleReference">
    <w:name w:val="Subtle Reference"/>
    <w:basedOn w:val="DefaultParagraphFont"/>
    <w:uiPriority w:val="31"/>
    <w:qFormat/>
    <w:rsid w:val="005E4C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4C55"/>
    <w:rPr>
      <w:b/>
      <w:bCs/>
      <w:caps w:val="0"/>
      <w:smallCaps/>
      <w:color w:val="auto"/>
      <w:spacing w:val="3"/>
      <w:u w:val="single"/>
    </w:rPr>
  </w:style>
  <w:style w:type="character" w:styleId="BookTitle">
    <w:name w:val="Book Title"/>
    <w:basedOn w:val="DefaultParagraphFont"/>
    <w:uiPriority w:val="33"/>
    <w:qFormat/>
    <w:rsid w:val="005E4C55"/>
    <w:rPr>
      <w:b/>
      <w:bCs/>
      <w:smallCaps/>
      <w:spacing w:val="7"/>
    </w:rPr>
  </w:style>
  <w:style w:type="paragraph" w:styleId="TOCHeading">
    <w:name w:val="TOC Heading"/>
    <w:basedOn w:val="Heading1"/>
    <w:next w:val="Normal"/>
    <w:uiPriority w:val="39"/>
    <w:semiHidden/>
    <w:unhideWhenUsed/>
    <w:qFormat/>
    <w:rsid w:val="005E4C55"/>
    <w:pPr>
      <w:outlineLvl w:val="9"/>
    </w:pPr>
  </w:style>
  <w:style w:type="table" w:styleId="TableGrid">
    <w:name w:val="Table Grid"/>
    <w:basedOn w:val="TableNormal"/>
    <w:uiPriority w:val="39"/>
    <w:rsid w:val="00962E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DE1"/>
    <w:rPr>
      <w:sz w:val="16"/>
      <w:szCs w:val="16"/>
    </w:rPr>
  </w:style>
  <w:style w:type="paragraph" w:styleId="CommentText">
    <w:name w:val="annotation text"/>
    <w:basedOn w:val="Normal"/>
    <w:link w:val="CommentTextChar"/>
    <w:uiPriority w:val="99"/>
    <w:semiHidden/>
    <w:unhideWhenUsed/>
    <w:rsid w:val="00AC4DE1"/>
    <w:pPr>
      <w:spacing w:line="240" w:lineRule="auto"/>
    </w:pPr>
    <w:rPr>
      <w:sz w:val="20"/>
      <w:szCs w:val="20"/>
    </w:rPr>
  </w:style>
  <w:style w:type="character" w:customStyle="1" w:styleId="CommentTextChar">
    <w:name w:val="Comment Text Char"/>
    <w:basedOn w:val="DefaultParagraphFont"/>
    <w:link w:val="CommentText"/>
    <w:uiPriority w:val="99"/>
    <w:semiHidden/>
    <w:rsid w:val="00AC4DE1"/>
    <w:rPr>
      <w:sz w:val="20"/>
      <w:szCs w:val="20"/>
    </w:rPr>
  </w:style>
  <w:style w:type="paragraph" w:styleId="CommentSubject">
    <w:name w:val="annotation subject"/>
    <w:basedOn w:val="CommentText"/>
    <w:next w:val="CommentText"/>
    <w:link w:val="CommentSubjectChar"/>
    <w:uiPriority w:val="99"/>
    <w:semiHidden/>
    <w:unhideWhenUsed/>
    <w:rsid w:val="00AC4DE1"/>
    <w:rPr>
      <w:b/>
      <w:bCs/>
    </w:rPr>
  </w:style>
  <w:style w:type="character" w:customStyle="1" w:styleId="CommentSubjectChar">
    <w:name w:val="Comment Subject Char"/>
    <w:basedOn w:val="CommentTextChar"/>
    <w:link w:val="CommentSubject"/>
    <w:uiPriority w:val="99"/>
    <w:semiHidden/>
    <w:rsid w:val="00AC4DE1"/>
    <w:rPr>
      <w:b/>
      <w:bCs/>
      <w:sz w:val="20"/>
      <w:szCs w:val="20"/>
    </w:rPr>
  </w:style>
  <w:style w:type="paragraph" w:styleId="PlainText">
    <w:name w:val="Plain Text"/>
    <w:basedOn w:val="Normal"/>
    <w:link w:val="PlainTextChar"/>
    <w:uiPriority w:val="99"/>
    <w:unhideWhenUsed/>
    <w:rsid w:val="006558CA"/>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558CA"/>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971752">
      <w:bodyDiv w:val="1"/>
      <w:marLeft w:val="0"/>
      <w:marRight w:val="0"/>
      <w:marTop w:val="0"/>
      <w:marBottom w:val="0"/>
      <w:divBdr>
        <w:top w:val="none" w:sz="0" w:space="0" w:color="auto"/>
        <w:left w:val="none" w:sz="0" w:space="0" w:color="auto"/>
        <w:bottom w:val="none" w:sz="0" w:space="0" w:color="auto"/>
        <w:right w:val="none" w:sz="0" w:space="0" w:color="auto"/>
      </w:divBdr>
    </w:div>
    <w:div w:id="8211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1EC3-886B-475E-BAAB-DC328BEF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2018-11-01T12:54:00Z</dcterms:created>
  <dcterms:modified xsi:type="dcterms:W3CDTF">2018-11-01T12:54:00Z</dcterms:modified>
</cp:coreProperties>
</file>