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FB531" w14:textId="77777777" w:rsidR="008D1294" w:rsidRPr="000C4969" w:rsidRDefault="00EA6C04" w:rsidP="00B97474">
      <w:pPr>
        <w:pStyle w:val="Heading1"/>
        <w:jc w:val="center"/>
      </w:pPr>
      <w:bookmarkStart w:id="0" w:name="_GoBack"/>
      <w:bookmarkEnd w:id="0"/>
      <w:r w:rsidRPr="000C4969">
        <w:t>SUPPORTING STATEMENT  - PART A</w:t>
      </w:r>
    </w:p>
    <w:p w14:paraId="0CD6EF6C" w14:textId="77777777" w:rsidR="00EA6C04" w:rsidRDefault="00EA6C04" w:rsidP="00B97474">
      <w:pPr>
        <w:pStyle w:val="Heading6"/>
        <w:jc w:val="center"/>
      </w:pPr>
      <w:r w:rsidRPr="00BE02FC">
        <w:t>OMB Control Number</w:t>
      </w:r>
      <w:r w:rsidR="000C4969" w:rsidRPr="00BE02FC">
        <w:t xml:space="preserve"> 07</w:t>
      </w:r>
      <w:r w:rsidR="00BE02FC">
        <w:t>04-0320</w:t>
      </w:r>
    </w:p>
    <w:p w14:paraId="2CABB4D0" w14:textId="5005AF5C" w:rsidR="00CA5079" w:rsidRPr="00CA5079" w:rsidRDefault="00CA5079" w:rsidP="00B97474">
      <w:pPr>
        <w:jc w:val="center"/>
        <w:rPr>
          <w:rStyle w:val="IntenseEmphasis"/>
          <w:b w:val="0"/>
          <w:i w:val="0"/>
        </w:rPr>
      </w:pPr>
      <w:r>
        <w:rPr>
          <w:rStyle w:val="IntenseEmphasis"/>
          <w:b w:val="0"/>
          <w:i w:val="0"/>
        </w:rPr>
        <w:t>“</w:t>
      </w:r>
      <w:r w:rsidRPr="00CA5079">
        <w:rPr>
          <w:rStyle w:val="IntenseEmphasis"/>
          <w:b w:val="0"/>
          <w:i w:val="0"/>
        </w:rPr>
        <w:t>Procurement Technical Assistance Center Cooperative Agreement Performance Report</w:t>
      </w:r>
      <w:r>
        <w:rPr>
          <w:rStyle w:val="IntenseEmphasis"/>
          <w:b w:val="0"/>
          <w:i w:val="0"/>
        </w:rPr>
        <w:t>”</w:t>
      </w:r>
    </w:p>
    <w:p w14:paraId="52445A57" w14:textId="77777777" w:rsidR="000C4969" w:rsidRDefault="000C4969" w:rsidP="00B25C3B">
      <w:pPr>
        <w:pStyle w:val="Heading2"/>
        <w:numPr>
          <w:ilvl w:val="0"/>
          <w:numId w:val="27"/>
        </w:numPr>
      </w:pPr>
      <w:r w:rsidRPr="000C4969">
        <w:t>Need for the Information Collection</w:t>
      </w:r>
    </w:p>
    <w:p w14:paraId="234AA016" w14:textId="77777777" w:rsidR="000C4969" w:rsidRDefault="00CA5079" w:rsidP="00B25C3B">
      <w:r>
        <w:t xml:space="preserve">This information collection </w:t>
      </w:r>
      <w:r w:rsidR="001C123B">
        <w:t>by the Defense Logistics Agency (DLA) gathers</w:t>
      </w:r>
      <w:r>
        <w:t xml:space="preserve"> data to be used in measuring, on a quarterly basis, cooperative agreement recipients’ performance against goals and objectives established by awards. The Department of Defense (DoD) Procurement Technical Assistance (PTA) Cooperative Agreement Program was established by Congress</w:t>
      </w:r>
      <w:r w:rsidR="00EF012C">
        <w:t xml:space="preserve"> in 1985</w:t>
      </w:r>
      <w:r>
        <w:t xml:space="preserve"> to assist state and local governments, tribal organizations, tribal economic enterprises, and other non-profit entities in establishing or maintaining PTA activities to help business firms market their goods and services to the DoD, other federal agencies, and state and local governments. Administrative requirements for the program are established by the DoD grant and Agreement Regulations (DoDGARS).</w:t>
      </w:r>
    </w:p>
    <w:p w14:paraId="00EC35BA" w14:textId="77777777" w:rsidR="00CA5079" w:rsidRDefault="00CA5079" w:rsidP="00B25C3B">
      <w:r>
        <w:t>This collection is authorized by:</w:t>
      </w:r>
    </w:p>
    <w:p w14:paraId="00D5C9DC" w14:textId="77777777" w:rsidR="00CA5079" w:rsidRDefault="00EF012C" w:rsidP="00CA5079">
      <w:pPr>
        <w:pStyle w:val="ListParagraph"/>
        <w:numPr>
          <w:ilvl w:val="0"/>
          <w:numId w:val="31"/>
        </w:numPr>
      </w:pPr>
      <w:r>
        <w:t>PL 98-525, “H.R.5167 - Department of Defense Authorization Act, 1985”</w:t>
      </w:r>
    </w:p>
    <w:p w14:paraId="24ADB39F" w14:textId="77777777" w:rsidR="00EF012C" w:rsidRDefault="00EF012C" w:rsidP="00CA5079">
      <w:pPr>
        <w:pStyle w:val="ListParagraph"/>
        <w:numPr>
          <w:ilvl w:val="0"/>
          <w:numId w:val="31"/>
        </w:numPr>
      </w:pPr>
      <w:r>
        <w:t>10 USC Ch. 142, “Procurement Technical Assistance Cooperative Agreement Program”</w:t>
      </w:r>
    </w:p>
    <w:p w14:paraId="36D0B0AA" w14:textId="77777777" w:rsidR="00EF012C" w:rsidRDefault="00EF012C" w:rsidP="00CA5079">
      <w:pPr>
        <w:pStyle w:val="ListParagraph"/>
        <w:numPr>
          <w:ilvl w:val="0"/>
          <w:numId w:val="31"/>
        </w:numPr>
      </w:pPr>
      <w:r>
        <w:t>32 CFR</w:t>
      </w:r>
      <w:r w:rsidR="001C123B">
        <w:t xml:space="preserve"> Ch. I, Subchapter C, Part 21, “DoD Grants and Agreements – General Matters”</w:t>
      </w:r>
    </w:p>
    <w:p w14:paraId="7F164966" w14:textId="77777777" w:rsidR="001C123B" w:rsidRPr="00316991" w:rsidRDefault="001C123B" w:rsidP="00CA5079">
      <w:pPr>
        <w:pStyle w:val="ListParagraph"/>
        <w:numPr>
          <w:ilvl w:val="0"/>
          <w:numId w:val="31"/>
        </w:numPr>
      </w:pPr>
      <w:r>
        <w:t>2 CFR 200.301, “Performance Measurement”</w:t>
      </w:r>
    </w:p>
    <w:p w14:paraId="150ADC46" w14:textId="77777777" w:rsidR="000C4969" w:rsidRPr="00B25C3B" w:rsidRDefault="000C4969" w:rsidP="00B25C3B">
      <w:pPr>
        <w:pStyle w:val="Heading2"/>
        <w:numPr>
          <w:ilvl w:val="0"/>
          <w:numId w:val="27"/>
        </w:numPr>
      </w:pPr>
      <w:r w:rsidRPr="00B25C3B">
        <w:t>Use of the Information</w:t>
      </w:r>
    </w:p>
    <w:p w14:paraId="5CB1139D" w14:textId="20076443" w:rsidR="009922D4" w:rsidRPr="00316991" w:rsidRDefault="001C123B" w:rsidP="009922D4">
      <w:r>
        <w:t xml:space="preserve">The performance report is collected via DLA Form 1806. Recipients use the form to report their progress toward meeting performance goals as well as accomplishments by the program’s beneficiaries, which are usually small businesses that recipients support. The report also allows the </w:t>
      </w:r>
      <w:r w:rsidR="009922D4">
        <w:t xml:space="preserve">award </w:t>
      </w:r>
      <w:r>
        <w:t>recipient</w:t>
      </w:r>
      <w:r w:rsidR="009922D4">
        <w:t xml:space="preserve"> (respondent)</w:t>
      </w:r>
      <w:r>
        <w:t xml:space="preserve"> to provide information used by DLA to improve program outcomes, share lessons learned, and spread the adoption of promising practices.</w:t>
      </w:r>
      <w:r w:rsidR="009922D4">
        <w:t xml:space="preserve"> Guidance fo</w:t>
      </w:r>
      <w:r w:rsidR="00B97474">
        <w:t xml:space="preserve">r using the performance report </w:t>
      </w:r>
      <w:r w:rsidR="009922D4">
        <w:t>is spelled out in the terms and conditions of cooperative agreements for the PTA program. Respondents complete the report electronically and return it to DLA via email.</w:t>
      </w:r>
    </w:p>
    <w:p w14:paraId="104A51FE" w14:textId="77777777" w:rsidR="001C123B" w:rsidRDefault="001C123B" w:rsidP="00B25C3B">
      <w:r>
        <w:t xml:space="preserve">After forms are returned by respondents, DLA personnel use the data to monitor award recipient performance and determine which programs are experiencing difficulty and which programs require assistance from the Department. The data is also used to determine the frequency of surveillance reviews. Under certain circumstances, the reported data may be used to document proposed cancellation of cooperative agreements. </w:t>
      </w:r>
    </w:p>
    <w:p w14:paraId="0E383C97" w14:textId="77777777" w:rsidR="000C4969" w:rsidRDefault="000C4969" w:rsidP="00B25C3B">
      <w:pPr>
        <w:pStyle w:val="Heading2"/>
        <w:numPr>
          <w:ilvl w:val="0"/>
          <w:numId w:val="27"/>
        </w:numPr>
      </w:pPr>
      <w:r>
        <w:t>Use of Information Technology</w:t>
      </w:r>
    </w:p>
    <w:p w14:paraId="1E7932FE" w14:textId="77777777" w:rsidR="000F1313" w:rsidRDefault="009922D4" w:rsidP="00B25C3B">
      <w:r>
        <w:t>Respondents fill the PDF version of DLA Form 1806 electronically and submit the form to DLA via email; as such, 100% of submissions are collected electronically.</w:t>
      </w:r>
    </w:p>
    <w:p w14:paraId="2AA5EE5A" w14:textId="77777777" w:rsidR="009922D4" w:rsidRPr="00316991" w:rsidRDefault="009922D4" w:rsidP="00B25C3B">
      <w:pPr>
        <w:rPr>
          <w:i/>
        </w:rPr>
      </w:pPr>
      <w:r>
        <w:t>Currently, DLA is making efforts to establish a system where respondents may enter their data directly rather than into the form. This initiative will ease burden on both the respondent and the Federal Government. DLA plans to implement this system before the next submission for approval of extension of this OMB Control Number.</w:t>
      </w:r>
    </w:p>
    <w:p w14:paraId="3AB5AF63" w14:textId="77777777" w:rsidR="000C4969" w:rsidRDefault="000C4969" w:rsidP="00B25C3B">
      <w:pPr>
        <w:pStyle w:val="Heading2"/>
        <w:numPr>
          <w:ilvl w:val="0"/>
          <w:numId w:val="27"/>
        </w:numPr>
      </w:pPr>
      <w:r>
        <w:lastRenderedPageBreak/>
        <w:t>Non-Duplication</w:t>
      </w:r>
    </w:p>
    <w:p w14:paraId="671647BF" w14:textId="77777777" w:rsidR="00F92887" w:rsidRPr="009922D4" w:rsidRDefault="00F92887" w:rsidP="00B25C3B">
      <w:r w:rsidRPr="009922D4">
        <w:t>The information obtained through this collection is unique and is not already available for use or adaption from another cleared source.</w:t>
      </w:r>
    </w:p>
    <w:p w14:paraId="5CCB61F9" w14:textId="77777777" w:rsidR="00445EA8" w:rsidRPr="009922D4" w:rsidRDefault="00F92887" w:rsidP="00B25C3B">
      <w:pPr>
        <w:pStyle w:val="Heading2"/>
        <w:numPr>
          <w:ilvl w:val="0"/>
          <w:numId w:val="27"/>
        </w:numPr>
      </w:pPr>
      <w:r w:rsidRPr="009922D4">
        <w:t>Burden on Small Businesse</w:t>
      </w:r>
      <w:r w:rsidR="00445EA8" w:rsidRPr="009922D4">
        <w:t>s</w:t>
      </w:r>
    </w:p>
    <w:p w14:paraId="017A6367" w14:textId="77777777" w:rsidR="00445EA8" w:rsidRPr="00316991" w:rsidRDefault="00445EA8" w:rsidP="00B25C3B">
      <w:r w:rsidRPr="009922D4">
        <w:t>This information collection does not impose a significant economic impact on a substantial number of small businesses or other small entities.</w:t>
      </w:r>
    </w:p>
    <w:p w14:paraId="4F442701" w14:textId="77777777" w:rsidR="00F92887" w:rsidRDefault="00F92887" w:rsidP="00B25C3B">
      <w:pPr>
        <w:pStyle w:val="Heading2"/>
        <w:numPr>
          <w:ilvl w:val="0"/>
          <w:numId w:val="27"/>
        </w:numPr>
      </w:pPr>
      <w:r w:rsidRPr="00445EA8">
        <w:t>Less Frequent Collection</w:t>
      </w:r>
    </w:p>
    <w:p w14:paraId="0499413D" w14:textId="77777777" w:rsidR="00445EA8" w:rsidRPr="00316991" w:rsidRDefault="009922D4" w:rsidP="00B25C3B">
      <w:r>
        <w:t>The PTA Cooperative Agreement Performance Report provides a vital link between the recipient of DoD funds and DLA, the agency responsible for administration of the program. Reporting on a quarterly basis provides the administrator, DLA, and DoD the best means of monitoring the program.</w:t>
      </w:r>
    </w:p>
    <w:p w14:paraId="06686102" w14:textId="77777777" w:rsidR="00F92887" w:rsidRDefault="00F92887" w:rsidP="00B25C3B">
      <w:pPr>
        <w:pStyle w:val="Heading2"/>
        <w:numPr>
          <w:ilvl w:val="0"/>
          <w:numId w:val="27"/>
        </w:numPr>
      </w:pPr>
      <w:r w:rsidRPr="00445EA8">
        <w:t>Paperwork Reduction Act Guidelines</w:t>
      </w:r>
    </w:p>
    <w:p w14:paraId="6D5E44C5" w14:textId="77777777" w:rsidR="00445EA8" w:rsidRPr="00316991" w:rsidRDefault="00445EA8" w:rsidP="00B25C3B">
      <w:r w:rsidRPr="009922D4">
        <w:t>This collection of inform</w:t>
      </w:r>
      <w:r w:rsidR="00B25C3B" w:rsidRPr="009922D4">
        <w:t>ation will be conducted in a manner consistent with the guidelines delineated in 5 CFR 1320.5(d)(2).</w:t>
      </w:r>
      <w:r w:rsidR="00B25C3B" w:rsidRPr="00316991">
        <w:t xml:space="preserve"> </w:t>
      </w:r>
    </w:p>
    <w:p w14:paraId="54811880" w14:textId="77777777" w:rsidR="00B25C3B" w:rsidRDefault="00F92887" w:rsidP="00B25C3B">
      <w:pPr>
        <w:pStyle w:val="Heading2"/>
        <w:numPr>
          <w:ilvl w:val="0"/>
          <w:numId w:val="27"/>
        </w:numPr>
      </w:pPr>
      <w:r w:rsidRPr="00445EA8">
        <w:t>Consultation and Public Comments</w:t>
      </w:r>
    </w:p>
    <w:p w14:paraId="7795C5BB" w14:textId="77777777" w:rsidR="00B25C3B" w:rsidRDefault="00B25C3B" w:rsidP="00B25C3B">
      <w:pPr>
        <w:pStyle w:val="Heading3"/>
      </w:pPr>
      <w:r>
        <w:t>Part A: Public Notice</w:t>
      </w:r>
    </w:p>
    <w:p w14:paraId="47CF91F7" w14:textId="77777777" w:rsidR="00154FEC" w:rsidRPr="00DA3B91" w:rsidRDefault="00154FEC" w:rsidP="00154FEC">
      <w:pPr>
        <w:pStyle w:val="Heading4"/>
      </w:pPr>
      <w:r w:rsidRPr="00DA3B91">
        <w:t>60-Day Federal Register Notice</w:t>
      </w:r>
    </w:p>
    <w:p w14:paraId="011F9477" w14:textId="19CA69D2" w:rsidR="00B25C3B" w:rsidRPr="00DA3B91" w:rsidRDefault="00B25C3B" w:rsidP="00B25C3B">
      <w:r w:rsidRPr="00DA3B91">
        <w:t xml:space="preserve">A 60-Day Federal Register Notice (FRN) for the collection published on </w:t>
      </w:r>
      <w:r w:rsidR="00EE2BEC" w:rsidRPr="00DA3B91">
        <w:t>Friday</w:t>
      </w:r>
      <w:r w:rsidRPr="00DA3B91">
        <w:t xml:space="preserve">, </w:t>
      </w:r>
      <w:r w:rsidR="00EE2BEC" w:rsidRPr="00DA3B91">
        <w:t>August 17, 2018</w:t>
      </w:r>
      <w:r w:rsidRPr="00DA3B91">
        <w:t xml:space="preserve">. The 60-Day FRN citation is </w:t>
      </w:r>
      <w:r w:rsidR="00EE2BEC" w:rsidRPr="00DA3B91">
        <w:t xml:space="preserve">83 </w:t>
      </w:r>
      <w:r w:rsidRPr="00DA3B91">
        <w:t xml:space="preserve">FRN </w:t>
      </w:r>
      <w:r w:rsidR="00EE2BEC" w:rsidRPr="00DA3B91">
        <w:t>41069</w:t>
      </w:r>
      <w:r w:rsidRPr="00DA3B91">
        <w:t>.</w:t>
      </w:r>
    </w:p>
    <w:p w14:paraId="41BC66B8" w14:textId="674D785C" w:rsidR="00154FEC" w:rsidRPr="00DA3B91" w:rsidRDefault="00154FEC" w:rsidP="00B25C3B">
      <w:r w:rsidRPr="00DA3B91">
        <w:t>No comments were received during the 60-Day FRN comment period.</w:t>
      </w:r>
    </w:p>
    <w:p w14:paraId="73BD76BF" w14:textId="77777777" w:rsidR="00154FEC" w:rsidRPr="00DA3B91" w:rsidRDefault="00154FEC" w:rsidP="00154FEC">
      <w:pPr>
        <w:pStyle w:val="Heading4"/>
      </w:pPr>
      <w:r w:rsidRPr="00DA3B91">
        <w:t>30-Day Federal Register Notice</w:t>
      </w:r>
    </w:p>
    <w:p w14:paraId="46817413" w14:textId="3400A047" w:rsidR="00154FEC" w:rsidRPr="00316991" w:rsidRDefault="00154FEC" w:rsidP="00154FEC">
      <w:r w:rsidRPr="00DA3B91">
        <w:t xml:space="preserve">A 30-Day Federal Register Notice for the collection published on </w:t>
      </w:r>
      <w:r w:rsidR="00DA3B91" w:rsidRPr="00DA3B91">
        <w:t>Wednesday, October 24, 2018.</w:t>
      </w:r>
      <w:r w:rsidRPr="00DA3B91">
        <w:t xml:space="preserve"> The 30-Day FRN citation is </w:t>
      </w:r>
      <w:r w:rsidR="00DA3B91" w:rsidRPr="00DA3B91">
        <w:t xml:space="preserve">83 </w:t>
      </w:r>
      <w:r w:rsidRPr="00DA3B91">
        <w:t xml:space="preserve">FRN </w:t>
      </w:r>
      <w:r w:rsidR="00DA3B91" w:rsidRPr="00DA3B91">
        <w:t>53612.</w:t>
      </w:r>
    </w:p>
    <w:p w14:paraId="6F4ECBF3" w14:textId="77777777" w:rsidR="00154FEC" w:rsidRDefault="00154FEC" w:rsidP="00154FEC">
      <w:pPr>
        <w:pStyle w:val="Heading3"/>
      </w:pPr>
      <w:r>
        <w:t>Part B: Consultation</w:t>
      </w:r>
    </w:p>
    <w:p w14:paraId="3CF31B52" w14:textId="77777777" w:rsidR="00154FEC" w:rsidRPr="00316991" w:rsidRDefault="00DB371F" w:rsidP="00154FEC">
      <w:r w:rsidRPr="009922D4">
        <w:t>Apart</w:t>
      </w:r>
      <w:r w:rsidR="00154FEC" w:rsidRPr="009922D4">
        <w:t xml:space="preserve"> from soliciting public comments through the Federal Register, </w:t>
      </w:r>
      <w:r w:rsidRPr="009922D4">
        <w:t>no additional consultation was conducted for this submission.</w:t>
      </w:r>
    </w:p>
    <w:p w14:paraId="556BDDF2" w14:textId="77777777" w:rsidR="00F92887" w:rsidRDefault="00F92887" w:rsidP="00DB371F">
      <w:pPr>
        <w:pStyle w:val="Heading2"/>
        <w:numPr>
          <w:ilvl w:val="0"/>
          <w:numId w:val="27"/>
        </w:numPr>
      </w:pPr>
      <w:r w:rsidRPr="00DB371F">
        <w:t>Gifts or Payments</w:t>
      </w:r>
    </w:p>
    <w:p w14:paraId="262E7FDB" w14:textId="77777777" w:rsidR="00DB371F" w:rsidRPr="00316991" w:rsidRDefault="00DB371F" w:rsidP="00DB371F">
      <w:r w:rsidRPr="009922D4">
        <w:t>No payments or gifts are being offered to respondents as an incentive to participate in the collection.</w:t>
      </w:r>
    </w:p>
    <w:p w14:paraId="60EBC076" w14:textId="77777777" w:rsidR="00F92887" w:rsidRPr="00EE2BEC" w:rsidRDefault="00F92887" w:rsidP="00DB371F">
      <w:pPr>
        <w:pStyle w:val="Heading2"/>
        <w:numPr>
          <w:ilvl w:val="0"/>
          <w:numId w:val="27"/>
        </w:numPr>
      </w:pPr>
      <w:r w:rsidRPr="00EE2BEC">
        <w:t>Confidentiality</w:t>
      </w:r>
    </w:p>
    <w:p w14:paraId="4F4348C8" w14:textId="77777777" w:rsidR="00A43B4B" w:rsidRPr="00EE2BEC" w:rsidRDefault="00A43B4B" w:rsidP="00A43B4B">
      <w:pPr>
        <w:pStyle w:val="Heading4"/>
      </w:pPr>
      <w:r w:rsidRPr="00EE2BEC">
        <w:t>Privacy Act Statement (PAS)</w:t>
      </w:r>
    </w:p>
    <w:p w14:paraId="634BF94B" w14:textId="63849D0A" w:rsidR="00DB371F" w:rsidRPr="00EE2BEC" w:rsidRDefault="00DB371F" w:rsidP="00DB371F">
      <w:r w:rsidRPr="00EE2BEC">
        <w:t>A Privacy Act Statement (PAS) is not required for this collection because we are not requesting individuals to furnish personal information for a system or records.</w:t>
      </w:r>
    </w:p>
    <w:p w14:paraId="74A7ADE0" w14:textId="77777777" w:rsidR="00A43B4B" w:rsidRPr="00EE2BEC" w:rsidRDefault="00A43B4B" w:rsidP="00A43B4B">
      <w:pPr>
        <w:pStyle w:val="Heading4"/>
      </w:pPr>
      <w:r w:rsidRPr="00EE2BEC">
        <w:t>System of Records Notice (SORN)</w:t>
      </w:r>
    </w:p>
    <w:p w14:paraId="5FC65F56" w14:textId="6B9B01E9" w:rsidR="00DB371F" w:rsidRPr="00EE2BEC" w:rsidRDefault="00DB371F" w:rsidP="00DB371F">
      <w:r w:rsidRPr="00EE2BEC">
        <w:t>A System of Records Notice (SORN) is not required for this collection because records are not retrievable by personally identifying information (PII).</w:t>
      </w:r>
    </w:p>
    <w:p w14:paraId="584454E9" w14:textId="77777777" w:rsidR="00A43B4B" w:rsidRPr="00EE2BEC" w:rsidRDefault="00A43B4B" w:rsidP="00A43B4B">
      <w:pPr>
        <w:pStyle w:val="Heading4"/>
      </w:pPr>
      <w:r w:rsidRPr="00EE2BEC">
        <w:t>Privacy Impact Assessment (PIA)</w:t>
      </w:r>
    </w:p>
    <w:p w14:paraId="507A5359" w14:textId="34A543CD" w:rsidR="00A43B4B" w:rsidRPr="00EE2BEC" w:rsidRDefault="00A43B4B" w:rsidP="00DB371F">
      <w:r w:rsidRPr="00EE2BEC">
        <w:t>A Privacy Impact Assessment (PIA) is not required for this collection because PII is not being collected electronically.</w:t>
      </w:r>
    </w:p>
    <w:p w14:paraId="7FDC5BF7" w14:textId="77777777" w:rsidR="00A43B4B" w:rsidRPr="00EE2BEC" w:rsidRDefault="00A43B4B" w:rsidP="00A43B4B">
      <w:pPr>
        <w:pStyle w:val="Heading4"/>
      </w:pPr>
      <w:r w:rsidRPr="00EE2BEC">
        <w:t>Records Retention and Disposition Schedule</w:t>
      </w:r>
    </w:p>
    <w:p w14:paraId="43C0FC61" w14:textId="6DD5FE1E" w:rsidR="00A43B4B" w:rsidRPr="00EE2BEC" w:rsidRDefault="00A339B1" w:rsidP="00DB371F">
      <w:r w:rsidRPr="00EE2BEC">
        <w:t>4205.4 Procurement Technical Assistance Program (PTAP).  Correspondence, Federal Register announcements, Commerce Business Daily announcements, solicitations for cooperative agreement proposals, program evaluation criteria, applicant proposals, cooperative agreement award documents, recipient performance reports and other similar information used to administer procurement technical assistance programs.  Temporary.  Cutoff at end of Event.  Destroy after 6 years after closeout.N1-361-91-11</w:t>
      </w:r>
    </w:p>
    <w:p w14:paraId="5D9EF392" w14:textId="77777777" w:rsidR="00F92887" w:rsidRPr="00EE2BEC" w:rsidRDefault="00F92887" w:rsidP="00A43B4B">
      <w:pPr>
        <w:pStyle w:val="Heading2"/>
        <w:numPr>
          <w:ilvl w:val="0"/>
          <w:numId w:val="27"/>
        </w:numPr>
      </w:pPr>
      <w:r w:rsidRPr="00EE2BEC">
        <w:t>Sensitive Questions</w:t>
      </w:r>
    </w:p>
    <w:p w14:paraId="35F31C2E" w14:textId="77777777" w:rsidR="00A43B4B" w:rsidRPr="00316991" w:rsidRDefault="00A43B4B" w:rsidP="00B25C3B">
      <w:r w:rsidRPr="00EE2BEC">
        <w:t>This collection of information includes no questions considered sensitive.</w:t>
      </w:r>
      <w:r w:rsidRPr="00316991">
        <w:t xml:space="preserve"> </w:t>
      </w:r>
    </w:p>
    <w:p w14:paraId="4A8CD904" w14:textId="77777777" w:rsidR="00F92887" w:rsidRDefault="00F92887" w:rsidP="00C77226">
      <w:pPr>
        <w:pStyle w:val="Heading2"/>
        <w:numPr>
          <w:ilvl w:val="0"/>
          <w:numId w:val="27"/>
        </w:numPr>
      </w:pPr>
      <w:r w:rsidRPr="00445EA8">
        <w:t>Respondent Burden and Labor Costs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3"/>
      </w:tblGrid>
      <w:tr w:rsidR="00D87EE4" w14:paraId="5396924C" w14:textId="77777777" w:rsidTr="000A3AC4">
        <w:tc>
          <w:tcPr>
            <w:tcW w:w="9360" w:type="dxa"/>
          </w:tcPr>
          <w:p w14:paraId="186E5329" w14:textId="77777777" w:rsidR="00D87EE4" w:rsidRPr="00316991" w:rsidRDefault="009922D4" w:rsidP="00316991">
            <w:pPr>
              <w:rPr>
                <w:rStyle w:val="IntenseEmphasis"/>
              </w:rPr>
            </w:pPr>
            <w:r>
              <w:rPr>
                <w:rStyle w:val="IntenseEmphasis"/>
              </w:rPr>
              <w:t>DLA Form 1806</w:t>
            </w:r>
          </w:p>
          <w:p w14:paraId="5B79042A" w14:textId="77777777" w:rsidR="00D87EE4" w:rsidRDefault="00D87EE4" w:rsidP="00D87EE4">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D87EE4" w14:paraId="0FAC3269" w14:textId="77777777" w:rsidTr="00316991">
              <w:trPr>
                <w:trHeight w:val="308"/>
              </w:trPr>
              <w:tc>
                <w:tcPr>
                  <w:tcW w:w="2907" w:type="dxa"/>
                  <w:shd w:val="clear" w:color="auto" w:fill="F2F2F2" w:themeFill="background1" w:themeFillShade="F2"/>
                </w:tcPr>
                <w:p w14:paraId="4CA1A8E8" w14:textId="77777777" w:rsidR="00D87EE4" w:rsidRPr="00304E76" w:rsidRDefault="00D87EE4" w:rsidP="00316991">
                  <w:r w:rsidRPr="00304E76">
                    <w:t># Respondents</w:t>
                  </w:r>
                </w:p>
              </w:tc>
              <w:tc>
                <w:tcPr>
                  <w:tcW w:w="2107" w:type="dxa"/>
                  <w:tcBorders>
                    <w:right w:val="single" w:sz="4" w:space="0" w:color="auto"/>
                  </w:tcBorders>
                </w:tcPr>
                <w:p w14:paraId="70D9AA77" w14:textId="77777777" w:rsidR="00D87EE4" w:rsidRPr="009922D4" w:rsidRDefault="009922D4" w:rsidP="00D87EE4">
                  <w:r w:rsidRPr="009922D4">
                    <w:t>95</w:t>
                  </w:r>
                </w:p>
              </w:tc>
              <w:tc>
                <w:tcPr>
                  <w:tcW w:w="4007" w:type="dxa"/>
                  <w:vMerge w:val="restart"/>
                  <w:tcBorders>
                    <w:top w:val="nil"/>
                    <w:left w:val="single" w:sz="4" w:space="0" w:color="auto"/>
                    <w:right w:val="nil"/>
                  </w:tcBorders>
                </w:tcPr>
                <w:p w14:paraId="696D7D6E" w14:textId="77777777" w:rsidR="00D87EE4" w:rsidRDefault="00D87EE4" w:rsidP="00D87EE4">
                  <w:pPr>
                    <w:rPr>
                      <w:i/>
                      <w:sz w:val="18"/>
                    </w:rPr>
                  </w:pPr>
                </w:p>
                <w:p w14:paraId="2871DBE0" w14:textId="77777777" w:rsidR="00D87EE4" w:rsidRPr="00304E76" w:rsidRDefault="00D87EE4" w:rsidP="00D87EE4">
                  <w:pPr>
                    <w:jc w:val="right"/>
                    <w:rPr>
                      <w:i/>
                      <w:sz w:val="15"/>
                      <w:szCs w:val="15"/>
                    </w:rPr>
                  </w:pPr>
                  <w:r w:rsidRPr="00304E76">
                    <w:rPr>
                      <w:i/>
                      <w:sz w:val="15"/>
                      <w:szCs w:val="15"/>
                    </w:rPr>
                    <w:t>Tot</w:t>
                  </w:r>
                  <w:r w:rsidR="00304E76">
                    <w:rPr>
                      <w:i/>
                      <w:sz w:val="15"/>
                      <w:szCs w:val="15"/>
                    </w:rPr>
                    <w:t>al # Responses =</w:t>
                  </w:r>
                </w:p>
                <w:p w14:paraId="330CDDF8" w14:textId="77777777" w:rsidR="00D87EE4" w:rsidRPr="00D87EE4" w:rsidRDefault="00D87EE4" w:rsidP="00D87EE4">
                  <w:pPr>
                    <w:jc w:val="right"/>
                    <w:rPr>
                      <w:i/>
                      <w:highlight w:val="yellow"/>
                    </w:rPr>
                  </w:pPr>
                  <w:r w:rsidRPr="00304E76">
                    <w:rPr>
                      <w:i/>
                      <w:sz w:val="15"/>
                      <w:szCs w:val="15"/>
                    </w:rPr>
                    <w:t>(# Respondents) X (# Responses per Respondent)</w:t>
                  </w:r>
                </w:p>
              </w:tc>
            </w:tr>
            <w:tr w:rsidR="00D87EE4" w:rsidRPr="00962EF6" w14:paraId="11E97659" w14:textId="77777777" w:rsidTr="00316991">
              <w:trPr>
                <w:trHeight w:val="308"/>
              </w:trPr>
              <w:tc>
                <w:tcPr>
                  <w:tcW w:w="2907" w:type="dxa"/>
                  <w:shd w:val="clear" w:color="auto" w:fill="F2F2F2" w:themeFill="background1" w:themeFillShade="F2"/>
                </w:tcPr>
                <w:p w14:paraId="5C16AC47" w14:textId="77777777" w:rsidR="00D87EE4" w:rsidRPr="00304E76" w:rsidRDefault="00D87EE4" w:rsidP="00316991">
                  <w:r w:rsidRPr="00304E76">
                    <w:t># Responses per Respondent</w:t>
                  </w:r>
                </w:p>
              </w:tc>
              <w:tc>
                <w:tcPr>
                  <w:tcW w:w="2107" w:type="dxa"/>
                  <w:tcBorders>
                    <w:right w:val="single" w:sz="4" w:space="0" w:color="auto"/>
                  </w:tcBorders>
                  <w:shd w:val="clear" w:color="auto" w:fill="FFFFFF" w:themeFill="background1"/>
                </w:tcPr>
                <w:p w14:paraId="6CDBFA3B" w14:textId="77777777" w:rsidR="00D87EE4" w:rsidRPr="009922D4" w:rsidRDefault="000A3AC4" w:rsidP="00D87EE4">
                  <w:r>
                    <w:t>4</w:t>
                  </w:r>
                </w:p>
              </w:tc>
              <w:tc>
                <w:tcPr>
                  <w:tcW w:w="4007" w:type="dxa"/>
                  <w:vMerge/>
                  <w:tcBorders>
                    <w:left w:val="single" w:sz="4" w:space="0" w:color="auto"/>
                    <w:right w:val="nil"/>
                  </w:tcBorders>
                  <w:shd w:val="clear" w:color="auto" w:fill="FFFFFF" w:themeFill="background1"/>
                </w:tcPr>
                <w:p w14:paraId="4E1B8C7D" w14:textId="77777777" w:rsidR="00D87EE4" w:rsidRPr="00D87EE4" w:rsidRDefault="00D87EE4" w:rsidP="00D87EE4">
                  <w:pPr>
                    <w:rPr>
                      <w:highlight w:val="yellow"/>
                    </w:rPr>
                  </w:pPr>
                </w:p>
              </w:tc>
            </w:tr>
            <w:tr w:rsidR="00D87EE4" w14:paraId="3733B90A" w14:textId="77777777" w:rsidTr="00316991">
              <w:trPr>
                <w:trHeight w:val="308"/>
              </w:trPr>
              <w:tc>
                <w:tcPr>
                  <w:tcW w:w="2907" w:type="dxa"/>
                  <w:shd w:val="clear" w:color="auto" w:fill="D9D9D9" w:themeFill="background1" w:themeFillShade="D9"/>
                </w:tcPr>
                <w:p w14:paraId="446DED21" w14:textId="77777777" w:rsidR="00D87EE4" w:rsidRPr="00304E76" w:rsidRDefault="00D87EE4" w:rsidP="00316991">
                  <w:pPr>
                    <w:rPr>
                      <w:b/>
                    </w:rPr>
                  </w:pPr>
                  <w:r w:rsidRPr="00304E76">
                    <w:rPr>
                      <w:b/>
                    </w:rPr>
                    <w:t>Total # Responses</w:t>
                  </w:r>
                </w:p>
              </w:tc>
              <w:tc>
                <w:tcPr>
                  <w:tcW w:w="2107" w:type="dxa"/>
                  <w:tcBorders>
                    <w:right w:val="single" w:sz="4" w:space="0" w:color="auto"/>
                  </w:tcBorders>
                </w:tcPr>
                <w:p w14:paraId="482ED8B0" w14:textId="77777777" w:rsidR="00D87EE4" w:rsidRPr="009922D4" w:rsidRDefault="000A3AC4" w:rsidP="00D87EE4">
                  <w:pPr>
                    <w:rPr>
                      <w:b/>
                    </w:rPr>
                  </w:pPr>
                  <w:r>
                    <w:rPr>
                      <w:b/>
                    </w:rPr>
                    <w:t>380</w:t>
                  </w:r>
                </w:p>
              </w:tc>
              <w:tc>
                <w:tcPr>
                  <w:tcW w:w="4007" w:type="dxa"/>
                  <w:vMerge/>
                  <w:tcBorders>
                    <w:left w:val="single" w:sz="4" w:space="0" w:color="auto"/>
                    <w:bottom w:val="nil"/>
                    <w:right w:val="nil"/>
                  </w:tcBorders>
                </w:tcPr>
                <w:p w14:paraId="483BBFA3" w14:textId="77777777" w:rsidR="00D87EE4" w:rsidRPr="00D87EE4" w:rsidRDefault="00D87EE4" w:rsidP="00D87EE4">
                  <w:pPr>
                    <w:rPr>
                      <w:b/>
                      <w:i/>
                      <w:highlight w:val="yellow"/>
                    </w:rPr>
                  </w:pPr>
                </w:p>
              </w:tc>
            </w:tr>
          </w:tbl>
          <w:p w14:paraId="564E92E4" w14:textId="77777777" w:rsidR="00D87EE4" w:rsidRDefault="00D87EE4" w:rsidP="00D87EE4">
            <w:pPr>
              <w:pStyle w:val="Heading5"/>
              <w:outlineLvl w:val="4"/>
            </w:pPr>
            <w:r>
              <w:t>Burden per Response</w:t>
            </w:r>
          </w:p>
          <w:tbl>
            <w:tblPr>
              <w:tblStyle w:val="TableGrid"/>
              <w:tblW w:w="9136" w:type="dxa"/>
              <w:tblLook w:val="04A0" w:firstRow="1" w:lastRow="0" w:firstColumn="1" w:lastColumn="0" w:noHBand="0" w:noVBand="1"/>
            </w:tblPr>
            <w:tblGrid>
              <w:gridCol w:w="2942"/>
              <w:gridCol w:w="2070"/>
              <w:gridCol w:w="4124"/>
            </w:tblGrid>
            <w:tr w:rsidR="00D87EE4" w14:paraId="1C7AF142" w14:textId="77777777" w:rsidTr="00316991">
              <w:tc>
                <w:tcPr>
                  <w:tcW w:w="2942" w:type="dxa"/>
                  <w:shd w:val="clear" w:color="auto" w:fill="F2F2F2" w:themeFill="background1" w:themeFillShade="F2"/>
                </w:tcPr>
                <w:p w14:paraId="1F662200" w14:textId="77777777" w:rsidR="00D87EE4" w:rsidRPr="00316991" w:rsidRDefault="00D87EE4" w:rsidP="00316991">
                  <w:r w:rsidRPr="00316991">
                    <w:t>Time per Response (Hours)</w:t>
                  </w:r>
                </w:p>
              </w:tc>
              <w:tc>
                <w:tcPr>
                  <w:tcW w:w="2070" w:type="dxa"/>
                  <w:tcBorders>
                    <w:right w:val="single" w:sz="4" w:space="0" w:color="auto"/>
                  </w:tcBorders>
                </w:tcPr>
                <w:p w14:paraId="2C33266E" w14:textId="77777777" w:rsidR="00D87EE4" w:rsidRPr="009922D4" w:rsidRDefault="009922D4" w:rsidP="00D87EE4">
                  <w:r>
                    <w:t>5</w:t>
                  </w:r>
                </w:p>
              </w:tc>
              <w:tc>
                <w:tcPr>
                  <w:tcW w:w="4124" w:type="dxa"/>
                  <w:tcBorders>
                    <w:top w:val="nil"/>
                    <w:left w:val="single" w:sz="4" w:space="0" w:color="auto"/>
                    <w:bottom w:val="nil"/>
                    <w:right w:val="nil"/>
                  </w:tcBorders>
                </w:tcPr>
                <w:p w14:paraId="415607ED" w14:textId="77777777" w:rsidR="00D87EE4" w:rsidRPr="00D87EE4" w:rsidRDefault="00D87EE4" w:rsidP="00D87EE4">
                  <w:pPr>
                    <w:rPr>
                      <w:highlight w:val="yellow"/>
                    </w:rPr>
                  </w:pPr>
                </w:p>
              </w:tc>
            </w:tr>
            <w:tr w:rsidR="00D87EE4" w:rsidRPr="00962EF6" w14:paraId="4A226C98" w14:textId="77777777" w:rsidTr="00316991">
              <w:tc>
                <w:tcPr>
                  <w:tcW w:w="2942" w:type="dxa"/>
                  <w:shd w:val="clear" w:color="auto" w:fill="F2F2F2" w:themeFill="background1" w:themeFillShade="F2"/>
                </w:tcPr>
                <w:p w14:paraId="33862281" w14:textId="77777777" w:rsidR="00D87EE4" w:rsidRPr="00316991" w:rsidRDefault="00D87EE4" w:rsidP="00316991">
                  <w:r w:rsidRPr="00316991">
                    <w:t>Cost per Response (Dollars)</w:t>
                  </w:r>
                </w:p>
              </w:tc>
              <w:tc>
                <w:tcPr>
                  <w:tcW w:w="2070" w:type="dxa"/>
                  <w:tcBorders>
                    <w:right w:val="single" w:sz="4" w:space="0" w:color="auto"/>
                  </w:tcBorders>
                  <w:shd w:val="clear" w:color="auto" w:fill="FFFFFF" w:themeFill="background1"/>
                </w:tcPr>
                <w:p w14:paraId="3BE68B2D" w14:textId="77777777" w:rsidR="00D87EE4" w:rsidRPr="009922D4" w:rsidRDefault="000A3AC4" w:rsidP="00D87EE4">
                  <w:r>
                    <w:t>$275.00</w:t>
                  </w:r>
                </w:p>
              </w:tc>
              <w:tc>
                <w:tcPr>
                  <w:tcW w:w="4124" w:type="dxa"/>
                  <w:tcBorders>
                    <w:top w:val="nil"/>
                    <w:left w:val="single" w:sz="4" w:space="0" w:color="auto"/>
                    <w:bottom w:val="nil"/>
                    <w:right w:val="nil"/>
                  </w:tcBorders>
                  <w:shd w:val="clear" w:color="auto" w:fill="FFFFFF" w:themeFill="background1"/>
                </w:tcPr>
                <w:p w14:paraId="16760ECC" w14:textId="77777777" w:rsidR="00D87EE4" w:rsidRPr="00D87EE4" w:rsidRDefault="00D87EE4" w:rsidP="00D87EE4">
                  <w:pPr>
                    <w:rPr>
                      <w:highlight w:val="yellow"/>
                    </w:rPr>
                  </w:pPr>
                </w:p>
              </w:tc>
            </w:tr>
          </w:tbl>
          <w:p w14:paraId="25ACDDCF" w14:textId="77777777" w:rsidR="00D87EE4" w:rsidRDefault="00D87EE4" w:rsidP="00D87EE4">
            <w:pPr>
              <w:pStyle w:val="Heading5"/>
              <w:outlineLvl w:val="4"/>
            </w:pPr>
            <w:r>
              <w:t>Annual Burden</w:t>
            </w:r>
          </w:p>
          <w:tbl>
            <w:tblPr>
              <w:tblStyle w:val="TableGrid"/>
              <w:tblW w:w="9212" w:type="dxa"/>
              <w:tblLook w:val="04A0" w:firstRow="1" w:lastRow="0" w:firstColumn="1" w:lastColumn="0" w:noHBand="0" w:noVBand="1"/>
            </w:tblPr>
            <w:tblGrid>
              <w:gridCol w:w="2967"/>
              <w:gridCol w:w="2049"/>
              <w:gridCol w:w="4196"/>
            </w:tblGrid>
            <w:tr w:rsidR="00D87EE4" w14:paraId="6C37A075" w14:textId="77777777" w:rsidTr="00316991">
              <w:tc>
                <w:tcPr>
                  <w:tcW w:w="2967" w:type="dxa"/>
                  <w:shd w:val="clear" w:color="auto" w:fill="D9D9D9" w:themeFill="background1" w:themeFillShade="D9"/>
                </w:tcPr>
                <w:p w14:paraId="73C618D3" w14:textId="77777777" w:rsidR="00D87EE4" w:rsidRPr="00316991" w:rsidRDefault="00D87EE4" w:rsidP="00316991">
                  <w:pPr>
                    <w:rPr>
                      <w:b/>
                    </w:rPr>
                  </w:pPr>
                  <w:r w:rsidRPr="00316991">
                    <w:rPr>
                      <w:b/>
                    </w:rPr>
                    <w:t>Annual Time Burden (Hours)</w:t>
                  </w:r>
                </w:p>
              </w:tc>
              <w:tc>
                <w:tcPr>
                  <w:tcW w:w="2049" w:type="dxa"/>
                  <w:tcBorders>
                    <w:right w:val="single" w:sz="4" w:space="0" w:color="auto"/>
                  </w:tcBorders>
                </w:tcPr>
                <w:p w14:paraId="11B35390" w14:textId="77777777" w:rsidR="00D87EE4" w:rsidRPr="009922D4" w:rsidRDefault="000A3AC4" w:rsidP="00D87EE4">
                  <w:r>
                    <w:t>1,900</w:t>
                  </w:r>
                </w:p>
              </w:tc>
              <w:tc>
                <w:tcPr>
                  <w:tcW w:w="4196" w:type="dxa"/>
                  <w:vMerge w:val="restart"/>
                  <w:tcBorders>
                    <w:top w:val="nil"/>
                    <w:left w:val="single" w:sz="4" w:space="0" w:color="auto"/>
                    <w:right w:val="nil"/>
                  </w:tcBorders>
                </w:tcPr>
                <w:p w14:paraId="279966FF" w14:textId="77777777" w:rsidR="00D87EE4" w:rsidRPr="00304E76" w:rsidRDefault="00D87EE4" w:rsidP="00304E76">
                  <w:pPr>
                    <w:jc w:val="right"/>
                    <w:rPr>
                      <w:i/>
                      <w:sz w:val="15"/>
                      <w:szCs w:val="15"/>
                    </w:rPr>
                  </w:pPr>
                  <w:r w:rsidRPr="00304E76">
                    <w:rPr>
                      <w:i/>
                      <w:sz w:val="15"/>
                      <w:szCs w:val="15"/>
                    </w:rPr>
                    <w:t xml:space="preserve">Annual Time Burden = (Total # Responses) X (Time per </w:t>
                  </w:r>
                  <w:r w:rsidR="00304E76" w:rsidRPr="00304E76">
                    <w:rPr>
                      <w:i/>
                      <w:sz w:val="15"/>
                      <w:szCs w:val="15"/>
                    </w:rPr>
                    <w:t>Response</w:t>
                  </w:r>
                  <w:r w:rsidRPr="00304E76">
                    <w:rPr>
                      <w:i/>
                      <w:sz w:val="15"/>
                      <w:szCs w:val="15"/>
                    </w:rPr>
                    <w:t>)</w:t>
                  </w:r>
                </w:p>
                <w:p w14:paraId="43111A81" w14:textId="77777777" w:rsidR="00304E76" w:rsidRPr="00304E76" w:rsidRDefault="00304E76" w:rsidP="00304E76">
                  <w:pPr>
                    <w:jc w:val="right"/>
                    <w:rPr>
                      <w:i/>
                      <w:sz w:val="15"/>
                      <w:szCs w:val="15"/>
                    </w:rPr>
                  </w:pPr>
                </w:p>
                <w:p w14:paraId="0232A6DA" w14:textId="77777777" w:rsidR="00304E76" w:rsidRPr="00304E76" w:rsidRDefault="00304E76" w:rsidP="00304E76">
                  <w:pPr>
                    <w:jc w:val="right"/>
                    <w:rPr>
                      <w:i/>
                      <w:sz w:val="16"/>
                    </w:rPr>
                  </w:pPr>
                  <w:r w:rsidRPr="00304E76">
                    <w:rPr>
                      <w:i/>
                      <w:sz w:val="15"/>
                      <w:szCs w:val="15"/>
                    </w:rPr>
                    <w:t>Annual Cost Burden = (Total # Responses) X (Cost per Response)</w:t>
                  </w:r>
                </w:p>
              </w:tc>
            </w:tr>
            <w:tr w:rsidR="00D87EE4" w:rsidRPr="00962EF6" w14:paraId="71C95667" w14:textId="77777777" w:rsidTr="00316991">
              <w:tc>
                <w:tcPr>
                  <w:tcW w:w="2967" w:type="dxa"/>
                  <w:shd w:val="clear" w:color="auto" w:fill="D9D9D9" w:themeFill="background1" w:themeFillShade="D9"/>
                </w:tcPr>
                <w:p w14:paraId="2D13893D" w14:textId="77777777" w:rsidR="00D87EE4" w:rsidRPr="00316991" w:rsidRDefault="00D87EE4" w:rsidP="00316991">
                  <w:pPr>
                    <w:rPr>
                      <w:b/>
                    </w:rPr>
                  </w:pPr>
                  <w:r w:rsidRPr="00316991">
                    <w:rPr>
                      <w:b/>
                    </w:rPr>
                    <w:t>Annual Cost Burden (Dollars)</w:t>
                  </w:r>
                </w:p>
              </w:tc>
              <w:tc>
                <w:tcPr>
                  <w:tcW w:w="2049" w:type="dxa"/>
                  <w:tcBorders>
                    <w:right w:val="single" w:sz="4" w:space="0" w:color="auto"/>
                  </w:tcBorders>
                  <w:shd w:val="clear" w:color="auto" w:fill="FFFFFF" w:themeFill="background1"/>
                </w:tcPr>
                <w:p w14:paraId="6184C6BE" w14:textId="77777777" w:rsidR="00D87EE4" w:rsidRPr="009922D4" w:rsidRDefault="000A3AC4" w:rsidP="00D87EE4">
                  <w:pPr>
                    <w:rPr>
                      <w:b/>
                    </w:rPr>
                  </w:pPr>
                  <w:r>
                    <w:rPr>
                      <w:b/>
                    </w:rPr>
                    <w:t>$104,500.00</w:t>
                  </w:r>
                </w:p>
              </w:tc>
              <w:tc>
                <w:tcPr>
                  <w:tcW w:w="4196" w:type="dxa"/>
                  <w:vMerge/>
                  <w:tcBorders>
                    <w:left w:val="single" w:sz="4" w:space="0" w:color="auto"/>
                    <w:bottom w:val="nil"/>
                    <w:right w:val="nil"/>
                  </w:tcBorders>
                  <w:shd w:val="clear" w:color="auto" w:fill="FFFFFF" w:themeFill="background1"/>
                </w:tcPr>
                <w:p w14:paraId="3DC96235" w14:textId="77777777" w:rsidR="00D87EE4" w:rsidRPr="00D87EE4" w:rsidRDefault="00D87EE4" w:rsidP="00D87EE4">
                  <w:pPr>
                    <w:rPr>
                      <w:b/>
                    </w:rPr>
                  </w:pPr>
                </w:p>
              </w:tc>
            </w:tr>
          </w:tbl>
          <w:p w14:paraId="5404B4BD" w14:textId="77777777" w:rsidR="00304E76" w:rsidRPr="00D87EE4" w:rsidRDefault="00D87EE4" w:rsidP="00D87EE4">
            <w:r>
              <w:t xml:space="preserve"> </w:t>
            </w:r>
          </w:p>
        </w:tc>
      </w:tr>
    </w:tbl>
    <w:p w14:paraId="52774D11" w14:textId="77777777" w:rsidR="000A3AC4" w:rsidRDefault="000A3AC4" w:rsidP="000A3AC4">
      <w:r w:rsidRPr="000A3AC4">
        <w:t>This collection is conducted</w:t>
      </w:r>
      <w:r>
        <w:t xml:space="preserve"> quarterly</w:t>
      </w:r>
      <w:r w:rsidRPr="000A3AC4">
        <w:t>.</w:t>
      </w:r>
    </w:p>
    <w:p w14:paraId="45D46EC0" w14:textId="77777777" w:rsidR="000A3AC4" w:rsidRDefault="000A3AC4" w:rsidP="000A3AC4">
      <w:r w:rsidRPr="000A3AC4">
        <w:t>Respondent wage was estimated based on</w:t>
      </w:r>
      <w:r>
        <w:t xml:space="preserve"> a median hourly wage of $55.62 (rounded down to $55.00) using wage information available from the Bureau of Labor Statistics at </w:t>
      </w:r>
      <w:hyperlink r:id="rId9" w:history="1">
        <w:r w:rsidRPr="00D03C1B">
          <w:rPr>
            <w:rStyle w:val="Hyperlink"/>
          </w:rPr>
          <w:t>https://www.bls.gov</w:t>
        </w:r>
      </w:hyperlink>
      <w:r>
        <w:t>.</w:t>
      </w:r>
    </w:p>
    <w:p w14:paraId="01A992F8" w14:textId="77777777" w:rsidR="00F92887" w:rsidRDefault="00F92887" w:rsidP="00883A92">
      <w:pPr>
        <w:pStyle w:val="Heading2"/>
        <w:numPr>
          <w:ilvl w:val="0"/>
          <w:numId w:val="27"/>
        </w:numPr>
      </w:pPr>
      <w:r w:rsidRPr="00445EA8">
        <w:t>Respondent Costs Other Than Burden Hour Costs</w:t>
      </w:r>
    </w:p>
    <w:p w14:paraId="6177F80D" w14:textId="569E0F91" w:rsidR="00883A92" w:rsidRDefault="00883A92" w:rsidP="00883A92">
      <w:r w:rsidRPr="000A3AC4">
        <w:t>There are no annualized costs to respondents to complete this collection other than the labor burden costs addressed in Section 12 of this document.</w:t>
      </w:r>
    </w:p>
    <w:p w14:paraId="08C8147B" w14:textId="7EC66E40" w:rsidR="00B97474" w:rsidRDefault="00B97474" w:rsidP="00883A92"/>
    <w:p w14:paraId="1D80769A" w14:textId="6452B468" w:rsidR="00B97474" w:rsidRDefault="00B97474" w:rsidP="00883A92"/>
    <w:p w14:paraId="53DFD80A" w14:textId="4D6FE4CE" w:rsidR="00B97474" w:rsidRDefault="00B97474" w:rsidP="00883A92"/>
    <w:p w14:paraId="58A97F43" w14:textId="798411AA" w:rsidR="00B97474" w:rsidRDefault="00B97474" w:rsidP="00883A92"/>
    <w:p w14:paraId="5AA6AF47" w14:textId="77777777" w:rsidR="00B97474" w:rsidRPr="00883A92" w:rsidRDefault="00B97474" w:rsidP="00883A92"/>
    <w:p w14:paraId="52740142" w14:textId="77777777" w:rsidR="00F92887" w:rsidRDefault="00F92887" w:rsidP="00883A92">
      <w:pPr>
        <w:pStyle w:val="Heading2"/>
        <w:numPr>
          <w:ilvl w:val="0"/>
          <w:numId w:val="27"/>
        </w:numPr>
      </w:pPr>
      <w:r w:rsidRPr="00445EA8">
        <w:t>Cost to the Federal Government</w:t>
      </w:r>
    </w:p>
    <w:p w14:paraId="476133EB" w14:textId="77777777" w:rsidR="009E0C42" w:rsidRDefault="009E0C42" w:rsidP="009E0C42">
      <w:pPr>
        <w:pStyle w:val="Heading3"/>
      </w:pPr>
      <w:r>
        <w:t>Part A: Labor Cost to the Federal Government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3"/>
      </w:tblGrid>
      <w:tr w:rsidR="00883A92" w14:paraId="2C11BFF4" w14:textId="77777777" w:rsidTr="007B5363">
        <w:tc>
          <w:tcPr>
            <w:tcW w:w="9350" w:type="dxa"/>
          </w:tcPr>
          <w:p w14:paraId="77118A45" w14:textId="77777777" w:rsidR="00883A92" w:rsidRPr="00316991" w:rsidRDefault="000A3AC4" w:rsidP="00342781">
            <w:pPr>
              <w:rPr>
                <w:rStyle w:val="IntenseEmphasis"/>
              </w:rPr>
            </w:pPr>
            <w:r>
              <w:rPr>
                <w:rStyle w:val="IntenseEmphasis"/>
              </w:rPr>
              <w:t>DLA Form 1806</w:t>
            </w:r>
          </w:p>
          <w:p w14:paraId="76F27957" w14:textId="77777777" w:rsidR="00883A92" w:rsidRDefault="00883A92" w:rsidP="00342781">
            <w:pPr>
              <w:pStyle w:val="Heading5"/>
              <w:outlineLvl w:val="4"/>
            </w:pPr>
            <w:r>
              <w:t>Response Volume (Annual)</w:t>
            </w:r>
          </w:p>
          <w:tbl>
            <w:tblPr>
              <w:tblStyle w:val="TableGrid"/>
              <w:tblW w:w="9021" w:type="dxa"/>
              <w:tblLook w:val="04A0" w:firstRow="1" w:lastRow="0" w:firstColumn="1" w:lastColumn="0" w:noHBand="0" w:noVBand="1"/>
            </w:tblPr>
            <w:tblGrid>
              <w:gridCol w:w="2907"/>
              <w:gridCol w:w="2107"/>
              <w:gridCol w:w="4007"/>
            </w:tblGrid>
            <w:tr w:rsidR="00883A92" w14:paraId="031B5472" w14:textId="77777777" w:rsidTr="00883A92">
              <w:trPr>
                <w:trHeight w:val="308"/>
              </w:trPr>
              <w:tc>
                <w:tcPr>
                  <w:tcW w:w="2907" w:type="dxa"/>
                  <w:shd w:val="clear" w:color="auto" w:fill="D9D9D9" w:themeFill="background1" w:themeFillShade="D9"/>
                </w:tcPr>
                <w:p w14:paraId="4F25FD9C" w14:textId="77777777" w:rsidR="00883A92" w:rsidRPr="00304E76" w:rsidRDefault="00883A92" w:rsidP="00342781">
                  <w:pPr>
                    <w:rPr>
                      <w:b/>
                    </w:rPr>
                  </w:pPr>
                  <w:r w:rsidRPr="00304E76">
                    <w:rPr>
                      <w:b/>
                    </w:rPr>
                    <w:t>Total # Responses</w:t>
                  </w:r>
                </w:p>
              </w:tc>
              <w:tc>
                <w:tcPr>
                  <w:tcW w:w="2107" w:type="dxa"/>
                  <w:tcBorders>
                    <w:right w:val="single" w:sz="4" w:space="0" w:color="auto"/>
                  </w:tcBorders>
                </w:tcPr>
                <w:p w14:paraId="7F7F1F03" w14:textId="77777777" w:rsidR="00883A92" w:rsidRPr="000A3AC4" w:rsidRDefault="000A3AC4" w:rsidP="00342781">
                  <w:pPr>
                    <w:rPr>
                      <w:b/>
                    </w:rPr>
                  </w:pPr>
                  <w:r w:rsidRPr="000A3AC4">
                    <w:rPr>
                      <w:b/>
                    </w:rPr>
                    <w:t>380</w:t>
                  </w:r>
                </w:p>
              </w:tc>
              <w:tc>
                <w:tcPr>
                  <w:tcW w:w="4007" w:type="dxa"/>
                  <w:tcBorders>
                    <w:top w:val="nil"/>
                    <w:left w:val="single" w:sz="4" w:space="0" w:color="auto"/>
                    <w:bottom w:val="nil"/>
                    <w:right w:val="nil"/>
                  </w:tcBorders>
                </w:tcPr>
                <w:p w14:paraId="4AD5B205" w14:textId="77777777" w:rsidR="00883A92" w:rsidRPr="00883A92" w:rsidRDefault="00883A92" w:rsidP="00883A92">
                  <w:pPr>
                    <w:jc w:val="right"/>
                    <w:rPr>
                      <w:i/>
                    </w:rPr>
                  </w:pPr>
                  <w:r>
                    <w:rPr>
                      <w:i/>
                      <w:sz w:val="15"/>
                      <w:szCs w:val="15"/>
                    </w:rPr>
                    <w:t xml:space="preserve">Matches </w:t>
                  </w:r>
                  <w:r w:rsidRPr="00304E76">
                    <w:rPr>
                      <w:i/>
                      <w:sz w:val="15"/>
                      <w:szCs w:val="15"/>
                    </w:rPr>
                    <w:t>Tot</w:t>
                  </w:r>
                  <w:r>
                    <w:rPr>
                      <w:i/>
                      <w:sz w:val="15"/>
                      <w:szCs w:val="15"/>
                    </w:rPr>
                    <w:t>al # Responses from Section 12</w:t>
                  </w:r>
                </w:p>
              </w:tc>
            </w:tr>
          </w:tbl>
          <w:p w14:paraId="4A8338BC" w14:textId="77777777" w:rsidR="00883A92" w:rsidRDefault="00883A92" w:rsidP="00342781">
            <w:pPr>
              <w:pStyle w:val="Heading5"/>
              <w:outlineLvl w:val="4"/>
            </w:pPr>
            <w:r>
              <w:t>Processing Burden per Response</w:t>
            </w:r>
          </w:p>
          <w:tbl>
            <w:tblPr>
              <w:tblStyle w:val="TableGrid"/>
              <w:tblW w:w="9136" w:type="dxa"/>
              <w:tblLook w:val="04A0" w:firstRow="1" w:lastRow="0" w:firstColumn="1" w:lastColumn="0" w:noHBand="0" w:noVBand="1"/>
            </w:tblPr>
            <w:tblGrid>
              <w:gridCol w:w="2942"/>
              <w:gridCol w:w="2070"/>
              <w:gridCol w:w="4124"/>
            </w:tblGrid>
            <w:tr w:rsidR="00883A92" w14:paraId="7F647F02" w14:textId="77777777" w:rsidTr="00342781">
              <w:tc>
                <w:tcPr>
                  <w:tcW w:w="2942" w:type="dxa"/>
                  <w:shd w:val="clear" w:color="auto" w:fill="F2F2F2" w:themeFill="background1" w:themeFillShade="F2"/>
                </w:tcPr>
                <w:p w14:paraId="27245B4B" w14:textId="77777777" w:rsidR="00883A92" w:rsidRPr="00316991" w:rsidRDefault="00883A92" w:rsidP="00342781">
                  <w:r w:rsidRPr="00316991">
                    <w:t>Time per Response (Hours)</w:t>
                  </w:r>
                </w:p>
              </w:tc>
              <w:tc>
                <w:tcPr>
                  <w:tcW w:w="2070" w:type="dxa"/>
                  <w:tcBorders>
                    <w:right w:val="single" w:sz="4" w:space="0" w:color="auto"/>
                  </w:tcBorders>
                </w:tcPr>
                <w:p w14:paraId="38CF124E" w14:textId="77777777" w:rsidR="00883A92" w:rsidRPr="000A3AC4" w:rsidRDefault="000A3AC4" w:rsidP="00342781">
                  <w:r>
                    <w:t>.25</w:t>
                  </w:r>
                </w:p>
              </w:tc>
              <w:tc>
                <w:tcPr>
                  <w:tcW w:w="4124" w:type="dxa"/>
                  <w:tcBorders>
                    <w:top w:val="nil"/>
                    <w:left w:val="single" w:sz="4" w:space="0" w:color="auto"/>
                    <w:bottom w:val="nil"/>
                    <w:right w:val="nil"/>
                  </w:tcBorders>
                </w:tcPr>
                <w:p w14:paraId="7AFE0DCE" w14:textId="77777777" w:rsidR="00883A92" w:rsidRPr="00D87EE4" w:rsidRDefault="00883A92" w:rsidP="00342781">
                  <w:pPr>
                    <w:rPr>
                      <w:highlight w:val="yellow"/>
                    </w:rPr>
                  </w:pPr>
                </w:p>
              </w:tc>
            </w:tr>
            <w:tr w:rsidR="00883A92" w:rsidRPr="00962EF6" w14:paraId="5C9A31B6" w14:textId="77777777" w:rsidTr="00342781">
              <w:tc>
                <w:tcPr>
                  <w:tcW w:w="2942" w:type="dxa"/>
                  <w:shd w:val="clear" w:color="auto" w:fill="F2F2F2" w:themeFill="background1" w:themeFillShade="F2"/>
                </w:tcPr>
                <w:p w14:paraId="4D697493" w14:textId="77777777" w:rsidR="00883A92" w:rsidRPr="00316991" w:rsidRDefault="00883A92" w:rsidP="00342781">
                  <w:r w:rsidRPr="00316991">
                    <w:t>Cost per Response (Dollars)</w:t>
                  </w:r>
                </w:p>
              </w:tc>
              <w:tc>
                <w:tcPr>
                  <w:tcW w:w="2070" w:type="dxa"/>
                  <w:tcBorders>
                    <w:right w:val="single" w:sz="4" w:space="0" w:color="auto"/>
                  </w:tcBorders>
                  <w:shd w:val="clear" w:color="auto" w:fill="FFFFFF" w:themeFill="background1"/>
                </w:tcPr>
                <w:p w14:paraId="61AA0730" w14:textId="77777777" w:rsidR="00883A92" w:rsidRPr="000A3AC4" w:rsidRDefault="007B5363" w:rsidP="00342781">
                  <w:r>
                    <w:t>$8.75</w:t>
                  </w:r>
                </w:p>
              </w:tc>
              <w:tc>
                <w:tcPr>
                  <w:tcW w:w="4124" w:type="dxa"/>
                  <w:tcBorders>
                    <w:top w:val="nil"/>
                    <w:left w:val="single" w:sz="4" w:space="0" w:color="auto"/>
                    <w:bottom w:val="nil"/>
                    <w:right w:val="nil"/>
                  </w:tcBorders>
                  <w:shd w:val="clear" w:color="auto" w:fill="FFFFFF" w:themeFill="background1"/>
                </w:tcPr>
                <w:p w14:paraId="52E2A9D5" w14:textId="77777777" w:rsidR="00883A92" w:rsidRPr="00D87EE4" w:rsidRDefault="00883A92" w:rsidP="00342781">
                  <w:pPr>
                    <w:rPr>
                      <w:highlight w:val="yellow"/>
                    </w:rPr>
                  </w:pPr>
                </w:p>
              </w:tc>
            </w:tr>
          </w:tbl>
          <w:p w14:paraId="2271EB16" w14:textId="77777777" w:rsidR="00883A92" w:rsidRDefault="00883A92" w:rsidP="00342781">
            <w:pPr>
              <w:pStyle w:val="Heading5"/>
              <w:outlineLvl w:val="4"/>
            </w:pPr>
            <w:r>
              <w:t xml:space="preserve">Annual </w:t>
            </w:r>
            <w:r w:rsidR="009E0C42">
              <w:t xml:space="preserve">Processing </w:t>
            </w:r>
            <w:r>
              <w:t>Burden</w:t>
            </w:r>
          </w:p>
          <w:tbl>
            <w:tblPr>
              <w:tblStyle w:val="TableGrid"/>
              <w:tblW w:w="9212" w:type="dxa"/>
              <w:tblLook w:val="04A0" w:firstRow="1" w:lastRow="0" w:firstColumn="1" w:lastColumn="0" w:noHBand="0" w:noVBand="1"/>
            </w:tblPr>
            <w:tblGrid>
              <w:gridCol w:w="2967"/>
              <w:gridCol w:w="2049"/>
              <w:gridCol w:w="4196"/>
            </w:tblGrid>
            <w:tr w:rsidR="00883A92" w14:paraId="6BC2380D" w14:textId="77777777" w:rsidTr="00342781">
              <w:tc>
                <w:tcPr>
                  <w:tcW w:w="2967" w:type="dxa"/>
                  <w:shd w:val="clear" w:color="auto" w:fill="D9D9D9" w:themeFill="background1" w:themeFillShade="D9"/>
                </w:tcPr>
                <w:p w14:paraId="075467EA" w14:textId="77777777" w:rsidR="00883A92" w:rsidRPr="00316991" w:rsidRDefault="00883A92" w:rsidP="00342781">
                  <w:pPr>
                    <w:rPr>
                      <w:b/>
                    </w:rPr>
                  </w:pPr>
                  <w:r w:rsidRPr="00316991">
                    <w:rPr>
                      <w:b/>
                    </w:rPr>
                    <w:t>Annual Time Burden (Hours)</w:t>
                  </w:r>
                </w:p>
              </w:tc>
              <w:tc>
                <w:tcPr>
                  <w:tcW w:w="2049" w:type="dxa"/>
                  <w:tcBorders>
                    <w:right w:val="single" w:sz="4" w:space="0" w:color="auto"/>
                  </w:tcBorders>
                </w:tcPr>
                <w:p w14:paraId="4C2322F8" w14:textId="77777777" w:rsidR="00883A92" w:rsidRPr="007B5363" w:rsidRDefault="007B5363" w:rsidP="00342781">
                  <w:pPr>
                    <w:rPr>
                      <w:b/>
                    </w:rPr>
                  </w:pPr>
                  <w:r w:rsidRPr="007B5363">
                    <w:rPr>
                      <w:b/>
                    </w:rPr>
                    <w:t>95</w:t>
                  </w:r>
                </w:p>
              </w:tc>
              <w:tc>
                <w:tcPr>
                  <w:tcW w:w="4196" w:type="dxa"/>
                  <w:vMerge w:val="restart"/>
                  <w:tcBorders>
                    <w:top w:val="nil"/>
                    <w:left w:val="single" w:sz="4" w:space="0" w:color="auto"/>
                    <w:right w:val="nil"/>
                  </w:tcBorders>
                </w:tcPr>
                <w:p w14:paraId="7B016F50" w14:textId="77777777" w:rsidR="00883A92" w:rsidRPr="00304E76" w:rsidRDefault="00883A92" w:rsidP="00342781">
                  <w:pPr>
                    <w:jc w:val="right"/>
                    <w:rPr>
                      <w:i/>
                      <w:sz w:val="15"/>
                      <w:szCs w:val="15"/>
                    </w:rPr>
                  </w:pPr>
                  <w:r w:rsidRPr="00304E76">
                    <w:rPr>
                      <w:i/>
                      <w:sz w:val="15"/>
                      <w:szCs w:val="15"/>
                    </w:rPr>
                    <w:t>Annual Time Burden = (Total # Responses) X (Time per Response)</w:t>
                  </w:r>
                </w:p>
                <w:p w14:paraId="01184D7F" w14:textId="77777777" w:rsidR="00883A92" w:rsidRPr="00304E76" w:rsidRDefault="00883A92" w:rsidP="00342781">
                  <w:pPr>
                    <w:jc w:val="right"/>
                    <w:rPr>
                      <w:i/>
                      <w:sz w:val="15"/>
                      <w:szCs w:val="15"/>
                    </w:rPr>
                  </w:pPr>
                </w:p>
                <w:p w14:paraId="1C61B750" w14:textId="77777777" w:rsidR="00883A92" w:rsidRPr="00304E76" w:rsidRDefault="00883A92" w:rsidP="00342781">
                  <w:pPr>
                    <w:jc w:val="right"/>
                    <w:rPr>
                      <w:i/>
                      <w:sz w:val="16"/>
                    </w:rPr>
                  </w:pPr>
                  <w:r w:rsidRPr="00304E76">
                    <w:rPr>
                      <w:i/>
                      <w:sz w:val="15"/>
                      <w:szCs w:val="15"/>
                    </w:rPr>
                    <w:t>Annual Cost Burden = (Total # Responses) X (Cost per Response)</w:t>
                  </w:r>
                </w:p>
              </w:tc>
            </w:tr>
            <w:tr w:rsidR="00883A92" w:rsidRPr="00962EF6" w14:paraId="123694F3" w14:textId="77777777" w:rsidTr="00342781">
              <w:tc>
                <w:tcPr>
                  <w:tcW w:w="2967" w:type="dxa"/>
                  <w:shd w:val="clear" w:color="auto" w:fill="D9D9D9" w:themeFill="background1" w:themeFillShade="D9"/>
                </w:tcPr>
                <w:p w14:paraId="14ED34B6" w14:textId="77777777" w:rsidR="00883A92" w:rsidRPr="00316991" w:rsidRDefault="00883A92" w:rsidP="00342781">
                  <w:pPr>
                    <w:rPr>
                      <w:b/>
                    </w:rPr>
                  </w:pPr>
                  <w:r w:rsidRPr="00316991">
                    <w:rPr>
                      <w:b/>
                    </w:rPr>
                    <w:t>Annual Cost Burden (Dollars)</w:t>
                  </w:r>
                </w:p>
              </w:tc>
              <w:tc>
                <w:tcPr>
                  <w:tcW w:w="2049" w:type="dxa"/>
                  <w:tcBorders>
                    <w:right w:val="single" w:sz="4" w:space="0" w:color="auto"/>
                  </w:tcBorders>
                  <w:shd w:val="clear" w:color="auto" w:fill="FFFFFF" w:themeFill="background1"/>
                </w:tcPr>
                <w:p w14:paraId="6B0BEE3A" w14:textId="77777777" w:rsidR="00883A92" w:rsidRPr="007B5363" w:rsidRDefault="007B5363" w:rsidP="00342781">
                  <w:pPr>
                    <w:rPr>
                      <w:b/>
                    </w:rPr>
                  </w:pPr>
                  <w:r>
                    <w:rPr>
                      <w:b/>
                    </w:rPr>
                    <w:t>$3,325.00</w:t>
                  </w:r>
                </w:p>
              </w:tc>
              <w:tc>
                <w:tcPr>
                  <w:tcW w:w="4196" w:type="dxa"/>
                  <w:vMerge/>
                  <w:tcBorders>
                    <w:left w:val="single" w:sz="4" w:space="0" w:color="auto"/>
                    <w:bottom w:val="nil"/>
                    <w:right w:val="nil"/>
                  </w:tcBorders>
                  <w:shd w:val="clear" w:color="auto" w:fill="FFFFFF" w:themeFill="background1"/>
                </w:tcPr>
                <w:p w14:paraId="43BF052E" w14:textId="77777777" w:rsidR="00883A92" w:rsidRPr="00D87EE4" w:rsidRDefault="00883A92" w:rsidP="00342781">
                  <w:pPr>
                    <w:rPr>
                      <w:b/>
                    </w:rPr>
                  </w:pPr>
                </w:p>
              </w:tc>
            </w:tr>
          </w:tbl>
          <w:p w14:paraId="52FCDC95" w14:textId="77777777" w:rsidR="00883A92" w:rsidRDefault="00883A92" w:rsidP="00342781">
            <w:r>
              <w:t xml:space="preserve"> </w:t>
            </w:r>
          </w:p>
          <w:p w14:paraId="49A723B5" w14:textId="77777777" w:rsidR="00883A92" w:rsidRPr="00D87EE4" w:rsidRDefault="000A3AC4" w:rsidP="000A3AC4">
            <w:r>
              <w:t>Wage information for government employees processing responses was estimated based on the average hourly wage for a GS-12 ($35.05, rounded down to $35.00) using wage information available from the Of</w:t>
            </w:r>
            <w:r w:rsidR="007B5363">
              <w:t xml:space="preserve">fice of Personnel Management at </w:t>
            </w:r>
            <w:hyperlink r:id="rId10" w:history="1">
              <w:r w:rsidR="007B5363" w:rsidRPr="00D03C1B">
                <w:rPr>
                  <w:rStyle w:val="Hyperlink"/>
                </w:rPr>
                <w:t>https://www.opm.gov</w:t>
              </w:r>
            </w:hyperlink>
            <w:r w:rsidR="007B5363">
              <w:t xml:space="preserve">. </w:t>
            </w:r>
          </w:p>
        </w:tc>
      </w:tr>
    </w:tbl>
    <w:p w14:paraId="3FFDCE61" w14:textId="77777777" w:rsidR="00883A92" w:rsidRDefault="009E0C42" w:rsidP="009E0C42">
      <w:pPr>
        <w:pStyle w:val="Heading3"/>
      </w:pPr>
      <w:r>
        <w:t>Part B: Operational and Maintenance Costs to the Federal Government</w:t>
      </w:r>
    </w:p>
    <w:tbl>
      <w:tblPr>
        <w:tblStyle w:val="TableGrid"/>
        <w:tblW w:w="4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4"/>
        <w:gridCol w:w="2462"/>
      </w:tblGrid>
      <w:tr w:rsidR="009E0C42" w14:paraId="55E0A823" w14:textId="77777777" w:rsidTr="00B97474">
        <w:tc>
          <w:tcPr>
            <w:tcW w:w="4546" w:type="dxa"/>
            <w:gridSpan w:val="2"/>
            <w:tcBorders>
              <w:bottom w:val="single" w:sz="4" w:space="0" w:color="auto"/>
            </w:tcBorders>
          </w:tcPr>
          <w:p w14:paraId="06E337CF" w14:textId="77777777" w:rsidR="009E0C42" w:rsidRPr="009E0C42" w:rsidRDefault="009E0C42" w:rsidP="009E0C42">
            <w:pPr>
              <w:rPr>
                <w:b/>
                <w:bCs/>
                <w:i/>
                <w:iCs/>
              </w:rPr>
            </w:pPr>
            <w:r>
              <w:rPr>
                <w:rStyle w:val="IntenseEmphasis"/>
              </w:rPr>
              <w:t>Operational and Maintenance Cost Categories</w:t>
            </w:r>
          </w:p>
        </w:tc>
      </w:tr>
      <w:tr w:rsidR="009E0C42" w14:paraId="479EA6C1" w14:textId="77777777" w:rsidTr="00B97474">
        <w:tc>
          <w:tcPr>
            <w:tcW w:w="2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9F1970" w14:textId="77777777" w:rsidR="009E0C42" w:rsidRPr="00D07CCA" w:rsidRDefault="00D07CCA" w:rsidP="009E0C42">
            <w:r>
              <w:t>Equipment</w:t>
            </w:r>
          </w:p>
        </w:tc>
        <w:tc>
          <w:tcPr>
            <w:tcW w:w="2462" w:type="dxa"/>
            <w:tcBorders>
              <w:top w:val="single" w:sz="4" w:space="0" w:color="auto"/>
              <w:left w:val="single" w:sz="4" w:space="0" w:color="auto"/>
              <w:bottom w:val="single" w:sz="4" w:space="0" w:color="auto"/>
              <w:right w:val="single" w:sz="4" w:space="0" w:color="auto"/>
            </w:tcBorders>
          </w:tcPr>
          <w:p w14:paraId="409FA58B" w14:textId="77777777" w:rsidR="009E0C42" w:rsidRPr="00D07CCA" w:rsidRDefault="00D07CCA" w:rsidP="00D07CCA">
            <w:r>
              <w:t>$ -</w:t>
            </w:r>
          </w:p>
        </w:tc>
      </w:tr>
      <w:tr w:rsidR="009E0C42" w14:paraId="4B268C5A" w14:textId="77777777" w:rsidTr="00B97474">
        <w:tc>
          <w:tcPr>
            <w:tcW w:w="2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00B1D" w14:textId="77777777" w:rsidR="009E0C42" w:rsidRPr="00D07CCA" w:rsidRDefault="00D07CCA" w:rsidP="009E0C42">
            <w:r>
              <w:t>Printing</w:t>
            </w:r>
          </w:p>
        </w:tc>
        <w:tc>
          <w:tcPr>
            <w:tcW w:w="2462" w:type="dxa"/>
            <w:tcBorders>
              <w:top w:val="single" w:sz="4" w:space="0" w:color="auto"/>
              <w:left w:val="single" w:sz="4" w:space="0" w:color="auto"/>
              <w:bottom w:val="single" w:sz="4" w:space="0" w:color="auto"/>
              <w:right w:val="single" w:sz="4" w:space="0" w:color="auto"/>
            </w:tcBorders>
          </w:tcPr>
          <w:p w14:paraId="61671892" w14:textId="77777777" w:rsidR="009E0C42" w:rsidRPr="00D07CCA" w:rsidRDefault="007B5363" w:rsidP="009E0C42">
            <w:r>
              <w:t>$500.00</w:t>
            </w:r>
          </w:p>
        </w:tc>
      </w:tr>
      <w:tr w:rsidR="00D07CCA" w14:paraId="747AC6EF" w14:textId="77777777" w:rsidTr="00B97474">
        <w:tc>
          <w:tcPr>
            <w:tcW w:w="2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E34771" w14:textId="77777777" w:rsidR="00D07CCA" w:rsidRPr="00D07CCA" w:rsidRDefault="00D07CCA" w:rsidP="00D07CCA">
            <w:r>
              <w:t>Postage</w:t>
            </w:r>
          </w:p>
        </w:tc>
        <w:tc>
          <w:tcPr>
            <w:tcW w:w="2462" w:type="dxa"/>
            <w:tcBorders>
              <w:top w:val="single" w:sz="4" w:space="0" w:color="auto"/>
              <w:left w:val="single" w:sz="4" w:space="0" w:color="auto"/>
              <w:bottom w:val="single" w:sz="4" w:space="0" w:color="auto"/>
              <w:right w:val="single" w:sz="4" w:space="0" w:color="auto"/>
            </w:tcBorders>
          </w:tcPr>
          <w:p w14:paraId="4A387F5C" w14:textId="77777777" w:rsidR="00D07CCA" w:rsidRPr="00D07CCA" w:rsidRDefault="00D07CCA" w:rsidP="00D07CCA">
            <w:r>
              <w:t>$ -</w:t>
            </w:r>
          </w:p>
        </w:tc>
      </w:tr>
      <w:tr w:rsidR="00D07CCA" w14:paraId="3262249B" w14:textId="77777777" w:rsidTr="00B97474">
        <w:tc>
          <w:tcPr>
            <w:tcW w:w="2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EA8DA" w14:textId="77777777" w:rsidR="00D07CCA" w:rsidRDefault="00D07CCA" w:rsidP="00D07CCA">
            <w:r>
              <w:t>Software Purchases</w:t>
            </w:r>
          </w:p>
        </w:tc>
        <w:tc>
          <w:tcPr>
            <w:tcW w:w="2462" w:type="dxa"/>
            <w:tcBorders>
              <w:top w:val="single" w:sz="4" w:space="0" w:color="auto"/>
              <w:left w:val="single" w:sz="4" w:space="0" w:color="auto"/>
              <w:bottom w:val="single" w:sz="4" w:space="0" w:color="auto"/>
              <w:right w:val="single" w:sz="4" w:space="0" w:color="auto"/>
            </w:tcBorders>
          </w:tcPr>
          <w:p w14:paraId="0A106793" w14:textId="77777777" w:rsidR="00D07CCA" w:rsidRPr="00D07CCA" w:rsidRDefault="00D07CCA" w:rsidP="00D07CCA">
            <w:r>
              <w:t>$ -</w:t>
            </w:r>
          </w:p>
        </w:tc>
      </w:tr>
      <w:tr w:rsidR="00D07CCA" w14:paraId="0C116D8D" w14:textId="77777777" w:rsidTr="00B97474">
        <w:tc>
          <w:tcPr>
            <w:tcW w:w="2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231C9B" w14:textId="77777777" w:rsidR="00D07CCA" w:rsidRDefault="00D07CCA" w:rsidP="00D07CCA">
            <w:r>
              <w:t>Licensing Costs</w:t>
            </w:r>
          </w:p>
        </w:tc>
        <w:tc>
          <w:tcPr>
            <w:tcW w:w="2462" w:type="dxa"/>
            <w:tcBorders>
              <w:top w:val="single" w:sz="4" w:space="0" w:color="auto"/>
              <w:left w:val="single" w:sz="4" w:space="0" w:color="auto"/>
              <w:bottom w:val="single" w:sz="4" w:space="0" w:color="auto"/>
              <w:right w:val="single" w:sz="4" w:space="0" w:color="auto"/>
            </w:tcBorders>
          </w:tcPr>
          <w:p w14:paraId="300D5F65" w14:textId="77777777" w:rsidR="00D07CCA" w:rsidRPr="00D07CCA" w:rsidRDefault="00D07CCA" w:rsidP="00D07CCA">
            <w:r>
              <w:t>$ -</w:t>
            </w:r>
          </w:p>
        </w:tc>
      </w:tr>
      <w:tr w:rsidR="00D07CCA" w14:paraId="23B3C898" w14:textId="77777777" w:rsidTr="00B97474">
        <w:tc>
          <w:tcPr>
            <w:tcW w:w="2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A4751F" w14:textId="77777777" w:rsidR="00D07CCA" w:rsidRDefault="00D07CCA" w:rsidP="00D07CCA">
            <w:r>
              <w:t>Other (Explain)</w:t>
            </w:r>
          </w:p>
        </w:tc>
        <w:tc>
          <w:tcPr>
            <w:tcW w:w="2462" w:type="dxa"/>
            <w:tcBorders>
              <w:top w:val="single" w:sz="4" w:space="0" w:color="auto"/>
              <w:left w:val="single" w:sz="4" w:space="0" w:color="auto"/>
              <w:bottom w:val="single" w:sz="4" w:space="0" w:color="auto"/>
              <w:right w:val="single" w:sz="4" w:space="0" w:color="auto"/>
            </w:tcBorders>
          </w:tcPr>
          <w:p w14:paraId="272DD0E6" w14:textId="77777777" w:rsidR="00D07CCA" w:rsidRPr="00D07CCA" w:rsidRDefault="00D07CCA" w:rsidP="00D07CCA">
            <w:r>
              <w:t>$ -</w:t>
            </w:r>
          </w:p>
        </w:tc>
      </w:tr>
      <w:tr w:rsidR="00D07CCA" w14:paraId="4F5AD775" w14:textId="77777777" w:rsidTr="00B97474">
        <w:tc>
          <w:tcPr>
            <w:tcW w:w="2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33C2C" w14:textId="77777777" w:rsidR="00D07CCA" w:rsidRPr="00D07CCA" w:rsidRDefault="00D07CCA" w:rsidP="00D07CCA">
            <w:pPr>
              <w:rPr>
                <w:b/>
              </w:rPr>
            </w:pPr>
            <w:r w:rsidRPr="00D07CCA">
              <w:rPr>
                <w:b/>
              </w:rPr>
              <w:t>Total</w:t>
            </w:r>
          </w:p>
        </w:tc>
        <w:tc>
          <w:tcPr>
            <w:tcW w:w="2462" w:type="dxa"/>
            <w:tcBorders>
              <w:top w:val="single" w:sz="4" w:space="0" w:color="auto"/>
              <w:left w:val="single" w:sz="4" w:space="0" w:color="auto"/>
              <w:bottom w:val="single" w:sz="4" w:space="0" w:color="auto"/>
              <w:right w:val="single" w:sz="4" w:space="0" w:color="auto"/>
            </w:tcBorders>
          </w:tcPr>
          <w:p w14:paraId="39C82C5E" w14:textId="77777777" w:rsidR="00D07CCA" w:rsidRPr="00D07CCA" w:rsidRDefault="007B5363" w:rsidP="00D07CCA">
            <w:pPr>
              <w:rPr>
                <w:b/>
              </w:rPr>
            </w:pPr>
            <w:r>
              <w:rPr>
                <w:b/>
              </w:rPr>
              <w:t>$500.00</w:t>
            </w:r>
          </w:p>
        </w:tc>
      </w:tr>
    </w:tbl>
    <w:p w14:paraId="6B087E04" w14:textId="77777777" w:rsidR="009E0C42" w:rsidRDefault="00D07CCA" w:rsidP="00D07CCA">
      <w:pPr>
        <w:pStyle w:val="Heading3"/>
      </w:pPr>
      <w:r>
        <w:t>Part C: Total Cost to the Federal Government</w:t>
      </w:r>
    </w:p>
    <w:tbl>
      <w:tblPr>
        <w:tblStyle w:val="TableGrid"/>
        <w:tblW w:w="0" w:type="auto"/>
        <w:tblLook w:val="04A0" w:firstRow="1" w:lastRow="0" w:firstColumn="1" w:lastColumn="0" w:noHBand="0" w:noVBand="1"/>
      </w:tblPr>
      <w:tblGrid>
        <w:gridCol w:w="3265"/>
        <w:gridCol w:w="2220"/>
      </w:tblGrid>
      <w:tr w:rsidR="00D07CCA" w14:paraId="412AA80F" w14:textId="77777777" w:rsidTr="00D07CCA">
        <w:tc>
          <w:tcPr>
            <w:tcW w:w="5485" w:type="dxa"/>
            <w:gridSpan w:val="2"/>
          </w:tcPr>
          <w:p w14:paraId="3FD7497A" w14:textId="77777777" w:rsidR="00D07CCA" w:rsidRDefault="00D07CCA" w:rsidP="00D07CCA">
            <w:r w:rsidRPr="00D07CCA">
              <w:rPr>
                <w:rStyle w:val="IntenseEmphasis"/>
              </w:rPr>
              <w:t>Cost Summary</w:t>
            </w:r>
          </w:p>
        </w:tc>
      </w:tr>
      <w:tr w:rsidR="00D07CCA" w14:paraId="48F949D5" w14:textId="77777777" w:rsidTr="00D07CCA">
        <w:tc>
          <w:tcPr>
            <w:tcW w:w="3265" w:type="dxa"/>
            <w:shd w:val="clear" w:color="auto" w:fill="F2F2F2" w:themeFill="background1" w:themeFillShade="F2"/>
          </w:tcPr>
          <w:p w14:paraId="1C7E2004" w14:textId="77777777" w:rsidR="00D07CCA" w:rsidRDefault="00D07CCA" w:rsidP="00D07CCA">
            <w:r>
              <w:t>Labor Cost</w:t>
            </w:r>
          </w:p>
        </w:tc>
        <w:tc>
          <w:tcPr>
            <w:tcW w:w="2220" w:type="dxa"/>
          </w:tcPr>
          <w:p w14:paraId="2D9F07C1" w14:textId="77777777" w:rsidR="00D07CCA" w:rsidRDefault="007B5363" w:rsidP="00D07CCA">
            <w:r>
              <w:t>$3,325.00</w:t>
            </w:r>
          </w:p>
        </w:tc>
      </w:tr>
      <w:tr w:rsidR="00D07CCA" w14:paraId="7A14AD1A" w14:textId="77777777" w:rsidTr="00D07CCA">
        <w:tc>
          <w:tcPr>
            <w:tcW w:w="3265" w:type="dxa"/>
            <w:shd w:val="clear" w:color="auto" w:fill="F2F2F2" w:themeFill="background1" w:themeFillShade="F2"/>
          </w:tcPr>
          <w:p w14:paraId="1E925E9A" w14:textId="77777777" w:rsidR="00D07CCA" w:rsidRDefault="00D07CCA" w:rsidP="00D07CCA">
            <w:r>
              <w:t>Operational &amp; Maintenance Cost</w:t>
            </w:r>
          </w:p>
        </w:tc>
        <w:tc>
          <w:tcPr>
            <w:tcW w:w="2220" w:type="dxa"/>
          </w:tcPr>
          <w:p w14:paraId="7043F4D6" w14:textId="77777777" w:rsidR="00D07CCA" w:rsidRDefault="007B5363" w:rsidP="00D07CCA">
            <w:r>
              <w:t>$500.00</w:t>
            </w:r>
          </w:p>
        </w:tc>
      </w:tr>
      <w:tr w:rsidR="00D07CCA" w14:paraId="1E4C2B2A" w14:textId="77777777" w:rsidTr="00D07CCA">
        <w:tc>
          <w:tcPr>
            <w:tcW w:w="3265" w:type="dxa"/>
            <w:shd w:val="clear" w:color="auto" w:fill="D9D9D9" w:themeFill="background1" w:themeFillShade="D9"/>
          </w:tcPr>
          <w:p w14:paraId="0641A5ED" w14:textId="77777777" w:rsidR="00D07CCA" w:rsidRPr="00D07CCA" w:rsidRDefault="00D07CCA" w:rsidP="00D07CCA">
            <w:pPr>
              <w:rPr>
                <w:b/>
              </w:rPr>
            </w:pPr>
            <w:r w:rsidRPr="00D07CCA">
              <w:rPr>
                <w:b/>
              </w:rPr>
              <w:t>Total Cost</w:t>
            </w:r>
          </w:p>
        </w:tc>
        <w:tc>
          <w:tcPr>
            <w:tcW w:w="2220" w:type="dxa"/>
          </w:tcPr>
          <w:p w14:paraId="1F8722BB" w14:textId="77777777" w:rsidR="00D07CCA" w:rsidRPr="00D07CCA" w:rsidRDefault="007B5363" w:rsidP="00D07CCA">
            <w:pPr>
              <w:rPr>
                <w:b/>
              </w:rPr>
            </w:pPr>
            <w:r>
              <w:rPr>
                <w:b/>
              </w:rPr>
              <w:t>$3,825.00</w:t>
            </w:r>
          </w:p>
        </w:tc>
      </w:tr>
    </w:tbl>
    <w:p w14:paraId="6B20ABD1" w14:textId="77777777" w:rsidR="00D07CCA" w:rsidRPr="00D07CCA" w:rsidRDefault="00D07CCA" w:rsidP="00D07CCA"/>
    <w:p w14:paraId="5F6C6EA7" w14:textId="77777777" w:rsidR="00F92887" w:rsidRDefault="00F92887" w:rsidP="00D07CCA">
      <w:pPr>
        <w:pStyle w:val="Heading2"/>
        <w:numPr>
          <w:ilvl w:val="0"/>
          <w:numId w:val="27"/>
        </w:numPr>
      </w:pPr>
      <w:r w:rsidRPr="00445EA8">
        <w:t>Reasons for Change in Burden</w:t>
      </w:r>
    </w:p>
    <w:p w14:paraId="5DDDF514" w14:textId="77777777" w:rsidR="004559D9" w:rsidRPr="004559D9" w:rsidRDefault="007B5363" w:rsidP="004559D9">
      <w:r>
        <w:t>This is an extension with change to an active collection.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C02F5" w14:paraId="0575F1DF" w14:textId="77777777" w:rsidTr="00EA1BA4">
        <w:tc>
          <w:tcPr>
            <w:tcW w:w="9350" w:type="dxa"/>
          </w:tcPr>
          <w:p w14:paraId="270FD623" w14:textId="77777777" w:rsidR="00EC02F5" w:rsidRPr="00316991" w:rsidRDefault="007B5363" w:rsidP="00311E21">
            <w:pPr>
              <w:rPr>
                <w:rStyle w:val="IntenseEmphasis"/>
              </w:rPr>
            </w:pPr>
            <w:r>
              <w:rPr>
                <w:rStyle w:val="IntenseEmphasis"/>
              </w:rPr>
              <w:t>DLA Form 1806</w:t>
            </w:r>
          </w:p>
          <w:tbl>
            <w:tblPr>
              <w:tblStyle w:val="TableGrid"/>
              <w:tblW w:w="0" w:type="auto"/>
              <w:tblLook w:val="04A0" w:firstRow="1" w:lastRow="0" w:firstColumn="1" w:lastColumn="0" w:noHBand="0" w:noVBand="1"/>
            </w:tblPr>
            <w:tblGrid>
              <w:gridCol w:w="3041"/>
              <w:gridCol w:w="2169"/>
              <w:gridCol w:w="2417"/>
            </w:tblGrid>
            <w:tr w:rsidR="00EC02F5" w14:paraId="5E99A52F" w14:textId="77777777" w:rsidTr="00EC02F5">
              <w:tc>
                <w:tcPr>
                  <w:tcW w:w="3041" w:type="dxa"/>
                  <w:tcBorders>
                    <w:top w:val="nil"/>
                    <w:left w:val="nil"/>
                  </w:tcBorders>
                </w:tcPr>
                <w:p w14:paraId="2596B656" w14:textId="77777777" w:rsidR="00EC02F5" w:rsidRDefault="00EC02F5" w:rsidP="00EC02F5"/>
              </w:tc>
              <w:tc>
                <w:tcPr>
                  <w:tcW w:w="2169" w:type="dxa"/>
                  <w:shd w:val="clear" w:color="auto" w:fill="D9D9D9" w:themeFill="background1" w:themeFillShade="D9"/>
                </w:tcPr>
                <w:p w14:paraId="21DDCEDF" w14:textId="77777777" w:rsidR="00EC02F5" w:rsidRPr="00EC02F5" w:rsidRDefault="00EC02F5" w:rsidP="00EC02F5">
                  <w:pPr>
                    <w:rPr>
                      <w:b/>
                    </w:rPr>
                  </w:pPr>
                  <w:r w:rsidRPr="00EC02F5">
                    <w:rPr>
                      <w:b/>
                    </w:rPr>
                    <w:t>Previously Approved</w:t>
                  </w:r>
                </w:p>
              </w:tc>
              <w:tc>
                <w:tcPr>
                  <w:tcW w:w="2417" w:type="dxa"/>
                  <w:shd w:val="clear" w:color="auto" w:fill="D9D9D9" w:themeFill="background1" w:themeFillShade="D9"/>
                </w:tcPr>
                <w:p w14:paraId="5555FB61" w14:textId="77777777" w:rsidR="00EC02F5" w:rsidRPr="00EC02F5" w:rsidRDefault="00EC02F5" w:rsidP="00EC02F5">
                  <w:pPr>
                    <w:rPr>
                      <w:b/>
                    </w:rPr>
                  </w:pPr>
                  <w:r w:rsidRPr="00EC02F5">
                    <w:rPr>
                      <w:b/>
                    </w:rPr>
                    <w:t>Request</w:t>
                  </w:r>
                  <w:r>
                    <w:rPr>
                      <w:b/>
                    </w:rPr>
                    <w:t>ed</w:t>
                  </w:r>
                </w:p>
              </w:tc>
            </w:tr>
            <w:tr w:rsidR="00EC02F5" w14:paraId="6C31241E" w14:textId="77777777" w:rsidTr="00EC02F5">
              <w:tc>
                <w:tcPr>
                  <w:tcW w:w="3041" w:type="dxa"/>
                  <w:shd w:val="clear" w:color="auto" w:fill="D9D9D9" w:themeFill="background1" w:themeFillShade="D9"/>
                </w:tcPr>
                <w:p w14:paraId="4762D9F6" w14:textId="77777777" w:rsidR="00EC02F5" w:rsidRPr="00304E76" w:rsidRDefault="00EC02F5" w:rsidP="00EC02F5">
                  <w:pPr>
                    <w:rPr>
                      <w:b/>
                    </w:rPr>
                  </w:pPr>
                  <w:r w:rsidRPr="00304E76">
                    <w:rPr>
                      <w:b/>
                    </w:rPr>
                    <w:t>Total # Responses</w:t>
                  </w:r>
                </w:p>
              </w:tc>
              <w:tc>
                <w:tcPr>
                  <w:tcW w:w="2169" w:type="dxa"/>
                </w:tcPr>
                <w:p w14:paraId="36507CB2" w14:textId="77777777" w:rsidR="00EC02F5" w:rsidRDefault="007B5363" w:rsidP="00EC02F5">
                  <w:r>
                    <w:t>380</w:t>
                  </w:r>
                </w:p>
              </w:tc>
              <w:tc>
                <w:tcPr>
                  <w:tcW w:w="2417" w:type="dxa"/>
                </w:tcPr>
                <w:p w14:paraId="48CC99B2" w14:textId="77777777" w:rsidR="00EC02F5" w:rsidRDefault="007B5363" w:rsidP="00EC02F5">
                  <w:r>
                    <w:t>380</w:t>
                  </w:r>
                </w:p>
              </w:tc>
            </w:tr>
            <w:tr w:rsidR="00EC02F5" w14:paraId="67A3D356" w14:textId="77777777" w:rsidTr="00EC02F5">
              <w:tc>
                <w:tcPr>
                  <w:tcW w:w="3041" w:type="dxa"/>
                  <w:shd w:val="clear" w:color="auto" w:fill="D9D9D9" w:themeFill="background1" w:themeFillShade="D9"/>
                </w:tcPr>
                <w:p w14:paraId="344386AA" w14:textId="77777777" w:rsidR="00EC02F5" w:rsidRPr="00316991" w:rsidRDefault="00EC02F5" w:rsidP="00EC02F5">
                  <w:pPr>
                    <w:rPr>
                      <w:b/>
                    </w:rPr>
                  </w:pPr>
                  <w:r w:rsidRPr="00316991">
                    <w:rPr>
                      <w:b/>
                    </w:rPr>
                    <w:t>Annual Time Burden (Hours)</w:t>
                  </w:r>
                </w:p>
              </w:tc>
              <w:tc>
                <w:tcPr>
                  <w:tcW w:w="2169" w:type="dxa"/>
                </w:tcPr>
                <w:p w14:paraId="1D91F3AA" w14:textId="77777777" w:rsidR="00EC02F5" w:rsidRDefault="007B5363" w:rsidP="00EC02F5">
                  <w:r>
                    <w:t>2,660</w:t>
                  </w:r>
                </w:p>
              </w:tc>
              <w:tc>
                <w:tcPr>
                  <w:tcW w:w="2417" w:type="dxa"/>
                </w:tcPr>
                <w:p w14:paraId="033D7450" w14:textId="77777777" w:rsidR="00EC02F5" w:rsidRDefault="007B5363" w:rsidP="00EC02F5">
                  <w:r>
                    <w:t>1,900</w:t>
                  </w:r>
                </w:p>
              </w:tc>
            </w:tr>
            <w:tr w:rsidR="00EC02F5" w14:paraId="423BDFE4" w14:textId="77777777" w:rsidTr="00EC02F5">
              <w:tc>
                <w:tcPr>
                  <w:tcW w:w="3041" w:type="dxa"/>
                  <w:shd w:val="clear" w:color="auto" w:fill="D9D9D9" w:themeFill="background1" w:themeFillShade="D9"/>
                </w:tcPr>
                <w:p w14:paraId="12EF85E1" w14:textId="77777777" w:rsidR="00EC02F5" w:rsidRPr="00316991" w:rsidRDefault="00EC02F5" w:rsidP="00EC02F5">
                  <w:pPr>
                    <w:rPr>
                      <w:b/>
                    </w:rPr>
                  </w:pPr>
                  <w:r w:rsidRPr="00316991">
                    <w:rPr>
                      <w:b/>
                    </w:rPr>
                    <w:t>Annual Cost Burden (Dollars)</w:t>
                  </w:r>
                </w:p>
              </w:tc>
              <w:tc>
                <w:tcPr>
                  <w:tcW w:w="2169" w:type="dxa"/>
                </w:tcPr>
                <w:p w14:paraId="09EFC7FB" w14:textId="77777777" w:rsidR="00EC02F5" w:rsidRDefault="007B5363" w:rsidP="00EC02F5">
                  <w:r>
                    <w:t>$66,500.00</w:t>
                  </w:r>
                </w:p>
              </w:tc>
              <w:tc>
                <w:tcPr>
                  <w:tcW w:w="2417" w:type="dxa"/>
                </w:tcPr>
                <w:p w14:paraId="4ED7A759" w14:textId="77777777" w:rsidR="00EC02F5" w:rsidRDefault="007B5363" w:rsidP="00EC02F5">
                  <w:r>
                    <w:t>$104,500.00</w:t>
                  </w:r>
                </w:p>
              </w:tc>
            </w:tr>
          </w:tbl>
          <w:p w14:paraId="0E091083" w14:textId="77777777" w:rsidR="00EC02F5" w:rsidRDefault="00EC02F5" w:rsidP="00EC02F5"/>
          <w:p w14:paraId="699EA03B" w14:textId="0B43F47B" w:rsidR="00EC02F5" w:rsidRPr="00D87EE4" w:rsidRDefault="007B5363" w:rsidP="00311E21">
            <w:r>
              <w:t xml:space="preserve">Although the total number of responses has not changed since the last approval, the time burden has decreased due to increased efficiency in the respondents’ process for providing data to DLA. </w:t>
            </w:r>
            <w:r w:rsidR="00EA1BA4">
              <w:t>Respondents are now utilizing software (for purposes unrelated to this collection) which automatically tracks some of the information requested in DLA Form 1806. The cost burden has increased from the last approval due to inflation and adjustments to the estimation of respondent wages.</w:t>
            </w:r>
          </w:p>
        </w:tc>
      </w:tr>
    </w:tbl>
    <w:p w14:paraId="7DB67945" w14:textId="77777777" w:rsidR="00F92887" w:rsidRDefault="00F92887" w:rsidP="00D07CCA">
      <w:pPr>
        <w:pStyle w:val="Heading2"/>
        <w:numPr>
          <w:ilvl w:val="0"/>
          <w:numId w:val="27"/>
        </w:numPr>
      </w:pPr>
      <w:r w:rsidRPr="00445EA8">
        <w:t>Publication of Results</w:t>
      </w:r>
    </w:p>
    <w:p w14:paraId="5C574A2B" w14:textId="77777777" w:rsidR="004559D9" w:rsidRPr="00A35E3E" w:rsidRDefault="00A35E3E" w:rsidP="004559D9">
      <w:r w:rsidRPr="00EA1BA4">
        <w:t>The results of this information collection will not be published.</w:t>
      </w:r>
    </w:p>
    <w:p w14:paraId="1BC54870" w14:textId="77777777" w:rsidR="00F92887" w:rsidRDefault="00F92887" w:rsidP="00D07CCA">
      <w:pPr>
        <w:pStyle w:val="Heading2"/>
        <w:numPr>
          <w:ilvl w:val="0"/>
          <w:numId w:val="27"/>
        </w:numPr>
      </w:pPr>
      <w:r w:rsidRPr="00445EA8">
        <w:t>Non-Display of OMB Expiration Date</w:t>
      </w:r>
    </w:p>
    <w:p w14:paraId="7A78AAFA" w14:textId="77777777" w:rsidR="00A35E3E" w:rsidRPr="00A35E3E" w:rsidRDefault="00A35E3E" w:rsidP="00A35E3E">
      <w:r w:rsidRPr="00EA1BA4">
        <w:t>We are not seeking approval to omit the display of the expiration date of the OMB approval on the collection instrument.</w:t>
      </w:r>
    </w:p>
    <w:p w14:paraId="0244452A" w14:textId="77777777" w:rsidR="00F92887" w:rsidRPr="00445EA8" w:rsidRDefault="00F92887" w:rsidP="00D07CCA">
      <w:pPr>
        <w:pStyle w:val="Heading2"/>
        <w:numPr>
          <w:ilvl w:val="0"/>
          <w:numId w:val="27"/>
        </w:numPr>
      </w:pPr>
      <w:r w:rsidRPr="00445EA8">
        <w:t xml:space="preserve">Exceptions to </w:t>
      </w:r>
      <w:r w:rsidR="00D07CCA">
        <w:t>Certification for PRA Submission</w:t>
      </w:r>
    </w:p>
    <w:p w14:paraId="101E17FB" w14:textId="77777777" w:rsidR="00B933B0" w:rsidRPr="00F92887" w:rsidRDefault="00D07CCA" w:rsidP="00B25C3B">
      <w:r w:rsidRPr="00EA1BA4">
        <w:t>We are not requesting any exemptions to the provisions stated in 5 CFR 1320.9.</w:t>
      </w:r>
    </w:p>
    <w:sectPr w:rsidR="00B933B0" w:rsidRPr="00F928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9FEBD" w14:textId="77777777" w:rsidR="00B435EE" w:rsidRDefault="00B435EE" w:rsidP="00FB569C">
      <w:pPr>
        <w:spacing w:after="0" w:line="240" w:lineRule="auto"/>
      </w:pPr>
      <w:r>
        <w:separator/>
      </w:r>
    </w:p>
  </w:endnote>
  <w:endnote w:type="continuationSeparator" w:id="0">
    <w:p w14:paraId="67746B34" w14:textId="77777777" w:rsidR="00B435EE" w:rsidRDefault="00B435EE"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479BF" w14:textId="77777777" w:rsidR="00B435EE" w:rsidRDefault="00B435EE" w:rsidP="00FB569C">
      <w:pPr>
        <w:spacing w:after="0" w:line="240" w:lineRule="auto"/>
      </w:pPr>
      <w:r>
        <w:separator/>
      </w:r>
    </w:p>
  </w:footnote>
  <w:footnote w:type="continuationSeparator" w:id="0">
    <w:p w14:paraId="65D1CFE2" w14:textId="77777777" w:rsidR="00B435EE" w:rsidRDefault="00B435EE"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0D"/>
    <w:multiLevelType w:val="hybridMultilevel"/>
    <w:tmpl w:val="6BE8157C"/>
    <w:lvl w:ilvl="0" w:tplc="351CC47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D7876"/>
    <w:multiLevelType w:val="hybridMultilevel"/>
    <w:tmpl w:val="70DE6216"/>
    <w:lvl w:ilvl="0" w:tplc="40FC6AE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915917"/>
    <w:multiLevelType w:val="hybridMultilevel"/>
    <w:tmpl w:val="1A602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E74AEA"/>
    <w:multiLevelType w:val="hybridMultilevel"/>
    <w:tmpl w:val="C316C2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32BF7524"/>
    <w:multiLevelType w:val="hybridMultilevel"/>
    <w:tmpl w:val="4B3A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3F749B"/>
    <w:multiLevelType w:val="hybridMultilevel"/>
    <w:tmpl w:val="7436A79A"/>
    <w:lvl w:ilvl="0" w:tplc="351CC47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3345C8"/>
    <w:multiLevelType w:val="hybridMultilevel"/>
    <w:tmpl w:val="58D8CB78"/>
    <w:lvl w:ilvl="0" w:tplc="3DF2F0A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E543B9"/>
    <w:multiLevelType w:val="hybridMultilevel"/>
    <w:tmpl w:val="A5CA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4474C4"/>
    <w:multiLevelType w:val="hybridMultilevel"/>
    <w:tmpl w:val="CF1CE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17"/>
  </w:num>
  <w:num w:numId="4">
    <w:abstractNumId w:val="13"/>
  </w:num>
  <w:num w:numId="5">
    <w:abstractNumId w:val="25"/>
  </w:num>
  <w:num w:numId="6">
    <w:abstractNumId w:val="3"/>
  </w:num>
  <w:num w:numId="7">
    <w:abstractNumId w:val="26"/>
  </w:num>
  <w:num w:numId="8">
    <w:abstractNumId w:val="23"/>
  </w:num>
  <w:num w:numId="9">
    <w:abstractNumId w:val="27"/>
  </w:num>
  <w:num w:numId="10">
    <w:abstractNumId w:val="5"/>
  </w:num>
  <w:num w:numId="11">
    <w:abstractNumId w:val="22"/>
  </w:num>
  <w:num w:numId="12">
    <w:abstractNumId w:val="24"/>
  </w:num>
  <w:num w:numId="13">
    <w:abstractNumId w:val="29"/>
  </w:num>
  <w:num w:numId="14">
    <w:abstractNumId w:val="30"/>
  </w:num>
  <w:num w:numId="15">
    <w:abstractNumId w:val="12"/>
  </w:num>
  <w:num w:numId="16">
    <w:abstractNumId w:val="11"/>
  </w:num>
  <w:num w:numId="17">
    <w:abstractNumId w:val="19"/>
  </w:num>
  <w:num w:numId="18">
    <w:abstractNumId w:val="8"/>
  </w:num>
  <w:num w:numId="19">
    <w:abstractNumId w:val="7"/>
  </w:num>
  <w:num w:numId="20">
    <w:abstractNumId w:val="6"/>
  </w:num>
  <w:num w:numId="21">
    <w:abstractNumId w:val="20"/>
  </w:num>
  <w:num w:numId="22">
    <w:abstractNumId w:val="4"/>
  </w:num>
  <w:num w:numId="23">
    <w:abstractNumId w:val="28"/>
  </w:num>
  <w:num w:numId="24">
    <w:abstractNumId w:val="9"/>
  </w:num>
  <w:num w:numId="25">
    <w:abstractNumId w:val="16"/>
  </w:num>
  <w:num w:numId="26">
    <w:abstractNumId w:val="18"/>
  </w:num>
  <w:num w:numId="27">
    <w:abstractNumId w:val="10"/>
  </w:num>
  <w:num w:numId="28">
    <w:abstractNumId w:val="0"/>
  </w:num>
  <w:num w:numId="29">
    <w:abstractNumId w:val="15"/>
  </w:num>
  <w:num w:numId="30">
    <w:abstractNumId w:val="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62FA9"/>
    <w:rsid w:val="000A3AC4"/>
    <w:rsid w:val="000B0E70"/>
    <w:rsid w:val="000C4969"/>
    <w:rsid w:val="000F1313"/>
    <w:rsid w:val="00105F45"/>
    <w:rsid w:val="0011085D"/>
    <w:rsid w:val="00154FEC"/>
    <w:rsid w:val="0019309D"/>
    <w:rsid w:val="001C123B"/>
    <w:rsid w:val="001F526C"/>
    <w:rsid w:val="00200261"/>
    <w:rsid w:val="00203BC2"/>
    <w:rsid w:val="00211832"/>
    <w:rsid w:val="00222D1B"/>
    <w:rsid w:val="00235D71"/>
    <w:rsid w:val="0024335E"/>
    <w:rsid w:val="00254DCF"/>
    <w:rsid w:val="002567F9"/>
    <w:rsid w:val="0027743E"/>
    <w:rsid w:val="00294E92"/>
    <w:rsid w:val="00304E76"/>
    <w:rsid w:val="003132E7"/>
    <w:rsid w:val="00316991"/>
    <w:rsid w:val="00331D7E"/>
    <w:rsid w:val="00337EF1"/>
    <w:rsid w:val="00377025"/>
    <w:rsid w:val="00394A8A"/>
    <w:rsid w:val="003C0540"/>
    <w:rsid w:val="00420AE9"/>
    <w:rsid w:val="00445EA8"/>
    <w:rsid w:val="004559D9"/>
    <w:rsid w:val="00480AFF"/>
    <w:rsid w:val="00486235"/>
    <w:rsid w:val="00490797"/>
    <w:rsid w:val="004C74D6"/>
    <w:rsid w:val="004F4F5D"/>
    <w:rsid w:val="00502FF3"/>
    <w:rsid w:val="00510F0C"/>
    <w:rsid w:val="00520B36"/>
    <w:rsid w:val="00571698"/>
    <w:rsid w:val="00576EDB"/>
    <w:rsid w:val="00596BBA"/>
    <w:rsid w:val="005C3A95"/>
    <w:rsid w:val="005C7428"/>
    <w:rsid w:val="005D5C81"/>
    <w:rsid w:val="005E4C55"/>
    <w:rsid w:val="00642741"/>
    <w:rsid w:val="0065530D"/>
    <w:rsid w:val="0069221E"/>
    <w:rsid w:val="006A13FA"/>
    <w:rsid w:val="006E563D"/>
    <w:rsid w:val="006F2DF8"/>
    <w:rsid w:val="00722FDB"/>
    <w:rsid w:val="00752CB3"/>
    <w:rsid w:val="0077261C"/>
    <w:rsid w:val="00782514"/>
    <w:rsid w:val="007B5363"/>
    <w:rsid w:val="008279FE"/>
    <w:rsid w:val="008635C4"/>
    <w:rsid w:val="00883A92"/>
    <w:rsid w:val="008A06EF"/>
    <w:rsid w:val="008A68BD"/>
    <w:rsid w:val="008D1294"/>
    <w:rsid w:val="008E3029"/>
    <w:rsid w:val="00962EF6"/>
    <w:rsid w:val="0098628F"/>
    <w:rsid w:val="009922D4"/>
    <w:rsid w:val="00994F2B"/>
    <w:rsid w:val="00996894"/>
    <w:rsid w:val="009A6246"/>
    <w:rsid w:val="009E0C42"/>
    <w:rsid w:val="009F2544"/>
    <w:rsid w:val="009F4076"/>
    <w:rsid w:val="00A339B1"/>
    <w:rsid w:val="00A35E3E"/>
    <w:rsid w:val="00A43B4B"/>
    <w:rsid w:val="00A50A0F"/>
    <w:rsid w:val="00A76F7E"/>
    <w:rsid w:val="00A77157"/>
    <w:rsid w:val="00B25C3B"/>
    <w:rsid w:val="00B435EE"/>
    <w:rsid w:val="00B52F4E"/>
    <w:rsid w:val="00B55E9F"/>
    <w:rsid w:val="00B933B0"/>
    <w:rsid w:val="00B97474"/>
    <w:rsid w:val="00BD7755"/>
    <w:rsid w:val="00BE02FC"/>
    <w:rsid w:val="00BE07A9"/>
    <w:rsid w:val="00C33684"/>
    <w:rsid w:val="00C62D17"/>
    <w:rsid w:val="00C77226"/>
    <w:rsid w:val="00C808F4"/>
    <w:rsid w:val="00CA15B1"/>
    <w:rsid w:val="00CA5079"/>
    <w:rsid w:val="00CC24D5"/>
    <w:rsid w:val="00CC2835"/>
    <w:rsid w:val="00D07CCA"/>
    <w:rsid w:val="00D21AA6"/>
    <w:rsid w:val="00D462F7"/>
    <w:rsid w:val="00D87EE4"/>
    <w:rsid w:val="00DA2B37"/>
    <w:rsid w:val="00DA3B91"/>
    <w:rsid w:val="00DB371F"/>
    <w:rsid w:val="00E433F6"/>
    <w:rsid w:val="00E50534"/>
    <w:rsid w:val="00E5409A"/>
    <w:rsid w:val="00E95FFB"/>
    <w:rsid w:val="00EA1BA4"/>
    <w:rsid w:val="00EA6C04"/>
    <w:rsid w:val="00EC02F5"/>
    <w:rsid w:val="00EE2BEC"/>
    <w:rsid w:val="00EF012C"/>
    <w:rsid w:val="00F2327D"/>
    <w:rsid w:val="00F25499"/>
    <w:rsid w:val="00F86C35"/>
    <w:rsid w:val="00F91AFC"/>
    <w:rsid w:val="00F92887"/>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C55"/>
  </w:style>
  <w:style w:type="paragraph" w:styleId="Heading1">
    <w:name w:val="heading 1"/>
    <w:basedOn w:val="Normal"/>
    <w:next w:val="Normal"/>
    <w:link w:val="Heading1Char"/>
    <w:uiPriority w:val="9"/>
    <w:qFormat/>
    <w:rsid w:val="005E4C5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5E4C5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5E4C5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5E4C5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5E4C5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5E4C5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5E4C5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E4C5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E4C5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4C5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E4C55"/>
    <w:rPr>
      <w:rFonts w:asciiTheme="majorHAnsi" w:eastAsiaTheme="majorEastAsia" w:hAnsiTheme="majorHAnsi" w:cstheme="majorBidi"/>
      <w:caps/>
      <w:color w:val="404040" w:themeColor="text1" w:themeTint="BF"/>
      <w:spacing w:val="-10"/>
      <w:sz w:val="72"/>
      <w:szCs w:val="72"/>
    </w:rPr>
  </w:style>
  <w:style w:type="character" w:customStyle="1" w:styleId="Heading2Char">
    <w:name w:val="Heading 2 Char"/>
    <w:basedOn w:val="DefaultParagraphFont"/>
    <w:link w:val="Heading2"/>
    <w:uiPriority w:val="9"/>
    <w:rsid w:val="005E4C55"/>
    <w:rPr>
      <w:rFonts w:asciiTheme="majorHAnsi" w:eastAsiaTheme="majorEastAsia" w:hAnsiTheme="majorHAnsi" w:cstheme="majorBidi"/>
      <w:caps/>
      <w:sz w:val="28"/>
      <w:szCs w:val="28"/>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E4C55"/>
    <w:rPr>
      <w:rFonts w:asciiTheme="majorHAnsi" w:eastAsiaTheme="majorEastAsia" w:hAnsiTheme="majorHAnsi" w:cstheme="majorBidi"/>
      <w:smallCaps/>
      <w:sz w:val="28"/>
      <w:szCs w:val="28"/>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customStyle="1" w:styleId="Heading1Char">
    <w:name w:val="Heading 1 Char"/>
    <w:basedOn w:val="DefaultParagraphFont"/>
    <w:link w:val="Heading1"/>
    <w:uiPriority w:val="9"/>
    <w:rsid w:val="005E4C55"/>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rsid w:val="005E4C55"/>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5E4C5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5E4C5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5E4C5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E4C5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E4C5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E4C55"/>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5E4C5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E4C55"/>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5E4C55"/>
    <w:rPr>
      <w:b/>
      <w:bCs/>
    </w:rPr>
  </w:style>
  <w:style w:type="character" w:styleId="Emphasis">
    <w:name w:val="Emphasis"/>
    <w:basedOn w:val="DefaultParagraphFont"/>
    <w:uiPriority w:val="20"/>
    <w:qFormat/>
    <w:rsid w:val="005E4C55"/>
    <w:rPr>
      <w:i/>
      <w:iCs/>
    </w:rPr>
  </w:style>
  <w:style w:type="paragraph" w:styleId="NoSpacing">
    <w:name w:val="No Spacing"/>
    <w:uiPriority w:val="1"/>
    <w:qFormat/>
    <w:rsid w:val="005E4C55"/>
    <w:pPr>
      <w:spacing w:after="0" w:line="240" w:lineRule="auto"/>
    </w:pPr>
  </w:style>
  <w:style w:type="paragraph" w:styleId="Quote">
    <w:name w:val="Quote"/>
    <w:basedOn w:val="Normal"/>
    <w:next w:val="Normal"/>
    <w:link w:val="QuoteChar"/>
    <w:uiPriority w:val="29"/>
    <w:qFormat/>
    <w:rsid w:val="005E4C5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E4C5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5E4C5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E4C55"/>
    <w:rPr>
      <w:color w:val="404040" w:themeColor="text1" w:themeTint="BF"/>
      <w:sz w:val="32"/>
      <w:szCs w:val="32"/>
    </w:rPr>
  </w:style>
  <w:style w:type="character" w:styleId="SubtleEmphasis">
    <w:name w:val="Subtle Emphasis"/>
    <w:basedOn w:val="DefaultParagraphFont"/>
    <w:uiPriority w:val="19"/>
    <w:qFormat/>
    <w:rsid w:val="005E4C55"/>
    <w:rPr>
      <w:i/>
      <w:iCs/>
      <w:color w:val="595959" w:themeColor="text1" w:themeTint="A6"/>
    </w:rPr>
  </w:style>
  <w:style w:type="character" w:styleId="IntenseEmphasis">
    <w:name w:val="Intense Emphasis"/>
    <w:basedOn w:val="DefaultParagraphFont"/>
    <w:uiPriority w:val="21"/>
    <w:qFormat/>
    <w:rsid w:val="005E4C55"/>
    <w:rPr>
      <w:b/>
      <w:bCs/>
      <w:i/>
      <w:iCs/>
    </w:rPr>
  </w:style>
  <w:style w:type="character" w:styleId="SubtleReference">
    <w:name w:val="Subtle Reference"/>
    <w:basedOn w:val="DefaultParagraphFont"/>
    <w:uiPriority w:val="31"/>
    <w:qFormat/>
    <w:rsid w:val="005E4C5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E4C55"/>
    <w:rPr>
      <w:b/>
      <w:bCs/>
      <w:caps w:val="0"/>
      <w:smallCaps/>
      <w:color w:val="auto"/>
      <w:spacing w:val="3"/>
      <w:u w:val="single"/>
    </w:rPr>
  </w:style>
  <w:style w:type="character" w:styleId="BookTitle">
    <w:name w:val="Book Title"/>
    <w:basedOn w:val="DefaultParagraphFont"/>
    <w:uiPriority w:val="33"/>
    <w:qFormat/>
    <w:rsid w:val="005E4C55"/>
    <w:rPr>
      <w:b/>
      <w:bCs/>
      <w:smallCaps/>
      <w:spacing w:val="7"/>
    </w:rPr>
  </w:style>
  <w:style w:type="paragraph" w:styleId="TOCHeading">
    <w:name w:val="TOC Heading"/>
    <w:basedOn w:val="Heading1"/>
    <w:next w:val="Normal"/>
    <w:uiPriority w:val="39"/>
    <w:semiHidden/>
    <w:unhideWhenUsed/>
    <w:qFormat/>
    <w:rsid w:val="005E4C55"/>
    <w:pPr>
      <w:outlineLvl w:val="9"/>
    </w:pPr>
  </w:style>
  <w:style w:type="table" w:styleId="TableGrid">
    <w:name w:val="Table Grid"/>
    <w:basedOn w:val="TableNormal"/>
    <w:uiPriority w:val="39"/>
    <w:rsid w:val="00962E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123B"/>
    <w:rPr>
      <w:sz w:val="16"/>
      <w:szCs w:val="16"/>
    </w:rPr>
  </w:style>
  <w:style w:type="paragraph" w:styleId="CommentText">
    <w:name w:val="annotation text"/>
    <w:basedOn w:val="Normal"/>
    <w:link w:val="CommentTextChar"/>
    <w:uiPriority w:val="99"/>
    <w:semiHidden/>
    <w:unhideWhenUsed/>
    <w:rsid w:val="001C123B"/>
    <w:pPr>
      <w:spacing w:line="240" w:lineRule="auto"/>
    </w:pPr>
    <w:rPr>
      <w:sz w:val="20"/>
      <w:szCs w:val="20"/>
    </w:rPr>
  </w:style>
  <w:style w:type="character" w:customStyle="1" w:styleId="CommentTextChar">
    <w:name w:val="Comment Text Char"/>
    <w:basedOn w:val="DefaultParagraphFont"/>
    <w:link w:val="CommentText"/>
    <w:uiPriority w:val="99"/>
    <w:semiHidden/>
    <w:rsid w:val="001C123B"/>
    <w:rPr>
      <w:sz w:val="20"/>
      <w:szCs w:val="20"/>
    </w:rPr>
  </w:style>
  <w:style w:type="paragraph" w:styleId="CommentSubject">
    <w:name w:val="annotation subject"/>
    <w:basedOn w:val="CommentText"/>
    <w:next w:val="CommentText"/>
    <w:link w:val="CommentSubjectChar"/>
    <w:uiPriority w:val="99"/>
    <w:semiHidden/>
    <w:unhideWhenUsed/>
    <w:rsid w:val="001C123B"/>
    <w:rPr>
      <w:b/>
      <w:bCs/>
    </w:rPr>
  </w:style>
  <w:style w:type="character" w:customStyle="1" w:styleId="CommentSubjectChar">
    <w:name w:val="Comment Subject Char"/>
    <w:basedOn w:val="CommentTextChar"/>
    <w:link w:val="CommentSubject"/>
    <w:uiPriority w:val="99"/>
    <w:semiHidden/>
    <w:rsid w:val="001C12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C55"/>
  </w:style>
  <w:style w:type="paragraph" w:styleId="Heading1">
    <w:name w:val="heading 1"/>
    <w:basedOn w:val="Normal"/>
    <w:next w:val="Normal"/>
    <w:link w:val="Heading1Char"/>
    <w:uiPriority w:val="9"/>
    <w:qFormat/>
    <w:rsid w:val="005E4C5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5E4C5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5E4C5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5E4C5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5E4C5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5E4C5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unhideWhenUsed/>
    <w:qFormat/>
    <w:rsid w:val="005E4C5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E4C5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E4C5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4C5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E4C55"/>
    <w:rPr>
      <w:rFonts w:asciiTheme="majorHAnsi" w:eastAsiaTheme="majorEastAsia" w:hAnsiTheme="majorHAnsi" w:cstheme="majorBidi"/>
      <w:caps/>
      <w:color w:val="404040" w:themeColor="text1" w:themeTint="BF"/>
      <w:spacing w:val="-10"/>
      <w:sz w:val="72"/>
      <w:szCs w:val="72"/>
    </w:rPr>
  </w:style>
  <w:style w:type="character" w:customStyle="1" w:styleId="Heading2Char">
    <w:name w:val="Heading 2 Char"/>
    <w:basedOn w:val="DefaultParagraphFont"/>
    <w:link w:val="Heading2"/>
    <w:uiPriority w:val="9"/>
    <w:rsid w:val="005E4C55"/>
    <w:rPr>
      <w:rFonts w:asciiTheme="majorHAnsi" w:eastAsiaTheme="majorEastAsia" w:hAnsiTheme="majorHAnsi" w:cstheme="majorBidi"/>
      <w:caps/>
      <w:sz w:val="28"/>
      <w:szCs w:val="28"/>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E4C55"/>
    <w:rPr>
      <w:rFonts w:asciiTheme="majorHAnsi" w:eastAsiaTheme="majorEastAsia" w:hAnsiTheme="majorHAnsi" w:cstheme="majorBidi"/>
      <w:smallCaps/>
      <w:sz w:val="28"/>
      <w:szCs w:val="28"/>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customStyle="1" w:styleId="Heading1Char">
    <w:name w:val="Heading 1 Char"/>
    <w:basedOn w:val="DefaultParagraphFont"/>
    <w:link w:val="Heading1"/>
    <w:uiPriority w:val="9"/>
    <w:rsid w:val="005E4C55"/>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rsid w:val="005E4C55"/>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5E4C5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5E4C5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rsid w:val="005E4C5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E4C5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E4C5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E4C55"/>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5E4C5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E4C55"/>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5E4C55"/>
    <w:rPr>
      <w:b/>
      <w:bCs/>
    </w:rPr>
  </w:style>
  <w:style w:type="character" w:styleId="Emphasis">
    <w:name w:val="Emphasis"/>
    <w:basedOn w:val="DefaultParagraphFont"/>
    <w:uiPriority w:val="20"/>
    <w:qFormat/>
    <w:rsid w:val="005E4C55"/>
    <w:rPr>
      <w:i/>
      <w:iCs/>
    </w:rPr>
  </w:style>
  <w:style w:type="paragraph" w:styleId="NoSpacing">
    <w:name w:val="No Spacing"/>
    <w:uiPriority w:val="1"/>
    <w:qFormat/>
    <w:rsid w:val="005E4C55"/>
    <w:pPr>
      <w:spacing w:after="0" w:line="240" w:lineRule="auto"/>
    </w:pPr>
  </w:style>
  <w:style w:type="paragraph" w:styleId="Quote">
    <w:name w:val="Quote"/>
    <w:basedOn w:val="Normal"/>
    <w:next w:val="Normal"/>
    <w:link w:val="QuoteChar"/>
    <w:uiPriority w:val="29"/>
    <w:qFormat/>
    <w:rsid w:val="005E4C5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5E4C5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5E4C5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E4C55"/>
    <w:rPr>
      <w:color w:val="404040" w:themeColor="text1" w:themeTint="BF"/>
      <w:sz w:val="32"/>
      <w:szCs w:val="32"/>
    </w:rPr>
  </w:style>
  <w:style w:type="character" w:styleId="SubtleEmphasis">
    <w:name w:val="Subtle Emphasis"/>
    <w:basedOn w:val="DefaultParagraphFont"/>
    <w:uiPriority w:val="19"/>
    <w:qFormat/>
    <w:rsid w:val="005E4C55"/>
    <w:rPr>
      <w:i/>
      <w:iCs/>
      <w:color w:val="595959" w:themeColor="text1" w:themeTint="A6"/>
    </w:rPr>
  </w:style>
  <w:style w:type="character" w:styleId="IntenseEmphasis">
    <w:name w:val="Intense Emphasis"/>
    <w:basedOn w:val="DefaultParagraphFont"/>
    <w:uiPriority w:val="21"/>
    <w:qFormat/>
    <w:rsid w:val="005E4C55"/>
    <w:rPr>
      <w:b/>
      <w:bCs/>
      <w:i/>
      <w:iCs/>
    </w:rPr>
  </w:style>
  <w:style w:type="character" w:styleId="SubtleReference">
    <w:name w:val="Subtle Reference"/>
    <w:basedOn w:val="DefaultParagraphFont"/>
    <w:uiPriority w:val="31"/>
    <w:qFormat/>
    <w:rsid w:val="005E4C5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E4C55"/>
    <w:rPr>
      <w:b/>
      <w:bCs/>
      <w:caps w:val="0"/>
      <w:smallCaps/>
      <w:color w:val="auto"/>
      <w:spacing w:val="3"/>
      <w:u w:val="single"/>
    </w:rPr>
  </w:style>
  <w:style w:type="character" w:styleId="BookTitle">
    <w:name w:val="Book Title"/>
    <w:basedOn w:val="DefaultParagraphFont"/>
    <w:uiPriority w:val="33"/>
    <w:qFormat/>
    <w:rsid w:val="005E4C55"/>
    <w:rPr>
      <w:b/>
      <w:bCs/>
      <w:smallCaps/>
      <w:spacing w:val="7"/>
    </w:rPr>
  </w:style>
  <w:style w:type="paragraph" w:styleId="TOCHeading">
    <w:name w:val="TOC Heading"/>
    <w:basedOn w:val="Heading1"/>
    <w:next w:val="Normal"/>
    <w:uiPriority w:val="39"/>
    <w:semiHidden/>
    <w:unhideWhenUsed/>
    <w:qFormat/>
    <w:rsid w:val="005E4C55"/>
    <w:pPr>
      <w:outlineLvl w:val="9"/>
    </w:pPr>
  </w:style>
  <w:style w:type="table" w:styleId="TableGrid">
    <w:name w:val="Table Grid"/>
    <w:basedOn w:val="TableNormal"/>
    <w:uiPriority w:val="39"/>
    <w:rsid w:val="00962EF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123B"/>
    <w:rPr>
      <w:sz w:val="16"/>
      <w:szCs w:val="16"/>
    </w:rPr>
  </w:style>
  <w:style w:type="paragraph" w:styleId="CommentText">
    <w:name w:val="annotation text"/>
    <w:basedOn w:val="Normal"/>
    <w:link w:val="CommentTextChar"/>
    <w:uiPriority w:val="99"/>
    <w:semiHidden/>
    <w:unhideWhenUsed/>
    <w:rsid w:val="001C123B"/>
    <w:pPr>
      <w:spacing w:line="240" w:lineRule="auto"/>
    </w:pPr>
    <w:rPr>
      <w:sz w:val="20"/>
      <w:szCs w:val="20"/>
    </w:rPr>
  </w:style>
  <w:style w:type="character" w:customStyle="1" w:styleId="CommentTextChar">
    <w:name w:val="Comment Text Char"/>
    <w:basedOn w:val="DefaultParagraphFont"/>
    <w:link w:val="CommentText"/>
    <w:uiPriority w:val="99"/>
    <w:semiHidden/>
    <w:rsid w:val="001C123B"/>
    <w:rPr>
      <w:sz w:val="20"/>
      <w:szCs w:val="20"/>
    </w:rPr>
  </w:style>
  <w:style w:type="paragraph" w:styleId="CommentSubject">
    <w:name w:val="annotation subject"/>
    <w:basedOn w:val="CommentText"/>
    <w:next w:val="CommentText"/>
    <w:link w:val="CommentSubjectChar"/>
    <w:uiPriority w:val="99"/>
    <w:semiHidden/>
    <w:unhideWhenUsed/>
    <w:rsid w:val="001C123B"/>
    <w:rPr>
      <w:b/>
      <w:bCs/>
    </w:rPr>
  </w:style>
  <w:style w:type="character" w:customStyle="1" w:styleId="CommentSubjectChar">
    <w:name w:val="Comment Subject Char"/>
    <w:basedOn w:val="CommentTextChar"/>
    <w:link w:val="CommentSubject"/>
    <w:uiPriority w:val="99"/>
    <w:semiHidden/>
    <w:rsid w:val="001C1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opm.gov" TargetMode="External"/><Relationship Id="rId4" Type="http://schemas.microsoft.com/office/2007/relationships/stylesWithEffects" Target="stylesWithEffects.xml"/><Relationship Id="rId9" Type="http://schemas.openxmlformats.org/officeDocument/2006/relationships/hyperlink" Target="https://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49D42-1E0E-4A70-AECE-1100E5FE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2018-10-25T14:54:00Z</dcterms:created>
  <dcterms:modified xsi:type="dcterms:W3CDTF">2018-10-25T14:54:00Z</dcterms:modified>
</cp:coreProperties>
</file>