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A32D5" w14:textId="29A51148" w:rsidR="001B7138" w:rsidRPr="00DF34BA" w:rsidRDefault="00DA4E60" w:rsidP="00DA4E60">
      <w:pPr>
        <w:tabs>
          <w:tab w:val="center" w:pos="4680"/>
        </w:tabs>
        <w:spacing w:after="0" w:line="480" w:lineRule="auto"/>
        <w:jc w:val="center"/>
        <w:rPr>
          <w:rFonts w:ascii="Arial" w:hAnsi="Arial" w:cs="Arial"/>
          <w:sz w:val="24"/>
          <w:szCs w:val="24"/>
        </w:rPr>
      </w:pPr>
      <w:bookmarkStart w:id="0" w:name="_GoBack"/>
      <w:bookmarkEnd w:id="0"/>
      <w:r w:rsidRPr="00DF34BA">
        <w:rPr>
          <w:rFonts w:ascii="Arial" w:hAnsi="Arial" w:cs="Arial"/>
          <w:sz w:val="24"/>
          <w:szCs w:val="24"/>
        </w:rPr>
        <w:t xml:space="preserve">Supporting Statement Part </w:t>
      </w:r>
      <w:r w:rsidR="001B7138" w:rsidRPr="00DF34BA">
        <w:rPr>
          <w:rFonts w:ascii="Arial" w:hAnsi="Arial" w:cs="Arial"/>
          <w:sz w:val="24"/>
          <w:szCs w:val="24"/>
        </w:rPr>
        <w:t>A</w:t>
      </w:r>
    </w:p>
    <w:p w14:paraId="70320AE1" w14:textId="5B01636B" w:rsidR="004A0F2B" w:rsidRPr="00DF34BA" w:rsidRDefault="004A0F2B" w:rsidP="00DA4E60">
      <w:pPr>
        <w:tabs>
          <w:tab w:val="center" w:pos="4680"/>
        </w:tabs>
        <w:spacing w:after="0" w:line="480" w:lineRule="auto"/>
        <w:jc w:val="center"/>
        <w:rPr>
          <w:rFonts w:ascii="Arial" w:hAnsi="Arial" w:cs="Arial"/>
          <w:b/>
          <w:sz w:val="24"/>
          <w:szCs w:val="24"/>
        </w:rPr>
      </w:pPr>
      <w:r w:rsidRPr="00DF34BA">
        <w:rPr>
          <w:rFonts w:ascii="Arial" w:hAnsi="Arial" w:cs="Arial"/>
          <w:b/>
          <w:sz w:val="24"/>
          <w:szCs w:val="24"/>
        </w:rPr>
        <w:t>Farm to School Census and Comprehensive Review</w:t>
      </w:r>
    </w:p>
    <w:p w14:paraId="7D5E14FD" w14:textId="77777777" w:rsidR="00EB6D74" w:rsidRPr="00DF34BA" w:rsidRDefault="00EB6D74" w:rsidP="00DC034A">
      <w:pPr>
        <w:tabs>
          <w:tab w:val="center" w:pos="4680"/>
        </w:tabs>
        <w:spacing w:line="480" w:lineRule="auto"/>
        <w:jc w:val="center"/>
        <w:rPr>
          <w:rFonts w:ascii="Arial" w:hAnsi="Arial" w:cs="Arial"/>
          <w:sz w:val="24"/>
          <w:szCs w:val="24"/>
        </w:rPr>
      </w:pPr>
    </w:p>
    <w:p w14:paraId="1A2B99A4" w14:textId="77777777" w:rsidR="000D2680" w:rsidRPr="00DF34BA" w:rsidRDefault="000D2680" w:rsidP="00DC034A">
      <w:pPr>
        <w:tabs>
          <w:tab w:val="center" w:pos="4680"/>
        </w:tabs>
        <w:spacing w:line="480" w:lineRule="auto"/>
        <w:jc w:val="center"/>
        <w:rPr>
          <w:rFonts w:ascii="Arial" w:hAnsi="Arial" w:cs="Arial"/>
          <w:sz w:val="24"/>
          <w:szCs w:val="24"/>
        </w:rPr>
      </w:pPr>
      <w:r w:rsidRPr="00DF34BA">
        <w:rPr>
          <w:rFonts w:ascii="Arial" w:hAnsi="Arial" w:cs="Arial"/>
          <w:sz w:val="24"/>
          <w:szCs w:val="24"/>
        </w:rPr>
        <w:t xml:space="preserve">Ashley Chaifetz </w:t>
      </w:r>
    </w:p>
    <w:p w14:paraId="3900DEBB" w14:textId="716D8D56" w:rsidR="000D2680" w:rsidRPr="00DF34BA" w:rsidRDefault="000D2680" w:rsidP="00DC034A">
      <w:pPr>
        <w:tabs>
          <w:tab w:val="center" w:pos="4680"/>
        </w:tabs>
        <w:spacing w:line="480" w:lineRule="auto"/>
        <w:jc w:val="center"/>
        <w:rPr>
          <w:rFonts w:ascii="Arial" w:hAnsi="Arial" w:cs="Arial"/>
          <w:sz w:val="24"/>
          <w:szCs w:val="24"/>
        </w:rPr>
      </w:pPr>
      <w:r w:rsidRPr="00DF34BA">
        <w:rPr>
          <w:rFonts w:ascii="Arial" w:hAnsi="Arial" w:cs="Arial"/>
          <w:sz w:val="24"/>
          <w:szCs w:val="24"/>
        </w:rPr>
        <w:t>Social Science Research Analyst</w:t>
      </w:r>
    </w:p>
    <w:p w14:paraId="15F6DFC2" w14:textId="15B1FA2E" w:rsidR="00DC034A" w:rsidRPr="00DF34BA" w:rsidRDefault="00DC034A" w:rsidP="00DC034A">
      <w:pPr>
        <w:tabs>
          <w:tab w:val="center" w:pos="4680"/>
        </w:tabs>
        <w:spacing w:line="480" w:lineRule="auto"/>
        <w:jc w:val="center"/>
        <w:rPr>
          <w:rFonts w:ascii="Arial" w:hAnsi="Arial" w:cs="Arial"/>
          <w:sz w:val="24"/>
          <w:szCs w:val="24"/>
        </w:rPr>
      </w:pPr>
      <w:r w:rsidRPr="00DF34BA">
        <w:rPr>
          <w:rFonts w:ascii="Arial" w:hAnsi="Arial" w:cs="Arial"/>
          <w:sz w:val="24"/>
          <w:szCs w:val="24"/>
        </w:rPr>
        <w:t xml:space="preserve">Office of Policy Support </w:t>
      </w:r>
    </w:p>
    <w:p w14:paraId="10309D83" w14:textId="77777777" w:rsidR="00DC034A" w:rsidRPr="00DF34BA" w:rsidRDefault="00DC034A" w:rsidP="00DC034A">
      <w:pPr>
        <w:tabs>
          <w:tab w:val="center" w:pos="4680"/>
        </w:tabs>
        <w:spacing w:line="480" w:lineRule="auto"/>
        <w:jc w:val="center"/>
        <w:rPr>
          <w:rFonts w:ascii="Arial" w:hAnsi="Arial" w:cs="Arial"/>
          <w:sz w:val="24"/>
          <w:szCs w:val="24"/>
        </w:rPr>
      </w:pPr>
      <w:r w:rsidRPr="00DF34BA">
        <w:rPr>
          <w:rFonts w:ascii="Arial" w:hAnsi="Arial" w:cs="Arial"/>
          <w:sz w:val="24"/>
          <w:szCs w:val="24"/>
        </w:rPr>
        <w:t>Food and Nutrition Service (FNS)</w:t>
      </w:r>
    </w:p>
    <w:p w14:paraId="34176BA1" w14:textId="77777777" w:rsidR="00DC034A" w:rsidRPr="00DF34BA" w:rsidRDefault="00DC034A" w:rsidP="00DC034A">
      <w:pPr>
        <w:tabs>
          <w:tab w:val="center" w:pos="4680"/>
        </w:tabs>
        <w:spacing w:line="480" w:lineRule="auto"/>
        <w:jc w:val="center"/>
        <w:rPr>
          <w:rFonts w:ascii="Arial" w:hAnsi="Arial" w:cs="Arial"/>
          <w:sz w:val="24"/>
          <w:szCs w:val="24"/>
        </w:rPr>
      </w:pPr>
      <w:r w:rsidRPr="00DF34BA">
        <w:rPr>
          <w:rFonts w:ascii="Arial" w:hAnsi="Arial" w:cs="Arial"/>
          <w:sz w:val="24"/>
          <w:szCs w:val="24"/>
        </w:rPr>
        <w:t>United States Department of Agriculture (USDA)</w:t>
      </w:r>
    </w:p>
    <w:p w14:paraId="0188CC72" w14:textId="77777777" w:rsidR="00DC034A" w:rsidRPr="00DF34BA" w:rsidRDefault="00DC034A" w:rsidP="00DC034A">
      <w:pPr>
        <w:tabs>
          <w:tab w:val="center" w:pos="4680"/>
        </w:tabs>
        <w:spacing w:line="480" w:lineRule="auto"/>
        <w:jc w:val="center"/>
        <w:rPr>
          <w:rFonts w:ascii="Arial" w:hAnsi="Arial" w:cs="Arial"/>
          <w:sz w:val="24"/>
          <w:szCs w:val="24"/>
        </w:rPr>
      </w:pPr>
      <w:r w:rsidRPr="00DF34BA">
        <w:rPr>
          <w:rFonts w:ascii="Arial" w:hAnsi="Arial" w:cs="Arial"/>
          <w:sz w:val="24"/>
          <w:szCs w:val="24"/>
        </w:rPr>
        <w:t>3101 Park Center Drive, Alexandria, VA 22302</w:t>
      </w:r>
    </w:p>
    <w:p w14:paraId="7817D36E" w14:textId="59816EB2" w:rsidR="00DC034A" w:rsidRPr="00DF34BA" w:rsidRDefault="00DC034A" w:rsidP="00DC034A">
      <w:pPr>
        <w:tabs>
          <w:tab w:val="center" w:pos="4680"/>
        </w:tabs>
        <w:spacing w:line="480" w:lineRule="auto"/>
        <w:jc w:val="center"/>
        <w:rPr>
          <w:rFonts w:ascii="Arial" w:hAnsi="Arial" w:cs="Arial"/>
          <w:sz w:val="24"/>
          <w:szCs w:val="24"/>
        </w:rPr>
      </w:pPr>
    </w:p>
    <w:p w14:paraId="45170EA2" w14:textId="77777777" w:rsidR="00DC034A" w:rsidRPr="00A81B0A" w:rsidRDefault="00745E27" w:rsidP="00DC034A">
      <w:pPr>
        <w:tabs>
          <w:tab w:val="center" w:pos="4680"/>
        </w:tabs>
        <w:spacing w:line="480" w:lineRule="auto"/>
        <w:jc w:val="center"/>
        <w:rPr>
          <w:rFonts w:ascii="Arial" w:hAnsi="Arial" w:cs="Arial"/>
          <w:sz w:val="24"/>
          <w:szCs w:val="24"/>
        </w:rPr>
      </w:pPr>
      <w:hyperlink r:id="rId9" w:history="1">
        <w:r w:rsidR="00DC034A" w:rsidRPr="00A81B0A">
          <w:rPr>
            <w:rFonts w:ascii="Arial" w:hAnsi="Arial" w:cs="Arial"/>
            <w:sz w:val="24"/>
            <w:szCs w:val="24"/>
          </w:rPr>
          <w:t>Ashley.Chaifetz@fns.usda.gov</w:t>
        </w:r>
      </w:hyperlink>
      <w:r w:rsidR="00DC034A" w:rsidRPr="00A81B0A">
        <w:rPr>
          <w:rFonts w:ascii="Arial" w:hAnsi="Arial" w:cs="Arial"/>
          <w:sz w:val="24"/>
          <w:szCs w:val="24"/>
        </w:rPr>
        <w:t xml:space="preserve">  </w:t>
      </w:r>
    </w:p>
    <w:p w14:paraId="209942FB" w14:textId="77777777" w:rsidR="00DC034A" w:rsidRPr="00A81B0A" w:rsidRDefault="00DC034A" w:rsidP="00DC034A">
      <w:pPr>
        <w:tabs>
          <w:tab w:val="center" w:pos="4680"/>
        </w:tabs>
        <w:spacing w:line="480" w:lineRule="auto"/>
        <w:jc w:val="center"/>
        <w:rPr>
          <w:rFonts w:ascii="Arial" w:hAnsi="Arial" w:cs="Arial"/>
          <w:sz w:val="24"/>
          <w:szCs w:val="24"/>
        </w:rPr>
      </w:pPr>
      <w:r w:rsidRPr="00A81B0A">
        <w:rPr>
          <w:rFonts w:ascii="Arial" w:hAnsi="Arial" w:cs="Arial"/>
          <w:sz w:val="24"/>
          <w:szCs w:val="24"/>
        </w:rPr>
        <w:t>703-457-7741</w:t>
      </w:r>
    </w:p>
    <w:p w14:paraId="46B2E37A" w14:textId="6C801915" w:rsidR="00DA4E60" w:rsidRPr="00A81B0A" w:rsidRDefault="002C0F75" w:rsidP="00DC034A">
      <w:pPr>
        <w:tabs>
          <w:tab w:val="center" w:pos="4680"/>
        </w:tabs>
        <w:jc w:val="center"/>
        <w:rPr>
          <w:rFonts w:ascii="Arial" w:hAnsi="Arial" w:cs="Arial"/>
          <w:sz w:val="24"/>
          <w:szCs w:val="24"/>
        </w:rPr>
      </w:pPr>
      <w:r>
        <w:rPr>
          <w:rFonts w:ascii="Arial" w:hAnsi="Arial" w:cs="Arial"/>
          <w:sz w:val="24"/>
          <w:szCs w:val="24"/>
        </w:rPr>
        <w:t>October 24</w:t>
      </w:r>
      <w:r w:rsidR="00EB6D74" w:rsidRPr="00A81B0A">
        <w:rPr>
          <w:rFonts w:ascii="Arial" w:hAnsi="Arial" w:cs="Arial"/>
          <w:sz w:val="24"/>
          <w:szCs w:val="24"/>
        </w:rPr>
        <w:t>, 2018</w:t>
      </w:r>
    </w:p>
    <w:p w14:paraId="57CD8753" w14:textId="77777777" w:rsidR="00DA4E60" w:rsidRPr="00A81B0A" w:rsidRDefault="00DA4E60" w:rsidP="00DA4E60">
      <w:pPr>
        <w:tabs>
          <w:tab w:val="center" w:pos="4680"/>
        </w:tabs>
        <w:rPr>
          <w:rFonts w:ascii="Arial" w:hAnsi="Arial" w:cs="Arial"/>
          <w:sz w:val="24"/>
          <w:szCs w:val="24"/>
        </w:rPr>
      </w:pPr>
    </w:p>
    <w:p w14:paraId="02CD6A5A" w14:textId="77777777" w:rsidR="00DA4E60" w:rsidRPr="00A81B0A" w:rsidRDefault="00DA4E60" w:rsidP="00DA4E60">
      <w:pPr>
        <w:tabs>
          <w:tab w:val="center" w:pos="4680"/>
        </w:tabs>
        <w:rPr>
          <w:rFonts w:ascii="Arial" w:hAnsi="Arial" w:cs="Arial"/>
          <w:sz w:val="24"/>
          <w:szCs w:val="24"/>
        </w:rPr>
      </w:pPr>
    </w:p>
    <w:p w14:paraId="0D2A4E72" w14:textId="77777777" w:rsidR="00DA4E60" w:rsidRPr="00A81B0A" w:rsidRDefault="00DA4E60" w:rsidP="00DA4E60">
      <w:pPr>
        <w:tabs>
          <w:tab w:val="center" w:pos="4680"/>
        </w:tabs>
        <w:rPr>
          <w:rFonts w:ascii="Arial" w:hAnsi="Arial" w:cs="Arial"/>
          <w:sz w:val="24"/>
          <w:szCs w:val="24"/>
        </w:rPr>
        <w:sectPr w:rsidR="00DA4E60" w:rsidRPr="00A81B0A" w:rsidSect="00E45A6A">
          <w:headerReference w:type="default" r:id="rId10"/>
          <w:footerReference w:type="even" r:id="rId11"/>
          <w:footerReference w:type="default" r:id="rId12"/>
          <w:pgSz w:w="12240" w:h="15840" w:code="1"/>
          <w:pgMar w:top="1440" w:right="1440" w:bottom="1440" w:left="1800" w:header="1440" w:footer="547" w:gutter="0"/>
          <w:cols w:space="720"/>
          <w:docGrid w:linePitch="299"/>
        </w:sectPr>
      </w:pPr>
    </w:p>
    <w:sdt>
      <w:sdtPr>
        <w:rPr>
          <w:rFonts w:ascii="Arial" w:eastAsia="Times New Roman" w:hAnsi="Arial" w:cs="Arial"/>
          <w:b/>
          <w:noProof/>
          <w:color w:val="auto"/>
          <w:sz w:val="24"/>
          <w:szCs w:val="24"/>
        </w:rPr>
        <w:id w:val="-123473669"/>
        <w:docPartObj>
          <w:docPartGallery w:val="Table of Contents"/>
          <w:docPartUnique/>
        </w:docPartObj>
      </w:sdtPr>
      <w:sdtEndPr>
        <w:rPr>
          <w:bCs/>
        </w:rPr>
      </w:sdtEndPr>
      <w:sdtContent>
        <w:p w14:paraId="045199AC" w14:textId="0EA21D7E" w:rsidR="000A0EC2" w:rsidRPr="00A81B0A" w:rsidRDefault="000A0EC2" w:rsidP="00A81B0A">
          <w:pPr>
            <w:pStyle w:val="TOCHeading"/>
            <w:spacing w:line="276" w:lineRule="auto"/>
            <w:jc w:val="center"/>
            <w:rPr>
              <w:rFonts w:ascii="Arial" w:hAnsi="Arial" w:cs="Arial"/>
              <w:b/>
              <w:color w:val="auto"/>
              <w:sz w:val="24"/>
              <w:szCs w:val="24"/>
            </w:rPr>
          </w:pPr>
          <w:r w:rsidRPr="00A81B0A">
            <w:rPr>
              <w:rFonts w:ascii="Arial" w:hAnsi="Arial" w:cs="Arial"/>
              <w:b/>
              <w:color w:val="auto"/>
              <w:sz w:val="24"/>
              <w:szCs w:val="24"/>
            </w:rPr>
            <w:t>Contents</w:t>
          </w:r>
        </w:p>
        <w:p w14:paraId="75C1B3CB" w14:textId="0107E316" w:rsidR="00201AD4" w:rsidRPr="00A81B0A" w:rsidRDefault="000A0EC2" w:rsidP="00A81B0A">
          <w:pPr>
            <w:pStyle w:val="TOC1"/>
            <w:spacing w:line="276" w:lineRule="auto"/>
            <w:rPr>
              <w:rFonts w:ascii="Arial" w:eastAsiaTheme="minorEastAsia" w:hAnsi="Arial" w:cs="Arial"/>
              <w:b w:val="0"/>
              <w:szCs w:val="24"/>
              <w:lang w:val="en-GB" w:eastAsia="en-GB"/>
            </w:rPr>
          </w:pPr>
          <w:r w:rsidRPr="00A81B0A">
            <w:rPr>
              <w:rFonts w:ascii="Arial" w:hAnsi="Arial" w:cs="Arial"/>
              <w:b w:val="0"/>
              <w:szCs w:val="24"/>
            </w:rPr>
            <w:fldChar w:fldCharType="begin"/>
          </w:r>
          <w:r w:rsidRPr="00A81B0A">
            <w:rPr>
              <w:rFonts w:ascii="Arial" w:hAnsi="Arial" w:cs="Arial"/>
              <w:b w:val="0"/>
              <w:szCs w:val="24"/>
            </w:rPr>
            <w:instrText xml:space="preserve"> TOC \o "1-3" \h \z \u </w:instrText>
          </w:r>
          <w:r w:rsidRPr="00A81B0A">
            <w:rPr>
              <w:rFonts w:ascii="Arial" w:hAnsi="Arial" w:cs="Arial"/>
              <w:b w:val="0"/>
              <w:szCs w:val="24"/>
            </w:rPr>
            <w:fldChar w:fldCharType="separate"/>
          </w:r>
          <w:hyperlink w:anchor="_Toc506534133" w:history="1">
            <w:r w:rsidR="00201AD4" w:rsidRPr="00A81B0A">
              <w:rPr>
                <w:rStyle w:val="Hyperlink"/>
                <w:rFonts w:ascii="Arial" w:hAnsi="Arial" w:cs="Arial"/>
                <w:b w:val="0"/>
                <w:color w:val="auto"/>
                <w:szCs w:val="24"/>
              </w:rPr>
              <w:t>1.</w:t>
            </w:r>
            <w:r w:rsidR="00201AD4" w:rsidRPr="00A81B0A">
              <w:rPr>
                <w:rFonts w:ascii="Arial" w:eastAsiaTheme="minorEastAsia" w:hAnsi="Arial" w:cs="Arial"/>
                <w:b w:val="0"/>
                <w:szCs w:val="24"/>
                <w:lang w:val="en-GB" w:eastAsia="en-GB"/>
              </w:rPr>
              <w:tab/>
            </w:r>
            <w:r w:rsidR="00201AD4" w:rsidRPr="00A81B0A">
              <w:rPr>
                <w:rStyle w:val="Hyperlink"/>
                <w:rFonts w:ascii="Arial" w:hAnsi="Arial" w:cs="Arial"/>
                <w:b w:val="0"/>
                <w:color w:val="auto"/>
                <w:szCs w:val="24"/>
              </w:rPr>
              <w:t xml:space="preserve"> </w:t>
            </w:r>
            <w:r w:rsidR="00E82688">
              <w:rPr>
                <w:rStyle w:val="Hyperlink"/>
                <w:rFonts w:ascii="Arial" w:hAnsi="Arial" w:cs="Arial"/>
                <w:b w:val="0"/>
                <w:color w:val="auto"/>
                <w:szCs w:val="24"/>
              </w:rPr>
              <w:t>C</w:t>
            </w:r>
            <w:r w:rsidR="00201AD4" w:rsidRPr="00A81B0A">
              <w:rPr>
                <w:rStyle w:val="Hyperlink"/>
                <w:rFonts w:ascii="Arial" w:hAnsi="Arial" w:cs="Arial"/>
                <w:b w:val="0"/>
                <w:color w:val="auto"/>
                <w:szCs w:val="24"/>
              </w:rPr>
              <w:t xml:space="preserve">ircumstances that </w:t>
            </w:r>
            <w:r w:rsidR="00E82688">
              <w:rPr>
                <w:rStyle w:val="Hyperlink"/>
                <w:rFonts w:ascii="Arial" w:hAnsi="Arial" w:cs="Arial"/>
                <w:b w:val="0"/>
                <w:color w:val="auto"/>
                <w:szCs w:val="24"/>
              </w:rPr>
              <w:t>M</w:t>
            </w:r>
            <w:r w:rsidR="00201AD4" w:rsidRPr="00A81B0A">
              <w:rPr>
                <w:rStyle w:val="Hyperlink"/>
                <w:rFonts w:ascii="Arial" w:hAnsi="Arial" w:cs="Arial"/>
                <w:b w:val="0"/>
                <w:color w:val="auto"/>
                <w:szCs w:val="24"/>
              </w:rPr>
              <w:t xml:space="preserve">ake the </w:t>
            </w:r>
            <w:r w:rsidR="00E82688">
              <w:rPr>
                <w:rStyle w:val="Hyperlink"/>
                <w:rFonts w:ascii="Arial" w:hAnsi="Arial" w:cs="Arial"/>
                <w:b w:val="0"/>
                <w:color w:val="auto"/>
                <w:szCs w:val="24"/>
              </w:rPr>
              <w:t>C</w:t>
            </w:r>
            <w:r w:rsidR="00201AD4" w:rsidRPr="00A81B0A">
              <w:rPr>
                <w:rStyle w:val="Hyperlink"/>
                <w:rFonts w:ascii="Arial" w:hAnsi="Arial" w:cs="Arial"/>
                <w:b w:val="0"/>
                <w:color w:val="auto"/>
                <w:szCs w:val="24"/>
              </w:rPr>
              <w:t xml:space="preserve">ollection of </w:t>
            </w:r>
            <w:r w:rsidR="00E82688">
              <w:rPr>
                <w:rStyle w:val="Hyperlink"/>
                <w:rFonts w:ascii="Arial" w:hAnsi="Arial" w:cs="Arial"/>
                <w:b w:val="0"/>
                <w:color w:val="auto"/>
                <w:szCs w:val="24"/>
              </w:rPr>
              <w:t>I</w:t>
            </w:r>
            <w:r w:rsidR="00201AD4" w:rsidRPr="00A81B0A">
              <w:rPr>
                <w:rStyle w:val="Hyperlink"/>
                <w:rFonts w:ascii="Arial" w:hAnsi="Arial" w:cs="Arial"/>
                <w:b w:val="0"/>
                <w:color w:val="auto"/>
                <w:szCs w:val="24"/>
              </w:rPr>
              <w:t xml:space="preserve">nformation </w:t>
            </w:r>
            <w:r w:rsidR="00E82688">
              <w:rPr>
                <w:rStyle w:val="Hyperlink"/>
                <w:rFonts w:ascii="Arial" w:hAnsi="Arial" w:cs="Arial"/>
                <w:b w:val="0"/>
                <w:color w:val="auto"/>
                <w:szCs w:val="24"/>
              </w:rPr>
              <w:t>N</w:t>
            </w:r>
            <w:r w:rsidR="00201AD4" w:rsidRPr="00A81B0A">
              <w:rPr>
                <w:rStyle w:val="Hyperlink"/>
                <w:rFonts w:ascii="Arial" w:hAnsi="Arial" w:cs="Arial"/>
                <w:b w:val="0"/>
                <w:color w:val="auto"/>
                <w:szCs w:val="24"/>
              </w:rPr>
              <w:t>ecessary...</w:t>
            </w:r>
            <w:r w:rsidR="00201AD4" w:rsidRPr="00A81B0A">
              <w:rPr>
                <w:rFonts w:ascii="Arial" w:hAnsi="Arial" w:cs="Arial"/>
                <w:b w:val="0"/>
                <w:webHidden/>
                <w:szCs w:val="24"/>
              </w:rPr>
              <w:tab/>
            </w:r>
            <w:r w:rsidR="00201AD4" w:rsidRPr="00A81B0A">
              <w:rPr>
                <w:rFonts w:ascii="Arial" w:hAnsi="Arial" w:cs="Arial"/>
                <w:b w:val="0"/>
                <w:webHidden/>
                <w:szCs w:val="24"/>
              </w:rPr>
              <w:fldChar w:fldCharType="begin"/>
            </w:r>
            <w:r w:rsidR="00201AD4" w:rsidRPr="00A81B0A">
              <w:rPr>
                <w:rFonts w:ascii="Arial" w:hAnsi="Arial" w:cs="Arial"/>
                <w:b w:val="0"/>
                <w:webHidden/>
                <w:szCs w:val="24"/>
              </w:rPr>
              <w:instrText xml:space="preserve"> PAGEREF _Toc506534133 \h </w:instrText>
            </w:r>
            <w:r w:rsidR="00201AD4" w:rsidRPr="00A81B0A">
              <w:rPr>
                <w:rFonts w:ascii="Arial" w:hAnsi="Arial" w:cs="Arial"/>
                <w:b w:val="0"/>
                <w:webHidden/>
                <w:szCs w:val="24"/>
              </w:rPr>
            </w:r>
            <w:r w:rsidR="00201AD4" w:rsidRPr="00A81B0A">
              <w:rPr>
                <w:rFonts w:ascii="Arial" w:hAnsi="Arial" w:cs="Arial"/>
                <w:b w:val="0"/>
                <w:webHidden/>
                <w:szCs w:val="24"/>
              </w:rPr>
              <w:fldChar w:fldCharType="separate"/>
            </w:r>
            <w:r w:rsidR="001B504D">
              <w:rPr>
                <w:rFonts w:ascii="Arial" w:hAnsi="Arial" w:cs="Arial"/>
                <w:b w:val="0"/>
                <w:webHidden/>
                <w:szCs w:val="24"/>
              </w:rPr>
              <w:t>5</w:t>
            </w:r>
            <w:r w:rsidR="00201AD4" w:rsidRPr="00A81B0A">
              <w:rPr>
                <w:rFonts w:ascii="Arial" w:hAnsi="Arial" w:cs="Arial"/>
                <w:b w:val="0"/>
                <w:webHidden/>
                <w:szCs w:val="24"/>
              </w:rPr>
              <w:fldChar w:fldCharType="end"/>
            </w:r>
          </w:hyperlink>
        </w:p>
        <w:p w14:paraId="231B573A" w14:textId="68DBDF33" w:rsidR="00201AD4" w:rsidRPr="00A81B0A" w:rsidRDefault="00745E27" w:rsidP="00A81B0A">
          <w:pPr>
            <w:pStyle w:val="TOC1"/>
            <w:spacing w:line="276" w:lineRule="auto"/>
            <w:rPr>
              <w:rFonts w:ascii="Arial" w:eastAsiaTheme="minorEastAsia" w:hAnsi="Arial" w:cs="Arial"/>
              <w:b w:val="0"/>
              <w:szCs w:val="24"/>
              <w:lang w:val="en-GB" w:eastAsia="en-GB"/>
            </w:rPr>
          </w:pPr>
          <w:hyperlink w:anchor="_Toc506534134" w:history="1">
            <w:r w:rsidR="00201AD4" w:rsidRPr="00A81B0A">
              <w:rPr>
                <w:rStyle w:val="Hyperlink"/>
                <w:rFonts w:ascii="Arial" w:hAnsi="Arial" w:cs="Arial"/>
                <w:b w:val="0"/>
                <w:color w:val="auto"/>
                <w:szCs w:val="24"/>
              </w:rPr>
              <w:t>2.</w:t>
            </w:r>
            <w:r w:rsidR="00201AD4" w:rsidRPr="00A81B0A">
              <w:rPr>
                <w:rFonts w:ascii="Arial" w:eastAsiaTheme="minorEastAsia" w:hAnsi="Arial" w:cs="Arial"/>
                <w:b w:val="0"/>
                <w:szCs w:val="24"/>
                <w:lang w:val="en-GB" w:eastAsia="en-GB"/>
              </w:rPr>
              <w:tab/>
            </w:r>
            <w:r w:rsidR="00E82688">
              <w:rPr>
                <w:rFonts w:ascii="Arial" w:eastAsiaTheme="minorEastAsia" w:hAnsi="Arial" w:cs="Arial"/>
                <w:b w:val="0"/>
                <w:szCs w:val="24"/>
                <w:lang w:val="en-GB" w:eastAsia="en-GB"/>
              </w:rPr>
              <w:t>Purpose and use of the Information</w:t>
            </w:r>
            <w:r w:rsidR="00201AD4" w:rsidRPr="00A81B0A">
              <w:rPr>
                <w:rStyle w:val="Hyperlink"/>
                <w:rFonts w:ascii="Arial" w:hAnsi="Arial" w:cs="Arial"/>
                <w:b w:val="0"/>
                <w:color w:val="auto"/>
                <w:szCs w:val="24"/>
              </w:rPr>
              <w:t>.</w:t>
            </w:r>
            <w:r w:rsidR="00201AD4" w:rsidRPr="00A81B0A">
              <w:rPr>
                <w:rFonts w:ascii="Arial" w:hAnsi="Arial" w:cs="Arial"/>
                <w:b w:val="0"/>
                <w:webHidden/>
                <w:szCs w:val="24"/>
              </w:rPr>
              <w:tab/>
            </w:r>
            <w:r w:rsidR="00201AD4" w:rsidRPr="00A81B0A">
              <w:rPr>
                <w:rFonts w:ascii="Arial" w:hAnsi="Arial" w:cs="Arial"/>
                <w:b w:val="0"/>
                <w:webHidden/>
                <w:szCs w:val="24"/>
              </w:rPr>
              <w:fldChar w:fldCharType="begin"/>
            </w:r>
            <w:r w:rsidR="00201AD4" w:rsidRPr="00A81B0A">
              <w:rPr>
                <w:rFonts w:ascii="Arial" w:hAnsi="Arial" w:cs="Arial"/>
                <w:b w:val="0"/>
                <w:webHidden/>
                <w:szCs w:val="24"/>
              </w:rPr>
              <w:instrText xml:space="preserve"> PAGEREF _Toc506534134 \h </w:instrText>
            </w:r>
            <w:r w:rsidR="00201AD4" w:rsidRPr="00A81B0A">
              <w:rPr>
                <w:rFonts w:ascii="Arial" w:hAnsi="Arial" w:cs="Arial"/>
                <w:b w:val="0"/>
                <w:webHidden/>
                <w:szCs w:val="24"/>
              </w:rPr>
            </w:r>
            <w:r w:rsidR="00201AD4" w:rsidRPr="00A81B0A">
              <w:rPr>
                <w:rFonts w:ascii="Arial" w:hAnsi="Arial" w:cs="Arial"/>
                <w:b w:val="0"/>
                <w:webHidden/>
                <w:szCs w:val="24"/>
              </w:rPr>
              <w:fldChar w:fldCharType="separate"/>
            </w:r>
            <w:r w:rsidR="001B504D">
              <w:rPr>
                <w:rFonts w:ascii="Arial" w:hAnsi="Arial" w:cs="Arial"/>
                <w:b w:val="0"/>
                <w:webHidden/>
                <w:szCs w:val="24"/>
              </w:rPr>
              <w:t>7</w:t>
            </w:r>
            <w:r w:rsidR="00201AD4" w:rsidRPr="00A81B0A">
              <w:rPr>
                <w:rFonts w:ascii="Arial" w:hAnsi="Arial" w:cs="Arial"/>
                <w:b w:val="0"/>
                <w:webHidden/>
                <w:szCs w:val="24"/>
              </w:rPr>
              <w:fldChar w:fldCharType="end"/>
            </w:r>
          </w:hyperlink>
        </w:p>
        <w:p w14:paraId="6AEE15DF" w14:textId="08740312" w:rsidR="00201AD4" w:rsidRPr="00A81B0A" w:rsidRDefault="00745E27" w:rsidP="00A81B0A">
          <w:pPr>
            <w:pStyle w:val="TOC1"/>
            <w:spacing w:line="276" w:lineRule="auto"/>
            <w:rPr>
              <w:rFonts w:ascii="Arial" w:eastAsiaTheme="minorEastAsia" w:hAnsi="Arial" w:cs="Arial"/>
              <w:b w:val="0"/>
              <w:szCs w:val="24"/>
              <w:lang w:val="en-GB" w:eastAsia="en-GB"/>
            </w:rPr>
          </w:pPr>
          <w:hyperlink w:anchor="_Toc506534135" w:history="1">
            <w:r w:rsidR="00201AD4" w:rsidRPr="00A81B0A">
              <w:rPr>
                <w:rStyle w:val="Hyperlink"/>
                <w:rFonts w:ascii="Arial" w:hAnsi="Arial" w:cs="Arial"/>
                <w:b w:val="0"/>
                <w:color w:val="auto"/>
                <w:szCs w:val="24"/>
              </w:rPr>
              <w:t>3.</w:t>
            </w:r>
            <w:r w:rsidR="00201AD4" w:rsidRPr="00A81B0A">
              <w:rPr>
                <w:rFonts w:ascii="Arial" w:eastAsiaTheme="minorEastAsia" w:hAnsi="Arial" w:cs="Arial"/>
                <w:b w:val="0"/>
                <w:szCs w:val="24"/>
                <w:lang w:val="en-GB" w:eastAsia="en-GB"/>
              </w:rPr>
              <w:tab/>
            </w:r>
            <w:r w:rsidR="00E82688">
              <w:rPr>
                <w:rFonts w:ascii="Arial" w:eastAsiaTheme="minorEastAsia" w:hAnsi="Arial" w:cs="Arial"/>
                <w:b w:val="0"/>
                <w:szCs w:val="24"/>
                <w:lang w:val="en-GB" w:eastAsia="en-GB"/>
              </w:rPr>
              <w:t>Use of Information Technology and Burden Reduction</w:t>
            </w:r>
            <w:r w:rsidR="00201AD4" w:rsidRPr="00A81B0A">
              <w:rPr>
                <w:rStyle w:val="Hyperlink"/>
                <w:rFonts w:ascii="Arial" w:hAnsi="Arial" w:cs="Arial"/>
                <w:b w:val="0"/>
                <w:color w:val="auto"/>
                <w:szCs w:val="24"/>
              </w:rPr>
              <w:t>..</w:t>
            </w:r>
            <w:r w:rsidR="00201AD4" w:rsidRPr="00A81B0A">
              <w:rPr>
                <w:rFonts w:ascii="Arial" w:hAnsi="Arial" w:cs="Arial"/>
                <w:b w:val="0"/>
                <w:webHidden/>
                <w:szCs w:val="24"/>
              </w:rPr>
              <w:tab/>
            </w:r>
            <w:r w:rsidR="00201AD4" w:rsidRPr="00A81B0A">
              <w:rPr>
                <w:rFonts w:ascii="Arial" w:hAnsi="Arial" w:cs="Arial"/>
                <w:b w:val="0"/>
                <w:webHidden/>
                <w:szCs w:val="24"/>
              </w:rPr>
              <w:fldChar w:fldCharType="begin"/>
            </w:r>
            <w:r w:rsidR="00201AD4" w:rsidRPr="00A81B0A">
              <w:rPr>
                <w:rFonts w:ascii="Arial" w:hAnsi="Arial" w:cs="Arial"/>
                <w:b w:val="0"/>
                <w:webHidden/>
                <w:szCs w:val="24"/>
              </w:rPr>
              <w:instrText xml:space="preserve"> PAGEREF _Toc506534135 \h </w:instrText>
            </w:r>
            <w:r w:rsidR="00201AD4" w:rsidRPr="00A81B0A">
              <w:rPr>
                <w:rFonts w:ascii="Arial" w:hAnsi="Arial" w:cs="Arial"/>
                <w:b w:val="0"/>
                <w:webHidden/>
                <w:szCs w:val="24"/>
              </w:rPr>
            </w:r>
            <w:r w:rsidR="00201AD4" w:rsidRPr="00A81B0A">
              <w:rPr>
                <w:rFonts w:ascii="Arial" w:hAnsi="Arial" w:cs="Arial"/>
                <w:b w:val="0"/>
                <w:webHidden/>
                <w:szCs w:val="24"/>
              </w:rPr>
              <w:fldChar w:fldCharType="separate"/>
            </w:r>
            <w:r w:rsidR="001B504D">
              <w:rPr>
                <w:rFonts w:ascii="Arial" w:hAnsi="Arial" w:cs="Arial"/>
                <w:b w:val="0"/>
                <w:webHidden/>
                <w:szCs w:val="24"/>
              </w:rPr>
              <w:t>10</w:t>
            </w:r>
            <w:r w:rsidR="00201AD4" w:rsidRPr="00A81B0A">
              <w:rPr>
                <w:rFonts w:ascii="Arial" w:hAnsi="Arial" w:cs="Arial"/>
                <w:b w:val="0"/>
                <w:webHidden/>
                <w:szCs w:val="24"/>
              </w:rPr>
              <w:fldChar w:fldCharType="end"/>
            </w:r>
          </w:hyperlink>
        </w:p>
        <w:p w14:paraId="4ACA08FE" w14:textId="3ECEF75C" w:rsidR="00201AD4" w:rsidRPr="00A81B0A" w:rsidRDefault="00745E27" w:rsidP="00A81B0A">
          <w:pPr>
            <w:pStyle w:val="TOC1"/>
            <w:spacing w:line="276" w:lineRule="auto"/>
            <w:rPr>
              <w:rFonts w:ascii="Arial" w:eastAsiaTheme="minorEastAsia" w:hAnsi="Arial" w:cs="Arial"/>
              <w:b w:val="0"/>
              <w:szCs w:val="24"/>
              <w:lang w:val="en-GB" w:eastAsia="en-GB"/>
            </w:rPr>
          </w:pPr>
          <w:hyperlink w:anchor="_Toc506534136" w:history="1">
            <w:r w:rsidR="00201AD4" w:rsidRPr="00A81B0A">
              <w:rPr>
                <w:rStyle w:val="Hyperlink"/>
                <w:rFonts w:ascii="Arial" w:hAnsi="Arial" w:cs="Arial"/>
                <w:b w:val="0"/>
                <w:color w:val="auto"/>
                <w:szCs w:val="24"/>
              </w:rPr>
              <w:t>4.</w:t>
            </w:r>
            <w:r w:rsidR="00201AD4" w:rsidRPr="00A81B0A">
              <w:rPr>
                <w:rFonts w:ascii="Arial" w:eastAsiaTheme="minorEastAsia" w:hAnsi="Arial" w:cs="Arial"/>
                <w:b w:val="0"/>
                <w:szCs w:val="24"/>
                <w:lang w:val="en-GB" w:eastAsia="en-GB"/>
              </w:rPr>
              <w:tab/>
            </w:r>
            <w:r w:rsidR="00201AD4" w:rsidRPr="00A81B0A">
              <w:rPr>
                <w:rStyle w:val="Hyperlink"/>
                <w:rFonts w:ascii="Arial" w:hAnsi="Arial" w:cs="Arial"/>
                <w:b w:val="0"/>
                <w:color w:val="auto"/>
                <w:szCs w:val="24"/>
              </w:rPr>
              <w:t xml:space="preserve"> </w:t>
            </w:r>
            <w:r w:rsidR="00E82688">
              <w:rPr>
                <w:rStyle w:val="Hyperlink"/>
                <w:rFonts w:ascii="Arial" w:hAnsi="Arial" w:cs="Arial"/>
                <w:b w:val="0"/>
                <w:color w:val="auto"/>
                <w:szCs w:val="24"/>
              </w:rPr>
              <w:t>E</w:t>
            </w:r>
            <w:r w:rsidR="00201AD4" w:rsidRPr="00A81B0A">
              <w:rPr>
                <w:rStyle w:val="Hyperlink"/>
                <w:rFonts w:ascii="Arial" w:hAnsi="Arial" w:cs="Arial"/>
                <w:b w:val="0"/>
                <w:color w:val="auto"/>
                <w:szCs w:val="24"/>
              </w:rPr>
              <w:t xml:space="preserve">fforts to </w:t>
            </w:r>
            <w:r w:rsidR="00E82688">
              <w:rPr>
                <w:rStyle w:val="Hyperlink"/>
                <w:rFonts w:ascii="Arial" w:hAnsi="Arial" w:cs="Arial"/>
                <w:b w:val="0"/>
                <w:color w:val="auto"/>
                <w:szCs w:val="24"/>
              </w:rPr>
              <w:t>I</w:t>
            </w:r>
            <w:r w:rsidR="00201AD4" w:rsidRPr="00A81B0A">
              <w:rPr>
                <w:rStyle w:val="Hyperlink"/>
                <w:rFonts w:ascii="Arial" w:hAnsi="Arial" w:cs="Arial"/>
                <w:b w:val="0"/>
                <w:color w:val="auto"/>
                <w:szCs w:val="24"/>
              </w:rPr>
              <w:t xml:space="preserve">dentify </w:t>
            </w:r>
            <w:r w:rsidR="00E82688">
              <w:rPr>
                <w:rStyle w:val="Hyperlink"/>
                <w:rFonts w:ascii="Arial" w:hAnsi="Arial" w:cs="Arial"/>
                <w:b w:val="0"/>
                <w:color w:val="auto"/>
                <w:szCs w:val="24"/>
              </w:rPr>
              <w:t>D</w:t>
            </w:r>
            <w:r w:rsidR="00201AD4" w:rsidRPr="00A81B0A">
              <w:rPr>
                <w:rStyle w:val="Hyperlink"/>
                <w:rFonts w:ascii="Arial" w:hAnsi="Arial" w:cs="Arial"/>
                <w:b w:val="0"/>
                <w:color w:val="auto"/>
                <w:szCs w:val="24"/>
              </w:rPr>
              <w:t>uplication</w:t>
            </w:r>
            <w:r w:rsidR="00201AD4" w:rsidRPr="00A81B0A">
              <w:rPr>
                <w:rFonts w:ascii="Arial" w:hAnsi="Arial" w:cs="Arial"/>
                <w:b w:val="0"/>
                <w:webHidden/>
                <w:szCs w:val="24"/>
              </w:rPr>
              <w:tab/>
            </w:r>
            <w:r w:rsidR="00201AD4" w:rsidRPr="00A81B0A">
              <w:rPr>
                <w:rFonts w:ascii="Arial" w:hAnsi="Arial" w:cs="Arial"/>
                <w:b w:val="0"/>
                <w:webHidden/>
                <w:szCs w:val="24"/>
              </w:rPr>
              <w:fldChar w:fldCharType="begin"/>
            </w:r>
            <w:r w:rsidR="00201AD4" w:rsidRPr="00A81B0A">
              <w:rPr>
                <w:rFonts w:ascii="Arial" w:hAnsi="Arial" w:cs="Arial"/>
                <w:b w:val="0"/>
                <w:webHidden/>
                <w:szCs w:val="24"/>
              </w:rPr>
              <w:instrText xml:space="preserve"> PAGEREF _Toc506534136 \h </w:instrText>
            </w:r>
            <w:r w:rsidR="00201AD4" w:rsidRPr="00A81B0A">
              <w:rPr>
                <w:rFonts w:ascii="Arial" w:hAnsi="Arial" w:cs="Arial"/>
                <w:b w:val="0"/>
                <w:webHidden/>
                <w:szCs w:val="24"/>
              </w:rPr>
            </w:r>
            <w:r w:rsidR="00201AD4" w:rsidRPr="00A81B0A">
              <w:rPr>
                <w:rFonts w:ascii="Arial" w:hAnsi="Arial" w:cs="Arial"/>
                <w:b w:val="0"/>
                <w:webHidden/>
                <w:szCs w:val="24"/>
              </w:rPr>
              <w:fldChar w:fldCharType="separate"/>
            </w:r>
            <w:r w:rsidR="001B504D">
              <w:rPr>
                <w:rFonts w:ascii="Arial" w:hAnsi="Arial" w:cs="Arial"/>
                <w:b w:val="0"/>
                <w:webHidden/>
                <w:szCs w:val="24"/>
              </w:rPr>
              <w:t>11</w:t>
            </w:r>
            <w:r w:rsidR="00201AD4" w:rsidRPr="00A81B0A">
              <w:rPr>
                <w:rFonts w:ascii="Arial" w:hAnsi="Arial" w:cs="Arial"/>
                <w:b w:val="0"/>
                <w:webHidden/>
                <w:szCs w:val="24"/>
              </w:rPr>
              <w:fldChar w:fldCharType="end"/>
            </w:r>
          </w:hyperlink>
        </w:p>
        <w:p w14:paraId="43C7D137" w14:textId="4BF0F79C" w:rsidR="00201AD4" w:rsidRPr="00A81B0A" w:rsidRDefault="00745E27" w:rsidP="00A81B0A">
          <w:pPr>
            <w:pStyle w:val="TOC1"/>
            <w:spacing w:line="276" w:lineRule="auto"/>
            <w:rPr>
              <w:rFonts w:ascii="Arial" w:eastAsiaTheme="minorEastAsia" w:hAnsi="Arial" w:cs="Arial"/>
              <w:b w:val="0"/>
              <w:szCs w:val="24"/>
              <w:lang w:val="en-GB" w:eastAsia="en-GB"/>
            </w:rPr>
          </w:pPr>
          <w:hyperlink w:anchor="_Toc506534137" w:history="1">
            <w:r w:rsidR="00201AD4" w:rsidRPr="00A81B0A">
              <w:rPr>
                <w:rStyle w:val="Hyperlink"/>
                <w:rFonts w:ascii="Arial" w:hAnsi="Arial" w:cs="Arial"/>
                <w:b w:val="0"/>
                <w:color w:val="auto"/>
                <w:szCs w:val="24"/>
              </w:rPr>
              <w:t>5.</w:t>
            </w:r>
            <w:r w:rsidR="00201AD4" w:rsidRPr="00A81B0A">
              <w:rPr>
                <w:rFonts w:ascii="Arial" w:eastAsiaTheme="minorEastAsia" w:hAnsi="Arial" w:cs="Arial"/>
                <w:b w:val="0"/>
                <w:szCs w:val="24"/>
                <w:lang w:val="en-GB" w:eastAsia="en-GB"/>
              </w:rPr>
              <w:tab/>
            </w:r>
            <w:r w:rsidR="00D21BB1">
              <w:rPr>
                <w:rFonts w:ascii="Arial" w:eastAsiaTheme="minorEastAsia" w:hAnsi="Arial" w:cs="Arial"/>
                <w:b w:val="0"/>
                <w:szCs w:val="24"/>
                <w:lang w:val="en-GB" w:eastAsia="en-GB"/>
              </w:rPr>
              <w:t>Impacts on Small Businesses or Other Small Entities</w:t>
            </w:r>
            <w:r w:rsidR="00201AD4" w:rsidRPr="00A81B0A">
              <w:rPr>
                <w:rStyle w:val="Hyperlink"/>
                <w:rFonts w:ascii="Arial" w:hAnsi="Arial" w:cs="Arial"/>
                <w:b w:val="0"/>
                <w:color w:val="auto"/>
                <w:szCs w:val="24"/>
              </w:rPr>
              <w:t>.</w:t>
            </w:r>
            <w:r w:rsidR="00201AD4" w:rsidRPr="00A81B0A">
              <w:rPr>
                <w:rFonts w:ascii="Arial" w:hAnsi="Arial" w:cs="Arial"/>
                <w:b w:val="0"/>
                <w:webHidden/>
                <w:szCs w:val="24"/>
              </w:rPr>
              <w:tab/>
            </w:r>
            <w:r w:rsidR="00201AD4" w:rsidRPr="00A81B0A">
              <w:rPr>
                <w:rFonts w:ascii="Arial" w:hAnsi="Arial" w:cs="Arial"/>
                <w:b w:val="0"/>
                <w:webHidden/>
                <w:szCs w:val="24"/>
              </w:rPr>
              <w:fldChar w:fldCharType="begin"/>
            </w:r>
            <w:r w:rsidR="00201AD4" w:rsidRPr="00A81B0A">
              <w:rPr>
                <w:rFonts w:ascii="Arial" w:hAnsi="Arial" w:cs="Arial"/>
                <w:b w:val="0"/>
                <w:webHidden/>
                <w:szCs w:val="24"/>
              </w:rPr>
              <w:instrText xml:space="preserve"> PAGEREF _Toc506534137 \h </w:instrText>
            </w:r>
            <w:r w:rsidR="00201AD4" w:rsidRPr="00A81B0A">
              <w:rPr>
                <w:rFonts w:ascii="Arial" w:hAnsi="Arial" w:cs="Arial"/>
                <w:b w:val="0"/>
                <w:webHidden/>
                <w:szCs w:val="24"/>
              </w:rPr>
            </w:r>
            <w:r w:rsidR="00201AD4" w:rsidRPr="00A81B0A">
              <w:rPr>
                <w:rFonts w:ascii="Arial" w:hAnsi="Arial" w:cs="Arial"/>
                <w:b w:val="0"/>
                <w:webHidden/>
                <w:szCs w:val="24"/>
              </w:rPr>
              <w:fldChar w:fldCharType="separate"/>
            </w:r>
            <w:r w:rsidR="001B504D">
              <w:rPr>
                <w:rFonts w:ascii="Arial" w:hAnsi="Arial" w:cs="Arial"/>
                <w:b w:val="0"/>
                <w:webHidden/>
                <w:szCs w:val="24"/>
              </w:rPr>
              <w:t>12</w:t>
            </w:r>
            <w:r w:rsidR="00201AD4" w:rsidRPr="00A81B0A">
              <w:rPr>
                <w:rFonts w:ascii="Arial" w:hAnsi="Arial" w:cs="Arial"/>
                <w:b w:val="0"/>
                <w:webHidden/>
                <w:szCs w:val="24"/>
              </w:rPr>
              <w:fldChar w:fldCharType="end"/>
            </w:r>
          </w:hyperlink>
        </w:p>
        <w:p w14:paraId="63B1F5C2" w14:textId="2708190C" w:rsidR="00201AD4" w:rsidRPr="00A81B0A" w:rsidRDefault="00745E27" w:rsidP="00A81B0A">
          <w:pPr>
            <w:pStyle w:val="TOC1"/>
            <w:spacing w:line="276" w:lineRule="auto"/>
            <w:rPr>
              <w:rFonts w:ascii="Arial" w:eastAsiaTheme="minorEastAsia" w:hAnsi="Arial" w:cs="Arial"/>
              <w:b w:val="0"/>
              <w:szCs w:val="24"/>
              <w:lang w:val="en-GB" w:eastAsia="en-GB"/>
            </w:rPr>
          </w:pPr>
          <w:hyperlink w:anchor="_Toc506534138" w:history="1">
            <w:r w:rsidR="00201AD4" w:rsidRPr="00A81B0A">
              <w:rPr>
                <w:rStyle w:val="Hyperlink"/>
                <w:rFonts w:ascii="Arial" w:hAnsi="Arial" w:cs="Arial"/>
                <w:b w:val="0"/>
                <w:color w:val="auto"/>
                <w:szCs w:val="24"/>
              </w:rPr>
              <w:t>6.</w:t>
            </w:r>
            <w:r w:rsidR="00201AD4" w:rsidRPr="00A81B0A">
              <w:rPr>
                <w:rFonts w:ascii="Arial" w:eastAsiaTheme="minorEastAsia" w:hAnsi="Arial" w:cs="Arial"/>
                <w:b w:val="0"/>
                <w:szCs w:val="24"/>
                <w:lang w:val="en-GB" w:eastAsia="en-GB"/>
              </w:rPr>
              <w:tab/>
            </w:r>
            <w:r w:rsidR="00D21BB1">
              <w:rPr>
                <w:rFonts w:ascii="Arial" w:eastAsiaTheme="minorEastAsia" w:hAnsi="Arial" w:cs="Arial"/>
                <w:b w:val="0"/>
                <w:szCs w:val="24"/>
                <w:lang w:val="en-GB" w:eastAsia="en-GB"/>
              </w:rPr>
              <w:t>Consequences of Collecting the Information Less Frequently</w:t>
            </w:r>
            <w:r w:rsidR="00201AD4" w:rsidRPr="00A81B0A">
              <w:rPr>
                <w:rFonts w:ascii="Arial" w:hAnsi="Arial" w:cs="Arial"/>
                <w:b w:val="0"/>
                <w:webHidden/>
                <w:szCs w:val="24"/>
              </w:rPr>
              <w:tab/>
            </w:r>
            <w:r w:rsidR="00201AD4" w:rsidRPr="00A81B0A">
              <w:rPr>
                <w:rFonts w:ascii="Arial" w:hAnsi="Arial" w:cs="Arial"/>
                <w:b w:val="0"/>
                <w:webHidden/>
                <w:szCs w:val="24"/>
              </w:rPr>
              <w:fldChar w:fldCharType="begin"/>
            </w:r>
            <w:r w:rsidR="00201AD4" w:rsidRPr="00A81B0A">
              <w:rPr>
                <w:rFonts w:ascii="Arial" w:hAnsi="Arial" w:cs="Arial"/>
                <w:b w:val="0"/>
                <w:webHidden/>
                <w:szCs w:val="24"/>
              </w:rPr>
              <w:instrText xml:space="preserve"> PAGEREF _Toc506534138 \h </w:instrText>
            </w:r>
            <w:r w:rsidR="00201AD4" w:rsidRPr="00A81B0A">
              <w:rPr>
                <w:rFonts w:ascii="Arial" w:hAnsi="Arial" w:cs="Arial"/>
                <w:b w:val="0"/>
                <w:webHidden/>
                <w:szCs w:val="24"/>
              </w:rPr>
            </w:r>
            <w:r w:rsidR="00201AD4" w:rsidRPr="00A81B0A">
              <w:rPr>
                <w:rFonts w:ascii="Arial" w:hAnsi="Arial" w:cs="Arial"/>
                <w:b w:val="0"/>
                <w:webHidden/>
                <w:szCs w:val="24"/>
              </w:rPr>
              <w:fldChar w:fldCharType="separate"/>
            </w:r>
            <w:r w:rsidR="001B504D">
              <w:rPr>
                <w:rFonts w:ascii="Arial" w:hAnsi="Arial" w:cs="Arial"/>
                <w:b w:val="0"/>
                <w:webHidden/>
                <w:szCs w:val="24"/>
              </w:rPr>
              <w:t>12</w:t>
            </w:r>
            <w:r w:rsidR="00201AD4" w:rsidRPr="00A81B0A">
              <w:rPr>
                <w:rFonts w:ascii="Arial" w:hAnsi="Arial" w:cs="Arial"/>
                <w:b w:val="0"/>
                <w:webHidden/>
                <w:szCs w:val="24"/>
              </w:rPr>
              <w:fldChar w:fldCharType="end"/>
            </w:r>
          </w:hyperlink>
        </w:p>
        <w:p w14:paraId="3D2DF7F5" w14:textId="62A7A786" w:rsidR="00201AD4" w:rsidRPr="00A81B0A" w:rsidRDefault="00745E27" w:rsidP="00A81B0A">
          <w:pPr>
            <w:pStyle w:val="TOC1"/>
            <w:spacing w:line="276" w:lineRule="auto"/>
            <w:rPr>
              <w:rFonts w:ascii="Arial" w:eastAsiaTheme="minorEastAsia" w:hAnsi="Arial" w:cs="Arial"/>
              <w:b w:val="0"/>
              <w:szCs w:val="24"/>
              <w:lang w:val="en-GB" w:eastAsia="en-GB"/>
            </w:rPr>
          </w:pPr>
          <w:hyperlink w:anchor="_Toc506534139" w:history="1">
            <w:r w:rsidR="00201AD4" w:rsidRPr="00A81B0A">
              <w:rPr>
                <w:rStyle w:val="Hyperlink"/>
                <w:rFonts w:ascii="Arial" w:hAnsi="Arial" w:cs="Arial"/>
                <w:b w:val="0"/>
                <w:color w:val="auto"/>
                <w:szCs w:val="24"/>
              </w:rPr>
              <w:t>7.</w:t>
            </w:r>
            <w:r w:rsidR="00201AD4" w:rsidRPr="00A81B0A">
              <w:rPr>
                <w:rFonts w:ascii="Arial" w:eastAsiaTheme="minorEastAsia" w:hAnsi="Arial" w:cs="Arial"/>
                <w:b w:val="0"/>
                <w:szCs w:val="24"/>
                <w:lang w:val="en-GB" w:eastAsia="en-GB"/>
              </w:rPr>
              <w:tab/>
            </w:r>
            <w:r w:rsidR="00201AD4" w:rsidRPr="00A81B0A">
              <w:rPr>
                <w:rStyle w:val="Hyperlink"/>
                <w:rFonts w:ascii="Arial" w:hAnsi="Arial" w:cs="Arial"/>
                <w:b w:val="0"/>
                <w:color w:val="auto"/>
                <w:szCs w:val="24"/>
              </w:rPr>
              <w:t xml:space="preserve"> </w:t>
            </w:r>
            <w:r w:rsidR="00D21BB1">
              <w:rPr>
                <w:rStyle w:val="Hyperlink"/>
                <w:rFonts w:ascii="Arial" w:hAnsi="Arial" w:cs="Arial"/>
                <w:b w:val="0"/>
                <w:color w:val="auto"/>
                <w:szCs w:val="24"/>
              </w:rPr>
              <w:t>S</w:t>
            </w:r>
            <w:r w:rsidR="00201AD4" w:rsidRPr="00A81B0A">
              <w:rPr>
                <w:rStyle w:val="Hyperlink"/>
                <w:rFonts w:ascii="Arial" w:hAnsi="Arial" w:cs="Arial"/>
                <w:b w:val="0"/>
                <w:color w:val="auto"/>
                <w:szCs w:val="24"/>
              </w:rPr>
              <w:t xml:space="preserve">pecial </w:t>
            </w:r>
            <w:r w:rsidR="00D21BB1">
              <w:rPr>
                <w:rStyle w:val="Hyperlink"/>
                <w:rFonts w:ascii="Arial" w:hAnsi="Arial" w:cs="Arial"/>
                <w:b w:val="0"/>
                <w:color w:val="auto"/>
                <w:szCs w:val="24"/>
              </w:rPr>
              <w:t>C</w:t>
            </w:r>
            <w:r w:rsidR="00201AD4" w:rsidRPr="00A81B0A">
              <w:rPr>
                <w:rStyle w:val="Hyperlink"/>
                <w:rFonts w:ascii="Arial" w:hAnsi="Arial" w:cs="Arial"/>
                <w:b w:val="0"/>
                <w:color w:val="auto"/>
                <w:szCs w:val="24"/>
              </w:rPr>
              <w:t xml:space="preserve">ircumstances </w:t>
            </w:r>
            <w:r w:rsidR="00D21BB1">
              <w:rPr>
                <w:rStyle w:val="Hyperlink"/>
                <w:rFonts w:ascii="Arial" w:hAnsi="Arial" w:cs="Arial"/>
                <w:b w:val="0"/>
                <w:color w:val="auto"/>
                <w:szCs w:val="24"/>
              </w:rPr>
              <w:t xml:space="preserve">Relating to the </w:t>
            </w:r>
            <w:r w:rsidR="00201AD4" w:rsidRPr="00A81B0A">
              <w:rPr>
                <w:rStyle w:val="Hyperlink"/>
                <w:rFonts w:ascii="Arial" w:hAnsi="Arial" w:cs="Arial"/>
                <w:b w:val="0"/>
                <w:color w:val="auto"/>
                <w:szCs w:val="24"/>
              </w:rPr>
              <w:t xml:space="preserve"> </w:t>
            </w:r>
            <w:r w:rsidR="00D21BB1">
              <w:rPr>
                <w:rStyle w:val="Hyperlink"/>
                <w:rFonts w:ascii="Arial" w:hAnsi="Arial" w:cs="Arial"/>
                <w:b w:val="0"/>
                <w:color w:val="auto"/>
                <w:szCs w:val="24"/>
              </w:rPr>
              <w:t>G</w:t>
            </w:r>
            <w:r w:rsidR="00201AD4" w:rsidRPr="00A81B0A">
              <w:rPr>
                <w:rStyle w:val="Hyperlink"/>
                <w:rFonts w:ascii="Arial" w:hAnsi="Arial" w:cs="Arial"/>
                <w:b w:val="0"/>
                <w:color w:val="auto"/>
                <w:szCs w:val="24"/>
              </w:rPr>
              <w:t>uidelines</w:t>
            </w:r>
            <w:r w:rsidR="00D21BB1">
              <w:rPr>
                <w:rStyle w:val="Hyperlink"/>
                <w:rFonts w:ascii="Arial" w:hAnsi="Arial" w:cs="Arial"/>
                <w:b w:val="0"/>
                <w:color w:val="auto"/>
                <w:szCs w:val="24"/>
              </w:rPr>
              <w:t xml:space="preserve"> of</w:t>
            </w:r>
            <w:r w:rsidR="00201AD4" w:rsidRPr="00A81B0A">
              <w:rPr>
                <w:rStyle w:val="Hyperlink"/>
                <w:rFonts w:ascii="Arial" w:hAnsi="Arial" w:cs="Arial"/>
                <w:b w:val="0"/>
                <w:color w:val="auto"/>
                <w:szCs w:val="24"/>
              </w:rPr>
              <w:t xml:space="preserve">  CFR 1320.6.</w:t>
            </w:r>
            <w:r w:rsidR="00201AD4" w:rsidRPr="00A81B0A">
              <w:rPr>
                <w:rFonts w:ascii="Arial" w:hAnsi="Arial" w:cs="Arial"/>
                <w:b w:val="0"/>
                <w:webHidden/>
                <w:szCs w:val="24"/>
              </w:rPr>
              <w:tab/>
            </w:r>
            <w:r w:rsidR="00201AD4" w:rsidRPr="00A81B0A">
              <w:rPr>
                <w:rFonts w:ascii="Arial" w:hAnsi="Arial" w:cs="Arial"/>
                <w:b w:val="0"/>
                <w:webHidden/>
                <w:szCs w:val="24"/>
              </w:rPr>
              <w:fldChar w:fldCharType="begin"/>
            </w:r>
            <w:r w:rsidR="00201AD4" w:rsidRPr="00A81B0A">
              <w:rPr>
                <w:rFonts w:ascii="Arial" w:hAnsi="Arial" w:cs="Arial"/>
                <w:b w:val="0"/>
                <w:webHidden/>
                <w:szCs w:val="24"/>
              </w:rPr>
              <w:instrText xml:space="preserve"> PAGEREF _Toc506534139 \h </w:instrText>
            </w:r>
            <w:r w:rsidR="00201AD4" w:rsidRPr="00A81B0A">
              <w:rPr>
                <w:rFonts w:ascii="Arial" w:hAnsi="Arial" w:cs="Arial"/>
                <w:b w:val="0"/>
                <w:webHidden/>
                <w:szCs w:val="24"/>
              </w:rPr>
            </w:r>
            <w:r w:rsidR="00201AD4" w:rsidRPr="00A81B0A">
              <w:rPr>
                <w:rFonts w:ascii="Arial" w:hAnsi="Arial" w:cs="Arial"/>
                <w:b w:val="0"/>
                <w:webHidden/>
                <w:szCs w:val="24"/>
              </w:rPr>
              <w:fldChar w:fldCharType="separate"/>
            </w:r>
            <w:r w:rsidR="001B504D">
              <w:rPr>
                <w:rFonts w:ascii="Arial" w:hAnsi="Arial" w:cs="Arial"/>
                <w:b w:val="0"/>
                <w:webHidden/>
                <w:szCs w:val="24"/>
              </w:rPr>
              <w:t>13</w:t>
            </w:r>
            <w:r w:rsidR="00201AD4" w:rsidRPr="00A81B0A">
              <w:rPr>
                <w:rFonts w:ascii="Arial" w:hAnsi="Arial" w:cs="Arial"/>
                <w:b w:val="0"/>
                <w:webHidden/>
                <w:szCs w:val="24"/>
              </w:rPr>
              <w:fldChar w:fldCharType="end"/>
            </w:r>
          </w:hyperlink>
        </w:p>
        <w:p w14:paraId="278E3BBC" w14:textId="33A517F3" w:rsidR="00201AD4" w:rsidRPr="00A81B0A" w:rsidRDefault="00745E27" w:rsidP="00A81B0A">
          <w:pPr>
            <w:pStyle w:val="TOC1"/>
            <w:spacing w:line="276" w:lineRule="auto"/>
            <w:rPr>
              <w:rFonts w:ascii="Arial" w:eastAsiaTheme="minorEastAsia" w:hAnsi="Arial" w:cs="Arial"/>
              <w:b w:val="0"/>
              <w:szCs w:val="24"/>
              <w:lang w:val="en-GB" w:eastAsia="en-GB"/>
            </w:rPr>
          </w:pPr>
          <w:hyperlink w:anchor="_Toc506534140" w:history="1">
            <w:r w:rsidR="00201AD4" w:rsidRPr="00A81B0A">
              <w:rPr>
                <w:rStyle w:val="Hyperlink"/>
                <w:rFonts w:ascii="Arial" w:hAnsi="Arial" w:cs="Arial"/>
                <w:b w:val="0"/>
                <w:color w:val="auto"/>
                <w:szCs w:val="24"/>
              </w:rPr>
              <w:t>8.</w:t>
            </w:r>
            <w:r w:rsidR="00201AD4" w:rsidRPr="00A81B0A">
              <w:rPr>
                <w:rFonts w:ascii="Arial" w:eastAsiaTheme="minorEastAsia" w:hAnsi="Arial" w:cs="Arial"/>
                <w:b w:val="0"/>
                <w:szCs w:val="24"/>
                <w:lang w:val="en-GB" w:eastAsia="en-GB"/>
              </w:rPr>
              <w:tab/>
            </w:r>
            <w:r w:rsidR="00D21BB1">
              <w:rPr>
                <w:rFonts w:ascii="Arial" w:eastAsiaTheme="minorEastAsia" w:hAnsi="Arial" w:cs="Arial"/>
                <w:b w:val="0"/>
                <w:szCs w:val="24"/>
                <w:lang w:val="en-GB" w:eastAsia="en-GB"/>
              </w:rPr>
              <w:t>Comments to the Federal Register Notice and Efforts for Consultation</w:t>
            </w:r>
            <w:r w:rsidR="00201AD4" w:rsidRPr="00A81B0A">
              <w:rPr>
                <w:rStyle w:val="Hyperlink"/>
                <w:rFonts w:ascii="Arial" w:hAnsi="Arial" w:cs="Arial"/>
                <w:b w:val="0"/>
                <w:color w:val="auto"/>
                <w:szCs w:val="24"/>
              </w:rPr>
              <w:t>..</w:t>
            </w:r>
            <w:r w:rsidR="00201AD4" w:rsidRPr="00A81B0A">
              <w:rPr>
                <w:rFonts w:ascii="Arial" w:hAnsi="Arial" w:cs="Arial"/>
                <w:b w:val="0"/>
                <w:webHidden/>
                <w:szCs w:val="24"/>
              </w:rPr>
              <w:tab/>
            </w:r>
            <w:r w:rsidR="00201AD4" w:rsidRPr="00A81B0A">
              <w:rPr>
                <w:rFonts w:ascii="Arial" w:hAnsi="Arial" w:cs="Arial"/>
                <w:b w:val="0"/>
                <w:webHidden/>
                <w:szCs w:val="24"/>
              </w:rPr>
              <w:fldChar w:fldCharType="begin"/>
            </w:r>
            <w:r w:rsidR="00201AD4" w:rsidRPr="00A81B0A">
              <w:rPr>
                <w:rFonts w:ascii="Arial" w:hAnsi="Arial" w:cs="Arial"/>
                <w:b w:val="0"/>
                <w:webHidden/>
                <w:szCs w:val="24"/>
              </w:rPr>
              <w:instrText xml:space="preserve"> PAGEREF _Toc506534140 \h </w:instrText>
            </w:r>
            <w:r w:rsidR="00201AD4" w:rsidRPr="00A81B0A">
              <w:rPr>
                <w:rFonts w:ascii="Arial" w:hAnsi="Arial" w:cs="Arial"/>
                <w:b w:val="0"/>
                <w:webHidden/>
                <w:szCs w:val="24"/>
              </w:rPr>
            </w:r>
            <w:r w:rsidR="00201AD4" w:rsidRPr="00A81B0A">
              <w:rPr>
                <w:rFonts w:ascii="Arial" w:hAnsi="Arial" w:cs="Arial"/>
                <w:b w:val="0"/>
                <w:webHidden/>
                <w:szCs w:val="24"/>
              </w:rPr>
              <w:fldChar w:fldCharType="separate"/>
            </w:r>
            <w:r w:rsidR="001B504D">
              <w:rPr>
                <w:rFonts w:ascii="Arial" w:hAnsi="Arial" w:cs="Arial"/>
                <w:b w:val="0"/>
                <w:webHidden/>
                <w:szCs w:val="24"/>
              </w:rPr>
              <w:t>14</w:t>
            </w:r>
            <w:r w:rsidR="00201AD4" w:rsidRPr="00A81B0A">
              <w:rPr>
                <w:rFonts w:ascii="Arial" w:hAnsi="Arial" w:cs="Arial"/>
                <w:b w:val="0"/>
                <w:webHidden/>
                <w:szCs w:val="24"/>
              </w:rPr>
              <w:fldChar w:fldCharType="end"/>
            </w:r>
          </w:hyperlink>
        </w:p>
        <w:p w14:paraId="16966AF3" w14:textId="4F602130" w:rsidR="00201AD4" w:rsidRPr="00A81B0A" w:rsidRDefault="00745E27" w:rsidP="00A81B0A">
          <w:pPr>
            <w:pStyle w:val="TOC1"/>
            <w:spacing w:line="276" w:lineRule="auto"/>
            <w:rPr>
              <w:rFonts w:ascii="Arial" w:eastAsiaTheme="minorEastAsia" w:hAnsi="Arial" w:cs="Arial"/>
              <w:b w:val="0"/>
              <w:szCs w:val="24"/>
              <w:lang w:val="en-GB" w:eastAsia="en-GB"/>
            </w:rPr>
          </w:pPr>
          <w:hyperlink w:anchor="_Toc506534141" w:history="1">
            <w:r w:rsidR="00201AD4" w:rsidRPr="00A81B0A">
              <w:rPr>
                <w:rStyle w:val="Hyperlink"/>
                <w:rFonts w:ascii="Arial" w:hAnsi="Arial" w:cs="Arial"/>
                <w:b w:val="0"/>
                <w:color w:val="auto"/>
                <w:szCs w:val="24"/>
              </w:rPr>
              <w:t>9.</w:t>
            </w:r>
            <w:r w:rsidR="00201AD4" w:rsidRPr="00A81B0A">
              <w:rPr>
                <w:rFonts w:ascii="Arial" w:eastAsiaTheme="minorEastAsia" w:hAnsi="Arial" w:cs="Arial"/>
                <w:b w:val="0"/>
                <w:szCs w:val="24"/>
                <w:lang w:val="en-GB" w:eastAsia="en-GB"/>
              </w:rPr>
              <w:tab/>
            </w:r>
            <w:r w:rsidR="00201AD4" w:rsidRPr="00A81B0A">
              <w:rPr>
                <w:rStyle w:val="Hyperlink"/>
                <w:rFonts w:ascii="Arial" w:hAnsi="Arial" w:cs="Arial"/>
                <w:b w:val="0"/>
                <w:color w:val="auto"/>
                <w:szCs w:val="24"/>
              </w:rPr>
              <w:t xml:space="preserve">Explain any </w:t>
            </w:r>
            <w:r w:rsidR="00D21BB1">
              <w:rPr>
                <w:rStyle w:val="Hyperlink"/>
                <w:rFonts w:ascii="Arial" w:hAnsi="Arial" w:cs="Arial"/>
                <w:b w:val="0"/>
                <w:color w:val="auto"/>
                <w:szCs w:val="24"/>
              </w:rPr>
              <w:t>D</w:t>
            </w:r>
            <w:r w:rsidR="00201AD4" w:rsidRPr="00A81B0A">
              <w:rPr>
                <w:rStyle w:val="Hyperlink"/>
                <w:rFonts w:ascii="Arial" w:hAnsi="Arial" w:cs="Arial"/>
                <w:b w:val="0"/>
                <w:color w:val="auto"/>
                <w:szCs w:val="24"/>
              </w:rPr>
              <w:t>ecision</w:t>
            </w:r>
            <w:r w:rsidR="00D21BB1">
              <w:rPr>
                <w:rStyle w:val="Hyperlink"/>
                <w:rFonts w:ascii="Arial" w:hAnsi="Arial" w:cs="Arial"/>
                <w:b w:val="0"/>
                <w:color w:val="auto"/>
                <w:szCs w:val="24"/>
              </w:rPr>
              <w:t>s</w:t>
            </w:r>
            <w:r w:rsidR="00201AD4" w:rsidRPr="00A81B0A">
              <w:rPr>
                <w:rStyle w:val="Hyperlink"/>
                <w:rFonts w:ascii="Arial" w:hAnsi="Arial" w:cs="Arial"/>
                <w:b w:val="0"/>
                <w:color w:val="auto"/>
                <w:szCs w:val="24"/>
              </w:rPr>
              <w:t xml:space="preserve"> to </w:t>
            </w:r>
            <w:r w:rsidR="00D21BB1">
              <w:rPr>
                <w:rStyle w:val="Hyperlink"/>
                <w:rFonts w:ascii="Arial" w:hAnsi="Arial" w:cs="Arial"/>
                <w:b w:val="0"/>
                <w:color w:val="auto"/>
                <w:szCs w:val="24"/>
              </w:rPr>
              <w:t>P</w:t>
            </w:r>
            <w:r w:rsidR="00201AD4" w:rsidRPr="00A81B0A">
              <w:rPr>
                <w:rStyle w:val="Hyperlink"/>
                <w:rFonts w:ascii="Arial" w:hAnsi="Arial" w:cs="Arial"/>
                <w:b w:val="0"/>
                <w:color w:val="auto"/>
                <w:szCs w:val="24"/>
              </w:rPr>
              <w:t xml:space="preserve">rovide any </w:t>
            </w:r>
            <w:r w:rsidR="00D21BB1">
              <w:rPr>
                <w:rStyle w:val="Hyperlink"/>
                <w:rFonts w:ascii="Arial" w:hAnsi="Arial" w:cs="Arial"/>
                <w:b w:val="0"/>
                <w:color w:val="auto"/>
                <w:szCs w:val="24"/>
              </w:rPr>
              <w:t>P</w:t>
            </w:r>
            <w:r w:rsidR="00201AD4" w:rsidRPr="00A81B0A">
              <w:rPr>
                <w:rStyle w:val="Hyperlink"/>
                <w:rFonts w:ascii="Arial" w:hAnsi="Arial" w:cs="Arial"/>
                <w:b w:val="0"/>
                <w:color w:val="auto"/>
                <w:szCs w:val="24"/>
              </w:rPr>
              <w:t xml:space="preserve">ayment or </w:t>
            </w:r>
            <w:r w:rsidR="00D21BB1">
              <w:rPr>
                <w:rStyle w:val="Hyperlink"/>
                <w:rFonts w:ascii="Arial" w:hAnsi="Arial" w:cs="Arial"/>
                <w:b w:val="0"/>
                <w:color w:val="auto"/>
                <w:szCs w:val="24"/>
              </w:rPr>
              <w:t>G</w:t>
            </w:r>
            <w:r w:rsidR="00201AD4" w:rsidRPr="00A81B0A">
              <w:rPr>
                <w:rStyle w:val="Hyperlink"/>
                <w:rFonts w:ascii="Arial" w:hAnsi="Arial" w:cs="Arial"/>
                <w:b w:val="0"/>
                <w:color w:val="auto"/>
                <w:szCs w:val="24"/>
              </w:rPr>
              <w:t xml:space="preserve">ift to </w:t>
            </w:r>
            <w:r w:rsidR="00D21BB1">
              <w:rPr>
                <w:rStyle w:val="Hyperlink"/>
                <w:rFonts w:ascii="Arial" w:hAnsi="Arial" w:cs="Arial"/>
                <w:b w:val="0"/>
                <w:color w:val="auto"/>
                <w:szCs w:val="24"/>
              </w:rPr>
              <w:t>R</w:t>
            </w:r>
            <w:r w:rsidR="00201AD4" w:rsidRPr="00A81B0A">
              <w:rPr>
                <w:rStyle w:val="Hyperlink"/>
                <w:rFonts w:ascii="Arial" w:hAnsi="Arial" w:cs="Arial"/>
                <w:b w:val="0"/>
                <w:color w:val="auto"/>
                <w:szCs w:val="24"/>
              </w:rPr>
              <w:t>espondents. .</w:t>
            </w:r>
            <w:r w:rsidR="00201AD4" w:rsidRPr="00A81B0A">
              <w:rPr>
                <w:rFonts w:ascii="Arial" w:hAnsi="Arial" w:cs="Arial"/>
                <w:b w:val="0"/>
                <w:webHidden/>
                <w:szCs w:val="24"/>
              </w:rPr>
              <w:tab/>
            </w:r>
            <w:r w:rsidR="00201AD4" w:rsidRPr="00A81B0A">
              <w:rPr>
                <w:rFonts w:ascii="Arial" w:hAnsi="Arial" w:cs="Arial"/>
                <w:b w:val="0"/>
                <w:webHidden/>
                <w:szCs w:val="24"/>
              </w:rPr>
              <w:fldChar w:fldCharType="begin"/>
            </w:r>
            <w:r w:rsidR="00201AD4" w:rsidRPr="00A81B0A">
              <w:rPr>
                <w:rFonts w:ascii="Arial" w:hAnsi="Arial" w:cs="Arial"/>
                <w:b w:val="0"/>
                <w:webHidden/>
                <w:szCs w:val="24"/>
              </w:rPr>
              <w:instrText xml:space="preserve"> PAGEREF _Toc506534141 \h </w:instrText>
            </w:r>
            <w:r w:rsidR="00201AD4" w:rsidRPr="00A81B0A">
              <w:rPr>
                <w:rFonts w:ascii="Arial" w:hAnsi="Arial" w:cs="Arial"/>
                <w:b w:val="0"/>
                <w:webHidden/>
                <w:szCs w:val="24"/>
              </w:rPr>
            </w:r>
            <w:r w:rsidR="00201AD4" w:rsidRPr="00A81B0A">
              <w:rPr>
                <w:rFonts w:ascii="Arial" w:hAnsi="Arial" w:cs="Arial"/>
                <w:b w:val="0"/>
                <w:webHidden/>
                <w:szCs w:val="24"/>
              </w:rPr>
              <w:fldChar w:fldCharType="separate"/>
            </w:r>
            <w:r w:rsidR="001B504D">
              <w:rPr>
                <w:rFonts w:ascii="Arial" w:hAnsi="Arial" w:cs="Arial"/>
                <w:b w:val="0"/>
                <w:webHidden/>
                <w:szCs w:val="24"/>
              </w:rPr>
              <w:t>18</w:t>
            </w:r>
            <w:r w:rsidR="00201AD4" w:rsidRPr="00A81B0A">
              <w:rPr>
                <w:rFonts w:ascii="Arial" w:hAnsi="Arial" w:cs="Arial"/>
                <w:b w:val="0"/>
                <w:webHidden/>
                <w:szCs w:val="24"/>
              </w:rPr>
              <w:fldChar w:fldCharType="end"/>
            </w:r>
          </w:hyperlink>
        </w:p>
        <w:p w14:paraId="2391A2FA" w14:textId="27031CFA" w:rsidR="00201AD4" w:rsidRPr="00A81B0A" w:rsidRDefault="00745E27" w:rsidP="00A81B0A">
          <w:pPr>
            <w:pStyle w:val="TOC1"/>
            <w:spacing w:line="276" w:lineRule="auto"/>
            <w:rPr>
              <w:rFonts w:ascii="Arial" w:eastAsiaTheme="minorEastAsia" w:hAnsi="Arial" w:cs="Arial"/>
              <w:b w:val="0"/>
              <w:szCs w:val="24"/>
              <w:lang w:val="en-GB" w:eastAsia="en-GB"/>
            </w:rPr>
          </w:pPr>
          <w:hyperlink w:anchor="_Toc506534142" w:history="1">
            <w:r w:rsidR="00201AD4" w:rsidRPr="00A81B0A">
              <w:rPr>
                <w:rStyle w:val="Hyperlink"/>
                <w:rFonts w:ascii="Arial" w:hAnsi="Arial" w:cs="Arial"/>
                <w:b w:val="0"/>
                <w:color w:val="auto"/>
                <w:szCs w:val="24"/>
              </w:rPr>
              <w:t>10.</w:t>
            </w:r>
            <w:r w:rsidR="00201AD4" w:rsidRPr="00A81B0A">
              <w:rPr>
                <w:rFonts w:ascii="Arial" w:eastAsiaTheme="minorEastAsia" w:hAnsi="Arial" w:cs="Arial"/>
                <w:b w:val="0"/>
                <w:szCs w:val="24"/>
                <w:lang w:val="en-GB" w:eastAsia="en-GB"/>
              </w:rPr>
              <w:tab/>
            </w:r>
            <w:r w:rsidR="00201AD4" w:rsidRPr="00A81B0A">
              <w:rPr>
                <w:rStyle w:val="Hyperlink"/>
                <w:rFonts w:ascii="Arial" w:hAnsi="Arial" w:cs="Arial"/>
                <w:b w:val="0"/>
                <w:color w:val="auto"/>
                <w:szCs w:val="24"/>
              </w:rPr>
              <w:t xml:space="preserve"> </w:t>
            </w:r>
            <w:r w:rsidR="00D21BB1">
              <w:rPr>
                <w:rStyle w:val="Hyperlink"/>
                <w:rFonts w:ascii="Arial" w:hAnsi="Arial" w:cs="Arial"/>
                <w:b w:val="0"/>
                <w:color w:val="auto"/>
                <w:szCs w:val="24"/>
              </w:rPr>
              <w:t>A</w:t>
            </w:r>
            <w:r w:rsidR="00201AD4" w:rsidRPr="00A81B0A">
              <w:rPr>
                <w:rStyle w:val="Hyperlink"/>
                <w:rFonts w:ascii="Arial" w:hAnsi="Arial" w:cs="Arial"/>
                <w:b w:val="0"/>
                <w:color w:val="auto"/>
                <w:szCs w:val="24"/>
              </w:rPr>
              <w:t>ssurance</w:t>
            </w:r>
            <w:r w:rsidR="00D21BB1">
              <w:rPr>
                <w:rStyle w:val="Hyperlink"/>
                <w:rFonts w:ascii="Arial" w:hAnsi="Arial" w:cs="Arial"/>
                <w:b w:val="0"/>
                <w:color w:val="auto"/>
                <w:szCs w:val="24"/>
              </w:rPr>
              <w:t>s</w:t>
            </w:r>
            <w:r w:rsidR="00201AD4" w:rsidRPr="00A81B0A">
              <w:rPr>
                <w:rStyle w:val="Hyperlink"/>
                <w:rFonts w:ascii="Arial" w:hAnsi="Arial" w:cs="Arial"/>
                <w:b w:val="0"/>
                <w:color w:val="auto"/>
                <w:szCs w:val="24"/>
              </w:rPr>
              <w:t xml:space="preserve"> of </w:t>
            </w:r>
            <w:r w:rsidR="00D21BB1">
              <w:rPr>
                <w:rStyle w:val="Hyperlink"/>
                <w:rFonts w:ascii="Arial" w:hAnsi="Arial" w:cs="Arial"/>
                <w:b w:val="0"/>
                <w:color w:val="auto"/>
                <w:szCs w:val="24"/>
              </w:rPr>
              <w:t>C</w:t>
            </w:r>
            <w:r w:rsidR="00201AD4" w:rsidRPr="00A81B0A">
              <w:rPr>
                <w:rStyle w:val="Hyperlink"/>
                <w:rFonts w:ascii="Arial" w:hAnsi="Arial" w:cs="Arial"/>
                <w:b w:val="0"/>
                <w:color w:val="auto"/>
                <w:szCs w:val="24"/>
              </w:rPr>
              <w:t xml:space="preserve">onfidentiality </w:t>
            </w:r>
            <w:r w:rsidR="00D21BB1">
              <w:rPr>
                <w:rStyle w:val="Hyperlink"/>
                <w:rFonts w:ascii="Arial" w:hAnsi="Arial" w:cs="Arial"/>
                <w:b w:val="0"/>
                <w:color w:val="auto"/>
                <w:szCs w:val="24"/>
              </w:rPr>
              <w:t>P</w:t>
            </w:r>
            <w:r w:rsidR="00201AD4" w:rsidRPr="00A81B0A">
              <w:rPr>
                <w:rStyle w:val="Hyperlink"/>
                <w:rFonts w:ascii="Arial" w:hAnsi="Arial" w:cs="Arial"/>
                <w:b w:val="0"/>
                <w:color w:val="auto"/>
                <w:szCs w:val="24"/>
              </w:rPr>
              <w:t xml:space="preserve">rovided to </w:t>
            </w:r>
            <w:r w:rsidR="00D21BB1">
              <w:rPr>
                <w:rStyle w:val="Hyperlink"/>
                <w:rFonts w:ascii="Arial" w:hAnsi="Arial" w:cs="Arial"/>
                <w:b w:val="0"/>
                <w:color w:val="auto"/>
                <w:szCs w:val="24"/>
              </w:rPr>
              <w:t>R</w:t>
            </w:r>
            <w:r w:rsidR="00201AD4" w:rsidRPr="00A81B0A">
              <w:rPr>
                <w:rStyle w:val="Hyperlink"/>
                <w:rFonts w:ascii="Arial" w:hAnsi="Arial" w:cs="Arial"/>
                <w:b w:val="0"/>
                <w:color w:val="auto"/>
                <w:szCs w:val="24"/>
              </w:rPr>
              <w:t>espondents.</w:t>
            </w:r>
            <w:r w:rsidR="00201AD4" w:rsidRPr="00A81B0A">
              <w:rPr>
                <w:rFonts w:ascii="Arial" w:hAnsi="Arial" w:cs="Arial"/>
                <w:b w:val="0"/>
                <w:webHidden/>
                <w:szCs w:val="24"/>
              </w:rPr>
              <w:tab/>
            </w:r>
            <w:r w:rsidR="00201AD4" w:rsidRPr="00A81B0A">
              <w:rPr>
                <w:rFonts w:ascii="Arial" w:hAnsi="Arial" w:cs="Arial"/>
                <w:b w:val="0"/>
                <w:webHidden/>
                <w:szCs w:val="24"/>
              </w:rPr>
              <w:fldChar w:fldCharType="begin"/>
            </w:r>
            <w:r w:rsidR="00201AD4" w:rsidRPr="00A81B0A">
              <w:rPr>
                <w:rFonts w:ascii="Arial" w:hAnsi="Arial" w:cs="Arial"/>
                <w:b w:val="0"/>
                <w:webHidden/>
                <w:szCs w:val="24"/>
              </w:rPr>
              <w:instrText xml:space="preserve"> PAGEREF _Toc506534142 \h </w:instrText>
            </w:r>
            <w:r w:rsidR="00201AD4" w:rsidRPr="00A81B0A">
              <w:rPr>
                <w:rFonts w:ascii="Arial" w:hAnsi="Arial" w:cs="Arial"/>
                <w:b w:val="0"/>
                <w:webHidden/>
                <w:szCs w:val="24"/>
              </w:rPr>
            </w:r>
            <w:r w:rsidR="00201AD4" w:rsidRPr="00A81B0A">
              <w:rPr>
                <w:rFonts w:ascii="Arial" w:hAnsi="Arial" w:cs="Arial"/>
                <w:b w:val="0"/>
                <w:webHidden/>
                <w:szCs w:val="24"/>
              </w:rPr>
              <w:fldChar w:fldCharType="separate"/>
            </w:r>
            <w:r w:rsidR="001B504D">
              <w:rPr>
                <w:rFonts w:ascii="Arial" w:hAnsi="Arial" w:cs="Arial"/>
                <w:b w:val="0"/>
                <w:webHidden/>
                <w:szCs w:val="24"/>
              </w:rPr>
              <w:t>18</w:t>
            </w:r>
            <w:r w:rsidR="00201AD4" w:rsidRPr="00A81B0A">
              <w:rPr>
                <w:rFonts w:ascii="Arial" w:hAnsi="Arial" w:cs="Arial"/>
                <w:b w:val="0"/>
                <w:webHidden/>
                <w:szCs w:val="24"/>
              </w:rPr>
              <w:fldChar w:fldCharType="end"/>
            </w:r>
          </w:hyperlink>
        </w:p>
        <w:p w14:paraId="25261B3A" w14:textId="40FDA405" w:rsidR="00201AD4" w:rsidRPr="00A81B0A" w:rsidRDefault="00745E27" w:rsidP="00A81B0A">
          <w:pPr>
            <w:pStyle w:val="TOC1"/>
            <w:spacing w:line="276" w:lineRule="auto"/>
            <w:rPr>
              <w:rFonts w:ascii="Arial" w:eastAsiaTheme="minorEastAsia" w:hAnsi="Arial" w:cs="Arial"/>
              <w:b w:val="0"/>
              <w:szCs w:val="24"/>
              <w:lang w:val="en-GB" w:eastAsia="en-GB"/>
            </w:rPr>
          </w:pPr>
          <w:hyperlink w:anchor="_Toc506534143" w:history="1">
            <w:r w:rsidR="00201AD4" w:rsidRPr="00A81B0A">
              <w:rPr>
                <w:rStyle w:val="Hyperlink"/>
                <w:rFonts w:ascii="Arial" w:hAnsi="Arial" w:cs="Arial"/>
                <w:b w:val="0"/>
                <w:color w:val="auto"/>
                <w:szCs w:val="24"/>
              </w:rPr>
              <w:t>11.</w:t>
            </w:r>
            <w:r w:rsidR="00201AD4" w:rsidRPr="00A81B0A">
              <w:rPr>
                <w:rFonts w:ascii="Arial" w:eastAsiaTheme="minorEastAsia" w:hAnsi="Arial" w:cs="Arial"/>
                <w:b w:val="0"/>
                <w:szCs w:val="24"/>
                <w:lang w:val="en-GB" w:eastAsia="en-GB"/>
              </w:rPr>
              <w:tab/>
            </w:r>
            <w:r w:rsidR="00D21BB1">
              <w:rPr>
                <w:rStyle w:val="Hyperlink"/>
                <w:rFonts w:ascii="Arial" w:hAnsi="Arial" w:cs="Arial"/>
                <w:b w:val="0"/>
                <w:color w:val="auto"/>
                <w:szCs w:val="24"/>
              </w:rPr>
              <w:t>J</w:t>
            </w:r>
            <w:r w:rsidR="00201AD4" w:rsidRPr="00A81B0A">
              <w:rPr>
                <w:rStyle w:val="Hyperlink"/>
                <w:rFonts w:ascii="Arial" w:hAnsi="Arial" w:cs="Arial"/>
                <w:b w:val="0"/>
                <w:color w:val="auto"/>
                <w:szCs w:val="24"/>
              </w:rPr>
              <w:t xml:space="preserve">ustification for any </w:t>
            </w:r>
            <w:r w:rsidR="00D21BB1">
              <w:rPr>
                <w:rStyle w:val="Hyperlink"/>
                <w:rFonts w:ascii="Arial" w:hAnsi="Arial" w:cs="Arial"/>
                <w:b w:val="0"/>
                <w:color w:val="auto"/>
                <w:szCs w:val="24"/>
              </w:rPr>
              <w:t>Q</w:t>
            </w:r>
            <w:r w:rsidR="00201AD4" w:rsidRPr="00A81B0A">
              <w:rPr>
                <w:rStyle w:val="Hyperlink"/>
                <w:rFonts w:ascii="Arial" w:hAnsi="Arial" w:cs="Arial"/>
                <w:b w:val="0"/>
                <w:color w:val="auto"/>
                <w:szCs w:val="24"/>
              </w:rPr>
              <w:t xml:space="preserve">uestions of a </w:t>
            </w:r>
            <w:r w:rsidR="00D21BB1">
              <w:rPr>
                <w:rStyle w:val="Hyperlink"/>
                <w:rFonts w:ascii="Arial" w:hAnsi="Arial" w:cs="Arial"/>
                <w:b w:val="0"/>
                <w:color w:val="auto"/>
                <w:szCs w:val="24"/>
              </w:rPr>
              <w:t>S</w:t>
            </w:r>
            <w:r w:rsidR="00201AD4" w:rsidRPr="00A81B0A">
              <w:rPr>
                <w:rStyle w:val="Hyperlink"/>
                <w:rFonts w:ascii="Arial" w:hAnsi="Arial" w:cs="Arial"/>
                <w:b w:val="0"/>
                <w:color w:val="auto"/>
                <w:szCs w:val="24"/>
              </w:rPr>
              <w:t xml:space="preserve">ensitive </w:t>
            </w:r>
            <w:r w:rsidR="00D21BB1">
              <w:rPr>
                <w:rStyle w:val="Hyperlink"/>
                <w:rFonts w:ascii="Arial" w:hAnsi="Arial" w:cs="Arial"/>
                <w:b w:val="0"/>
                <w:color w:val="auto"/>
                <w:szCs w:val="24"/>
              </w:rPr>
              <w:t>N</w:t>
            </w:r>
            <w:r w:rsidR="00201AD4" w:rsidRPr="00A81B0A">
              <w:rPr>
                <w:rStyle w:val="Hyperlink"/>
                <w:rFonts w:ascii="Arial" w:hAnsi="Arial" w:cs="Arial"/>
                <w:b w:val="0"/>
                <w:color w:val="auto"/>
                <w:szCs w:val="24"/>
              </w:rPr>
              <w:t>ature.</w:t>
            </w:r>
            <w:r w:rsidR="00201AD4" w:rsidRPr="00A81B0A">
              <w:rPr>
                <w:rFonts w:ascii="Arial" w:hAnsi="Arial" w:cs="Arial"/>
                <w:b w:val="0"/>
                <w:webHidden/>
                <w:szCs w:val="24"/>
              </w:rPr>
              <w:tab/>
            </w:r>
            <w:r w:rsidR="00201AD4" w:rsidRPr="00A81B0A">
              <w:rPr>
                <w:rFonts w:ascii="Arial" w:hAnsi="Arial" w:cs="Arial"/>
                <w:b w:val="0"/>
                <w:webHidden/>
                <w:szCs w:val="24"/>
              </w:rPr>
              <w:fldChar w:fldCharType="begin"/>
            </w:r>
            <w:r w:rsidR="00201AD4" w:rsidRPr="00A81B0A">
              <w:rPr>
                <w:rFonts w:ascii="Arial" w:hAnsi="Arial" w:cs="Arial"/>
                <w:b w:val="0"/>
                <w:webHidden/>
                <w:szCs w:val="24"/>
              </w:rPr>
              <w:instrText xml:space="preserve"> PAGEREF _Toc506534143 \h </w:instrText>
            </w:r>
            <w:r w:rsidR="00201AD4" w:rsidRPr="00A81B0A">
              <w:rPr>
                <w:rFonts w:ascii="Arial" w:hAnsi="Arial" w:cs="Arial"/>
                <w:b w:val="0"/>
                <w:webHidden/>
                <w:szCs w:val="24"/>
              </w:rPr>
            </w:r>
            <w:r w:rsidR="00201AD4" w:rsidRPr="00A81B0A">
              <w:rPr>
                <w:rFonts w:ascii="Arial" w:hAnsi="Arial" w:cs="Arial"/>
                <w:b w:val="0"/>
                <w:webHidden/>
                <w:szCs w:val="24"/>
              </w:rPr>
              <w:fldChar w:fldCharType="separate"/>
            </w:r>
            <w:r w:rsidR="001B504D">
              <w:rPr>
                <w:rFonts w:ascii="Arial" w:hAnsi="Arial" w:cs="Arial"/>
                <w:b w:val="0"/>
                <w:webHidden/>
                <w:szCs w:val="24"/>
              </w:rPr>
              <w:t>20</w:t>
            </w:r>
            <w:r w:rsidR="00201AD4" w:rsidRPr="00A81B0A">
              <w:rPr>
                <w:rFonts w:ascii="Arial" w:hAnsi="Arial" w:cs="Arial"/>
                <w:b w:val="0"/>
                <w:webHidden/>
                <w:szCs w:val="24"/>
              </w:rPr>
              <w:fldChar w:fldCharType="end"/>
            </w:r>
          </w:hyperlink>
        </w:p>
        <w:p w14:paraId="41EF41B5" w14:textId="1AD24303" w:rsidR="00201AD4" w:rsidRPr="00A81B0A" w:rsidRDefault="00745E27" w:rsidP="00A81B0A">
          <w:pPr>
            <w:pStyle w:val="TOC1"/>
            <w:spacing w:line="276" w:lineRule="auto"/>
            <w:rPr>
              <w:rFonts w:ascii="Arial" w:eastAsiaTheme="minorEastAsia" w:hAnsi="Arial" w:cs="Arial"/>
              <w:b w:val="0"/>
              <w:szCs w:val="24"/>
              <w:lang w:val="en-GB" w:eastAsia="en-GB"/>
            </w:rPr>
          </w:pPr>
          <w:hyperlink w:anchor="_Toc506534144" w:history="1">
            <w:r w:rsidR="00201AD4" w:rsidRPr="00A81B0A">
              <w:rPr>
                <w:rStyle w:val="Hyperlink"/>
                <w:rFonts w:ascii="Arial" w:hAnsi="Arial" w:cs="Arial"/>
                <w:b w:val="0"/>
                <w:color w:val="auto"/>
                <w:szCs w:val="24"/>
              </w:rPr>
              <w:t>12.</w:t>
            </w:r>
            <w:r w:rsidR="00201AD4" w:rsidRPr="00A81B0A">
              <w:rPr>
                <w:rFonts w:ascii="Arial" w:eastAsiaTheme="minorEastAsia" w:hAnsi="Arial" w:cs="Arial"/>
                <w:b w:val="0"/>
                <w:szCs w:val="24"/>
                <w:lang w:val="en-GB" w:eastAsia="en-GB"/>
              </w:rPr>
              <w:tab/>
            </w:r>
            <w:r w:rsidR="00201AD4" w:rsidRPr="00A81B0A">
              <w:rPr>
                <w:rStyle w:val="Hyperlink"/>
                <w:rFonts w:ascii="Arial" w:hAnsi="Arial" w:cs="Arial"/>
                <w:b w:val="0"/>
                <w:color w:val="auto"/>
                <w:szCs w:val="24"/>
              </w:rPr>
              <w:t xml:space="preserve"> </w:t>
            </w:r>
            <w:r w:rsidR="00D21BB1">
              <w:rPr>
                <w:rStyle w:val="Hyperlink"/>
                <w:rFonts w:ascii="Arial" w:hAnsi="Arial" w:cs="Arial"/>
                <w:b w:val="0"/>
                <w:color w:val="auto"/>
                <w:szCs w:val="24"/>
              </w:rPr>
              <w:t>E</w:t>
            </w:r>
            <w:r w:rsidR="00201AD4" w:rsidRPr="00A81B0A">
              <w:rPr>
                <w:rStyle w:val="Hyperlink"/>
                <w:rFonts w:ascii="Arial" w:hAnsi="Arial" w:cs="Arial"/>
                <w:b w:val="0"/>
                <w:color w:val="auto"/>
                <w:szCs w:val="24"/>
              </w:rPr>
              <w:t xml:space="preserve">stimates of the </w:t>
            </w:r>
            <w:r w:rsidR="00D21BB1">
              <w:rPr>
                <w:rStyle w:val="Hyperlink"/>
                <w:rFonts w:ascii="Arial" w:hAnsi="Arial" w:cs="Arial"/>
                <w:b w:val="0"/>
                <w:color w:val="auto"/>
                <w:szCs w:val="24"/>
              </w:rPr>
              <w:t>H</w:t>
            </w:r>
            <w:r w:rsidR="00201AD4" w:rsidRPr="00A81B0A">
              <w:rPr>
                <w:rStyle w:val="Hyperlink"/>
                <w:rFonts w:ascii="Arial" w:hAnsi="Arial" w:cs="Arial"/>
                <w:b w:val="0"/>
                <w:color w:val="auto"/>
                <w:szCs w:val="24"/>
              </w:rPr>
              <w:t xml:space="preserve">our </w:t>
            </w:r>
            <w:r w:rsidR="00D21BB1">
              <w:rPr>
                <w:rStyle w:val="Hyperlink"/>
                <w:rFonts w:ascii="Arial" w:hAnsi="Arial" w:cs="Arial"/>
                <w:b w:val="0"/>
                <w:color w:val="auto"/>
                <w:szCs w:val="24"/>
              </w:rPr>
              <w:t>B</w:t>
            </w:r>
            <w:r w:rsidR="00201AD4" w:rsidRPr="00A81B0A">
              <w:rPr>
                <w:rStyle w:val="Hyperlink"/>
                <w:rFonts w:ascii="Arial" w:hAnsi="Arial" w:cs="Arial"/>
                <w:b w:val="0"/>
                <w:color w:val="auto"/>
                <w:szCs w:val="24"/>
              </w:rPr>
              <w:t xml:space="preserve">urden of the </w:t>
            </w:r>
            <w:r w:rsidR="00D21BB1">
              <w:rPr>
                <w:rStyle w:val="Hyperlink"/>
                <w:rFonts w:ascii="Arial" w:hAnsi="Arial" w:cs="Arial"/>
                <w:b w:val="0"/>
                <w:color w:val="auto"/>
                <w:szCs w:val="24"/>
              </w:rPr>
              <w:t>C</w:t>
            </w:r>
            <w:r w:rsidR="00201AD4" w:rsidRPr="00A81B0A">
              <w:rPr>
                <w:rStyle w:val="Hyperlink"/>
                <w:rFonts w:ascii="Arial" w:hAnsi="Arial" w:cs="Arial"/>
                <w:b w:val="0"/>
                <w:color w:val="auto"/>
                <w:szCs w:val="24"/>
              </w:rPr>
              <w:t xml:space="preserve">ollection of </w:t>
            </w:r>
            <w:r w:rsidR="00D21BB1">
              <w:rPr>
                <w:rStyle w:val="Hyperlink"/>
                <w:rFonts w:ascii="Arial" w:hAnsi="Arial" w:cs="Arial"/>
                <w:b w:val="0"/>
                <w:color w:val="auto"/>
                <w:szCs w:val="24"/>
              </w:rPr>
              <w:t>I</w:t>
            </w:r>
            <w:r w:rsidR="00201AD4" w:rsidRPr="00A81B0A">
              <w:rPr>
                <w:rStyle w:val="Hyperlink"/>
                <w:rFonts w:ascii="Arial" w:hAnsi="Arial" w:cs="Arial"/>
                <w:b w:val="0"/>
                <w:color w:val="auto"/>
                <w:szCs w:val="24"/>
              </w:rPr>
              <w:t>nformation.</w:t>
            </w:r>
            <w:r w:rsidR="00201AD4" w:rsidRPr="00A81B0A">
              <w:rPr>
                <w:rFonts w:ascii="Arial" w:hAnsi="Arial" w:cs="Arial"/>
                <w:b w:val="0"/>
                <w:webHidden/>
                <w:szCs w:val="24"/>
              </w:rPr>
              <w:tab/>
            </w:r>
            <w:r w:rsidR="00201AD4" w:rsidRPr="00A81B0A">
              <w:rPr>
                <w:rFonts w:ascii="Arial" w:hAnsi="Arial" w:cs="Arial"/>
                <w:b w:val="0"/>
                <w:webHidden/>
                <w:szCs w:val="24"/>
              </w:rPr>
              <w:fldChar w:fldCharType="begin"/>
            </w:r>
            <w:r w:rsidR="00201AD4" w:rsidRPr="00A81B0A">
              <w:rPr>
                <w:rFonts w:ascii="Arial" w:hAnsi="Arial" w:cs="Arial"/>
                <w:b w:val="0"/>
                <w:webHidden/>
                <w:szCs w:val="24"/>
              </w:rPr>
              <w:instrText xml:space="preserve"> PAGEREF _Toc506534144 \h </w:instrText>
            </w:r>
            <w:r w:rsidR="00201AD4" w:rsidRPr="00A81B0A">
              <w:rPr>
                <w:rFonts w:ascii="Arial" w:hAnsi="Arial" w:cs="Arial"/>
                <w:b w:val="0"/>
                <w:webHidden/>
                <w:szCs w:val="24"/>
              </w:rPr>
            </w:r>
            <w:r w:rsidR="00201AD4" w:rsidRPr="00A81B0A">
              <w:rPr>
                <w:rFonts w:ascii="Arial" w:hAnsi="Arial" w:cs="Arial"/>
                <w:b w:val="0"/>
                <w:webHidden/>
                <w:szCs w:val="24"/>
              </w:rPr>
              <w:fldChar w:fldCharType="separate"/>
            </w:r>
            <w:r w:rsidR="001B504D">
              <w:rPr>
                <w:rFonts w:ascii="Arial" w:hAnsi="Arial" w:cs="Arial"/>
                <w:b w:val="0"/>
                <w:webHidden/>
                <w:szCs w:val="24"/>
              </w:rPr>
              <w:t>20</w:t>
            </w:r>
            <w:r w:rsidR="00201AD4" w:rsidRPr="00A81B0A">
              <w:rPr>
                <w:rFonts w:ascii="Arial" w:hAnsi="Arial" w:cs="Arial"/>
                <w:b w:val="0"/>
                <w:webHidden/>
                <w:szCs w:val="24"/>
              </w:rPr>
              <w:fldChar w:fldCharType="end"/>
            </w:r>
          </w:hyperlink>
        </w:p>
        <w:p w14:paraId="12B89B17" w14:textId="2EB58053" w:rsidR="00201AD4" w:rsidRPr="00A81B0A" w:rsidRDefault="00745E27" w:rsidP="00A81B0A">
          <w:pPr>
            <w:pStyle w:val="TOC1"/>
            <w:spacing w:line="276" w:lineRule="auto"/>
            <w:rPr>
              <w:rFonts w:ascii="Arial" w:eastAsiaTheme="minorEastAsia" w:hAnsi="Arial" w:cs="Arial"/>
              <w:b w:val="0"/>
              <w:szCs w:val="24"/>
              <w:lang w:val="en-GB" w:eastAsia="en-GB"/>
            </w:rPr>
          </w:pPr>
          <w:hyperlink w:anchor="_Toc506534145" w:history="1">
            <w:r w:rsidR="00201AD4" w:rsidRPr="00A81B0A">
              <w:rPr>
                <w:rStyle w:val="Hyperlink"/>
                <w:rFonts w:ascii="Arial" w:hAnsi="Arial" w:cs="Arial"/>
                <w:b w:val="0"/>
                <w:color w:val="auto"/>
                <w:szCs w:val="24"/>
              </w:rPr>
              <w:t>13.</w:t>
            </w:r>
            <w:r w:rsidR="00201AD4" w:rsidRPr="00A81B0A">
              <w:rPr>
                <w:rFonts w:ascii="Arial" w:eastAsiaTheme="minorEastAsia" w:hAnsi="Arial" w:cs="Arial"/>
                <w:b w:val="0"/>
                <w:szCs w:val="24"/>
                <w:lang w:val="en-GB" w:eastAsia="en-GB"/>
              </w:rPr>
              <w:tab/>
            </w:r>
            <w:r w:rsidR="00D21BB1">
              <w:rPr>
                <w:rFonts w:ascii="Arial" w:eastAsiaTheme="minorEastAsia" w:hAnsi="Arial" w:cs="Arial"/>
                <w:b w:val="0"/>
                <w:szCs w:val="24"/>
                <w:lang w:val="en-GB" w:eastAsia="en-GB"/>
              </w:rPr>
              <w:t>Estimates of Other Total Annual Cost Burden</w:t>
            </w:r>
            <w:r w:rsidR="00201AD4" w:rsidRPr="00A81B0A">
              <w:rPr>
                <w:rStyle w:val="Hyperlink"/>
                <w:rFonts w:ascii="Arial" w:hAnsi="Arial" w:cs="Arial"/>
                <w:b w:val="0"/>
                <w:color w:val="auto"/>
                <w:szCs w:val="24"/>
              </w:rPr>
              <w:t>.</w:t>
            </w:r>
            <w:r w:rsidR="00201AD4" w:rsidRPr="00A81B0A">
              <w:rPr>
                <w:rFonts w:ascii="Arial" w:hAnsi="Arial" w:cs="Arial"/>
                <w:b w:val="0"/>
                <w:webHidden/>
                <w:szCs w:val="24"/>
              </w:rPr>
              <w:tab/>
            </w:r>
            <w:r w:rsidR="00201AD4" w:rsidRPr="00A81B0A">
              <w:rPr>
                <w:rFonts w:ascii="Arial" w:hAnsi="Arial" w:cs="Arial"/>
                <w:b w:val="0"/>
                <w:webHidden/>
                <w:szCs w:val="24"/>
              </w:rPr>
              <w:fldChar w:fldCharType="begin"/>
            </w:r>
            <w:r w:rsidR="00201AD4" w:rsidRPr="00A81B0A">
              <w:rPr>
                <w:rFonts w:ascii="Arial" w:hAnsi="Arial" w:cs="Arial"/>
                <w:b w:val="0"/>
                <w:webHidden/>
                <w:szCs w:val="24"/>
              </w:rPr>
              <w:instrText xml:space="preserve"> PAGEREF _Toc506534145 \h </w:instrText>
            </w:r>
            <w:r w:rsidR="00201AD4" w:rsidRPr="00A81B0A">
              <w:rPr>
                <w:rFonts w:ascii="Arial" w:hAnsi="Arial" w:cs="Arial"/>
                <w:b w:val="0"/>
                <w:webHidden/>
                <w:szCs w:val="24"/>
              </w:rPr>
            </w:r>
            <w:r w:rsidR="00201AD4" w:rsidRPr="00A81B0A">
              <w:rPr>
                <w:rFonts w:ascii="Arial" w:hAnsi="Arial" w:cs="Arial"/>
                <w:b w:val="0"/>
                <w:webHidden/>
                <w:szCs w:val="24"/>
              </w:rPr>
              <w:fldChar w:fldCharType="separate"/>
            </w:r>
            <w:r w:rsidR="001B504D">
              <w:rPr>
                <w:rFonts w:ascii="Arial" w:hAnsi="Arial" w:cs="Arial"/>
                <w:b w:val="0"/>
                <w:webHidden/>
                <w:szCs w:val="24"/>
              </w:rPr>
              <w:t>24</w:t>
            </w:r>
            <w:r w:rsidR="00201AD4" w:rsidRPr="00A81B0A">
              <w:rPr>
                <w:rFonts w:ascii="Arial" w:hAnsi="Arial" w:cs="Arial"/>
                <w:b w:val="0"/>
                <w:webHidden/>
                <w:szCs w:val="24"/>
              </w:rPr>
              <w:fldChar w:fldCharType="end"/>
            </w:r>
          </w:hyperlink>
        </w:p>
        <w:p w14:paraId="4F228F21" w14:textId="5FE96A91" w:rsidR="00201AD4" w:rsidRPr="00A81B0A" w:rsidRDefault="00745E27" w:rsidP="00A81B0A">
          <w:pPr>
            <w:pStyle w:val="TOC1"/>
            <w:spacing w:line="276" w:lineRule="auto"/>
            <w:rPr>
              <w:rFonts w:ascii="Arial" w:eastAsiaTheme="minorEastAsia" w:hAnsi="Arial" w:cs="Arial"/>
              <w:b w:val="0"/>
              <w:szCs w:val="24"/>
              <w:lang w:val="en-GB" w:eastAsia="en-GB"/>
            </w:rPr>
          </w:pPr>
          <w:hyperlink w:anchor="_Toc506534146" w:history="1">
            <w:r w:rsidR="00201AD4" w:rsidRPr="00A81B0A">
              <w:rPr>
                <w:rStyle w:val="Hyperlink"/>
                <w:rFonts w:ascii="Arial" w:hAnsi="Arial" w:cs="Arial"/>
                <w:b w:val="0"/>
                <w:color w:val="auto"/>
                <w:szCs w:val="24"/>
              </w:rPr>
              <w:t>14.</w:t>
            </w:r>
            <w:r w:rsidR="00201AD4" w:rsidRPr="00A81B0A">
              <w:rPr>
                <w:rFonts w:ascii="Arial" w:eastAsiaTheme="minorEastAsia" w:hAnsi="Arial" w:cs="Arial"/>
                <w:b w:val="0"/>
                <w:szCs w:val="24"/>
                <w:lang w:val="en-GB" w:eastAsia="en-GB"/>
              </w:rPr>
              <w:tab/>
            </w:r>
            <w:r w:rsidR="00201AD4" w:rsidRPr="00A81B0A">
              <w:rPr>
                <w:rStyle w:val="Hyperlink"/>
                <w:rFonts w:ascii="Arial" w:hAnsi="Arial" w:cs="Arial"/>
                <w:b w:val="0"/>
                <w:color w:val="auto"/>
                <w:szCs w:val="24"/>
              </w:rPr>
              <w:t xml:space="preserve">Provide </w:t>
            </w:r>
            <w:r w:rsidR="00D21BB1">
              <w:rPr>
                <w:rStyle w:val="Hyperlink"/>
                <w:rFonts w:ascii="Arial" w:hAnsi="Arial" w:cs="Arial"/>
                <w:b w:val="0"/>
                <w:color w:val="auto"/>
                <w:szCs w:val="24"/>
              </w:rPr>
              <w:t>E</w:t>
            </w:r>
            <w:r w:rsidR="00201AD4" w:rsidRPr="00A81B0A">
              <w:rPr>
                <w:rStyle w:val="Hyperlink"/>
                <w:rFonts w:ascii="Arial" w:hAnsi="Arial" w:cs="Arial"/>
                <w:b w:val="0"/>
                <w:color w:val="auto"/>
                <w:szCs w:val="24"/>
              </w:rPr>
              <w:t xml:space="preserve">stimates of </w:t>
            </w:r>
            <w:r w:rsidR="00D21BB1">
              <w:rPr>
                <w:rStyle w:val="Hyperlink"/>
                <w:rFonts w:ascii="Arial" w:hAnsi="Arial" w:cs="Arial"/>
                <w:b w:val="0"/>
                <w:color w:val="auto"/>
                <w:szCs w:val="24"/>
              </w:rPr>
              <w:t>A</w:t>
            </w:r>
            <w:r w:rsidR="00201AD4" w:rsidRPr="00A81B0A">
              <w:rPr>
                <w:rStyle w:val="Hyperlink"/>
                <w:rFonts w:ascii="Arial" w:hAnsi="Arial" w:cs="Arial"/>
                <w:b w:val="0"/>
                <w:color w:val="auto"/>
                <w:szCs w:val="24"/>
              </w:rPr>
              <w:t xml:space="preserve">nnualized </w:t>
            </w:r>
            <w:r w:rsidR="00D21BB1">
              <w:rPr>
                <w:rStyle w:val="Hyperlink"/>
                <w:rFonts w:ascii="Arial" w:hAnsi="Arial" w:cs="Arial"/>
                <w:b w:val="0"/>
                <w:color w:val="auto"/>
                <w:szCs w:val="24"/>
              </w:rPr>
              <w:t>C</w:t>
            </w:r>
            <w:r w:rsidR="00201AD4" w:rsidRPr="00A81B0A">
              <w:rPr>
                <w:rStyle w:val="Hyperlink"/>
                <w:rFonts w:ascii="Arial" w:hAnsi="Arial" w:cs="Arial"/>
                <w:b w:val="0"/>
                <w:color w:val="auto"/>
                <w:szCs w:val="24"/>
              </w:rPr>
              <w:t xml:space="preserve">ost to the Federal </w:t>
            </w:r>
            <w:r w:rsidR="00D21BB1">
              <w:rPr>
                <w:rStyle w:val="Hyperlink"/>
                <w:rFonts w:ascii="Arial" w:hAnsi="Arial" w:cs="Arial"/>
                <w:b w:val="0"/>
                <w:color w:val="auto"/>
                <w:szCs w:val="24"/>
              </w:rPr>
              <w:t>G</w:t>
            </w:r>
            <w:r w:rsidR="00201AD4" w:rsidRPr="00A81B0A">
              <w:rPr>
                <w:rStyle w:val="Hyperlink"/>
                <w:rFonts w:ascii="Arial" w:hAnsi="Arial" w:cs="Arial"/>
                <w:b w:val="0"/>
                <w:color w:val="auto"/>
                <w:szCs w:val="24"/>
              </w:rPr>
              <w:t>overnment.</w:t>
            </w:r>
            <w:r w:rsidR="00201AD4" w:rsidRPr="00A81B0A">
              <w:rPr>
                <w:rFonts w:ascii="Arial" w:hAnsi="Arial" w:cs="Arial"/>
                <w:b w:val="0"/>
                <w:webHidden/>
                <w:szCs w:val="24"/>
              </w:rPr>
              <w:tab/>
            </w:r>
            <w:r w:rsidR="00201AD4" w:rsidRPr="00A81B0A">
              <w:rPr>
                <w:rFonts w:ascii="Arial" w:hAnsi="Arial" w:cs="Arial"/>
                <w:b w:val="0"/>
                <w:webHidden/>
                <w:szCs w:val="24"/>
              </w:rPr>
              <w:fldChar w:fldCharType="begin"/>
            </w:r>
            <w:r w:rsidR="00201AD4" w:rsidRPr="00A81B0A">
              <w:rPr>
                <w:rFonts w:ascii="Arial" w:hAnsi="Arial" w:cs="Arial"/>
                <w:b w:val="0"/>
                <w:webHidden/>
                <w:szCs w:val="24"/>
              </w:rPr>
              <w:instrText xml:space="preserve"> PAGEREF _Toc506534146 \h </w:instrText>
            </w:r>
            <w:r w:rsidR="00201AD4" w:rsidRPr="00A81B0A">
              <w:rPr>
                <w:rFonts w:ascii="Arial" w:hAnsi="Arial" w:cs="Arial"/>
                <w:b w:val="0"/>
                <w:webHidden/>
                <w:szCs w:val="24"/>
              </w:rPr>
            </w:r>
            <w:r w:rsidR="00201AD4" w:rsidRPr="00A81B0A">
              <w:rPr>
                <w:rFonts w:ascii="Arial" w:hAnsi="Arial" w:cs="Arial"/>
                <w:b w:val="0"/>
                <w:webHidden/>
                <w:szCs w:val="24"/>
              </w:rPr>
              <w:fldChar w:fldCharType="separate"/>
            </w:r>
            <w:r w:rsidR="001B504D">
              <w:rPr>
                <w:rFonts w:ascii="Arial" w:hAnsi="Arial" w:cs="Arial"/>
                <w:b w:val="0"/>
                <w:webHidden/>
                <w:szCs w:val="24"/>
              </w:rPr>
              <w:t>24</w:t>
            </w:r>
            <w:r w:rsidR="00201AD4" w:rsidRPr="00A81B0A">
              <w:rPr>
                <w:rFonts w:ascii="Arial" w:hAnsi="Arial" w:cs="Arial"/>
                <w:b w:val="0"/>
                <w:webHidden/>
                <w:szCs w:val="24"/>
              </w:rPr>
              <w:fldChar w:fldCharType="end"/>
            </w:r>
          </w:hyperlink>
        </w:p>
        <w:p w14:paraId="7BD9D3A7" w14:textId="5028D7E2" w:rsidR="00201AD4" w:rsidRPr="00A81B0A" w:rsidRDefault="00745E27" w:rsidP="00A81B0A">
          <w:pPr>
            <w:pStyle w:val="TOC1"/>
            <w:spacing w:line="276" w:lineRule="auto"/>
            <w:rPr>
              <w:rFonts w:ascii="Arial" w:eastAsiaTheme="minorEastAsia" w:hAnsi="Arial" w:cs="Arial"/>
              <w:b w:val="0"/>
              <w:szCs w:val="24"/>
              <w:lang w:val="en-GB" w:eastAsia="en-GB"/>
            </w:rPr>
          </w:pPr>
          <w:hyperlink w:anchor="_Toc506534147" w:history="1">
            <w:r w:rsidR="00201AD4" w:rsidRPr="00A81B0A">
              <w:rPr>
                <w:rStyle w:val="Hyperlink"/>
                <w:rFonts w:ascii="Arial" w:hAnsi="Arial" w:cs="Arial"/>
                <w:b w:val="0"/>
                <w:color w:val="auto"/>
                <w:szCs w:val="24"/>
              </w:rPr>
              <w:t>15.</w:t>
            </w:r>
            <w:r w:rsidR="00201AD4" w:rsidRPr="00A81B0A">
              <w:rPr>
                <w:rFonts w:ascii="Arial" w:eastAsiaTheme="minorEastAsia" w:hAnsi="Arial" w:cs="Arial"/>
                <w:b w:val="0"/>
                <w:szCs w:val="24"/>
                <w:lang w:val="en-GB" w:eastAsia="en-GB"/>
              </w:rPr>
              <w:tab/>
            </w:r>
            <w:r w:rsidR="00D21BB1">
              <w:rPr>
                <w:rFonts w:ascii="Arial" w:eastAsiaTheme="minorEastAsia" w:hAnsi="Arial" w:cs="Arial"/>
                <w:b w:val="0"/>
                <w:szCs w:val="24"/>
                <w:lang w:val="en-GB" w:eastAsia="en-GB"/>
              </w:rPr>
              <w:t>Explanation of Program Changes or Adjustments</w:t>
            </w:r>
            <w:r w:rsidR="00201AD4" w:rsidRPr="00A81B0A">
              <w:rPr>
                <w:rStyle w:val="Hyperlink"/>
                <w:rFonts w:ascii="Arial" w:hAnsi="Arial" w:cs="Arial"/>
                <w:b w:val="0"/>
                <w:color w:val="auto"/>
                <w:szCs w:val="24"/>
              </w:rPr>
              <w:t>.</w:t>
            </w:r>
            <w:r w:rsidR="00201AD4" w:rsidRPr="00A81B0A">
              <w:rPr>
                <w:rFonts w:ascii="Arial" w:hAnsi="Arial" w:cs="Arial"/>
                <w:b w:val="0"/>
                <w:webHidden/>
                <w:szCs w:val="24"/>
              </w:rPr>
              <w:tab/>
            </w:r>
            <w:r w:rsidR="00201AD4" w:rsidRPr="00A81B0A">
              <w:rPr>
                <w:rFonts w:ascii="Arial" w:hAnsi="Arial" w:cs="Arial"/>
                <w:b w:val="0"/>
                <w:webHidden/>
                <w:szCs w:val="24"/>
              </w:rPr>
              <w:fldChar w:fldCharType="begin"/>
            </w:r>
            <w:r w:rsidR="00201AD4" w:rsidRPr="00A81B0A">
              <w:rPr>
                <w:rFonts w:ascii="Arial" w:hAnsi="Arial" w:cs="Arial"/>
                <w:b w:val="0"/>
                <w:webHidden/>
                <w:szCs w:val="24"/>
              </w:rPr>
              <w:instrText xml:space="preserve"> PAGEREF _Toc506534147 \h </w:instrText>
            </w:r>
            <w:r w:rsidR="00201AD4" w:rsidRPr="00A81B0A">
              <w:rPr>
                <w:rFonts w:ascii="Arial" w:hAnsi="Arial" w:cs="Arial"/>
                <w:b w:val="0"/>
                <w:webHidden/>
                <w:szCs w:val="24"/>
              </w:rPr>
            </w:r>
            <w:r w:rsidR="00201AD4" w:rsidRPr="00A81B0A">
              <w:rPr>
                <w:rFonts w:ascii="Arial" w:hAnsi="Arial" w:cs="Arial"/>
                <w:b w:val="0"/>
                <w:webHidden/>
                <w:szCs w:val="24"/>
              </w:rPr>
              <w:fldChar w:fldCharType="separate"/>
            </w:r>
            <w:r w:rsidR="001B504D">
              <w:rPr>
                <w:rFonts w:ascii="Arial" w:hAnsi="Arial" w:cs="Arial"/>
                <w:b w:val="0"/>
                <w:webHidden/>
                <w:szCs w:val="24"/>
              </w:rPr>
              <w:t>25</w:t>
            </w:r>
            <w:r w:rsidR="00201AD4" w:rsidRPr="00A81B0A">
              <w:rPr>
                <w:rFonts w:ascii="Arial" w:hAnsi="Arial" w:cs="Arial"/>
                <w:b w:val="0"/>
                <w:webHidden/>
                <w:szCs w:val="24"/>
              </w:rPr>
              <w:fldChar w:fldCharType="end"/>
            </w:r>
          </w:hyperlink>
        </w:p>
        <w:p w14:paraId="6E99B8BB" w14:textId="6B4A2BC5" w:rsidR="00201AD4" w:rsidRPr="00A81B0A" w:rsidRDefault="00745E27" w:rsidP="00A81B0A">
          <w:pPr>
            <w:pStyle w:val="TOC1"/>
            <w:spacing w:line="276" w:lineRule="auto"/>
            <w:rPr>
              <w:rFonts w:ascii="Arial" w:eastAsiaTheme="minorEastAsia" w:hAnsi="Arial" w:cs="Arial"/>
              <w:b w:val="0"/>
              <w:szCs w:val="24"/>
              <w:lang w:val="en-GB" w:eastAsia="en-GB"/>
            </w:rPr>
          </w:pPr>
          <w:hyperlink w:anchor="_Toc506534148" w:history="1">
            <w:r w:rsidR="00201AD4" w:rsidRPr="00A81B0A">
              <w:rPr>
                <w:rStyle w:val="Hyperlink"/>
                <w:rFonts w:ascii="Arial" w:hAnsi="Arial" w:cs="Arial"/>
                <w:b w:val="0"/>
                <w:color w:val="auto"/>
                <w:szCs w:val="24"/>
              </w:rPr>
              <w:t>16.</w:t>
            </w:r>
            <w:r w:rsidR="00201AD4" w:rsidRPr="00A81B0A">
              <w:rPr>
                <w:rFonts w:ascii="Arial" w:eastAsiaTheme="minorEastAsia" w:hAnsi="Arial" w:cs="Arial"/>
                <w:b w:val="0"/>
                <w:szCs w:val="24"/>
                <w:lang w:val="en-GB" w:eastAsia="en-GB"/>
              </w:rPr>
              <w:tab/>
            </w:r>
            <w:r w:rsidR="00D21BB1">
              <w:rPr>
                <w:rFonts w:ascii="Arial" w:eastAsiaTheme="minorEastAsia" w:hAnsi="Arial" w:cs="Arial"/>
                <w:b w:val="0"/>
                <w:szCs w:val="24"/>
                <w:lang w:val="en-GB" w:eastAsia="en-GB"/>
              </w:rPr>
              <w:t>Plans for Tabulation, and Publication and Project Time Schedule</w:t>
            </w:r>
            <w:r w:rsidR="00201AD4" w:rsidRPr="00A81B0A">
              <w:rPr>
                <w:rStyle w:val="Hyperlink"/>
                <w:rFonts w:ascii="Arial" w:hAnsi="Arial" w:cs="Arial"/>
                <w:b w:val="0"/>
                <w:color w:val="auto"/>
                <w:szCs w:val="24"/>
              </w:rPr>
              <w:t>..</w:t>
            </w:r>
            <w:r w:rsidR="00201AD4" w:rsidRPr="00A81B0A">
              <w:rPr>
                <w:rFonts w:ascii="Arial" w:hAnsi="Arial" w:cs="Arial"/>
                <w:b w:val="0"/>
                <w:webHidden/>
                <w:szCs w:val="24"/>
              </w:rPr>
              <w:tab/>
            </w:r>
            <w:r w:rsidR="00201AD4" w:rsidRPr="00A81B0A">
              <w:rPr>
                <w:rFonts w:ascii="Arial" w:hAnsi="Arial" w:cs="Arial"/>
                <w:b w:val="0"/>
                <w:webHidden/>
                <w:szCs w:val="24"/>
              </w:rPr>
              <w:fldChar w:fldCharType="begin"/>
            </w:r>
            <w:r w:rsidR="00201AD4" w:rsidRPr="00A81B0A">
              <w:rPr>
                <w:rFonts w:ascii="Arial" w:hAnsi="Arial" w:cs="Arial"/>
                <w:b w:val="0"/>
                <w:webHidden/>
                <w:szCs w:val="24"/>
              </w:rPr>
              <w:instrText xml:space="preserve"> PAGEREF _Toc506534148 \h </w:instrText>
            </w:r>
            <w:r w:rsidR="00201AD4" w:rsidRPr="00A81B0A">
              <w:rPr>
                <w:rFonts w:ascii="Arial" w:hAnsi="Arial" w:cs="Arial"/>
                <w:b w:val="0"/>
                <w:webHidden/>
                <w:szCs w:val="24"/>
              </w:rPr>
            </w:r>
            <w:r w:rsidR="00201AD4" w:rsidRPr="00A81B0A">
              <w:rPr>
                <w:rFonts w:ascii="Arial" w:hAnsi="Arial" w:cs="Arial"/>
                <w:b w:val="0"/>
                <w:webHidden/>
                <w:szCs w:val="24"/>
              </w:rPr>
              <w:fldChar w:fldCharType="separate"/>
            </w:r>
            <w:r w:rsidR="001B504D">
              <w:rPr>
                <w:rFonts w:ascii="Arial" w:hAnsi="Arial" w:cs="Arial"/>
                <w:b w:val="0"/>
                <w:webHidden/>
                <w:szCs w:val="24"/>
              </w:rPr>
              <w:t>25</w:t>
            </w:r>
            <w:r w:rsidR="00201AD4" w:rsidRPr="00A81B0A">
              <w:rPr>
                <w:rFonts w:ascii="Arial" w:hAnsi="Arial" w:cs="Arial"/>
                <w:b w:val="0"/>
                <w:webHidden/>
                <w:szCs w:val="24"/>
              </w:rPr>
              <w:fldChar w:fldCharType="end"/>
            </w:r>
          </w:hyperlink>
        </w:p>
        <w:p w14:paraId="1A50E2EF" w14:textId="5C473778" w:rsidR="00201AD4" w:rsidRPr="00A81B0A" w:rsidRDefault="00745E27" w:rsidP="00A81B0A">
          <w:pPr>
            <w:pStyle w:val="TOC1"/>
            <w:spacing w:line="276" w:lineRule="auto"/>
            <w:rPr>
              <w:rFonts w:ascii="Arial" w:eastAsiaTheme="minorEastAsia" w:hAnsi="Arial" w:cs="Arial"/>
              <w:b w:val="0"/>
              <w:szCs w:val="24"/>
              <w:lang w:val="en-GB" w:eastAsia="en-GB"/>
            </w:rPr>
          </w:pPr>
          <w:hyperlink w:anchor="_Toc506534149" w:history="1">
            <w:r w:rsidR="00201AD4" w:rsidRPr="00A81B0A">
              <w:rPr>
                <w:rStyle w:val="Hyperlink"/>
                <w:rFonts w:ascii="Arial" w:hAnsi="Arial" w:cs="Arial"/>
                <w:b w:val="0"/>
                <w:color w:val="auto"/>
                <w:szCs w:val="24"/>
              </w:rPr>
              <w:t>17.</w:t>
            </w:r>
            <w:r w:rsidR="00201AD4" w:rsidRPr="00A81B0A">
              <w:rPr>
                <w:rFonts w:ascii="Arial" w:eastAsiaTheme="minorEastAsia" w:hAnsi="Arial" w:cs="Arial"/>
                <w:b w:val="0"/>
                <w:szCs w:val="24"/>
                <w:lang w:val="en-GB" w:eastAsia="en-GB"/>
              </w:rPr>
              <w:tab/>
            </w:r>
            <w:r w:rsidR="00D21BB1">
              <w:rPr>
                <w:rFonts w:ascii="Arial" w:eastAsiaTheme="minorEastAsia" w:hAnsi="Arial" w:cs="Arial"/>
                <w:b w:val="0"/>
                <w:szCs w:val="24"/>
                <w:lang w:val="en-GB" w:eastAsia="en-GB"/>
              </w:rPr>
              <w:t>Displaying the OMB Approval Expiration Date</w:t>
            </w:r>
            <w:r w:rsidR="00201AD4" w:rsidRPr="00A81B0A">
              <w:rPr>
                <w:rStyle w:val="Hyperlink"/>
                <w:rFonts w:ascii="Arial" w:hAnsi="Arial" w:cs="Arial"/>
                <w:b w:val="0"/>
                <w:color w:val="auto"/>
                <w:szCs w:val="24"/>
              </w:rPr>
              <w:t>.</w:t>
            </w:r>
            <w:r w:rsidR="00201AD4" w:rsidRPr="00A81B0A">
              <w:rPr>
                <w:rFonts w:ascii="Arial" w:hAnsi="Arial" w:cs="Arial"/>
                <w:b w:val="0"/>
                <w:webHidden/>
                <w:szCs w:val="24"/>
              </w:rPr>
              <w:tab/>
            </w:r>
            <w:r w:rsidR="00201AD4" w:rsidRPr="00A81B0A">
              <w:rPr>
                <w:rFonts w:ascii="Arial" w:hAnsi="Arial" w:cs="Arial"/>
                <w:b w:val="0"/>
                <w:webHidden/>
                <w:szCs w:val="24"/>
              </w:rPr>
              <w:fldChar w:fldCharType="begin"/>
            </w:r>
            <w:r w:rsidR="00201AD4" w:rsidRPr="00A81B0A">
              <w:rPr>
                <w:rFonts w:ascii="Arial" w:hAnsi="Arial" w:cs="Arial"/>
                <w:b w:val="0"/>
                <w:webHidden/>
                <w:szCs w:val="24"/>
              </w:rPr>
              <w:instrText xml:space="preserve"> PAGEREF _Toc506534149 \h </w:instrText>
            </w:r>
            <w:r w:rsidR="00201AD4" w:rsidRPr="00A81B0A">
              <w:rPr>
                <w:rFonts w:ascii="Arial" w:hAnsi="Arial" w:cs="Arial"/>
                <w:b w:val="0"/>
                <w:webHidden/>
                <w:szCs w:val="24"/>
              </w:rPr>
            </w:r>
            <w:r w:rsidR="00201AD4" w:rsidRPr="00A81B0A">
              <w:rPr>
                <w:rFonts w:ascii="Arial" w:hAnsi="Arial" w:cs="Arial"/>
                <w:b w:val="0"/>
                <w:webHidden/>
                <w:szCs w:val="24"/>
              </w:rPr>
              <w:fldChar w:fldCharType="separate"/>
            </w:r>
            <w:r w:rsidR="001B504D">
              <w:rPr>
                <w:rFonts w:ascii="Arial" w:hAnsi="Arial" w:cs="Arial"/>
                <w:b w:val="0"/>
                <w:webHidden/>
                <w:szCs w:val="24"/>
              </w:rPr>
              <w:t>27</w:t>
            </w:r>
            <w:r w:rsidR="00201AD4" w:rsidRPr="00A81B0A">
              <w:rPr>
                <w:rFonts w:ascii="Arial" w:hAnsi="Arial" w:cs="Arial"/>
                <w:b w:val="0"/>
                <w:webHidden/>
                <w:szCs w:val="24"/>
              </w:rPr>
              <w:fldChar w:fldCharType="end"/>
            </w:r>
          </w:hyperlink>
        </w:p>
        <w:p w14:paraId="2C1EAE30" w14:textId="1AFDD248" w:rsidR="00201AD4" w:rsidRPr="00A81B0A" w:rsidRDefault="00745E27" w:rsidP="00A81B0A">
          <w:pPr>
            <w:pStyle w:val="TOC1"/>
            <w:spacing w:line="276" w:lineRule="auto"/>
            <w:rPr>
              <w:rFonts w:ascii="Arial" w:eastAsiaTheme="minorEastAsia" w:hAnsi="Arial" w:cs="Arial"/>
              <w:b w:val="0"/>
              <w:szCs w:val="24"/>
              <w:lang w:val="en-GB" w:eastAsia="en-GB"/>
            </w:rPr>
          </w:pPr>
          <w:hyperlink w:anchor="_Toc506534150" w:history="1">
            <w:r w:rsidR="00201AD4" w:rsidRPr="00A81B0A">
              <w:rPr>
                <w:rStyle w:val="Hyperlink"/>
                <w:rFonts w:ascii="Arial" w:hAnsi="Arial" w:cs="Arial"/>
                <w:b w:val="0"/>
                <w:color w:val="auto"/>
                <w:szCs w:val="24"/>
              </w:rPr>
              <w:t>18.</w:t>
            </w:r>
            <w:r w:rsidR="00201AD4" w:rsidRPr="00A81B0A">
              <w:rPr>
                <w:rFonts w:ascii="Arial" w:eastAsiaTheme="minorEastAsia" w:hAnsi="Arial" w:cs="Arial"/>
                <w:b w:val="0"/>
                <w:szCs w:val="24"/>
                <w:lang w:val="en-GB" w:eastAsia="en-GB"/>
              </w:rPr>
              <w:tab/>
            </w:r>
            <w:r w:rsidR="00D21BB1">
              <w:rPr>
                <w:rFonts w:ascii="Arial" w:eastAsiaTheme="minorEastAsia" w:hAnsi="Arial" w:cs="Arial"/>
                <w:b w:val="0"/>
                <w:szCs w:val="24"/>
                <w:lang w:val="en-GB" w:eastAsia="en-GB"/>
              </w:rPr>
              <w:t xml:space="preserve">Exceptions to the Certification Statement Identified in </w:t>
            </w:r>
            <w:r w:rsidR="00201AD4" w:rsidRPr="00A81B0A">
              <w:rPr>
                <w:rStyle w:val="Hyperlink"/>
                <w:rFonts w:ascii="Arial" w:hAnsi="Arial" w:cs="Arial"/>
                <w:b w:val="0"/>
                <w:color w:val="auto"/>
                <w:szCs w:val="24"/>
              </w:rPr>
              <w:t xml:space="preserve"> Item 19</w:t>
            </w:r>
            <w:r w:rsidR="00201AD4" w:rsidRPr="00A81B0A">
              <w:rPr>
                <w:rFonts w:ascii="Arial" w:hAnsi="Arial" w:cs="Arial"/>
                <w:b w:val="0"/>
                <w:webHidden/>
                <w:szCs w:val="24"/>
              </w:rPr>
              <w:tab/>
            </w:r>
            <w:r w:rsidR="00201AD4" w:rsidRPr="00A81B0A">
              <w:rPr>
                <w:rFonts w:ascii="Arial" w:hAnsi="Arial" w:cs="Arial"/>
                <w:b w:val="0"/>
                <w:webHidden/>
                <w:szCs w:val="24"/>
              </w:rPr>
              <w:fldChar w:fldCharType="begin"/>
            </w:r>
            <w:r w:rsidR="00201AD4" w:rsidRPr="00A81B0A">
              <w:rPr>
                <w:rFonts w:ascii="Arial" w:hAnsi="Arial" w:cs="Arial"/>
                <w:b w:val="0"/>
                <w:webHidden/>
                <w:szCs w:val="24"/>
              </w:rPr>
              <w:instrText xml:space="preserve"> PAGEREF _Toc506534150 \h </w:instrText>
            </w:r>
            <w:r w:rsidR="00201AD4" w:rsidRPr="00A81B0A">
              <w:rPr>
                <w:rFonts w:ascii="Arial" w:hAnsi="Arial" w:cs="Arial"/>
                <w:b w:val="0"/>
                <w:webHidden/>
                <w:szCs w:val="24"/>
              </w:rPr>
            </w:r>
            <w:r w:rsidR="00201AD4" w:rsidRPr="00A81B0A">
              <w:rPr>
                <w:rFonts w:ascii="Arial" w:hAnsi="Arial" w:cs="Arial"/>
                <w:b w:val="0"/>
                <w:webHidden/>
                <w:szCs w:val="24"/>
              </w:rPr>
              <w:fldChar w:fldCharType="separate"/>
            </w:r>
            <w:r w:rsidR="001B504D">
              <w:rPr>
                <w:rFonts w:ascii="Arial" w:hAnsi="Arial" w:cs="Arial"/>
                <w:b w:val="0"/>
                <w:webHidden/>
                <w:szCs w:val="24"/>
              </w:rPr>
              <w:t>27</w:t>
            </w:r>
            <w:r w:rsidR="00201AD4" w:rsidRPr="00A81B0A">
              <w:rPr>
                <w:rFonts w:ascii="Arial" w:hAnsi="Arial" w:cs="Arial"/>
                <w:b w:val="0"/>
                <w:webHidden/>
                <w:szCs w:val="24"/>
              </w:rPr>
              <w:fldChar w:fldCharType="end"/>
            </w:r>
          </w:hyperlink>
        </w:p>
        <w:p w14:paraId="15D6FA6E" w14:textId="6CD6EA2F" w:rsidR="00EC6948" w:rsidRPr="00A81B0A" w:rsidRDefault="000A0EC2" w:rsidP="00A81B0A">
          <w:pPr>
            <w:pStyle w:val="TOC1"/>
            <w:spacing w:line="276" w:lineRule="auto"/>
            <w:ind w:left="0" w:firstLine="0"/>
            <w:rPr>
              <w:rFonts w:ascii="Arial" w:hAnsi="Arial" w:cs="Arial"/>
              <w:szCs w:val="24"/>
            </w:rPr>
          </w:pPr>
          <w:r w:rsidRPr="00A81B0A">
            <w:rPr>
              <w:rFonts w:ascii="Arial" w:hAnsi="Arial" w:cs="Arial"/>
              <w:b w:val="0"/>
              <w:bCs/>
              <w:szCs w:val="24"/>
            </w:rPr>
            <w:fldChar w:fldCharType="end"/>
          </w:r>
        </w:p>
      </w:sdtContent>
    </w:sdt>
    <w:p w14:paraId="1B06F6ED" w14:textId="77777777" w:rsidR="00DF34BA" w:rsidRDefault="00DF34BA" w:rsidP="00A81B0A">
      <w:pPr>
        <w:spacing w:after="0" w:line="276" w:lineRule="auto"/>
        <w:rPr>
          <w:rFonts w:ascii="Arial" w:hAnsi="Arial" w:cs="Arial"/>
          <w:b/>
          <w:noProof/>
          <w:sz w:val="24"/>
          <w:szCs w:val="24"/>
        </w:rPr>
      </w:pPr>
      <w:r>
        <w:rPr>
          <w:rFonts w:ascii="Arial" w:hAnsi="Arial" w:cs="Arial"/>
          <w:b/>
          <w:noProof/>
          <w:szCs w:val="24"/>
        </w:rPr>
        <w:br w:type="page"/>
      </w:r>
    </w:p>
    <w:p w14:paraId="0089374B" w14:textId="71D2600E" w:rsidR="00DF34BA" w:rsidRPr="00A81B0A" w:rsidRDefault="00845BA5" w:rsidP="00A81B0A">
      <w:pPr>
        <w:pStyle w:val="BodyText"/>
        <w:spacing w:line="276" w:lineRule="auto"/>
        <w:jc w:val="center"/>
        <w:rPr>
          <w:rFonts w:ascii="Arial" w:hAnsi="Arial" w:cs="Arial"/>
          <w:b/>
          <w:noProof/>
          <w:szCs w:val="24"/>
        </w:rPr>
      </w:pPr>
      <w:r w:rsidRPr="00A81B0A">
        <w:rPr>
          <w:rFonts w:ascii="Arial" w:hAnsi="Arial" w:cs="Arial"/>
          <w:b/>
          <w:noProof/>
          <w:szCs w:val="24"/>
        </w:rPr>
        <w:t>Tables</w:t>
      </w:r>
    </w:p>
    <w:p w14:paraId="4F03F35A" w14:textId="51825B68" w:rsidR="00C72AF0" w:rsidRPr="00C72AF0" w:rsidRDefault="00610C46" w:rsidP="00C72AF0">
      <w:pPr>
        <w:pStyle w:val="TOC1"/>
        <w:spacing w:before="0" w:line="276" w:lineRule="auto"/>
        <w:rPr>
          <w:rStyle w:val="Hyperlink"/>
          <w:rFonts w:ascii="Arial" w:hAnsi="Arial" w:cs="Arial"/>
          <w:color w:val="auto"/>
          <w:szCs w:val="24"/>
        </w:rPr>
      </w:pPr>
      <w:r w:rsidRPr="00A81B0A">
        <w:rPr>
          <w:rFonts w:ascii="Arial" w:hAnsi="Arial" w:cs="Arial"/>
          <w:b w:val="0"/>
          <w:szCs w:val="24"/>
        </w:rPr>
        <w:fldChar w:fldCharType="begin"/>
      </w:r>
      <w:r w:rsidRPr="00A81B0A">
        <w:rPr>
          <w:rFonts w:ascii="Arial" w:hAnsi="Arial" w:cs="Arial"/>
          <w:b w:val="0"/>
          <w:szCs w:val="24"/>
        </w:rPr>
        <w:instrText xml:space="preserve"> TOC \h \z \t "Heading 1,1,Heading 6,1" </w:instrText>
      </w:r>
      <w:r w:rsidRPr="00A81B0A">
        <w:rPr>
          <w:rFonts w:ascii="Arial" w:hAnsi="Arial" w:cs="Arial"/>
          <w:b w:val="0"/>
          <w:szCs w:val="24"/>
        </w:rPr>
        <w:fldChar w:fldCharType="separate"/>
      </w:r>
      <w:hyperlink w:anchor="_Toc518292778" w:history="1">
        <w:r w:rsidR="00C72AF0" w:rsidRPr="00C72AF0">
          <w:rPr>
            <w:rStyle w:val="Hyperlink"/>
            <w:rFonts w:ascii="Arial" w:hAnsi="Arial" w:cs="Arial"/>
            <w:b w:val="0"/>
            <w:color w:val="auto"/>
            <w:szCs w:val="24"/>
          </w:rPr>
          <w:t>Table A-1. Overview of Data Collection Activities</w:t>
        </w:r>
        <w:r w:rsidR="00C72AF0" w:rsidRPr="00C72AF0">
          <w:rPr>
            <w:rStyle w:val="Hyperlink"/>
            <w:rFonts w:ascii="Arial" w:hAnsi="Arial" w:cs="Arial"/>
            <w:b w:val="0"/>
            <w:webHidden/>
            <w:color w:val="auto"/>
            <w:szCs w:val="24"/>
          </w:rPr>
          <w:tab/>
        </w:r>
        <w:r w:rsidR="00C72AF0" w:rsidRPr="00C72AF0">
          <w:rPr>
            <w:rStyle w:val="Hyperlink"/>
            <w:rFonts w:ascii="Arial" w:hAnsi="Arial" w:cs="Arial"/>
            <w:b w:val="0"/>
            <w:webHidden/>
            <w:color w:val="auto"/>
            <w:szCs w:val="24"/>
          </w:rPr>
          <w:fldChar w:fldCharType="begin"/>
        </w:r>
        <w:r w:rsidR="00C72AF0" w:rsidRPr="00C72AF0">
          <w:rPr>
            <w:rStyle w:val="Hyperlink"/>
            <w:rFonts w:ascii="Arial" w:hAnsi="Arial" w:cs="Arial"/>
            <w:b w:val="0"/>
            <w:webHidden/>
            <w:color w:val="auto"/>
            <w:szCs w:val="24"/>
          </w:rPr>
          <w:instrText xml:space="preserve"> PAGEREF _Toc518292778 \h </w:instrText>
        </w:r>
        <w:r w:rsidR="00C72AF0" w:rsidRPr="00C72AF0">
          <w:rPr>
            <w:rStyle w:val="Hyperlink"/>
            <w:rFonts w:ascii="Arial" w:hAnsi="Arial" w:cs="Arial"/>
            <w:b w:val="0"/>
            <w:webHidden/>
            <w:color w:val="auto"/>
            <w:szCs w:val="24"/>
          </w:rPr>
        </w:r>
        <w:r w:rsidR="00C72AF0" w:rsidRPr="00C72AF0">
          <w:rPr>
            <w:rStyle w:val="Hyperlink"/>
            <w:rFonts w:ascii="Arial" w:hAnsi="Arial" w:cs="Arial"/>
            <w:b w:val="0"/>
            <w:webHidden/>
            <w:color w:val="auto"/>
            <w:szCs w:val="24"/>
          </w:rPr>
          <w:fldChar w:fldCharType="separate"/>
        </w:r>
        <w:r w:rsidR="001B504D">
          <w:rPr>
            <w:rStyle w:val="Hyperlink"/>
            <w:rFonts w:ascii="Arial" w:hAnsi="Arial" w:cs="Arial"/>
            <w:b w:val="0"/>
            <w:webHidden/>
            <w:color w:val="auto"/>
            <w:szCs w:val="24"/>
          </w:rPr>
          <w:t>8</w:t>
        </w:r>
        <w:r w:rsidR="00C72AF0" w:rsidRPr="00C72AF0">
          <w:rPr>
            <w:rStyle w:val="Hyperlink"/>
            <w:rFonts w:ascii="Arial" w:hAnsi="Arial" w:cs="Arial"/>
            <w:b w:val="0"/>
            <w:webHidden/>
            <w:color w:val="auto"/>
            <w:szCs w:val="24"/>
          </w:rPr>
          <w:fldChar w:fldCharType="end"/>
        </w:r>
      </w:hyperlink>
    </w:p>
    <w:p w14:paraId="659B9EF5" w14:textId="4F78770E" w:rsidR="00C72AF0" w:rsidRPr="00C72AF0" w:rsidRDefault="00745E27" w:rsidP="00C72AF0">
      <w:pPr>
        <w:pStyle w:val="TOC1"/>
        <w:spacing w:before="0" w:line="276" w:lineRule="auto"/>
        <w:rPr>
          <w:rStyle w:val="Hyperlink"/>
          <w:rFonts w:ascii="Arial" w:hAnsi="Arial" w:cs="Arial"/>
          <w:color w:val="auto"/>
          <w:szCs w:val="24"/>
        </w:rPr>
      </w:pPr>
      <w:hyperlink w:anchor="_Toc518292779" w:history="1">
        <w:r w:rsidR="00C72AF0" w:rsidRPr="00C72AF0">
          <w:rPr>
            <w:rStyle w:val="Hyperlink"/>
            <w:rFonts w:ascii="Arial" w:hAnsi="Arial" w:cs="Arial"/>
            <w:b w:val="0"/>
            <w:color w:val="auto"/>
            <w:szCs w:val="24"/>
          </w:rPr>
          <w:t>Table A-2. External Consultants</w:t>
        </w:r>
        <w:r w:rsidR="00C72AF0" w:rsidRPr="00C72AF0">
          <w:rPr>
            <w:rStyle w:val="Hyperlink"/>
            <w:rFonts w:ascii="Arial" w:hAnsi="Arial" w:cs="Arial"/>
            <w:b w:val="0"/>
            <w:webHidden/>
            <w:color w:val="auto"/>
            <w:szCs w:val="24"/>
          </w:rPr>
          <w:tab/>
        </w:r>
        <w:r w:rsidR="00C72AF0" w:rsidRPr="00C72AF0">
          <w:rPr>
            <w:rStyle w:val="Hyperlink"/>
            <w:rFonts w:ascii="Arial" w:hAnsi="Arial" w:cs="Arial"/>
            <w:b w:val="0"/>
            <w:webHidden/>
            <w:color w:val="auto"/>
            <w:szCs w:val="24"/>
          </w:rPr>
          <w:fldChar w:fldCharType="begin"/>
        </w:r>
        <w:r w:rsidR="00C72AF0" w:rsidRPr="00C72AF0">
          <w:rPr>
            <w:rStyle w:val="Hyperlink"/>
            <w:rFonts w:ascii="Arial" w:hAnsi="Arial" w:cs="Arial"/>
            <w:b w:val="0"/>
            <w:webHidden/>
            <w:color w:val="auto"/>
            <w:szCs w:val="24"/>
          </w:rPr>
          <w:instrText xml:space="preserve"> PAGEREF _Toc518292779 \h </w:instrText>
        </w:r>
        <w:r w:rsidR="00C72AF0" w:rsidRPr="00C72AF0">
          <w:rPr>
            <w:rStyle w:val="Hyperlink"/>
            <w:rFonts w:ascii="Arial" w:hAnsi="Arial" w:cs="Arial"/>
            <w:b w:val="0"/>
            <w:webHidden/>
            <w:color w:val="auto"/>
            <w:szCs w:val="24"/>
          </w:rPr>
        </w:r>
        <w:r w:rsidR="00C72AF0" w:rsidRPr="00C72AF0">
          <w:rPr>
            <w:rStyle w:val="Hyperlink"/>
            <w:rFonts w:ascii="Arial" w:hAnsi="Arial" w:cs="Arial"/>
            <w:b w:val="0"/>
            <w:webHidden/>
            <w:color w:val="auto"/>
            <w:szCs w:val="24"/>
          </w:rPr>
          <w:fldChar w:fldCharType="separate"/>
        </w:r>
        <w:r w:rsidR="001B504D">
          <w:rPr>
            <w:rStyle w:val="Hyperlink"/>
            <w:rFonts w:ascii="Arial" w:hAnsi="Arial" w:cs="Arial"/>
            <w:b w:val="0"/>
            <w:webHidden/>
            <w:color w:val="auto"/>
            <w:szCs w:val="24"/>
          </w:rPr>
          <w:t>17</w:t>
        </w:r>
        <w:r w:rsidR="00C72AF0" w:rsidRPr="00C72AF0">
          <w:rPr>
            <w:rStyle w:val="Hyperlink"/>
            <w:rFonts w:ascii="Arial" w:hAnsi="Arial" w:cs="Arial"/>
            <w:b w:val="0"/>
            <w:webHidden/>
            <w:color w:val="auto"/>
            <w:szCs w:val="24"/>
          </w:rPr>
          <w:fldChar w:fldCharType="end"/>
        </w:r>
      </w:hyperlink>
    </w:p>
    <w:p w14:paraId="1E2DFFFD" w14:textId="47B27AFC" w:rsidR="00C72AF0" w:rsidRPr="00C72AF0" w:rsidRDefault="00745E27" w:rsidP="00C72AF0">
      <w:pPr>
        <w:pStyle w:val="TOC1"/>
        <w:spacing w:before="0" w:line="276" w:lineRule="auto"/>
        <w:rPr>
          <w:rStyle w:val="Hyperlink"/>
          <w:rFonts w:ascii="Arial" w:hAnsi="Arial" w:cs="Arial"/>
          <w:color w:val="auto"/>
          <w:szCs w:val="24"/>
        </w:rPr>
      </w:pPr>
      <w:hyperlink w:anchor="_Toc518292780" w:history="1">
        <w:r w:rsidR="00C72AF0" w:rsidRPr="00C72AF0">
          <w:rPr>
            <w:rStyle w:val="Hyperlink"/>
            <w:rFonts w:ascii="Arial" w:hAnsi="Arial" w:cs="Arial"/>
            <w:b w:val="0"/>
            <w:color w:val="auto"/>
            <w:szCs w:val="24"/>
          </w:rPr>
          <w:t>Table A-3. Farm to School Census and Distributor Interview Reporting Burden</w:t>
        </w:r>
        <w:r w:rsidR="00C72AF0" w:rsidRPr="00C72AF0">
          <w:rPr>
            <w:rStyle w:val="Hyperlink"/>
            <w:rFonts w:ascii="Arial" w:hAnsi="Arial" w:cs="Arial"/>
            <w:b w:val="0"/>
            <w:webHidden/>
            <w:color w:val="auto"/>
            <w:szCs w:val="24"/>
          </w:rPr>
          <w:tab/>
        </w:r>
        <w:r w:rsidR="00C72AF0" w:rsidRPr="00C72AF0">
          <w:rPr>
            <w:rStyle w:val="Hyperlink"/>
            <w:rFonts w:ascii="Arial" w:hAnsi="Arial" w:cs="Arial"/>
            <w:b w:val="0"/>
            <w:webHidden/>
            <w:color w:val="auto"/>
            <w:szCs w:val="24"/>
          </w:rPr>
          <w:fldChar w:fldCharType="begin"/>
        </w:r>
        <w:r w:rsidR="00C72AF0" w:rsidRPr="00C72AF0">
          <w:rPr>
            <w:rStyle w:val="Hyperlink"/>
            <w:rFonts w:ascii="Arial" w:hAnsi="Arial" w:cs="Arial"/>
            <w:b w:val="0"/>
            <w:webHidden/>
            <w:color w:val="auto"/>
            <w:szCs w:val="24"/>
          </w:rPr>
          <w:instrText xml:space="preserve"> PAGEREF _Toc518292780 \h </w:instrText>
        </w:r>
        <w:r w:rsidR="00C72AF0" w:rsidRPr="00C72AF0">
          <w:rPr>
            <w:rStyle w:val="Hyperlink"/>
            <w:rFonts w:ascii="Arial" w:hAnsi="Arial" w:cs="Arial"/>
            <w:b w:val="0"/>
            <w:webHidden/>
            <w:color w:val="auto"/>
            <w:szCs w:val="24"/>
          </w:rPr>
        </w:r>
        <w:r w:rsidR="00C72AF0" w:rsidRPr="00C72AF0">
          <w:rPr>
            <w:rStyle w:val="Hyperlink"/>
            <w:rFonts w:ascii="Arial" w:hAnsi="Arial" w:cs="Arial"/>
            <w:b w:val="0"/>
            <w:webHidden/>
            <w:color w:val="auto"/>
            <w:szCs w:val="24"/>
          </w:rPr>
          <w:fldChar w:fldCharType="separate"/>
        </w:r>
        <w:r w:rsidR="001B504D">
          <w:rPr>
            <w:rStyle w:val="Hyperlink"/>
            <w:rFonts w:ascii="Arial" w:hAnsi="Arial" w:cs="Arial"/>
            <w:b w:val="0"/>
            <w:webHidden/>
            <w:color w:val="auto"/>
            <w:szCs w:val="24"/>
          </w:rPr>
          <w:t>23</w:t>
        </w:r>
        <w:r w:rsidR="00C72AF0" w:rsidRPr="00C72AF0">
          <w:rPr>
            <w:rStyle w:val="Hyperlink"/>
            <w:rFonts w:ascii="Arial" w:hAnsi="Arial" w:cs="Arial"/>
            <w:b w:val="0"/>
            <w:webHidden/>
            <w:color w:val="auto"/>
            <w:szCs w:val="24"/>
          </w:rPr>
          <w:fldChar w:fldCharType="end"/>
        </w:r>
      </w:hyperlink>
    </w:p>
    <w:p w14:paraId="65C23E5C" w14:textId="126E3841" w:rsidR="00C72AF0" w:rsidRPr="00C72AF0" w:rsidRDefault="00745E27" w:rsidP="00C72AF0">
      <w:pPr>
        <w:pStyle w:val="TOC1"/>
        <w:spacing w:before="0" w:line="276" w:lineRule="auto"/>
        <w:rPr>
          <w:rStyle w:val="Hyperlink"/>
          <w:rFonts w:ascii="Arial" w:hAnsi="Arial" w:cs="Arial"/>
          <w:color w:val="auto"/>
          <w:szCs w:val="24"/>
        </w:rPr>
      </w:pPr>
      <w:hyperlink w:anchor="_Toc518292781" w:history="1">
        <w:r w:rsidR="00C72AF0" w:rsidRPr="00C72AF0">
          <w:rPr>
            <w:rStyle w:val="Hyperlink"/>
            <w:rFonts w:ascii="Arial" w:hAnsi="Arial" w:cs="Arial"/>
            <w:b w:val="0"/>
            <w:color w:val="auto"/>
            <w:szCs w:val="24"/>
          </w:rPr>
          <w:t>Table A-4. Reporting Schedule</w:t>
        </w:r>
        <w:r w:rsidR="00C72AF0" w:rsidRPr="00C72AF0">
          <w:rPr>
            <w:rStyle w:val="Hyperlink"/>
            <w:rFonts w:ascii="Arial" w:hAnsi="Arial" w:cs="Arial"/>
            <w:b w:val="0"/>
            <w:webHidden/>
            <w:color w:val="auto"/>
            <w:szCs w:val="24"/>
          </w:rPr>
          <w:tab/>
        </w:r>
        <w:r w:rsidR="00C72AF0" w:rsidRPr="00C72AF0">
          <w:rPr>
            <w:rStyle w:val="Hyperlink"/>
            <w:rFonts w:ascii="Arial" w:hAnsi="Arial" w:cs="Arial"/>
            <w:b w:val="0"/>
            <w:webHidden/>
            <w:color w:val="auto"/>
            <w:szCs w:val="24"/>
          </w:rPr>
          <w:fldChar w:fldCharType="begin"/>
        </w:r>
        <w:r w:rsidR="00C72AF0" w:rsidRPr="00C72AF0">
          <w:rPr>
            <w:rStyle w:val="Hyperlink"/>
            <w:rFonts w:ascii="Arial" w:hAnsi="Arial" w:cs="Arial"/>
            <w:b w:val="0"/>
            <w:webHidden/>
            <w:color w:val="auto"/>
            <w:szCs w:val="24"/>
          </w:rPr>
          <w:instrText xml:space="preserve"> PAGEREF _Toc518292781 \h </w:instrText>
        </w:r>
        <w:r w:rsidR="00C72AF0" w:rsidRPr="00C72AF0">
          <w:rPr>
            <w:rStyle w:val="Hyperlink"/>
            <w:rFonts w:ascii="Arial" w:hAnsi="Arial" w:cs="Arial"/>
            <w:b w:val="0"/>
            <w:webHidden/>
            <w:color w:val="auto"/>
            <w:szCs w:val="24"/>
          </w:rPr>
        </w:r>
        <w:r w:rsidR="00C72AF0" w:rsidRPr="00C72AF0">
          <w:rPr>
            <w:rStyle w:val="Hyperlink"/>
            <w:rFonts w:ascii="Arial" w:hAnsi="Arial" w:cs="Arial"/>
            <w:b w:val="0"/>
            <w:webHidden/>
            <w:color w:val="auto"/>
            <w:szCs w:val="24"/>
          </w:rPr>
          <w:fldChar w:fldCharType="separate"/>
        </w:r>
        <w:r w:rsidR="001B504D">
          <w:rPr>
            <w:rStyle w:val="Hyperlink"/>
            <w:rFonts w:ascii="Arial" w:hAnsi="Arial" w:cs="Arial"/>
            <w:b w:val="0"/>
            <w:webHidden/>
            <w:color w:val="auto"/>
            <w:szCs w:val="24"/>
          </w:rPr>
          <w:t>26</w:t>
        </w:r>
        <w:r w:rsidR="00C72AF0" w:rsidRPr="00C72AF0">
          <w:rPr>
            <w:rStyle w:val="Hyperlink"/>
            <w:rFonts w:ascii="Arial" w:hAnsi="Arial" w:cs="Arial"/>
            <w:b w:val="0"/>
            <w:webHidden/>
            <w:color w:val="auto"/>
            <w:szCs w:val="24"/>
          </w:rPr>
          <w:fldChar w:fldCharType="end"/>
        </w:r>
      </w:hyperlink>
    </w:p>
    <w:p w14:paraId="3322037E" w14:textId="77777777" w:rsidR="00DF34BA" w:rsidRDefault="00610C46" w:rsidP="00C72AF0">
      <w:pPr>
        <w:pStyle w:val="BodyText"/>
        <w:spacing w:line="276" w:lineRule="auto"/>
        <w:jc w:val="center"/>
        <w:rPr>
          <w:rFonts w:ascii="Arial" w:hAnsi="Arial" w:cs="Arial"/>
          <w:szCs w:val="24"/>
        </w:rPr>
      </w:pPr>
      <w:r w:rsidRPr="00A81B0A">
        <w:rPr>
          <w:rFonts w:ascii="Arial" w:hAnsi="Arial" w:cs="Arial"/>
          <w:szCs w:val="24"/>
        </w:rPr>
        <w:fldChar w:fldCharType="end"/>
      </w:r>
    </w:p>
    <w:p w14:paraId="58560D49" w14:textId="3AECBC96" w:rsidR="00744CB1" w:rsidRDefault="00610C46" w:rsidP="00A81B0A">
      <w:pPr>
        <w:pStyle w:val="BodyText"/>
        <w:spacing w:line="276" w:lineRule="auto"/>
        <w:jc w:val="center"/>
        <w:rPr>
          <w:rFonts w:ascii="Arial" w:hAnsi="Arial" w:cs="Arial"/>
          <w:b/>
          <w:noProof/>
          <w:szCs w:val="24"/>
        </w:rPr>
      </w:pPr>
      <w:r w:rsidRPr="00A81B0A">
        <w:rPr>
          <w:rFonts w:ascii="Arial" w:hAnsi="Arial" w:cs="Arial"/>
          <w:b/>
          <w:noProof/>
          <w:szCs w:val="24"/>
        </w:rPr>
        <w:t>Appendices</w:t>
      </w:r>
    </w:p>
    <w:p w14:paraId="270B88BB" w14:textId="77777777" w:rsidR="00DF34BA" w:rsidRPr="00A81B0A" w:rsidRDefault="00DF34BA" w:rsidP="00A81B0A">
      <w:pPr>
        <w:pStyle w:val="BodyText"/>
        <w:spacing w:line="276" w:lineRule="auto"/>
        <w:jc w:val="center"/>
        <w:rPr>
          <w:rFonts w:ascii="Arial" w:hAnsi="Arial" w:cs="Arial"/>
          <w:b/>
          <w:noProof/>
          <w:szCs w:val="24"/>
        </w:rPr>
      </w:pPr>
    </w:p>
    <w:p w14:paraId="4E918523" w14:textId="57207C19" w:rsidR="007F6069" w:rsidRPr="00A81B0A" w:rsidRDefault="007F6069" w:rsidP="00A81B0A">
      <w:pPr>
        <w:tabs>
          <w:tab w:val="left" w:leader="dot" w:pos="9000"/>
        </w:tabs>
        <w:spacing w:after="0" w:line="276" w:lineRule="auto"/>
        <w:rPr>
          <w:rFonts w:ascii="Arial" w:hAnsi="Arial" w:cs="Arial"/>
          <w:sz w:val="24"/>
          <w:szCs w:val="24"/>
        </w:rPr>
      </w:pPr>
      <w:r w:rsidRPr="00A81B0A">
        <w:rPr>
          <w:rFonts w:ascii="Arial" w:hAnsi="Arial" w:cs="Arial"/>
          <w:sz w:val="24"/>
          <w:szCs w:val="24"/>
        </w:rPr>
        <w:t>A. Section 18 of the Richard B. Russell National School Lunch Act</w:t>
      </w:r>
    </w:p>
    <w:p w14:paraId="3FAD5DF1" w14:textId="1445A7FF" w:rsidR="007F6069" w:rsidRPr="00A81B0A" w:rsidRDefault="007F6069" w:rsidP="00A81B0A">
      <w:pPr>
        <w:tabs>
          <w:tab w:val="left" w:leader="dot" w:pos="9000"/>
        </w:tabs>
        <w:spacing w:after="0" w:line="276" w:lineRule="auto"/>
        <w:rPr>
          <w:rFonts w:ascii="Arial" w:hAnsi="Arial" w:cs="Arial"/>
          <w:sz w:val="24"/>
          <w:szCs w:val="24"/>
        </w:rPr>
      </w:pPr>
      <w:r w:rsidRPr="00A81B0A">
        <w:rPr>
          <w:rFonts w:ascii="Arial" w:hAnsi="Arial" w:cs="Arial"/>
          <w:sz w:val="24"/>
          <w:szCs w:val="24"/>
        </w:rPr>
        <w:t>B. Section 305 of the 2010 Healthy Hunger Free Kids Act</w:t>
      </w:r>
      <w:r w:rsidRPr="00A81B0A">
        <w:rPr>
          <w:sz w:val="24"/>
          <w:szCs w:val="24"/>
        </w:rPr>
        <w:t xml:space="preserve"> </w:t>
      </w:r>
    </w:p>
    <w:p w14:paraId="78F9B24D" w14:textId="4F4A9E1A" w:rsidR="007F6069" w:rsidRPr="00A81B0A" w:rsidRDefault="007F6069" w:rsidP="00A81B0A">
      <w:pPr>
        <w:tabs>
          <w:tab w:val="left" w:leader="dot" w:pos="9000"/>
        </w:tabs>
        <w:spacing w:after="0" w:line="276" w:lineRule="auto"/>
        <w:rPr>
          <w:rFonts w:ascii="Arial" w:hAnsi="Arial" w:cs="Arial"/>
          <w:sz w:val="24"/>
          <w:szCs w:val="24"/>
        </w:rPr>
      </w:pPr>
      <w:r w:rsidRPr="00A81B0A">
        <w:rPr>
          <w:rFonts w:ascii="Arial" w:hAnsi="Arial" w:cs="Arial"/>
          <w:sz w:val="24"/>
          <w:szCs w:val="24"/>
        </w:rPr>
        <w:t>C. Distributor Interview Telephone Script</w:t>
      </w:r>
    </w:p>
    <w:p w14:paraId="1E3A2651" w14:textId="2A1EAC86" w:rsidR="007F6069" w:rsidRPr="00A81B0A" w:rsidRDefault="007F6069" w:rsidP="00A81B0A">
      <w:pPr>
        <w:tabs>
          <w:tab w:val="left" w:leader="dot" w:pos="9000"/>
        </w:tabs>
        <w:spacing w:after="0" w:line="276" w:lineRule="auto"/>
        <w:rPr>
          <w:rFonts w:ascii="Arial" w:hAnsi="Arial" w:cs="Arial"/>
          <w:sz w:val="24"/>
          <w:szCs w:val="24"/>
        </w:rPr>
      </w:pPr>
      <w:r w:rsidRPr="00A81B0A">
        <w:rPr>
          <w:rFonts w:ascii="Arial" w:hAnsi="Arial" w:cs="Arial"/>
          <w:sz w:val="24"/>
          <w:szCs w:val="24"/>
        </w:rPr>
        <w:t>D. Census Survey</w:t>
      </w:r>
    </w:p>
    <w:p w14:paraId="37DCAC18" w14:textId="1FD51385" w:rsidR="007F6069" w:rsidRPr="00A81B0A" w:rsidRDefault="007F6069" w:rsidP="00A81B0A">
      <w:pPr>
        <w:tabs>
          <w:tab w:val="left" w:leader="dot" w:pos="9000"/>
        </w:tabs>
        <w:spacing w:after="0" w:line="276" w:lineRule="auto"/>
        <w:rPr>
          <w:rFonts w:ascii="Arial" w:hAnsi="Arial" w:cs="Arial"/>
          <w:sz w:val="24"/>
          <w:szCs w:val="24"/>
        </w:rPr>
      </w:pPr>
      <w:r w:rsidRPr="00A81B0A">
        <w:rPr>
          <w:rFonts w:ascii="Arial" w:hAnsi="Arial" w:cs="Arial"/>
          <w:sz w:val="24"/>
          <w:szCs w:val="24"/>
        </w:rPr>
        <w:t>E. Census Survey</w:t>
      </w:r>
      <w:r w:rsidR="006956AA">
        <w:rPr>
          <w:rFonts w:ascii="Arial" w:hAnsi="Arial" w:cs="Arial"/>
          <w:sz w:val="24"/>
          <w:szCs w:val="24"/>
        </w:rPr>
        <w:t xml:space="preserve"> -</w:t>
      </w:r>
      <w:r w:rsidR="006956AA" w:rsidRPr="00A81B0A">
        <w:rPr>
          <w:rFonts w:ascii="Arial" w:hAnsi="Arial" w:cs="Arial"/>
          <w:sz w:val="24"/>
          <w:szCs w:val="24"/>
        </w:rPr>
        <w:t xml:space="preserve"> </w:t>
      </w:r>
      <w:r w:rsidRPr="00A81B0A">
        <w:rPr>
          <w:rFonts w:ascii="Arial" w:hAnsi="Arial" w:cs="Arial"/>
          <w:sz w:val="24"/>
          <w:szCs w:val="24"/>
        </w:rPr>
        <w:t>Screenshots</w:t>
      </w:r>
    </w:p>
    <w:p w14:paraId="27C2F72D" w14:textId="4C5A8AD1" w:rsidR="007F6069" w:rsidRPr="00A81B0A" w:rsidRDefault="007F6069" w:rsidP="00A81B0A">
      <w:pPr>
        <w:tabs>
          <w:tab w:val="left" w:leader="dot" w:pos="9000"/>
        </w:tabs>
        <w:spacing w:after="0" w:line="276" w:lineRule="auto"/>
        <w:rPr>
          <w:rFonts w:ascii="Arial" w:hAnsi="Arial" w:cs="Arial"/>
          <w:sz w:val="24"/>
          <w:szCs w:val="24"/>
        </w:rPr>
      </w:pPr>
      <w:r w:rsidRPr="00A81B0A">
        <w:rPr>
          <w:rFonts w:ascii="Arial" w:hAnsi="Arial" w:cs="Arial"/>
          <w:sz w:val="24"/>
          <w:szCs w:val="24"/>
        </w:rPr>
        <w:t>F. Distributor Interview Recruitment Email</w:t>
      </w:r>
    </w:p>
    <w:p w14:paraId="7D9146BF" w14:textId="488C41ED" w:rsidR="007F6069" w:rsidRPr="00A81B0A" w:rsidRDefault="007F6069" w:rsidP="00A81B0A">
      <w:pPr>
        <w:tabs>
          <w:tab w:val="left" w:leader="dot" w:pos="9000"/>
        </w:tabs>
        <w:spacing w:after="0" w:line="276" w:lineRule="auto"/>
        <w:rPr>
          <w:rFonts w:ascii="Arial" w:hAnsi="Arial" w:cs="Arial"/>
          <w:sz w:val="24"/>
          <w:szCs w:val="24"/>
        </w:rPr>
      </w:pPr>
      <w:r w:rsidRPr="00A81B0A">
        <w:rPr>
          <w:rFonts w:ascii="Arial" w:hAnsi="Arial" w:cs="Arial"/>
          <w:sz w:val="24"/>
          <w:szCs w:val="24"/>
        </w:rPr>
        <w:t>G. Distributor Interview Frequently Asked Questions (FAQs)</w:t>
      </w:r>
    </w:p>
    <w:p w14:paraId="4953FF94" w14:textId="47C9FE4F" w:rsidR="007F6069" w:rsidRPr="00A81B0A" w:rsidRDefault="007F6069" w:rsidP="00A81B0A">
      <w:pPr>
        <w:tabs>
          <w:tab w:val="left" w:leader="dot" w:pos="9000"/>
        </w:tabs>
        <w:spacing w:after="0" w:line="276" w:lineRule="auto"/>
        <w:rPr>
          <w:rFonts w:ascii="Arial" w:hAnsi="Arial" w:cs="Arial"/>
          <w:sz w:val="24"/>
          <w:szCs w:val="24"/>
        </w:rPr>
      </w:pPr>
      <w:r w:rsidRPr="00A81B0A">
        <w:rPr>
          <w:rFonts w:ascii="Arial" w:hAnsi="Arial" w:cs="Arial"/>
          <w:sz w:val="24"/>
          <w:szCs w:val="24"/>
        </w:rPr>
        <w:t>H. Distributor Interview Scheduling Phone Script</w:t>
      </w:r>
    </w:p>
    <w:p w14:paraId="3680A3B6" w14:textId="2B2DF50B" w:rsidR="007F6069" w:rsidRPr="00A81B0A" w:rsidRDefault="007F6069" w:rsidP="00A81B0A">
      <w:pPr>
        <w:tabs>
          <w:tab w:val="left" w:leader="dot" w:pos="9000"/>
        </w:tabs>
        <w:spacing w:after="0" w:line="276" w:lineRule="auto"/>
        <w:rPr>
          <w:rFonts w:ascii="Arial" w:hAnsi="Arial" w:cs="Arial"/>
          <w:sz w:val="24"/>
          <w:szCs w:val="24"/>
        </w:rPr>
      </w:pPr>
      <w:r w:rsidRPr="00A81B0A">
        <w:rPr>
          <w:rFonts w:ascii="Arial" w:hAnsi="Arial" w:cs="Arial"/>
          <w:sz w:val="24"/>
          <w:szCs w:val="24"/>
        </w:rPr>
        <w:t>I. Distributor Interview Confirmation Email</w:t>
      </w:r>
    </w:p>
    <w:p w14:paraId="001559E2" w14:textId="1D1E6065" w:rsidR="007F6069" w:rsidRPr="00A81B0A" w:rsidRDefault="007F6069" w:rsidP="00A81B0A">
      <w:pPr>
        <w:tabs>
          <w:tab w:val="left" w:leader="dot" w:pos="9000"/>
        </w:tabs>
        <w:spacing w:after="0" w:line="276" w:lineRule="auto"/>
        <w:rPr>
          <w:rFonts w:ascii="Arial" w:hAnsi="Arial" w:cs="Arial"/>
          <w:sz w:val="24"/>
          <w:szCs w:val="24"/>
        </w:rPr>
      </w:pPr>
      <w:r w:rsidRPr="00A81B0A">
        <w:rPr>
          <w:rFonts w:ascii="Arial" w:hAnsi="Arial" w:cs="Arial"/>
          <w:sz w:val="24"/>
          <w:szCs w:val="24"/>
        </w:rPr>
        <w:t>J. Distributor Interview Thank You Email</w:t>
      </w:r>
    </w:p>
    <w:p w14:paraId="4E25E1A2" w14:textId="3164BB6A" w:rsidR="007F6069" w:rsidRPr="00A81B0A" w:rsidRDefault="007F6069" w:rsidP="00A81B0A">
      <w:pPr>
        <w:tabs>
          <w:tab w:val="left" w:leader="dot" w:pos="9000"/>
        </w:tabs>
        <w:spacing w:after="0" w:line="276" w:lineRule="auto"/>
        <w:rPr>
          <w:rFonts w:ascii="Arial" w:hAnsi="Arial" w:cs="Arial"/>
          <w:sz w:val="24"/>
          <w:szCs w:val="24"/>
        </w:rPr>
      </w:pPr>
      <w:r w:rsidRPr="00A81B0A">
        <w:rPr>
          <w:rFonts w:ascii="Arial" w:hAnsi="Arial" w:cs="Arial"/>
          <w:sz w:val="24"/>
          <w:szCs w:val="24"/>
        </w:rPr>
        <w:t>K. Census Recruitment Email from FNS to State Child Nutrition Directors</w:t>
      </w:r>
    </w:p>
    <w:p w14:paraId="1E4DD5FA" w14:textId="60BB47FB" w:rsidR="007F6069" w:rsidRPr="00A81B0A" w:rsidRDefault="007F6069" w:rsidP="00A81B0A">
      <w:pPr>
        <w:tabs>
          <w:tab w:val="left" w:leader="dot" w:pos="9000"/>
        </w:tabs>
        <w:spacing w:after="0" w:line="276" w:lineRule="auto"/>
        <w:rPr>
          <w:rFonts w:ascii="Arial" w:hAnsi="Arial" w:cs="Arial"/>
          <w:sz w:val="24"/>
          <w:szCs w:val="24"/>
        </w:rPr>
      </w:pPr>
      <w:r w:rsidRPr="00A81B0A">
        <w:rPr>
          <w:rFonts w:ascii="Arial" w:hAnsi="Arial" w:cs="Arial"/>
          <w:sz w:val="24"/>
          <w:szCs w:val="24"/>
        </w:rPr>
        <w:t xml:space="preserve">L. Census Recruitment Email from </w:t>
      </w:r>
      <w:r w:rsidR="00690734">
        <w:rPr>
          <w:rFonts w:ascii="Arial" w:hAnsi="Arial" w:cs="Arial"/>
          <w:sz w:val="24"/>
          <w:szCs w:val="24"/>
        </w:rPr>
        <w:t>Study Team</w:t>
      </w:r>
      <w:r w:rsidR="00690734" w:rsidRPr="00A81B0A">
        <w:rPr>
          <w:rFonts w:ascii="Arial" w:hAnsi="Arial" w:cs="Arial"/>
          <w:sz w:val="24"/>
          <w:szCs w:val="24"/>
        </w:rPr>
        <w:t xml:space="preserve"> </w:t>
      </w:r>
      <w:r w:rsidRPr="00A81B0A">
        <w:rPr>
          <w:rFonts w:ascii="Arial" w:hAnsi="Arial" w:cs="Arial"/>
          <w:sz w:val="24"/>
          <w:szCs w:val="24"/>
        </w:rPr>
        <w:t>to State Child Nutrition Directors</w:t>
      </w:r>
    </w:p>
    <w:p w14:paraId="2B169BEF" w14:textId="31C004E2" w:rsidR="007F6069" w:rsidRDefault="007F6069" w:rsidP="00A81B0A">
      <w:pPr>
        <w:tabs>
          <w:tab w:val="left" w:leader="dot" w:pos="9000"/>
        </w:tabs>
        <w:spacing w:after="0" w:line="276" w:lineRule="auto"/>
        <w:rPr>
          <w:rFonts w:ascii="Arial" w:hAnsi="Arial" w:cs="Arial"/>
          <w:sz w:val="24"/>
          <w:szCs w:val="24"/>
        </w:rPr>
      </w:pPr>
      <w:r w:rsidRPr="00A81B0A">
        <w:rPr>
          <w:rFonts w:ascii="Arial" w:hAnsi="Arial" w:cs="Arial"/>
          <w:sz w:val="24"/>
          <w:szCs w:val="24"/>
        </w:rPr>
        <w:t>M</w:t>
      </w:r>
      <w:r w:rsidR="00E61C8E">
        <w:rPr>
          <w:rFonts w:ascii="Arial" w:hAnsi="Arial" w:cs="Arial"/>
          <w:sz w:val="24"/>
          <w:szCs w:val="24"/>
        </w:rPr>
        <w:t>.1</w:t>
      </w:r>
      <w:r w:rsidRPr="00A81B0A">
        <w:rPr>
          <w:rFonts w:ascii="Arial" w:hAnsi="Arial" w:cs="Arial"/>
          <w:sz w:val="24"/>
          <w:szCs w:val="24"/>
        </w:rPr>
        <w:t>. Pre-Census Recruitment Email from State Child Nutrition Directors to SFAs</w:t>
      </w:r>
      <w:r w:rsidR="00E61C8E">
        <w:rPr>
          <w:rFonts w:ascii="Arial" w:hAnsi="Arial" w:cs="Arial"/>
          <w:sz w:val="24"/>
          <w:szCs w:val="24"/>
        </w:rPr>
        <w:t xml:space="preserve"> </w:t>
      </w:r>
      <w:r w:rsidR="00E61C8E" w:rsidRPr="00E61C8E">
        <w:rPr>
          <w:rFonts w:ascii="Arial" w:hAnsi="Arial" w:cs="Arial"/>
          <w:sz w:val="24"/>
          <w:szCs w:val="24"/>
        </w:rPr>
        <w:t>(</w:t>
      </w:r>
      <w:r w:rsidR="00E61C8E">
        <w:rPr>
          <w:rFonts w:ascii="Arial" w:hAnsi="Arial" w:cs="Arial"/>
          <w:sz w:val="24"/>
          <w:szCs w:val="24"/>
        </w:rPr>
        <w:t>Email fr</w:t>
      </w:r>
      <w:r w:rsidR="00E61C8E" w:rsidRPr="00E61C8E">
        <w:rPr>
          <w:rFonts w:ascii="Arial" w:hAnsi="Arial" w:cs="Arial"/>
          <w:sz w:val="24"/>
          <w:szCs w:val="24"/>
        </w:rPr>
        <w:t xml:space="preserve">om </w:t>
      </w:r>
      <w:r w:rsidR="00E61C8E">
        <w:rPr>
          <w:rFonts w:ascii="Arial" w:hAnsi="Arial" w:cs="Arial"/>
          <w:sz w:val="24"/>
          <w:szCs w:val="24"/>
        </w:rPr>
        <w:t>Study Team t</w:t>
      </w:r>
      <w:r w:rsidR="00E61C8E" w:rsidRPr="00E61C8E">
        <w:rPr>
          <w:rFonts w:ascii="Arial" w:hAnsi="Arial" w:cs="Arial"/>
          <w:sz w:val="24"/>
          <w:szCs w:val="24"/>
        </w:rPr>
        <w:t>o State Child Nutrition Directors)</w:t>
      </w:r>
    </w:p>
    <w:p w14:paraId="38413024" w14:textId="3433E414" w:rsidR="00E61C8E" w:rsidRPr="00A81B0A" w:rsidRDefault="00E61C8E" w:rsidP="00A81B0A">
      <w:pPr>
        <w:tabs>
          <w:tab w:val="left" w:leader="dot" w:pos="9000"/>
        </w:tabs>
        <w:spacing w:after="0" w:line="276" w:lineRule="auto"/>
        <w:rPr>
          <w:rFonts w:ascii="Arial" w:hAnsi="Arial" w:cs="Arial"/>
          <w:sz w:val="24"/>
          <w:szCs w:val="24"/>
        </w:rPr>
      </w:pPr>
      <w:r w:rsidRPr="00A81B0A">
        <w:rPr>
          <w:rFonts w:ascii="Arial" w:hAnsi="Arial" w:cs="Arial"/>
          <w:sz w:val="24"/>
          <w:szCs w:val="24"/>
        </w:rPr>
        <w:t>M</w:t>
      </w:r>
      <w:r>
        <w:rPr>
          <w:rFonts w:ascii="Arial" w:hAnsi="Arial" w:cs="Arial"/>
          <w:sz w:val="24"/>
          <w:szCs w:val="24"/>
        </w:rPr>
        <w:t>.2</w:t>
      </w:r>
      <w:r w:rsidRPr="00A81B0A">
        <w:rPr>
          <w:rFonts w:ascii="Arial" w:hAnsi="Arial" w:cs="Arial"/>
          <w:sz w:val="24"/>
          <w:szCs w:val="24"/>
        </w:rPr>
        <w:t>. Pre-Census Recruitment Email from State Child Nutrition Directors to SFAs</w:t>
      </w:r>
      <w:r>
        <w:rPr>
          <w:rFonts w:ascii="Arial" w:hAnsi="Arial" w:cs="Arial"/>
          <w:sz w:val="24"/>
          <w:szCs w:val="24"/>
        </w:rPr>
        <w:t xml:space="preserve"> </w:t>
      </w:r>
      <w:r w:rsidRPr="00E61C8E">
        <w:rPr>
          <w:rFonts w:ascii="Arial" w:hAnsi="Arial" w:cs="Arial"/>
          <w:sz w:val="24"/>
          <w:szCs w:val="24"/>
        </w:rPr>
        <w:t>(</w:t>
      </w:r>
      <w:r>
        <w:rPr>
          <w:rFonts w:ascii="Arial" w:hAnsi="Arial" w:cs="Arial"/>
          <w:sz w:val="24"/>
          <w:szCs w:val="24"/>
        </w:rPr>
        <w:t xml:space="preserve">Template for State Child Nutrition Directors to send </w:t>
      </w:r>
      <w:r w:rsidR="008464AB">
        <w:rPr>
          <w:rFonts w:ascii="Arial" w:hAnsi="Arial" w:cs="Arial"/>
          <w:sz w:val="24"/>
          <w:szCs w:val="24"/>
        </w:rPr>
        <w:t xml:space="preserve">to </w:t>
      </w:r>
      <w:r>
        <w:rPr>
          <w:rFonts w:ascii="Arial" w:hAnsi="Arial" w:cs="Arial"/>
          <w:sz w:val="24"/>
          <w:szCs w:val="24"/>
        </w:rPr>
        <w:t>SFAs</w:t>
      </w:r>
      <w:r w:rsidRPr="00E61C8E">
        <w:rPr>
          <w:rFonts w:ascii="Arial" w:hAnsi="Arial" w:cs="Arial"/>
          <w:sz w:val="24"/>
          <w:szCs w:val="24"/>
        </w:rPr>
        <w:t>)</w:t>
      </w:r>
    </w:p>
    <w:p w14:paraId="1D68D793" w14:textId="45C19F2B" w:rsidR="007F6069" w:rsidRPr="00A81B0A" w:rsidRDefault="007F6069" w:rsidP="00A81B0A">
      <w:pPr>
        <w:tabs>
          <w:tab w:val="left" w:leader="dot" w:pos="9000"/>
        </w:tabs>
        <w:spacing w:after="0" w:line="276" w:lineRule="auto"/>
        <w:rPr>
          <w:rFonts w:ascii="Arial" w:hAnsi="Arial" w:cs="Arial"/>
          <w:sz w:val="24"/>
          <w:szCs w:val="24"/>
        </w:rPr>
      </w:pPr>
      <w:r w:rsidRPr="00A81B0A">
        <w:rPr>
          <w:rFonts w:ascii="Arial" w:hAnsi="Arial" w:cs="Arial"/>
          <w:sz w:val="24"/>
          <w:szCs w:val="24"/>
        </w:rPr>
        <w:t>N</w:t>
      </w:r>
      <w:r w:rsidR="004775DA">
        <w:rPr>
          <w:rFonts w:ascii="Arial" w:hAnsi="Arial" w:cs="Arial"/>
          <w:sz w:val="24"/>
          <w:szCs w:val="24"/>
        </w:rPr>
        <w:t>.1</w:t>
      </w:r>
      <w:r w:rsidRPr="00A81B0A">
        <w:rPr>
          <w:rFonts w:ascii="Arial" w:hAnsi="Arial" w:cs="Arial"/>
          <w:sz w:val="24"/>
          <w:szCs w:val="24"/>
        </w:rPr>
        <w:t>. Census Reminder Emails from State Child Nutrition Directors to SFAs</w:t>
      </w:r>
      <w:r w:rsidR="008464AB">
        <w:rPr>
          <w:rFonts w:ascii="Arial" w:hAnsi="Arial" w:cs="Arial"/>
          <w:sz w:val="24"/>
          <w:szCs w:val="24"/>
        </w:rPr>
        <w:t xml:space="preserve"> (Email from Study Team to State Child Nutrition Directors)</w:t>
      </w:r>
    </w:p>
    <w:p w14:paraId="22A4FF44" w14:textId="77777777" w:rsidR="004775DA" w:rsidRPr="00B9214E" w:rsidRDefault="004775DA" w:rsidP="00B9214E">
      <w:pPr>
        <w:tabs>
          <w:tab w:val="left" w:leader="dot" w:pos="9000"/>
        </w:tabs>
        <w:spacing w:after="0" w:line="276" w:lineRule="auto"/>
        <w:rPr>
          <w:rFonts w:ascii="Arial" w:hAnsi="Arial" w:cs="Arial"/>
          <w:sz w:val="24"/>
          <w:szCs w:val="24"/>
        </w:rPr>
      </w:pPr>
      <w:r w:rsidRPr="00B9214E">
        <w:rPr>
          <w:rFonts w:ascii="Arial" w:hAnsi="Arial" w:cs="Arial"/>
          <w:sz w:val="24"/>
          <w:szCs w:val="24"/>
        </w:rPr>
        <w:t xml:space="preserve">N.2. Census Reminder Emails from State Child Nutrition Directors to SFAs </w:t>
      </w:r>
      <w:r w:rsidRPr="00E61C8E">
        <w:rPr>
          <w:rFonts w:ascii="Arial" w:hAnsi="Arial" w:cs="Arial"/>
          <w:sz w:val="24"/>
          <w:szCs w:val="24"/>
        </w:rPr>
        <w:t>(</w:t>
      </w:r>
      <w:r>
        <w:rPr>
          <w:rFonts w:ascii="Arial" w:hAnsi="Arial" w:cs="Arial"/>
          <w:sz w:val="24"/>
          <w:szCs w:val="24"/>
        </w:rPr>
        <w:t>Template for State Child Nutrition Directors to send SFAs</w:t>
      </w:r>
      <w:r w:rsidRPr="00E61C8E">
        <w:rPr>
          <w:rFonts w:ascii="Arial" w:hAnsi="Arial" w:cs="Arial"/>
          <w:sz w:val="24"/>
          <w:szCs w:val="24"/>
        </w:rPr>
        <w:t>)</w:t>
      </w:r>
    </w:p>
    <w:p w14:paraId="5A22DB46" w14:textId="77777777" w:rsidR="007F6069" w:rsidRPr="00A81B0A" w:rsidRDefault="007F6069" w:rsidP="00A81B0A">
      <w:pPr>
        <w:tabs>
          <w:tab w:val="left" w:leader="dot" w:pos="9000"/>
        </w:tabs>
        <w:spacing w:after="0" w:line="276" w:lineRule="auto"/>
        <w:rPr>
          <w:rFonts w:ascii="Arial" w:hAnsi="Arial" w:cs="Arial"/>
          <w:sz w:val="24"/>
          <w:szCs w:val="24"/>
        </w:rPr>
      </w:pPr>
      <w:r w:rsidRPr="00A81B0A">
        <w:rPr>
          <w:rFonts w:ascii="Arial" w:hAnsi="Arial" w:cs="Arial"/>
          <w:sz w:val="24"/>
          <w:szCs w:val="24"/>
        </w:rPr>
        <w:t>O. Census Recruitment Email from FNS to State Department of Agriculture Directors</w:t>
      </w:r>
      <w:r w:rsidRPr="00A81B0A">
        <w:rPr>
          <w:rFonts w:ascii="Arial" w:hAnsi="Arial" w:cs="Arial"/>
          <w:sz w:val="24"/>
          <w:szCs w:val="24"/>
        </w:rPr>
        <w:tab/>
      </w:r>
    </w:p>
    <w:p w14:paraId="0642E11A" w14:textId="4AC49687" w:rsidR="007F6069" w:rsidRPr="00A81B0A" w:rsidRDefault="007F6069" w:rsidP="00A81B0A">
      <w:pPr>
        <w:tabs>
          <w:tab w:val="left" w:leader="dot" w:pos="9000"/>
        </w:tabs>
        <w:spacing w:after="0" w:line="276" w:lineRule="auto"/>
        <w:rPr>
          <w:rFonts w:ascii="Arial" w:hAnsi="Arial" w:cs="Arial"/>
          <w:sz w:val="24"/>
          <w:szCs w:val="24"/>
        </w:rPr>
      </w:pPr>
      <w:r w:rsidRPr="00A81B0A">
        <w:rPr>
          <w:rFonts w:ascii="Arial" w:hAnsi="Arial" w:cs="Arial"/>
          <w:sz w:val="24"/>
          <w:szCs w:val="24"/>
        </w:rPr>
        <w:t xml:space="preserve">P. Census Invitation and Reminder Emails from </w:t>
      </w:r>
      <w:r w:rsidR="00690734">
        <w:rPr>
          <w:rFonts w:ascii="Arial" w:hAnsi="Arial" w:cs="Arial"/>
          <w:sz w:val="24"/>
          <w:szCs w:val="24"/>
        </w:rPr>
        <w:t>Study Team</w:t>
      </w:r>
      <w:r w:rsidR="00690734" w:rsidRPr="00A81B0A">
        <w:rPr>
          <w:rFonts w:ascii="Arial" w:hAnsi="Arial" w:cs="Arial"/>
          <w:sz w:val="24"/>
          <w:szCs w:val="24"/>
        </w:rPr>
        <w:t xml:space="preserve"> </w:t>
      </w:r>
      <w:r w:rsidRPr="00A81B0A">
        <w:rPr>
          <w:rFonts w:ascii="Arial" w:hAnsi="Arial" w:cs="Arial"/>
          <w:sz w:val="24"/>
          <w:szCs w:val="24"/>
        </w:rPr>
        <w:t>to SFAs</w:t>
      </w:r>
    </w:p>
    <w:p w14:paraId="4EC25FA9" w14:textId="72CF9B92" w:rsidR="007F6069" w:rsidRPr="00A81B0A" w:rsidRDefault="007F6069" w:rsidP="00A81B0A">
      <w:pPr>
        <w:tabs>
          <w:tab w:val="left" w:leader="dot" w:pos="9000"/>
        </w:tabs>
        <w:spacing w:after="0" w:line="276" w:lineRule="auto"/>
        <w:rPr>
          <w:rFonts w:ascii="Arial" w:hAnsi="Arial" w:cs="Arial"/>
          <w:sz w:val="24"/>
          <w:szCs w:val="24"/>
        </w:rPr>
      </w:pPr>
      <w:r w:rsidRPr="00A81B0A">
        <w:rPr>
          <w:rFonts w:ascii="Arial" w:hAnsi="Arial" w:cs="Arial"/>
          <w:sz w:val="24"/>
          <w:szCs w:val="24"/>
        </w:rPr>
        <w:t>Q. Census Frequently Asked Questions (FAQs)</w:t>
      </w:r>
    </w:p>
    <w:p w14:paraId="11DCBF99" w14:textId="21902AC6" w:rsidR="007F6069" w:rsidRPr="00A81B0A" w:rsidRDefault="007F6069" w:rsidP="00A81B0A">
      <w:pPr>
        <w:tabs>
          <w:tab w:val="left" w:leader="dot" w:pos="9000"/>
        </w:tabs>
        <w:spacing w:after="0" w:line="276" w:lineRule="auto"/>
        <w:rPr>
          <w:rFonts w:ascii="Arial" w:hAnsi="Arial" w:cs="Arial"/>
          <w:sz w:val="24"/>
          <w:szCs w:val="24"/>
        </w:rPr>
      </w:pPr>
      <w:r w:rsidRPr="00A81B0A">
        <w:rPr>
          <w:rFonts w:ascii="Arial" w:hAnsi="Arial" w:cs="Arial"/>
          <w:sz w:val="24"/>
          <w:szCs w:val="24"/>
        </w:rPr>
        <w:t xml:space="preserve">R. Census Preparation Worksheet </w:t>
      </w:r>
    </w:p>
    <w:p w14:paraId="5CAF04F5" w14:textId="32C5B5C9" w:rsidR="007F6069" w:rsidRPr="00A81B0A" w:rsidRDefault="007F6069" w:rsidP="00A81B0A">
      <w:pPr>
        <w:tabs>
          <w:tab w:val="left" w:leader="dot" w:pos="9000"/>
        </w:tabs>
        <w:spacing w:after="0" w:line="276" w:lineRule="auto"/>
        <w:rPr>
          <w:rFonts w:ascii="Arial" w:hAnsi="Arial" w:cs="Arial"/>
          <w:sz w:val="24"/>
          <w:szCs w:val="24"/>
        </w:rPr>
      </w:pPr>
      <w:r w:rsidRPr="00A81B0A">
        <w:rPr>
          <w:rFonts w:ascii="Arial" w:hAnsi="Arial" w:cs="Arial"/>
          <w:sz w:val="24"/>
          <w:szCs w:val="24"/>
        </w:rPr>
        <w:t>S. Census Follow-up Telephone Script</w:t>
      </w:r>
    </w:p>
    <w:p w14:paraId="415E0392" w14:textId="65DBC146" w:rsidR="007F6069" w:rsidRPr="00A81B0A" w:rsidRDefault="007F6069" w:rsidP="00A81B0A">
      <w:pPr>
        <w:tabs>
          <w:tab w:val="left" w:leader="dot" w:pos="9000"/>
        </w:tabs>
        <w:spacing w:after="0" w:line="276" w:lineRule="auto"/>
        <w:rPr>
          <w:rFonts w:ascii="Arial" w:hAnsi="Arial" w:cs="Arial"/>
          <w:sz w:val="24"/>
          <w:szCs w:val="24"/>
        </w:rPr>
      </w:pPr>
      <w:r w:rsidRPr="00A81B0A">
        <w:rPr>
          <w:rFonts w:ascii="Arial" w:hAnsi="Arial" w:cs="Arial"/>
          <w:sz w:val="24"/>
          <w:szCs w:val="24"/>
        </w:rPr>
        <w:t>T. Census Thank You Email</w:t>
      </w:r>
    </w:p>
    <w:p w14:paraId="4EBBC657" w14:textId="7F4A9450" w:rsidR="007F6069" w:rsidRDefault="007F6069" w:rsidP="00A81B0A">
      <w:pPr>
        <w:tabs>
          <w:tab w:val="left" w:leader="dot" w:pos="9000"/>
        </w:tabs>
        <w:spacing w:after="0" w:line="276" w:lineRule="auto"/>
        <w:rPr>
          <w:rFonts w:ascii="Arial" w:hAnsi="Arial" w:cs="Arial"/>
          <w:sz w:val="24"/>
          <w:szCs w:val="24"/>
        </w:rPr>
      </w:pPr>
      <w:r w:rsidRPr="00A81B0A">
        <w:rPr>
          <w:rFonts w:ascii="Arial" w:hAnsi="Arial" w:cs="Arial"/>
          <w:sz w:val="24"/>
          <w:szCs w:val="24"/>
        </w:rPr>
        <w:t>U</w:t>
      </w:r>
      <w:r w:rsidR="008464AB">
        <w:rPr>
          <w:rFonts w:ascii="Arial" w:hAnsi="Arial" w:cs="Arial"/>
          <w:sz w:val="24"/>
          <w:szCs w:val="24"/>
        </w:rPr>
        <w:t>1</w:t>
      </w:r>
      <w:r w:rsidRPr="00A81B0A">
        <w:rPr>
          <w:rFonts w:ascii="Arial" w:hAnsi="Arial" w:cs="Arial"/>
          <w:sz w:val="24"/>
          <w:szCs w:val="24"/>
        </w:rPr>
        <w:t>. 60-Day Federal Register Notice Comments Received</w:t>
      </w:r>
      <w:r w:rsidR="008464AB">
        <w:rPr>
          <w:rFonts w:ascii="Arial" w:hAnsi="Arial" w:cs="Arial"/>
          <w:sz w:val="24"/>
          <w:szCs w:val="24"/>
        </w:rPr>
        <w:t xml:space="preserve"> Hanna</w:t>
      </w:r>
    </w:p>
    <w:p w14:paraId="76CB7401" w14:textId="14FE45B7" w:rsidR="008464AB" w:rsidRDefault="008464AB" w:rsidP="00A81B0A">
      <w:pPr>
        <w:tabs>
          <w:tab w:val="left" w:leader="dot" w:pos="9000"/>
        </w:tabs>
        <w:spacing w:after="0" w:line="276" w:lineRule="auto"/>
        <w:rPr>
          <w:rFonts w:ascii="Arial" w:hAnsi="Arial" w:cs="Arial"/>
          <w:sz w:val="24"/>
          <w:szCs w:val="24"/>
        </w:rPr>
      </w:pPr>
      <w:r>
        <w:rPr>
          <w:rFonts w:ascii="Arial" w:hAnsi="Arial" w:cs="Arial"/>
          <w:sz w:val="24"/>
          <w:szCs w:val="24"/>
        </w:rPr>
        <w:t>U2. 60-Day Federal Register Notice Comments Received Frinzell</w:t>
      </w:r>
    </w:p>
    <w:p w14:paraId="6B28BD97" w14:textId="4FD137B0" w:rsidR="008464AB" w:rsidRDefault="008464AB" w:rsidP="00A81B0A">
      <w:pPr>
        <w:tabs>
          <w:tab w:val="left" w:leader="dot" w:pos="9000"/>
        </w:tabs>
        <w:spacing w:after="0" w:line="276" w:lineRule="auto"/>
        <w:rPr>
          <w:rFonts w:ascii="Arial" w:hAnsi="Arial" w:cs="Arial"/>
          <w:sz w:val="24"/>
          <w:szCs w:val="24"/>
        </w:rPr>
      </w:pPr>
      <w:r>
        <w:rPr>
          <w:rFonts w:ascii="Arial" w:hAnsi="Arial" w:cs="Arial"/>
          <w:sz w:val="24"/>
          <w:szCs w:val="24"/>
        </w:rPr>
        <w:t>U3. 60-Day Federal Register Notice Comments Received Herritt</w:t>
      </w:r>
    </w:p>
    <w:p w14:paraId="47F652BF" w14:textId="4D5D8A1C" w:rsidR="008464AB" w:rsidRDefault="008464AB" w:rsidP="00A81B0A">
      <w:pPr>
        <w:tabs>
          <w:tab w:val="left" w:leader="dot" w:pos="9000"/>
        </w:tabs>
        <w:spacing w:after="0" w:line="276" w:lineRule="auto"/>
        <w:rPr>
          <w:rFonts w:ascii="Arial" w:hAnsi="Arial" w:cs="Arial"/>
          <w:sz w:val="24"/>
          <w:szCs w:val="24"/>
        </w:rPr>
      </w:pPr>
      <w:r>
        <w:rPr>
          <w:rFonts w:ascii="Arial" w:hAnsi="Arial" w:cs="Arial"/>
          <w:sz w:val="24"/>
          <w:szCs w:val="24"/>
        </w:rPr>
        <w:t>U4. 60-Day Federal Register Notice Comments Received Jean Public</w:t>
      </w:r>
    </w:p>
    <w:p w14:paraId="73B6F839" w14:textId="07D460AF" w:rsidR="008464AB" w:rsidRDefault="008464AB" w:rsidP="00A81B0A">
      <w:pPr>
        <w:tabs>
          <w:tab w:val="left" w:leader="dot" w:pos="9000"/>
        </w:tabs>
        <w:spacing w:after="0" w:line="276" w:lineRule="auto"/>
        <w:rPr>
          <w:rFonts w:ascii="Arial" w:hAnsi="Arial" w:cs="Arial"/>
          <w:sz w:val="24"/>
          <w:szCs w:val="24"/>
        </w:rPr>
      </w:pPr>
      <w:r>
        <w:rPr>
          <w:rFonts w:ascii="Arial" w:hAnsi="Arial" w:cs="Arial"/>
          <w:sz w:val="24"/>
          <w:szCs w:val="24"/>
        </w:rPr>
        <w:t>U5. 60-Day Federal Register Notice Comments Received Helget</w:t>
      </w:r>
    </w:p>
    <w:p w14:paraId="0DFB96C9" w14:textId="326BCA89" w:rsidR="008464AB" w:rsidRDefault="008464AB" w:rsidP="00A81B0A">
      <w:pPr>
        <w:tabs>
          <w:tab w:val="left" w:leader="dot" w:pos="9000"/>
        </w:tabs>
        <w:spacing w:after="0" w:line="276" w:lineRule="auto"/>
        <w:rPr>
          <w:rFonts w:ascii="Arial" w:hAnsi="Arial" w:cs="Arial"/>
          <w:sz w:val="24"/>
          <w:szCs w:val="24"/>
        </w:rPr>
      </w:pPr>
      <w:r>
        <w:rPr>
          <w:rFonts w:ascii="Arial" w:hAnsi="Arial" w:cs="Arial"/>
          <w:sz w:val="24"/>
          <w:szCs w:val="24"/>
        </w:rPr>
        <w:t xml:space="preserve">U6. 60-Day Federal Register Notice Comments Received </w:t>
      </w:r>
      <w:r w:rsidR="00E853BE">
        <w:rPr>
          <w:rFonts w:ascii="Arial" w:hAnsi="Arial" w:cs="Arial"/>
          <w:sz w:val="24"/>
          <w:szCs w:val="24"/>
        </w:rPr>
        <w:t>Ragalie-Carr</w:t>
      </w:r>
    </w:p>
    <w:p w14:paraId="758CB795" w14:textId="12FA3EAF" w:rsidR="00E853BE" w:rsidRDefault="00E853BE" w:rsidP="00A81B0A">
      <w:pPr>
        <w:tabs>
          <w:tab w:val="left" w:leader="dot" w:pos="9000"/>
        </w:tabs>
        <w:spacing w:after="0" w:line="276" w:lineRule="auto"/>
        <w:rPr>
          <w:rFonts w:ascii="Arial" w:hAnsi="Arial" w:cs="Arial"/>
          <w:sz w:val="24"/>
          <w:szCs w:val="24"/>
        </w:rPr>
      </w:pPr>
      <w:r>
        <w:rPr>
          <w:rFonts w:ascii="Arial" w:hAnsi="Arial" w:cs="Arial"/>
          <w:sz w:val="24"/>
          <w:szCs w:val="24"/>
        </w:rPr>
        <w:t>U7. 60-Day Federal Register Notice Comments Received Fogel</w:t>
      </w:r>
    </w:p>
    <w:p w14:paraId="2543700E" w14:textId="406CEF74" w:rsidR="00E853BE" w:rsidRDefault="00E853BE" w:rsidP="00A81B0A">
      <w:pPr>
        <w:tabs>
          <w:tab w:val="left" w:leader="dot" w:pos="9000"/>
        </w:tabs>
        <w:spacing w:after="0" w:line="276" w:lineRule="auto"/>
        <w:rPr>
          <w:rFonts w:ascii="Arial" w:hAnsi="Arial" w:cs="Arial"/>
          <w:sz w:val="24"/>
          <w:szCs w:val="24"/>
        </w:rPr>
      </w:pPr>
      <w:r>
        <w:rPr>
          <w:rFonts w:ascii="Arial" w:hAnsi="Arial" w:cs="Arial"/>
          <w:sz w:val="24"/>
          <w:szCs w:val="24"/>
        </w:rPr>
        <w:t>U8. 60-Day Federal Register Notice Comments Received Harvey</w:t>
      </w:r>
    </w:p>
    <w:p w14:paraId="272E9092" w14:textId="2E2B1ABF" w:rsidR="00E853BE" w:rsidRPr="00A81B0A" w:rsidRDefault="00E853BE" w:rsidP="00A81B0A">
      <w:pPr>
        <w:tabs>
          <w:tab w:val="left" w:leader="dot" w:pos="9000"/>
        </w:tabs>
        <w:spacing w:after="0" w:line="276" w:lineRule="auto"/>
        <w:rPr>
          <w:rFonts w:ascii="Arial" w:hAnsi="Arial" w:cs="Arial"/>
          <w:sz w:val="24"/>
          <w:szCs w:val="24"/>
        </w:rPr>
      </w:pPr>
      <w:r>
        <w:rPr>
          <w:rFonts w:ascii="Arial" w:hAnsi="Arial" w:cs="Arial"/>
          <w:sz w:val="24"/>
          <w:szCs w:val="24"/>
        </w:rPr>
        <w:t>U9. 60-Day Federal Register Notice Comments Received Herald</w:t>
      </w:r>
    </w:p>
    <w:p w14:paraId="14B4CA54" w14:textId="0A8A2FB1" w:rsidR="007F6069" w:rsidRDefault="007F6069" w:rsidP="00A81B0A">
      <w:pPr>
        <w:tabs>
          <w:tab w:val="left" w:leader="dot" w:pos="9000"/>
        </w:tabs>
        <w:spacing w:after="0" w:line="276" w:lineRule="auto"/>
        <w:rPr>
          <w:rFonts w:ascii="Arial" w:hAnsi="Arial" w:cs="Arial"/>
          <w:sz w:val="24"/>
          <w:szCs w:val="24"/>
        </w:rPr>
      </w:pPr>
      <w:r w:rsidRPr="00A81B0A">
        <w:rPr>
          <w:rFonts w:ascii="Arial" w:hAnsi="Arial" w:cs="Arial"/>
          <w:sz w:val="24"/>
          <w:szCs w:val="24"/>
        </w:rPr>
        <w:t>V</w:t>
      </w:r>
      <w:r w:rsidR="00E853BE">
        <w:rPr>
          <w:rFonts w:ascii="Arial" w:hAnsi="Arial" w:cs="Arial"/>
          <w:sz w:val="24"/>
          <w:szCs w:val="24"/>
        </w:rPr>
        <w:t>1</w:t>
      </w:r>
      <w:r w:rsidRPr="00A81B0A">
        <w:rPr>
          <w:rFonts w:ascii="Arial" w:hAnsi="Arial" w:cs="Arial"/>
          <w:sz w:val="24"/>
          <w:szCs w:val="24"/>
        </w:rPr>
        <w:t>. 60-Day Federal Register Notice</w:t>
      </w:r>
      <w:r w:rsidR="00E853BE">
        <w:rPr>
          <w:rFonts w:ascii="Arial" w:hAnsi="Arial" w:cs="Arial"/>
          <w:sz w:val="24"/>
          <w:szCs w:val="24"/>
        </w:rPr>
        <w:t xml:space="preserve"> </w:t>
      </w:r>
      <w:r w:rsidRPr="00A81B0A">
        <w:rPr>
          <w:rFonts w:ascii="Arial" w:hAnsi="Arial" w:cs="Arial"/>
          <w:sz w:val="24"/>
          <w:szCs w:val="24"/>
        </w:rPr>
        <w:t>Responses to Comments</w:t>
      </w:r>
      <w:r w:rsidR="00E853BE">
        <w:rPr>
          <w:rFonts w:ascii="Arial" w:hAnsi="Arial" w:cs="Arial"/>
          <w:sz w:val="24"/>
          <w:szCs w:val="24"/>
        </w:rPr>
        <w:t xml:space="preserve"> Hanna</w:t>
      </w:r>
    </w:p>
    <w:p w14:paraId="72544701" w14:textId="56FEE69D" w:rsidR="00E853BE" w:rsidRDefault="00E853BE" w:rsidP="00A81B0A">
      <w:pPr>
        <w:tabs>
          <w:tab w:val="left" w:leader="dot" w:pos="9000"/>
        </w:tabs>
        <w:spacing w:after="0" w:line="276" w:lineRule="auto"/>
        <w:rPr>
          <w:rFonts w:ascii="Arial" w:hAnsi="Arial" w:cs="Arial"/>
          <w:sz w:val="24"/>
          <w:szCs w:val="24"/>
        </w:rPr>
      </w:pPr>
      <w:r>
        <w:rPr>
          <w:rFonts w:ascii="Arial" w:hAnsi="Arial" w:cs="Arial"/>
          <w:sz w:val="24"/>
          <w:szCs w:val="24"/>
        </w:rPr>
        <w:t>V2. 60-Day Federal Register Notice Responses to Comments Frinzell</w:t>
      </w:r>
    </w:p>
    <w:p w14:paraId="2634E9ED" w14:textId="35BB228F" w:rsidR="00E853BE" w:rsidRDefault="00E853BE" w:rsidP="00A81B0A">
      <w:pPr>
        <w:tabs>
          <w:tab w:val="left" w:leader="dot" w:pos="9000"/>
        </w:tabs>
        <w:spacing w:after="0" w:line="276" w:lineRule="auto"/>
        <w:rPr>
          <w:rFonts w:ascii="Arial" w:hAnsi="Arial" w:cs="Arial"/>
          <w:sz w:val="24"/>
          <w:szCs w:val="24"/>
        </w:rPr>
      </w:pPr>
      <w:r>
        <w:rPr>
          <w:rFonts w:ascii="Arial" w:hAnsi="Arial" w:cs="Arial"/>
          <w:sz w:val="24"/>
          <w:szCs w:val="24"/>
        </w:rPr>
        <w:t>V3. 60-Day Federal Register Notice Responses to Comments Herritt</w:t>
      </w:r>
    </w:p>
    <w:p w14:paraId="4D364328" w14:textId="07B3E2F5" w:rsidR="00E853BE" w:rsidRDefault="00E853BE" w:rsidP="00A81B0A">
      <w:pPr>
        <w:tabs>
          <w:tab w:val="left" w:leader="dot" w:pos="9000"/>
        </w:tabs>
        <w:spacing w:after="0" w:line="276" w:lineRule="auto"/>
        <w:rPr>
          <w:rFonts w:ascii="Arial" w:hAnsi="Arial" w:cs="Arial"/>
          <w:sz w:val="24"/>
          <w:szCs w:val="24"/>
        </w:rPr>
      </w:pPr>
      <w:r>
        <w:rPr>
          <w:rFonts w:ascii="Arial" w:hAnsi="Arial" w:cs="Arial"/>
          <w:sz w:val="24"/>
          <w:szCs w:val="24"/>
        </w:rPr>
        <w:t>V4. 60-Day Federal Register Notice Responses to Comments Jean Public</w:t>
      </w:r>
    </w:p>
    <w:p w14:paraId="7763F783" w14:textId="36F12059" w:rsidR="00E853BE" w:rsidRDefault="00E853BE" w:rsidP="00A81B0A">
      <w:pPr>
        <w:tabs>
          <w:tab w:val="left" w:leader="dot" w:pos="9000"/>
        </w:tabs>
        <w:spacing w:after="0" w:line="276" w:lineRule="auto"/>
        <w:rPr>
          <w:rFonts w:ascii="Arial" w:hAnsi="Arial" w:cs="Arial"/>
          <w:sz w:val="24"/>
          <w:szCs w:val="24"/>
        </w:rPr>
      </w:pPr>
      <w:r>
        <w:rPr>
          <w:rFonts w:ascii="Arial" w:hAnsi="Arial" w:cs="Arial"/>
          <w:sz w:val="24"/>
          <w:szCs w:val="24"/>
        </w:rPr>
        <w:t>V</w:t>
      </w:r>
      <w:r w:rsidR="00E93403">
        <w:rPr>
          <w:rFonts w:ascii="Arial" w:hAnsi="Arial" w:cs="Arial"/>
          <w:sz w:val="24"/>
          <w:szCs w:val="24"/>
        </w:rPr>
        <w:t>5</w:t>
      </w:r>
      <w:r>
        <w:rPr>
          <w:rFonts w:ascii="Arial" w:hAnsi="Arial" w:cs="Arial"/>
          <w:sz w:val="24"/>
          <w:szCs w:val="24"/>
        </w:rPr>
        <w:t>. 60-Day Federal Register Notice Responses to Comments Ragalie-Carr</w:t>
      </w:r>
    </w:p>
    <w:p w14:paraId="511B5D2B" w14:textId="5B983CF6" w:rsidR="00E853BE" w:rsidRDefault="00E853BE" w:rsidP="00A81B0A">
      <w:pPr>
        <w:tabs>
          <w:tab w:val="left" w:leader="dot" w:pos="9000"/>
        </w:tabs>
        <w:spacing w:after="0" w:line="276" w:lineRule="auto"/>
        <w:rPr>
          <w:rFonts w:ascii="Arial" w:hAnsi="Arial" w:cs="Arial"/>
          <w:sz w:val="24"/>
          <w:szCs w:val="24"/>
        </w:rPr>
      </w:pPr>
      <w:r>
        <w:rPr>
          <w:rFonts w:ascii="Arial" w:hAnsi="Arial" w:cs="Arial"/>
          <w:sz w:val="24"/>
          <w:szCs w:val="24"/>
        </w:rPr>
        <w:t>V</w:t>
      </w:r>
      <w:r w:rsidR="00E93403">
        <w:rPr>
          <w:rFonts w:ascii="Arial" w:hAnsi="Arial" w:cs="Arial"/>
          <w:sz w:val="24"/>
          <w:szCs w:val="24"/>
        </w:rPr>
        <w:t>6</w:t>
      </w:r>
      <w:r>
        <w:rPr>
          <w:rFonts w:ascii="Arial" w:hAnsi="Arial" w:cs="Arial"/>
          <w:sz w:val="24"/>
          <w:szCs w:val="24"/>
        </w:rPr>
        <w:t>. 60-Day Federal Register Notice Responses to Comments Fogel</w:t>
      </w:r>
    </w:p>
    <w:p w14:paraId="11A758B8" w14:textId="71F0251A" w:rsidR="00E853BE" w:rsidRDefault="004F3848" w:rsidP="00A81B0A">
      <w:pPr>
        <w:tabs>
          <w:tab w:val="left" w:leader="dot" w:pos="9000"/>
        </w:tabs>
        <w:spacing w:after="0" w:line="276" w:lineRule="auto"/>
        <w:rPr>
          <w:rFonts w:ascii="Arial" w:hAnsi="Arial" w:cs="Arial"/>
          <w:sz w:val="24"/>
          <w:szCs w:val="24"/>
        </w:rPr>
      </w:pPr>
      <w:r>
        <w:rPr>
          <w:rFonts w:ascii="Arial" w:hAnsi="Arial" w:cs="Arial"/>
          <w:sz w:val="24"/>
          <w:szCs w:val="24"/>
        </w:rPr>
        <w:t>V</w:t>
      </w:r>
      <w:r w:rsidR="00E93403">
        <w:rPr>
          <w:rFonts w:ascii="Arial" w:hAnsi="Arial" w:cs="Arial"/>
          <w:sz w:val="24"/>
          <w:szCs w:val="24"/>
        </w:rPr>
        <w:t>7</w:t>
      </w:r>
      <w:r w:rsidR="00E853BE">
        <w:rPr>
          <w:rFonts w:ascii="Arial" w:hAnsi="Arial" w:cs="Arial"/>
          <w:sz w:val="24"/>
          <w:szCs w:val="24"/>
        </w:rPr>
        <w:t>. 60-Day Federal Register Notice Responses to Comments Harvey</w:t>
      </w:r>
    </w:p>
    <w:p w14:paraId="0204F247" w14:textId="4C64843A" w:rsidR="00E853BE" w:rsidRPr="00A81B0A" w:rsidRDefault="004F3848" w:rsidP="00A81B0A">
      <w:pPr>
        <w:tabs>
          <w:tab w:val="left" w:leader="dot" w:pos="9000"/>
        </w:tabs>
        <w:spacing w:after="0" w:line="276" w:lineRule="auto"/>
        <w:rPr>
          <w:rFonts w:ascii="Arial" w:hAnsi="Arial" w:cs="Arial"/>
          <w:sz w:val="24"/>
          <w:szCs w:val="24"/>
        </w:rPr>
      </w:pPr>
      <w:r>
        <w:rPr>
          <w:rFonts w:ascii="Arial" w:hAnsi="Arial" w:cs="Arial"/>
          <w:sz w:val="24"/>
          <w:szCs w:val="24"/>
        </w:rPr>
        <w:t>V</w:t>
      </w:r>
      <w:r w:rsidR="00E93403">
        <w:rPr>
          <w:rFonts w:ascii="Arial" w:hAnsi="Arial" w:cs="Arial"/>
          <w:sz w:val="24"/>
          <w:szCs w:val="24"/>
        </w:rPr>
        <w:t>8</w:t>
      </w:r>
      <w:r>
        <w:rPr>
          <w:rFonts w:ascii="Arial" w:hAnsi="Arial" w:cs="Arial"/>
          <w:sz w:val="24"/>
          <w:szCs w:val="24"/>
        </w:rPr>
        <w:t>. 60-Day Federal Register Notice Responses to Comments Herald</w:t>
      </w:r>
    </w:p>
    <w:p w14:paraId="69A94D2F" w14:textId="30040E89" w:rsidR="009712FC" w:rsidRDefault="000B36E3" w:rsidP="00A81B0A">
      <w:pPr>
        <w:tabs>
          <w:tab w:val="left" w:leader="dot" w:pos="9000"/>
        </w:tabs>
        <w:spacing w:after="0" w:line="276" w:lineRule="auto"/>
        <w:rPr>
          <w:rFonts w:ascii="Arial" w:hAnsi="Arial" w:cs="Arial"/>
          <w:sz w:val="24"/>
          <w:szCs w:val="24"/>
        </w:rPr>
      </w:pPr>
      <w:r>
        <w:rPr>
          <w:rFonts w:ascii="Arial" w:hAnsi="Arial" w:cs="Arial"/>
          <w:sz w:val="24"/>
          <w:szCs w:val="24"/>
        </w:rPr>
        <w:t xml:space="preserve">W. NASS Comments </w:t>
      </w:r>
    </w:p>
    <w:p w14:paraId="10CD8F51" w14:textId="77D72EFE" w:rsidR="000B36E3" w:rsidRDefault="009712FC" w:rsidP="00A81B0A">
      <w:pPr>
        <w:tabs>
          <w:tab w:val="left" w:leader="dot" w:pos="9000"/>
        </w:tabs>
        <w:spacing w:after="0" w:line="276" w:lineRule="auto"/>
        <w:rPr>
          <w:rFonts w:ascii="Arial" w:hAnsi="Arial" w:cs="Arial"/>
          <w:sz w:val="24"/>
          <w:szCs w:val="24"/>
        </w:rPr>
      </w:pPr>
      <w:r>
        <w:rPr>
          <w:rFonts w:ascii="Arial" w:hAnsi="Arial" w:cs="Arial"/>
          <w:sz w:val="24"/>
          <w:szCs w:val="24"/>
        </w:rPr>
        <w:t xml:space="preserve">X. </w:t>
      </w:r>
      <w:r w:rsidR="000B36E3">
        <w:rPr>
          <w:rFonts w:ascii="Arial" w:hAnsi="Arial" w:cs="Arial"/>
          <w:sz w:val="24"/>
          <w:szCs w:val="24"/>
        </w:rPr>
        <w:t>Responses to NASS Comments</w:t>
      </w:r>
    </w:p>
    <w:p w14:paraId="76C2C05E" w14:textId="26AE7669" w:rsidR="007F6069" w:rsidRPr="00A81B0A" w:rsidRDefault="009712FC" w:rsidP="00A81B0A">
      <w:pPr>
        <w:tabs>
          <w:tab w:val="left" w:leader="dot" w:pos="9000"/>
        </w:tabs>
        <w:spacing w:after="0" w:line="276" w:lineRule="auto"/>
        <w:rPr>
          <w:rFonts w:ascii="Arial" w:hAnsi="Arial" w:cs="Arial"/>
          <w:sz w:val="24"/>
          <w:szCs w:val="24"/>
        </w:rPr>
      </w:pPr>
      <w:r>
        <w:rPr>
          <w:rFonts w:ascii="Arial" w:hAnsi="Arial" w:cs="Arial"/>
          <w:sz w:val="24"/>
          <w:szCs w:val="24"/>
        </w:rPr>
        <w:t>Y</w:t>
      </w:r>
      <w:r w:rsidR="007F6069" w:rsidRPr="00A81B0A">
        <w:rPr>
          <w:rFonts w:ascii="Arial" w:hAnsi="Arial" w:cs="Arial"/>
          <w:sz w:val="24"/>
          <w:szCs w:val="24"/>
        </w:rPr>
        <w:t>. Summary of Pretest Findings and Changes</w:t>
      </w:r>
    </w:p>
    <w:p w14:paraId="285ADDC5" w14:textId="0E016F6B" w:rsidR="007F6069" w:rsidRPr="00A81B0A" w:rsidRDefault="009712FC" w:rsidP="00A81B0A">
      <w:pPr>
        <w:tabs>
          <w:tab w:val="left" w:leader="dot" w:pos="9000"/>
        </w:tabs>
        <w:spacing w:after="0" w:line="276" w:lineRule="auto"/>
        <w:rPr>
          <w:rFonts w:ascii="Arial" w:hAnsi="Arial" w:cs="Arial"/>
          <w:sz w:val="24"/>
          <w:szCs w:val="24"/>
        </w:rPr>
      </w:pPr>
      <w:r>
        <w:rPr>
          <w:rFonts w:ascii="Arial" w:hAnsi="Arial" w:cs="Arial"/>
          <w:sz w:val="24"/>
          <w:szCs w:val="24"/>
        </w:rPr>
        <w:t>Z</w:t>
      </w:r>
      <w:r w:rsidR="007F6069" w:rsidRPr="00A81B0A">
        <w:rPr>
          <w:rFonts w:ascii="Arial" w:hAnsi="Arial" w:cs="Arial"/>
          <w:sz w:val="24"/>
          <w:szCs w:val="24"/>
        </w:rPr>
        <w:t>. Federal-Wide Assurance (FWA) Certificate</w:t>
      </w:r>
    </w:p>
    <w:p w14:paraId="40FA9FB7" w14:textId="681C041B" w:rsidR="007F6069" w:rsidRPr="00A81B0A" w:rsidRDefault="009712FC" w:rsidP="00A81B0A">
      <w:pPr>
        <w:tabs>
          <w:tab w:val="left" w:leader="dot" w:pos="9000"/>
        </w:tabs>
        <w:spacing w:after="0" w:line="276" w:lineRule="auto"/>
        <w:rPr>
          <w:rFonts w:ascii="Arial" w:hAnsi="Arial" w:cs="Arial"/>
          <w:sz w:val="24"/>
          <w:szCs w:val="24"/>
        </w:rPr>
      </w:pPr>
      <w:r>
        <w:rPr>
          <w:rFonts w:ascii="Arial" w:hAnsi="Arial" w:cs="Arial"/>
          <w:sz w:val="24"/>
          <w:szCs w:val="24"/>
        </w:rPr>
        <w:t>AA</w:t>
      </w:r>
      <w:r w:rsidR="007F6069" w:rsidRPr="00A81B0A">
        <w:rPr>
          <w:rFonts w:ascii="Arial" w:hAnsi="Arial" w:cs="Arial"/>
          <w:sz w:val="24"/>
          <w:szCs w:val="24"/>
        </w:rPr>
        <w:t xml:space="preserve">. Confidentiality Agreement </w:t>
      </w:r>
    </w:p>
    <w:p w14:paraId="31BEE733" w14:textId="15D66E68" w:rsidR="00BF64C1" w:rsidRDefault="000B36E3" w:rsidP="000B36E3">
      <w:pPr>
        <w:tabs>
          <w:tab w:val="left" w:leader="dot" w:pos="9000"/>
        </w:tabs>
        <w:spacing w:after="0" w:line="276" w:lineRule="auto"/>
        <w:rPr>
          <w:rFonts w:ascii="Arial" w:hAnsi="Arial" w:cs="Arial"/>
          <w:sz w:val="24"/>
          <w:szCs w:val="24"/>
        </w:rPr>
      </w:pPr>
      <w:r w:rsidRPr="000B36E3">
        <w:rPr>
          <w:rFonts w:ascii="Arial" w:hAnsi="Arial" w:cs="Arial"/>
          <w:sz w:val="24"/>
          <w:szCs w:val="24"/>
        </w:rPr>
        <w:t>A</w:t>
      </w:r>
      <w:r w:rsidR="009712FC">
        <w:rPr>
          <w:rFonts w:ascii="Arial" w:hAnsi="Arial" w:cs="Arial"/>
          <w:sz w:val="24"/>
          <w:szCs w:val="24"/>
        </w:rPr>
        <w:t>B</w:t>
      </w:r>
      <w:r w:rsidRPr="000B36E3">
        <w:rPr>
          <w:rFonts w:ascii="Arial" w:hAnsi="Arial" w:cs="Arial"/>
          <w:sz w:val="24"/>
          <w:szCs w:val="24"/>
        </w:rPr>
        <w:t>. Estimate</w:t>
      </w:r>
      <w:r w:rsidR="002F591D">
        <w:rPr>
          <w:rFonts w:ascii="Arial" w:hAnsi="Arial" w:cs="Arial"/>
          <w:sz w:val="24"/>
          <w:szCs w:val="24"/>
        </w:rPr>
        <w:t>s</w:t>
      </w:r>
      <w:r w:rsidRPr="000B36E3">
        <w:rPr>
          <w:rFonts w:ascii="Arial" w:hAnsi="Arial" w:cs="Arial"/>
          <w:sz w:val="24"/>
          <w:szCs w:val="24"/>
        </w:rPr>
        <w:t xml:space="preserve"> of Respondent Burden</w:t>
      </w:r>
    </w:p>
    <w:p w14:paraId="37AFBB14" w14:textId="6BA8C6AE" w:rsidR="00AE453D" w:rsidRPr="000B36E3" w:rsidRDefault="00AE453D" w:rsidP="000B36E3">
      <w:pPr>
        <w:tabs>
          <w:tab w:val="left" w:leader="dot" w:pos="9000"/>
        </w:tabs>
        <w:spacing w:after="0" w:line="276" w:lineRule="auto"/>
        <w:rPr>
          <w:rFonts w:ascii="Arial" w:hAnsi="Arial" w:cs="Arial"/>
          <w:sz w:val="24"/>
          <w:szCs w:val="24"/>
        </w:rPr>
      </w:pPr>
      <w:r>
        <w:rPr>
          <w:rFonts w:ascii="Arial" w:hAnsi="Arial" w:cs="Arial"/>
          <w:sz w:val="24"/>
          <w:szCs w:val="24"/>
        </w:rPr>
        <w:t>AC. IRB Exemption Certificate</w:t>
      </w:r>
    </w:p>
    <w:p w14:paraId="3319F16A" w14:textId="77777777" w:rsidR="007F11E3" w:rsidRPr="00406CAA" w:rsidRDefault="00D3419A" w:rsidP="00E93403">
      <w:pPr>
        <w:tabs>
          <w:tab w:val="left" w:leader="dot" w:pos="9000"/>
        </w:tabs>
        <w:spacing w:after="0" w:line="276" w:lineRule="auto"/>
        <w:rPr>
          <w:rFonts w:ascii="Arial" w:hAnsi="Arial" w:cs="Arial"/>
          <w:sz w:val="24"/>
          <w:szCs w:val="24"/>
        </w:rPr>
        <w:sectPr w:rsidR="007F11E3" w:rsidRPr="00406CAA" w:rsidSect="00B9214E">
          <w:headerReference w:type="default" r:id="rId13"/>
          <w:footerReference w:type="default" r:id="rId14"/>
          <w:footnotePr>
            <w:numFmt w:val="lowerLetter"/>
          </w:footnotePr>
          <w:endnotePr>
            <w:numFmt w:val="lowerLetter"/>
          </w:endnotePr>
          <w:pgSz w:w="12240" w:h="15840" w:code="1"/>
          <w:pgMar w:top="1440" w:right="1440" w:bottom="1440" w:left="1440" w:header="1440" w:footer="547" w:gutter="0"/>
          <w:cols w:space="720"/>
          <w:docGrid w:linePitch="326"/>
        </w:sectPr>
      </w:pPr>
      <w:r w:rsidRPr="00406CAA">
        <w:rPr>
          <w:rFonts w:ascii="Arial" w:hAnsi="Arial" w:cs="Arial"/>
          <w:sz w:val="24"/>
          <w:szCs w:val="24"/>
        </w:rPr>
        <w:t xml:space="preserve">AD. Summary of Data Collection Activities </w:t>
      </w:r>
    </w:p>
    <w:p w14:paraId="0CF5256D" w14:textId="4FD9AD30" w:rsidR="0089243C" w:rsidRPr="00A81B0A" w:rsidRDefault="0089243C" w:rsidP="002F5995">
      <w:pPr>
        <w:pStyle w:val="BodyText"/>
        <w:numPr>
          <w:ilvl w:val="0"/>
          <w:numId w:val="29"/>
        </w:numPr>
        <w:ind w:left="360"/>
        <w:rPr>
          <w:rFonts w:ascii="Arial" w:hAnsi="Arial" w:cs="Arial"/>
          <w:b/>
          <w:szCs w:val="24"/>
        </w:rPr>
      </w:pPr>
      <w:r w:rsidRPr="00A81B0A">
        <w:rPr>
          <w:rFonts w:ascii="Arial" w:hAnsi="Arial" w:cs="Arial"/>
          <w:b/>
          <w:szCs w:val="24"/>
        </w:rPr>
        <w:t>JUSTIFICATION</w:t>
      </w:r>
    </w:p>
    <w:p w14:paraId="218EA70D" w14:textId="27480911" w:rsidR="004A0F2B" w:rsidRPr="00A81B0A" w:rsidRDefault="004A0F2B" w:rsidP="009A2B24">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outlineLvl w:val="0"/>
        <w:rPr>
          <w:rFonts w:ascii="Arial" w:hAnsi="Arial"/>
          <w:b/>
          <w:sz w:val="24"/>
          <w:szCs w:val="24"/>
        </w:rPr>
      </w:pPr>
      <w:bookmarkStart w:id="1" w:name="_Toc506534081"/>
      <w:bookmarkStart w:id="2" w:name="_Toc506534133"/>
      <w:r w:rsidRPr="00A81B0A">
        <w:rPr>
          <w:rFonts w:ascii="Arial" w:hAnsi="Arial"/>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1"/>
      <w:bookmarkEnd w:id="2"/>
    </w:p>
    <w:p w14:paraId="1FDA068F" w14:textId="4BF9AB4F" w:rsidR="00E81206" w:rsidRPr="00A81B0A" w:rsidRDefault="00E81206" w:rsidP="00A81B0A">
      <w:pPr>
        <w:pStyle w:val="BodyText"/>
        <w:rPr>
          <w:szCs w:val="24"/>
        </w:rPr>
      </w:pPr>
      <w:r w:rsidRPr="00A81B0A">
        <w:rPr>
          <w:b/>
          <w:i/>
          <w:szCs w:val="24"/>
        </w:rPr>
        <w:t>Introduction:</w:t>
      </w:r>
      <w:r w:rsidR="00DF34BA">
        <w:rPr>
          <w:szCs w:val="24"/>
        </w:rPr>
        <w:t xml:space="preserve"> </w:t>
      </w:r>
      <w:r w:rsidR="00856B4D" w:rsidRPr="00A81B0A">
        <w:rPr>
          <w:szCs w:val="24"/>
        </w:rPr>
        <w:t xml:space="preserve">The intended purpose of this information collection is to create a Comprehensive Farm to School Report that will </w:t>
      </w:r>
      <w:r w:rsidR="00495DDB">
        <w:rPr>
          <w:szCs w:val="24"/>
        </w:rPr>
        <w:t>include</w:t>
      </w:r>
      <w:r w:rsidR="00495DDB" w:rsidRPr="00A81B0A">
        <w:rPr>
          <w:szCs w:val="24"/>
        </w:rPr>
        <w:t xml:space="preserve"> </w:t>
      </w:r>
      <w:r w:rsidR="00856B4D" w:rsidRPr="00A81B0A">
        <w:rPr>
          <w:szCs w:val="24"/>
        </w:rPr>
        <w:t xml:space="preserve">a cumulative assessment of the scope, accomplishments, and potential of </w:t>
      </w:r>
      <w:r w:rsidR="002E26E5" w:rsidRPr="00A81B0A">
        <w:rPr>
          <w:szCs w:val="24"/>
        </w:rPr>
        <w:t>the farm to school activities of the United States Department of Agriculture (USDA) Food and Nutrition Service (FNS)</w:t>
      </w:r>
      <w:r w:rsidR="00856B4D" w:rsidRPr="00A81B0A">
        <w:rPr>
          <w:szCs w:val="24"/>
        </w:rPr>
        <w:t>.</w:t>
      </w:r>
      <w:r w:rsidR="00F65655" w:rsidRPr="00A81B0A">
        <w:rPr>
          <w:szCs w:val="24"/>
        </w:rPr>
        <w:t xml:space="preserve"> </w:t>
      </w:r>
      <w:r w:rsidR="00856B4D" w:rsidRPr="00A81B0A">
        <w:rPr>
          <w:szCs w:val="24"/>
        </w:rPr>
        <w:t xml:space="preserve">The results of this study </w:t>
      </w:r>
      <w:r w:rsidR="006956AA">
        <w:rPr>
          <w:szCs w:val="24"/>
        </w:rPr>
        <w:t>will be used</w:t>
      </w:r>
      <w:r w:rsidR="006956AA" w:rsidRPr="00A81B0A">
        <w:rPr>
          <w:szCs w:val="24"/>
        </w:rPr>
        <w:t xml:space="preserve"> </w:t>
      </w:r>
      <w:r w:rsidR="00856B4D" w:rsidRPr="00A81B0A">
        <w:rPr>
          <w:szCs w:val="24"/>
        </w:rPr>
        <w:t xml:space="preserve">to improve the methods and tools used by </w:t>
      </w:r>
      <w:r w:rsidR="00F65655" w:rsidRPr="00A81B0A">
        <w:rPr>
          <w:szCs w:val="24"/>
        </w:rPr>
        <w:t xml:space="preserve">the USDA </w:t>
      </w:r>
      <w:r w:rsidR="002E26E5" w:rsidRPr="00A81B0A">
        <w:rPr>
          <w:szCs w:val="24"/>
        </w:rPr>
        <w:t>FNS</w:t>
      </w:r>
      <w:r w:rsidR="00F65655" w:rsidRPr="00A81B0A">
        <w:rPr>
          <w:szCs w:val="24"/>
        </w:rPr>
        <w:t xml:space="preserve"> </w:t>
      </w:r>
      <w:r w:rsidR="00856B4D" w:rsidRPr="00A81B0A">
        <w:rPr>
          <w:szCs w:val="24"/>
        </w:rPr>
        <w:t xml:space="preserve">to describe the impact and benefits of </w:t>
      </w:r>
      <w:r w:rsidR="002E26E5" w:rsidRPr="00A81B0A">
        <w:rPr>
          <w:szCs w:val="24"/>
        </w:rPr>
        <w:t>various</w:t>
      </w:r>
      <w:r w:rsidR="00856B4D" w:rsidRPr="00A81B0A">
        <w:rPr>
          <w:szCs w:val="24"/>
        </w:rPr>
        <w:t xml:space="preserve"> farm to school activities administered by grantees, schools, </w:t>
      </w:r>
      <w:r w:rsidR="006956AA">
        <w:rPr>
          <w:szCs w:val="24"/>
        </w:rPr>
        <w:t>s</w:t>
      </w:r>
      <w:r w:rsidR="006956AA" w:rsidRPr="00A81B0A">
        <w:rPr>
          <w:szCs w:val="24"/>
        </w:rPr>
        <w:t xml:space="preserve">chool </w:t>
      </w:r>
      <w:r w:rsidR="006956AA">
        <w:rPr>
          <w:szCs w:val="24"/>
        </w:rPr>
        <w:t>f</w:t>
      </w:r>
      <w:r w:rsidR="006956AA" w:rsidRPr="00A81B0A">
        <w:rPr>
          <w:szCs w:val="24"/>
        </w:rPr>
        <w:t xml:space="preserve">ood </w:t>
      </w:r>
      <w:r w:rsidR="006956AA">
        <w:rPr>
          <w:szCs w:val="24"/>
        </w:rPr>
        <w:t>a</w:t>
      </w:r>
      <w:r w:rsidR="006956AA" w:rsidRPr="00A81B0A">
        <w:rPr>
          <w:szCs w:val="24"/>
        </w:rPr>
        <w:t xml:space="preserve">uthorities </w:t>
      </w:r>
      <w:r w:rsidR="00856B4D" w:rsidRPr="00A81B0A">
        <w:rPr>
          <w:szCs w:val="24"/>
        </w:rPr>
        <w:t xml:space="preserve">(SFAs), and other stakeholders. Ultimately, the study will produce a first-of-its-kind report—a comprehensive assessment of farm to school from 2010 to 2020. </w:t>
      </w:r>
      <w:r w:rsidR="002E26E5" w:rsidRPr="00A81B0A">
        <w:rPr>
          <w:szCs w:val="24"/>
        </w:rPr>
        <w:t xml:space="preserve">Specifically, this report will: </w:t>
      </w:r>
      <w:r w:rsidR="00593B91" w:rsidRPr="00A81B0A">
        <w:rPr>
          <w:szCs w:val="24"/>
        </w:rPr>
        <w:t>(</w:t>
      </w:r>
      <w:r w:rsidR="002E26E5" w:rsidRPr="00A81B0A">
        <w:rPr>
          <w:szCs w:val="24"/>
        </w:rPr>
        <w:t xml:space="preserve">1) identify and describe the economic contribution of farm to school across various geographies by examining the procurement process; </w:t>
      </w:r>
      <w:r w:rsidR="00593B91" w:rsidRPr="00A81B0A">
        <w:rPr>
          <w:szCs w:val="24"/>
        </w:rPr>
        <w:t>(</w:t>
      </w:r>
      <w:r w:rsidR="002E26E5" w:rsidRPr="00A81B0A">
        <w:rPr>
          <w:szCs w:val="24"/>
        </w:rPr>
        <w:t xml:space="preserve">2) assess the impacts of farm to school efforts on food growing, serving, and purchasing at the SFA level; </w:t>
      </w:r>
      <w:r w:rsidR="00593B91" w:rsidRPr="00A81B0A">
        <w:rPr>
          <w:szCs w:val="24"/>
        </w:rPr>
        <w:t>(</w:t>
      </w:r>
      <w:r w:rsidR="002E26E5" w:rsidRPr="00A81B0A">
        <w:rPr>
          <w:szCs w:val="24"/>
        </w:rPr>
        <w:t xml:space="preserve">3) identify and describe how farm to school programs and activities have impacted changes in policy, systems, or structure; </w:t>
      </w:r>
      <w:r w:rsidR="00593B91" w:rsidRPr="00A81B0A">
        <w:rPr>
          <w:szCs w:val="24"/>
        </w:rPr>
        <w:t>(</w:t>
      </w:r>
      <w:r w:rsidR="002E26E5" w:rsidRPr="00A81B0A">
        <w:rPr>
          <w:szCs w:val="24"/>
        </w:rPr>
        <w:t xml:space="preserve">4) assess the current reporting mechanisms and reporting content, alongside recommendations for improvement, to understand the Farm to School grantee evaluation efforts, and; </w:t>
      </w:r>
      <w:r w:rsidR="00593B91" w:rsidRPr="00A81B0A">
        <w:rPr>
          <w:szCs w:val="24"/>
        </w:rPr>
        <w:t>(</w:t>
      </w:r>
      <w:r w:rsidR="002E26E5" w:rsidRPr="00A81B0A">
        <w:rPr>
          <w:szCs w:val="24"/>
        </w:rPr>
        <w:t xml:space="preserve">5) analyze and describe the outcomes and impacts attributable to the Farm to School Grant program in the current year and cumulatively. </w:t>
      </w:r>
    </w:p>
    <w:p w14:paraId="55679AA9" w14:textId="3B600A97" w:rsidR="00E94380" w:rsidRPr="00A81B0A" w:rsidRDefault="00BC20BA" w:rsidP="00431E77">
      <w:pPr>
        <w:pStyle w:val="BodyText"/>
        <w:rPr>
          <w:szCs w:val="24"/>
        </w:rPr>
      </w:pPr>
      <w:r w:rsidRPr="00A81B0A">
        <w:rPr>
          <w:b/>
          <w:i/>
          <w:szCs w:val="24"/>
        </w:rPr>
        <w:t xml:space="preserve">Study Background: </w:t>
      </w:r>
      <w:r w:rsidR="00151210" w:rsidRPr="00A81B0A">
        <w:rPr>
          <w:szCs w:val="24"/>
        </w:rPr>
        <w:t xml:space="preserve">Section 18 of the Richard B. Russell National School Lunch Act </w:t>
      </w:r>
      <w:r w:rsidR="00A63AA7" w:rsidRPr="00A81B0A">
        <w:rPr>
          <w:szCs w:val="24"/>
        </w:rPr>
        <w:t>(</w:t>
      </w:r>
      <w:r w:rsidR="00057F5D">
        <w:rPr>
          <w:szCs w:val="24"/>
        </w:rPr>
        <w:t xml:space="preserve">NSLA; </w:t>
      </w:r>
      <w:r w:rsidR="00A63AA7" w:rsidRPr="00A81B0A">
        <w:rPr>
          <w:szCs w:val="24"/>
        </w:rPr>
        <w:t xml:space="preserve">see </w:t>
      </w:r>
      <w:r w:rsidR="00EA13BB" w:rsidRPr="00A81B0A">
        <w:rPr>
          <w:szCs w:val="24"/>
        </w:rPr>
        <w:t>Appendix</w:t>
      </w:r>
      <w:r w:rsidR="00A63AA7" w:rsidRPr="00A81B0A">
        <w:rPr>
          <w:szCs w:val="24"/>
        </w:rPr>
        <w:t xml:space="preserve"> </w:t>
      </w:r>
      <w:r w:rsidR="00744CB1" w:rsidRPr="00A81B0A">
        <w:rPr>
          <w:szCs w:val="24"/>
        </w:rPr>
        <w:t>A</w:t>
      </w:r>
      <w:r w:rsidR="00A63AA7" w:rsidRPr="00A81B0A">
        <w:rPr>
          <w:szCs w:val="24"/>
        </w:rPr>
        <w:t>)</w:t>
      </w:r>
      <w:r w:rsidR="0050221A">
        <w:rPr>
          <w:rStyle w:val="FootnoteReference"/>
          <w:szCs w:val="24"/>
        </w:rPr>
        <w:footnoteReference w:id="2"/>
      </w:r>
      <w:r w:rsidR="00A63AA7" w:rsidRPr="00A81B0A">
        <w:rPr>
          <w:szCs w:val="24"/>
        </w:rPr>
        <w:t xml:space="preserve"> </w:t>
      </w:r>
      <w:r w:rsidR="00151210" w:rsidRPr="00A81B0A">
        <w:rPr>
          <w:szCs w:val="24"/>
        </w:rPr>
        <w:t>authorized and funded USDA to establish a farm to school program in order to assist eligible entities</w:t>
      </w:r>
      <w:r w:rsidR="00AA4DD4" w:rsidRPr="00A81B0A">
        <w:rPr>
          <w:szCs w:val="24"/>
        </w:rPr>
        <w:t>,</w:t>
      </w:r>
      <w:r w:rsidR="00151210" w:rsidRPr="00A81B0A">
        <w:rPr>
          <w:szCs w:val="24"/>
        </w:rPr>
        <w:t xml:space="preserve"> through grants and technical assistance, in implementing farm to school programs that improve access to local foods in schools. This work is housed within the </w:t>
      </w:r>
      <w:r w:rsidR="00E83970" w:rsidRPr="00A81B0A">
        <w:rPr>
          <w:szCs w:val="24"/>
        </w:rPr>
        <w:t xml:space="preserve">USDA </w:t>
      </w:r>
      <w:r w:rsidR="00151210" w:rsidRPr="00A81B0A">
        <w:rPr>
          <w:szCs w:val="24"/>
        </w:rPr>
        <w:t>FNS Office of Community Food Systems (OCFS).</w:t>
      </w:r>
      <w:r w:rsidR="00E37554" w:rsidRPr="00A81B0A">
        <w:rPr>
          <w:szCs w:val="24"/>
        </w:rPr>
        <w:t xml:space="preserve"> </w:t>
      </w:r>
      <w:r w:rsidR="00E94380" w:rsidRPr="00A81B0A">
        <w:rPr>
          <w:szCs w:val="24"/>
        </w:rPr>
        <w:t>In an effort to measure progress towards increasing the availability of local foods in schools, the OCFS conducted a nationwide</w:t>
      </w:r>
      <w:r w:rsidR="006118C2" w:rsidRPr="00A81B0A">
        <w:rPr>
          <w:szCs w:val="24"/>
        </w:rPr>
        <w:t xml:space="preserve"> Farm to School Census </w:t>
      </w:r>
      <w:r w:rsidR="00E94380" w:rsidRPr="00A81B0A">
        <w:rPr>
          <w:szCs w:val="24"/>
        </w:rPr>
        <w:t xml:space="preserve">in 2013 </w:t>
      </w:r>
      <w:r w:rsidR="00856B4D" w:rsidRPr="00A81B0A">
        <w:rPr>
          <w:szCs w:val="24"/>
        </w:rPr>
        <w:t>(OMB Control No. 0536-0069</w:t>
      </w:r>
      <w:r w:rsidR="00396A20" w:rsidRPr="00A81B0A">
        <w:rPr>
          <w:szCs w:val="24"/>
        </w:rPr>
        <w:t xml:space="preserve">, expiration date </w:t>
      </w:r>
      <w:r w:rsidR="003C3DEE" w:rsidRPr="00A81B0A">
        <w:rPr>
          <w:szCs w:val="24"/>
        </w:rPr>
        <w:t>2/29/2016</w:t>
      </w:r>
      <w:r w:rsidR="0050221A">
        <w:rPr>
          <w:szCs w:val="24"/>
        </w:rPr>
        <w:t>, led by the USDA Economic Research Service</w:t>
      </w:r>
      <w:r w:rsidR="00856B4D" w:rsidRPr="00A81B0A">
        <w:rPr>
          <w:szCs w:val="24"/>
        </w:rPr>
        <w:t xml:space="preserve">) </w:t>
      </w:r>
      <w:r w:rsidR="00E94380" w:rsidRPr="00A81B0A">
        <w:rPr>
          <w:szCs w:val="24"/>
        </w:rPr>
        <w:t>and 2015</w:t>
      </w:r>
      <w:r w:rsidR="00856B4D" w:rsidRPr="00A81B0A">
        <w:rPr>
          <w:szCs w:val="24"/>
        </w:rPr>
        <w:t xml:space="preserve"> (OMB Control No. </w:t>
      </w:r>
      <w:r w:rsidR="00856B4D" w:rsidRPr="00A81B0A">
        <w:rPr>
          <w:rStyle w:val="Emphasis"/>
          <w:i w:val="0"/>
          <w:color w:val="000000"/>
          <w:szCs w:val="24"/>
        </w:rPr>
        <w:t>0584-0593</w:t>
      </w:r>
      <w:r w:rsidR="00396A20" w:rsidRPr="00A81B0A">
        <w:rPr>
          <w:rStyle w:val="Emphasis"/>
          <w:i w:val="0"/>
          <w:color w:val="000000"/>
          <w:szCs w:val="24"/>
        </w:rPr>
        <w:t xml:space="preserve">, </w:t>
      </w:r>
      <w:r w:rsidR="00BF5CC7">
        <w:rPr>
          <w:szCs w:val="24"/>
        </w:rPr>
        <w:t>discontinued</w:t>
      </w:r>
      <w:r w:rsidR="00BF5CC7" w:rsidRPr="00A81B0A">
        <w:rPr>
          <w:szCs w:val="24"/>
        </w:rPr>
        <w:t xml:space="preserve"> </w:t>
      </w:r>
      <w:r w:rsidR="00396A20" w:rsidRPr="00A81B0A">
        <w:rPr>
          <w:szCs w:val="24"/>
        </w:rPr>
        <w:t xml:space="preserve">date </w:t>
      </w:r>
      <w:r w:rsidR="003C3DEE" w:rsidRPr="00A81B0A">
        <w:rPr>
          <w:szCs w:val="24"/>
        </w:rPr>
        <w:t>2/29</w:t>
      </w:r>
      <w:r w:rsidR="00F24B0B">
        <w:rPr>
          <w:szCs w:val="24"/>
        </w:rPr>
        <w:t>/</w:t>
      </w:r>
      <w:r w:rsidR="003C3DEE" w:rsidRPr="00A81B0A">
        <w:rPr>
          <w:szCs w:val="24"/>
        </w:rPr>
        <w:t>2016</w:t>
      </w:r>
      <w:r w:rsidR="00856B4D" w:rsidRPr="00A81B0A">
        <w:rPr>
          <w:szCs w:val="24"/>
        </w:rPr>
        <w:t>)</w:t>
      </w:r>
      <w:r w:rsidR="00E94380" w:rsidRPr="00A81B0A">
        <w:rPr>
          <w:szCs w:val="24"/>
        </w:rPr>
        <w:t xml:space="preserve">. </w:t>
      </w:r>
      <w:r w:rsidR="00F30E8E" w:rsidRPr="00F30E8E">
        <w:rPr>
          <w:szCs w:val="24"/>
        </w:rPr>
        <w:t>USDA’s Farm to School Program uses data from the Farm to School Census to assess farm to school programs and to set priorities for USDA outreach and technical support, as mandated by the</w:t>
      </w:r>
      <w:r w:rsidR="00057F5D">
        <w:rPr>
          <w:szCs w:val="24"/>
        </w:rPr>
        <w:t xml:space="preserve"> NSLA</w:t>
      </w:r>
      <w:r w:rsidR="00F30E8E" w:rsidRPr="00F30E8E">
        <w:rPr>
          <w:szCs w:val="24"/>
        </w:rPr>
        <w:t xml:space="preserve">. </w:t>
      </w:r>
      <w:r w:rsidR="006D7855" w:rsidRPr="00A81B0A">
        <w:rPr>
          <w:szCs w:val="24"/>
        </w:rPr>
        <w:t xml:space="preserve">This third iteration of the Census </w:t>
      </w:r>
      <w:r w:rsidR="00F24B0B">
        <w:rPr>
          <w:szCs w:val="24"/>
        </w:rPr>
        <w:t xml:space="preserve">(2019 Farm to School Census, herein referred to as the </w:t>
      </w:r>
      <w:r w:rsidR="008D3061">
        <w:rPr>
          <w:szCs w:val="24"/>
        </w:rPr>
        <w:t>“</w:t>
      </w:r>
      <w:r w:rsidR="00F24B0B">
        <w:rPr>
          <w:szCs w:val="24"/>
        </w:rPr>
        <w:t xml:space="preserve">Census”) </w:t>
      </w:r>
      <w:r w:rsidR="006D7855" w:rsidRPr="00A81B0A">
        <w:rPr>
          <w:szCs w:val="24"/>
        </w:rPr>
        <w:t xml:space="preserve">will allow FNS to make comparisons of farm to school activities and trends nationally across time and help contribute to a comprehensive review of farm to school activities over the 10 year period since the </w:t>
      </w:r>
      <w:r w:rsidR="001D45A3" w:rsidRPr="00A81B0A">
        <w:rPr>
          <w:szCs w:val="24"/>
        </w:rPr>
        <w:t xml:space="preserve">USDA </w:t>
      </w:r>
      <w:r w:rsidR="006D7855" w:rsidRPr="00A81B0A">
        <w:rPr>
          <w:szCs w:val="24"/>
        </w:rPr>
        <w:t>Farm to School grant program was established</w:t>
      </w:r>
      <w:r w:rsidR="00057F5D">
        <w:rPr>
          <w:szCs w:val="24"/>
        </w:rPr>
        <w:t xml:space="preserve">. </w:t>
      </w:r>
    </w:p>
    <w:p w14:paraId="54DE49F2" w14:textId="4009C057" w:rsidR="003B2F9B" w:rsidRPr="00A81B0A" w:rsidRDefault="00F13578" w:rsidP="00D74D43">
      <w:pPr>
        <w:pStyle w:val="BodyText"/>
        <w:rPr>
          <w:szCs w:val="24"/>
        </w:rPr>
      </w:pPr>
      <w:r w:rsidRPr="00A81B0A">
        <w:rPr>
          <w:szCs w:val="24"/>
        </w:rPr>
        <w:t xml:space="preserve">Informed by an extensive literature review and gap analysis, this </w:t>
      </w:r>
      <w:r w:rsidR="00E37554" w:rsidRPr="00A81B0A">
        <w:rPr>
          <w:szCs w:val="24"/>
        </w:rPr>
        <w:t xml:space="preserve">study includes two primary </w:t>
      </w:r>
      <w:r w:rsidR="00F65655" w:rsidRPr="00A81B0A">
        <w:rPr>
          <w:szCs w:val="24"/>
        </w:rPr>
        <w:t>data collection efforts</w:t>
      </w:r>
      <w:r w:rsidR="009B56B5">
        <w:rPr>
          <w:szCs w:val="24"/>
        </w:rPr>
        <w:t>, in which all institutions and entities participating in FNS programs such as Farm to School are strongly encouraged to participate per Section 305 of</w:t>
      </w:r>
      <w:r w:rsidR="009B56B5" w:rsidRPr="00A81B0A">
        <w:rPr>
          <w:szCs w:val="24"/>
        </w:rPr>
        <w:t xml:space="preserve"> </w:t>
      </w:r>
      <w:r w:rsidR="009B56B5">
        <w:rPr>
          <w:szCs w:val="24"/>
        </w:rPr>
        <w:t>t</w:t>
      </w:r>
      <w:r w:rsidR="009B56B5" w:rsidRPr="00A81B0A">
        <w:rPr>
          <w:szCs w:val="24"/>
        </w:rPr>
        <w:t xml:space="preserve">he Healthy Hunger Free Kids Act </w:t>
      </w:r>
      <w:r w:rsidR="009B56B5">
        <w:rPr>
          <w:szCs w:val="24"/>
        </w:rPr>
        <w:t>of</w:t>
      </w:r>
      <w:r w:rsidR="009B56B5" w:rsidRPr="00A81B0A">
        <w:rPr>
          <w:szCs w:val="24"/>
        </w:rPr>
        <w:t xml:space="preserve"> 2010</w:t>
      </w:r>
      <w:r w:rsidR="00BF5CC7">
        <w:rPr>
          <w:szCs w:val="24"/>
        </w:rPr>
        <w:t xml:space="preserve"> (P.L. 111-296)</w:t>
      </w:r>
      <w:r w:rsidR="009B56B5">
        <w:rPr>
          <w:szCs w:val="24"/>
        </w:rPr>
        <w:t xml:space="preserve"> </w:t>
      </w:r>
      <w:r w:rsidR="009B56B5" w:rsidRPr="00A81B0A">
        <w:rPr>
          <w:szCs w:val="24"/>
        </w:rPr>
        <w:t>(Appendix B)</w:t>
      </w:r>
      <w:r w:rsidR="00E37554" w:rsidRPr="00A81B0A">
        <w:rPr>
          <w:szCs w:val="24"/>
        </w:rPr>
        <w:t xml:space="preserve">. First, </w:t>
      </w:r>
      <w:r w:rsidR="00F24B0B">
        <w:rPr>
          <w:szCs w:val="24"/>
        </w:rPr>
        <w:t>the study team</w:t>
      </w:r>
      <w:r w:rsidR="00F24B0B" w:rsidRPr="00A81B0A">
        <w:rPr>
          <w:szCs w:val="24"/>
        </w:rPr>
        <w:t xml:space="preserve"> </w:t>
      </w:r>
      <w:r w:rsidR="004B1CD1" w:rsidRPr="00A81B0A">
        <w:rPr>
          <w:szCs w:val="24"/>
        </w:rPr>
        <w:t xml:space="preserve">will conduct and report on a </w:t>
      </w:r>
      <w:r w:rsidR="00844E03" w:rsidRPr="00A81B0A">
        <w:rPr>
          <w:szCs w:val="24"/>
        </w:rPr>
        <w:t xml:space="preserve">Distributor </w:t>
      </w:r>
      <w:r w:rsidR="001D4741" w:rsidRPr="00A81B0A">
        <w:rPr>
          <w:szCs w:val="24"/>
        </w:rPr>
        <w:t>Interview</w:t>
      </w:r>
      <w:r w:rsidR="004B1CD1" w:rsidRPr="00A81B0A">
        <w:rPr>
          <w:szCs w:val="24"/>
        </w:rPr>
        <w:t xml:space="preserve"> </w:t>
      </w:r>
      <w:r w:rsidR="008022DA" w:rsidRPr="00A81B0A">
        <w:rPr>
          <w:szCs w:val="24"/>
        </w:rPr>
        <w:t xml:space="preserve">(Appendix C) </w:t>
      </w:r>
      <w:r w:rsidR="004B1CD1" w:rsidRPr="00A81B0A">
        <w:rPr>
          <w:szCs w:val="24"/>
        </w:rPr>
        <w:t xml:space="preserve">to obtain the perspectives of large-scale food distributors on the processes and challenges to local food purchasing and procurement. </w:t>
      </w:r>
      <w:r w:rsidR="00E37554" w:rsidRPr="00A81B0A">
        <w:rPr>
          <w:szCs w:val="24"/>
        </w:rPr>
        <w:t xml:space="preserve">Second, </w:t>
      </w:r>
      <w:r w:rsidR="00F24B0B">
        <w:rPr>
          <w:szCs w:val="24"/>
        </w:rPr>
        <w:t>the study team</w:t>
      </w:r>
      <w:r w:rsidR="00F24B0B" w:rsidRPr="00A81B0A">
        <w:rPr>
          <w:szCs w:val="24"/>
        </w:rPr>
        <w:t xml:space="preserve"> </w:t>
      </w:r>
      <w:r w:rsidR="004B1CD1" w:rsidRPr="00A81B0A">
        <w:rPr>
          <w:szCs w:val="24"/>
        </w:rPr>
        <w:t>will conduct and report on the 2019 Farm to School Census (</w:t>
      </w:r>
      <w:r w:rsidR="008022DA" w:rsidRPr="00A81B0A">
        <w:rPr>
          <w:szCs w:val="24"/>
        </w:rPr>
        <w:t>Appendices D and E</w:t>
      </w:r>
      <w:r w:rsidR="004B1CD1" w:rsidRPr="00A81B0A">
        <w:rPr>
          <w:szCs w:val="24"/>
        </w:rPr>
        <w:t>) with the aim of describing the multiple facets of farm to school, including the USDA Farm to School Grant Program and expansion of farm to school efforts across the country documented by the Census and other data sources.</w:t>
      </w:r>
      <w:r w:rsidR="00F65655" w:rsidRPr="00A81B0A">
        <w:rPr>
          <w:szCs w:val="24"/>
        </w:rPr>
        <w:t xml:space="preserve"> The Comprehensive Farm to School Report will also incorporate data that have already been collected as part of the standardized grantee reporting system</w:t>
      </w:r>
      <w:r w:rsidR="00D74D43" w:rsidRPr="00A81B0A">
        <w:rPr>
          <w:szCs w:val="24"/>
        </w:rPr>
        <w:t xml:space="preserve"> (Uniform Grant Application for Non-Entitlement Discretionary Grants, OMB Control #0584-0512</w:t>
      </w:r>
      <w:r w:rsidR="006956AA">
        <w:rPr>
          <w:szCs w:val="24"/>
        </w:rPr>
        <w:t xml:space="preserve">, expiration </w:t>
      </w:r>
      <w:r w:rsidR="00690734">
        <w:rPr>
          <w:szCs w:val="24"/>
        </w:rPr>
        <w:t>date March 31, 2019</w:t>
      </w:r>
      <w:r w:rsidR="00D74D43" w:rsidRPr="00A81B0A">
        <w:rPr>
          <w:szCs w:val="24"/>
        </w:rPr>
        <w:t>)</w:t>
      </w:r>
      <w:r w:rsidR="00F65655" w:rsidRPr="00A81B0A">
        <w:rPr>
          <w:szCs w:val="24"/>
        </w:rPr>
        <w:t>.</w:t>
      </w:r>
      <w:r w:rsidR="00797BDD" w:rsidRPr="00A81B0A">
        <w:rPr>
          <w:szCs w:val="24"/>
        </w:rPr>
        <w:t xml:space="preserve"> R</w:t>
      </w:r>
      <w:r w:rsidR="00D74D43" w:rsidRPr="00A81B0A">
        <w:rPr>
          <w:szCs w:val="24"/>
        </w:rPr>
        <w:t xml:space="preserve">eports </w:t>
      </w:r>
      <w:r w:rsidR="00797BDD" w:rsidRPr="00A81B0A">
        <w:rPr>
          <w:szCs w:val="24"/>
        </w:rPr>
        <w:t xml:space="preserve">from this standardized system </w:t>
      </w:r>
      <w:r w:rsidR="00D74D43" w:rsidRPr="00A81B0A">
        <w:rPr>
          <w:szCs w:val="24"/>
        </w:rPr>
        <w:t>will be used to describe activities that result directly from the USDA Farm to School Grant program and to inform future efforts for grantee reporting and evaluation.</w:t>
      </w:r>
    </w:p>
    <w:p w14:paraId="640B4D03" w14:textId="400CE3BE" w:rsidR="004A0F2B" w:rsidRPr="00A81B0A" w:rsidRDefault="004A0F2B" w:rsidP="009A2B24">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outlineLvl w:val="0"/>
        <w:rPr>
          <w:rFonts w:ascii="Arial" w:hAnsi="Arial"/>
          <w:b/>
          <w:sz w:val="24"/>
          <w:szCs w:val="24"/>
        </w:rPr>
      </w:pPr>
      <w:bookmarkStart w:id="3" w:name="_Toc506534082"/>
      <w:bookmarkStart w:id="4" w:name="_Toc506534134"/>
      <w:r w:rsidRPr="00A81B0A">
        <w:rPr>
          <w:rFonts w:ascii="Arial" w:hAnsi="Arial"/>
          <w:b/>
          <w:sz w:val="24"/>
          <w:szCs w:val="24"/>
        </w:rPr>
        <w:t>Indicate how, by whom,</w:t>
      </w:r>
      <w:r w:rsidR="00F112B5" w:rsidRPr="00A81B0A">
        <w:rPr>
          <w:rFonts w:ascii="Arial" w:hAnsi="Arial"/>
          <w:b/>
          <w:sz w:val="24"/>
          <w:szCs w:val="24"/>
        </w:rPr>
        <w:t xml:space="preserve"> how frequently,</w:t>
      </w:r>
      <w:r w:rsidRPr="00A81B0A">
        <w:rPr>
          <w:rFonts w:ascii="Arial" w:hAnsi="Arial"/>
          <w:b/>
          <w:sz w:val="24"/>
          <w:szCs w:val="24"/>
        </w:rPr>
        <w:t xml:space="preserve"> and for what purpose the information is to be used. Except for a new collection, indicate the actual use the agency has made of the information received from the current collection.</w:t>
      </w:r>
      <w:bookmarkEnd w:id="3"/>
      <w:bookmarkEnd w:id="4"/>
    </w:p>
    <w:p w14:paraId="475B7190" w14:textId="0E5947C9" w:rsidR="00A377B9" w:rsidRPr="00A81B0A" w:rsidDel="00A377B9" w:rsidRDefault="00F13578" w:rsidP="00A81B0A">
      <w:pPr>
        <w:pStyle w:val="BodyText"/>
        <w:rPr>
          <w:szCs w:val="24"/>
        </w:rPr>
      </w:pPr>
      <w:r w:rsidRPr="00A81B0A">
        <w:rPr>
          <w:b/>
          <w:i/>
          <w:szCs w:val="24"/>
        </w:rPr>
        <w:t xml:space="preserve">How the information will be used: </w:t>
      </w:r>
      <w:r w:rsidR="00A377B9" w:rsidRPr="00A81B0A" w:rsidDel="00A377B9">
        <w:rPr>
          <w:szCs w:val="24"/>
        </w:rPr>
        <w:t xml:space="preserve">The results of this study </w:t>
      </w:r>
      <w:r w:rsidR="00DD2D13" w:rsidRPr="00A81B0A">
        <w:rPr>
          <w:szCs w:val="24"/>
        </w:rPr>
        <w:t xml:space="preserve">will be used by FNS </w:t>
      </w:r>
      <w:r w:rsidR="00A377B9" w:rsidRPr="00A81B0A" w:rsidDel="00A377B9">
        <w:rPr>
          <w:szCs w:val="24"/>
        </w:rPr>
        <w:t>to improve the methods and tools used to describe the impact and benefits of farm to school activities administered by grantees, schools, School Food Authorities (SFAs), and other stakeholders. Once completed, FNS will make the study reports available on their website.</w:t>
      </w:r>
      <w:r w:rsidR="00B532C8">
        <w:rPr>
          <w:rStyle w:val="FootnoteReference"/>
          <w:szCs w:val="24"/>
        </w:rPr>
        <w:footnoteReference w:id="3"/>
      </w:r>
      <w:r w:rsidR="00A377B9" w:rsidRPr="00A81B0A" w:rsidDel="00A377B9">
        <w:rPr>
          <w:szCs w:val="24"/>
        </w:rPr>
        <w:t xml:space="preserve"> </w:t>
      </w:r>
      <w:r w:rsidR="008022DA" w:rsidRPr="00A81B0A">
        <w:rPr>
          <w:szCs w:val="24"/>
        </w:rPr>
        <w:t>OCFS</w:t>
      </w:r>
      <w:r w:rsidR="00EF394B" w:rsidRPr="00A81B0A">
        <w:rPr>
          <w:szCs w:val="24"/>
        </w:rPr>
        <w:t xml:space="preserve"> will </w:t>
      </w:r>
      <w:r w:rsidR="0023528C">
        <w:rPr>
          <w:szCs w:val="24"/>
        </w:rPr>
        <w:t xml:space="preserve">also </w:t>
      </w:r>
      <w:r w:rsidR="00EF394B" w:rsidRPr="00A81B0A">
        <w:rPr>
          <w:szCs w:val="24"/>
        </w:rPr>
        <w:t xml:space="preserve">use  data to direct training, technical assistance, and outreach efforts in the areas of local food procurement and school gardens. For example, OCFS used data from the 2013 and 2015 Censuses to enhance local procurement trainings to target underutilized products, incorporate garden-grown produce, and address barriers reported by </w:t>
      </w:r>
      <w:r w:rsidR="00B532C8">
        <w:rPr>
          <w:szCs w:val="24"/>
        </w:rPr>
        <w:t>SFAs</w:t>
      </w:r>
      <w:r w:rsidR="00EF394B" w:rsidRPr="00A81B0A">
        <w:rPr>
          <w:szCs w:val="24"/>
        </w:rPr>
        <w:t>. Additionally, OCFS was able to identify low-performing states and provide direct customer service to those who were interested in expanding farm to school efforts.</w:t>
      </w:r>
      <w:r w:rsidR="006B455A">
        <w:rPr>
          <w:szCs w:val="24"/>
        </w:rPr>
        <w:t xml:space="preserve"> T</w:t>
      </w:r>
      <w:r w:rsidR="006B455A" w:rsidRPr="006B455A">
        <w:rPr>
          <w:szCs w:val="24"/>
        </w:rPr>
        <w:t xml:space="preserve">he </w:t>
      </w:r>
      <w:r w:rsidR="0090401B">
        <w:rPr>
          <w:szCs w:val="24"/>
        </w:rPr>
        <w:t>D</w:t>
      </w:r>
      <w:r w:rsidR="006B455A" w:rsidRPr="006B455A">
        <w:rPr>
          <w:szCs w:val="24"/>
        </w:rPr>
        <w:t xml:space="preserve">istributor </w:t>
      </w:r>
      <w:r w:rsidR="0090401B">
        <w:rPr>
          <w:szCs w:val="24"/>
        </w:rPr>
        <w:t>I</w:t>
      </w:r>
      <w:r w:rsidR="006B455A" w:rsidRPr="006B455A">
        <w:rPr>
          <w:szCs w:val="24"/>
        </w:rPr>
        <w:t>nterview is exploratory and the results from that survey will be used to determine whether a larger survey is feasible or desirable.</w:t>
      </w:r>
    </w:p>
    <w:p w14:paraId="00B06717" w14:textId="202A564B" w:rsidR="00851BB9" w:rsidRPr="00A81B0A" w:rsidRDefault="00A377B9" w:rsidP="00A377B9">
      <w:pPr>
        <w:pStyle w:val="BodyText"/>
        <w:rPr>
          <w:szCs w:val="24"/>
        </w:rPr>
      </w:pPr>
      <w:r w:rsidRPr="00A81B0A">
        <w:rPr>
          <w:szCs w:val="24"/>
        </w:rPr>
        <w:t xml:space="preserve"> The purpose of these data collection efforts is to answer </w:t>
      </w:r>
      <w:r w:rsidR="00242D25" w:rsidRPr="00A81B0A">
        <w:rPr>
          <w:szCs w:val="24"/>
        </w:rPr>
        <w:t xml:space="preserve">three </w:t>
      </w:r>
      <w:r w:rsidRPr="00A81B0A">
        <w:rPr>
          <w:szCs w:val="24"/>
        </w:rPr>
        <w:t>broad study objectives</w:t>
      </w:r>
      <w:r w:rsidR="006C2FC9" w:rsidRPr="00A81B0A">
        <w:rPr>
          <w:szCs w:val="24"/>
        </w:rPr>
        <w:t>:</w:t>
      </w:r>
      <w:r w:rsidR="00983471">
        <w:rPr>
          <w:rStyle w:val="FootnoteReference"/>
          <w:szCs w:val="24"/>
        </w:rPr>
        <w:footnoteReference w:id="4"/>
      </w:r>
      <w:r w:rsidR="006C2FC9" w:rsidRPr="00A81B0A">
        <w:rPr>
          <w:szCs w:val="24"/>
        </w:rPr>
        <w:t xml:space="preserve"> (1) identify and describe the economic contribution of </w:t>
      </w:r>
      <w:r w:rsidR="0035497F" w:rsidRPr="00A81B0A">
        <w:rPr>
          <w:szCs w:val="24"/>
        </w:rPr>
        <w:t xml:space="preserve">farm to school </w:t>
      </w:r>
      <w:r w:rsidR="006C2FC9" w:rsidRPr="00A81B0A">
        <w:rPr>
          <w:szCs w:val="24"/>
        </w:rPr>
        <w:t xml:space="preserve">across various geographies by examining the procurement process; (2) assess the impacts of farm to school efforts on food growing, serving, and purchasing at the SFA level; </w:t>
      </w:r>
      <w:r w:rsidR="00242D25" w:rsidRPr="00A81B0A">
        <w:rPr>
          <w:szCs w:val="24"/>
        </w:rPr>
        <w:t xml:space="preserve">and, </w:t>
      </w:r>
      <w:r w:rsidR="006C2FC9" w:rsidRPr="00A81B0A">
        <w:rPr>
          <w:szCs w:val="24"/>
        </w:rPr>
        <w:t xml:space="preserve">(3) identify and describe how </w:t>
      </w:r>
      <w:r w:rsidR="0035497F" w:rsidRPr="00A81B0A">
        <w:rPr>
          <w:szCs w:val="24"/>
        </w:rPr>
        <w:t xml:space="preserve">farm to school </w:t>
      </w:r>
      <w:r w:rsidR="006C2FC9" w:rsidRPr="00A81B0A">
        <w:rPr>
          <w:szCs w:val="24"/>
        </w:rPr>
        <w:t xml:space="preserve">programs and activities have impacted changes in policy, systems, or structure. </w:t>
      </w:r>
    </w:p>
    <w:p w14:paraId="60E85C6A" w14:textId="77777777" w:rsidR="00B532C8" w:rsidRPr="00C72AF0" w:rsidRDefault="00DF34BA" w:rsidP="00C72AF0">
      <w:pPr>
        <w:spacing w:line="480" w:lineRule="auto"/>
      </w:pPr>
      <w:r w:rsidRPr="00C72AF0">
        <w:tab/>
      </w:r>
      <w:r w:rsidR="00F13578" w:rsidRPr="00C72AF0">
        <w:rPr>
          <w:b/>
          <w:i/>
        </w:rPr>
        <w:t xml:space="preserve">From whom </w:t>
      </w:r>
      <w:r w:rsidR="00EF316B" w:rsidRPr="00C72AF0">
        <w:rPr>
          <w:b/>
          <w:i/>
        </w:rPr>
        <w:t xml:space="preserve">and how </w:t>
      </w:r>
      <w:r w:rsidR="00F13578" w:rsidRPr="00C72AF0">
        <w:rPr>
          <w:b/>
          <w:i/>
        </w:rPr>
        <w:t>the information will be collected</w:t>
      </w:r>
      <w:r w:rsidR="00F13578" w:rsidRPr="00C72AF0">
        <w:t>:</w:t>
      </w:r>
      <w:r w:rsidRPr="00C72AF0">
        <w:t xml:space="preserve"> </w:t>
      </w:r>
      <w:r w:rsidR="00845BA5" w:rsidRPr="00C72AF0">
        <w:t xml:space="preserve">Table </w:t>
      </w:r>
      <w:r w:rsidR="004973DF" w:rsidRPr="00C72AF0">
        <w:t xml:space="preserve">A-1 provides an overview of the data collection instruments, number of potential respondents, method of collection, and purpose. </w:t>
      </w:r>
    </w:p>
    <w:p w14:paraId="4712535E" w14:textId="036AF35A" w:rsidR="004973DF" w:rsidRPr="00A81B0A" w:rsidRDefault="00845BA5" w:rsidP="00E84BBC">
      <w:pPr>
        <w:pStyle w:val="Heading6"/>
      </w:pPr>
      <w:bookmarkStart w:id="5" w:name="_Toc518292778"/>
      <w:r w:rsidRPr="00A81B0A">
        <w:t xml:space="preserve">Table </w:t>
      </w:r>
      <w:r w:rsidR="004973DF" w:rsidRPr="00A81B0A">
        <w:t xml:space="preserve">A-1. </w:t>
      </w:r>
      <w:r w:rsidR="00AA4DD4" w:rsidRPr="00A81B0A">
        <w:t>Overview of Data Collection Activities</w:t>
      </w:r>
      <w:bookmarkEnd w:id="5"/>
    </w:p>
    <w:tbl>
      <w:tblPr>
        <w:tblStyle w:val="TableGrid"/>
        <w:tblW w:w="9216" w:type="dxa"/>
        <w:tblLook w:val="04A0" w:firstRow="1" w:lastRow="0" w:firstColumn="1" w:lastColumn="0" w:noHBand="0" w:noVBand="1"/>
      </w:tblPr>
      <w:tblGrid>
        <w:gridCol w:w="1828"/>
        <w:gridCol w:w="1523"/>
        <w:gridCol w:w="1256"/>
        <w:gridCol w:w="976"/>
        <w:gridCol w:w="2323"/>
        <w:gridCol w:w="1310"/>
      </w:tblGrid>
      <w:tr w:rsidR="00AA4DD4" w:rsidRPr="00A81B0A" w14:paraId="0E20C690" w14:textId="571EE121" w:rsidTr="00A81B0A">
        <w:trPr>
          <w:trHeight w:val="419"/>
        </w:trPr>
        <w:tc>
          <w:tcPr>
            <w:tcW w:w="1908" w:type="dxa"/>
          </w:tcPr>
          <w:p w14:paraId="25152440" w14:textId="77777777" w:rsidR="00AA4DD4" w:rsidRPr="00A81B0A" w:rsidRDefault="00AA4DD4" w:rsidP="00A765CC">
            <w:pPr>
              <w:spacing w:after="0" w:line="240" w:lineRule="auto"/>
              <w:jc w:val="center"/>
              <w:rPr>
                <w:b/>
                <w:sz w:val="24"/>
                <w:szCs w:val="24"/>
              </w:rPr>
            </w:pPr>
            <w:r w:rsidRPr="00A81B0A">
              <w:rPr>
                <w:b/>
                <w:sz w:val="24"/>
                <w:szCs w:val="24"/>
              </w:rPr>
              <w:t>Instrument</w:t>
            </w:r>
          </w:p>
        </w:tc>
        <w:tc>
          <w:tcPr>
            <w:tcW w:w="1440" w:type="dxa"/>
          </w:tcPr>
          <w:p w14:paraId="371C82B1" w14:textId="337DC859" w:rsidR="00AA4DD4" w:rsidRPr="00A81B0A" w:rsidRDefault="00AA4DD4" w:rsidP="00690734">
            <w:pPr>
              <w:spacing w:after="0" w:line="240" w:lineRule="auto"/>
              <w:jc w:val="center"/>
              <w:rPr>
                <w:b/>
                <w:sz w:val="24"/>
                <w:szCs w:val="24"/>
              </w:rPr>
            </w:pPr>
            <w:r w:rsidRPr="00A81B0A">
              <w:rPr>
                <w:b/>
                <w:sz w:val="24"/>
                <w:szCs w:val="24"/>
              </w:rPr>
              <w:t>Respondents</w:t>
            </w:r>
          </w:p>
        </w:tc>
        <w:tc>
          <w:tcPr>
            <w:tcW w:w="1200" w:type="dxa"/>
          </w:tcPr>
          <w:p w14:paraId="5BCE992A" w14:textId="77777777" w:rsidR="00AA4DD4" w:rsidRPr="00A81B0A" w:rsidRDefault="00AA4DD4" w:rsidP="00A765CC">
            <w:pPr>
              <w:spacing w:after="0" w:line="240" w:lineRule="auto"/>
              <w:jc w:val="center"/>
              <w:rPr>
                <w:b/>
                <w:sz w:val="24"/>
                <w:szCs w:val="24"/>
              </w:rPr>
            </w:pPr>
            <w:r w:rsidRPr="00A81B0A">
              <w:rPr>
                <w:b/>
                <w:sz w:val="24"/>
                <w:szCs w:val="24"/>
              </w:rPr>
              <w:t>Method of Collection</w:t>
            </w:r>
          </w:p>
        </w:tc>
        <w:tc>
          <w:tcPr>
            <w:tcW w:w="960" w:type="dxa"/>
          </w:tcPr>
          <w:p w14:paraId="261AFA62" w14:textId="2C020586" w:rsidR="00AA4DD4" w:rsidRPr="00A81B0A" w:rsidRDefault="00AA4DD4" w:rsidP="00A765CC">
            <w:pPr>
              <w:spacing w:after="0" w:line="240" w:lineRule="auto"/>
              <w:jc w:val="center"/>
              <w:rPr>
                <w:b/>
                <w:sz w:val="24"/>
                <w:szCs w:val="24"/>
              </w:rPr>
            </w:pPr>
            <w:r w:rsidRPr="00A81B0A">
              <w:rPr>
                <w:b/>
                <w:sz w:val="24"/>
                <w:szCs w:val="24"/>
              </w:rPr>
              <w:t>Length</w:t>
            </w:r>
          </w:p>
        </w:tc>
        <w:tc>
          <w:tcPr>
            <w:tcW w:w="2489" w:type="dxa"/>
          </w:tcPr>
          <w:p w14:paraId="1FD6CA6F" w14:textId="409BAB69" w:rsidR="00AA4DD4" w:rsidRPr="00A81B0A" w:rsidRDefault="00AA4DD4" w:rsidP="00A765CC">
            <w:pPr>
              <w:spacing w:after="0" w:line="240" w:lineRule="auto"/>
              <w:jc w:val="center"/>
              <w:rPr>
                <w:b/>
                <w:sz w:val="24"/>
                <w:szCs w:val="24"/>
              </w:rPr>
            </w:pPr>
            <w:r w:rsidRPr="00A81B0A">
              <w:rPr>
                <w:b/>
                <w:sz w:val="24"/>
                <w:szCs w:val="24"/>
              </w:rPr>
              <w:t>Purpose</w:t>
            </w:r>
          </w:p>
        </w:tc>
        <w:tc>
          <w:tcPr>
            <w:tcW w:w="1219" w:type="dxa"/>
          </w:tcPr>
          <w:p w14:paraId="56AFA141" w14:textId="0CAA84C6" w:rsidR="00AA4DD4" w:rsidRPr="00A81B0A" w:rsidRDefault="00AA4DD4" w:rsidP="00A765CC">
            <w:pPr>
              <w:spacing w:after="0" w:line="240" w:lineRule="auto"/>
              <w:jc w:val="center"/>
              <w:rPr>
                <w:b/>
                <w:sz w:val="24"/>
                <w:szCs w:val="24"/>
              </w:rPr>
            </w:pPr>
            <w:r w:rsidRPr="00A81B0A">
              <w:rPr>
                <w:b/>
                <w:sz w:val="24"/>
                <w:szCs w:val="24"/>
              </w:rPr>
              <w:t>Frequency</w:t>
            </w:r>
          </w:p>
        </w:tc>
      </w:tr>
      <w:tr w:rsidR="00AA4DD4" w:rsidRPr="00A81B0A" w14:paraId="29A8265C" w14:textId="2ACA1487" w:rsidTr="00A81B0A">
        <w:trPr>
          <w:trHeight w:val="648"/>
        </w:trPr>
        <w:tc>
          <w:tcPr>
            <w:tcW w:w="1908" w:type="dxa"/>
          </w:tcPr>
          <w:p w14:paraId="2E942283" w14:textId="77777777" w:rsidR="00AA4DD4" w:rsidRPr="00A81B0A" w:rsidRDefault="00AA4DD4" w:rsidP="00A765CC">
            <w:pPr>
              <w:spacing w:after="0" w:line="240" w:lineRule="auto"/>
              <w:rPr>
                <w:sz w:val="24"/>
                <w:szCs w:val="24"/>
              </w:rPr>
            </w:pPr>
            <w:r w:rsidRPr="00A81B0A">
              <w:rPr>
                <w:sz w:val="24"/>
                <w:szCs w:val="24"/>
              </w:rPr>
              <w:t>Distributor Interview</w:t>
            </w:r>
          </w:p>
          <w:p w14:paraId="1A6E4BAB" w14:textId="4CFC62F8" w:rsidR="00D92B32" w:rsidRPr="00A81B0A" w:rsidRDefault="00D92B32" w:rsidP="00744CB1">
            <w:pPr>
              <w:spacing w:after="0" w:line="240" w:lineRule="auto"/>
              <w:rPr>
                <w:sz w:val="24"/>
                <w:szCs w:val="24"/>
              </w:rPr>
            </w:pPr>
            <w:r w:rsidRPr="00A81B0A">
              <w:rPr>
                <w:sz w:val="24"/>
                <w:szCs w:val="24"/>
              </w:rPr>
              <w:t xml:space="preserve">(Appendix </w:t>
            </w:r>
            <w:r w:rsidR="00744CB1" w:rsidRPr="00A81B0A">
              <w:rPr>
                <w:sz w:val="24"/>
                <w:szCs w:val="24"/>
              </w:rPr>
              <w:t>C</w:t>
            </w:r>
            <w:r w:rsidRPr="00A81B0A">
              <w:rPr>
                <w:sz w:val="24"/>
                <w:szCs w:val="24"/>
              </w:rPr>
              <w:t>)</w:t>
            </w:r>
          </w:p>
        </w:tc>
        <w:tc>
          <w:tcPr>
            <w:tcW w:w="1440" w:type="dxa"/>
          </w:tcPr>
          <w:p w14:paraId="1459B24B" w14:textId="3FBA9928" w:rsidR="00AA4DD4" w:rsidRPr="00A81B0A" w:rsidRDefault="00AA4DD4" w:rsidP="00AA4DD4">
            <w:pPr>
              <w:spacing w:after="0" w:line="240" w:lineRule="auto"/>
              <w:rPr>
                <w:sz w:val="24"/>
                <w:szCs w:val="24"/>
              </w:rPr>
            </w:pPr>
            <w:r w:rsidRPr="00A81B0A">
              <w:rPr>
                <w:sz w:val="24"/>
                <w:szCs w:val="24"/>
              </w:rPr>
              <w:t>20 school food distributors</w:t>
            </w:r>
          </w:p>
        </w:tc>
        <w:tc>
          <w:tcPr>
            <w:tcW w:w="1200" w:type="dxa"/>
          </w:tcPr>
          <w:p w14:paraId="5019B28C" w14:textId="77777777" w:rsidR="00AA4DD4" w:rsidRPr="00A81B0A" w:rsidRDefault="00AA4DD4" w:rsidP="00A765CC">
            <w:pPr>
              <w:spacing w:after="0" w:line="240" w:lineRule="auto"/>
              <w:rPr>
                <w:sz w:val="24"/>
                <w:szCs w:val="24"/>
              </w:rPr>
            </w:pPr>
            <w:r w:rsidRPr="00A81B0A">
              <w:rPr>
                <w:sz w:val="24"/>
                <w:szCs w:val="24"/>
              </w:rPr>
              <w:t>Phone</w:t>
            </w:r>
          </w:p>
        </w:tc>
        <w:tc>
          <w:tcPr>
            <w:tcW w:w="960" w:type="dxa"/>
          </w:tcPr>
          <w:p w14:paraId="60EDCC81" w14:textId="5E2D2507" w:rsidR="00AA4DD4" w:rsidRPr="00A81B0A" w:rsidRDefault="00AA4DD4" w:rsidP="00A765CC">
            <w:pPr>
              <w:spacing w:after="0" w:line="240" w:lineRule="auto"/>
              <w:rPr>
                <w:sz w:val="24"/>
                <w:szCs w:val="24"/>
              </w:rPr>
            </w:pPr>
            <w:r w:rsidRPr="00A81B0A">
              <w:rPr>
                <w:sz w:val="24"/>
                <w:szCs w:val="24"/>
              </w:rPr>
              <w:t>60 minutes</w:t>
            </w:r>
          </w:p>
        </w:tc>
        <w:tc>
          <w:tcPr>
            <w:tcW w:w="2489" w:type="dxa"/>
          </w:tcPr>
          <w:p w14:paraId="04E393C2" w14:textId="6CF79290" w:rsidR="00AA4DD4" w:rsidRPr="00A81B0A" w:rsidRDefault="00AA4DD4" w:rsidP="00A765CC">
            <w:pPr>
              <w:spacing w:after="0" w:line="240" w:lineRule="auto"/>
              <w:rPr>
                <w:sz w:val="24"/>
                <w:szCs w:val="24"/>
              </w:rPr>
            </w:pPr>
            <w:r w:rsidRPr="00A81B0A">
              <w:rPr>
                <w:sz w:val="24"/>
                <w:szCs w:val="24"/>
              </w:rPr>
              <w:t xml:space="preserve">To obtain the perspectives of large-scale food distributors on the processes and challenges to local food purchasing and procurement. </w:t>
            </w:r>
          </w:p>
        </w:tc>
        <w:tc>
          <w:tcPr>
            <w:tcW w:w="1219" w:type="dxa"/>
          </w:tcPr>
          <w:p w14:paraId="258257AF" w14:textId="3EC6FDCB" w:rsidR="00AA4DD4" w:rsidRPr="00A81B0A" w:rsidRDefault="00AA4DD4" w:rsidP="00A765CC">
            <w:pPr>
              <w:spacing w:after="0" w:line="240" w:lineRule="auto"/>
              <w:rPr>
                <w:sz w:val="24"/>
                <w:szCs w:val="24"/>
              </w:rPr>
            </w:pPr>
            <w:r w:rsidRPr="00A81B0A">
              <w:rPr>
                <w:sz w:val="24"/>
                <w:szCs w:val="24"/>
              </w:rPr>
              <w:t>Once</w:t>
            </w:r>
          </w:p>
        </w:tc>
      </w:tr>
      <w:tr w:rsidR="00AA4DD4" w:rsidRPr="00DF34BA" w14:paraId="0DC1C322" w14:textId="146AA9D8" w:rsidTr="00A81B0A">
        <w:trPr>
          <w:trHeight w:val="1054"/>
        </w:trPr>
        <w:tc>
          <w:tcPr>
            <w:tcW w:w="1908" w:type="dxa"/>
          </w:tcPr>
          <w:p w14:paraId="32D469B2" w14:textId="7DF365F6" w:rsidR="00AA4DD4" w:rsidRPr="00A81B0A" w:rsidRDefault="00AA4DD4" w:rsidP="007023DC">
            <w:pPr>
              <w:spacing w:after="0" w:line="240" w:lineRule="auto"/>
              <w:rPr>
                <w:sz w:val="24"/>
                <w:szCs w:val="24"/>
              </w:rPr>
            </w:pPr>
            <w:r w:rsidRPr="00A81B0A">
              <w:rPr>
                <w:sz w:val="24"/>
                <w:szCs w:val="24"/>
              </w:rPr>
              <w:t>Census</w:t>
            </w:r>
            <w:r w:rsidR="00D92B32" w:rsidRPr="00A81B0A">
              <w:rPr>
                <w:sz w:val="24"/>
                <w:szCs w:val="24"/>
              </w:rPr>
              <w:br/>
              <w:t>(Appendi</w:t>
            </w:r>
            <w:r w:rsidR="005E4A67" w:rsidRPr="00A81B0A">
              <w:rPr>
                <w:sz w:val="24"/>
                <w:szCs w:val="24"/>
              </w:rPr>
              <w:t>c</w:t>
            </w:r>
            <w:r w:rsidR="00744CB1" w:rsidRPr="00A81B0A">
              <w:rPr>
                <w:sz w:val="24"/>
                <w:szCs w:val="24"/>
              </w:rPr>
              <w:t>es</w:t>
            </w:r>
            <w:r w:rsidR="00D92B32" w:rsidRPr="00A81B0A">
              <w:rPr>
                <w:sz w:val="24"/>
                <w:szCs w:val="24"/>
              </w:rPr>
              <w:t xml:space="preserve"> </w:t>
            </w:r>
            <w:r w:rsidR="00744CB1" w:rsidRPr="00A81B0A">
              <w:rPr>
                <w:sz w:val="24"/>
                <w:szCs w:val="24"/>
              </w:rPr>
              <w:t xml:space="preserve">D and </w:t>
            </w:r>
            <w:r w:rsidR="007023DC" w:rsidRPr="00A81B0A">
              <w:rPr>
                <w:sz w:val="24"/>
                <w:szCs w:val="24"/>
              </w:rPr>
              <w:t>E</w:t>
            </w:r>
            <w:r w:rsidR="00744CB1" w:rsidRPr="00A81B0A">
              <w:rPr>
                <w:sz w:val="24"/>
                <w:szCs w:val="24"/>
              </w:rPr>
              <w:t>)</w:t>
            </w:r>
          </w:p>
        </w:tc>
        <w:tc>
          <w:tcPr>
            <w:tcW w:w="1440" w:type="dxa"/>
          </w:tcPr>
          <w:p w14:paraId="19E79614" w14:textId="749265CD" w:rsidR="00AA4DD4" w:rsidRPr="00A81B0A" w:rsidRDefault="00AA4DD4" w:rsidP="00A765CC">
            <w:pPr>
              <w:spacing w:after="0" w:line="240" w:lineRule="auto"/>
              <w:rPr>
                <w:sz w:val="24"/>
                <w:szCs w:val="24"/>
              </w:rPr>
            </w:pPr>
            <w:r w:rsidRPr="00A81B0A">
              <w:rPr>
                <w:sz w:val="24"/>
                <w:szCs w:val="24"/>
              </w:rPr>
              <w:t>16,000 SFAs</w:t>
            </w:r>
          </w:p>
        </w:tc>
        <w:tc>
          <w:tcPr>
            <w:tcW w:w="1200" w:type="dxa"/>
          </w:tcPr>
          <w:p w14:paraId="64752A85" w14:textId="512BBBA5" w:rsidR="00AA4DD4" w:rsidRPr="00A81B0A" w:rsidRDefault="00D92B32" w:rsidP="00690734">
            <w:pPr>
              <w:spacing w:after="0" w:line="240" w:lineRule="auto"/>
              <w:rPr>
                <w:sz w:val="24"/>
                <w:szCs w:val="24"/>
              </w:rPr>
            </w:pPr>
            <w:r w:rsidRPr="00A81B0A">
              <w:rPr>
                <w:sz w:val="24"/>
                <w:szCs w:val="24"/>
              </w:rPr>
              <w:t>Web survey</w:t>
            </w:r>
          </w:p>
        </w:tc>
        <w:tc>
          <w:tcPr>
            <w:tcW w:w="960" w:type="dxa"/>
          </w:tcPr>
          <w:p w14:paraId="1DBB0D82" w14:textId="04F2677F" w:rsidR="00AA4DD4" w:rsidRPr="00A81B0A" w:rsidRDefault="00AA4DD4" w:rsidP="00A765CC">
            <w:pPr>
              <w:spacing w:after="0" w:line="240" w:lineRule="auto"/>
              <w:rPr>
                <w:sz w:val="24"/>
                <w:szCs w:val="24"/>
              </w:rPr>
            </w:pPr>
            <w:r w:rsidRPr="00A81B0A">
              <w:rPr>
                <w:sz w:val="24"/>
                <w:szCs w:val="24"/>
              </w:rPr>
              <w:t>30 minutes</w:t>
            </w:r>
          </w:p>
        </w:tc>
        <w:tc>
          <w:tcPr>
            <w:tcW w:w="2489" w:type="dxa"/>
          </w:tcPr>
          <w:p w14:paraId="7DED256D" w14:textId="5C133CDA" w:rsidR="00AA4DD4" w:rsidRPr="00A81B0A" w:rsidRDefault="00AA4DD4" w:rsidP="00A765CC">
            <w:pPr>
              <w:spacing w:after="0" w:line="240" w:lineRule="auto"/>
              <w:rPr>
                <w:sz w:val="24"/>
                <w:szCs w:val="24"/>
              </w:rPr>
            </w:pPr>
            <w:r w:rsidRPr="00A81B0A">
              <w:rPr>
                <w:sz w:val="24"/>
                <w:szCs w:val="24"/>
              </w:rPr>
              <w:t>To describe the multiple facets of farm to school, including the USDA Farm to School Grant Program and expansion of farm to school efforts across the country.</w:t>
            </w:r>
          </w:p>
        </w:tc>
        <w:tc>
          <w:tcPr>
            <w:tcW w:w="1219" w:type="dxa"/>
          </w:tcPr>
          <w:p w14:paraId="5B029211" w14:textId="7303236B" w:rsidR="00AA4DD4" w:rsidRPr="00A81B0A" w:rsidRDefault="00AA4DD4" w:rsidP="00A765CC">
            <w:pPr>
              <w:spacing w:after="0" w:line="240" w:lineRule="auto"/>
              <w:rPr>
                <w:sz w:val="24"/>
                <w:szCs w:val="24"/>
              </w:rPr>
            </w:pPr>
            <w:r w:rsidRPr="00A81B0A">
              <w:rPr>
                <w:sz w:val="24"/>
                <w:szCs w:val="24"/>
              </w:rPr>
              <w:t>Once</w:t>
            </w:r>
          </w:p>
        </w:tc>
      </w:tr>
    </w:tbl>
    <w:p w14:paraId="3CC7DF1F" w14:textId="77777777" w:rsidR="00741586" w:rsidRDefault="00741586" w:rsidP="00431E77">
      <w:pPr>
        <w:pStyle w:val="BodyText"/>
        <w:ind w:firstLine="0"/>
        <w:rPr>
          <w:b/>
          <w:szCs w:val="24"/>
          <w:highlight w:val="yellow"/>
        </w:rPr>
      </w:pPr>
    </w:p>
    <w:p w14:paraId="4E26A52C" w14:textId="48628D7E" w:rsidR="00D3419A" w:rsidRPr="00C414E7" w:rsidRDefault="00741586" w:rsidP="00D3419A">
      <w:pPr>
        <w:pStyle w:val="BodyText"/>
        <w:rPr>
          <w:szCs w:val="24"/>
        </w:rPr>
      </w:pPr>
      <w:r w:rsidRPr="00C414E7">
        <w:rPr>
          <w:szCs w:val="24"/>
        </w:rPr>
        <w:t xml:space="preserve">For further information concerning the data collection activities for the Distributor Interview </w:t>
      </w:r>
      <w:r w:rsidR="00D3419A" w:rsidRPr="00C414E7">
        <w:rPr>
          <w:szCs w:val="24"/>
        </w:rPr>
        <w:t xml:space="preserve">see Appendix </w:t>
      </w:r>
      <w:r w:rsidR="00C414E7" w:rsidRPr="00C414E7">
        <w:rPr>
          <w:szCs w:val="24"/>
        </w:rPr>
        <w:t>AD</w:t>
      </w:r>
      <w:r w:rsidR="00D3419A" w:rsidRPr="00C414E7">
        <w:rPr>
          <w:szCs w:val="24"/>
        </w:rPr>
        <w:t xml:space="preserve"> </w:t>
      </w:r>
      <w:r w:rsidRPr="00C414E7">
        <w:rPr>
          <w:szCs w:val="24"/>
        </w:rPr>
        <w:t xml:space="preserve">(including a description of Appendices F [Distributor Interview Recruitment Email], G [Distributor Interview Frequently Asked Questions (FAQs)], H [Distributor Interview Scheduling Phone Script], I [Distributor Interview Confirmation Email], and J [Distributor Interview Thank You Email]). </w:t>
      </w:r>
    </w:p>
    <w:p w14:paraId="3519E114" w14:textId="034CD553" w:rsidR="00D3419A" w:rsidRPr="00D3419A" w:rsidRDefault="00741586" w:rsidP="00D3419A">
      <w:pPr>
        <w:pStyle w:val="BodyText"/>
        <w:rPr>
          <w:szCs w:val="24"/>
        </w:rPr>
      </w:pPr>
      <w:r w:rsidRPr="00C414E7">
        <w:rPr>
          <w:szCs w:val="24"/>
        </w:rPr>
        <w:t xml:space="preserve">For further information concerning the data collection activities for the Census </w:t>
      </w:r>
      <w:r w:rsidR="00D3419A" w:rsidRPr="00C414E7">
        <w:rPr>
          <w:szCs w:val="24"/>
        </w:rPr>
        <w:t xml:space="preserve">see Appendix </w:t>
      </w:r>
      <w:r w:rsidR="00C414E7" w:rsidRPr="00C414E7">
        <w:rPr>
          <w:szCs w:val="24"/>
        </w:rPr>
        <w:t>AD</w:t>
      </w:r>
      <w:r w:rsidR="00D3419A" w:rsidRPr="00C414E7">
        <w:rPr>
          <w:szCs w:val="24"/>
        </w:rPr>
        <w:t xml:space="preserve"> </w:t>
      </w:r>
      <w:r w:rsidRPr="00C414E7">
        <w:rPr>
          <w:szCs w:val="24"/>
        </w:rPr>
        <w:t>(</w:t>
      </w:r>
      <w:r>
        <w:rPr>
          <w:szCs w:val="24"/>
        </w:rPr>
        <w:t>including a description of Appendices</w:t>
      </w:r>
      <w:r w:rsidR="00D3419A">
        <w:rPr>
          <w:szCs w:val="24"/>
        </w:rPr>
        <w:t xml:space="preserve"> </w:t>
      </w:r>
      <w:r w:rsidR="00D3419A" w:rsidRPr="00D3419A">
        <w:rPr>
          <w:szCs w:val="24"/>
        </w:rPr>
        <w:t>K</w:t>
      </w:r>
      <w:r w:rsidR="00D3419A">
        <w:rPr>
          <w:szCs w:val="24"/>
        </w:rPr>
        <w:t xml:space="preserve"> [</w:t>
      </w:r>
      <w:r w:rsidR="00D3419A" w:rsidRPr="00D3419A">
        <w:rPr>
          <w:szCs w:val="24"/>
        </w:rPr>
        <w:t>Census Recruitment Email from FNS to State Child Nutrition Directors</w:t>
      </w:r>
      <w:r w:rsidR="00D3419A">
        <w:rPr>
          <w:szCs w:val="24"/>
        </w:rPr>
        <w:t xml:space="preserve">], </w:t>
      </w:r>
      <w:r w:rsidR="00D3419A" w:rsidRPr="00D3419A">
        <w:rPr>
          <w:szCs w:val="24"/>
        </w:rPr>
        <w:t>L</w:t>
      </w:r>
      <w:r w:rsidR="00D3419A">
        <w:rPr>
          <w:szCs w:val="24"/>
        </w:rPr>
        <w:t xml:space="preserve"> [</w:t>
      </w:r>
      <w:r w:rsidR="00D3419A" w:rsidRPr="00D3419A">
        <w:rPr>
          <w:szCs w:val="24"/>
        </w:rPr>
        <w:t>Census Recruitment Email from Study Team to State Child Nutrition Directors</w:t>
      </w:r>
      <w:r w:rsidR="00D3419A">
        <w:rPr>
          <w:szCs w:val="24"/>
        </w:rPr>
        <w:t xml:space="preserve">], </w:t>
      </w:r>
      <w:r w:rsidR="00D3419A" w:rsidRPr="00D3419A">
        <w:rPr>
          <w:szCs w:val="24"/>
        </w:rPr>
        <w:t>M</w:t>
      </w:r>
      <w:r w:rsidR="00D3419A">
        <w:rPr>
          <w:szCs w:val="24"/>
        </w:rPr>
        <w:t xml:space="preserve"> [</w:t>
      </w:r>
      <w:r w:rsidR="00D3419A" w:rsidRPr="00D3419A">
        <w:rPr>
          <w:szCs w:val="24"/>
        </w:rPr>
        <w:t>Pre-Census Recruitment Email from State Child Nutrition Directors to SFAs</w:t>
      </w:r>
      <w:r w:rsidR="00D3419A">
        <w:rPr>
          <w:szCs w:val="24"/>
        </w:rPr>
        <w:t xml:space="preserve">], </w:t>
      </w:r>
      <w:r w:rsidR="00D3419A" w:rsidRPr="00D3419A">
        <w:rPr>
          <w:szCs w:val="24"/>
        </w:rPr>
        <w:t>N</w:t>
      </w:r>
      <w:r w:rsidR="00D3419A">
        <w:rPr>
          <w:szCs w:val="24"/>
        </w:rPr>
        <w:t xml:space="preserve"> [</w:t>
      </w:r>
      <w:r w:rsidR="00D3419A" w:rsidRPr="00D3419A">
        <w:rPr>
          <w:szCs w:val="24"/>
        </w:rPr>
        <w:t>Census Reminder Emails from State Child Nutrition Directors to SFAs</w:t>
      </w:r>
      <w:r w:rsidR="00D3419A">
        <w:rPr>
          <w:szCs w:val="24"/>
        </w:rPr>
        <w:t xml:space="preserve">], </w:t>
      </w:r>
      <w:r w:rsidR="00D3419A" w:rsidRPr="00D3419A">
        <w:rPr>
          <w:szCs w:val="24"/>
        </w:rPr>
        <w:t>O</w:t>
      </w:r>
      <w:r w:rsidR="00D3419A">
        <w:rPr>
          <w:szCs w:val="24"/>
        </w:rPr>
        <w:t xml:space="preserve"> [</w:t>
      </w:r>
      <w:r w:rsidR="00D3419A" w:rsidRPr="00D3419A">
        <w:rPr>
          <w:szCs w:val="24"/>
        </w:rPr>
        <w:t>Census Recruitment Email from FNS to State Depa</w:t>
      </w:r>
      <w:r w:rsidR="00D3419A">
        <w:rPr>
          <w:szCs w:val="24"/>
        </w:rPr>
        <w:t xml:space="preserve">rtment of Agriculture Directors], </w:t>
      </w:r>
      <w:r w:rsidR="00D3419A" w:rsidRPr="00D3419A">
        <w:rPr>
          <w:szCs w:val="24"/>
        </w:rPr>
        <w:t>P</w:t>
      </w:r>
      <w:r w:rsidR="00D3419A">
        <w:rPr>
          <w:szCs w:val="24"/>
        </w:rPr>
        <w:t xml:space="preserve"> [</w:t>
      </w:r>
      <w:r w:rsidR="00D3419A" w:rsidRPr="00D3419A">
        <w:rPr>
          <w:szCs w:val="24"/>
        </w:rPr>
        <w:t>Census Invitation and Reminder Emails from Study Team to SFAs</w:t>
      </w:r>
      <w:r w:rsidR="00D3419A">
        <w:rPr>
          <w:szCs w:val="24"/>
        </w:rPr>
        <w:t xml:space="preserve">], </w:t>
      </w:r>
      <w:r w:rsidR="00D3419A" w:rsidRPr="00D3419A">
        <w:rPr>
          <w:szCs w:val="24"/>
        </w:rPr>
        <w:t>Q</w:t>
      </w:r>
      <w:r w:rsidR="00D3419A">
        <w:rPr>
          <w:szCs w:val="24"/>
        </w:rPr>
        <w:t xml:space="preserve"> [</w:t>
      </w:r>
      <w:r w:rsidR="00D3419A" w:rsidRPr="00D3419A">
        <w:rPr>
          <w:szCs w:val="24"/>
        </w:rPr>
        <w:t>Census Frequently Asked Questions (FAQs)</w:t>
      </w:r>
      <w:r w:rsidR="00D3419A">
        <w:rPr>
          <w:szCs w:val="24"/>
        </w:rPr>
        <w:t xml:space="preserve">], </w:t>
      </w:r>
      <w:r w:rsidR="00D3419A" w:rsidRPr="00D3419A">
        <w:rPr>
          <w:szCs w:val="24"/>
        </w:rPr>
        <w:t>R</w:t>
      </w:r>
      <w:r w:rsidR="00D3419A">
        <w:rPr>
          <w:szCs w:val="24"/>
        </w:rPr>
        <w:t xml:space="preserve"> [</w:t>
      </w:r>
      <w:r w:rsidR="00D3419A" w:rsidRPr="00D3419A">
        <w:rPr>
          <w:szCs w:val="24"/>
        </w:rPr>
        <w:t>Census Preparation Worksheet</w:t>
      </w:r>
      <w:r w:rsidR="00D3419A">
        <w:rPr>
          <w:szCs w:val="24"/>
        </w:rPr>
        <w:t xml:space="preserve">], </w:t>
      </w:r>
      <w:r w:rsidR="00D3419A" w:rsidRPr="00D3419A">
        <w:rPr>
          <w:szCs w:val="24"/>
        </w:rPr>
        <w:t>S</w:t>
      </w:r>
      <w:r w:rsidR="00D3419A">
        <w:rPr>
          <w:szCs w:val="24"/>
        </w:rPr>
        <w:t xml:space="preserve"> [</w:t>
      </w:r>
      <w:r w:rsidR="00D3419A" w:rsidRPr="00D3419A">
        <w:rPr>
          <w:szCs w:val="24"/>
        </w:rPr>
        <w:t>Census Follow-up Telephone Script</w:t>
      </w:r>
      <w:r w:rsidR="00D3419A">
        <w:rPr>
          <w:szCs w:val="24"/>
        </w:rPr>
        <w:t>], and</w:t>
      </w:r>
    </w:p>
    <w:p w14:paraId="387A8F75" w14:textId="3ABDDB14" w:rsidR="00D3419A" w:rsidRDefault="00D3419A" w:rsidP="00D3419A">
      <w:pPr>
        <w:pStyle w:val="BodyText"/>
        <w:ind w:firstLine="0"/>
        <w:rPr>
          <w:szCs w:val="24"/>
        </w:rPr>
      </w:pPr>
      <w:r w:rsidRPr="00D3419A">
        <w:rPr>
          <w:szCs w:val="24"/>
        </w:rPr>
        <w:t>T</w:t>
      </w:r>
      <w:r>
        <w:rPr>
          <w:szCs w:val="24"/>
        </w:rPr>
        <w:t xml:space="preserve"> [</w:t>
      </w:r>
      <w:r w:rsidRPr="00D3419A">
        <w:rPr>
          <w:szCs w:val="24"/>
        </w:rPr>
        <w:t>Census Thank You Email</w:t>
      </w:r>
      <w:r>
        <w:rPr>
          <w:szCs w:val="24"/>
        </w:rPr>
        <w:t xml:space="preserve">]. </w:t>
      </w:r>
    </w:p>
    <w:p w14:paraId="13B5A388" w14:textId="443A59FE" w:rsidR="004973DF" w:rsidRPr="00A81B0A" w:rsidRDefault="00DF34BA" w:rsidP="00A81B0A">
      <w:pPr>
        <w:pStyle w:val="BodyText"/>
        <w:ind w:firstLine="0"/>
        <w:rPr>
          <w:szCs w:val="24"/>
        </w:rPr>
      </w:pPr>
      <w:r>
        <w:rPr>
          <w:i/>
          <w:szCs w:val="24"/>
        </w:rPr>
        <w:tab/>
      </w:r>
      <w:r w:rsidR="004973DF" w:rsidRPr="00A81B0A">
        <w:rPr>
          <w:b/>
          <w:i/>
          <w:szCs w:val="24"/>
        </w:rPr>
        <w:t>Frequency of information collected</w:t>
      </w:r>
      <w:r w:rsidR="008022DA" w:rsidRPr="00A81B0A">
        <w:rPr>
          <w:b/>
          <w:i/>
          <w:szCs w:val="24"/>
        </w:rPr>
        <w:t>:</w:t>
      </w:r>
      <w:r>
        <w:rPr>
          <w:szCs w:val="24"/>
        </w:rPr>
        <w:t xml:space="preserve"> </w:t>
      </w:r>
      <w:r w:rsidR="006377B5" w:rsidRPr="00A81B0A">
        <w:rPr>
          <w:szCs w:val="24"/>
        </w:rPr>
        <w:t xml:space="preserve">The </w:t>
      </w:r>
      <w:r w:rsidR="00120D5E">
        <w:rPr>
          <w:szCs w:val="24"/>
        </w:rPr>
        <w:t xml:space="preserve">Distributor Interview and </w:t>
      </w:r>
      <w:r w:rsidR="006377B5" w:rsidRPr="00A81B0A">
        <w:rPr>
          <w:szCs w:val="24"/>
        </w:rPr>
        <w:t xml:space="preserve">Census will be completed once in </w:t>
      </w:r>
      <w:r w:rsidR="00F112B5" w:rsidRPr="00A81B0A">
        <w:rPr>
          <w:szCs w:val="24"/>
        </w:rPr>
        <w:t xml:space="preserve">school year 2018-2019 </w:t>
      </w:r>
      <w:r w:rsidR="006377B5" w:rsidRPr="00A81B0A">
        <w:rPr>
          <w:szCs w:val="24"/>
        </w:rPr>
        <w:t xml:space="preserve">with approximately </w:t>
      </w:r>
      <w:r w:rsidR="00120D5E">
        <w:rPr>
          <w:szCs w:val="24"/>
        </w:rPr>
        <w:t xml:space="preserve">20 school food distributors and </w:t>
      </w:r>
      <w:r w:rsidR="006377B5" w:rsidRPr="00A81B0A">
        <w:rPr>
          <w:szCs w:val="24"/>
        </w:rPr>
        <w:t xml:space="preserve">16,000 SFA </w:t>
      </w:r>
      <w:r w:rsidR="00A2074A" w:rsidRPr="00A81B0A">
        <w:rPr>
          <w:szCs w:val="24"/>
        </w:rPr>
        <w:t>d</w:t>
      </w:r>
      <w:r w:rsidR="006377B5" w:rsidRPr="00A81B0A">
        <w:rPr>
          <w:szCs w:val="24"/>
        </w:rPr>
        <w:t>irector</w:t>
      </w:r>
      <w:r w:rsidR="002612F1">
        <w:rPr>
          <w:szCs w:val="24"/>
        </w:rPr>
        <w:t xml:space="preserve"> respondents</w:t>
      </w:r>
      <w:r w:rsidR="00120D5E">
        <w:rPr>
          <w:szCs w:val="24"/>
        </w:rPr>
        <w:t>, respectively</w:t>
      </w:r>
      <w:r w:rsidR="006377B5" w:rsidRPr="00A81B0A">
        <w:rPr>
          <w:szCs w:val="24"/>
        </w:rPr>
        <w:t>.</w:t>
      </w:r>
      <w:r w:rsidR="00F112B5" w:rsidRPr="00A81B0A">
        <w:rPr>
          <w:szCs w:val="24"/>
        </w:rPr>
        <w:t xml:space="preserve"> Data collection will span </w:t>
      </w:r>
      <w:r w:rsidR="000A1F3F" w:rsidRPr="00A81B0A">
        <w:rPr>
          <w:szCs w:val="24"/>
        </w:rPr>
        <w:t>approximately 6 months</w:t>
      </w:r>
      <w:r w:rsidR="00F112B5" w:rsidRPr="00A81B0A">
        <w:rPr>
          <w:szCs w:val="24"/>
        </w:rPr>
        <w:t xml:space="preserve">. </w:t>
      </w:r>
    </w:p>
    <w:p w14:paraId="62B38892" w14:textId="3ED3C820" w:rsidR="00297F0B" w:rsidRPr="00A81B0A" w:rsidRDefault="004973DF" w:rsidP="00A81B0A">
      <w:pPr>
        <w:pStyle w:val="BodyText"/>
        <w:rPr>
          <w:szCs w:val="24"/>
        </w:rPr>
      </w:pPr>
      <w:r w:rsidRPr="00A81B0A">
        <w:rPr>
          <w:b/>
          <w:i/>
          <w:szCs w:val="24"/>
        </w:rPr>
        <w:t>Information shared with any other organizations inside or outside USDA or the government</w:t>
      </w:r>
      <w:r w:rsidR="008022DA" w:rsidRPr="00A81B0A">
        <w:rPr>
          <w:b/>
          <w:i/>
          <w:szCs w:val="24"/>
        </w:rPr>
        <w:t>:</w:t>
      </w:r>
      <w:r w:rsidR="00DF34BA">
        <w:rPr>
          <w:szCs w:val="24"/>
        </w:rPr>
        <w:t xml:space="preserve"> </w:t>
      </w:r>
      <w:r w:rsidR="000A1F3F" w:rsidRPr="00A81B0A">
        <w:rPr>
          <w:szCs w:val="24"/>
        </w:rPr>
        <w:t xml:space="preserve">Results will be presented in aggregated form in the final study report, which will </w:t>
      </w:r>
      <w:r w:rsidR="006C5DB8">
        <w:rPr>
          <w:szCs w:val="24"/>
        </w:rPr>
        <w:t xml:space="preserve">be shared with OCFS and </w:t>
      </w:r>
      <w:r w:rsidR="000A1F3F" w:rsidRPr="00A81B0A">
        <w:rPr>
          <w:szCs w:val="24"/>
        </w:rPr>
        <w:t xml:space="preserve">be made </w:t>
      </w:r>
      <w:r w:rsidR="00F551EF" w:rsidRPr="00A81B0A">
        <w:rPr>
          <w:szCs w:val="24"/>
        </w:rPr>
        <w:t xml:space="preserve">public </w:t>
      </w:r>
      <w:r w:rsidR="000A1F3F" w:rsidRPr="00A81B0A">
        <w:rPr>
          <w:szCs w:val="24"/>
        </w:rPr>
        <w:t xml:space="preserve">on the USDA-FNS website: </w:t>
      </w:r>
      <w:hyperlink r:id="rId15" w:history="1">
        <w:r w:rsidR="000A1F3F" w:rsidRPr="00A81B0A">
          <w:rPr>
            <w:rStyle w:val="Hyperlink"/>
            <w:szCs w:val="24"/>
          </w:rPr>
          <w:t>http://www.fns.usda.gov/ops/research-and-analysis</w:t>
        </w:r>
      </w:hyperlink>
      <w:r w:rsidR="000A1F3F" w:rsidRPr="00A81B0A">
        <w:rPr>
          <w:szCs w:val="24"/>
        </w:rPr>
        <w:t>. Consistent with previous Census data, data from the 2019 Census will also be made publicly available.</w:t>
      </w:r>
      <w:r w:rsidR="000A1F3F" w:rsidRPr="00A81B0A">
        <w:rPr>
          <w:rStyle w:val="FootnoteReference"/>
          <w:szCs w:val="24"/>
        </w:rPr>
        <w:footnoteReference w:id="5"/>
      </w:r>
    </w:p>
    <w:p w14:paraId="3FE8CE6D" w14:textId="4B5D6B12" w:rsidR="004A0F2B" w:rsidRPr="00A81B0A" w:rsidRDefault="004A0F2B" w:rsidP="009A2B24">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outlineLvl w:val="0"/>
        <w:rPr>
          <w:rFonts w:ascii="Arial" w:hAnsi="Arial"/>
          <w:b/>
          <w:sz w:val="24"/>
          <w:szCs w:val="24"/>
        </w:rPr>
      </w:pPr>
      <w:bookmarkStart w:id="6" w:name="_Toc506534083"/>
      <w:bookmarkStart w:id="7" w:name="_Toc506534135"/>
      <w:r w:rsidRPr="00A81B0A">
        <w:rPr>
          <w:rFonts w:ascii="Arial" w:hAnsi="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6"/>
      <w:bookmarkEnd w:id="7"/>
    </w:p>
    <w:p w14:paraId="10CA7DC2" w14:textId="224BE0A9" w:rsidR="007D31D0" w:rsidRPr="00A81B0A" w:rsidRDefault="0018462E" w:rsidP="002F5995">
      <w:pPr>
        <w:pStyle w:val="BodyText"/>
        <w:rPr>
          <w:szCs w:val="24"/>
        </w:rPr>
      </w:pPr>
      <w:r w:rsidRPr="00A81B0A">
        <w:rPr>
          <w:szCs w:val="24"/>
        </w:rPr>
        <w:t>FNS is committed to complying with the E-government Act of 2002 to promote the use of technology. Wherever possible, improved technology has been incorporated into data collection protocols to reduce respondent burden.</w:t>
      </w:r>
      <w:r w:rsidR="00F70079" w:rsidRPr="00A81B0A">
        <w:rPr>
          <w:szCs w:val="24"/>
        </w:rPr>
        <w:t xml:space="preserve"> </w:t>
      </w:r>
    </w:p>
    <w:p w14:paraId="1FBE1756" w14:textId="77BDB32D" w:rsidR="007D31D0" w:rsidRPr="00A81B0A" w:rsidRDefault="007D31D0" w:rsidP="002F5995">
      <w:pPr>
        <w:pStyle w:val="BodyText"/>
        <w:rPr>
          <w:szCs w:val="24"/>
        </w:rPr>
      </w:pPr>
      <w:r w:rsidRPr="00A81B0A">
        <w:rPr>
          <w:szCs w:val="24"/>
        </w:rPr>
        <w:t xml:space="preserve">The </w:t>
      </w:r>
      <w:r w:rsidR="00844E03" w:rsidRPr="00A81B0A">
        <w:rPr>
          <w:szCs w:val="24"/>
        </w:rPr>
        <w:t xml:space="preserve">Distributor </w:t>
      </w:r>
      <w:r w:rsidR="005E4A67" w:rsidRPr="00A81B0A">
        <w:rPr>
          <w:szCs w:val="24"/>
        </w:rPr>
        <w:t xml:space="preserve">Interview (Appendix C) </w:t>
      </w:r>
      <w:r w:rsidRPr="00A81B0A">
        <w:rPr>
          <w:szCs w:val="24"/>
        </w:rPr>
        <w:t>will</w:t>
      </w:r>
      <w:r w:rsidR="00410DEF">
        <w:rPr>
          <w:szCs w:val="24"/>
        </w:rPr>
        <w:t xml:space="preserve"> be conducted by phone and will</w:t>
      </w:r>
      <w:r w:rsidRPr="00A81B0A">
        <w:rPr>
          <w:szCs w:val="24"/>
        </w:rPr>
        <w:t xml:space="preserve"> be </w:t>
      </w:r>
      <w:r w:rsidR="005C406C" w:rsidRPr="00A81B0A">
        <w:rPr>
          <w:szCs w:val="24"/>
        </w:rPr>
        <w:t xml:space="preserve">audio recorded and </w:t>
      </w:r>
      <w:r w:rsidRPr="00A81B0A">
        <w:rPr>
          <w:szCs w:val="24"/>
        </w:rPr>
        <w:t xml:space="preserve">administered using </w:t>
      </w:r>
      <w:r w:rsidR="005C406C" w:rsidRPr="00A81B0A">
        <w:rPr>
          <w:szCs w:val="24"/>
        </w:rPr>
        <w:t xml:space="preserve">an editable PDF </w:t>
      </w:r>
      <w:r w:rsidRPr="00A81B0A">
        <w:rPr>
          <w:szCs w:val="24"/>
        </w:rPr>
        <w:t xml:space="preserve">to efficiently collect complete and accurate data while minimizing respondent burden. </w:t>
      </w:r>
      <w:r w:rsidR="005C406C" w:rsidRPr="00A81B0A">
        <w:rPr>
          <w:szCs w:val="24"/>
        </w:rPr>
        <w:t xml:space="preserve">Staff will be trained prior to conducting </w:t>
      </w:r>
      <w:r w:rsidR="00844E03" w:rsidRPr="00A81B0A">
        <w:rPr>
          <w:szCs w:val="24"/>
        </w:rPr>
        <w:t xml:space="preserve">interviews </w:t>
      </w:r>
      <w:r w:rsidR="005C406C" w:rsidRPr="00A81B0A">
        <w:rPr>
          <w:szCs w:val="24"/>
        </w:rPr>
        <w:t>by phone in order to ensure that they accurately follow skip patterns and omit questions during the interview.</w:t>
      </w:r>
    </w:p>
    <w:p w14:paraId="4C8DC971" w14:textId="5E5C5456" w:rsidR="00410DEF" w:rsidRDefault="00F70079" w:rsidP="002F5995">
      <w:pPr>
        <w:pStyle w:val="BodyText"/>
        <w:rPr>
          <w:szCs w:val="24"/>
        </w:rPr>
      </w:pPr>
      <w:r w:rsidRPr="00A81B0A">
        <w:rPr>
          <w:szCs w:val="24"/>
        </w:rPr>
        <w:t xml:space="preserve">The </w:t>
      </w:r>
      <w:r w:rsidR="0035497F" w:rsidRPr="00A81B0A">
        <w:rPr>
          <w:szCs w:val="24"/>
        </w:rPr>
        <w:t>Census</w:t>
      </w:r>
      <w:r w:rsidRPr="00A81B0A">
        <w:rPr>
          <w:szCs w:val="24"/>
        </w:rPr>
        <w:t xml:space="preserve"> </w:t>
      </w:r>
      <w:r w:rsidR="00B747A0" w:rsidRPr="00A81B0A">
        <w:rPr>
          <w:szCs w:val="24"/>
        </w:rPr>
        <w:t xml:space="preserve">(Appendix </w:t>
      </w:r>
      <w:r w:rsidR="007023DC" w:rsidRPr="00A81B0A">
        <w:rPr>
          <w:szCs w:val="24"/>
        </w:rPr>
        <w:t>D</w:t>
      </w:r>
      <w:r w:rsidR="0014213B">
        <w:rPr>
          <w:szCs w:val="24"/>
        </w:rPr>
        <w:t>/E</w:t>
      </w:r>
      <w:r w:rsidR="00B747A0" w:rsidRPr="00A81B0A">
        <w:rPr>
          <w:szCs w:val="24"/>
        </w:rPr>
        <w:t xml:space="preserve">) </w:t>
      </w:r>
      <w:r w:rsidR="007D31D0" w:rsidRPr="00A81B0A">
        <w:rPr>
          <w:szCs w:val="24"/>
        </w:rPr>
        <w:t>will be conduct</w:t>
      </w:r>
      <w:r w:rsidR="00320922" w:rsidRPr="00A81B0A">
        <w:rPr>
          <w:szCs w:val="24"/>
        </w:rPr>
        <w:t>ed as an online survey</w:t>
      </w:r>
      <w:r w:rsidR="00326DCC" w:rsidRPr="00A81B0A">
        <w:rPr>
          <w:szCs w:val="24"/>
        </w:rPr>
        <w:t xml:space="preserve">. </w:t>
      </w:r>
      <w:r w:rsidR="00410DEF" w:rsidRPr="00410DEF">
        <w:rPr>
          <w:bCs/>
          <w:szCs w:val="24"/>
        </w:rPr>
        <w:t xml:space="preserve"> </w:t>
      </w:r>
      <w:r w:rsidR="00410DEF" w:rsidRPr="00A81B0A">
        <w:rPr>
          <w:bCs/>
          <w:szCs w:val="24"/>
        </w:rPr>
        <w:t>The survey invitation and reminder emails</w:t>
      </w:r>
      <w:r w:rsidR="00410DEF">
        <w:rPr>
          <w:bCs/>
          <w:szCs w:val="24"/>
        </w:rPr>
        <w:t xml:space="preserve"> from the study team to SFAs</w:t>
      </w:r>
      <w:r w:rsidR="00410DEF" w:rsidRPr="00A81B0A">
        <w:rPr>
          <w:bCs/>
          <w:szCs w:val="24"/>
        </w:rPr>
        <w:t xml:space="preserve"> (Appendix P)</w:t>
      </w:r>
      <w:r w:rsidR="00410DEF">
        <w:rPr>
          <w:bCs/>
          <w:szCs w:val="24"/>
        </w:rPr>
        <w:t>, with links to the web survey,</w:t>
      </w:r>
      <w:r w:rsidR="00410DEF" w:rsidRPr="00A81B0A">
        <w:rPr>
          <w:bCs/>
          <w:szCs w:val="24"/>
        </w:rPr>
        <w:t xml:space="preserve"> will be sent using the </w:t>
      </w:r>
      <w:r w:rsidR="00410DEF" w:rsidRPr="00A81B0A">
        <w:rPr>
          <w:szCs w:val="24"/>
        </w:rPr>
        <w:t xml:space="preserve">Confirmit Horizons software package. Like other sophisticated web survey software, Confirmit facilitates the design of input screens that visually guide respondents through the instrument and encourage accurate data entry. </w:t>
      </w:r>
    </w:p>
    <w:p w14:paraId="3227862F" w14:textId="4045571D" w:rsidR="000021D6" w:rsidRPr="00C414E7" w:rsidRDefault="00410DEF" w:rsidP="002F5995">
      <w:pPr>
        <w:pStyle w:val="BodyText"/>
        <w:rPr>
          <w:szCs w:val="24"/>
        </w:rPr>
      </w:pPr>
      <w:r w:rsidRPr="00C414E7">
        <w:rPr>
          <w:szCs w:val="24"/>
        </w:rPr>
        <w:t>While up to 2,681 of initial Census nonrespondents will be offered the opportunity to complete the survey by phone during the follow-up calls (Appendix S), the responses will still be collected through the web survey platform; thus, a</w:t>
      </w:r>
      <w:r w:rsidR="0014213B" w:rsidRPr="00C414E7">
        <w:rPr>
          <w:szCs w:val="24"/>
        </w:rPr>
        <w:t>ll 16,000 anticipated respon</w:t>
      </w:r>
      <w:r w:rsidRPr="00C414E7">
        <w:rPr>
          <w:szCs w:val="24"/>
        </w:rPr>
        <w:t>ses to the Census</w:t>
      </w:r>
      <w:r w:rsidR="0014213B" w:rsidRPr="00C414E7">
        <w:rPr>
          <w:szCs w:val="24"/>
        </w:rPr>
        <w:t xml:space="preserve"> are expected to be completed electronically.</w:t>
      </w:r>
      <w:r w:rsidR="0018462E" w:rsidRPr="00C414E7">
        <w:rPr>
          <w:bCs/>
          <w:szCs w:val="24"/>
        </w:rPr>
        <w:t xml:space="preserve"> </w:t>
      </w:r>
      <w:r w:rsidR="00B769F0" w:rsidRPr="00C414E7">
        <w:rPr>
          <w:szCs w:val="24"/>
        </w:rPr>
        <w:t xml:space="preserve">FNS estimates that out of the </w:t>
      </w:r>
      <w:r w:rsidR="00524027" w:rsidRPr="00C414E7">
        <w:rPr>
          <w:szCs w:val="24"/>
        </w:rPr>
        <w:t>227,965</w:t>
      </w:r>
      <w:r w:rsidR="00B769F0" w:rsidRPr="00C414E7">
        <w:rPr>
          <w:szCs w:val="24"/>
        </w:rPr>
        <w:t xml:space="preserve"> total responses for this collection</w:t>
      </w:r>
      <w:r w:rsidR="00D80971" w:rsidRPr="00C414E7">
        <w:rPr>
          <w:szCs w:val="24"/>
        </w:rPr>
        <w:t xml:space="preserve"> (136,743 from respondents and </w:t>
      </w:r>
      <w:r w:rsidR="00524027" w:rsidRPr="00C414E7">
        <w:rPr>
          <w:szCs w:val="24"/>
        </w:rPr>
        <w:t>91,222</w:t>
      </w:r>
      <w:r w:rsidR="00D80971" w:rsidRPr="00C414E7">
        <w:rPr>
          <w:szCs w:val="24"/>
        </w:rPr>
        <w:t xml:space="preserve"> from nonrespondents)</w:t>
      </w:r>
      <w:r w:rsidR="00B769F0" w:rsidRPr="00C414E7">
        <w:rPr>
          <w:szCs w:val="24"/>
        </w:rPr>
        <w:t xml:space="preserve">, </w:t>
      </w:r>
      <w:r w:rsidR="00D80971" w:rsidRPr="00C414E7">
        <w:rPr>
          <w:szCs w:val="24"/>
        </w:rPr>
        <w:t xml:space="preserve">approximately </w:t>
      </w:r>
      <w:r w:rsidR="00B769F0" w:rsidRPr="00C414E7">
        <w:rPr>
          <w:szCs w:val="24"/>
        </w:rPr>
        <w:t>7</w:t>
      </w:r>
      <w:r w:rsidR="002612F1" w:rsidRPr="00C414E7">
        <w:rPr>
          <w:szCs w:val="24"/>
        </w:rPr>
        <w:t>.</w:t>
      </w:r>
      <w:r w:rsidR="00524027" w:rsidRPr="00C414E7">
        <w:rPr>
          <w:szCs w:val="24"/>
        </w:rPr>
        <w:t>02</w:t>
      </w:r>
      <w:r w:rsidR="00B769F0" w:rsidRPr="00C414E7">
        <w:rPr>
          <w:szCs w:val="24"/>
        </w:rPr>
        <w:t xml:space="preserve"> percent</w:t>
      </w:r>
      <w:r w:rsidR="00D80971" w:rsidRPr="00C414E7">
        <w:rPr>
          <w:szCs w:val="24"/>
        </w:rPr>
        <w:t xml:space="preserve"> (16,000)</w:t>
      </w:r>
      <w:r w:rsidR="00B769F0" w:rsidRPr="00C414E7">
        <w:rPr>
          <w:szCs w:val="24"/>
        </w:rPr>
        <w:t xml:space="preserve"> will be collected electronically.  </w:t>
      </w:r>
    </w:p>
    <w:p w14:paraId="09ED6739" w14:textId="661B0AB3" w:rsidR="004A0F2B" w:rsidRPr="00A81B0A" w:rsidRDefault="004A0F2B" w:rsidP="009A2B24">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outlineLvl w:val="0"/>
        <w:rPr>
          <w:rFonts w:ascii="Arial" w:hAnsi="Arial"/>
          <w:b/>
          <w:sz w:val="24"/>
          <w:szCs w:val="24"/>
        </w:rPr>
      </w:pPr>
      <w:bookmarkStart w:id="8" w:name="_Toc506534084"/>
      <w:bookmarkStart w:id="9" w:name="_Toc506534136"/>
      <w:r w:rsidRPr="00A81B0A">
        <w:rPr>
          <w:rFonts w:ascii="Arial" w:hAnsi="Arial"/>
          <w:b/>
          <w:sz w:val="24"/>
          <w:szCs w:val="24"/>
        </w:rPr>
        <w:t>Describe efforts to identify duplication. Show specifically why any similar information already available cannot be used or modified for use for the purposes described in Item 2 above.</w:t>
      </w:r>
      <w:bookmarkEnd w:id="8"/>
      <w:bookmarkEnd w:id="9"/>
    </w:p>
    <w:p w14:paraId="3A5945EA" w14:textId="28875899" w:rsidR="00C62DBD" w:rsidRPr="00A81B0A" w:rsidRDefault="00F77422" w:rsidP="00EC13A0">
      <w:pPr>
        <w:pStyle w:val="BodyText"/>
        <w:rPr>
          <w:szCs w:val="24"/>
        </w:rPr>
      </w:pPr>
      <w:r w:rsidRPr="00A81B0A">
        <w:rPr>
          <w:szCs w:val="24"/>
        </w:rPr>
        <w:t xml:space="preserve">Every effort has been made to avoid duplication. The data requirements for the study have been carefully reviewed and no similar data collection </w:t>
      </w:r>
      <w:r w:rsidR="002612F1">
        <w:rPr>
          <w:szCs w:val="24"/>
        </w:rPr>
        <w:t xml:space="preserve">is </w:t>
      </w:r>
      <w:r w:rsidRPr="00A81B0A">
        <w:rPr>
          <w:szCs w:val="24"/>
        </w:rPr>
        <w:t>available.</w:t>
      </w:r>
      <w:r w:rsidR="002C1BDB" w:rsidRPr="00A81B0A">
        <w:rPr>
          <w:szCs w:val="24"/>
        </w:rPr>
        <w:t xml:space="preserve"> </w:t>
      </w:r>
      <w:r w:rsidR="00C54EA3" w:rsidRPr="00A81B0A">
        <w:rPr>
          <w:szCs w:val="24"/>
        </w:rPr>
        <w:t xml:space="preserve">The information required for this study is not currently reported to FNS on a regular basis in a standardized form, nor is the information available from any other previous or contemporary study. </w:t>
      </w:r>
      <w:r w:rsidR="0043254E" w:rsidRPr="00A81B0A">
        <w:rPr>
          <w:szCs w:val="24"/>
        </w:rPr>
        <w:t>This third iteration of the Census will allow FNS to make comparisons of farm to school activities and trends nationally across time and help contribute to a comprehensive review of farm t</w:t>
      </w:r>
      <w:r w:rsidR="0085022F" w:rsidRPr="00A81B0A">
        <w:rPr>
          <w:szCs w:val="24"/>
        </w:rPr>
        <w:t xml:space="preserve">o school activities </w:t>
      </w:r>
      <w:r w:rsidR="0043254E" w:rsidRPr="00A81B0A">
        <w:rPr>
          <w:szCs w:val="24"/>
        </w:rPr>
        <w:t xml:space="preserve">since the </w:t>
      </w:r>
      <w:r w:rsidR="0085022F" w:rsidRPr="00A81B0A">
        <w:rPr>
          <w:szCs w:val="24"/>
        </w:rPr>
        <w:t xml:space="preserve">USDA </w:t>
      </w:r>
      <w:r w:rsidR="0043254E" w:rsidRPr="00A81B0A">
        <w:rPr>
          <w:szCs w:val="24"/>
        </w:rPr>
        <w:t xml:space="preserve">Farm to School grant </w:t>
      </w:r>
      <w:r w:rsidR="0085022F" w:rsidRPr="00A81B0A">
        <w:rPr>
          <w:szCs w:val="24"/>
        </w:rPr>
        <w:t>program was established</w:t>
      </w:r>
      <w:r w:rsidR="0043254E" w:rsidRPr="00A81B0A">
        <w:rPr>
          <w:szCs w:val="24"/>
        </w:rPr>
        <w:t xml:space="preserve"> in 2010. </w:t>
      </w:r>
      <w:r w:rsidR="00770632" w:rsidRPr="00A81B0A">
        <w:rPr>
          <w:szCs w:val="24"/>
        </w:rPr>
        <w:t>Additionally, t</w:t>
      </w:r>
      <w:r w:rsidR="002C1BDB" w:rsidRPr="00A81B0A">
        <w:rPr>
          <w:szCs w:val="24"/>
        </w:rPr>
        <w:t>he study team has engaged in a literature review and gap analysis task to identify evidence gaps not already addressed in existing literature or other data collections</w:t>
      </w:r>
      <w:r w:rsidR="0090321E" w:rsidRPr="00A81B0A">
        <w:rPr>
          <w:szCs w:val="24"/>
        </w:rPr>
        <w:t xml:space="preserve">, and to ensure that </w:t>
      </w:r>
      <w:r w:rsidR="00844E03" w:rsidRPr="00A81B0A">
        <w:rPr>
          <w:szCs w:val="24"/>
        </w:rPr>
        <w:t>interview/</w:t>
      </w:r>
      <w:r w:rsidR="0090321E" w:rsidRPr="00A81B0A">
        <w:rPr>
          <w:szCs w:val="24"/>
        </w:rPr>
        <w:t xml:space="preserve">survey questions </w:t>
      </w:r>
      <w:r w:rsidR="003E5F03" w:rsidRPr="00A81B0A">
        <w:rPr>
          <w:szCs w:val="24"/>
        </w:rPr>
        <w:t xml:space="preserve">for both the </w:t>
      </w:r>
      <w:r w:rsidR="001D4741" w:rsidRPr="00A81B0A">
        <w:rPr>
          <w:szCs w:val="24"/>
        </w:rPr>
        <w:t>Distributor Interview</w:t>
      </w:r>
      <w:r w:rsidR="0035497F" w:rsidRPr="00A81B0A">
        <w:rPr>
          <w:szCs w:val="24"/>
        </w:rPr>
        <w:t xml:space="preserve"> </w:t>
      </w:r>
      <w:r w:rsidR="007023DC" w:rsidRPr="00A81B0A">
        <w:rPr>
          <w:szCs w:val="24"/>
        </w:rPr>
        <w:t xml:space="preserve">(Appendix C) </w:t>
      </w:r>
      <w:r w:rsidR="003E5F03" w:rsidRPr="00A81B0A">
        <w:rPr>
          <w:szCs w:val="24"/>
        </w:rPr>
        <w:t xml:space="preserve">and Census </w:t>
      </w:r>
      <w:r w:rsidR="007023DC" w:rsidRPr="00A81B0A">
        <w:rPr>
          <w:szCs w:val="24"/>
        </w:rPr>
        <w:t>(Appendix D</w:t>
      </w:r>
      <w:r w:rsidR="00394C36">
        <w:rPr>
          <w:szCs w:val="24"/>
        </w:rPr>
        <w:t>/E</w:t>
      </w:r>
      <w:r w:rsidR="007023DC" w:rsidRPr="00A81B0A">
        <w:rPr>
          <w:szCs w:val="24"/>
        </w:rPr>
        <w:t xml:space="preserve">) </w:t>
      </w:r>
      <w:r w:rsidR="0090321E" w:rsidRPr="00A81B0A">
        <w:rPr>
          <w:szCs w:val="24"/>
        </w:rPr>
        <w:t>are not duplicative with</w:t>
      </w:r>
      <w:r w:rsidR="00604E0B" w:rsidRPr="00A81B0A">
        <w:rPr>
          <w:szCs w:val="24"/>
        </w:rPr>
        <w:t xml:space="preserve"> other data collections</w:t>
      </w:r>
      <w:r w:rsidR="002C1BDB" w:rsidRPr="00A81B0A">
        <w:rPr>
          <w:szCs w:val="24"/>
        </w:rPr>
        <w:t>.</w:t>
      </w:r>
      <w:r w:rsidRPr="00A81B0A">
        <w:rPr>
          <w:szCs w:val="24"/>
        </w:rPr>
        <w:t xml:space="preserve"> </w:t>
      </w:r>
      <w:r w:rsidR="00C62DBD" w:rsidRPr="00A81B0A">
        <w:rPr>
          <w:szCs w:val="24"/>
        </w:rPr>
        <w:t xml:space="preserve">This is a new </w:t>
      </w:r>
      <w:r w:rsidR="002612F1">
        <w:rPr>
          <w:szCs w:val="24"/>
        </w:rPr>
        <w:t xml:space="preserve">information </w:t>
      </w:r>
      <w:r w:rsidR="00C62DBD" w:rsidRPr="00A81B0A">
        <w:rPr>
          <w:szCs w:val="24"/>
        </w:rPr>
        <w:t xml:space="preserve">collection. </w:t>
      </w:r>
    </w:p>
    <w:p w14:paraId="059ADD48" w14:textId="3E8F42AF" w:rsidR="004A0F2B" w:rsidRPr="00A81B0A" w:rsidRDefault="004A0F2B" w:rsidP="009A2B24">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outlineLvl w:val="0"/>
        <w:rPr>
          <w:rFonts w:ascii="Arial" w:hAnsi="Arial"/>
          <w:b/>
          <w:sz w:val="24"/>
          <w:szCs w:val="24"/>
        </w:rPr>
      </w:pPr>
      <w:bookmarkStart w:id="10" w:name="_Toc506534085"/>
      <w:bookmarkStart w:id="11" w:name="_Toc506534137"/>
      <w:r w:rsidRPr="00A81B0A">
        <w:rPr>
          <w:rFonts w:ascii="Arial" w:hAnsi="Arial"/>
          <w:b/>
          <w:sz w:val="24"/>
          <w:szCs w:val="24"/>
        </w:rPr>
        <w:t>If the collection of information impacts small businesses or other small entities (Item 5 of OMB Form 83-I), describe any methods used to minimize burden.</w:t>
      </w:r>
      <w:bookmarkEnd w:id="10"/>
      <w:bookmarkEnd w:id="11"/>
    </w:p>
    <w:p w14:paraId="64FF6314" w14:textId="1D4D00C5" w:rsidR="00C21530" w:rsidRPr="00A81B0A" w:rsidRDefault="00C31770" w:rsidP="00C21530">
      <w:pPr>
        <w:pStyle w:val="BodyText"/>
        <w:rPr>
          <w:bCs/>
          <w:szCs w:val="24"/>
        </w:rPr>
      </w:pPr>
      <w:r w:rsidRPr="00A81B0A">
        <w:rPr>
          <w:szCs w:val="24"/>
        </w:rPr>
        <w:t xml:space="preserve">FNS estimates that one percent of potential respondents (approximately 200 SFAs) will be </w:t>
      </w:r>
      <w:r w:rsidR="00D74A46" w:rsidRPr="00A81B0A">
        <w:rPr>
          <w:szCs w:val="24"/>
        </w:rPr>
        <w:t>“small entities” as defined by OMB Form 83-I.</w:t>
      </w:r>
      <w:r w:rsidR="00D74A46" w:rsidRPr="00A81B0A">
        <w:rPr>
          <w:bCs/>
          <w:szCs w:val="24"/>
        </w:rPr>
        <w:t xml:space="preserve"> </w:t>
      </w:r>
      <w:r w:rsidR="00C21530" w:rsidRPr="00A81B0A">
        <w:rPr>
          <w:bCs/>
          <w:szCs w:val="24"/>
        </w:rPr>
        <w:t>Information being requested has been held to the minimum required for the intended use. Although there are small SFAs in this data collection effort, they deliver the same program benefits and perform the same function as any other SFA. Collecting the requested information will not have a significant economic impact on these small entities.</w:t>
      </w:r>
    </w:p>
    <w:p w14:paraId="4AD90B93" w14:textId="42594FBF" w:rsidR="004A0F2B" w:rsidRPr="00A81B0A" w:rsidRDefault="004A0F2B" w:rsidP="009A2B24">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outlineLvl w:val="0"/>
        <w:rPr>
          <w:rFonts w:ascii="Arial" w:hAnsi="Arial"/>
          <w:b/>
          <w:sz w:val="24"/>
          <w:szCs w:val="24"/>
        </w:rPr>
      </w:pPr>
      <w:bookmarkStart w:id="12" w:name="_Toc506534086"/>
      <w:bookmarkStart w:id="13" w:name="_Toc506534138"/>
      <w:r w:rsidRPr="00A81B0A">
        <w:rPr>
          <w:rFonts w:ascii="Arial" w:hAnsi="Arial"/>
          <w:b/>
          <w:sz w:val="24"/>
          <w:szCs w:val="24"/>
        </w:rPr>
        <w:t>Describe the consequence to Federal program or policy activities if the collection is not conducted or is conducted less frequently, as well as any technical or legal obstacles to reducing burden.</w:t>
      </w:r>
      <w:bookmarkEnd w:id="12"/>
      <w:bookmarkEnd w:id="13"/>
    </w:p>
    <w:p w14:paraId="62E88723" w14:textId="6B5EA9B1" w:rsidR="00137489" w:rsidRPr="00A81B0A" w:rsidRDefault="00F90D14" w:rsidP="0085022F">
      <w:pPr>
        <w:pStyle w:val="BodyText"/>
        <w:rPr>
          <w:szCs w:val="24"/>
        </w:rPr>
      </w:pPr>
      <w:r w:rsidRPr="00A81B0A">
        <w:rPr>
          <w:szCs w:val="24"/>
        </w:rPr>
        <w:t>The data collection for the proposed study will be conducted one time only</w:t>
      </w:r>
      <w:r w:rsidR="00A765CC" w:rsidRPr="00A81B0A">
        <w:rPr>
          <w:szCs w:val="24"/>
        </w:rPr>
        <w:t xml:space="preserve"> during SY</w:t>
      </w:r>
      <w:r w:rsidR="00CD6A88" w:rsidRPr="00A81B0A">
        <w:rPr>
          <w:szCs w:val="24"/>
        </w:rPr>
        <w:t xml:space="preserve"> 20</w:t>
      </w:r>
      <w:r w:rsidR="00A765CC" w:rsidRPr="00A81B0A">
        <w:rPr>
          <w:szCs w:val="24"/>
        </w:rPr>
        <w:t>1</w:t>
      </w:r>
      <w:r w:rsidR="00C54EA3" w:rsidRPr="00A81B0A">
        <w:rPr>
          <w:szCs w:val="24"/>
        </w:rPr>
        <w:t>8</w:t>
      </w:r>
      <w:r w:rsidR="00A765CC" w:rsidRPr="00A81B0A">
        <w:rPr>
          <w:szCs w:val="24"/>
        </w:rPr>
        <w:t>-</w:t>
      </w:r>
      <w:r w:rsidR="00C54EA3" w:rsidRPr="00A81B0A">
        <w:rPr>
          <w:szCs w:val="24"/>
        </w:rPr>
        <w:t>19</w:t>
      </w:r>
      <w:r w:rsidRPr="00A81B0A">
        <w:rPr>
          <w:szCs w:val="24"/>
        </w:rPr>
        <w:t xml:space="preserve">. </w:t>
      </w:r>
      <w:r w:rsidR="00A765CC" w:rsidRPr="00A81B0A">
        <w:rPr>
          <w:szCs w:val="24"/>
        </w:rPr>
        <w:t xml:space="preserve">These data are essential to track the farm to school efforts nationwide. </w:t>
      </w:r>
      <w:r w:rsidRPr="00A81B0A">
        <w:rPr>
          <w:szCs w:val="24"/>
        </w:rPr>
        <w:t xml:space="preserve">Without this information, FNS will not be able to </w:t>
      </w:r>
      <w:r w:rsidR="00A765CC" w:rsidRPr="00A81B0A">
        <w:rPr>
          <w:szCs w:val="24"/>
        </w:rPr>
        <w:t xml:space="preserve">fully </w:t>
      </w:r>
      <w:r w:rsidRPr="00A81B0A">
        <w:rPr>
          <w:szCs w:val="24"/>
        </w:rPr>
        <w:t>assess</w:t>
      </w:r>
      <w:r w:rsidR="00A92083" w:rsidRPr="00A81B0A">
        <w:rPr>
          <w:szCs w:val="24"/>
        </w:rPr>
        <w:t xml:space="preserve"> the benefits of farm to school activities and its progress.</w:t>
      </w:r>
      <w:r w:rsidR="00465966" w:rsidRPr="00A81B0A">
        <w:rPr>
          <w:szCs w:val="24"/>
        </w:rPr>
        <w:t xml:space="preserve"> </w:t>
      </w:r>
      <w:r w:rsidR="00D246BF" w:rsidRPr="00A81B0A">
        <w:rPr>
          <w:szCs w:val="24"/>
        </w:rPr>
        <w:t xml:space="preserve">Specifically, in an effort to measure progress towards increasing the availability of local foods in schools, the </w:t>
      </w:r>
      <w:r w:rsidR="00C54EA3" w:rsidRPr="00A81B0A">
        <w:rPr>
          <w:szCs w:val="24"/>
        </w:rPr>
        <w:t xml:space="preserve">FNS </w:t>
      </w:r>
      <w:r w:rsidR="00D246BF" w:rsidRPr="00A81B0A">
        <w:rPr>
          <w:szCs w:val="24"/>
        </w:rPr>
        <w:t xml:space="preserve">OCFS conducted a nationwide Farm to School Census in </w:t>
      </w:r>
      <w:r w:rsidR="002612F1">
        <w:rPr>
          <w:szCs w:val="24"/>
        </w:rPr>
        <w:t xml:space="preserve">both </w:t>
      </w:r>
      <w:r w:rsidR="00D246BF" w:rsidRPr="00A81B0A">
        <w:rPr>
          <w:szCs w:val="24"/>
        </w:rPr>
        <w:t xml:space="preserve">2013 and 2015. The 2019 Census instrument </w:t>
      </w:r>
      <w:r w:rsidR="006F7622" w:rsidRPr="00A81B0A">
        <w:rPr>
          <w:szCs w:val="24"/>
        </w:rPr>
        <w:t>(Appendix D</w:t>
      </w:r>
      <w:r w:rsidR="00F5080A">
        <w:rPr>
          <w:szCs w:val="24"/>
        </w:rPr>
        <w:t>/E</w:t>
      </w:r>
      <w:r w:rsidR="006F7622" w:rsidRPr="00A81B0A">
        <w:rPr>
          <w:szCs w:val="24"/>
        </w:rPr>
        <w:t xml:space="preserve">) </w:t>
      </w:r>
      <w:r w:rsidR="00D246BF" w:rsidRPr="00A81B0A">
        <w:rPr>
          <w:szCs w:val="24"/>
        </w:rPr>
        <w:t>will be based on the 2013 and 2015 Census,</w:t>
      </w:r>
      <w:r w:rsidR="0085022F" w:rsidRPr="00A81B0A">
        <w:rPr>
          <w:szCs w:val="24"/>
        </w:rPr>
        <w:t xml:space="preserve"> </w:t>
      </w:r>
      <w:r w:rsidR="00D246BF" w:rsidRPr="00A81B0A">
        <w:rPr>
          <w:szCs w:val="24"/>
        </w:rPr>
        <w:t xml:space="preserve">allowing the study team to look at trends over time and consider longer-term implications of the findings. </w:t>
      </w:r>
      <w:r w:rsidR="0085022F" w:rsidRPr="00A81B0A">
        <w:rPr>
          <w:szCs w:val="24"/>
        </w:rPr>
        <w:t xml:space="preserve">Data collected from the 2019 Census will provide needed information on farm to school programming (gardens, salad bars, education) and local foods purchases (sourcing, procurement, variety of items) at the SFA and school levels, and will help FNS to address challenges with the program and inform FNS farm to school technical assistance activities provided to </w:t>
      </w:r>
      <w:r w:rsidR="00F5080A">
        <w:rPr>
          <w:szCs w:val="24"/>
        </w:rPr>
        <w:t>S</w:t>
      </w:r>
      <w:r w:rsidR="00F5080A" w:rsidRPr="00A81B0A">
        <w:rPr>
          <w:szCs w:val="24"/>
        </w:rPr>
        <w:t>tates</w:t>
      </w:r>
      <w:r w:rsidR="0085022F" w:rsidRPr="00A81B0A">
        <w:rPr>
          <w:szCs w:val="24"/>
        </w:rPr>
        <w:t xml:space="preserve">. </w:t>
      </w:r>
      <w:r w:rsidR="00465966" w:rsidRPr="00A81B0A">
        <w:rPr>
          <w:szCs w:val="24"/>
        </w:rPr>
        <w:t>Further, without information from the</w:t>
      </w:r>
      <w:r w:rsidR="00137489" w:rsidRPr="00A81B0A">
        <w:rPr>
          <w:rFonts w:cstheme="minorHAnsi"/>
          <w:szCs w:val="24"/>
        </w:rPr>
        <w:t xml:space="preserve"> </w:t>
      </w:r>
      <w:r w:rsidR="001D4741" w:rsidRPr="00A81B0A">
        <w:rPr>
          <w:rFonts w:cstheme="minorHAnsi"/>
          <w:szCs w:val="24"/>
        </w:rPr>
        <w:t>Distributor Interview</w:t>
      </w:r>
      <w:r w:rsidR="006F7622" w:rsidRPr="00A81B0A">
        <w:rPr>
          <w:rFonts w:cstheme="minorHAnsi"/>
          <w:szCs w:val="24"/>
        </w:rPr>
        <w:t xml:space="preserve"> (Appendix C)</w:t>
      </w:r>
      <w:r w:rsidR="00465966" w:rsidRPr="00A81B0A">
        <w:rPr>
          <w:rFonts w:cstheme="minorHAnsi"/>
          <w:szCs w:val="24"/>
        </w:rPr>
        <w:t xml:space="preserve">, FNS will not </w:t>
      </w:r>
      <w:r w:rsidR="00137489" w:rsidRPr="00A81B0A">
        <w:rPr>
          <w:rFonts w:cstheme="minorHAnsi"/>
          <w:szCs w:val="24"/>
        </w:rPr>
        <w:t xml:space="preserve">obtain </w:t>
      </w:r>
      <w:r w:rsidR="00465966" w:rsidRPr="00A81B0A">
        <w:rPr>
          <w:rFonts w:cstheme="minorHAnsi"/>
          <w:szCs w:val="24"/>
        </w:rPr>
        <w:t>critical information on the</w:t>
      </w:r>
      <w:r w:rsidR="00137489" w:rsidRPr="00A81B0A">
        <w:rPr>
          <w:rFonts w:cstheme="minorHAnsi"/>
          <w:szCs w:val="24"/>
        </w:rPr>
        <w:t xml:space="preserve"> processes, challenges, and economic scope and i</w:t>
      </w:r>
      <w:r w:rsidR="0029359E" w:rsidRPr="00A81B0A">
        <w:rPr>
          <w:rFonts w:cstheme="minorHAnsi"/>
          <w:szCs w:val="24"/>
        </w:rPr>
        <w:t>mpacts of local food purchases.</w:t>
      </w:r>
    </w:p>
    <w:p w14:paraId="5DF7D66E" w14:textId="3D23A9D7" w:rsidR="004A0F2B" w:rsidRPr="00A81B0A" w:rsidRDefault="004A0F2B" w:rsidP="009A2B24">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outlineLvl w:val="0"/>
        <w:rPr>
          <w:rFonts w:ascii="Arial" w:hAnsi="Arial"/>
          <w:b/>
          <w:sz w:val="24"/>
          <w:szCs w:val="24"/>
        </w:rPr>
      </w:pPr>
      <w:bookmarkStart w:id="14" w:name="_Toc506534087"/>
      <w:bookmarkStart w:id="15" w:name="_Toc506534139"/>
      <w:r w:rsidRPr="00A81B0A">
        <w:rPr>
          <w:rFonts w:ascii="Arial" w:hAnsi="Arial"/>
          <w:b/>
          <w:sz w:val="24"/>
          <w:szCs w:val="24"/>
        </w:rPr>
        <w:t>Explain any special circumstances that require the collection to be conducted in a manner</w:t>
      </w:r>
      <w:r w:rsidR="00C54EA3" w:rsidRPr="00A81B0A">
        <w:rPr>
          <w:rFonts w:ascii="Arial" w:hAnsi="Arial"/>
          <w:b/>
          <w:sz w:val="24"/>
          <w:szCs w:val="24"/>
        </w:rPr>
        <w:t>:</w:t>
      </w:r>
      <w:r w:rsidRPr="00A81B0A">
        <w:rPr>
          <w:rFonts w:ascii="Arial" w:hAnsi="Arial"/>
          <w:b/>
          <w:sz w:val="24"/>
          <w:szCs w:val="24"/>
        </w:rPr>
        <w:t xml:space="preserve"> </w:t>
      </w:r>
      <w:bookmarkEnd w:id="14"/>
      <w:bookmarkEnd w:id="15"/>
    </w:p>
    <w:p w14:paraId="52CDF6C7" w14:textId="77777777" w:rsidR="00CD6A88" w:rsidRPr="00A81B0A" w:rsidRDefault="00CD6A88" w:rsidP="004D34A4">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outlineLvl w:val="0"/>
        <w:rPr>
          <w:rFonts w:ascii="Arial" w:hAnsi="Arial"/>
          <w:b/>
          <w:sz w:val="24"/>
          <w:szCs w:val="24"/>
        </w:rPr>
      </w:pPr>
      <w:r w:rsidRPr="00A81B0A">
        <w:rPr>
          <w:rFonts w:ascii="Arial" w:hAnsi="Arial"/>
          <w:b/>
          <w:sz w:val="24"/>
          <w:szCs w:val="24"/>
        </w:rPr>
        <w:t>requiring respondents to report information to the agency more often than quarterly;</w:t>
      </w:r>
    </w:p>
    <w:p w14:paraId="428112D3" w14:textId="4FD9F504" w:rsidR="00CD6A88" w:rsidRPr="00A81B0A" w:rsidRDefault="00CD6A88" w:rsidP="004D34A4">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outlineLvl w:val="0"/>
        <w:rPr>
          <w:rFonts w:ascii="Arial" w:hAnsi="Arial"/>
          <w:b/>
          <w:sz w:val="24"/>
          <w:szCs w:val="24"/>
        </w:rPr>
      </w:pPr>
      <w:r w:rsidRPr="00A81B0A">
        <w:rPr>
          <w:rFonts w:ascii="Arial" w:hAnsi="Arial"/>
          <w:b/>
          <w:sz w:val="24"/>
          <w:szCs w:val="24"/>
        </w:rPr>
        <w:t>requiring respondents to prepare a written response to a collection of information in fewer than 30 days after receipt of it;</w:t>
      </w:r>
    </w:p>
    <w:p w14:paraId="6CBBFD05" w14:textId="559EEC73" w:rsidR="00CD6A88" w:rsidRPr="00A81B0A" w:rsidRDefault="00CD6A88" w:rsidP="004D34A4">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outlineLvl w:val="0"/>
        <w:rPr>
          <w:rFonts w:ascii="Arial" w:hAnsi="Arial"/>
          <w:b/>
          <w:sz w:val="24"/>
          <w:szCs w:val="24"/>
        </w:rPr>
      </w:pPr>
      <w:r w:rsidRPr="00A81B0A">
        <w:rPr>
          <w:rFonts w:ascii="Arial" w:hAnsi="Arial"/>
          <w:b/>
          <w:sz w:val="24"/>
          <w:szCs w:val="24"/>
        </w:rPr>
        <w:t>requiring respondents to submit more than an original and two copies of any document;</w:t>
      </w:r>
    </w:p>
    <w:p w14:paraId="02E696E4" w14:textId="11BFC335" w:rsidR="00CD6A88" w:rsidRPr="00A81B0A" w:rsidRDefault="00CD6A88" w:rsidP="004D34A4">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outlineLvl w:val="0"/>
        <w:rPr>
          <w:rFonts w:ascii="Arial" w:hAnsi="Arial"/>
          <w:b/>
          <w:sz w:val="24"/>
          <w:szCs w:val="24"/>
        </w:rPr>
      </w:pPr>
      <w:r w:rsidRPr="00A81B0A">
        <w:rPr>
          <w:rFonts w:ascii="Arial" w:hAnsi="Arial"/>
          <w:b/>
          <w:sz w:val="24"/>
          <w:szCs w:val="24"/>
        </w:rPr>
        <w:t>requiring respondents to retain records, other than health, medical, government contract, grant-in-aid, or tax records for more than three years;</w:t>
      </w:r>
    </w:p>
    <w:p w14:paraId="633755DC" w14:textId="01C6C3C4" w:rsidR="00CD6A88" w:rsidRPr="00A81B0A" w:rsidRDefault="00CD6A88" w:rsidP="004D34A4">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outlineLvl w:val="0"/>
        <w:rPr>
          <w:rFonts w:ascii="Arial" w:hAnsi="Arial"/>
          <w:b/>
          <w:sz w:val="24"/>
          <w:szCs w:val="24"/>
        </w:rPr>
      </w:pPr>
      <w:r w:rsidRPr="00A81B0A">
        <w:rPr>
          <w:rFonts w:ascii="Arial" w:hAnsi="Arial"/>
          <w:b/>
          <w:sz w:val="24"/>
          <w:szCs w:val="24"/>
        </w:rPr>
        <w:t>in connection with a statistical survey, that is not designed to produce valid and reliable results that can be generalized to the universe of study;</w:t>
      </w:r>
    </w:p>
    <w:p w14:paraId="5CE5B921" w14:textId="6AF6134D" w:rsidR="00CD6A88" w:rsidRPr="00A81B0A" w:rsidRDefault="00CD6A88" w:rsidP="004D34A4">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outlineLvl w:val="0"/>
        <w:rPr>
          <w:rFonts w:ascii="Arial" w:hAnsi="Arial"/>
          <w:b/>
          <w:sz w:val="24"/>
          <w:szCs w:val="24"/>
        </w:rPr>
      </w:pPr>
      <w:r w:rsidRPr="00A81B0A">
        <w:rPr>
          <w:rFonts w:ascii="Arial" w:hAnsi="Arial"/>
          <w:b/>
          <w:sz w:val="24"/>
          <w:szCs w:val="24"/>
        </w:rPr>
        <w:t>requiring the use of a statistical data classification that has not been reviewed and approved by OMB;</w:t>
      </w:r>
    </w:p>
    <w:p w14:paraId="73FC2085" w14:textId="699095B8" w:rsidR="00CD6A88" w:rsidRPr="00A81B0A" w:rsidRDefault="00CD6A88" w:rsidP="004D34A4">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outlineLvl w:val="0"/>
        <w:rPr>
          <w:rFonts w:ascii="Arial" w:hAnsi="Arial"/>
          <w:b/>
          <w:sz w:val="24"/>
          <w:szCs w:val="24"/>
        </w:rPr>
      </w:pPr>
      <w:r w:rsidRPr="00A81B0A">
        <w:rPr>
          <w:rFonts w:ascii="Arial" w:hAnsi="Arial"/>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11CEC8C" w14:textId="474FA29F" w:rsidR="00CD6A88" w:rsidRPr="00A81B0A" w:rsidRDefault="00CD6A88" w:rsidP="004D34A4">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outlineLvl w:val="0"/>
        <w:rPr>
          <w:rFonts w:ascii="Arial" w:hAnsi="Arial"/>
          <w:b/>
          <w:sz w:val="24"/>
          <w:szCs w:val="24"/>
        </w:rPr>
      </w:pPr>
      <w:r w:rsidRPr="00A81B0A">
        <w:rPr>
          <w:rFonts w:ascii="Arial" w:hAnsi="Arial"/>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07EA2BA2" w14:textId="17C1E78C" w:rsidR="004A0F2B" w:rsidRPr="00A81B0A" w:rsidRDefault="004A0F2B" w:rsidP="002F5995">
      <w:pPr>
        <w:pStyle w:val="BodyText"/>
        <w:rPr>
          <w:szCs w:val="24"/>
        </w:rPr>
      </w:pPr>
      <w:r w:rsidRPr="00A81B0A">
        <w:rPr>
          <w:szCs w:val="24"/>
        </w:rPr>
        <w:t xml:space="preserve">There are no special circumstances. </w:t>
      </w:r>
      <w:r w:rsidR="001A3624" w:rsidRPr="00A81B0A">
        <w:rPr>
          <w:szCs w:val="24"/>
        </w:rPr>
        <w:t>The collection of information is conducted in a manner consistent with the guidelines in CFR 1320.5.</w:t>
      </w:r>
    </w:p>
    <w:p w14:paraId="3733723D" w14:textId="49FDC0B6" w:rsidR="00A765CC" w:rsidRPr="00A81B0A" w:rsidRDefault="00CD6A88" w:rsidP="004D34A4">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outlineLvl w:val="0"/>
        <w:rPr>
          <w:rFonts w:ascii="Arial" w:hAnsi="Arial" w:cs="Arial"/>
          <w:b/>
          <w:sz w:val="24"/>
          <w:szCs w:val="24"/>
        </w:rPr>
      </w:pPr>
      <w:bookmarkStart w:id="16" w:name="_Toc506534088"/>
      <w:bookmarkStart w:id="17" w:name="_Toc506534140"/>
      <w:r w:rsidRPr="00A81B0A">
        <w:rPr>
          <w:rFonts w:ascii="Arial" w:hAnsi="Arial"/>
          <w:b/>
          <w:sz w:val="24"/>
          <w:szCs w:val="24"/>
        </w:rPr>
        <w:t xml:space="preserve">If applicable, provide </w:t>
      </w:r>
      <w:r w:rsidR="004A0F2B" w:rsidRPr="00A81B0A">
        <w:rPr>
          <w:rFonts w:ascii="Arial" w:hAnsi="Arial"/>
          <w:b/>
          <w:sz w:val="24"/>
          <w:szCs w:val="24"/>
        </w:rPr>
        <w:t xml:space="preserve">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w:t>
      </w:r>
      <w:r w:rsidR="004A0F2B" w:rsidRPr="00A81B0A">
        <w:rPr>
          <w:rFonts w:ascii="Arial" w:hAnsi="Arial" w:cs="Arial"/>
          <w:b/>
          <w:sz w:val="24"/>
          <w:szCs w:val="24"/>
        </w:rPr>
        <w:t>these comments.</w:t>
      </w:r>
      <w:bookmarkEnd w:id="16"/>
      <w:bookmarkEnd w:id="17"/>
    </w:p>
    <w:p w14:paraId="11FB5B36" w14:textId="1BE24C8F" w:rsidR="00A765CC" w:rsidRPr="00A81B0A" w:rsidRDefault="00A765CC" w:rsidP="0043588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360"/>
        <w:outlineLvl w:val="0"/>
        <w:rPr>
          <w:rFonts w:ascii="Arial" w:hAnsi="Arial" w:cs="Arial"/>
          <w:b/>
          <w:sz w:val="24"/>
          <w:szCs w:val="24"/>
        </w:rPr>
      </w:pPr>
      <w:r w:rsidRPr="00A81B0A">
        <w:rPr>
          <w:rFonts w:ascii="Arial" w:hAnsi="Arial" w:cs="Arial"/>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D18BF15" w14:textId="19868C82" w:rsidR="00A765CC" w:rsidRPr="00A81B0A" w:rsidRDefault="00A765CC" w:rsidP="0043588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360"/>
        <w:outlineLvl w:val="0"/>
        <w:rPr>
          <w:rFonts w:ascii="Arial" w:hAnsi="Arial" w:cs="Arial"/>
          <w:b/>
          <w:sz w:val="24"/>
          <w:szCs w:val="24"/>
        </w:rPr>
      </w:pPr>
      <w:r w:rsidRPr="00A81B0A">
        <w:rPr>
          <w:rFonts w:ascii="Arial" w:hAnsi="Arial" w:cs="Arial"/>
          <w:b/>
          <w:sz w:val="24"/>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63FA6715" w14:textId="7B80F660" w:rsidR="004E0643" w:rsidRPr="00A81B0A" w:rsidRDefault="00A765CC" w:rsidP="00A81B0A">
      <w:pPr>
        <w:pStyle w:val="BodyText"/>
        <w:rPr>
          <w:szCs w:val="24"/>
        </w:rPr>
      </w:pPr>
      <w:r w:rsidRPr="00A81B0A">
        <w:rPr>
          <w:b/>
          <w:i/>
          <w:szCs w:val="24"/>
        </w:rPr>
        <w:t>Federal Register Notice and Comments</w:t>
      </w:r>
      <w:r w:rsidR="00DF34BA" w:rsidRPr="00A81B0A">
        <w:rPr>
          <w:i/>
          <w:szCs w:val="24"/>
        </w:rPr>
        <w:t xml:space="preserve">: </w:t>
      </w:r>
      <w:r w:rsidR="0013743A">
        <w:rPr>
          <w:szCs w:val="24"/>
        </w:rPr>
        <w:t>FNS</w:t>
      </w:r>
      <w:r w:rsidR="00D74A46" w:rsidRPr="00A81B0A">
        <w:rPr>
          <w:szCs w:val="24"/>
        </w:rPr>
        <w:t xml:space="preserve"> published a notice in the </w:t>
      </w:r>
      <w:r w:rsidR="00D74A46" w:rsidRPr="00A81B0A">
        <w:rPr>
          <w:i/>
          <w:szCs w:val="24"/>
        </w:rPr>
        <w:t>Federal Register</w:t>
      </w:r>
      <w:r w:rsidR="00D74A46" w:rsidRPr="00A81B0A">
        <w:rPr>
          <w:szCs w:val="24"/>
        </w:rPr>
        <w:t xml:space="preserve"> </w:t>
      </w:r>
      <w:r w:rsidR="00CD6A88" w:rsidRPr="00A81B0A">
        <w:rPr>
          <w:szCs w:val="24"/>
        </w:rPr>
        <w:t xml:space="preserve">(Volume 83 Number 53, Pages 11955-11958) on </w:t>
      </w:r>
      <w:r w:rsidR="00610C46" w:rsidRPr="00A81B0A">
        <w:rPr>
          <w:szCs w:val="24"/>
        </w:rPr>
        <w:t>March 19, 2018</w:t>
      </w:r>
      <w:r w:rsidR="00CD6A88" w:rsidRPr="00A81B0A">
        <w:rPr>
          <w:szCs w:val="24"/>
        </w:rPr>
        <w:t>, specifying a 60-day period for comment ending May 18, 2018</w:t>
      </w:r>
      <w:r w:rsidR="00D74A46" w:rsidRPr="00A81B0A">
        <w:rPr>
          <w:szCs w:val="24"/>
        </w:rPr>
        <w:t xml:space="preserve">. </w:t>
      </w:r>
      <w:r w:rsidR="00435888">
        <w:rPr>
          <w:szCs w:val="24"/>
        </w:rPr>
        <w:t>Nine c</w:t>
      </w:r>
      <w:r w:rsidR="00D74A46" w:rsidRPr="00A81B0A">
        <w:rPr>
          <w:szCs w:val="24"/>
        </w:rPr>
        <w:t xml:space="preserve">omments </w:t>
      </w:r>
      <w:r w:rsidR="00435888">
        <w:rPr>
          <w:szCs w:val="24"/>
        </w:rPr>
        <w:t xml:space="preserve">were </w:t>
      </w:r>
      <w:r w:rsidR="00D74A46" w:rsidRPr="00A81B0A">
        <w:rPr>
          <w:szCs w:val="24"/>
        </w:rPr>
        <w:t>received</w:t>
      </w:r>
      <w:r w:rsidR="0004227E">
        <w:rPr>
          <w:szCs w:val="24"/>
        </w:rPr>
        <w:t>.</w:t>
      </w:r>
      <w:r w:rsidR="00435888">
        <w:rPr>
          <w:szCs w:val="24"/>
        </w:rPr>
        <w:t xml:space="preserve"> </w:t>
      </w:r>
      <w:r w:rsidR="001D32B3">
        <w:rPr>
          <w:szCs w:val="24"/>
        </w:rPr>
        <w:t xml:space="preserve">Out of the nine comments received, FNS determined that one was not germane to the information collection as the comment was not related to the necessity or the practical utility of the information collection, nor did it address </w:t>
      </w:r>
      <w:r w:rsidR="00300C2D">
        <w:rPr>
          <w:szCs w:val="24"/>
        </w:rPr>
        <w:t xml:space="preserve">burden elements such as the cost, the time estimate for completing the collection, the burden, the frequency of the collection, or the method of the collection.  </w:t>
      </w:r>
      <w:r w:rsidR="001D32B3">
        <w:rPr>
          <w:szCs w:val="24"/>
        </w:rPr>
        <w:t xml:space="preserve"> </w:t>
      </w:r>
      <w:r w:rsidR="0004227E">
        <w:rPr>
          <w:szCs w:val="24"/>
        </w:rPr>
        <w:t>C</w:t>
      </w:r>
      <w:r w:rsidR="00435888">
        <w:rPr>
          <w:szCs w:val="24"/>
        </w:rPr>
        <w:t>omments</w:t>
      </w:r>
      <w:r w:rsidR="00D74A46" w:rsidRPr="00A81B0A">
        <w:rPr>
          <w:szCs w:val="24"/>
        </w:rPr>
        <w:t xml:space="preserve"> and </w:t>
      </w:r>
      <w:r w:rsidR="00CD6A88" w:rsidRPr="00A81B0A">
        <w:rPr>
          <w:szCs w:val="24"/>
        </w:rPr>
        <w:t xml:space="preserve">FNS responses </w:t>
      </w:r>
      <w:r w:rsidR="0004227E">
        <w:rPr>
          <w:szCs w:val="24"/>
        </w:rPr>
        <w:t xml:space="preserve">are </w:t>
      </w:r>
      <w:r w:rsidR="00CD6A88" w:rsidRPr="00A81B0A">
        <w:rPr>
          <w:szCs w:val="24"/>
        </w:rPr>
        <w:t xml:space="preserve">provided </w:t>
      </w:r>
      <w:r w:rsidR="0004227E">
        <w:rPr>
          <w:szCs w:val="24"/>
        </w:rPr>
        <w:t>in Appendices U</w:t>
      </w:r>
      <w:r w:rsidR="00917F90">
        <w:rPr>
          <w:szCs w:val="24"/>
        </w:rPr>
        <w:t>1-U9</w:t>
      </w:r>
      <w:r w:rsidR="0004227E">
        <w:rPr>
          <w:szCs w:val="24"/>
        </w:rPr>
        <w:t xml:space="preserve"> and </w:t>
      </w:r>
      <w:r w:rsidR="006F7622" w:rsidRPr="00A81B0A">
        <w:rPr>
          <w:szCs w:val="24"/>
        </w:rPr>
        <w:t>V</w:t>
      </w:r>
      <w:r w:rsidR="00917F90">
        <w:rPr>
          <w:szCs w:val="24"/>
        </w:rPr>
        <w:t>1-V</w:t>
      </w:r>
      <w:r w:rsidR="00E93403">
        <w:rPr>
          <w:szCs w:val="24"/>
        </w:rPr>
        <w:t>8</w:t>
      </w:r>
      <w:r w:rsidR="0004227E">
        <w:rPr>
          <w:szCs w:val="24"/>
        </w:rPr>
        <w:t>, respectively, and relevant comments</w:t>
      </w:r>
      <w:r w:rsidR="0029359E" w:rsidRPr="00A81B0A">
        <w:rPr>
          <w:szCs w:val="24"/>
        </w:rPr>
        <w:t xml:space="preserve"> are summarized below</w:t>
      </w:r>
      <w:r w:rsidR="0004227E">
        <w:rPr>
          <w:szCs w:val="24"/>
        </w:rPr>
        <w:t>.</w:t>
      </w:r>
      <w:r w:rsidR="001D32B3">
        <w:rPr>
          <w:szCs w:val="24"/>
        </w:rPr>
        <w:t xml:space="preserve">  </w:t>
      </w:r>
    </w:p>
    <w:p w14:paraId="62D1E1A1" w14:textId="5F7E0313" w:rsidR="00200B62" w:rsidRPr="00A81B0A" w:rsidRDefault="00200B62" w:rsidP="00200B62">
      <w:pPr>
        <w:pStyle w:val="Bullets"/>
        <w:rPr>
          <w:b/>
          <w:i/>
          <w:szCs w:val="24"/>
        </w:rPr>
      </w:pPr>
      <w:r w:rsidRPr="00A81B0A">
        <w:rPr>
          <w:i/>
          <w:szCs w:val="24"/>
        </w:rPr>
        <w:t>FNS should work to streamline data collection processes to minimize the impact on SFAs.</w:t>
      </w:r>
    </w:p>
    <w:p w14:paraId="3678456D" w14:textId="061C70EB" w:rsidR="00F76181" w:rsidRPr="00A81B0A" w:rsidRDefault="00F76181" w:rsidP="00B671DC">
      <w:pPr>
        <w:pStyle w:val="Bullets"/>
        <w:numPr>
          <w:ilvl w:val="0"/>
          <w:numId w:val="0"/>
        </w:numPr>
        <w:ind w:left="360"/>
        <w:rPr>
          <w:i/>
          <w:szCs w:val="24"/>
        </w:rPr>
      </w:pPr>
      <w:r w:rsidRPr="00A81B0A">
        <w:rPr>
          <w:color w:val="000000"/>
          <w:szCs w:val="24"/>
        </w:rPr>
        <w:t xml:space="preserve">While the 2019 Census </w:t>
      </w:r>
      <w:r w:rsidR="006F7622" w:rsidRPr="00A81B0A">
        <w:rPr>
          <w:color w:val="000000"/>
          <w:szCs w:val="24"/>
        </w:rPr>
        <w:t>(Appendix D</w:t>
      </w:r>
      <w:r w:rsidR="00FB1F04">
        <w:rPr>
          <w:color w:val="000000"/>
          <w:szCs w:val="24"/>
        </w:rPr>
        <w:t>/E</w:t>
      </w:r>
      <w:r w:rsidR="006F7622" w:rsidRPr="00A81B0A">
        <w:rPr>
          <w:color w:val="000000"/>
          <w:szCs w:val="24"/>
        </w:rPr>
        <w:t xml:space="preserve">) </w:t>
      </w:r>
      <w:r w:rsidRPr="00A81B0A">
        <w:rPr>
          <w:color w:val="000000"/>
          <w:szCs w:val="24"/>
        </w:rPr>
        <w:t xml:space="preserve">includes many of the same questions as in 2015, FNS </w:t>
      </w:r>
      <w:r w:rsidR="00CB5B5A">
        <w:rPr>
          <w:color w:val="000000"/>
          <w:szCs w:val="24"/>
        </w:rPr>
        <w:t>has streamlined</w:t>
      </w:r>
      <w:r w:rsidRPr="00A81B0A">
        <w:rPr>
          <w:color w:val="000000"/>
          <w:szCs w:val="24"/>
        </w:rPr>
        <w:t xml:space="preserve"> the instrument to provide a more straightforward experience for the respondent, but also one that provides more comprehensive data. FNS also chose to wait until 2019 to administer the survey to increase the time between censuses from two to four years. FNS intends to engage the States and SFAs early in the process to allow them to prepare Census responses ahead of time, including the provision of a</w:t>
      </w:r>
      <w:r w:rsidR="00BD1906">
        <w:rPr>
          <w:color w:val="000000"/>
          <w:szCs w:val="24"/>
        </w:rPr>
        <w:t>n optional</w:t>
      </w:r>
      <w:r w:rsidR="00CB5B5A">
        <w:rPr>
          <w:color w:val="000000"/>
          <w:szCs w:val="24"/>
        </w:rPr>
        <w:t xml:space="preserve"> </w:t>
      </w:r>
      <w:r w:rsidRPr="00A81B0A">
        <w:rPr>
          <w:color w:val="000000"/>
          <w:szCs w:val="24"/>
        </w:rPr>
        <w:t>pre-survey worksheet</w:t>
      </w:r>
      <w:r w:rsidR="006F7622" w:rsidRPr="00A81B0A">
        <w:rPr>
          <w:color w:val="000000"/>
          <w:szCs w:val="24"/>
        </w:rPr>
        <w:t xml:space="preserve"> (Appendix R)</w:t>
      </w:r>
      <w:r w:rsidRPr="00A81B0A">
        <w:rPr>
          <w:color w:val="000000"/>
          <w:szCs w:val="24"/>
        </w:rPr>
        <w:t xml:space="preserve"> to help </w:t>
      </w:r>
      <w:r w:rsidR="00BD1906">
        <w:rPr>
          <w:color w:val="000000"/>
          <w:szCs w:val="24"/>
        </w:rPr>
        <w:t>SFAs</w:t>
      </w:r>
      <w:r w:rsidRPr="00A81B0A">
        <w:rPr>
          <w:color w:val="000000"/>
          <w:szCs w:val="24"/>
        </w:rPr>
        <w:t xml:space="preserve"> gather and calculate the requisite information, as we plan to improve the validity of the data. </w:t>
      </w:r>
    </w:p>
    <w:p w14:paraId="38B04485" w14:textId="31D0B4EF" w:rsidR="00B170B8" w:rsidRPr="00A81B0A" w:rsidRDefault="00200B62" w:rsidP="00F76181">
      <w:pPr>
        <w:pStyle w:val="Bullets"/>
        <w:rPr>
          <w:i/>
          <w:szCs w:val="24"/>
        </w:rPr>
      </w:pPr>
      <w:r w:rsidRPr="00A81B0A">
        <w:rPr>
          <w:i/>
          <w:szCs w:val="24"/>
        </w:rPr>
        <w:t xml:space="preserve">Updates </w:t>
      </w:r>
      <w:r w:rsidR="00C06144" w:rsidRPr="00A81B0A">
        <w:rPr>
          <w:i/>
          <w:szCs w:val="24"/>
        </w:rPr>
        <w:t>to the C</w:t>
      </w:r>
      <w:r w:rsidRPr="00A81B0A">
        <w:rPr>
          <w:i/>
          <w:szCs w:val="24"/>
        </w:rPr>
        <w:t>ensus should include</w:t>
      </w:r>
      <w:r w:rsidR="00C06144" w:rsidRPr="00A81B0A">
        <w:rPr>
          <w:i/>
          <w:szCs w:val="24"/>
        </w:rPr>
        <w:t xml:space="preserve"> additional questions </w:t>
      </w:r>
      <w:r w:rsidR="0004227E">
        <w:rPr>
          <w:i/>
          <w:szCs w:val="24"/>
        </w:rPr>
        <w:t>on</w:t>
      </w:r>
      <w:r w:rsidR="00C06144" w:rsidRPr="00A81B0A">
        <w:rPr>
          <w:i/>
          <w:szCs w:val="24"/>
        </w:rPr>
        <w:t xml:space="preserve"> </w:t>
      </w:r>
      <w:r w:rsidR="0004227E">
        <w:rPr>
          <w:i/>
          <w:szCs w:val="24"/>
        </w:rPr>
        <w:t xml:space="preserve">a broader range of </w:t>
      </w:r>
      <w:r w:rsidR="00C06144" w:rsidRPr="00A81B0A">
        <w:rPr>
          <w:i/>
          <w:szCs w:val="24"/>
        </w:rPr>
        <w:t>topics.</w:t>
      </w:r>
    </w:p>
    <w:p w14:paraId="74CDC660" w14:textId="25973E80" w:rsidR="00B170B8" w:rsidRPr="00A81B0A" w:rsidRDefault="008838FA" w:rsidP="0041412C">
      <w:pPr>
        <w:pStyle w:val="Bullets"/>
        <w:numPr>
          <w:ilvl w:val="0"/>
          <w:numId w:val="0"/>
        </w:numPr>
        <w:ind w:left="360"/>
        <w:rPr>
          <w:color w:val="000000"/>
          <w:szCs w:val="24"/>
        </w:rPr>
      </w:pPr>
      <w:r w:rsidRPr="00A81B0A">
        <w:rPr>
          <w:color w:val="000000"/>
          <w:szCs w:val="24"/>
        </w:rPr>
        <w:t xml:space="preserve">The final report will comprehensively examine farm to school and its progress since </w:t>
      </w:r>
      <w:r w:rsidR="00CB5B5A">
        <w:rPr>
          <w:color w:val="000000"/>
          <w:szCs w:val="24"/>
        </w:rPr>
        <w:t>2010</w:t>
      </w:r>
      <w:r w:rsidRPr="00A81B0A">
        <w:rPr>
          <w:color w:val="000000"/>
          <w:szCs w:val="24"/>
        </w:rPr>
        <w:t xml:space="preserve">, which will allow FNS to better describe the impact and benefits of farm to school activities administered by grantees, schools, School Food Authorities (SFAs), and other stakeholders. In addition to our colleagues throughout USDA, this study is also guided by an advisory panel of farm to school non-profit and academic stakeholders. Additionally, FNS is also conducting </w:t>
      </w:r>
      <w:r w:rsidR="0004227E">
        <w:rPr>
          <w:color w:val="000000"/>
          <w:szCs w:val="24"/>
        </w:rPr>
        <w:t>other studies that address some of the suggested topics</w:t>
      </w:r>
      <w:r w:rsidRPr="00A81B0A">
        <w:rPr>
          <w:color w:val="000000"/>
          <w:szCs w:val="24"/>
        </w:rPr>
        <w:t>.</w:t>
      </w:r>
    </w:p>
    <w:p w14:paraId="565992FA" w14:textId="1C2FCC39" w:rsidR="00B170B8" w:rsidRPr="00A81B0A" w:rsidRDefault="00B170B8" w:rsidP="00B170B8">
      <w:pPr>
        <w:pStyle w:val="Bullets"/>
        <w:rPr>
          <w:i/>
          <w:szCs w:val="24"/>
        </w:rPr>
      </w:pPr>
      <w:r w:rsidRPr="00A81B0A">
        <w:rPr>
          <w:i/>
          <w:szCs w:val="24"/>
        </w:rPr>
        <w:t xml:space="preserve">The Census should include </w:t>
      </w:r>
      <w:r w:rsidR="00200B62" w:rsidRPr="00A81B0A">
        <w:rPr>
          <w:i/>
          <w:szCs w:val="24"/>
        </w:rPr>
        <w:t xml:space="preserve">perspectives from farmers. </w:t>
      </w:r>
    </w:p>
    <w:p w14:paraId="7DBFFFBF" w14:textId="39836982" w:rsidR="00B170B8" w:rsidRPr="00A81B0A" w:rsidRDefault="00B170B8" w:rsidP="0041412C">
      <w:pPr>
        <w:pStyle w:val="Bullets"/>
        <w:numPr>
          <w:ilvl w:val="0"/>
          <w:numId w:val="0"/>
        </w:numPr>
        <w:ind w:left="360"/>
        <w:rPr>
          <w:i/>
          <w:szCs w:val="24"/>
        </w:rPr>
      </w:pPr>
      <w:r w:rsidRPr="00A81B0A">
        <w:rPr>
          <w:color w:val="000000"/>
          <w:szCs w:val="24"/>
        </w:rPr>
        <w:t>FNS will not be interviewing farmers at this time.</w:t>
      </w:r>
    </w:p>
    <w:p w14:paraId="7BB1622A" w14:textId="5BDDC2F7" w:rsidR="00200B62" w:rsidRPr="00A81B0A" w:rsidRDefault="00B170B8" w:rsidP="00977058">
      <w:pPr>
        <w:pStyle w:val="Bullets"/>
        <w:rPr>
          <w:b/>
          <w:i/>
          <w:szCs w:val="24"/>
        </w:rPr>
      </w:pPr>
      <w:r w:rsidRPr="00A81B0A">
        <w:rPr>
          <w:i/>
          <w:szCs w:val="24"/>
        </w:rPr>
        <w:t>Be clearer about what aspects of the ECE setting are captured. If the Census expands beyond ECE sites within school districts, the questions may not be relevant or feel like the right fit for ECE providers.</w:t>
      </w:r>
    </w:p>
    <w:p w14:paraId="609C457F" w14:textId="4A80249E" w:rsidR="00B170B8" w:rsidRPr="00A81B0A" w:rsidRDefault="00B170B8" w:rsidP="0041412C">
      <w:pPr>
        <w:pStyle w:val="Bullets"/>
        <w:numPr>
          <w:ilvl w:val="0"/>
          <w:numId w:val="0"/>
        </w:numPr>
        <w:ind w:left="360"/>
        <w:rPr>
          <w:color w:val="000000"/>
          <w:szCs w:val="24"/>
        </w:rPr>
      </w:pPr>
      <w:r w:rsidRPr="00A81B0A">
        <w:rPr>
          <w:color w:val="000000"/>
          <w:szCs w:val="24"/>
        </w:rPr>
        <w:t>The respondents are the SFA Child Nutrition Directors, as the Census data are only collected at the SFA-level. As a result, this effort will not include early childhood sites that are outside of SFAs.</w:t>
      </w:r>
    </w:p>
    <w:p w14:paraId="69E21644" w14:textId="41DAE281" w:rsidR="00D02AC1" w:rsidRPr="00A81B0A" w:rsidRDefault="00D02AC1" w:rsidP="00732AB8">
      <w:pPr>
        <w:pStyle w:val="Bullets"/>
        <w:spacing w:after="0"/>
        <w:rPr>
          <w:i/>
          <w:szCs w:val="24"/>
        </w:rPr>
      </w:pPr>
      <w:r w:rsidRPr="00A81B0A">
        <w:rPr>
          <w:i/>
          <w:szCs w:val="24"/>
        </w:rPr>
        <w:t>Gathering information about farm to school programs sponsored by non-profit groups in the private sector would add information and insights to FNS’s existing work.</w:t>
      </w:r>
    </w:p>
    <w:p w14:paraId="63845D7D" w14:textId="3B3B6B1A" w:rsidR="00D02AC1" w:rsidRPr="00A81B0A" w:rsidRDefault="007B2A2A" w:rsidP="0041412C">
      <w:pPr>
        <w:pStyle w:val="Bullets"/>
        <w:numPr>
          <w:ilvl w:val="0"/>
          <w:numId w:val="0"/>
        </w:numPr>
        <w:spacing w:after="0"/>
        <w:ind w:left="360"/>
        <w:rPr>
          <w:color w:val="000000"/>
          <w:szCs w:val="24"/>
        </w:rPr>
      </w:pPr>
      <w:r>
        <w:rPr>
          <w:color w:val="000000"/>
          <w:szCs w:val="24"/>
        </w:rPr>
        <w:t>FNS is authorized to collect data on entities that participate in or administer its programs. Thus, all public and private (including nonprofit) SFAs that participate in the NSLP will have the opportunity to provide input on the 2019 Census</w:t>
      </w:r>
      <w:r w:rsidR="00D02AC1" w:rsidRPr="00A81B0A">
        <w:rPr>
          <w:color w:val="000000"/>
          <w:szCs w:val="24"/>
        </w:rPr>
        <w:t>.</w:t>
      </w:r>
    </w:p>
    <w:p w14:paraId="5D5D57BF" w14:textId="314EF405" w:rsidR="00A15F9C" w:rsidRDefault="00A765CC" w:rsidP="00431E77">
      <w:pPr>
        <w:pStyle w:val="Bullets"/>
        <w:numPr>
          <w:ilvl w:val="0"/>
          <w:numId w:val="0"/>
        </w:numPr>
        <w:ind w:firstLine="360"/>
        <w:rPr>
          <w:szCs w:val="24"/>
        </w:rPr>
      </w:pPr>
      <w:r w:rsidRPr="00A81B0A">
        <w:rPr>
          <w:b/>
          <w:i/>
          <w:szCs w:val="24"/>
        </w:rPr>
        <w:t xml:space="preserve">Consultations </w:t>
      </w:r>
      <w:r w:rsidR="00DF34BA" w:rsidRPr="00A81B0A">
        <w:rPr>
          <w:b/>
          <w:i/>
          <w:szCs w:val="24"/>
        </w:rPr>
        <w:t xml:space="preserve">Outside </w:t>
      </w:r>
      <w:r w:rsidRPr="00A81B0A">
        <w:rPr>
          <w:b/>
          <w:i/>
          <w:szCs w:val="24"/>
        </w:rPr>
        <w:t xml:space="preserve">the </w:t>
      </w:r>
      <w:r w:rsidR="00DF34BA" w:rsidRPr="00A81B0A">
        <w:rPr>
          <w:b/>
          <w:i/>
          <w:szCs w:val="24"/>
        </w:rPr>
        <w:t>Agency</w:t>
      </w:r>
      <w:r w:rsidR="00DF34BA">
        <w:rPr>
          <w:b/>
          <w:i/>
          <w:szCs w:val="24"/>
        </w:rPr>
        <w:t xml:space="preserve">: </w:t>
      </w:r>
      <w:r w:rsidRPr="00431E77">
        <w:t xml:space="preserve">In addition to soliciting comments from the public, </w:t>
      </w:r>
      <w:bookmarkStart w:id="18" w:name="_Hlk494190868"/>
      <w:r w:rsidRPr="00431E77">
        <w:t xml:space="preserve">FNS consulted with </w:t>
      </w:r>
      <w:r w:rsidR="00E81ADF" w:rsidRPr="00E81ADF">
        <w:t>Mingshan Zheng</w:t>
      </w:r>
      <w:r w:rsidR="00E81ADF">
        <w:t xml:space="preserve"> </w:t>
      </w:r>
      <w:r w:rsidRPr="00431E77">
        <w:t xml:space="preserve">from National Agricultural Statistics Service (NASS) </w:t>
      </w:r>
      <w:r w:rsidR="00D746E5" w:rsidRPr="00431E77">
        <w:t>on the study design and methodology</w:t>
      </w:r>
      <w:r w:rsidRPr="00431E77">
        <w:t>.</w:t>
      </w:r>
      <w:bookmarkEnd w:id="18"/>
      <w:r w:rsidR="00581FEF" w:rsidRPr="00431E77">
        <w:t xml:space="preserve"> NASS comments and the response to NA</w:t>
      </w:r>
      <w:r w:rsidR="007C1BD7">
        <w:t>SS comments appear in Appendix W</w:t>
      </w:r>
      <w:r w:rsidR="009712FC">
        <w:t xml:space="preserve"> and X</w:t>
      </w:r>
      <w:r w:rsidR="00581FEF" w:rsidRPr="00431E77">
        <w:t>).</w:t>
      </w:r>
      <w:r w:rsidR="00D746E5">
        <w:t xml:space="preserve"> </w:t>
      </w:r>
      <w:r w:rsidR="0013743A">
        <w:rPr>
          <w:szCs w:val="24"/>
        </w:rPr>
        <w:t xml:space="preserve">The individuals that have been consulted about this study </w:t>
      </w:r>
      <w:r w:rsidR="00D746E5">
        <w:rPr>
          <w:szCs w:val="24"/>
        </w:rPr>
        <w:t>and their affiliations are listed in Table A-2.</w:t>
      </w:r>
    </w:p>
    <w:p w14:paraId="014FF86D" w14:textId="5B54C8E7" w:rsidR="003F6450" w:rsidRPr="0069237B" w:rsidRDefault="003F6450" w:rsidP="00E84BBC">
      <w:pPr>
        <w:pStyle w:val="Heading6"/>
      </w:pPr>
      <w:bookmarkStart w:id="19" w:name="_Toc518292779"/>
      <w:r w:rsidRPr="0069237B">
        <w:t xml:space="preserve">Table A-2. </w:t>
      </w:r>
      <w:r w:rsidR="00D746E5" w:rsidRPr="0069237B">
        <w:t>External</w:t>
      </w:r>
      <w:r w:rsidRPr="0069237B">
        <w:t xml:space="preserve"> Consulta</w:t>
      </w:r>
      <w:r w:rsidR="00D746E5" w:rsidRPr="0069237B">
        <w:t>nts</w:t>
      </w:r>
      <w:bookmarkEnd w:id="19"/>
    </w:p>
    <w:tbl>
      <w:tblPr>
        <w:tblStyle w:val="TableGridLigh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3043"/>
        <w:gridCol w:w="2756"/>
        <w:gridCol w:w="1637"/>
      </w:tblGrid>
      <w:tr w:rsidR="006C5DB8" w:rsidRPr="008F0408" w14:paraId="69393D6E" w14:textId="77777777" w:rsidTr="004B7354">
        <w:trPr>
          <w:trHeight w:val="20"/>
        </w:trPr>
        <w:tc>
          <w:tcPr>
            <w:tcW w:w="966" w:type="pct"/>
            <w:vAlign w:val="bottom"/>
            <w:hideMark/>
          </w:tcPr>
          <w:p w14:paraId="3A0F60B8" w14:textId="77777777" w:rsidR="006C5DB8" w:rsidRPr="008F0408" w:rsidRDefault="006C5DB8" w:rsidP="00F95081">
            <w:pPr>
              <w:pStyle w:val="BodyText"/>
              <w:spacing w:before="20" w:after="20" w:line="240" w:lineRule="auto"/>
              <w:ind w:firstLine="0"/>
              <w:jc w:val="center"/>
              <w:rPr>
                <w:b/>
                <w:szCs w:val="24"/>
              </w:rPr>
            </w:pPr>
            <w:r w:rsidRPr="008F0408">
              <w:rPr>
                <w:b/>
                <w:szCs w:val="24"/>
              </w:rPr>
              <w:t>Name</w:t>
            </w:r>
          </w:p>
        </w:tc>
        <w:tc>
          <w:tcPr>
            <w:tcW w:w="1651" w:type="pct"/>
          </w:tcPr>
          <w:p w14:paraId="392D2642" w14:textId="769F2D06" w:rsidR="006C5DB8" w:rsidRPr="004B7354" w:rsidRDefault="004B7354" w:rsidP="00F95081">
            <w:pPr>
              <w:pStyle w:val="BodyText"/>
              <w:spacing w:before="20" w:after="20" w:line="240" w:lineRule="auto"/>
              <w:jc w:val="center"/>
              <w:rPr>
                <w:szCs w:val="24"/>
              </w:rPr>
            </w:pPr>
            <w:r w:rsidRPr="004B7354">
              <w:rPr>
                <w:b/>
                <w:szCs w:val="24"/>
              </w:rPr>
              <w:t>Title</w:t>
            </w:r>
          </w:p>
        </w:tc>
        <w:tc>
          <w:tcPr>
            <w:tcW w:w="1495" w:type="pct"/>
            <w:vAlign w:val="bottom"/>
            <w:hideMark/>
          </w:tcPr>
          <w:p w14:paraId="7AFE49D5" w14:textId="5190C046" w:rsidR="006C5DB8" w:rsidRPr="008F0408" w:rsidRDefault="006C5DB8" w:rsidP="00F95081">
            <w:pPr>
              <w:pStyle w:val="BodyText"/>
              <w:spacing w:before="20" w:after="20" w:line="240" w:lineRule="auto"/>
              <w:jc w:val="center"/>
              <w:rPr>
                <w:b/>
                <w:szCs w:val="24"/>
              </w:rPr>
            </w:pPr>
            <w:r w:rsidRPr="008F0408">
              <w:rPr>
                <w:b/>
                <w:szCs w:val="24"/>
              </w:rPr>
              <w:t>Affiliation</w:t>
            </w:r>
          </w:p>
        </w:tc>
        <w:tc>
          <w:tcPr>
            <w:tcW w:w="888" w:type="pct"/>
            <w:vAlign w:val="bottom"/>
            <w:hideMark/>
          </w:tcPr>
          <w:p w14:paraId="08636C2A" w14:textId="77777777" w:rsidR="006C5DB8" w:rsidRPr="008F0408" w:rsidRDefault="006C5DB8" w:rsidP="004B7354">
            <w:pPr>
              <w:pStyle w:val="BodyText"/>
              <w:spacing w:before="20" w:after="20" w:line="240" w:lineRule="auto"/>
              <w:ind w:firstLine="0"/>
              <w:jc w:val="center"/>
              <w:rPr>
                <w:b/>
                <w:szCs w:val="24"/>
              </w:rPr>
            </w:pPr>
            <w:r w:rsidRPr="008F0408">
              <w:rPr>
                <w:b/>
                <w:szCs w:val="24"/>
              </w:rPr>
              <w:t>Telephone</w:t>
            </w:r>
          </w:p>
        </w:tc>
      </w:tr>
      <w:tr w:rsidR="006C5DB8" w:rsidRPr="008F0408" w14:paraId="588531F8" w14:textId="77777777" w:rsidTr="004B7354">
        <w:trPr>
          <w:trHeight w:val="20"/>
        </w:trPr>
        <w:tc>
          <w:tcPr>
            <w:tcW w:w="966" w:type="pct"/>
          </w:tcPr>
          <w:p w14:paraId="3545B4F7" w14:textId="77777777" w:rsidR="006C5DB8" w:rsidRPr="008F0408" w:rsidRDefault="006C5DB8" w:rsidP="00F95081">
            <w:pPr>
              <w:pStyle w:val="BodyText"/>
              <w:spacing w:before="20" w:after="20" w:line="240" w:lineRule="auto"/>
              <w:ind w:firstLine="0"/>
              <w:rPr>
                <w:szCs w:val="24"/>
              </w:rPr>
            </w:pPr>
            <w:r w:rsidRPr="008F0408">
              <w:rPr>
                <w:szCs w:val="24"/>
              </w:rPr>
              <w:t>Jeff O'Hara</w:t>
            </w:r>
          </w:p>
        </w:tc>
        <w:tc>
          <w:tcPr>
            <w:tcW w:w="1651" w:type="pct"/>
          </w:tcPr>
          <w:p w14:paraId="1C8579C3" w14:textId="2B211210" w:rsidR="006C5DB8" w:rsidRPr="008F0408" w:rsidRDefault="006C5DB8" w:rsidP="00F95081">
            <w:pPr>
              <w:pStyle w:val="BodyText"/>
              <w:spacing w:before="20" w:after="20" w:line="240" w:lineRule="auto"/>
              <w:ind w:firstLine="0"/>
              <w:rPr>
                <w:szCs w:val="24"/>
              </w:rPr>
            </w:pPr>
            <w:r>
              <w:rPr>
                <w:szCs w:val="24"/>
              </w:rPr>
              <w:t xml:space="preserve">Agricultural Marketing Specialist </w:t>
            </w:r>
          </w:p>
        </w:tc>
        <w:tc>
          <w:tcPr>
            <w:tcW w:w="1495" w:type="pct"/>
          </w:tcPr>
          <w:p w14:paraId="4E3C343B" w14:textId="6089AB82" w:rsidR="006C5DB8" w:rsidRPr="008F0408" w:rsidRDefault="006C5DB8" w:rsidP="00F95081">
            <w:pPr>
              <w:pStyle w:val="BodyText"/>
              <w:spacing w:before="20" w:after="20" w:line="240" w:lineRule="auto"/>
              <w:ind w:firstLine="0"/>
              <w:rPr>
                <w:szCs w:val="24"/>
              </w:rPr>
            </w:pPr>
            <w:r w:rsidRPr="008F0408">
              <w:rPr>
                <w:szCs w:val="24"/>
              </w:rPr>
              <w:t>Agricultural Marketing Service, U.S. Department of Agriculture (USDA)</w:t>
            </w:r>
          </w:p>
        </w:tc>
        <w:tc>
          <w:tcPr>
            <w:tcW w:w="888" w:type="pct"/>
          </w:tcPr>
          <w:p w14:paraId="76ACA6BA" w14:textId="77777777" w:rsidR="006C5DB8" w:rsidRPr="008F0408" w:rsidRDefault="006C5DB8" w:rsidP="00F95081">
            <w:pPr>
              <w:pStyle w:val="BodyText"/>
              <w:spacing w:before="20" w:after="20" w:line="240" w:lineRule="auto"/>
              <w:ind w:firstLine="0"/>
              <w:jc w:val="center"/>
              <w:rPr>
                <w:szCs w:val="24"/>
              </w:rPr>
            </w:pPr>
            <w:r w:rsidRPr="008F0408">
              <w:rPr>
                <w:szCs w:val="24"/>
              </w:rPr>
              <w:t>202-756-2575</w:t>
            </w:r>
          </w:p>
        </w:tc>
      </w:tr>
      <w:tr w:rsidR="006C5DB8" w:rsidRPr="008F0408" w14:paraId="1CB4C437" w14:textId="77777777" w:rsidTr="004B7354">
        <w:trPr>
          <w:trHeight w:val="20"/>
        </w:trPr>
        <w:tc>
          <w:tcPr>
            <w:tcW w:w="966" w:type="pct"/>
          </w:tcPr>
          <w:p w14:paraId="08DACF70" w14:textId="77777777" w:rsidR="006C5DB8" w:rsidRPr="008F0408" w:rsidRDefault="006C5DB8" w:rsidP="00F95081">
            <w:pPr>
              <w:pStyle w:val="BodyText"/>
              <w:spacing w:before="20" w:after="20" w:line="240" w:lineRule="auto"/>
              <w:ind w:firstLine="0"/>
              <w:rPr>
                <w:szCs w:val="24"/>
              </w:rPr>
            </w:pPr>
            <w:r w:rsidRPr="008F0408">
              <w:rPr>
                <w:szCs w:val="24"/>
              </w:rPr>
              <w:t>Katherine Ralston</w:t>
            </w:r>
          </w:p>
        </w:tc>
        <w:tc>
          <w:tcPr>
            <w:tcW w:w="1651" w:type="pct"/>
          </w:tcPr>
          <w:p w14:paraId="6BE3AAE9" w14:textId="210ED644" w:rsidR="006C5DB8" w:rsidRPr="008F0408" w:rsidRDefault="006C5DB8" w:rsidP="00F95081">
            <w:pPr>
              <w:pStyle w:val="BodyText"/>
              <w:spacing w:before="20" w:after="20" w:line="240" w:lineRule="auto"/>
              <w:ind w:firstLine="0"/>
              <w:rPr>
                <w:szCs w:val="24"/>
              </w:rPr>
            </w:pPr>
            <w:r>
              <w:rPr>
                <w:szCs w:val="24"/>
              </w:rPr>
              <w:t>Senior Agricultural Economist</w:t>
            </w:r>
          </w:p>
        </w:tc>
        <w:tc>
          <w:tcPr>
            <w:tcW w:w="1495" w:type="pct"/>
          </w:tcPr>
          <w:p w14:paraId="4D54B515" w14:textId="479CF805" w:rsidR="006C5DB8" w:rsidRPr="008F0408" w:rsidRDefault="006C5DB8" w:rsidP="00F95081">
            <w:pPr>
              <w:pStyle w:val="BodyText"/>
              <w:spacing w:before="20" w:after="20" w:line="240" w:lineRule="auto"/>
              <w:ind w:firstLine="0"/>
              <w:rPr>
                <w:szCs w:val="24"/>
              </w:rPr>
            </w:pPr>
            <w:r w:rsidRPr="008F0408">
              <w:rPr>
                <w:szCs w:val="24"/>
              </w:rPr>
              <w:t>Economic Research Service, U.S. Department of Agriculture (USDA)</w:t>
            </w:r>
          </w:p>
        </w:tc>
        <w:tc>
          <w:tcPr>
            <w:tcW w:w="888" w:type="pct"/>
          </w:tcPr>
          <w:p w14:paraId="45B3C5B6" w14:textId="77777777" w:rsidR="006C5DB8" w:rsidRPr="008F0408" w:rsidRDefault="006C5DB8" w:rsidP="00F95081">
            <w:pPr>
              <w:pStyle w:val="BodyText"/>
              <w:spacing w:before="20" w:after="20" w:line="240" w:lineRule="auto"/>
              <w:ind w:firstLine="0"/>
              <w:jc w:val="center"/>
              <w:rPr>
                <w:szCs w:val="24"/>
              </w:rPr>
            </w:pPr>
            <w:r w:rsidRPr="008F0408">
              <w:rPr>
                <w:szCs w:val="24"/>
              </w:rPr>
              <w:t>202-694-5463</w:t>
            </w:r>
          </w:p>
        </w:tc>
      </w:tr>
      <w:tr w:rsidR="006C5DB8" w:rsidRPr="008F0408" w14:paraId="7BA38F8C" w14:textId="77777777" w:rsidTr="004B7354">
        <w:trPr>
          <w:trHeight w:val="20"/>
        </w:trPr>
        <w:tc>
          <w:tcPr>
            <w:tcW w:w="966" w:type="pct"/>
            <w:hideMark/>
          </w:tcPr>
          <w:p w14:paraId="5DD83770" w14:textId="77777777" w:rsidR="006C5DB8" w:rsidRPr="008F0408" w:rsidRDefault="006C5DB8" w:rsidP="00F95081">
            <w:pPr>
              <w:pStyle w:val="BodyText"/>
              <w:spacing w:before="20" w:after="20" w:line="240" w:lineRule="auto"/>
              <w:ind w:firstLine="0"/>
              <w:rPr>
                <w:szCs w:val="24"/>
              </w:rPr>
            </w:pPr>
            <w:r w:rsidRPr="008F0408">
              <w:rPr>
                <w:szCs w:val="24"/>
              </w:rPr>
              <w:t>Anupama Joshi</w:t>
            </w:r>
          </w:p>
        </w:tc>
        <w:tc>
          <w:tcPr>
            <w:tcW w:w="1651" w:type="pct"/>
          </w:tcPr>
          <w:p w14:paraId="355AD79F" w14:textId="14B9B6BE" w:rsidR="006C5DB8" w:rsidRPr="008F0408" w:rsidRDefault="006C5DB8" w:rsidP="00F95081">
            <w:pPr>
              <w:pStyle w:val="BodyText"/>
              <w:spacing w:before="20" w:after="20" w:line="240" w:lineRule="auto"/>
              <w:ind w:firstLine="0"/>
              <w:rPr>
                <w:szCs w:val="24"/>
              </w:rPr>
            </w:pPr>
            <w:r w:rsidRPr="006C5DB8">
              <w:rPr>
                <w:szCs w:val="24"/>
              </w:rPr>
              <w:t>Executive Directo</w:t>
            </w:r>
            <w:r>
              <w:rPr>
                <w:szCs w:val="24"/>
              </w:rPr>
              <w:t>r</w:t>
            </w:r>
          </w:p>
        </w:tc>
        <w:tc>
          <w:tcPr>
            <w:tcW w:w="1495" w:type="pct"/>
            <w:hideMark/>
          </w:tcPr>
          <w:p w14:paraId="4AD3AC23" w14:textId="18209758" w:rsidR="006C5DB8" w:rsidRPr="008F0408" w:rsidRDefault="006C5DB8" w:rsidP="00F95081">
            <w:pPr>
              <w:pStyle w:val="BodyText"/>
              <w:spacing w:before="20" w:after="20" w:line="240" w:lineRule="auto"/>
              <w:ind w:firstLine="0"/>
              <w:rPr>
                <w:szCs w:val="24"/>
              </w:rPr>
            </w:pPr>
            <w:r w:rsidRPr="008F0408">
              <w:rPr>
                <w:szCs w:val="24"/>
              </w:rPr>
              <w:t>National Farm to School Network</w:t>
            </w:r>
          </w:p>
        </w:tc>
        <w:tc>
          <w:tcPr>
            <w:tcW w:w="888" w:type="pct"/>
            <w:hideMark/>
          </w:tcPr>
          <w:p w14:paraId="357F9C7F" w14:textId="77777777" w:rsidR="006C5DB8" w:rsidRPr="008F0408" w:rsidRDefault="006C5DB8" w:rsidP="00F95081">
            <w:pPr>
              <w:pStyle w:val="BodyText"/>
              <w:spacing w:before="20" w:after="20" w:line="240" w:lineRule="auto"/>
              <w:ind w:firstLine="0"/>
              <w:jc w:val="center"/>
              <w:rPr>
                <w:szCs w:val="24"/>
              </w:rPr>
            </w:pPr>
            <w:r w:rsidRPr="008F0408">
              <w:rPr>
                <w:szCs w:val="24"/>
              </w:rPr>
              <w:t>847-917-7292</w:t>
            </w:r>
          </w:p>
        </w:tc>
      </w:tr>
      <w:tr w:rsidR="006C5DB8" w:rsidRPr="008F0408" w14:paraId="04B2E271" w14:textId="77777777" w:rsidTr="004B7354">
        <w:trPr>
          <w:trHeight w:val="20"/>
        </w:trPr>
        <w:tc>
          <w:tcPr>
            <w:tcW w:w="966" w:type="pct"/>
            <w:hideMark/>
          </w:tcPr>
          <w:p w14:paraId="4CC6DEC7" w14:textId="77777777" w:rsidR="006C5DB8" w:rsidRPr="008F0408" w:rsidRDefault="006C5DB8" w:rsidP="00F95081">
            <w:pPr>
              <w:pStyle w:val="BodyText"/>
              <w:spacing w:before="20" w:after="20" w:line="240" w:lineRule="auto"/>
              <w:ind w:firstLine="0"/>
              <w:rPr>
                <w:szCs w:val="24"/>
              </w:rPr>
            </w:pPr>
            <w:r w:rsidRPr="008F0408">
              <w:rPr>
                <w:szCs w:val="24"/>
              </w:rPr>
              <w:t>Colleen Matts</w:t>
            </w:r>
          </w:p>
        </w:tc>
        <w:tc>
          <w:tcPr>
            <w:tcW w:w="1651" w:type="pct"/>
          </w:tcPr>
          <w:p w14:paraId="462739A5" w14:textId="6FFE4025" w:rsidR="006C5DB8" w:rsidRPr="008F0408" w:rsidRDefault="006C5DB8" w:rsidP="00F95081">
            <w:pPr>
              <w:pStyle w:val="BodyText"/>
              <w:spacing w:before="20" w:after="20" w:line="240" w:lineRule="auto"/>
              <w:ind w:firstLine="0"/>
              <w:rPr>
                <w:szCs w:val="24"/>
              </w:rPr>
            </w:pPr>
            <w:r w:rsidRPr="006C5DB8">
              <w:rPr>
                <w:szCs w:val="24"/>
              </w:rPr>
              <w:t>Farm to Institution Specialist</w:t>
            </w:r>
          </w:p>
        </w:tc>
        <w:tc>
          <w:tcPr>
            <w:tcW w:w="1495" w:type="pct"/>
            <w:hideMark/>
          </w:tcPr>
          <w:p w14:paraId="045D47F2" w14:textId="790EC1A1" w:rsidR="006C5DB8" w:rsidRPr="008F0408" w:rsidRDefault="006C5DB8" w:rsidP="00F95081">
            <w:pPr>
              <w:pStyle w:val="BodyText"/>
              <w:spacing w:before="20" w:after="20" w:line="240" w:lineRule="auto"/>
              <w:ind w:firstLine="0"/>
              <w:rPr>
                <w:szCs w:val="24"/>
              </w:rPr>
            </w:pPr>
            <w:r w:rsidRPr="008F0408">
              <w:rPr>
                <w:szCs w:val="24"/>
              </w:rPr>
              <w:t>Michigan State University</w:t>
            </w:r>
          </w:p>
        </w:tc>
        <w:tc>
          <w:tcPr>
            <w:tcW w:w="888" w:type="pct"/>
            <w:hideMark/>
          </w:tcPr>
          <w:p w14:paraId="099DC59E" w14:textId="77777777" w:rsidR="006C5DB8" w:rsidRPr="008F0408" w:rsidRDefault="006C5DB8" w:rsidP="00F95081">
            <w:pPr>
              <w:pStyle w:val="BodyText"/>
              <w:spacing w:before="20" w:after="20" w:line="240" w:lineRule="auto"/>
              <w:ind w:firstLine="0"/>
              <w:jc w:val="center"/>
              <w:rPr>
                <w:szCs w:val="24"/>
              </w:rPr>
            </w:pPr>
            <w:r w:rsidRPr="008F0408">
              <w:rPr>
                <w:szCs w:val="24"/>
              </w:rPr>
              <w:t>517-432-0310</w:t>
            </w:r>
          </w:p>
        </w:tc>
      </w:tr>
      <w:tr w:rsidR="006C5DB8" w:rsidRPr="008F0408" w14:paraId="4C4F988F" w14:textId="77777777" w:rsidTr="004B7354">
        <w:trPr>
          <w:trHeight w:val="20"/>
        </w:trPr>
        <w:tc>
          <w:tcPr>
            <w:tcW w:w="966" w:type="pct"/>
            <w:hideMark/>
          </w:tcPr>
          <w:p w14:paraId="5DA5CAB0" w14:textId="77777777" w:rsidR="006C5DB8" w:rsidRPr="008F0408" w:rsidRDefault="006C5DB8" w:rsidP="00F95081">
            <w:pPr>
              <w:pStyle w:val="BodyText"/>
              <w:spacing w:before="20" w:after="20" w:line="240" w:lineRule="auto"/>
              <w:ind w:firstLine="0"/>
              <w:rPr>
                <w:szCs w:val="24"/>
              </w:rPr>
            </w:pPr>
            <w:r w:rsidRPr="008F0408">
              <w:rPr>
                <w:szCs w:val="24"/>
              </w:rPr>
              <w:t>Sandy Curwood</w:t>
            </w:r>
          </w:p>
        </w:tc>
        <w:tc>
          <w:tcPr>
            <w:tcW w:w="1651" w:type="pct"/>
          </w:tcPr>
          <w:p w14:paraId="1C6733A0" w14:textId="7C6E0273" w:rsidR="006C5DB8" w:rsidRPr="008F0408" w:rsidRDefault="006C5DB8" w:rsidP="00F95081">
            <w:pPr>
              <w:pStyle w:val="BodyText"/>
              <w:spacing w:before="20" w:after="20" w:line="240" w:lineRule="auto"/>
              <w:ind w:firstLine="0"/>
              <w:rPr>
                <w:szCs w:val="24"/>
              </w:rPr>
            </w:pPr>
            <w:r>
              <w:rPr>
                <w:szCs w:val="24"/>
              </w:rPr>
              <w:t>Director</w:t>
            </w:r>
          </w:p>
        </w:tc>
        <w:tc>
          <w:tcPr>
            <w:tcW w:w="1495" w:type="pct"/>
            <w:hideMark/>
          </w:tcPr>
          <w:p w14:paraId="3C5DA046" w14:textId="69DB4807" w:rsidR="006C5DB8" w:rsidRPr="008F0408" w:rsidRDefault="006C5DB8" w:rsidP="00F95081">
            <w:pPr>
              <w:pStyle w:val="BodyText"/>
              <w:spacing w:before="20" w:after="20" w:line="240" w:lineRule="auto"/>
              <w:ind w:firstLine="0"/>
              <w:rPr>
                <w:szCs w:val="24"/>
              </w:rPr>
            </w:pPr>
            <w:r w:rsidRPr="008F0408">
              <w:rPr>
                <w:szCs w:val="24"/>
              </w:rPr>
              <w:t>Virginia Department of Education, Office of School Nutrition Programs</w:t>
            </w:r>
          </w:p>
        </w:tc>
        <w:tc>
          <w:tcPr>
            <w:tcW w:w="888" w:type="pct"/>
            <w:hideMark/>
          </w:tcPr>
          <w:p w14:paraId="6EDA6B34" w14:textId="77777777" w:rsidR="006C5DB8" w:rsidRPr="008F0408" w:rsidRDefault="006C5DB8" w:rsidP="00F95081">
            <w:pPr>
              <w:pStyle w:val="BodyText"/>
              <w:spacing w:before="20" w:after="20" w:line="240" w:lineRule="auto"/>
              <w:ind w:firstLine="0"/>
              <w:jc w:val="center"/>
              <w:rPr>
                <w:szCs w:val="24"/>
              </w:rPr>
            </w:pPr>
            <w:r w:rsidRPr="008F0408">
              <w:rPr>
                <w:szCs w:val="24"/>
              </w:rPr>
              <w:t>804-225-2074</w:t>
            </w:r>
          </w:p>
        </w:tc>
      </w:tr>
      <w:tr w:rsidR="006C5DB8" w:rsidRPr="008F0408" w14:paraId="7E154825" w14:textId="77777777" w:rsidTr="004B7354">
        <w:trPr>
          <w:trHeight w:val="20"/>
        </w:trPr>
        <w:tc>
          <w:tcPr>
            <w:tcW w:w="966" w:type="pct"/>
            <w:hideMark/>
          </w:tcPr>
          <w:p w14:paraId="249C8ABB" w14:textId="77777777" w:rsidR="006C5DB8" w:rsidRPr="008F0408" w:rsidRDefault="006C5DB8" w:rsidP="00F95081">
            <w:pPr>
              <w:pStyle w:val="BodyText"/>
              <w:spacing w:before="20" w:after="20" w:line="240" w:lineRule="auto"/>
              <w:ind w:firstLine="0"/>
              <w:rPr>
                <w:szCs w:val="24"/>
              </w:rPr>
            </w:pPr>
            <w:r w:rsidRPr="008F0408">
              <w:rPr>
                <w:szCs w:val="24"/>
              </w:rPr>
              <w:t>Nessa Richman</w:t>
            </w:r>
          </w:p>
        </w:tc>
        <w:tc>
          <w:tcPr>
            <w:tcW w:w="1651" w:type="pct"/>
          </w:tcPr>
          <w:p w14:paraId="742EC57A" w14:textId="2412032E" w:rsidR="006C5DB8" w:rsidRPr="008F0408" w:rsidRDefault="006C5DB8" w:rsidP="00F95081">
            <w:pPr>
              <w:pStyle w:val="BodyText"/>
              <w:spacing w:before="20" w:after="20" w:line="240" w:lineRule="auto"/>
              <w:ind w:firstLine="0"/>
              <w:rPr>
                <w:szCs w:val="24"/>
              </w:rPr>
            </w:pPr>
            <w:r>
              <w:rPr>
                <w:szCs w:val="24"/>
              </w:rPr>
              <w:t>Network Director</w:t>
            </w:r>
          </w:p>
        </w:tc>
        <w:tc>
          <w:tcPr>
            <w:tcW w:w="1495" w:type="pct"/>
            <w:hideMark/>
          </w:tcPr>
          <w:p w14:paraId="2482E72D" w14:textId="3E343700" w:rsidR="006C5DB8" w:rsidRPr="008F0408" w:rsidRDefault="006C5DB8" w:rsidP="00F95081">
            <w:pPr>
              <w:pStyle w:val="BodyText"/>
              <w:spacing w:before="20" w:after="20" w:line="240" w:lineRule="auto"/>
              <w:ind w:firstLine="0"/>
              <w:rPr>
                <w:szCs w:val="24"/>
              </w:rPr>
            </w:pPr>
            <w:r w:rsidRPr="008F0408">
              <w:rPr>
                <w:szCs w:val="24"/>
              </w:rPr>
              <w:t>Farm-to-Institution New England (FINE)</w:t>
            </w:r>
          </w:p>
        </w:tc>
        <w:tc>
          <w:tcPr>
            <w:tcW w:w="888" w:type="pct"/>
            <w:hideMark/>
          </w:tcPr>
          <w:p w14:paraId="4CEB6883" w14:textId="77777777" w:rsidR="006C5DB8" w:rsidRPr="008F0408" w:rsidRDefault="006C5DB8" w:rsidP="00F95081">
            <w:pPr>
              <w:pStyle w:val="BodyText"/>
              <w:spacing w:before="20" w:after="20" w:line="240" w:lineRule="auto"/>
              <w:ind w:firstLine="0"/>
              <w:jc w:val="center"/>
              <w:rPr>
                <w:szCs w:val="24"/>
              </w:rPr>
            </w:pPr>
            <w:r w:rsidRPr="008F0408">
              <w:rPr>
                <w:szCs w:val="24"/>
              </w:rPr>
              <w:t>802-369-3090</w:t>
            </w:r>
          </w:p>
        </w:tc>
      </w:tr>
      <w:tr w:rsidR="006C5DB8" w:rsidRPr="008F0408" w14:paraId="226D07A4" w14:textId="77777777" w:rsidTr="004B7354">
        <w:trPr>
          <w:trHeight w:val="20"/>
        </w:trPr>
        <w:tc>
          <w:tcPr>
            <w:tcW w:w="966" w:type="pct"/>
            <w:hideMark/>
          </w:tcPr>
          <w:p w14:paraId="117DBC7D" w14:textId="77777777" w:rsidR="006C5DB8" w:rsidRPr="008F0408" w:rsidRDefault="006C5DB8" w:rsidP="00F95081">
            <w:pPr>
              <w:pStyle w:val="BodyText"/>
              <w:spacing w:before="20" w:after="20" w:line="240" w:lineRule="auto"/>
              <w:ind w:firstLine="0"/>
              <w:rPr>
                <w:szCs w:val="24"/>
              </w:rPr>
            </w:pPr>
            <w:r w:rsidRPr="008F0408">
              <w:rPr>
                <w:szCs w:val="24"/>
              </w:rPr>
              <w:t>Eva Ringstrom</w:t>
            </w:r>
          </w:p>
        </w:tc>
        <w:tc>
          <w:tcPr>
            <w:tcW w:w="1651" w:type="pct"/>
          </w:tcPr>
          <w:p w14:paraId="52C2992C" w14:textId="750CD1AB" w:rsidR="006C5DB8" w:rsidRPr="008F0408" w:rsidRDefault="006C5DB8" w:rsidP="00F95081">
            <w:pPr>
              <w:pStyle w:val="BodyText"/>
              <w:spacing w:before="20" w:after="20" w:line="240" w:lineRule="auto"/>
              <w:ind w:firstLine="0"/>
              <w:rPr>
                <w:szCs w:val="24"/>
              </w:rPr>
            </w:pPr>
            <w:r>
              <w:rPr>
                <w:szCs w:val="24"/>
              </w:rPr>
              <w:t>Senior Director of Impact</w:t>
            </w:r>
          </w:p>
        </w:tc>
        <w:tc>
          <w:tcPr>
            <w:tcW w:w="1495" w:type="pct"/>
            <w:hideMark/>
          </w:tcPr>
          <w:p w14:paraId="1FB4C36E" w14:textId="415AC84A" w:rsidR="006C5DB8" w:rsidRPr="008F0408" w:rsidRDefault="006C5DB8" w:rsidP="00F95081">
            <w:pPr>
              <w:pStyle w:val="BodyText"/>
              <w:spacing w:before="20" w:after="20" w:line="240" w:lineRule="auto"/>
              <w:ind w:firstLine="0"/>
              <w:rPr>
                <w:szCs w:val="24"/>
              </w:rPr>
            </w:pPr>
            <w:r w:rsidRPr="008F0408">
              <w:rPr>
                <w:szCs w:val="24"/>
              </w:rPr>
              <w:t>FoodCorps</w:t>
            </w:r>
          </w:p>
        </w:tc>
        <w:tc>
          <w:tcPr>
            <w:tcW w:w="888" w:type="pct"/>
            <w:hideMark/>
          </w:tcPr>
          <w:p w14:paraId="74BA1964" w14:textId="77777777" w:rsidR="006C5DB8" w:rsidRPr="008F0408" w:rsidRDefault="006C5DB8" w:rsidP="00F95081">
            <w:pPr>
              <w:pStyle w:val="BodyText"/>
              <w:spacing w:before="20" w:after="20" w:line="240" w:lineRule="auto"/>
              <w:ind w:firstLine="0"/>
              <w:jc w:val="center"/>
              <w:rPr>
                <w:szCs w:val="24"/>
              </w:rPr>
            </w:pPr>
            <w:r w:rsidRPr="008F0408">
              <w:rPr>
                <w:szCs w:val="24"/>
              </w:rPr>
              <w:t>212-596-7045</w:t>
            </w:r>
          </w:p>
        </w:tc>
      </w:tr>
      <w:tr w:rsidR="006C5DB8" w:rsidRPr="008F0408" w14:paraId="6ACA9A39" w14:textId="77777777" w:rsidTr="004B7354">
        <w:trPr>
          <w:trHeight w:val="20"/>
        </w:trPr>
        <w:tc>
          <w:tcPr>
            <w:tcW w:w="966" w:type="pct"/>
            <w:hideMark/>
          </w:tcPr>
          <w:p w14:paraId="4BCAF139" w14:textId="77777777" w:rsidR="006C5DB8" w:rsidRPr="008F0408" w:rsidRDefault="006C5DB8" w:rsidP="00F95081">
            <w:pPr>
              <w:pStyle w:val="BodyText"/>
              <w:spacing w:before="20" w:after="20" w:line="240" w:lineRule="auto"/>
              <w:ind w:firstLine="0"/>
              <w:rPr>
                <w:szCs w:val="24"/>
              </w:rPr>
            </w:pPr>
            <w:r w:rsidRPr="008F0408">
              <w:rPr>
                <w:szCs w:val="24"/>
              </w:rPr>
              <w:t>Becca Jablonski</w:t>
            </w:r>
          </w:p>
        </w:tc>
        <w:tc>
          <w:tcPr>
            <w:tcW w:w="1651" w:type="pct"/>
          </w:tcPr>
          <w:p w14:paraId="200C8679" w14:textId="7F979EB9" w:rsidR="006C5DB8" w:rsidRPr="008F0408" w:rsidRDefault="006C5DB8" w:rsidP="00F95081">
            <w:pPr>
              <w:pStyle w:val="BodyText"/>
              <w:spacing w:before="20" w:after="20" w:line="240" w:lineRule="auto"/>
              <w:ind w:firstLine="0"/>
              <w:rPr>
                <w:szCs w:val="24"/>
              </w:rPr>
            </w:pPr>
            <w:r>
              <w:rPr>
                <w:szCs w:val="24"/>
              </w:rPr>
              <w:t>Assistant Professor</w:t>
            </w:r>
          </w:p>
        </w:tc>
        <w:tc>
          <w:tcPr>
            <w:tcW w:w="1495" w:type="pct"/>
            <w:hideMark/>
          </w:tcPr>
          <w:p w14:paraId="4394FEF5" w14:textId="0E7B021B" w:rsidR="006C5DB8" w:rsidRPr="008F0408" w:rsidRDefault="006C5DB8" w:rsidP="00F95081">
            <w:pPr>
              <w:pStyle w:val="BodyText"/>
              <w:spacing w:before="20" w:after="20" w:line="240" w:lineRule="auto"/>
              <w:ind w:firstLine="0"/>
              <w:rPr>
                <w:szCs w:val="24"/>
              </w:rPr>
            </w:pPr>
            <w:r w:rsidRPr="008F0408">
              <w:rPr>
                <w:szCs w:val="24"/>
              </w:rPr>
              <w:t>Colorado State University</w:t>
            </w:r>
          </w:p>
        </w:tc>
        <w:tc>
          <w:tcPr>
            <w:tcW w:w="888" w:type="pct"/>
            <w:hideMark/>
          </w:tcPr>
          <w:p w14:paraId="4605E262" w14:textId="77777777" w:rsidR="006C5DB8" w:rsidRPr="008F0408" w:rsidRDefault="006C5DB8" w:rsidP="00F95081">
            <w:pPr>
              <w:pStyle w:val="BodyText"/>
              <w:spacing w:before="20" w:after="20" w:line="240" w:lineRule="auto"/>
              <w:ind w:firstLine="0"/>
              <w:jc w:val="center"/>
              <w:rPr>
                <w:szCs w:val="24"/>
              </w:rPr>
            </w:pPr>
            <w:r w:rsidRPr="008F0408">
              <w:rPr>
                <w:szCs w:val="24"/>
              </w:rPr>
              <w:t>970-491-6133</w:t>
            </w:r>
          </w:p>
        </w:tc>
      </w:tr>
      <w:tr w:rsidR="006C5DB8" w:rsidRPr="008F0408" w14:paraId="55280467" w14:textId="77777777" w:rsidTr="004B7354">
        <w:trPr>
          <w:trHeight w:val="20"/>
        </w:trPr>
        <w:tc>
          <w:tcPr>
            <w:tcW w:w="966" w:type="pct"/>
            <w:hideMark/>
          </w:tcPr>
          <w:p w14:paraId="798B67A0" w14:textId="77777777" w:rsidR="006C5DB8" w:rsidRPr="008F0408" w:rsidRDefault="006C5DB8" w:rsidP="00F95081">
            <w:pPr>
              <w:pStyle w:val="BodyText"/>
              <w:spacing w:before="20" w:after="20" w:line="240" w:lineRule="auto"/>
              <w:ind w:firstLine="0"/>
              <w:rPr>
                <w:szCs w:val="24"/>
              </w:rPr>
            </w:pPr>
            <w:r w:rsidRPr="008F0408">
              <w:rPr>
                <w:szCs w:val="24"/>
              </w:rPr>
              <w:t>Lydia Oberholtzer</w:t>
            </w:r>
          </w:p>
        </w:tc>
        <w:tc>
          <w:tcPr>
            <w:tcW w:w="1651" w:type="pct"/>
          </w:tcPr>
          <w:p w14:paraId="700A78F2" w14:textId="5357E2ED" w:rsidR="006C5DB8" w:rsidRPr="008F0408" w:rsidRDefault="006C5DB8" w:rsidP="00F95081">
            <w:pPr>
              <w:pStyle w:val="BodyText"/>
              <w:spacing w:before="20" w:after="20" w:line="240" w:lineRule="auto"/>
              <w:ind w:firstLine="0"/>
              <w:rPr>
                <w:szCs w:val="24"/>
              </w:rPr>
            </w:pPr>
            <w:r>
              <w:rPr>
                <w:szCs w:val="24"/>
              </w:rPr>
              <w:t xml:space="preserve">Senior Research Assistant </w:t>
            </w:r>
          </w:p>
        </w:tc>
        <w:tc>
          <w:tcPr>
            <w:tcW w:w="1495" w:type="pct"/>
            <w:hideMark/>
          </w:tcPr>
          <w:p w14:paraId="74136D1E" w14:textId="1B8FA06F" w:rsidR="006C5DB8" w:rsidRPr="008F0408" w:rsidRDefault="006C5DB8" w:rsidP="00F95081">
            <w:pPr>
              <w:pStyle w:val="BodyText"/>
              <w:spacing w:before="20" w:after="20" w:line="240" w:lineRule="auto"/>
              <w:ind w:firstLine="0"/>
              <w:rPr>
                <w:szCs w:val="24"/>
              </w:rPr>
            </w:pPr>
            <w:r w:rsidRPr="008F0408">
              <w:rPr>
                <w:szCs w:val="24"/>
              </w:rPr>
              <w:t>Penn State University</w:t>
            </w:r>
          </w:p>
        </w:tc>
        <w:tc>
          <w:tcPr>
            <w:tcW w:w="888" w:type="pct"/>
            <w:hideMark/>
          </w:tcPr>
          <w:p w14:paraId="284E0BD0" w14:textId="77777777" w:rsidR="006C5DB8" w:rsidRPr="008F0408" w:rsidRDefault="006C5DB8" w:rsidP="00F95081">
            <w:pPr>
              <w:pStyle w:val="BodyText"/>
              <w:spacing w:before="20" w:after="20" w:line="240" w:lineRule="auto"/>
              <w:ind w:firstLine="0"/>
              <w:jc w:val="center"/>
              <w:rPr>
                <w:szCs w:val="24"/>
              </w:rPr>
            </w:pPr>
            <w:r w:rsidRPr="008F0408">
              <w:rPr>
                <w:rFonts w:cs="Arial"/>
                <w:szCs w:val="24"/>
                <w:shd w:val="clear" w:color="auto" w:fill="FFFFFF"/>
              </w:rPr>
              <w:t>301-891-0470</w:t>
            </w:r>
          </w:p>
        </w:tc>
      </w:tr>
      <w:tr w:rsidR="006C5DB8" w:rsidRPr="008F0408" w14:paraId="282837A9" w14:textId="77777777" w:rsidTr="004B7354">
        <w:trPr>
          <w:trHeight w:val="20"/>
        </w:trPr>
        <w:tc>
          <w:tcPr>
            <w:tcW w:w="966" w:type="pct"/>
            <w:tcBorders>
              <w:bottom w:val="single" w:sz="4" w:space="0" w:color="auto"/>
            </w:tcBorders>
            <w:hideMark/>
          </w:tcPr>
          <w:p w14:paraId="7B3DB516" w14:textId="77777777" w:rsidR="006C5DB8" w:rsidRPr="008F0408" w:rsidRDefault="006C5DB8" w:rsidP="00F95081">
            <w:pPr>
              <w:pStyle w:val="BodyText"/>
              <w:spacing w:before="20" w:after="20" w:line="240" w:lineRule="auto"/>
              <w:ind w:firstLine="0"/>
              <w:rPr>
                <w:szCs w:val="24"/>
              </w:rPr>
            </w:pPr>
            <w:r w:rsidRPr="008F0408">
              <w:rPr>
                <w:szCs w:val="24"/>
              </w:rPr>
              <w:t>Ricardo Salvador</w:t>
            </w:r>
          </w:p>
        </w:tc>
        <w:tc>
          <w:tcPr>
            <w:tcW w:w="1651" w:type="pct"/>
            <w:tcBorders>
              <w:bottom w:val="single" w:sz="4" w:space="0" w:color="auto"/>
            </w:tcBorders>
          </w:tcPr>
          <w:p w14:paraId="0383C33E" w14:textId="274FA764" w:rsidR="006C5DB8" w:rsidRPr="008F0408" w:rsidRDefault="006C5DB8" w:rsidP="00F95081">
            <w:pPr>
              <w:pStyle w:val="BodyText"/>
              <w:spacing w:before="20" w:after="20" w:line="240" w:lineRule="auto"/>
              <w:ind w:firstLine="0"/>
              <w:rPr>
                <w:szCs w:val="24"/>
              </w:rPr>
            </w:pPr>
            <w:r>
              <w:rPr>
                <w:szCs w:val="24"/>
              </w:rPr>
              <w:t xml:space="preserve">Senior Scientist </w:t>
            </w:r>
          </w:p>
        </w:tc>
        <w:tc>
          <w:tcPr>
            <w:tcW w:w="1495" w:type="pct"/>
            <w:tcBorders>
              <w:bottom w:val="single" w:sz="4" w:space="0" w:color="auto"/>
            </w:tcBorders>
            <w:hideMark/>
          </w:tcPr>
          <w:p w14:paraId="09590CC0" w14:textId="5CCEC5B6" w:rsidR="006C5DB8" w:rsidRPr="008F0408" w:rsidRDefault="006C5DB8" w:rsidP="00F95081">
            <w:pPr>
              <w:pStyle w:val="BodyText"/>
              <w:spacing w:before="20" w:after="20" w:line="240" w:lineRule="auto"/>
              <w:ind w:firstLine="0"/>
              <w:rPr>
                <w:szCs w:val="24"/>
              </w:rPr>
            </w:pPr>
            <w:r w:rsidRPr="008F0408">
              <w:rPr>
                <w:szCs w:val="24"/>
              </w:rPr>
              <w:t>Union of Concerned Scientists</w:t>
            </w:r>
          </w:p>
        </w:tc>
        <w:tc>
          <w:tcPr>
            <w:tcW w:w="888" w:type="pct"/>
            <w:tcBorders>
              <w:bottom w:val="single" w:sz="4" w:space="0" w:color="auto"/>
            </w:tcBorders>
            <w:hideMark/>
          </w:tcPr>
          <w:p w14:paraId="384AC9B0" w14:textId="77777777" w:rsidR="006C5DB8" w:rsidRPr="008F0408" w:rsidRDefault="006C5DB8" w:rsidP="00F95081">
            <w:pPr>
              <w:pStyle w:val="BodyText"/>
              <w:spacing w:before="20" w:after="20" w:line="240" w:lineRule="auto"/>
              <w:ind w:firstLine="0"/>
              <w:jc w:val="center"/>
              <w:rPr>
                <w:szCs w:val="24"/>
              </w:rPr>
            </w:pPr>
            <w:r w:rsidRPr="008F0408">
              <w:rPr>
                <w:szCs w:val="24"/>
              </w:rPr>
              <w:t>202-331-6956</w:t>
            </w:r>
          </w:p>
        </w:tc>
      </w:tr>
      <w:tr w:rsidR="006C5DB8" w:rsidRPr="008F0408" w14:paraId="0921B41D" w14:textId="77777777" w:rsidTr="004B7354">
        <w:trPr>
          <w:trHeight w:val="20"/>
        </w:trPr>
        <w:tc>
          <w:tcPr>
            <w:tcW w:w="966" w:type="pct"/>
            <w:tcBorders>
              <w:top w:val="single" w:sz="4" w:space="0" w:color="auto"/>
              <w:left w:val="single" w:sz="4" w:space="0" w:color="auto"/>
              <w:bottom w:val="single" w:sz="4" w:space="0" w:color="auto"/>
              <w:right w:val="single" w:sz="4" w:space="0" w:color="auto"/>
            </w:tcBorders>
          </w:tcPr>
          <w:p w14:paraId="29EC1641" w14:textId="3CF4448D" w:rsidR="006C5DB8" w:rsidRPr="008F0408" w:rsidRDefault="006C5DB8">
            <w:pPr>
              <w:pStyle w:val="BodyText"/>
              <w:spacing w:before="20" w:after="20" w:line="240" w:lineRule="auto"/>
              <w:ind w:firstLine="0"/>
              <w:rPr>
                <w:szCs w:val="24"/>
              </w:rPr>
            </w:pPr>
            <w:r>
              <w:rPr>
                <w:szCs w:val="24"/>
              </w:rPr>
              <w:t>Mingshan Zheng</w:t>
            </w:r>
          </w:p>
        </w:tc>
        <w:tc>
          <w:tcPr>
            <w:tcW w:w="1651" w:type="pct"/>
            <w:tcBorders>
              <w:top w:val="single" w:sz="4" w:space="0" w:color="auto"/>
              <w:left w:val="single" w:sz="4" w:space="0" w:color="auto"/>
              <w:bottom w:val="single" w:sz="4" w:space="0" w:color="auto"/>
              <w:right w:val="single" w:sz="4" w:space="0" w:color="auto"/>
            </w:tcBorders>
          </w:tcPr>
          <w:p w14:paraId="3CC74B8F" w14:textId="73A98105" w:rsidR="006C5DB8" w:rsidRPr="008F0408" w:rsidRDefault="006C5DB8" w:rsidP="00F95081">
            <w:pPr>
              <w:pStyle w:val="BodyText"/>
              <w:spacing w:before="20" w:after="20" w:line="240" w:lineRule="auto"/>
              <w:ind w:firstLine="0"/>
              <w:rPr>
                <w:szCs w:val="24"/>
              </w:rPr>
            </w:pPr>
            <w:r w:rsidRPr="006C5DB8">
              <w:rPr>
                <w:szCs w:val="24"/>
              </w:rPr>
              <w:t>Mathematical Statistician</w:t>
            </w:r>
          </w:p>
        </w:tc>
        <w:tc>
          <w:tcPr>
            <w:tcW w:w="1495" w:type="pct"/>
            <w:tcBorders>
              <w:top w:val="single" w:sz="4" w:space="0" w:color="auto"/>
              <w:left w:val="single" w:sz="4" w:space="0" w:color="auto"/>
              <w:bottom w:val="single" w:sz="4" w:space="0" w:color="auto"/>
              <w:right w:val="single" w:sz="4" w:space="0" w:color="auto"/>
            </w:tcBorders>
          </w:tcPr>
          <w:p w14:paraId="611E7681" w14:textId="01F69BCF" w:rsidR="006C5DB8" w:rsidRPr="008F0408" w:rsidRDefault="006C5DB8" w:rsidP="00F95081">
            <w:pPr>
              <w:pStyle w:val="BodyText"/>
              <w:spacing w:before="20" w:after="20" w:line="240" w:lineRule="auto"/>
              <w:ind w:firstLine="0"/>
              <w:rPr>
                <w:szCs w:val="24"/>
              </w:rPr>
            </w:pPr>
            <w:r w:rsidRPr="008F0408">
              <w:rPr>
                <w:szCs w:val="24"/>
              </w:rPr>
              <w:t>National Agricultural Statistics Service (NASS), U.S. Department of Agriculture (USDA)</w:t>
            </w:r>
          </w:p>
        </w:tc>
        <w:tc>
          <w:tcPr>
            <w:tcW w:w="888" w:type="pct"/>
            <w:tcBorders>
              <w:top w:val="single" w:sz="4" w:space="0" w:color="auto"/>
              <w:left w:val="single" w:sz="4" w:space="0" w:color="auto"/>
              <w:bottom w:val="single" w:sz="4" w:space="0" w:color="auto"/>
              <w:right w:val="single" w:sz="4" w:space="0" w:color="auto"/>
            </w:tcBorders>
          </w:tcPr>
          <w:p w14:paraId="68B52A39" w14:textId="6CC40BB8" w:rsidR="006C5DB8" w:rsidRPr="008F0408" w:rsidRDefault="006C5DB8" w:rsidP="00F95081">
            <w:pPr>
              <w:pStyle w:val="BodyText"/>
              <w:spacing w:before="20" w:after="20" w:line="240" w:lineRule="auto"/>
              <w:ind w:firstLine="0"/>
              <w:rPr>
                <w:szCs w:val="24"/>
              </w:rPr>
            </w:pPr>
            <w:r>
              <w:rPr>
                <w:szCs w:val="24"/>
              </w:rPr>
              <w:t>202-720-</w:t>
            </w:r>
            <w:r w:rsidRPr="006C5DB8">
              <w:rPr>
                <w:szCs w:val="24"/>
              </w:rPr>
              <w:t>0830</w:t>
            </w:r>
          </w:p>
        </w:tc>
      </w:tr>
    </w:tbl>
    <w:p w14:paraId="076322E1" w14:textId="77777777" w:rsidR="003F6450" w:rsidRPr="00A81B0A" w:rsidRDefault="003F6450" w:rsidP="00431E77">
      <w:pPr>
        <w:spacing w:after="0" w:line="480" w:lineRule="auto"/>
        <w:rPr>
          <w:sz w:val="24"/>
          <w:szCs w:val="24"/>
        </w:rPr>
      </w:pPr>
    </w:p>
    <w:p w14:paraId="094F3D3C" w14:textId="77777777" w:rsidR="002C0F75" w:rsidRDefault="00D746E5" w:rsidP="00EC13A0">
      <w:pPr>
        <w:spacing w:after="0" w:line="480" w:lineRule="auto"/>
        <w:ind w:firstLine="360"/>
        <w:rPr>
          <w:sz w:val="24"/>
          <w:szCs w:val="24"/>
        </w:rPr>
      </w:pPr>
      <w:r>
        <w:rPr>
          <w:sz w:val="24"/>
          <w:szCs w:val="24"/>
        </w:rPr>
        <w:t>Finally, f</w:t>
      </w:r>
      <w:r w:rsidR="001E3EFF" w:rsidRPr="00A81B0A">
        <w:rPr>
          <w:sz w:val="24"/>
          <w:szCs w:val="24"/>
        </w:rPr>
        <w:t xml:space="preserve">eedback from the pretest participants was used to </w:t>
      </w:r>
      <w:r>
        <w:rPr>
          <w:sz w:val="24"/>
          <w:szCs w:val="24"/>
        </w:rPr>
        <w:t xml:space="preserve">further </w:t>
      </w:r>
      <w:r w:rsidR="001E3EFF" w:rsidRPr="00A81B0A">
        <w:rPr>
          <w:sz w:val="24"/>
          <w:szCs w:val="24"/>
        </w:rPr>
        <w:t>refine and finalize the data collection instruments (</w:t>
      </w:r>
      <w:r w:rsidR="00774E5E" w:rsidRPr="00A81B0A">
        <w:rPr>
          <w:sz w:val="24"/>
          <w:szCs w:val="24"/>
        </w:rPr>
        <w:t xml:space="preserve">see </w:t>
      </w:r>
      <w:r w:rsidR="001E3EFF" w:rsidRPr="00A81B0A">
        <w:rPr>
          <w:sz w:val="24"/>
          <w:szCs w:val="24"/>
        </w:rPr>
        <w:t xml:space="preserve">Appendix </w:t>
      </w:r>
      <w:r w:rsidR="009712FC">
        <w:rPr>
          <w:sz w:val="24"/>
          <w:szCs w:val="24"/>
        </w:rPr>
        <w:t>Y</w:t>
      </w:r>
      <w:r w:rsidR="003E6D7C" w:rsidRPr="00A81B0A">
        <w:rPr>
          <w:sz w:val="24"/>
          <w:szCs w:val="24"/>
        </w:rPr>
        <w:t xml:space="preserve"> </w:t>
      </w:r>
      <w:r w:rsidR="00774E5E" w:rsidRPr="00A81B0A">
        <w:rPr>
          <w:sz w:val="24"/>
          <w:szCs w:val="24"/>
        </w:rPr>
        <w:t>for a summary of feedback and corrective actions taken</w:t>
      </w:r>
      <w:r w:rsidR="001E3EFF" w:rsidRPr="00A81B0A">
        <w:rPr>
          <w:sz w:val="24"/>
          <w:szCs w:val="24"/>
        </w:rPr>
        <w:t>).</w:t>
      </w:r>
    </w:p>
    <w:p w14:paraId="0A7A8D83" w14:textId="3FECCAFD" w:rsidR="007B2581" w:rsidRPr="00A81B0A" w:rsidRDefault="001E3EFF" w:rsidP="00EC13A0">
      <w:pPr>
        <w:spacing w:after="0" w:line="480" w:lineRule="auto"/>
        <w:ind w:firstLine="360"/>
        <w:rPr>
          <w:sz w:val="24"/>
          <w:szCs w:val="24"/>
        </w:rPr>
      </w:pPr>
      <w:r w:rsidRPr="00A81B0A">
        <w:rPr>
          <w:sz w:val="24"/>
          <w:szCs w:val="24"/>
        </w:rPr>
        <w:t xml:space="preserve"> </w:t>
      </w:r>
    </w:p>
    <w:p w14:paraId="08F7F20B" w14:textId="647694F8" w:rsidR="004A0F2B" w:rsidRPr="00A81B0A" w:rsidRDefault="004A0F2B" w:rsidP="009A2B24">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outlineLvl w:val="0"/>
        <w:rPr>
          <w:rFonts w:ascii="Arial" w:hAnsi="Arial"/>
          <w:b/>
          <w:sz w:val="24"/>
          <w:szCs w:val="24"/>
        </w:rPr>
      </w:pPr>
      <w:bookmarkStart w:id="20" w:name="_Toc506534089"/>
      <w:bookmarkStart w:id="21" w:name="_Toc506534141"/>
      <w:r w:rsidRPr="00A81B0A">
        <w:rPr>
          <w:rFonts w:ascii="Arial" w:hAnsi="Arial"/>
          <w:b/>
          <w:sz w:val="24"/>
          <w:szCs w:val="24"/>
        </w:rPr>
        <w:t>Explain any decision to provide any payment or gift to respondents</w:t>
      </w:r>
      <w:r w:rsidR="001A3624" w:rsidRPr="00A81B0A">
        <w:rPr>
          <w:rFonts w:ascii="Arial" w:hAnsi="Arial"/>
          <w:b/>
          <w:sz w:val="24"/>
          <w:szCs w:val="24"/>
        </w:rPr>
        <w:t>, other than remuneration of contractors or grantees.</w:t>
      </w:r>
      <w:bookmarkEnd w:id="20"/>
      <w:bookmarkEnd w:id="21"/>
    </w:p>
    <w:p w14:paraId="2B0D3862" w14:textId="45448123" w:rsidR="004A0F2B" w:rsidRPr="00A81B0A" w:rsidRDefault="00581FEF" w:rsidP="0029359E">
      <w:pPr>
        <w:pStyle w:val="BodyText"/>
        <w:rPr>
          <w:szCs w:val="24"/>
        </w:rPr>
      </w:pPr>
      <w:r w:rsidRPr="00A81B0A">
        <w:rPr>
          <w:szCs w:val="24"/>
        </w:rPr>
        <w:t xml:space="preserve">No payments </w:t>
      </w:r>
      <w:r w:rsidR="004A0F2B" w:rsidRPr="00A81B0A">
        <w:rPr>
          <w:szCs w:val="24"/>
        </w:rPr>
        <w:t xml:space="preserve">or gifts will </w:t>
      </w:r>
      <w:r w:rsidR="00A867E5" w:rsidRPr="00A81B0A">
        <w:rPr>
          <w:szCs w:val="24"/>
        </w:rPr>
        <w:t xml:space="preserve">be provided to </w:t>
      </w:r>
      <w:r w:rsidRPr="00A81B0A">
        <w:rPr>
          <w:szCs w:val="24"/>
        </w:rPr>
        <w:t xml:space="preserve">any </w:t>
      </w:r>
      <w:r w:rsidR="00A867E5" w:rsidRPr="00A81B0A">
        <w:rPr>
          <w:szCs w:val="24"/>
        </w:rPr>
        <w:t>respondents.</w:t>
      </w:r>
    </w:p>
    <w:p w14:paraId="31C36D6B" w14:textId="4F253608" w:rsidR="00A867E5" w:rsidRPr="00A81B0A" w:rsidRDefault="00A867E5">
      <w:pPr>
        <w:spacing w:after="0" w:line="240" w:lineRule="auto"/>
        <w:rPr>
          <w:sz w:val="24"/>
          <w:szCs w:val="24"/>
        </w:rPr>
      </w:pPr>
    </w:p>
    <w:p w14:paraId="3538DDC5" w14:textId="4C82C110" w:rsidR="004A0F2B" w:rsidRPr="00A81B0A" w:rsidRDefault="004A0F2B" w:rsidP="009A2B24">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outlineLvl w:val="0"/>
        <w:rPr>
          <w:rFonts w:ascii="Arial" w:hAnsi="Arial"/>
          <w:sz w:val="24"/>
          <w:szCs w:val="24"/>
        </w:rPr>
      </w:pPr>
      <w:bookmarkStart w:id="22" w:name="_Toc506534090"/>
      <w:bookmarkStart w:id="23" w:name="_Toc506534142"/>
      <w:r w:rsidRPr="00A81B0A">
        <w:rPr>
          <w:rFonts w:ascii="Arial" w:hAnsi="Arial"/>
          <w:b/>
          <w:sz w:val="24"/>
          <w:szCs w:val="24"/>
        </w:rPr>
        <w:t>Describe any assurance of confidentiality provided to respondents and the basis for the assurance in statute, regulation, or agency policy.</w:t>
      </w:r>
      <w:bookmarkEnd w:id="22"/>
      <w:bookmarkEnd w:id="23"/>
    </w:p>
    <w:p w14:paraId="2BC1220C" w14:textId="17953371" w:rsidR="0097351B" w:rsidRPr="00A81B0A" w:rsidRDefault="0074375A" w:rsidP="0029359E">
      <w:pPr>
        <w:pStyle w:val="BodyText"/>
        <w:rPr>
          <w:szCs w:val="24"/>
        </w:rPr>
      </w:pPr>
      <w:r w:rsidRPr="00A81B0A">
        <w:rPr>
          <w:szCs w:val="24"/>
        </w:rPr>
        <w:t>FNS compl</w:t>
      </w:r>
      <w:r w:rsidR="001E3EFF" w:rsidRPr="00A81B0A">
        <w:rPr>
          <w:szCs w:val="24"/>
        </w:rPr>
        <w:t>ies</w:t>
      </w:r>
      <w:r w:rsidRPr="00A81B0A">
        <w:rPr>
          <w:szCs w:val="24"/>
        </w:rPr>
        <w:t xml:space="preserve"> with the Privacy Act of 1974</w:t>
      </w:r>
      <w:r w:rsidR="00D033F2" w:rsidRPr="00A81B0A">
        <w:rPr>
          <w:szCs w:val="24"/>
        </w:rPr>
        <w:t xml:space="preserve"> (5 USC §552a)</w:t>
      </w:r>
      <w:r w:rsidRPr="00A81B0A">
        <w:rPr>
          <w:szCs w:val="24"/>
        </w:rPr>
        <w:t xml:space="preserve">. </w:t>
      </w:r>
      <w:r w:rsidR="001B1B8C" w:rsidRPr="00A81B0A">
        <w:rPr>
          <w:szCs w:val="24"/>
        </w:rPr>
        <w:t xml:space="preserve">The information gathered in this study will be kept private to the full extent permitted by law. </w:t>
      </w:r>
      <w:r w:rsidRPr="00A81B0A">
        <w:rPr>
          <w:szCs w:val="24"/>
        </w:rPr>
        <w:t xml:space="preserve">Consent language will be provided in the introduction to both the </w:t>
      </w:r>
      <w:r w:rsidR="00E23C6C" w:rsidRPr="00A81B0A">
        <w:rPr>
          <w:szCs w:val="24"/>
        </w:rPr>
        <w:t xml:space="preserve">Distributor Interview </w:t>
      </w:r>
      <w:r w:rsidR="00E23C6C">
        <w:rPr>
          <w:szCs w:val="24"/>
        </w:rPr>
        <w:t xml:space="preserve">and </w:t>
      </w:r>
      <w:r w:rsidRPr="00A81B0A">
        <w:rPr>
          <w:szCs w:val="24"/>
        </w:rPr>
        <w:t xml:space="preserve">Census </w:t>
      </w:r>
      <w:r w:rsidR="003E6D7C" w:rsidRPr="00A81B0A">
        <w:rPr>
          <w:szCs w:val="24"/>
        </w:rPr>
        <w:t xml:space="preserve">(Appendices </w:t>
      </w:r>
      <w:r w:rsidR="00E23C6C">
        <w:rPr>
          <w:szCs w:val="24"/>
        </w:rPr>
        <w:t xml:space="preserve">C and </w:t>
      </w:r>
      <w:r w:rsidR="003E6D7C" w:rsidRPr="00A81B0A">
        <w:rPr>
          <w:szCs w:val="24"/>
        </w:rPr>
        <w:t>D</w:t>
      </w:r>
      <w:r w:rsidR="00E23C6C">
        <w:rPr>
          <w:szCs w:val="24"/>
        </w:rPr>
        <w:t>/E</w:t>
      </w:r>
      <w:r w:rsidR="003E6D7C" w:rsidRPr="00A81B0A">
        <w:rPr>
          <w:szCs w:val="24"/>
        </w:rPr>
        <w:t>)</w:t>
      </w:r>
      <w:r w:rsidRPr="00A81B0A">
        <w:rPr>
          <w:szCs w:val="24"/>
        </w:rPr>
        <w:t xml:space="preserve">, in </w:t>
      </w:r>
      <w:r w:rsidR="00E23C6C" w:rsidRPr="00A81B0A">
        <w:rPr>
          <w:szCs w:val="24"/>
        </w:rPr>
        <w:t xml:space="preserve">verbal </w:t>
      </w:r>
      <w:r w:rsidRPr="00A81B0A">
        <w:rPr>
          <w:szCs w:val="24"/>
        </w:rPr>
        <w:t xml:space="preserve">and </w:t>
      </w:r>
      <w:r w:rsidR="00E23C6C" w:rsidRPr="00A81B0A">
        <w:rPr>
          <w:szCs w:val="24"/>
        </w:rPr>
        <w:t xml:space="preserve">written </w:t>
      </w:r>
      <w:r w:rsidRPr="00A81B0A">
        <w:rPr>
          <w:szCs w:val="24"/>
        </w:rPr>
        <w:t xml:space="preserve">format, respectively. </w:t>
      </w:r>
    </w:p>
    <w:p w14:paraId="1906617C" w14:textId="165D67F2" w:rsidR="0097351B" w:rsidRPr="00A81B0A" w:rsidRDefault="0097351B" w:rsidP="0029359E">
      <w:pPr>
        <w:pStyle w:val="BodyText"/>
        <w:rPr>
          <w:szCs w:val="24"/>
        </w:rPr>
      </w:pPr>
      <w:r w:rsidRPr="00A81B0A">
        <w:rPr>
          <w:szCs w:val="24"/>
        </w:rPr>
        <w:t>The Census will use Confirmit Horizons software to collect survey responses. Confirmit as an organization invests considerable time refactoring code to ensure the software remains up to date and takes advantage of the latest technologies that boost security, performance</w:t>
      </w:r>
      <w:r w:rsidR="003A5742" w:rsidRPr="00A81B0A">
        <w:rPr>
          <w:szCs w:val="24"/>
        </w:rPr>
        <w:t>,</w:t>
      </w:r>
      <w:r w:rsidRPr="00A81B0A">
        <w:rPr>
          <w:szCs w:val="24"/>
        </w:rPr>
        <w:t xml:space="preserve"> and reliability.  HTTPS is enforced for transmission of all credentials</w:t>
      </w:r>
      <w:r w:rsidR="00CB5B5A">
        <w:rPr>
          <w:szCs w:val="24"/>
        </w:rPr>
        <w:t>, as well as</w:t>
      </w:r>
      <w:r w:rsidRPr="00A81B0A">
        <w:rPr>
          <w:szCs w:val="24"/>
        </w:rPr>
        <w:t xml:space="preserve"> enforced for all connections for the study team </w:t>
      </w:r>
      <w:r w:rsidR="00D12E2C">
        <w:rPr>
          <w:szCs w:val="24"/>
        </w:rPr>
        <w:t>a</w:t>
      </w:r>
      <w:r w:rsidR="00D12E2C" w:rsidRPr="00A81B0A">
        <w:rPr>
          <w:szCs w:val="24"/>
        </w:rPr>
        <w:t xml:space="preserve">ssociates </w:t>
      </w:r>
      <w:r w:rsidRPr="00A81B0A">
        <w:rPr>
          <w:szCs w:val="24"/>
        </w:rPr>
        <w:t>at the user level. The SQL server databases that store respondent/response data are behind the firewall and data can only be accessed through the Horizons application by our named users. No application users can access the database directly</w:t>
      </w:r>
      <w:r w:rsidR="003A5742" w:rsidRPr="00A81B0A">
        <w:rPr>
          <w:szCs w:val="24"/>
        </w:rPr>
        <w:t>;</w:t>
      </w:r>
      <w:r w:rsidRPr="00A81B0A">
        <w:rPr>
          <w:szCs w:val="24"/>
        </w:rPr>
        <w:t xml:space="preserve"> the servers are only accessible by our database administrators. Confirmit surveys are stateless and session-less. No user identifiable information is required when transmitting information between page submissions. A combination of hidden form fields and system</w:t>
      </w:r>
      <w:r w:rsidR="003A5742" w:rsidRPr="00A81B0A">
        <w:rPr>
          <w:szCs w:val="24"/>
        </w:rPr>
        <w:t>-</w:t>
      </w:r>
      <w:r w:rsidRPr="00A81B0A">
        <w:rPr>
          <w:szCs w:val="24"/>
        </w:rPr>
        <w:t xml:space="preserve">generated identifiers are able to identify a respondent and the correct state when moving from page to page. Pages use metadata code to prevent them from being cached, and no information is stored on a respondent’s computer when the browser is closed. </w:t>
      </w:r>
    </w:p>
    <w:p w14:paraId="35689376" w14:textId="696921AB" w:rsidR="00C21324" w:rsidRPr="00A81B0A" w:rsidRDefault="00DB2F32" w:rsidP="0029359E">
      <w:pPr>
        <w:pStyle w:val="BodyText"/>
        <w:rPr>
          <w:szCs w:val="24"/>
        </w:rPr>
      </w:pPr>
      <w:r w:rsidRPr="00A81B0A">
        <w:rPr>
          <w:szCs w:val="24"/>
        </w:rPr>
        <w:t xml:space="preserve">For the Census, </w:t>
      </w:r>
      <w:r w:rsidR="005535AC" w:rsidRPr="00A81B0A">
        <w:rPr>
          <w:szCs w:val="24"/>
        </w:rPr>
        <w:t>t</w:t>
      </w:r>
      <w:r w:rsidR="004F5D83" w:rsidRPr="00A81B0A">
        <w:rPr>
          <w:szCs w:val="24"/>
        </w:rPr>
        <w:t xml:space="preserve">he study team will prepare a Restricted Use version of the data for internal FNS use and a Public Use version for the broader research community. The Restricted Use version will include data from both the Distributor </w:t>
      </w:r>
      <w:r w:rsidRPr="00A81B0A">
        <w:rPr>
          <w:szCs w:val="24"/>
        </w:rPr>
        <w:t>Interview</w:t>
      </w:r>
      <w:r w:rsidR="004F5D83" w:rsidRPr="00A81B0A">
        <w:rPr>
          <w:szCs w:val="24"/>
        </w:rPr>
        <w:t xml:space="preserve"> and the Census. The Public Use version will not include data from the Distributor </w:t>
      </w:r>
      <w:r w:rsidRPr="00A81B0A">
        <w:rPr>
          <w:szCs w:val="24"/>
        </w:rPr>
        <w:t>Interview</w:t>
      </w:r>
      <w:r w:rsidR="004F5D83" w:rsidRPr="00A81B0A">
        <w:rPr>
          <w:szCs w:val="24"/>
        </w:rPr>
        <w:t xml:space="preserve">, given that the relatively small number of distributors would make it easy to identify respondents in the data. The Public Use files </w:t>
      </w:r>
      <w:r w:rsidR="00C11759" w:rsidRPr="00A81B0A">
        <w:rPr>
          <w:szCs w:val="24"/>
        </w:rPr>
        <w:t>will be available in a similar way to the previous 2015 Census.</w:t>
      </w:r>
      <w:r w:rsidR="003E6D7C" w:rsidRPr="00A81B0A">
        <w:rPr>
          <w:rStyle w:val="FootnoteReference"/>
          <w:szCs w:val="24"/>
        </w:rPr>
        <w:footnoteReference w:id="6"/>
      </w:r>
      <w:r w:rsidR="003E6D7C" w:rsidRPr="00A81B0A">
        <w:rPr>
          <w:szCs w:val="24"/>
        </w:rPr>
        <w:t xml:space="preserve"> </w:t>
      </w:r>
      <w:r w:rsidR="00C11759" w:rsidRPr="00A81B0A">
        <w:rPr>
          <w:szCs w:val="24"/>
        </w:rPr>
        <w:t xml:space="preserve"> These files </w:t>
      </w:r>
      <w:r w:rsidR="004F5D83" w:rsidRPr="00A81B0A">
        <w:rPr>
          <w:szCs w:val="24"/>
        </w:rPr>
        <w:t>will remove (or mask, when removal is not possible) all personally identifiable information and be ready for copying and dissemination to the public.</w:t>
      </w:r>
      <w:r w:rsidR="003E6D7C" w:rsidRPr="00A81B0A" w:rsidDel="003E6D7C">
        <w:rPr>
          <w:rStyle w:val="FootnoteReference"/>
          <w:szCs w:val="24"/>
        </w:rPr>
        <w:t xml:space="preserve"> </w:t>
      </w:r>
    </w:p>
    <w:p w14:paraId="3E46ABC0" w14:textId="3BCD8277" w:rsidR="00C31770" w:rsidRPr="00A81B0A" w:rsidRDefault="00C31770" w:rsidP="00C31770">
      <w:pPr>
        <w:spacing w:after="0" w:line="480" w:lineRule="auto"/>
        <w:ind w:firstLine="360"/>
        <w:rPr>
          <w:sz w:val="24"/>
          <w:szCs w:val="24"/>
        </w:rPr>
      </w:pPr>
      <w:r w:rsidRPr="00A81B0A">
        <w:rPr>
          <w:sz w:val="24"/>
          <w:szCs w:val="24"/>
        </w:rPr>
        <w:t>All electronic data</w:t>
      </w:r>
      <w:r w:rsidR="002318F2">
        <w:rPr>
          <w:sz w:val="24"/>
          <w:szCs w:val="24"/>
        </w:rPr>
        <w:t xml:space="preserve"> for the Census and Distributor Interview</w:t>
      </w:r>
      <w:r w:rsidRPr="00A81B0A">
        <w:rPr>
          <w:sz w:val="24"/>
          <w:szCs w:val="24"/>
        </w:rPr>
        <w:t xml:space="preserve"> will be transferred using a secure portal website that uses FIPS 140-2 compliant encryption SSL/TLS protocols, and will be stored on secure drives with access restricted to staff associated with the project. </w:t>
      </w:r>
      <w:r w:rsidR="002318F2" w:rsidRPr="002318F2">
        <w:rPr>
          <w:sz w:val="24"/>
          <w:szCs w:val="24"/>
        </w:rPr>
        <w:t>The study team will destroy all data for the Census and Distributor Interview at the end of the contract.</w:t>
      </w:r>
    </w:p>
    <w:p w14:paraId="741ABD9C" w14:textId="6249CA0D" w:rsidR="00C31770" w:rsidRPr="00A81B0A" w:rsidRDefault="001E3EFF" w:rsidP="00C31770">
      <w:pPr>
        <w:spacing w:after="0" w:line="480" w:lineRule="auto"/>
        <w:ind w:firstLine="360"/>
        <w:rPr>
          <w:sz w:val="24"/>
          <w:szCs w:val="24"/>
        </w:rPr>
      </w:pPr>
      <w:r w:rsidRPr="00A81B0A">
        <w:rPr>
          <w:sz w:val="24"/>
          <w:szCs w:val="24"/>
        </w:rPr>
        <w:t xml:space="preserve">FNS published a system of record notice (SORN) titled FNS-8 USDA/FNS Studies and Reports in the </w:t>
      </w:r>
      <w:r w:rsidRPr="00A81B0A">
        <w:rPr>
          <w:i/>
          <w:sz w:val="24"/>
          <w:szCs w:val="24"/>
        </w:rPr>
        <w:t>Federal Register</w:t>
      </w:r>
      <w:r w:rsidRPr="00A81B0A">
        <w:rPr>
          <w:sz w:val="24"/>
          <w:szCs w:val="24"/>
        </w:rPr>
        <w:t xml:space="preserve"> on April 25, 1991</w:t>
      </w:r>
      <w:r w:rsidR="00BF64C1" w:rsidRPr="00A81B0A">
        <w:rPr>
          <w:sz w:val="24"/>
          <w:szCs w:val="24"/>
        </w:rPr>
        <w:t xml:space="preserve"> (V</w:t>
      </w:r>
      <w:r w:rsidRPr="00A81B0A">
        <w:rPr>
          <w:sz w:val="24"/>
          <w:szCs w:val="24"/>
        </w:rPr>
        <w:t xml:space="preserve">olume 56, </w:t>
      </w:r>
      <w:r w:rsidR="00BF64C1" w:rsidRPr="00A81B0A">
        <w:rPr>
          <w:sz w:val="24"/>
          <w:szCs w:val="24"/>
        </w:rPr>
        <w:t>P</w:t>
      </w:r>
      <w:r w:rsidRPr="00A81B0A">
        <w:rPr>
          <w:sz w:val="24"/>
          <w:szCs w:val="24"/>
        </w:rPr>
        <w:t>ages 19078–19080</w:t>
      </w:r>
      <w:r w:rsidR="00BF64C1" w:rsidRPr="00A81B0A">
        <w:rPr>
          <w:sz w:val="24"/>
          <w:szCs w:val="24"/>
        </w:rPr>
        <w:t>)</w:t>
      </w:r>
      <w:r w:rsidRPr="00A81B0A">
        <w:rPr>
          <w:sz w:val="24"/>
          <w:szCs w:val="24"/>
        </w:rPr>
        <w:t>, that discusses the terms of protections that will be provided to respondents.</w:t>
      </w:r>
    </w:p>
    <w:p w14:paraId="7E928849" w14:textId="7A341B7B" w:rsidR="00D711F0" w:rsidRPr="00A81B0A" w:rsidRDefault="00C31770" w:rsidP="00C31770">
      <w:pPr>
        <w:spacing w:line="480" w:lineRule="auto"/>
        <w:ind w:firstLine="360"/>
        <w:rPr>
          <w:sz w:val="24"/>
          <w:szCs w:val="24"/>
        </w:rPr>
      </w:pPr>
      <w:r w:rsidRPr="00A81B0A">
        <w:rPr>
          <w:sz w:val="24"/>
          <w:szCs w:val="24"/>
        </w:rPr>
        <w:t xml:space="preserve">Abt Associates holds a current Federal-Wide Assurance (FWA) of compliance </w:t>
      </w:r>
      <w:r w:rsidR="003E6D7C" w:rsidRPr="00A81B0A">
        <w:rPr>
          <w:sz w:val="24"/>
          <w:szCs w:val="24"/>
        </w:rPr>
        <w:t xml:space="preserve">(Appendix </w:t>
      </w:r>
      <w:r w:rsidR="009712FC">
        <w:rPr>
          <w:sz w:val="24"/>
          <w:szCs w:val="24"/>
        </w:rPr>
        <w:t>Z</w:t>
      </w:r>
      <w:r w:rsidR="003E6D7C" w:rsidRPr="00A81B0A">
        <w:rPr>
          <w:sz w:val="24"/>
          <w:szCs w:val="24"/>
        </w:rPr>
        <w:t xml:space="preserve">) </w:t>
      </w:r>
      <w:r w:rsidRPr="00A81B0A">
        <w:rPr>
          <w:sz w:val="24"/>
          <w:szCs w:val="24"/>
        </w:rPr>
        <w:t>from the U.S. Department of Health and Human Services’ Office for Human Research Protections, and maintains its own Institutional Review Board. The Abt IRB reviewed the proposed evaluation and determined it is eligible for exemption</w:t>
      </w:r>
      <w:r w:rsidR="00D711F0">
        <w:rPr>
          <w:sz w:val="24"/>
          <w:szCs w:val="24"/>
        </w:rPr>
        <w:t xml:space="preserve"> (Appendix AC)</w:t>
      </w:r>
      <w:r w:rsidRPr="00A81B0A">
        <w:rPr>
          <w:sz w:val="24"/>
          <w:szCs w:val="24"/>
        </w:rPr>
        <w:t>.</w:t>
      </w:r>
      <w:r w:rsidR="004930AE" w:rsidRPr="00A81B0A">
        <w:rPr>
          <w:sz w:val="24"/>
          <w:szCs w:val="24"/>
        </w:rPr>
        <w:t xml:space="preserve"> Lastly, all study team members who will conduct interviews will be required to sign a confidentiality agreement (Appendix</w:t>
      </w:r>
      <w:r w:rsidR="009712FC">
        <w:rPr>
          <w:sz w:val="24"/>
          <w:szCs w:val="24"/>
        </w:rPr>
        <w:t xml:space="preserve"> AA</w:t>
      </w:r>
      <w:r w:rsidR="004930AE" w:rsidRPr="00A81B0A">
        <w:rPr>
          <w:sz w:val="24"/>
          <w:szCs w:val="24"/>
        </w:rPr>
        <w:t>).</w:t>
      </w:r>
    </w:p>
    <w:p w14:paraId="6AC2B6F4" w14:textId="4B45198E" w:rsidR="004A0F2B" w:rsidRPr="00A81B0A" w:rsidRDefault="004A0F2B" w:rsidP="009A2B24">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outlineLvl w:val="0"/>
        <w:rPr>
          <w:rFonts w:ascii="Arial" w:hAnsi="Arial"/>
          <w:b/>
          <w:sz w:val="24"/>
          <w:szCs w:val="24"/>
        </w:rPr>
      </w:pPr>
      <w:bookmarkStart w:id="24" w:name="_Toc506534091"/>
      <w:bookmarkStart w:id="25" w:name="_Toc506534143"/>
      <w:r w:rsidRPr="00A81B0A">
        <w:rPr>
          <w:rFonts w:ascii="Arial" w:hAnsi="Arial"/>
          <w:b/>
          <w:sz w:val="24"/>
          <w:szCs w:val="24"/>
        </w:rPr>
        <w:t>Provide additional justification for any questions of a sensitive nature.</w:t>
      </w:r>
      <w:bookmarkEnd w:id="24"/>
      <w:bookmarkEnd w:id="25"/>
    </w:p>
    <w:p w14:paraId="4AF190DF" w14:textId="4BBA5C2F" w:rsidR="004A0F2B" w:rsidRPr="00A81B0A" w:rsidRDefault="00E27FFA" w:rsidP="0029359E">
      <w:pPr>
        <w:pStyle w:val="BodyText"/>
        <w:rPr>
          <w:szCs w:val="24"/>
        </w:rPr>
      </w:pPr>
      <w:r w:rsidRPr="00A81B0A">
        <w:rPr>
          <w:szCs w:val="24"/>
        </w:rPr>
        <w:t>Neither the</w:t>
      </w:r>
      <w:r w:rsidR="004A0F2B" w:rsidRPr="00A81B0A">
        <w:rPr>
          <w:szCs w:val="24"/>
        </w:rPr>
        <w:t xml:space="preserve"> Census </w:t>
      </w:r>
      <w:r w:rsidR="003E6D7C" w:rsidRPr="00A81B0A">
        <w:rPr>
          <w:szCs w:val="24"/>
        </w:rPr>
        <w:t>(Appendix D</w:t>
      </w:r>
      <w:r w:rsidR="00807705">
        <w:rPr>
          <w:szCs w:val="24"/>
        </w:rPr>
        <w:t>/E</w:t>
      </w:r>
      <w:r w:rsidR="003E6D7C" w:rsidRPr="00A81B0A">
        <w:rPr>
          <w:szCs w:val="24"/>
        </w:rPr>
        <w:t xml:space="preserve">) </w:t>
      </w:r>
      <w:r w:rsidRPr="00A81B0A">
        <w:rPr>
          <w:szCs w:val="24"/>
        </w:rPr>
        <w:t xml:space="preserve">nor the </w:t>
      </w:r>
      <w:r w:rsidR="001D4741" w:rsidRPr="00A81B0A">
        <w:rPr>
          <w:szCs w:val="24"/>
        </w:rPr>
        <w:t>Distributor Interview</w:t>
      </w:r>
      <w:r w:rsidRPr="00A81B0A">
        <w:rPr>
          <w:szCs w:val="24"/>
        </w:rPr>
        <w:t xml:space="preserve"> </w:t>
      </w:r>
      <w:r w:rsidR="003E6D7C" w:rsidRPr="00A81B0A">
        <w:rPr>
          <w:szCs w:val="24"/>
        </w:rPr>
        <w:t xml:space="preserve">(Appendix C) </w:t>
      </w:r>
      <w:r w:rsidR="001E3EFF" w:rsidRPr="00A81B0A">
        <w:rPr>
          <w:szCs w:val="24"/>
        </w:rPr>
        <w:t>contain</w:t>
      </w:r>
      <w:r w:rsidR="003A5742" w:rsidRPr="00A81B0A">
        <w:rPr>
          <w:szCs w:val="24"/>
        </w:rPr>
        <w:t>s</w:t>
      </w:r>
      <w:r w:rsidR="001E3EFF" w:rsidRPr="00A81B0A">
        <w:rPr>
          <w:szCs w:val="24"/>
        </w:rPr>
        <w:t xml:space="preserve"> questions </w:t>
      </w:r>
      <w:r w:rsidR="004A0F2B" w:rsidRPr="00A81B0A">
        <w:rPr>
          <w:szCs w:val="24"/>
        </w:rPr>
        <w:t>of a sensitive nature.</w:t>
      </w:r>
    </w:p>
    <w:p w14:paraId="634E2C46" w14:textId="6196A7E5" w:rsidR="00A867E5" w:rsidRPr="00A81B0A" w:rsidRDefault="00A867E5">
      <w:pPr>
        <w:spacing w:after="0" w:line="240" w:lineRule="auto"/>
        <w:rPr>
          <w:sz w:val="24"/>
          <w:szCs w:val="24"/>
        </w:rPr>
      </w:pPr>
    </w:p>
    <w:p w14:paraId="367AAE5E" w14:textId="15476B32" w:rsidR="002E1DCA" w:rsidRPr="00A81B0A" w:rsidRDefault="004A0F2B" w:rsidP="009A2B24">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outlineLvl w:val="0"/>
        <w:rPr>
          <w:rFonts w:ascii="Arial" w:hAnsi="Arial"/>
          <w:b/>
          <w:sz w:val="24"/>
          <w:szCs w:val="24"/>
        </w:rPr>
      </w:pPr>
      <w:bookmarkStart w:id="26" w:name="_Toc506534092"/>
      <w:bookmarkStart w:id="27" w:name="_Toc506534144"/>
      <w:r w:rsidRPr="00A81B0A">
        <w:rPr>
          <w:rFonts w:ascii="Arial" w:hAnsi="Arial"/>
          <w:b/>
          <w:sz w:val="24"/>
          <w:szCs w:val="24"/>
        </w:rPr>
        <w:t>Provide estimates of the hour burden of the collection of information. The statement should</w:t>
      </w:r>
      <w:r w:rsidR="002E1DCA" w:rsidRPr="00A81B0A">
        <w:rPr>
          <w:rFonts w:ascii="Arial" w:hAnsi="Arial"/>
          <w:b/>
          <w:sz w:val="24"/>
          <w:szCs w:val="24"/>
        </w:rPr>
        <w:t>:</w:t>
      </w:r>
    </w:p>
    <w:p w14:paraId="35FA1DB5" w14:textId="6FE824B8" w:rsidR="008319C4" w:rsidRPr="00431E77" w:rsidRDefault="002E1DCA" w:rsidP="001945DC">
      <w:pPr>
        <w:numPr>
          <w:ilvl w:val="1"/>
          <w:numId w:val="6"/>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1080"/>
        <w:outlineLvl w:val="0"/>
        <w:rPr>
          <w:rFonts w:ascii="Arial" w:hAnsi="Arial"/>
          <w:b/>
          <w:sz w:val="24"/>
          <w:szCs w:val="24"/>
        </w:rPr>
      </w:pPr>
      <w:r w:rsidRPr="00431E77">
        <w:rPr>
          <w:rFonts w:ascii="Arial" w:hAnsi="Arial"/>
          <w:b/>
          <w:sz w:val="24"/>
          <w:szCs w:val="24"/>
        </w:rPr>
        <w:t>I</w:t>
      </w:r>
      <w:r w:rsidR="004A0F2B" w:rsidRPr="00431E77">
        <w:rPr>
          <w:rFonts w:ascii="Arial" w:hAnsi="Arial"/>
          <w:b/>
          <w:sz w:val="24"/>
          <w:szCs w:val="24"/>
        </w:rPr>
        <w:t xml:space="preserve">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w:t>
      </w:r>
    </w:p>
    <w:p w14:paraId="51B67C11" w14:textId="673AE94B" w:rsidR="00013D54" w:rsidRPr="00C414E7" w:rsidRDefault="00770632" w:rsidP="00A81B0A">
      <w:pPr>
        <w:spacing w:after="0" w:line="480" w:lineRule="auto"/>
        <w:rPr>
          <w:sz w:val="24"/>
          <w:szCs w:val="24"/>
        </w:rPr>
      </w:pPr>
      <w:r w:rsidRPr="00C414E7">
        <w:rPr>
          <w:sz w:val="24"/>
          <w:szCs w:val="24"/>
        </w:rPr>
        <w:tab/>
      </w:r>
      <w:r w:rsidR="008319C4" w:rsidRPr="00C414E7">
        <w:rPr>
          <w:sz w:val="24"/>
          <w:szCs w:val="24"/>
        </w:rPr>
        <w:t xml:space="preserve">With this submission, there are </w:t>
      </w:r>
      <w:r w:rsidR="007E3D22" w:rsidRPr="00C414E7">
        <w:rPr>
          <w:sz w:val="24"/>
          <w:szCs w:val="24"/>
        </w:rPr>
        <w:t>20,08</w:t>
      </w:r>
      <w:r w:rsidR="00191CD7" w:rsidRPr="00C414E7">
        <w:rPr>
          <w:sz w:val="24"/>
          <w:szCs w:val="24"/>
        </w:rPr>
        <w:t>3</w:t>
      </w:r>
      <w:r w:rsidR="007E3D22" w:rsidRPr="00C414E7">
        <w:rPr>
          <w:sz w:val="24"/>
          <w:szCs w:val="24"/>
        </w:rPr>
        <w:t xml:space="preserve"> respondents (</w:t>
      </w:r>
      <w:r w:rsidR="008263A9" w:rsidRPr="00C414E7">
        <w:rPr>
          <w:sz w:val="24"/>
          <w:szCs w:val="24"/>
        </w:rPr>
        <w:t>16,</w:t>
      </w:r>
      <w:r w:rsidR="00C64FCC" w:rsidRPr="00C414E7">
        <w:rPr>
          <w:sz w:val="24"/>
          <w:szCs w:val="24"/>
        </w:rPr>
        <w:t>07</w:t>
      </w:r>
      <w:r w:rsidR="00191CD7" w:rsidRPr="00C414E7">
        <w:rPr>
          <w:sz w:val="24"/>
          <w:szCs w:val="24"/>
        </w:rPr>
        <w:t>8</w:t>
      </w:r>
      <w:r w:rsidR="00C64FCC" w:rsidRPr="00C414E7">
        <w:rPr>
          <w:sz w:val="24"/>
          <w:szCs w:val="24"/>
        </w:rPr>
        <w:t xml:space="preserve"> </w:t>
      </w:r>
      <w:r w:rsidR="008319C4" w:rsidRPr="00C414E7">
        <w:rPr>
          <w:sz w:val="24"/>
          <w:szCs w:val="24"/>
        </w:rPr>
        <w:t>respondents</w:t>
      </w:r>
      <w:r w:rsidR="007E3D22" w:rsidRPr="00C414E7">
        <w:rPr>
          <w:sz w:val="24"/>
          <w:szCs w:val="24"/>
        </w:rPr>
        <w:t xml:space="preserve"> and </w:t>
      </w:r>
      <w:r w:rsidR="008263A9" w:rsidRPr="00C414E7">
        <w:rPr>
          <w:sz w:val="24"/>
          <w:szCs w:val="24"/>
        </w:rPr>
        <w:t>4,005 non-</w:t>
      </w:r>
      <w:r w:rsidR="009F24BE" w:rsidRPr="00C414E7">
        <w:rPr>
          <w:sz w:val="24"/>
          <w:szCs w:val="24"/>
        </w:rPr>
        <w:t>respondents</w:t>
      </w:r>
      <w:r w:rsidR="007E3D22" w:rsidRPr="00C414E7">
        <w:rPr>
          <w:sz w:val="24"/>
          <w:szCs w:val="24"/>
        </w:rPr>
        <w:t>)</w:t>
      </w:r>
      <w:r w:rsidR="008319C4" w:rsidRPr="00C414E7">
        <w:rPr>
          <w:sz w:val="24"/>
          <w:szCs w:val="24"/>
        </w:rPr>
        <w:t xml:space="preserve">, </w:t>
      </w:r>
      <w:r w:rsidR="007E3D22" w:rsidRPr="00C414E7">
        <w:rPr>
          <w:sz w:val="24"/>
          <w:szCs w:val="24"/>
        </w:rPr>
        <w:t>22</w:t>
      </w:r>
      <w:r w:rsidR="00791D57" w:rsidRPr="00C414E7">
        <w:rPr>
          <w:sz w:val="24"/>
          <w:szCs w:val="24"/>
        </w:rPr>
        <w:t>7</w:t>
      </w:r>
      <w:r w:rsidR="00F95081" w:rsidRPr="00C414E7">
        <w:rPr>
          <w:sz w:val="24"/>
          <w:szCs w:val="24"/>
        </w:rPr>
        <w:t>,965</w:t>
      </w:r>
      <w:r w:rsidR="007E3D22" w:rsidRPr="00C414E7">
        <w:rPr>
          <w:sz w:val="24"/>
          <w:szCs w:val="24"/>
        </w:rPr>
        <w:t xml:space="preserve"> responses</w:t>
      </w:r>
      <w:r w:rsidR="00791D57" w:rsidRPr="00C414E7">
        <w:rPr>
          <w:sz w:val="24"/>
          <w:szCs w:val="24"/>
        </w:rPr>
        <w:t xml:space="preserve"> (136,743 from respondents and 91</w:t>
      </w:r>
      <w:r w:rsidR="007E3D22" w:rsidRPr="00C414E7">
        <w:rPr>
          <w:sz w:val="24"/>
          <w:szCs w:val="24"/>
        </w:rPr>
        <w:t>,22</w:t>
      </w:r>
      <w:r w:rsidR="00F95081" w:rsidRPr="00C414E7">
        <w:rPr>
          <w:sz w:val="24"/>
          <w:szCs w:val="24"/>
        </w:rPr>
        <w:t>2</w:t>
      </w:r>
      <w:r w:rsidR="007E3D22" w:rsidRPr="00C414E7">
        <w:rPr>
          <w:sz w:val="24"/>
          <w:szCs w:val="24"/>
        </w:rPr>
        <w:t xml:space="preserve"> from nonrespondents), </w:t>
      </w:r>
      <w:r w:rsidR="008319C4" w:rsidRPr="00C414E7">
        <w:rPr>
          <w:sz w:val="24"/>
          <w:szCs w:val="24"/>
        </w:rPr>
        <w:t xml:space="preserve">and </w:t>
      </w:r>
      <w:r w:rsidR="00476916" w:rsidRPr="00C414E7">
        <w:rPr>
          <w:sz w:val="24"/>
          <w:szCs w:val="24"/>
        </w:rPr>
        <w:t>25,061.86</w:t>
      </w:r>
      <w:r w:rsidR="008263A9" w:rsidRPr="00C414E7">
        <w:rPr>
          <w:sz w:val="24"/>
          <w:szCs w:val="24"/>
        </w:rPr>
        <w:t xml:space="preserve"> </w:t>
      </w:r>
      <w:r w:rsidR="008319C4" w:rsidRPr="00C414E7">
        <w:rPr>
          <w:sz w:val="24"/>
          <w:szCs w:val="24"/>
        </w:rPr>
        <w:t>burden hours. Burden estimates</w:t>
      </w:r>
      <w:r w:rsidR="007E3D22" w:rsidRPr="00C414E7">
        <w:rPr>
          <w:sz w:val="24"/>
          <w:szCs w:val="24"/>
        </w:rPr>
        <w:t xml:space="preserve"> were derived from consultations with the study advisory panel and pretest activit</w:t>
      </w:r>
      <w:r w:rsidR="006B050D" w:rsidRPr="00C414E7">
        <w:rPr>
          <w:sz w:val="24"/>
          <w:szCs w:val="24"/>
        </w:rPr>
        <w:t>i</w:t>
      </w:r>
      <w:r w:rsidR="007E3D22" w:rsidRPr="00C414E7">
        <w:rPr>
          <w:sz w:val="24"/>
          <w:szCs w:val="24"/>
        </w:rPr>
        <w:t>es, and</w:t>
      </w:r>
      <w:r w:rsidR="008319C4" w:rsidRPr="00C414E7">
        <w:rPr>
          <w:sz w:val="24"/>
          <w:szCs w:val="24"/>
        </w:rPr>
        <w:t xml:space="preserve"> are provided by respondent type in </w:t>
      </w:r>
      <w:r w:rsidR="002261AE" w:rsidRPr="00C414E7">
        <w:rPr>
          <w:sz w:val="24"/>
          <w:szCs w:val="24"/>
        </w:rPr>
        <w:t>T</w:t>
      </w:r>
      <w:r w:rsidR="008319C4" w:rsidRPr="00C414E7">
        <w:rPr>
          <w:sz w:val="24"/>
          <w:szCs w:val="24"/>
        </w:rPr>
        <w:t xml:space="preserve">able </w:t>
      </w:r>
      <w:r w:rsidR="002261AE" w:rsidRPr="00C414E7">
        <w:rPr>
          <w:sz w:val="24"/>
          <w:szCs w:val="24"/>
        </w:rPr>
        <w:t>A-</w:t>
      </w:r>
      <w:r w:rsidR="007E3D22" w:rsidRPr="00C414E7">
        <w:rPr>
          <w:sz w:val="24"/>
          <w:szCs w:val="24"/>
        </w:rPr>
        <w:t>3</w:t>
      </w:r>
      <w:r w:rsidR="00C0417A" w:rsidRPr="00C414E7">
        <w:rPr>
          <w:sz w:val="24"/>
          <w:szCs w:val="24"/>
        </w:rPr>
        <w:t xml:space="preserve"> and Appendix</w:t>
      </w:r>
      <w:r w:rsidR="009712FC" w:rsidRPr="00C414E7">
        <w:rPr>
          <w:sz w:val="24"/>
          <w:szCs w:val="24"/>
        </w:rPr>
        <w:t xml:space="preserve"> AB</w:t>
      </w:r>
      <w:r w:rsidR="00C0417A" w:rsidRPr="00C414E7">
        <w:rPr>
          <w:sz w:val="24"/>
          <w:szCs w:val="24"/>
        </w:rPr>
        <w:t>)</w:t>
      </w:r>
      <w:r w:rsidR="008319C4" w:rsidRPr="00C414E7">
        <w:rPr>
          <w:sz w:val="24"/>
          <w:szCs w:val="24"/>
        </w:rPr>
        <w:t>.</w:t>
      </w:r>
      <w:bookmarkEnd w:id="26"/>
      <w:bookmarkEnd w:id="27"/>
    </w:p>
    <w:p w14:paraId="04B71F9E" w14:textId="77777777" w:rsidR="007E3D22" w:rsidRPr="00C414E7" w:rsidRDefault="007E3D22" w:rsidP="00A81B0A">
      <w:pPr>
        <w:spacing w:after="0" w:line="480" w:lineRule="auto"/>
        <w:rPr>
          <w:b/>
          <w:sz w:val="24"/>
          <w:szCs w:val="24"/>
        </w:rPr>
      </w:pPr>
      <w:r w:rsidRPr="00C414E7">
        <w:rPr>
          <w:b/>
          <w:sz w:val="24"/>
          <w:szCs w:val="24"/>
        </w:rPr>
        <w:t>State and Local Government</w:t>
      </w:r>
    </w:p>
    <w:p w14:paraId="7DF5E361" w14:textId="6A26C3E4" w:rsidR="00191CD7" w:rsidRPr="00C414E7" w:rsidRDefault="007E3D22" w:rsidP="00A81B0A">
      <w:pPr>
        <w:spacing w:after="0" w:line="480" w:lineRule="auto"/>
        <w:rPr>
          <w:sz w:val="24"/>
          <w:szCs w:val="24"/>
        </w:rPr>
      </w:pPr>
      <w:r w:rsidRPr="00C414E7">
        <w:rPr>
          <w:sz w:val="24"/>
          <w:szCs w:val="24"/>
        </w:rPr>
        <w:tab/>
        <w:t>Burden estimates for State and local governments are based on the amount of time required to review and r</w:t>
      </w:r>
      <w:r w:rsidR="00191CD7" w:rsidRPr="00C414E7">
        <w:rPr>
          <w:sz w:val="24"/>
          <w:szCs w:val="24"/>
        </w:rPr>
        <w:t>espond to recruitment materials and to complete the Census survey</w:t>
      </w:r>
      <w:r w:rsidRPr="00C414E7">
        <w:rPr>
          <w:sz w:val="24"/>
          <w:szCs w:val="24"/>
        </w:rPr>
        <w:t>.</w:t>
      </w:r>
      <w:r w:rsidR="00191CD7" w:rsidRPr="00C414E7">
        <w:rPr>
          <w:sz w:val="24"/>
          <w:szCs w:val="24"/>
        </w:rPr>
        <w:t xml:space="preserve"> State/local government estimates include the universe of 55 States and territories, and 15,000 </w:t>
      </w:r>
      <w:r w:rsidR="00191CD7" w:rsidRPr="00C414E7">
        <w:rPr>
          <w:i/>
          <w:sz w:val="24"/>
          <w:szCs w:val="24"/>
        </w:rPr>
        <w:t>public</w:t>
      </w:r>
      <w:r w:rsidR="00191CD7" w:rsidRPr="00C414E7">
        <w:rPr>
          <w:sz w:val="24"/>
          <w:szCs w:val="24"/>
        </w:rPr>
        <w:t xml:space="preserve"> SFAs (12,000 respondents and 3,000 nonrespondents) for a total burden of 18,</w:t>
      </w:r>
      <w:r w:rsidR="00F95081" w:rsidRPr="00C414E7">
        <w:rPr>
          <w:sz w:val="24"/>
          <w:szCs w:val="24"/>
        </w:rPr>
        <w:t>81</w:t>
      </w:r>
      <w:r w:rsidR="00191CD7" w:rsidRPr="00C414E7">
        <w:rPr>
          <w:sz w:val="24"/>
          <w:szCs w:val="24"/>
        </w:rPr>
        <w:t>3.15 hours.</w:t>
      </w:r>
      <w:r w:rsidR="008F1759" w:rsidRPr="00C414E7">
        <w:rPr>
          <w:sz w:val="24"/>
          <w:szCs w:val="24"/>
        </w:rPr>
        <w:t xml:space="preserve"> Estimated frequency of responses includes 8.51 responses per respondent and 2</w:t>
      </w:r>
      <w:r w:rsidR="00F95081" w:rsidRPr="00C414E7">
        <w:rPr>
          <w:sz w:val="24"/>
          <w:szCs w:val="24"/>
        </w:rPr>
        <w:t>2</w:t>
      </w:r>
      <w:r w:rsidR="008F1759" w:rsidRPr="00C414E7">
        <w:rPr>
          <w:sz w:val="24"/>
          <w:szCs w:val="24"/>
        </w:rPr>
        <w:t>.78 responses per nonrespondent for a total of 102,549 responses and 6</w:t>
      </w:r>
      <w:r w:rsidR="00F95081" w:rsidRPr="00C414E7">
        <w:rPr>
          <w:sz w:val="24"/>
          <w:szCs w:val="24"/>
        </w:rPr>
        <w:t>8</w:t>
      </w:r>
      <w:r w:rsidR="008F1759" w:rsidRPr="00C414E7">
        <w:rPr>
          <w:sz w:val="24"/>
          <w:szCs w:val="24"/>
        </w:rPr>
        <w:t>,340 nonresponses.</w:t>
      </w:r>
    </w:p>
    <w:p w14:paraId="58BF552A" w14:textId="77777777" w:rsidR="00191CD7" w:rsidRPr="00C414E7" w:rsidRDefault="00191CD7" w:rsidP="00A81B0A">
      <w:pPr>
        <w:spacing w:after="0" w:line="480" w:lineRule="auto"/>
        <w:rPr>
          <w:b/>
          <w:sz w:val="24"/>
          <w:szCs w:val="24"/>
        </w:rPr>
      </w:pPr>
      <w:r w:rsidRPr="00C414E7">
        <w:rPr>
          <w:b/>
          <w:sz w:val="24"/>
          <w:szCs w:val="24"/>
        </w:rPr>
        <w:t>Businesses</w:t>
      </w:r>
    </w:p>
    <w:p w14:paraId="2957B17E" w14:textId="053E1DBB" w:rsidR="007E3D22" w:rsidRPr="00C414E7" w:rsidRDefault="00191CD7" w:rsidP="00670327">
      <w:pPr>
        <w:spacing w:after="0" w:line="480" w:lineRule="auto"/>
        <w:rPr>
          <w:sz w:val="24"/>
          <w:szCs w:val="24"/>
        </w:rPr>
      </w:pPr>
      <w:r w:rsidRPr="00C414E7">
        <w:rPr>
          <w:sz w:val="24"/>
          <w:szCs w:val="24"/>
        </w:rPr>
        <w:tab/>
        <w:t xml:space="preserve">Burden estimates for businesses are based on the amount of time required to review and respond to recruitment materials, gather requested data, and participate in the Census survey (private SFAs) or Distributor Interview. Business estimates include 5,000 private SFAs (4,000 respondents and 1,000 nonrespondents) and 28 distributors (23 respondents </w:t>
      </w:r>
      <w:r w:rsidR="00476916" w:rsidRPr="00C414E7">
        <w:rPr>
          <w:sz w:val="24"/>
          <w:szCs w:val="24"/>
        </w:rPr>
        <w:t>[</w:t>
      </w:r>
      <w:r w:rsidRPr="00C414E7">
        <w:rPr>
          <w:sz w:val="24"/>
          <w:szCs w:val="24"/>
        </w:rPr>
        <w:t xml:space="preserve">including </w:t>
      </w:r>
      <w:r w:rsidR="00476916" w:rsidRPr="00C414E7">
        <w:rPr>
          <w:sz w:val="24"/>
          <w:szCs w:val="24"/>
        </w:rPr>
        <w:t xml:space="preserve">20 respondents and 3 </w:t>
      </w:r>
      <w:r w:rsidRPr="00C414E7">
        <w:rPr>
          <w:sz w:val="24"/>
          <w:szCs w:val="24"/>
        </w:rPr>
        <w:t>pretest participants</w:t>
      </w:r>
      <w:r w:rsidR="00476916" w:rsidRPr="00C414E7">
        <w:rPr>
          <w:sz w:val="24"/>
          <w:szCs w:val="24"/>
        </w:rPr>
        <w:t>]</w:t>
      </w:r>
      <w:r w:rsidRPr="00C414E7">
        <w:rPr>
          <w:sz w:val="24"/>
          <w:szCs w:val="24"/>
        </w:rPr>
        <w:t>, and 5 nonrespondents)</w:t>
      </w:r>
      <w:r w:rsidR="00670327" w:rsidRPr="00C414E7">
        <w:t xml:space="preserve"> </w:t>
      </w:r>
      <w:r w:rsidRPr="00C414E7">
        <w:rPr>
          <w:sz w:val="24"/>
          <w:szCs w:val="24"/>
        </w:rPr>
        <w:t xml:space="preserve">for a total burden of </w:t>
      </w:r>
      <w:r w:rsidR="00476916" w:rsidRPr="00C414E7">
        <w:rPr>
          <w:sz w:val="24"/>
          <w:szCs w:val="24"/>
        </w:rPr>
        <w:t xml:space="preserve">6,248.71 </w:t>
      </w:r>
      <w:r w:rsidRPr="00C414E7">
        <w:rPr>
          <w:sz w:val="24"/>
          <w:szCs w:val="24"/>
        </w:rPr>
        <w:t>hours.</w:t>
      </w:r>
      <w:r w:rsidR="008F1759" w:rsidRPr="00C414E7">
        <w:rPr>
          <w:sz w:val="24"/>
          <w:szCs w:val="24"/>
        </w:rPr>
        <w:t xml:space="preserve"> Estimated frequency of responses includes 8.5</w:t>
      </w:r>
      <w:r w:rsidR="00F95081" w:rsidRPr="00C414E7">
        <w:rPr>
          <w:sz w:val="24"/>
          <w:szCs w:val="24"/>
        </w:rPr>
        <w:t>0</w:t>
      </w:r>
      <w:r w:rsidR="008F1759" w:rsidRPr="00C414E7">
        <w:rPr>
          <w:sz w:val="24"/>
          <w:szCs w:val="24"/>
        </w:rPr>
        <w:t xml:space="preserve"> responses per respondent and 2</w:t>
      </w:r>
      <w:r w:rsidR="00F95081" w:rsidRPr="00C414E7">
        <w:rPr>
          <w:sz w:val="24"/>
          <w:szCs w:val="24"/>
        </w:rPr>
        <w:t>2</w:t>
      </w:r>
      <w:r w:rsidR="008F1759" w:rsidRPr="00C414E7">
        <w:rPr>
          <w:sz w:val="24"/>
          <w:szCs w:val="24"/>
        </w:rPr>
        <w:t>.7</w:t>
      </w:r>
      <w:r w:rsidR="00476916" w:rsidRPr="00C414E7">
        <w:rPr>
          <w:sz w:val="24"/>
          <w:szCs w:val="24"/>
        </w:rPr>
        <w:t>7</w:t>
      </w:r>
      <w:r w:rsidR="008F1759" w:rsidRPr="00C414E7">
        <w:rPr>
          <w:sz w:val="24"/>
          <w:szCs w:val="24"/>
        </w:rPr>
        <w:t xml:space="preserve"> responses per respondent for a total of 34,194 responses and 2</w:t>
      </w:r>
      <w:r w:rsidR="00F95081" w:rsidRPr="00C414E7">
        <w:rPr>
          <w:sz w:val="24"/>
          <w:szCs w:val="24"/>
        </w:rPr>
        <w:t>2</w:t>
      </w:r>
      <w:r w:rsidR="008F1759" w:rsidRPr="00C414E7">
        <w:rPr>
          <w:sz w:val="24"/>
          <w:szCs w:val="24"/>
        </w:rPr>
        <w:t>,88</w:t>
      </w:r>
      <w:r w:rsidR="00F95081" w:rsidRPr="00C414E7">
        <w:rPr>
          <w:sz w:val="24"/>
          <w:szCs w:val="24"/>
        </w:rPr>
        <w:t>2</w:t>
      </w:r>
      <w:r w:rsidR="008F1759" w:rsidRPr="00C414E7">
        <w:rPr>
          <w:sz w:val="24"/>
          <w:szCs w:val="24"/>
        </w:rPr>
        <w:t xml:space="preserve"> nonresponses.</w:t>
      </w:r>
    </w:p>
    <w:p w14:paraId="0D5831FC" w14:textId="77777777" w:rsidR="008319C4" w:rsidRPr="00A81B0A" w:rsidRDefault="008319C4" w:rsidP="001945DC">
      <w:pPr>
        <w:numPr>
          <w:ilvl w:val="1"/>
          <w:numId w:val="6"/>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1080"/>
        <w:outlineLvl w:val="0"/>
        <w:rPr>
          <w:rFonts w:ascii="Arial" w:hAnsi="Arial"/>
          <w:b/>
          <w:sz w:val="24"/>
          <w:szCs w:val="24"/>
        </w:rPr>
      </w:pPr>
      <w:r w:rsidRPr="00A81B0A">
        <w:rPr>
          <w:rFonts w:ascii="Arial" w:hAnsi="Arial"/>
          <w:b/>
          <w:sz w:val="24"/>
          <w:szCs w:val="24"/>
        </w:rPr>
        <w:t>Provide estimates of annualized cost to respondents for the hour burdens for collections of information, identifying and using appropriate wage rate categories.</w:t>
      </w:r>
    </w:p>
    <w:p w14:paraId="2B8CDDA3" w14:textId="6C7FCF12" w:rsidR="00571789" w:rsidRPr="00615CC6" w:rsidRDefault="00571789" w:rsidP="002C0314">
      <w:pPr>
        <w:pStyle w:val="BodyText"/>
        <w:rPr>
          <w:szCs w:val="24"/>
        </w:rPr>
      </w:pPr>
      <w:r w:rsidRPr="00615CC6">
        <w:rPr>
          <w:szCs w:val="24"/>
        </w:rPr>
        <w:t xml:space="preserve">The study team estimates that the total cost </w:t>
      </w:r>
      <w:r w:rsidR="009D6DA5" w:rsidRPr="00615CC6">
        <w:rPr>
          <w:szCs w:val="24"/>
        </w:rPr>
        <w:t>associated with this data collection</w:t>
      </w:r>
      <w:r w:rsidRPr="00615CC6">
        <w:rPr>
          <w:szCs w:val="24"/>
        </w:rPr>
        <w:t xml:space="preserve"> will be</w:t>
      </w:r>
      <w:r w:rsidR="0023528C">
        <w:rPr>
          <w:szCs w:val="24"/>
        </w:rPr>
        <w:t xml:space="preserve"> $1.555.891.51</w:t>
      </w:r>
      <w:r w:rsidR="009D6DA5" w:rsidRPr="00615CC6">
        <w:rPr>
          <w:szCs w:val="24"/>
        </w:rPr>
        <w:t>.</w:t>
      </w:r>
      <w:r w:rsidRPr="00615CC6">
        <w:rPr>
          <w:szCs w:val="24"/>
        </w:rPr>
        <w:t xml:space="preserve"> This estimate is based on </w:t>
      </w:r>
      <w:r w:rsidR="009D6DA5" w:rsidRPr="00615CC6">
        <w:rPr>
          <w:szCs w:val="24"/>
        </w:rPr>
        <w:t>the number of</w:t>
      </w:r>
      <w:r w:rsidRPr="00615CC6">
        <w:rPr>
          <w:szCs w:val="24"/>
        </w:rPr>
        <w:t xml:space="preserve"> burden hours multiplied by the </w:t>
      </w:r>
      <w:r w:rsidR="000C01FE" w:rsidRPr="00615CC6">
        <w:rPr>
          <w:szCs w:val="24"/>
        </w:rPr>
        <w:t xml:space="preserve">mean </w:t>
      </w:r>
      <w:r w:rsidR="00730C8B" w:rsidRPr="00615CC6">
        <w:rPr>
          <w:szCs w:val="24"/>
        </w:rPr>
        <w:t>hourly salary/wage rate</w:t>
      </w:r>
      <w:r w:rsidRPr="00615CC6">
        <w:rPr>
          <w:szCs w:val="24"/>
        </w:rPr>
        <w:t>s for each respondent category</w:t>
      </w:r>
      <w:r w:rsidR="0023528C">
        <w:rPr>
          <w:szCs w:val="24"/>
        </w:rPr>
        <w:t xml:space="preserve"> (which comes to a total of $1,169,843.24) with an additional $386,048.27 added to that total to account for a fully loaded wage rate ($1,169,843.24 X 0.33)</w:t>
      </w:r>
      <w:r w:rsidRPr="00615CC6">
        <w:rPr>
          <w:szCs w:val="24"/>
        </w:rPr>
        <w:t xml:space="preserve">. </w:t>
      </w:r>
    </w:p>
    <w:p w14:paraId="1BF888ED" w14:textId="704096FC" w:rsidR="000C01FE" w:rsidRPr="00615CC6" w:rsidRDefault="000C01FE" w:rsidP="009D6DA5">
      <w:pPr>
        <w:pStyle w:val="BodyText"/>
        <w:rPr>
          <w:szCs w:val="24"/>
        </w:rPr>
      </w:pPr>
      <w:r w:rsidRPr="00615CC6">
        <w:rPr>
          <w:szCs w:val="24"/>
        </w:rPr>
        <w:t>The estimated cost to State government is $7,</w:t>
      </w:r>
      <w:r w:rsidR="00F95081" w:rsidRPr="00615CC6">
        <w:rPr>
          <w:szCs w:val="24"/>
        </w:rPr>
        <w:t>554.99</w:t>
      </w:r>
      <w:r w:rsidRPr="00615CC6">
        <w:rPr>
          <w:szCs w:val="24"/>
        </w:rPr>
        <w:t xml:space="preserve"> ($44.89/hr x 168.30 hours). This includes State Child Nutrition Directors and State Department of Agriculture Directors </w:t>
      </w:r>
      <w:r w:rsidRPr="00615CC6">
        <w:t>(</w:t>
      </w:r>
      <w:r w:rsidR="00431A02" w:rsidRPr="00615CC6">
        <w:t>o</w:t>
      </w:r>
      <w:r w:rsidRPr="00615CC6">
        <w:t xml:space="preserve">ccupation </w:t>
      </w:r>
      <w:r w:rsidR="00431A02" w:rsidRPr="00615CC6">
        <w:t>c</w:t>
      </w:r>
      <w:r w:rsidRPr="00615CC6">
        <w:t>ode 11-9030</w:t>
      </w:r>
      <w:r w:rsidR="0002563B" w:rsidRPr="00615CC6">
        <w:t xml:space="preserve"> Education Administrators</w:t>
      </w:r>
      <w:r w:rsidRPr="00615CC6">
        <w:t>)</w:t>
      </w:r>
      <w:r w:rsidRPr="00615CC6">
        <w:rPr>
          <w:szCs w:val="24"/>
        </w:rPr>
        <w:t xml:space="preserve"> and is based on the Bureau of Labor Statistics May 2017 wage data for </w:t>
      </w:r>
      <w:r w:rsidRPr="00615CC6">
        <w:t>Occupational Group 999200: State Government (</w:t>
      </w:r>
      <w:hyperlink r:id="rId16" w:history="1">
        <w:r w:rsidRPr="00615CC6">
          <w:rPr>
            <w:rStyle w:val="Hyperlink"/>
            <w:color w:val="auto"/>
          </w:rPr>
          <w:t>https://www.bls.gov/oes/current/naics4_999200.htm</w:t>
        </w:r>
      </w:hyperlink>
      <w:r w:rsidRPr="00615CC6">
        <w:t xml:space="preserve">). </w:t>
      </w:r>
    </w:p>
    <w:p w14:paraId="4CA60588" w14:textId="78ED3E14" w:rsidR="009D6DA5" w:rsidRPr="00615CC6" w:rsidRDefault="000C01FE" w:rsidP="009D6DA5">
      <w:pPr>
        <w:pStyle w:val="BodyText"/>
        <w:rPr>
          <w:szCs w:val="24"/>
        </w:rPr>
      </w:pPr>
      <w:r w:rsidRPr="00615CC6">
        <w:rPr>
          <w:szCs w:val="24"/>
        </w:rPr>
        <w:t>The estimated cost to local government, which includes public SFA Directors (</w:t>
      </w:r>
      <w:r w:rsidR="00431A02" w:rsidRPr="00615CC6">
        <w:rPr>
          <w:szCs w:val="24"/>
        </w:rPr>
        <w:t>occupation code 11-9030</w:t>
      </w:r>
      <w:r w:rsidR="0002563B" w:rsidRPr="00615CC6">
        <w:rPr>
          <w:szCs w:val="24"/>
        </w:rPr>
        <w:t xml:space="preserve"> Education Administrators</w:t>
      </w:r>
      <w:r w:rsidR="009D6DA5" w:rsidRPr="00615CC6">
        <w:rPr>
          <w:szCs w:val="24"/>
        </w:rPr>
        <w:t>)</w:t>
      </w:r>
      <w:r w:rsidR="00431A02" w:rsidRPr="00615CC6">
        <w:rPr>
          <w:szCs w:val="24"/>
        </w:rPr>
        <w:t xml:space="preserve"> and</w:t>
      </w:r>
      <w:r w:rsidR="009D6DA5" w:rsidRPr="00615CC6">
        <w:rPr>
          <w:szCs w:val="24"/>
        </w:rPr>
        <w:t xml:space="preserve"> is based on the Bureau of Labor Statistics May 2017 wage data for </w:t>
      </w:r>
      <w:r w:rsidR="00431A02" w:rsidRPr="00615CC6">
        <w:rPr>
          <w:szCs w:val="24"/>
        </w:rPr>
        <w:t xml:space="preserve">Occupational Group 611000: </w:t>
      </w:r>
      <w:r w:rsidR="009D6DA5" w:rsidRPr="00615CC6">
        <w:rPr>
          <w:szCs w:val="24"/>
        </w:rPr>
        <w:t>Educational Services</w:t>
      </w:r>
      <w:r w:rsidR="00431A02" w:rsidRPr="00615CC6">
        <w:rPr>
          <w:szCs w:val="24"/>
        </w:rPr>
        <w:t xml:space="preserve"> (</w:t>
      </w:r>
      <w:hyperlink r:id="rId17" w:history="1">
        <w:r w:rsidR="009D6DA5" w:rsidRPr="00615CC6">
          <w:rPr>
            <w:rStyle w:val="Hyperlink"/>
            <w:color w:val="auto"/>
            <w:szCs w:val="24"/>
          </w:rPr>
          <w:t>https://www.bls.gov/oes/current/</w:t>
        </w:r>
        <w:r w:rsidR="00431A02" w:rsidRPr="00615CC6">
          <w:rPr>
            <w:rStyle w:val="Hyperlink"/>
            <w:color w:val="auto"/>
            <w:szCs w:val="24"/>
          </w:rPr>
          <w:br/>
        </w:r>
        <w:r w:rsidR="009D6DA5" w:rsidRPr="00615CC6">
          <w:rPr>
            <w:rStyle w:val="Hyperlink"/>
            <w:color w:val="auto"/>
            <w:szCs w:val="24"/>
          </w:rPr>
          <w:t>naics3_611000.htm</w:t>
        </w:r>
      </w:hyperlink>
      <w:r w:rsidR="009D6DA5" w:rsidRPr="00615CC6">
        <w:rPr>
          <w:szCs w:val="24"/>
        </w:rPr>
        <w:t>)</w:t>
      </w:r>
      <w:r w:rsidR="00431A02" w:rsidRPr="00615CC6">
        <w:rPr>
          <w:szCs w:val="24"/>
        </w:rPr>
        <w:t>, is $</w:t>
      </w:r>
      <w:r w:rsidR="00F95081" w:rsidRPr="00615CC6">
        <w:rPr>
          <w:szCs w:val="24"/>
        </w:rPr>
        <w:t>870,528.19</w:t>
      </w:r>
      <w:r w:rsidR="00431A02" w:rsidRPr="00615CC6">
        <w:rPr>
          <w:szCs w:val="24"/>
        </w:rPr>
        <w:t xml:space="preserve"> ($46.69/hr x 18</w:t>
      </w:r>
      <w:r w:rsidR="0067200A" w:rsidRPr="00615CC6">
        <w:rPr>
          <w:szCs w:val="24"/>
        </w:rPr>
        <w:t>,</w:t>
      </w:r>
      <w:r w:rsidR="00F95081" w:rsidRPr="00615CC6">
        <w:rPr>
          <w:szCs w:val="24"/>
        </w:rPr>
        <w:t>64</w:t>
      </w:r>
      <w:r w:rsidR="00431A02" w:rsidRPr="00615CC6">
        <w:rPr>
          <w:szCs w:val="24"/>
        </w:rPr>
        <w:t>4.85 hours)</w:t>
      </w:r>
      <w:r w:rsidR="009D6DA5" w:rsidRPr="00615CC6">
        <w:rPr>
          <w:rStyle w:val="FootnoteReference"/>
          <w:szCs w:val="24"/>
          <w:vertAlign w:val="baseline"/>
        </w:rPr>
        <w:t>.</w:t>
      </w:r>
      <w:r w:rsidR="009D6DA5" w:rsidRPr="00615CC6">
        <w:rPr>
          <w:szCs w:val="24"/>
        </w:rPr>
        <w:t xml:space="preserve"> </w:t>
      </w:r>
    </w:p>
    <w:p w14:paraId="08B672A3" w14:textId="0E74CA08" w:rsidR="00F1141F" w:rsidRPr="00615CC6" w:rsidRDefault="00295B36" w:rsidP="002C0314">
      <w:pPr>
        <w:pStyle w:val="BodyText"/>
        <w:rPr>
          <w:szCs w:val="24"/>
        </w:rPr>
      </w:pPr>
      <w:r w:rsidRPr="00615CC6">
        <w:rPr>
          <w:szCs w:val="24"/>
        </w:rPr>
        <w:t xml:space="preserve">The </w:t>
      </w:r>
      <w:r w:rsidR="00F1141F" w:rsidRPr="00615CC6">
        <w:rPr>
          <w:szCs w:val="24"/>
        </w:rPr>
        <w:t>estimated cost to businesses, including private SFAs (occupation code 11-9030</w:t>
      </w:r>
      <w:r w:rsidR="0002563B" w:rsidRPr="00615CC6">
        <w:rPr>
          <w:szCs w:val="24"/>
        </w:rPr>
        <w:t xml:space="preserve"> Education Administrators</w:t>
      </w:r>
      <w:r w:rsidR="00F1141F" w:rsidRPr="00615CC6">
        <w:rPr>
          <w:szCs w:val="24"/>
        </w:rPr>
        <w:t xml:space="preserve">) and </w:t>
      </w:r>
      <w:r w:rsidR="007D518B" w:rsidRPr="00615CC6">
        <w:rPr>
          <w:szCs w:val="24"/>
        </w:rPr>
        <w:t xml:space="preserve">food </w:t>
      </w:r>
      <w:r w:rsidR="00F1141F" w:rsidRPr="00615CC6">
        <w:rPr>
          <w:szCs w:val="24"/>
        </w:rPr>
        <w:t xml:space="preserve">distributors (occupation code </w:t>
      </w:r>
      <w:r w:rsidR="00F1141F" w:rsidRPr="00615CC6">
        <w:t xml:space="preserve">11-3071), is based on the Bureau of Labor Statistics May 2017 wage rates for Occupational Group 611000: Educational Services </w:t>
      </w:r>
      <w:r w:rsidR="00F1141F" w:rsidRPr="00615CC6">
        <w:rPr>
          <w:szCs w:val="24"/>
        </w:rPr>
        <w:t>(</w:t>
      </w:r>
      <w:hyperlink r:id="rId18" w:history="1">
        <w:r w:rsidR="00F1141F" w:rsidRPr="00615CC6">
          <w:rPr>
            <w:rStyle w:val="Hyperlink"/>
            <w:color w:val="auto"/>
            <w:szCs w:val="24"/>
          </w:rPr>
          <w:t>https://www.bls.gov/oes/current/naics3_611000.htm</w:t>
        </w:r>
      </w:hyperlink>
      <w:r w:rsidR="00F1141F" w:rsidRPr="00615CC6">
        <w:rPr>
          <w:szCs w:val="24"/>
        </w:rPr>
        <w:t xml:space="preserve">) and </w:t>
      </w:r>
      <w:r w:rsidR="007D518B" w:rsidRPr="00615CC6">
        <w:rPr>
          <w:szCs w:val="24"/>
        </w:rPr>
        <w:t>Occupational Group 424000: Merchant Wholesalers, Nondurable Goods (</w:t>
      </w:r>
      <w:hyperlink r:id="rId19" w:history="1">
        <w:r w:rsidR="007D518B" w:rsidRPr="00615CC6">
          <w:rPr>
            <w:rStyle w:val="Hyperlink"/>
            <w:color w:val="auto"/>
            <w:szCs w:val="24"/>
          </w:rPr>
          <w:t>https://www.bls.gov/oes/current/</w:t>
        </w:r>
        <w:r w:rsidR="007D518B" w:rsidRPr="00615CC6">
          <w:rPr>
            <w:rStyle w:val="Hyperlink"/>
            <w:color w:val="auto"/>
            <w:szCs w:val="24"/>
          </w:rPr>
          <w:br/>
          <w:t>naics3_424000.htm</w:t>
        </w:r>
      </w:hyperlink>
      <w:r w:rsidR="007D518B" w:rsidRPr="00615CC6">
        <w:rPr>
          <w:szCs w:val="24"/>
        </w:rPr>
        <w:t>), respectively. The cost to private SFAs is $</w:t>
      </w:r>
      <w:r w:rsidR="00F95081" w:rsidRPr="00615CC6">
        <w:rPr>
          <w:szCs w:val="24"/>
        </w:rPr>
        <w:t>290,030.39</w:t>
      </w:r>
      <w:r w:rsidR="007D518B" w:rsidRPr="00615CC6">
        <w:rPr>
          <w:szCs w:val="24"/>
        </w:rPr>
        <w:t xml:space="preserve"> ($46.69/hr x 4,3</w:t>
      </w:r>
      <w:r w:rsidR="00F95081" w:rsidRPr="00615CC6">
        <w:rPr>
          <w:szCs w:val="24"/>
        </w:rPr>
        <w:t>4</w:t>
      </w:r>
      <w:r w:rsidR="007D518B" w:rsidRPr="00615CC6">
        <w:rPr>
          <w:szCs w:val="24"/>
        </w:rPr>
        <w:t xml:space="preserve">6.83 hours) and the cost to distributors is </w:t>
      </w:r>
      <w:r w:rsidR="00615CC6">
        <w:rPr>
          <w:szCs w:val="24"/>
        </w:rPr>
        <w:t>$1,729.67</w:t>
      </w:r>
      <w:r w:rsidR="007D518B" w:rsidRPr="00615CC6">
        <w:rPr>
          <w:szCs w:val="24"/>
        </w:rPr>
        <w:t>($</w:t>
      </w:r>
      <w:r w:rsidR="00615CC6" w:rsidRPr="00C414E7">
        <w:rPr>
          <w:szCs w:val="24"/>
        </w:rPr>
        <w:t>46.90</w:t>
      </w:r>
      <w:r w:rsidR="007D518B" w:rsidRPr="00615CC6">
        <w:rPr>
          <w:szCs w:val="24"/>
        </w:rPr>
        <w:t xml:space="preserve">/hr x </w:t>
      </w:r>
      <w:r w:rsidR="00476916" w:rsidRPr="00C414E7">
        <w:rPr>
          <w:szCs w:val="24"/>
        </w:rPr>
        <w:t>36.88</w:t>
      </w:r>
      <w:r w:rsidR="007D518B" w:rsidRPr="00615CC6">
        <w:rPr>
          <w:szCs w:val="24"/>
        </w:rPr>
        <w:t xml:space="preserve"> hours), for a total cost of </w:t>
      </w:r>
      <w:r w:rsidR="00615CC6" w:rsidRPr="00615CC6">
        <w:rPr>
          <w:szCs w:val="24"/>
        </w:rPr>
        <w:t xml:space="preserve">$291,760.06 </w:t>
      </w:r>
      <w:r w:rsidR="007D518B" w:rsidRPr="00615CC6">
        <w:rPr>
          <w:szCs w:val="24"/>
        </w:rPr>
        <w:t>to businesses.</w:t>
      </w:r>
    </w:p>
    <w:p w14:paraId="33F57F5A" w14:textId="77777777" w:rsidR="00C0417A" w:rsidRPr="00E0617B" w:rsidRDefault="00C0417A" w:rsidP="002C0314">
      <w:pPr>
        <w:pStyle w:val="BodyText"/>
        <w:rPr>
          <w:color w:val="FF0000"/>
          <w:szCs w:val="24"/>
        </w:rPr>
        <w:sectPr w:rsidR="00C0417A" w:rsidRPr="00E0617B" w:rsidSect="00453FE3">
          <w:headerReference w:type="default" r:id="rId20"/>
          <w:footerReference w:type="default" r:id="rId21"/>
          <w:pgSz w:w="12240" w:h="15840" w:code="1"/>
          <w:pgMar w:top="1440" w:right="1440" w:bottom="1440" w:left="1800" w:header="1080" w:footer="720" w:gutter="0"/>
          <w:cols w:space="720"/>
          <w:docGrid w:linePitch="299"/>
        </w:sectPr>
      </w:pPr>
    </w:p>
    <w:p w14:paraId="360BEE48" w14:textId="57BBEA34" w:rsidR="00065733" w:rsidRPr="004036E3" w:rsidRDefault="000A7CDE" w:rsidP="001B504D">
      <w:pPr>
        <w:pStyle w:val="Heading6"/>
        <w:rPr>
          <w:b w:val="0"/>
          <w:bCs w:val="0"/>
          <w:szCs w:val="24"/>
        </w:rPr>
        <w:sectPr w:rsidR="00065733" w:rsidRPr="004036E3" w:rsidSect="00431E77">
          <w:pgSz w:w="15840" w:h="12240" w:orient="landscape" w:code="1"/>
          <w:pgMar w:top="720" w:right="720" w:bottom="720" w:left="720" w:header="1080" w:footer="720" w:gutter="0"/>
          <w:cols w:space="720"/>
          <w:docGrid w:linePitch="299"/>
        </w:sectPr>
      </w:pPr>
      <w:bookmarkStart w:id="28" w:name="_Toc518292780"/>
      <w:r w:rsidRPr="000A7CDE">
        <w:rPr>
          <w:noProof/>
        </w:rPr>
        <w:drawing>
          <wp:anchor distT="0" distB="0" distL="114300" distR="114300" simplePos="0" relativeHeight="251658240" behindDoc="1" locked="0" layoutInCell="1" allowOverlap="1" wp14:anchorId="5573D781" wp14:editId="34A25303">
            <wp:simplePos x="0" y="0"/>
            <wp:positionH relativeFrom="margin">
              <wp:posOffset>-142875</wp:posOffset>
            </wp:positionH>
            <wp:positionV relativeFrom="paragraph">
              <wp:posOffset>268605</wp:posOffset>
            </wp:positionV>
            <wp:extent cx="8724900" cy="5758180"/>
            <wp:effectExtent l="0" t="0" r="0" b="0"/>
            <wp:wrapTight wrapText="bothSides">
              <wp:wrapPolygon edited="0">
                <wp:start x="0" y="0"/>
                <wp:lineTo x="0" y="21509"/>
                <wp:lineTo x="20421" y="21509"/>
                <wp:lineTo x="20940" y="21438"/>
                <wp:lineTo x="21553" y="20938"/>
                <wp:lineTo x="215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724900" cy="575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5A1D" w:rsidRPr="00431E77">
        <w:t>Table A-</w:t>
      </w:r>
      <w:r w:rsidR="00011A90" w:rsidRPr="00431E77">
        <w:t>3</w:t>
      </w:r>
      <w:r w:rsidR="00E75A1D" w:rsidRPr="00431E77">
        <w:t xml:space="preserve">. </w:t>
      </w:r>
      <w:r w:rsidR="00295B36" w:rsidRPr="00431E77">
        <w:t>Farm to School Census and Distributor Interview Reporting Burden</w:t>
      </w:r>
      <w:bookmarkEnd w:id="28"/>
    </w:p>
    <w:p w14:paraId="324914B7" w14:textId="3D12EBAE" w:rsidR="004A0F2B" w:rsidRPr="00A81B0A" w:rsidRDefault="004A0F2B" w:rsidP="00A81B0A">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outlineLvl w:val="0"/>
        <w:rPr>
          <w:rFonts w:ascii="Arial" w:hAnsi="Arial"/>
          <w:b/>
          <w:sz w:val="24"/>
          <w:szCs w:val="24"/>
        </w:rPr>
      </w:pPr>
      <w:bookmarkStart w:id="29" w:name="_Toc506534093"/>
      <w:bookmarkStart w:id="30" w:name="_Toc506534145"/>
      <w:r w:rsidRPr="00A81B0A">
        <w:rPr>
          <w:rFonts w:ascii="Arial" w:hAnsi="Arial"/>
          <w:b/>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w:t>
      </w:r>
      <w:r w:rsidRPr="00A81B0A">
        <w:rPr>
          <w:rFonts w:ascii="Arial" w:hAnsi="Arial" w:cs="Arial"/>
          <w:b/>
          <w:bCs/>
          <w:sz w:val="24"/>
          <w:szCs w:val="24"/>
        </w:rPr>
        <w:t xml:space="preserve"> annualized over its expected useful life; and (b) a total operation and maintenance and purchase of services component.</w:t>
      </w:r>
      <w:bookmarkEnd w:id="29"/>
      <w:bookmarkEnd w:id="30"/>
    </w:p>
    <w:p w14:paraId="38AC7172" w14:textId="4AB8C256" w:rsidR="004A0F2B" w:rsidRPr="00A81B0A" w:rsidRDefault="004A0F2B" w:rsidP="00B53963">
      <w:pPr>
        <w:pStyle w:val="BodyText"/>
        <w:rPr>
          <w:szCs w:val="24"/>
        </w:rPr>
      </w:pPr>
      <w:r w:rsidRPr="00A81B0A">
        <w:rPr>
          <w:szCs w:val="24"/>
        </w:rPr>
        <w:t>The</w:t>
      </w:r>
      <w:r w:rsidR="002B2006" w:rsidRPr="00A81B0A">
        <w:rPr>
          <w:szCs w:val="24"/>
        </w:rPr>
        <w:t>re are</w:t>
      </w:r>
      <w:r w:rsidR="001945DC" w:rsidRPr="00A81B0A">
        <w:rPr>
          <w:szCs w:val="24"/>
        </w:rPr>
        <w:t xml:space="preserve"> </w:t>
      </w:r>
      <w:r w:rsidRPr="00A81B0A">
        <w:rPr>
          <w:szCs w:val="24"/>
        </w:rPr>
        <w:t>no capital or start-up costs, nor any operation, maintenance, or service purchase costs</w:t>
      </w:r>
      <w:r w:rsidR="002B2006" w:rsidRPr="00A81B0A">
        <w:rPr>
          <w:szCs w:val="24"/>
        </w:rPr>
        <w:t xml:space="preserve"> associated with this collection</w:t>
      </w:r>
      <w:r w:rsidRPr="00A81B0A">
        <w:rPr>
          <w:szCs w:val="24"/>
        </w:rPr>
        <w:t>.</w:t>
      </w:r>
    </w:p>
    <w:p w14:paraId="4A88E866" w14:textId="46986A25" w:rsidR="004A0F2B" w:rsidRPr="00A81B0A" w:rsidRDefault="004A0F2B" w:rsidP="00A81B0A">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outlineLvl w:val="0"/>
        <w:rPr>
          <w:rFonts w:ascii="Arial" w:hAnsi="Arial"/>
          <w:b/>
          <w:sz w:val="24"/>
          <w:szCs w:val="24"/>
        </w:rPr>
      </w:pPr>
      <w:bookmarkStart w:id="31" w:name="_Toc506534094"/>
      <w:bookmarkStart w:id="32" w:name="_Toc506534146"/>
      <w:r w:rsidRPr="00A81B0A">
        <w:rPr>
          <w:rFonts w:ascii="Arial" w:hAnsi="Arial"/>
          <w:b/>
          <w:sz w:val="24"/>
          <w:szCs w:val="24"/>
        </w:rPr>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bookmarkEnd w:id="31"/>
      <w:bookmarkEnd w:id="32"/>
    </w:p>
    <w:p w14:paraId="44751419" w14:textId="4973EF84" w:rsidR="00EF5123" w:rsidRPr="00C414E7" w:rsidRDefault="00EF5123" w:rsidP="00C44AD8">
      <w:pPr>
        <w:pStyle w:val="BodyText"/>
        <w:rPr>
          <w:szCs w:val="24"/>
        </w:rPr>
      </w:pPr>
      <w:r w:rsidRPr="00C414E7">
        <w:rPr>
          <w:szCs w:val="24"/>
        </w:rPr>
        <w:t>The total annual cost for this data collection is</w:t>
      </w:r>
      <w:r w:rsidR="00476916" w:rsidRPr="00C414E7">
        <w:rPr>
          <w:szCs w:val="24"/>
        </w:rPr>
        <w:t xml:space="preserve"> </w:t>
      </w:r>
      <w:r w:rsidR="00F6014F">
        <w:rPr>
          <w:szCs w:val="24"/>
        </w:rPr>
        <w:t>$898,383.13</w:t>
      </w:r>
      <w:r w:rsidR="00F722DB" w:rsidRPr="00C414E7">
        <w:rPr>
          <w:szCs w:val="24"/>
        </w:rPr>
        <w:t xml:space="preserve">. </w:t>
      </w:r>
      <w:r w:rsidR="00F6014F">
        <w:rPr>
          <w:szCs w:val="24"/>
        </w:rPr>
        <w:t xml:space="preserve">This includes contractor costs of $649,572.84 and FNS staff costs of 25,903.20 (for a total cost of $675,476.04), with an additional $222,907.09 added to account for fully loaded wages ($675,476.04 x 0.33).  </w:t>
      </w:r>
      <w:r w:rsidRPr="00C414E7">
        <w:rPr>
          <w:szCs w:val="24"/>
        </w:rPr>
        <w:t xml:space="preserve">The overall total cost to the Federal Government is </w:t>
      </w:r>
      <w:r w:rsidR="00476916" w:rsidRPr="00C414E7">
        <w:rPr>
          <w:szCs w:val="24"/>
        </w:rPr>
        <w:t>$2,026,428.12</w:t>
      </w:r>
      <w:r w:rsidR="001C7299" w:rsidRPr="00C414E7">
        <w:rPr>
          <w:szCs w:val="24"/>
        </w:rPr>
        <w:t xml:space="preserve"> </w:t>
      </w:r>
      <w:r w:rsidRPr="00C414E7">
        <w:rPr>
          <w:szCs w:val="24"/>
        </w:rPr>
        <w:t xml:space="preserve">over the </w:t>
      </w:r>
      <w:r w:rsidR="00BE56EC" w:rsidRPr="00C414E7">
        <w:rPr>
          <w:szCs w:val="24"/>
        </w:rPr>
        <w:t>3</w:t>
      </w:r>
      <w:r w:rsidR="003A5742" w:rsidRPr="00C414E7">
        <w:rPr>
          <w:szCs w:val="24"/>
        </w:rPr>
        <w:t>-</w:t>
      </w:r>
      <w:r w:rsidR="00BE56EC" w:rsidRPr="00C414E7">
        <w:rPr>
          <w:szCs w:val="24"/>
        </w:rPr>
        <w:t>year</w:t>
      </w:r>
      <w:r w:rsidRPr="00C414E7">
        <w:rPr>
          <w:szCs w:val="24"/>
        </w:rPr>
        <w:t xml:space="preserve"> period of the contract</w:t>
      </w:r>
      <w:r w:rsidR="00C44AD8" w:rsidRPr="00C414E7">
        <w:rPr>
          <w:szCs w:val="24"/>
        </w:rPr>
        <w:t xml:space="preserve"> (November 2017 to November 2020)</w:t>
      </w:r>
      <w:r w:rsidRPr="00C414E7">
        <w:rPr>
          <w:szCs w:val="24"/>
        </w:rPr>
        <w:t>. The largest cost to the Federal Government is to pay the contractor $</w:t>
      </w:r>
      <w:r w:rsidR="00BE56EC" w:rsidRPr="00C414E7">
        <w:rPr>
          <w:szCs w:val="24"/>
        </w:rPr>
        <w:t>1,948,718.52</w:t>
      </w:r>
      <w:r w:rsidRPr="00C414E7">
        <w:rPr>
          <w:szCs w:val="24"/>
        </w:rPr>
        <w:t xml:space="preserve"> </w:t>
      </w:r>
      <w:r w:rsidR="00BE56EC" w:rsidRPr="00C414E7">
        <w:rPr>
          <w:szCs w:val="24"/>
        </w:rPr>
        <w:t xml:space="preserve">($649,572.84 annually) </w:t>
      </w:r>
      <w:r w:rsidRPr="00C414E7">
        <w:rPr>
          <w:szCs w:val="24"/>
        </w:rPr>
        <w:t xml:space="preserve">to conduct this study and deliver reports and data files. The information collection also assumes 520 hours of a Federal </w:t>
      </w:r>
      <w:r w:rsidR="006029C1" w:rsidRPr="00C414E7">
        <w:rPr>
          <w:szCs w:val="24"/>
        </w:rPr>
        <w:t xml:space="preserve">employee’s </w:t>
      </w:r>
      <w:r w:rsidRPr="00C414E7">
        <w:rPr>
          <w:szCs w:val="24"/>
        </w:rPr>
        <w:t>time per year</w:t>
      </w:r>
      <w:r w:rsidR="006029C1" w:rsidRPr="00C414E7">
        <w:rPr>
          <w:szCs w:val="24"/>
        </w:rPr>
        <w:t>, estimated at</w:t>
      </w:r>
      <w:r w:rsidRPr="00C414E7">
        <w:rPr>
          <w:szCs w:val="24"/>
        </w:rPr>
        <w:t xml:space="preserve"> a GS-12, Step 6 in the Washington, DC area at $</w:t>
      </w:r>
      <w:r w:rsidR="006029C1" w:rsidRPr="00C414E7">
        <w:rPr>
          <w:szCs w:val="24"/>
        </w:rPr>
        <w:t>45.59</w:t>
      </w:r>
      <w:r w:rsidRPr="00C414E7">
        <w:rPr>
          <w:szCs w:val="24"/>
        </w:rPr>
        <w:t xml:space="preserve"> per hour for a total of </w:t>
      </w:r>
      <w:r w:rsidR="001C7299" w:rsidRPr="00C414E7">
        <w:rPr>
          <w:szCs w:val="24"/>
        </w:rPr>
        <w:t>$71,</w:t>
      </w:r>
      <w:r w:rsidR="006029C1" w:rsidRPr="00C414E7">
        <w:rPr>
          <w:szCs w:val="24"/>
        </w:rPr>
        <w:t xml:space="preserve">120.40 </w:t>
      </w:r>
      <w:r w:rsidR="001C7299" w:rsidRPr="00C414E7">
        <w:rPr>
          <w:szCs w:val="24"/>
        </w:rPr>
        <w:t>(</w:t>
      </w:r>
      <w:r w:rsidRPr="00C414E7">
        <w:rPr>
          <w:szCs w:val="24"/>
        </w:rPr>
        <w:t>$23,</w:t>
      </w:r>
      <w:r w:rsidR="006029C1" w:rsidRPr="00C414E7">
        <w:rPr>
          <w:szCs w:val="24"/>
        </w:rPr>
        <w:t>706</w:t>
      </w:r>
      <w:r w:rsidRPr="00C414E7">
        <w:rPr>
          <w:szCs w:val="24"/>
        </w:rPr>
        <w:t>.</w:t>
      </w:r>
      <w:r w:rsidR="006029C1" w:rsidRPr="00C414E7">
        <w:rPr>
          <w:szCs w:val="24"/>
        </w:rPr>
        <w:t xml:space="preserve">80 </w:t>
      </w:r>
      <w:r w:rsidR="001C7299" w:rsidRPr="00C414E7">
        <w:rPr>
          <w:szCs w:val="24"/>
        </w:rPr>
        <w:t>annually)</w:t>
      </w:r>
      <w:r w:rsidRPr="00C414E7">
        <w:rPr>
          <w:szCs w:val="24"/>
        </w:rPr>
        <w:t xml:space="preserve">. </w:t>
      </w:r>
      <w:r w:rsidR="00AE453D" w:rsidRPr="00C414E7">
        <w:rPr>
          <w:szCs w:val="24"/>
        </w:rPr>
        <w:t xml:space="preserve">In addition, we assume 40 hours annually for the Branch Chief, at GS-14, Step 1, at $54.91 per hour for a total </w:t>
      </w:r>
      <w:r w:rsidR="00476916" w:rsidRPr="00C414E7">
        <w:rPr>
          <w:szCs w:val="24"/>
        </w:rPr>
        <w:t>of $6,589.20 (</w:t>
      </w:r>
      <w:r w:rsidR="00AE453D" w:rsidRPr="00C414E7">
        <w:rPr>
          <w:szCs w:val="24"/>
        </w:rPr>
        <w:t>$2,196.40</w:t>
      </w:r>
      <w:r w:rsidR="00476916" w:rsidRPr="00C414E7">
        <w:rPr>
          <w:szCs w:val="24"/>
        </w:rPr>
        <w:t xml:space="preserve"> annually)</w:t>
      </w:r>
      <w:r w:rsidR="00AE453D" w:rsidRPr="00C414E7">
        <w:rPr>
          <w:szCs w:val="24"/>
        </w:rPr>
        <w:t xml:space="preserve">. </w:t>
      </w:r>
      <w:r w:rsidRPr="00C414E7">
        <w:rPr>
          <w:szCs w:val="24"/>
        </w:rPr>
        <w:t>Federal employee pay rates are based on the Office of Personnel Management (OPM) salary table for 2018 for the Washington, DC metro area locality.</w:t>
      </w:r>
      <w:r w:rsidRPr="00C414E7">
        <w:rPr>
          <w:szCs w:val="24"/>
          <w:vertAlign w:val="superscript"/>
        </w:rPr>
        <w:footnoteReference w:id="7"/>
      </w:r>
    </w:p>
    <w:p w14:paraId="5039FBE2" w14:textId="331BF915" w:rsidR="004A0F2B" w:rsidRPr="00AD1F84" w:rsidRDefault="004A0F2B" w:rsidP="00A81B0A">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outlineLvl w:val="0"/>
        <w:rPr>
          <w:rFonts w:ascii="Arial" w:hAnsi="Arial"/>
          <w:b/>
          <w:sz w:val="24"/>
          <w:szCs w:val="24"/>
        </w:rPr>
      </w:pPr>
      <w:bookmarkStart w:id="33" w:name="_Toc506534095"/>
      <w:bookmarkStart w:id="34" w:name="_Toc506534147"/>
      <w:r w:rsidRPr="00A81B0A">
        <w:rPr>
          <w:rFonts w:ascii="Arial" w:hAnsi="Arial"/>
          <w:b/>
          <w:sz w:val="24"/>
          <w:szCs w:val="24"/>
        </w:rPr>
        <w:t xml:space="preserve">Explain the reasons for any program changes or adjustments reported </w:t>
      </w:r>
      <w:r w:rsidRPr="00AD1F84">
        <w:rPr>
          <w:rFonts w:ascii="Arial" w:hAnsi="Arial"/>
          <w:b/>
          <w:sz w:val="24"/>
          <w:szCs w:val="24"/>
        </w:rPr>
        <w:t>in Items 13 or 14 of the OMB Form 83-I (reasons for changes in burden).</w:t>
      </w:r>
      <w:bookmarkEnd w:id="33"/>
      <w:bookmarkEnd w:id="34"/>
    </w:p>
    <w:p w14:paraId="5B80EB23" w14:textId="373BD560" w:rsidR="004A0F2B" w:rsidRPr="00C414E7" w:rsidRDefault="004A0F2B" w:rsidP="00A81B0A">
      <w:pPr>
        <w:pStyle w:val="BodyText"/>
        <w:rPr>
          <w:szCs w:val="24"/>
        </w:rPr>
      </w:pPr>
      <w:r w:rsidRPr="00C414E7">
        <w:rPr>
          <w:szCs w:val="24"/>
        </w:rPr>
        <w:t>This is a new collection of information</w:t>
      </w:r>
      <w:r w:rsidR="00601017" w:rsidRPr="00C414E7">
        <w:rPr>
          <w:szCs w:val="24"/>
        </w:rPr>
        <w:t xml:space="preserve"> and will add</w:t>
      </w:r>
      <w:r w:rsidR="00F16609" w:rsidRPr="00C414E7">
        <w:rPr>
          <w:szCs w:val="24"/>
        </w:rPr>
        <w:t xml:space="preserve"> </w:t>
      </w:r>
      <w:r w:rsidR="00476916" w:rsidRPr="00C414E7">
        <w:rPr>
          <w:szCs w:val="24"/>
        </w:rPr>
        <w:t>25,061</w:t>
      </w:r>
      <w:r w:rsidR="00366A44">
        <w:rPr>
          <w:szCs w:val="24"/>
        </w:rPr>
        <w:t xml:space="preserve"> </w:t>
      </w:r>
      <w:r w:rsidR="00601017" w:rsidRPr="00C414E7">
        <w:rPr>
          <w:szCs w:val="24"/>
        </w:rPr>
        <w:t xml:space="preserve">burden hours and </w:t>
      </w:r>
      <w:r w:rsidR="00E541FB" w:rsidRPr="00C414E7">
        <w:rPr>
          <w:szCs w:val="24"/>
        </w:rPr>
        <w:t xml:space="preserve">227,965 </w:t>
      </w:r>
      <w:r w:rsidR="00601017" w:rsidRPr="00C414E7">
        <w:rPr>
          <w:szCs w:val="24"/>
        </w:rPr>
        <w:t xml:space="preserve">responses to OMB’s </w:t>
      </w:r>
      <w:r w:rsidR="009D02D7" w:rsidRPr="00C414E7">
        <w:rPr>
          <w:szCs w:val="24"/>
        </w:rPr>
        <w:t>inventory</w:t>
      </w:r>
      <w:r w:rsidRPr="00C414E7">
        <w:rPr>
          <w:szCs w:val="24"/>
        </w:rPr>
        <w:t xml:space="preserve">. </w:t>
      </w:r>
    </w:p>
    <w:p w14:paraId="7BC98171" w14:textId="4B244D20" w:rsidR="004A0F2B" w:rsidRPr="00A81B0A" w:rsidRDefault="004A0F2B" w:rsidP="00A81B0A">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outlineLvl w:val="0"/>
        <w:rPr>
          <w:rFonts w:ascii="Arial" w:hAnsi="Arial"/>
          <w:b/>
          <w:sz w:val="24"/>
          <w:szCs w:val="24"/>
        </w:rPr>
      </w:pPr>
      <w:bookmarkStart w:id="35" w:name="_Toc506534096"/>
      <w:bookmarkStart w:id="36" w:name="_Toc506534148"/>
      <w:r w:rsidRPr="00A81B0A">
        <w:rPr>
          <w:rFonts w:ascii="Arial" w:hAnsi="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bookmarkEnd w:id="35"/>
      <w:bookmarkEnd w:id="36"/>
    </w:p>
    <w:p w14:paraId="63278177" w14:textId="6A3E0A1E" w:rsidR="00441BF9" w:rsidRPr="00A81B0A" w:rsidRDefault="00601017" w:rsidP="00B53963">
      <w:pPr>
        <w:pStyle w:val="BodyText"/>
        <w:rPr>
          <w:szCs w:val="24"/>
        </w:rPr>
      </w:pPr>
      <w:r w:rsidRPr="00A81B0A">
        <w:rPr>
          <w:szCs w:val="24"/>
        </w:rPr>
        <w:t xml:space="preserve">Data collection will begin following OMB approval and run for approximately </w:t>
      </w:r>
      <w:r w:rsidR="00441BF9" w:rsidRPr="00A81B0A">
        <w:rPr>
          <w:szCs w:val="24"/>
        </w:rPr>
        <w:t>6 months</w:t>
      </w:r>
      <w:r w:rsidRPr="00A81B0A">
        <w:rPr>
          <w:szCs w:val="24"/>
        </w:rPr>
        <w:t xml:space="preserve">. Data file preparations will follow immediately so that data analysis can begin soon after data collection is complete. </w:t>
      </w:r>
    </w:p>
    <w:p w14:paraId="75D970DF" w14:textId="77777777" w:rsidR="00AD1F84" w:rsidRDefault="00441BF9" w:rsidP="00B53963">
      <w:pPr>
        <w:pStyle w:val="BodyText"/>
        <w:rPr>
          <w:szCs w:val="24"/>
        </w:rPr>
      </w:pPr>
      <w:r w:rsidRPr="00A81B0A">
        <w:rPr>
          <w:szCs w:val="24"/>
        </w:rPr>
        <w:t xml:space="preserve">The study team will use standard quantitative methods to analyze data from the Distributor </w:t>
      </w:r>
      <w:r w:rsidR="005535AC" w:rsidRPr="00A81B0A">
        <w:rPr>
          <w:szCs w:val="24"/>
        </w:rPr>
        <w:t>Interview</w:t>
      </w:r>
      <w:r w:rsidRPr="00A81B0A">
        <w:rPr>
          <w:szCs w:val="24"/>
        </w:rPr>
        <w:t xml:space="preserve">, Census, and grantee reports. Analyses will be conducted using </w:t>
      </w:r>
      <w:r w:rsidR="00DB07EC">
        <w:rPr>
          <w:szCs w:val="24"/>
        </w:rPr>
        <w:t xml:space="preserve">a </w:t>
      </w:r>
      <w:r w:rsidRPr="00A81B0A">
        <w:rPr>
          <w:szCs w:val="24"/>
        </w:rPr>
        <w:t>statistical software package</w:t>
      </w:r>
      <w:r w:rsidR="00DB07EC">
        <w:rPr>
          <w:szCs w:val="24"/>
        </w:rPr>
        <w:t>,</w:t>
      </w:r>
      <w:r w:rsidRPr="00A81B0A">
        <w:rPr>
          <w:szCs w:val="24"/>
        </w:rPr>
        <w:t xml:space="preserve"> such as SAS or Stata. Principal analysis methods will be descriptive, including simple tabulations, as well as cross-tabulations by subgroup where appropriate. Statistical hypothesis testing (e.g., for differences across subgroups of grantees) will be performed only for the Census and grantee reporting data, as the Distributor </w:t>
      </w:r>
      <w:r w:rsidR="005535AC" w:rsidRPr="00A81B0A">
        <w:rPr>
          <w:szCs w:val="24"/>
        </w:rPr>
        <w:t xml:space="preserve">Interview </w:t>
      </w:r>
      <w:r w:rsidRPr="00A81B0A">
        <w:rPr>
          <w:szCs w:val="24"/>
        </w:rPr>
        <w:t xml:space="preserve"> sample size is small and results are not intended to be representative.</w:t>
      </w:r>
      <w:r w:rsidR="00AD1F84">
        <w:rPr>
          <w:szCs w:val="24"/>
        </w:rPr>
        <w:t xml:space="preserve"> </w:t>
      </w:r>
    </w:p>
    <w:p w14:paraId="219FBB20" w14:textId="3D50F2AE" w:rsidR="00441BF9" w:rsidRPr="00A81B0A" w:rsidRDefault="00AD1F84" w:rsidP="00B53963">
      <w:pPr>
        <w:pStyle w:val="BodyText"/>
        <w:rPr>
          <w:szCs w:val="24"/>
        </w:rPr>
      </w:pPr>
      <w:r>
        <w:rPr>
          <w:szCs w:val="24"/>
        </w:rPr>
        <w:t>Qualitative data from the Distributor Interview</w:t>
      </w:r>
      <w:r w:rsidRPr="00AD1F84">
        <w:rPr>
          <w:szCs w:val="24"/>
        </w:rPr>
        <w:t xml:space="preserve"> will be analyzed using NVivo 11 analytic software.</w:t>
      </w:r>
      <w:r>
        <w:rPr>
          <w:szCs w:val="24"/>
        </w:rPr>
        <w:t xml:space="preserve"> </w:t>
      </w:r>
      <w:r w:rsidRPr="00AD1F84">
        <w:rPr>
          <w:szCs w:val="24"/>
        </w:rPr>
        <w:t xml:space="preserve">The team will develop a codebook to guide the work of the NVivo data analysts. </w:t>
      </w:r>
      <w:r>
        <w:rPr>
          <w:szCs w:val="24"/>
        </w:rPr>
        <w:t>P</w:t>
      </w:r>
      <w:r w:rsidRPr="00AD1F84">
        <w:rPr>
          <w:szCs w:val="24"/>
        </w:rPr>
        <w:t xml:space="preserve">eer coding will help ensure that team members </w:t>
      </w:r>
      <w:r>
        <w:rPr>
          <w:szCs w:val="24"/>
        </w:rPr>
        <w:t>code in a reliable way.</w:t>
      </w:r>
      <w:r w:rsidRPr="00AD1F84">
        <w:rPr>
          <w:szCs w:val="24"/>
        </w:rPr>
        <w:t xml:space="preserve"> Once the data are coded, </w:t>
      </w:r>
      <w:r>
        <w:rPr>
          <w:szCs w:val="24"/>
        </w:rPr>
        <w:t>t</w:t>
      </w:r>
      <w:r w:rsidRPr="00AD1F84">
        <w:rPr>
          <w:szCs w:val="24"/>
        </w:rPr>
        <w:t xml:space="preserve">he qualitative data will be analyzed </w:t>
      </w:r>
      <w:r>
        <w:rPr>
          <w:szCs w:val="24"/>
        </w:rPr>
        <w:t>using semantic content analysis, and r</w:t>
      </w:r>
      <w:r w:rsidRPr="00AD1F84">
        <w:rPr>
          <w:szCs w:val="24"/>
        </w:rPr>
        <w:t>esponses will be analyzed by question for emerging themes.</w:t>
      </w:r>
    </w:p>
    <w:p w14:paraId="5ABD1608" w14:textId="1F16BB07" w:rsidR="00B60599" w:rsidRPr="00A81B0A" w:rsidRDefault="00E75A1D" w:rsidP="00A81B0A">
      <w:pPr>
        <w:pStyle w:val="BodyText"/>
        <w:rPr>
          <w:b/>
          <w:bCs/>
          <w:szCs w:val="24"/>
        </w:rPr>
      </w:pPr>
      <w:r w:rsidRPr="00A81B0A">
        <w:rPr>
          <w:szCs w:val="24"/>
        </w:rPr>
        <w:t xml:space="preserve">Table </w:t>
      </w:r>
      <w:r w:rsidR="00E73D35" w:rsidRPr="00A81B0A">
        <w:rPr>
          <w:szCs w:val="24"/>
        </w:rPr>
        <w:t>A-</w:t>
      </w:r>
      <w:r w:rsidR="00011A90">
        <w:rPr>
          <w:szCs w:val="24"/>
        </w:rPr>
        <w:t>4</w:t>
      </w:r>
      <w:r w:rsidR="00011A90" w:rsidRPr="00A81B0A">
        <w:rPr>
          <w:szCs w:val="24"/>
        </w:rPr>
        <w:t xml:space="preserve"> </w:t>
      </w:r>
      <w:r w:rsidR="00B57187" w:rsidRPr="00A81B0A">
        <w:rPr>
          <w:szCs w:val="24"/>
        </w:rPr>
        <w:t xml:space="preserve">shows the data collection, analysis, and reporting schedule for the final report and briefing: </w:t>
      </w:r>
    </w:p>
    <w:p w14:paraId="245E7F39" w14:textId="1F0C19F4" w:rsidR="00B57187" w:rsidRPr="00A81B0A" w:rsidRDefault="00845BA5" w:rsidP="00E84BBC">
      <w:pPr>
        <w:pStyle w:val="Heading6"/>
      </w:pPr>
      <w:bookmarkStart w:id="37" w:name="_Toc518292781"/>
      <w:r w:rsidRPr="00A81B0A">
        <w:t xml:space="preserve">Table </w:t>
      </w:r>
      <w:r w:rsidR="00E73D35" w:rsidRPr="00A81B0A">
        <w:t>A-</w:t>
      </w:r>
      <w:r w:rsidR="00011A90">
        <w:t>4</w:t>
      </w:r>
      <w:r w:rsidR="00B57187" w:rsidRPr="00A81B0A">
        <w:t>. Reporting Schedule</w:t>
      </w:r>
      <w:bookmarkEnd w:id="37"/>
    </w:p>
    <w:tbl>
      <w:tblPr>
        <w:tblStyle w:val="TableGrid1"/>
        <w:tblW w:w="9103" w:type="dxa"/>
        <w:tblLook w:val="04A0" w:firstRow="1" w:lastRow="0" w:firstColumn="1" w:lastColumn="0" w:noHBand="0" w:noVBand="1"/>
      </w:tblPr>
      <w:tblGrid>
        <w:gridCol w:w="6655"/>
        <w:gridCol w:w="2448"/>
      </w:tblGrid>
      <w:tr w:rsidR="001945DC" w:rsidRPr="00A81B0A" w14:paraId="58E5D157" w14:textId="337303A3" w:rsidTr="00A81B0A">
        <w:trPr>
          <w:trHeight w:val="552"/>
        </w:trPr>
        <w:tc>
          <w:tcPr>
            <w:tcW w:w="6655" w:type="dxa"/>
            <w:vAlign w:val="center"/>
          </w:tcPr>
          <w:p w14:paraId="47CB2F63" w14:textId="339F946A" w:rsidR="001945DC" w:rsidRPr="00A81B0A" w:rsidRDefault="001945DC" w:rsidP="00A81B0A">
            <w:pPr>
              <w:pStyle w:val="BodyText"/>
              <w:spacing w:before="20" w:after="20" w:line="240" w:lineRule="auto"/>
              <w:ind w:firstLine="0"/>
              <w:jc w:val="center"/>
              <w:rPr>
                <w:rFonts w:ascii="Times New Roman" w:hAnsi="Times New Roman"/>
                <w:b/>
                <w:szCs w:val="24"/>
              </w:rPr>
            </w:pPr>
            <w:r w:rsidRPr="00A81B0A">
              <w:rPr>
                <w:rFonts w:ascii="Times New Roman" w:hAnsi="Times New Roman"/>
                <w:b/>
                <w:szCs w:val="24"/>
              </w:rPr>
              <w:t>ACTIVITY</w:t>
            </w:r>
          </w:p>
        </w:tc>
        <w:tc>
          <w:tcPr>
            <w:tcW w:w="2448" w:type="dxa"/>
            <w:vAlign w:val="center"/>
          </w:tcPr>
          <w:p w14:paraId="5E5F5775" w14:textId="24F7D51D" w:rsidR="001945DC" w:rsidRPr="00A81B0A" w:rsidRDefault="001945DC" w:rsidP="00011A90">
            <w:pPr>
              <w:pStyle w:val="BodyText"/>
              <w:spacing w:before="20" w:after="20" w:line="240" w:lineRule="auto"/>
              <w:ind w:firstLine="0"/>
              <w:jc w:val="center"/>
              <w:rPr>
                <w:rFonts w:ascii="Times New Roman" w:hAnsi="Times New Roman"/>
                <w:b/>
                <w:szCs w:val="24"/>
              </w:rPr>
            </w:pPr>
            <w:r w:rsidRPr="00A81B0A">
              <w:rPr>
                <w:rFonts w:ascii="Times New Roman" w:hAnsi="Times New Roman"/>
                <w:b/>
                <w:szCs w:val="24"/>
              </w:rPr>
              <w:t>COMPLETION DATE</w:t>
            </w:r>
          </w:p>
        </w:tc>
      </w:tr>
      <w:tr w:rsidR="001945DC" w:rsidRPr="00A81B0A" w14:paraId="2C75E499" w14:textId="0AAB1C24" w:rsidTr="001945DC">
        <w:trPr>
          <w:trHeight w:val="276"/>
        </w:trPr>
        <w:tc>
          <w:tcPr>
            <w:tcW w:w="6655" w:type="dxa"/>
          </w:tcPr>
          <w:p w14:paraId="35F94CD2" w14:textId="170541C4" w:rsidR="001945DC" w:rsidRPr="00A81B0A" w:rsidRDefault="001945DC" w:rsidP="00BF64C1">
            <w:pPr>
              <w:pStyle w:val="BodyText"/>
              <w:spacing w:before="20" w:after="20" w:line="240" w:lineRule="auto"/>
              <w:ind w:firstLine="0"/>
              <w:rPr>
                <w:rFonts w:ascii="Times New Roman" w:hAnsi="Times New Roman"/>
                <w:szCs w:val="24"/>
              </w:rPr>
            </w:pPr>
            <w:r w:rsidRPr="00A81B0A">
              <w:rPr>
                <w:rFonts w:ascii="Times New Roman" w:hAnsi="Times New Roman"/>
                <w:szCs w:val="24"/>
              </w:rPr>
              <w:t xml:space="preserve">Request to State Directors for list of SFAs and Director </w:t>
            </w:r>
            <w:r w:rsidR="00BF64C1" w:rsidRPr="00A81B0A">
              <w:rPr>
                <w:rFonts w:ascii="Times New Roman" w:hAnsi="Times New Roman"/>
                <w:szCs w:val="24"/>
              </w:rPr>
              <w:t>c</w:t>
            </w:r>
            <w:r w:rsidRPr="00A81B0A">
              <w:rPr>
                <w:rFonts w:ascii="Times New Roman" w:hAnsi="Times New Roman"/>
                <w:szCs w:val="24"/>
              </w:rPr>
              <w:t xml:space="preserve">ontact </w:t>
            </w:r>
            <w:r w:rsidR="00BF64C1" w:rsidRPr="00A81B0A">
              <w:rPr>
                <w:rFonts w:ascii="Times New Roman" w:hAnsi="Times New Roman"/>
                <w:szCs w:val="24"/>
              </w:rPr>
              <w:t>i</w:t>
            </w:r>
            <w:r w:rsidRPr="00A81B0A">
              <w:rPr>
                <w:rFonts w:ascii="Times New Roman" w:hAnsi="Times New Roman"/>
                <w:szCs w:val="24"/>
              </w:rPr>
              <w:t>nformation</w:t>
            </w:r>
          </w:p>
        </w:tc>
        <w:tc>
          <w:tcPr>
            <w:tcW w:w="2448" w:type="dxa"/>
          </w:tcPr>
          <w:p w14:paraId="6163557C" w14:textId="4F28A0A8" w:rsidR="001945DC" w:rsidRPr="00A81B0A" w:rsidRDefault="001945DC" w:rsidP="000F3BDB">
            <w:pPr>
              <w:pStyle w:val="BodyText"/>
              <w:spacing w:before="20" w:after="20" w:line="240" w:lineRule="auto"/>
              <w:ind w:firstLine="0"/>
              <w:jc w:val="center"/>
              <w:rPr>
                <w:rFonts w:ascii="Times New Roman" w:hAnsi="Times New Roman"/>
                <w:szCs w:val="24"/>
              </w:rPr>
            </w:pPr>
            <w:r w:rsidRPr="00A81B0A">
              <w:rPr>
                <w:rFonts w:ascii="Times New Roman" w:hAnsi="Times New Roman"/>
                <w:szCs w:val="24"/>
              </w:rPr>
              <w:t>1 week</w:t>
            </w:r>
            <w:r w:rsidR="00011A90">
              <w:rPr>
                <w:rFonts w:ascii="Times New Roman" w:hAnsi="Times New Roman"/>
                <w:szCs w:val="24"/>
              </w:rPr>
              <w:t xml:space="preserve"> after </w:t>
            </w:r>
            <w:r w:rsidR="00011A90" w:rsidRPr="00011A90">
              <w:rPr>
                <w:rFonts w:ascii="Times New Roman" w:hAnsi="Times New Roman"/>
                <w:szCs w:val="24"/>
              </w:rPr>
              <w:t>OMB approval</w:t>
            </w:r>
          </w:p>
        </w:tc>
      </w:tr>
      <w:tr w:rsidR="001945DC" w:rsidRPr="00A81B0A" w14:paraId="796232EE" w14:textId="3AD37008" w:rsidTr="001945DC">
        <w:trPr>
          <w:trHeight w:val="276"/>
        </w:trPr>
        <w:tc>
          <w:tcPr>
            <w:tcW w:w="6655" w:type="dxa"/>
          </w:tcPr>
          <w:p w14:paraId="4B4821A3" w14:textId="4748CAEC" w:rsidR="001945DC" w:rsidRPr="00A81B0A" w:rsidRDefault="001945DC" w:rsidP="002E11A7">
            <w:pPr>
              <w:pStyle w:val="BodyText"/>
              <w:spacing w:before="20" w:after="20" w:line="240" w:lineRule="auto"/>
              <w:ind w:firstLine="0"/>
              <w:rPr>
                <w:rFonts w:ascii="Times New Roman" w:hAnsi="Times New Roman"/>
                <w:szCs w:val="24"/>
              </w:rPr>
            </w:pPr>
            <w:r w:rsidRPr="00A81B0A">
              <w:rPr>
                <w:rFonts w:ascii="Times New Roman" w:hAnsi="Times New Roman"/>
                <w:szCs w:val="24"/>
              </w:rPr>
              <w:t>Finalize sample frame for Census</w:t>
            </w:r>
          </w:p>
        </w:tc>
        <w:tc>
          <w:tcPr>
            <w:tcW w:w="2448" w:type="dxa"/>
          </w:tcPr>
          <w:p w14:paraId="5C7DB1A8" w14:textId="7DB7686F" w:rsidR="001945DC" w:rsidRPr="00A81B0A" w:rsidRDefault="001945DC" w:rsidP="000F3BDB">
            <w:pPr>
              <w:pStyle w:val="BodyText"/>
              <w:spacing w:before="20" w:after="20" w:line="240" w:lineRule="auto"/>
              <w:ind w:firstLine="0"/>
              <w:jc w:val="center"/>
              <w:rPr>
                <w:rFonts w:ascii="Times New Roman" w:hAnsi="Times New Roman"/>
                <w:szCs w:val="24"/>
              </w:rPr>
            </w:pPr>
            <w:r w:rsidRPr="00A81B0A">
              <w:rPr>
                <w:rFonts w:ascii="Times New Roman" w:hAnsi="Times New Roman"/>
                <w:szCs w:val="24"/>
              </w:rPr>
              <w:t>1 week</w:t>
            </w:r>
            <w:r w:rsidR="00011A90">
              <w:rPr>
                <w:rFonts w:ascii="Times New Roman" w:hAnsi="Times New Roman"/>
                <w:szCs w:val="24"/>
              </w:rPr>
              <w:t xml:space="preserve"> after </w:t>
            </w:r>
            <w:r w:rsidR="00011A90" w:rsidRPr="00011A90">
              <w:rPr>
                <w:rFonts w:ascii="Times New Roman" w:hAnsi="Times New Roman"/>
                <w:szCs w:val="24"/>
              </w:rPr>
              <w:t>OMB approval</w:t>
            </w:r>
          </w:p>
        </w:tc>
      </w:tr>
      <w:tr w:rsidR="001945DC" w:rsidRPr="00A81B0A" w14:paraId="48EAE70D" w14:textId="5D155033" w:rsidTr="001945DC">
        <w:trPr>
          <w:trHeight w:val="276"/>
        </w:trPr>
        <w:tc>
          <w:tcPr>
            <w:tcW w:w="6655" w:type="dxa"/>
            <w:hideMark/>
          </w:tcPr>
          <w:p w14:paraId="588A339D" w14:textId="50348BEB" w:rsidR="001945DC" w:rsidRPr="00A81B0A" w:rsidRDefault="001945DC" w:rsidP="002E11A7">
            <w:pPr>
              <w:pStyle w:val="BodyText"/>
              <w:spacing w:before="20" w:after="20" w:line="240" w:lineRule="auto"/>
              <w:ind w:firstLine="0"/>
              <w:rPr>
                <w:rFonts w:ascii="Times New Roman" w:hAnsi="Times New Roman"/>
                <w:szCs w:val="24"/>
              </w:rPr>
            </w:pPr>
            <w:r w:rsidRPr="00A81B0A">
              <w:rPr>
                <w:rFonts w:ascii="Times New Roman" w:hAnsi="Times New Roman"/>
                <w:szCs w:val="24"/>
              </w:rPr>
              <w:t>Recruitment and non-response follow-up for Census</w:t>
            </w:r>
          </w:p>
        </w:tc>
        <w:tc>
          <w:tcPr>
            <w:tcW w:w="2448" w:type="dxa"/>
          </w:tcPr>
          <w:p w14:paraId="15B28A06" w14:textId="11A9764F" w:rsidR="001945DC" w:rsidRPr="00A81B0A" w:rsidRDefault="001945DC" w:rsidP="000F3BDB">
            <w:pPr>
              <w:pStyle w:val="BodyText"/>
              <w:spacing w:before="20" w:after="20" w:line="240" w:lineRule="auto"/>
              <w:ind w:firstLine="0"/>
              <w:jc w:val="center"/>
              <w:rPr>
                <w:rFonts w:ascii="Times New Roman" w:hAnsi="Times New Roman"/>
                <w:szCs w:val="24"/>
              </w:rPr>
            </w:pPr>
            <w:r w:rsidRPr="00A81B0A">
              <w:rPr>
                <w:rFonts w:ascii="Times New Roman" w:hAnsi="Times New Roman"/>
                <w:szCs w:val="24"/>
              </w:rPr>
              <w:t>1 week to 24 weeks</w:t>
            </w:r>
            <w:r w:rsidR="00011A90">
              <w:rPr>
                <w:rFonts w:ascii="Times New Roman" w:hAnsi="Times New Roman"/>
                <w:szCs w:val="24"/>
              </w:rPr>
              <w:t xml:space="preserve"> after </w:t>
            </w:r>
            <w:r w:rsidR="00011A90" w:rsidRPr="00011A90">
              <w:rPr>
                <w:rFonts w:ascii="Times New Roman" w:hAnsi="Times New Roman"/>
                <w:szCs w:val="24"/>
              </w:rPr>
              <w:t>OMB approval</w:t>
            </w:r>
          </w:p>
        </w:tc>
      </w:tr>
      <w:tr w:rsidR="001945DC" w:rsidRPr="00A81B0A" w14:paraId="4CE6BF82" w14:textId="7D65C551" w:rsidTr="001945DC">
        <w:trPr>
          <w:trHeight w:val="276"/>
        </w:trPr>
        <w:tc>
          <w:tcPr>
            <w:tcW w:w="6655" w:type="dxa"/>
          </w:tcPr>
          <w:p w14:paraId="2C5ED38E" w14:textId="3529D527" w:rsidR="001945DC" w:rsidRPr="00A81B0A" w:rsidRDefault="001945DC" w:rsidP="002E11A7">
            <w:pPr>
              <w:pStyle w:val="BodyText"/>
              <w:spacing w:before="20" w:after="20" w:line="240" w:lineRule="auto"/>
              <w:ind w:firstLine="0"/>
              <w:rPr>
                <w:rFonts w:ascii="Times New Roman" w:hAnsi="Times New Roman"/>
                <w:szCs w:val="24"/>
              </w:rPr>
            </w:pPr>
            <w:r w:rsidRPr="00A81B0A">
              <w:rPr>
                <w:rFonts w:ascii="Times New Roman" w:hAnsi="Times New Roman"/>
                <w:szCs w:val="24"/>
              </w:rPr>
              <w:t>Collect data for Census</w:t>
            </w:r>
          </w:p>
        </w:tc>
        <w:tc>
          <w:tcPr>
            <w:tcW w:w="2448" w:type="dxa"/>
          </w:tcPr>
          <w:p w14:paraId="444FBD05" w14:textId="2C2BF312" w:rsidR="001945DC" w:rsidRPr="00A81B0A" w:rsidRDefault="001945DC" w:rsidP="000F3BDB">
            <w:pPr>
              <w:pStyle w:val="BodyText"/>
              <w:spacing w:before="20" w:after="20" w:line="240" w:lineRule="auto"/>
              <w:ind w:firstLine="0"/>
              <w:jc w:val="center"/>
              <w:rPr>
                <w:rFonts w:ascii="Times New Roman" w:hAnsi="Times New Roman"/>
                <w:szCs w:val="24"/>
              </w:rPr>
            </w:pPr>
            <w:r w:rsidRPr="00A81B0A">
              <w:rPr>
                <w:rFonts w:ascii="Times New Roman" w:hAnsi="Times New Roman"/>
                <w:szCs w:val="24"/>
              </w:rPr>
              <w:t>6 weeks to 24 weeks</w:t>
            </w:r>
            <w:r w:rsidR="00011A90">
              <w:rPr>
                <w:rFonts w:ascii="Times New Roman" w:hAnsi="Times New Roman"/>
                <w:szCs w:val="24"/>
              </w:rPr>
              <w:t xml:space="preserve"> after </w:t>
            </w:r>
            <w:r w:rsidR="00011A90" w:rsidRPr="00011A90">
              <w:rPr>
                <w:rFonts w:ascii="Times New Roman" w:hAnsi="Times New Roman"/>
                <w:szCs w:val="24"/>
              </w:rPr>
              <w:t>OMB approval</w:t>
            </w:r>
          </w:p>
        </w:tc>
      </w:tr>
      <w:tr w:rsidR="001945DC" w:rsidRPr="00A81B0A" w14:paraId="67557F4E" w14:textId="421347C0" w:rsidTr="001945DC">
        <w:trPr>
          <w:trHeight w:val="276"/>
        </w:trPr>
        <w:tc>
          <w:tcPr>
            <w:tcW w:w="6655" w:type="dxa"/>
            <w:hideMark/>
          </w:tcPr>
          <w:p w14:paraId="71305C65" w14:textId="4A003DE2" w:rsidR="001945DC" w:rsidRPr="00A81B0A" w:rsidRDefault="001945DC" w:rsidP="002E11A7">
            <w:pPr>
              <w:pStyle w:val="BodyText"/>
              <w:spacing w:before="20" w:after="20" w:line="240" w:lineRule="auto"/>
              <w:ind w:firstLine="0"/>
              <w:rPr>
                <w:rFonts w:ascii="Times New Roman" w:hAnsi="Times New Roman"/>
                <w:szCs w:val="24"/>
              </w:rPr>
            </w:pPr>
            <w:r w:rsidRPr="00A81B0A">
              <w:rPr>
                <w:rFonts w:ascii="Times New Roman" w:hAnsi="Times New Roman"/>
                <w:szCs w:val="24"/>
              </w:rPr>
              <w:t>Recruitment and non-response follow-up for Distributor Interview</w:t>
            </w:r>
          </w:p>
        </w:tc>
        <w:tc>
          <w:tcPr>
            <w:tcW w:w="2448" w:type="dxa"/>
          </w:tcPr>
          <w:p w14:paraId="78B46FE8" w14:textId="46037B12" w:rsidR="001945DC" w:rsidRPr="00A81B0A" w:rsidRDefault="001945DC" w:rsidP="000F3BDB">
            <w:pPr>
              <w:pStyle w:val="BodyText"/>
              <w:spacing w:before="20" w:after="20" w:line="240" w:lineRule="auto"/>
              <w:ind w:firstLine="0"/>
              <w:jc w:val="center"/>
              <w:rPr>
                <w:rFonts w:ascii="Times New Roman" w:hAnsi="Times New Roman"/>
                <w:szCs w:val="24"/>
              </w:rPr>
            </w:pPr>
            <w:r w:rsidRPr="00A81B0A">
              <w:rPr>
                <w:rFonts w:ascii="Times New Roman" w:hAnsi="Times New Roman"/>
                <w:szCs w:val="24"/>
              </w:rPr>
              <w:t>1 week to 24 weeks</w:t>
            </w:r>
            <w:r w:rsidR="00011A90">
              <w:rPr>
                <w:rFonts w:ascii="Times New Roman" w:hAnsi="Times New Roman"/>
                <w:szCs w:val="24"/>
              </w:rPr>
              <w:t xml:space="preserve"> after </w:t>
            </w:r>
            <w:r w:rsidR="00011A90" w:rsidRPr="00011A90">
              <w:rPr>
                <w:rFonts w:ascii="Times New Roman" w:hAnsi="Times New Roman"/>
                <w:szCs w:val="24"/>
              </w:rPr>
              <w:t>OMB approval</w:t>
            </w:r>
          </w:p>
        </w:tc>
      </w:tr>
      <w:tr w:rsidR="001945DC" w:rsidRPr="00A81B0A" w14:paraId="1F28A64A" w14:textId="3D360B58" w:rsidTr="001945DC">
        <w:trPr>
          <w:trHeight w:val="276"/>
        </w:trPr>
        <w:tc>
          <w:tcPr>
            <w:tcW w:w="6655" w:type="dxa"/>
            <w:hideMark/>
          </w:tcPr>
          <w:p w14:paraId="5601D3D6" w14:textId="0652E511" w:rsidR="001945DC" w:rsidRPr="00A81B0A" w:rsidRDefault="001945DC" w:rsidP="002E11A7">
            <w:pPr>
              <w:pStyle w:val="BodyText"/>
              <w:spacing w:before="20" w:after="20" w:line="240" w:lineRule="auto"/>
              <w:ind w:firstLine="0"/>
              <w:rPr>
                <w:rFonts w:ascii="Times New Roman" w:hAnsi="Times New Roman"/>
                <w:szCs w:val="24"/>
              </w:rPr>
            </w:pPr>
            <w:r w:rsidRPr="00A81B0A">
              <w:rPr>
                <w:rFonts w:ascii="Times New Roman" w:hAnsi="Times New Roman"/>
                <w:szCs w:val="24"/>
              </w:rPr>
              <w:t xml:space="preserve">Collect data for Distributor Interview  </w:t>
            </w:r>
          </w:p>
        </w:tc>
        <w:tc>
          <w:tcPr>
            <w:tcW w:w="2448" w:type="dxa"/>
          </w:tcPr>
          <w:p w14:paraId="5D5E16BE" w14:textId="50691CDE" w:rsidR="001945DC" w:rsidRPr="00A81B0A" w:rsidRDefault="001945DC" w:rsidP="000F3BDB">
            <w:pPr>
              <w:pStyle w:val="BodyText"/>
              <w:spacing w:before="20" w:after="20" w:line="240" w:lineRule="auto"/>
              <w:ind w:firstLine="0"/>
              <w:jc w:val="center"/>
              <w:rPr>
                <w:rFonts w:ascii="Times New Roman" w:hAnsi="Times New Roman"/>
                <w:szCs w:val="24"/>
              </w:rPr>
            </w:pPr>
            <w:r w:rsidRPr="00A81B0A">
              <w:rPr>
                <w:rFonts w:ascii="Times New Roman" w:hAnsi="Times New Roman"/>
                <w:szCs w:val="24"/>
              </w:rPr>
              <w:t>6 weeks to 24 weeks</w:t>
            </w:r>
            <w:r w:rsidR="00011A90">
              <w:rPr>
                <w:rFonts w:ascii="Times New Roman" w:hAnsi="Times New Roman"/>
                <w:szCs w:val="24"/>
              </w:rPr>
              <w:t xml:space="preserve"> after </w:t>
            </w:r>
            <w:r w:rsidR="00011A90" w:rsidRPr="00011A90">
              <w:rPr>
                <w:rFonts w:ascii="Times New Roman" w:hAnsi="Times New Roman"/>
                <w:szCs w:val="24"/>
              </w:rPr>
              <w:t>OMB approval</w:t>
            </w:r>
          </w:p>
        </w:tc>
      </w:tr>
      <w:tr w:rsidR="001945DC" w:rsidRPr="00A81B0A" w14:paraId="1A4FB56E" w14:textId="7D9B66D0" w:rsidTr="001945DC">
        <w:trPr>
          <w:trHeight w:val="276"/>
        </w:trPr>
        <w:tc>
          <w:tcPr>
            <w:tcW w:w="6655" w:type="dxa"/>
          </w:tcPr>
          <w:p w14:paraId="7D3F254B" w14:textId="5574CF88" w:rsidR="001945DC" w:rsidRPr="00A81B0A" w:rsidRDefault="001945DC" w:rsidP="002E11A7">
            <w:pPr>
              <w:pStyle w:val="BodyText"/>
              <w:spacing w:before="20" w:after="20" w:line="240" w:lineRule="auto"/>
              <w:ind w:firstLine="0"/>
              <w:rPr>
                <w:rFonts w:ascii="Times New Roman" w:hAnsi="Times New Roman"/>
                <w:szCs w:val="24"/>
              </w:rPr>
            </w:pPr>
            <w:r w:rsidRPr="00A81B0A">
              <w:rPr>
                <w:rFonts w:ascii="Times New Roman" w:hAnsi="Times New Roman"/>
                <w:szCs w:val="24"/>
              </w:rPr>
              <w:t>Code and process data</w:t>
            </w:r>
          </w:p>
        </w:tc>
        <w:tc>
          <w:tcPr>
            <w:tcW w:w="2448" w:type="dxa"/>
          </w:tcPr>
          <w:p w14:paraId="4DC43A10" w14:textId="52B78B35" w:rsidR="001945DC" w:rsidRPr="00A81B0A" w:rsidRDefault="00011A90" w:rsidP="00CD29E3">
            <w:pPr>
              <w:pStyle w:val="BodyText"/>
              <w:spacing w:before="20" w:after="20" w:line="240" w:lineRule="auto"/>
              <w:ind w:firstLine="0"/>
              <w:jc w:val="center"/>
              <w:rPr>
                <w:rFonts w:ascii="Times New Roman" w:hAnsi="Times New Roman"/>
                <w:szCs w:val="24"/>
              </w:rPr>
            </w:pPr>
            <w:r>
              <w:rPr>
                <w:rFonts w:ascii="Times New Roman" w:hAnsi="Times New Roman"/>
                <w:szCs w:val="24"/>
              </w:rPr>
              <w:t>March 2019 – October 2019</w:t>
            </w:r>
          </w:p>
        </w:tc>
      </w:tr>
      <w:tr w:rsidR="001945DC" w:rsidRPr="00DF34BA" w14:paraId="2C43FE93" w14:textId="77777777" w:rsidTr="001945DC">
        <w:trPr>
          <w:trHeight w:val="276"/>
        </w:trPr>
        <w:tc>
          <w:tcPr>
            <w:tcW w:w="6655" w:type="dxa"/>
          </w:tcPr>
          <w:p w14:paraId="59A401C8" w14:textId="3FB8AFAE" w:rsidR="001945DC" w:rsidRPr="00A81B0A" w:rsidRDefault="001945DC" w:rsidP="00BF64C1">
            <w:pPr>
              <w:pStyle w:val="BodyText"/>
              <w:spacing w:before="20" w:after="20" w:line="240" w:lineRule="auto"/>
              <w:ind w:firstLine="0"/>
              <w:rPr>
                <w:rFonts w:ascii="Times New Roman" w:hAnsi="Times New Roman"/>
                <w:szCs w:val="24"/>
              </w:rPr>
            </w:pPr>
            <w:r w:rsidRPr="00A81B0A">
              <w:rPr>
                <w:rFonts w:ascii="Times New Roman" w:hAnsi="Times New Roman"/>
                <w:szCs w:val="24"/>
              </w:rPr>
              <w:t xml:space="preserve">Analyze </w:t>
            </w:r>
            <w:r w:rsidR="00BF64C1" w:rsidRPr="00A81B0A">
              <w:rPr>
                <w:rFonts w:ascii="Times New Roman" w:hAnsi="Times New Roman"/>
                <w:szCs w:val="24"/>
              </w:rPr>
              <w:t>d</w:t>
            </w:r>
            <w:r w:rsidRPr="00A81B0A">
              <w:rPr>
                <w:rFonts w:ascii="Times New Roman" w:hAnsi="Times New Roman"/>
                <w:szCs w:val="24"/>
              </w:rPr>
              <w:t>ata and prepare Final Report and Briefing</w:t>
            </w:r>
          </w:p>
        </w:tc>
        <w:tc>
          <w:tcPr>
            <w:tcW w:w="2448" w:type="dxa"/>
          </w:tcPr>
          <w:p w14:paraId="0E77FD7B" w14:textId="666449A4" w:rsidR="001945DC" w:rsidRPr="00A81B0A" w:rsidRDefault="00011A90" w:rsidP="00011A90">
            <w:pPr>
              <w:pStyle w:val="BodyText"/>
              <w:spacing w:before="20" w:after="20" w:line="240" w:lineRule="auto"/>
              <w:ind w:firstLine="0"/>
              <w:jc w:val="center"/>
              <w:rPr>
                <w:rFonts w:ascii="Times New Roman" w:hAnsi="Times New Roman"/>
                <w:szCs w:val="24"/>
              </w:rPr>
            </w:pPr>
            <w:r>
              <w:rPr>
                <w:rFonts w:ascii="Times New Roman" w:hAnsi="Times New Roman"/>
                <w:szCs w:val="24"/>
              </w:rPr>
              <w:t>November 2019 – June 2020</w:t>
            </w:r>
          </w:p>
        </w:tc>
      </w:tr>
    </w:tbl>
    <w:p w14:paraId="1E24C060" w14:textId="527299FF" w:rsidR="00AB7ADE" w:rsidRPr="00A81B0A" w:rsidRDefault="009D02D7" w:rsidP="00A81B0A">
      <w:pPr>
        <w:pStyle w:val="BodyText"/>
        <w:spacing w:before="240"/>
        <w:rPr>
          <w:szCs w:val="24"/>
        </w:rPr>
      </w:pPr>
      <w:r w:rsidRPr="00A81B0A">
        <w:rPr>
          <w:b/>
          <w:i/>
          <w:szCs w:val="24"/>
        </w:rPr>
        <w:t>Publication</w:t>
      </w:r>
      <w:r w:rsidR="00DF34BA">
        <w:rPr>
          <w:b/>
          <w:szCs w:val="24"/>
        </w:rPr>
        <w:t>:</w:t>
      </w:r>
      <w:r w:rsidRPr="00A81B0A">
        <w:rPr>
          <w:b/>
          <w:szCs w:val="24"/>
        </w:rPr>
        <w:t xml:space="preserve"> </w:t>
      </w:r>
      <w:r w:rsidRPr="00A81B0A">
        <w:rPr>
          <w:szCs w:val="24"/>
        </w:rPr>
        <w:t xml:space="preserve">The Contractor will formally present study findings to FNS at an internal briefing. Following this briefing, the Contractor will submit a Final Report to FNS, and this Report will </w:t>
      </w:r>
      <w:r w:rsidR="003C2162" w:rsidRPr="00A81B0A">
        <w:rPr>
          <w:szCs w:val="24"/>
        </w:rPr>
        <w:t>then be prepared for publication and</w:t>
      </w:r>
      <w:r w:rsidRPr="00A81B0A">
        <w:rPr>
          <w:szCs w:val="24"/>
        </w:rPr>
        <w:t xml:space="preserve"> public dissemination. </w:t>
      </w:r>
      <w:r w:rsidR="003C2162" w:rsidRPr="00A81B0A">
        <w:rPr>
          <w:szCs w:val="24"/>
        </w:rPr>
        <w:t xml:space="preserve">It will be found on the agency website: </w:t>
      </w:r>
      <w:hyperlink r:id="rId23" w:history="1">
        <w:r w:rsidR="003C2162" w:rsidRPr="00A81B0A">
          <w:rPr>
            <w:rStyle w:val="Hyperlink"/>
            <w:szCs w:val="24"/>
          </w:rPr>
          <w:t>https://www.fns.usda.gov/ops/research-and-analysis</w:t>
        </w:r>
      </w:hyperlink>
      <w:r w:rsidR="003C2162" w:rsidRPr="00A81B0A">
        <w:rPr>
          <w:szCs w:val="24"/>
        </w:rPr>
        <w:t xml:space="preserve"> </w:t>
      </w:r>
    </w:p>
    <w:p w14:paraId="1987DB16" w14:textId="07BF4E32" w:rsidR="004A0F2B" w:rsidRPr="00A81B0A" w:rsidRDefault="004A0F2B" w:rsidP="00A81B0A">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outlineLvl w:val="0"/>
        <w:rPr>
          <w:rFonts w:ascii="Arial" w:hAnsi="Arial"/>
          <w:b/>
          <w:sz w:val="24"/>
          <w:szCs w:val="24"/>
        </w:rPr>
      </w:pPr>
      <w:bookmarkStart w:id="38" w:name="_Toc506534097"/>
      <w:bookmarkStart w:id="39" w:name="_Toc506534149"/>
      <w:r w:rsidRPr="00A81B0A">
        <w:rPr>
          <w:rFonts w:ascii="Arial" w:hAnsi="Arial"/>
          <w:b/>
          <w:sz w:val="24"/>
          <w:szCs w:val="24"/>
        </w:rPr>
        <w:t>If seeking approval to not display the expiration date for OMB approval of the information collection, explain the reasons that display would be inappropriate.</w:t>
      </w:r>
      <w:bookmarkEnd w:id="38"/>
      <w:bookmarkEnd w:id="39"/>
    </w:p>
    <w:p w14:paraId="0BEC9BF5" w14:textId="5EFE70E0" w:rsidR="004A0F2B" w:rsidRPr="00A81B0A" w:rsidRDefault="0002563B" w:rsidP="00B53963">
      <w:pPr>
        <w:pStyle w:val="BodyText"/>
        <w:rPr>
          <w:szCs w:val="24"/>
        </w:rPr>
      </w:pPr>
      <w:r>
        <w:rPr>
          <w:szCs w:val="24"/>
        </w:rPr>
        <w:t>FNS</w:t>
      </w:r>
      <w:r w:rsidR="004A0F2B" w:rsidRPr="00A81B0A">
        <w:rPr>
          <w:szCs w:val="24"/>
        </w:rPr>
        <w:t xml:space="preserve"> will display the expiration date for OMB approval of the information collection on all instruments</w:t>
      </w:r>
      <w:r w:rsidR="00601017" w:rsidRPr="00A81B0A">
        <w:rPr>
          <w:szCs w:val="24"/>
        </w:rPr>
        <w:t xml:space="preserve"> and recruitment materials</w:t>
      </w:r>
      <w:r w:rsidR="004A0F2B" w:rsidRPr="00A81B0A">
        <w:rPr>
          <w:szCs w:val="24"/>
        </w:rPr>
        <w:t>, togethe</w:t>
      </w:r>
      <w:r w:rsidR="00987C5A" w:rsidRPr="00A81B0A">
        <w:rPr>
          <w:szCs w:val="24"/>
        </w:rPr>
        <w:t>r with the OMB approval number.</w:t>
      </w:r>
    </w:p>
    <w:p w14:paraId="0F27CBFE" w14:textId="5A6BF50C" w:rsidR="004A0F2B" w:rsidRPr="00A81B0A" w:rsidRDefault="004A0F2B" w:rsidP="00A81B0A">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hanging="720"/>
        <w:outlineLvl w:val="0"/>
        <w:rPr>
          <w:rFonts w:ascii="Arial" w:hAnsi="Arial"/>
          <w:b/>
          <w:sz w:val="24"/>
          <w:szCs w:val="24"/>
        </w:rPr>
      </w:pPr>
      <w:bookmarkStart w:id="40" w:name="_Toc506534098"/>
      <w:bookmarkStart w:id="41" w:name="_Toc506534150"/>
      <w:r w:rsidRPr="00A81B0A">
        <w:rPr>
          <w:rFonts w:ascii="Arial" w:hAnsi="Arial"/>
          <w:b/>
          <w:sz w:val="24"/>
          <w:szCs w:val="24"/>
        </w:rPr>
        <w:t>Explain each exception to the certification statement identified in Item 19, “Certification for Paperwork Reduction Act Submissions” of OMB Form 83-I.</w:t>
      </w:r>
      <w:bookmarkEnd w:id="40"/>
      <w:bookmarkEnd w:id="41"/>
    </w:p>
    <w:p w14:paraId="5F6BDB44" w14:textId="3FB86793" w:rsidR="002D6045" w:rsidRPr="00A81B0A" w:rsidRDefault="004A0F2B" w:rsidP="007215F3">
      <w:pPr>
        <w:pStyle w:val="BodyText"/>
        <w:rPr>
          <w:szCs w:val="24"/>
        </w:rPr>
      </w:pPr>
      <w:r w:rsidRPr="00A81B0A">
        <w:rPr>
          <w:szCs w:val="24"/>
        </w:rPr>
        <w:t>There are no exceptions to the certification</w:t>
      </w:r>
      <w:r w:rsidR="007215F3" w:rsidRPr="00A81B0A">
        <w:rPr>
          <w:szCs w:val="24"/>
        </w:rPr>
        <w:t>.</w:t>
      </w:r>
      <w:r w:rsidR="00601017" w:rsidRPr="00A81B0A">
        <w:rPr>
          <w:szCs w:val="24"/>
        </w:rPr>
        <w:t xml:space="preserve"> The agency is able to certify compliance with all provisions under Item 19 of OMB Form 83-I.</w:t>
      </w:r>
    </w:p>
    <w:sectPr w:rsidR="002D6045" w:rsidRPr="00A81B0A" w:rsidSect="00453FE3">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47BC4" w14:textId="77777777" w:rsidR="00C46716" w:rsidRDefault="00C46716" w:rsidP="00D979EA">
      <w:r>
        <w:separator/>
      </w:r>
    </w:p>
  </w:endnote>
  <w:endnote w:type="continuationSeparator" w:id="0">
    <w:p w14:paraId="3B5A8BC5" w14:textId="77777777" w:rsidR="00C46716" w:rsidRDefault="00C46716" w:rsidP="00D979EA">
      <w:r>
        <w:continuationSeparator/>
      </w:r>
    </w:p>
  </w:endnote>
  <w:endnote w:type="continuationNotice" w:id="1">
    <w:p w14:paraId="692086AB" w14:textId="77777777" w:rsidR="00C46716" w:rsidRDefault="00C467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Optim">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F4B8C" w14:textId="77777777" w:rsidR="008464AB" w:rsidRDefault="008464AB" w:rsidP="007B2741">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b w:val="0"/>
        <w:sz w:val="22"/>
        <w:szCs w:val="22"/>
      </w:rPr>
      <w:id w:val="-1483617487"/>
      <w:docPartObj>
        <w:docPartGallery w:val="Page Numbers (Bottom of Page)"/>
        <w:docPartUnique/>
      </w:docPartObj>
    </w:sdtPr>
    <w:sdtEndPr>
      <w:rPr>
        <w:noProof/>
      </w:rPr>
    </w:sdtEndPr>
    <w:sdtContent>
      <w:p w14:paraId="71231C29" w14:textId="19342C85" w:rsidR="008464AB" w:rsidRPr="007B2741" w:rsidRDefault="008464AB" w:rsidP="007B2741">
        <w:pPr>
          <w:pStyle w:val="Footer"/>
          <w:pBdr>
            <w:top w:val="none" w:sz="0" w:space="0" w:color="auto"/>
          </w:pBdr>
          <w:jc w:val="center"/>
          <w:rPr>
            <w:rFonts w:ascii="Times New Roman" w:hAnsi="Times New Roman"/>
            <w:b w:val="0"/>
            <w:sz w:val="22"/>
            <w:szCs w:val="22"/>
          </w:rPr>
        </w:pPr>
        <w:r w:rsidRPr="007B2741">
          <w:rPr>
            <w:rFonts w:ascii="Times New Roman" w:hAnsi="Times New Roman"/>
            <w:b w:val="0"/>
            <w:sz w:val="22"/>
            <w:szCs w:val="22"/>
          </w:rPr>
          <w:fldChar w:fldCharType="begin"/>
        </w:r>
        <w:r w:rsidRPr="007B2741">
          <w:rPr>
            <w:rFonts w:ascii="Times New Roman" w:hAnsi="Times New Roman"/>
            <w:b w:val="0"/>
            <w:sz w:val="22"/>
            <w:szCs w:val="22"/>
          </w:rPr>
          <w:instrText xml:space="preserve"> PAGE   \* MERGEFORMAT </w:instrText>
        </w:r>
        <w:r w:rsidRPr="007B2741">
          <w:rPr>
            <w:rFonts w:ascii="Times New Roman" w:hAnsi="Times New Roman"/>
            <w:b w:val="0"/>
            <w:sz w:val="22"/>
            <w:szCs w:val="22"/>
          </w:rPr>
          <w:fldChar w:fldCharType="separate"/>
        </w:r>
        <w:r w:rsidR="00745E27">
          <w:rPr>
            <w:rFonts w:ascii="Times New Roman" w:hAnsi="Times New Roman"/>
            <w:b w:val="0"/>
            <w:noProof/>
            <w:sz w:val="22"/>
            <w:szCs w:val="22"/>
          </w:rPr>
          <w:t>1</w:t>
        </w:r>
        <w:r w:rsidRPr="007B2741">
          <w:rPr>
            <w:rFonts w:ascii="Times New Roman" w:hAnsi="Times New Roman"/>
            <w:b w:val="0"/>
            <w:noProof/>
            <w:sz w:val="22"/>
            <w:szCs w:val="22"/>
          </w:rPr>
          <w:fldChar w:fldCharType="end"/>
        </w:r>
      </w:p>
    </w:sdtContent>
  </w:sdt>
  <w:p w14:paraId="206E6BC8" w14:textId="77777777" w:rsidR="008464AB" w:rsidRDefault="008464AB" w:rsidP="007B2741">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DAA4D" w14:textId="3E027089" w:rsidR="008464AB" w:rsidRDefault="008464AB">
    <w:pPr>
      <w:pStyle w:val="Footer"/>
      <w:jc w:val="center"/>
    </w:pPr>
    <w:r>
      <w:fldChar w:fldCharType="begin"/>
    </w:r>
    <w:r>
      <w:instrText xml:space="preserve"> PAGE   \* MERGEFORMAT </w:instrText>
    </w:r>
    <w:r>
      <w:fldChar w:fldCharType="separate"/>
    </w:r>
    <w:r w:rsidR="00DC2849">
      <w:rPr>
        <w:noProof/>
      </w:rPr>
      <w:t>4</w:t>
    </w:r>
    <w:r>
      <w:rPr>
        <w:noProof/>
      </w:rPr>
      <w:fldChar w:fldCharType="end"/>
    </w:r>
  </w:p>
  <w:p w14:paraId="1D1B254A" w14:textId="77777777" w:rsidR="008464AB" w:rsidRDefault="008464A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b w:val="0"/>
        <w:sz w:val="22"/>
        <w:szCs w:val="22"/>
      </w:rPr>
      <w:id w:val="-1205244234"/>
      <w:docPartObj>
        <w:docPartGallery w:val="Page Numbers (Bottom of Page)"/>
        <w:docPartUnique/>
      </w:docPartObj>
    </w:sdtPr>
    <w:sdtEndPr>
      <w:rPr>
        <w:noProof/>
      </w:rPr>
    </w:sdtEndPr>
    <w:sdtContent>
      <w:p w14:paraId="4979A667" w14:textId="7F080C3B" w:rsidR="008464AB" w:rsidRPr="007B2741" w:rsidRDefault="008464AB" w:rsidP="007B2741">
        <w:pPr>
          <w:pStyle w:val="Footer"/>
          <w:pBdr>
            <w:top w:val="none" w:sz="0" w:space="0" w:color="auto"/>
          </w:pBdr>
          <w:jc w:val="center"/>
          <w:rPr>
            <w:rFonts w:ascii="Times New Roman" w:hAnsi="Times New Roman"/>
            <w:b w:val="0"/>
            <w:sz w:val="22"/>
            <w:szCs w:val="22"/>
          </w:rPr>
        </w:pPr>
        <w:r w:rsidRPr="007B2741">
          <w:rPr>
            <w:rFonts w:ascii="Times New Roman" w:hAnsi="Times New Roman"/>
            <w:b w:val="0"/>
            <w:sz w:val="22"/>
            <w:szCs w:val="22"/>
          </w:rPr>
          <w:fldChar w:fldCharType="begin"/>
        </w:r>
        <w:r w:rsidRPr="007B2741">
          <w:rPr>
            <w:rFonts w:ascii="Times New Roman" w:hAnsi="Times New Roman"/>
            <w:b w:val="0"/>
            <w:sz w:val="22"/>
            <w:szCs w:val="22"/>
          </w:rPr>
          <w:instrText xml:space="preserve"> PAGE   \* MERGEFORMAT </w:instrText>
        </w:r>
        <w:r w:rsidRPr="007B2741">
          <w:rPr>
            <w:rFonts w:ascii="Times New Roman" w:hAnsi="Times New Roman"/>
            <w:b w:val="0"/>
            <w:sz w:val="22"/>
            <w:szCs w:val="22"/>
          </w:rPr>
          <w:fldChar w:fldCharType="separate"/>
        </w:r>
        <w:r w:rsidR="00DC2849">
          <w:rPr>
            <w:rFonts w:ascii="Times New Roman" w:hAnsi="Times New Roman"/>
            <w:b w:val="0"/>
            <w:noProof/>
            <w:sz w:val="22"/>
            <w:szCs w:val="22"/>
          </w:rPr>
          <w:t>21</w:t>
        </w:r>
        <w:r w:rsidRPr="007B2741">
          <w:rPr>
            <w:rFonts w:ascii="Times New Roman" w:hAnsi="Times New Roman"/>
            <w:b w:val="0"/>
            <w:noProof/>
            <w:sz w:val="22"/>
            <w:szCs w:val="22"/>
          </w:rPr>
          <w:fldChar w:fldCharType="end"/>
        </w:r>
      </w:p>
    </w:sdtContent>
  </w:sdt>
  <w:p w14:paraId="5AF1892B" w14:textId="77777777" w:rsidR="008464AB" w:rsidRDefault="008464AB" w:rsidP="007B2741">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9E163" w14:textId="77777777" w:rsidR="00C46716" w:rsidRDefault="00C46716" w:rsidP="00D979EA">
      <w:r>
        <w:separator/>
      </w:r>
    </w:p>
  </w:footnote>
  <w:footnote w:type="continuationSeparator" w:id="0">
    <w:p w14:paraId="0702BCC0" w14:textId="77777777" w:rsidR="00C46716" w:rsidRDefault="00C46716" w:rsidP="00D979EA">
      <w:r>
        <w:continuationSeparator/>
      </w:r>
    </w:p>
  </w:footnote>
  <w:footnote w:type="continuationNotice" w:id="1">
    <w:p w14:paraId="6B616FFD" w14:textId="77777777" w:rsidR="00C46716" w:rsidRDefault="00C46716">
      <w:pPr>
        <w:spacing w:after="0" w:line="240" w:lineRule="auto"/>
      </w:pPr>
    </w:p>
  </w:footnote>
  <w:footnote w:id="2">
    <w:p w14:paraId="1A512E0A" w14:textId="7122C5BF" w:rsidR="008464AB" w:rsidRDefault="008464AB" w:rsidP="0050221A">
      <w:pPr>
        <w:pStyle w:val="FootnoteText"/>
      </w:pPr>
      <w:r>
        <w:rPr>
          <w:rStyle w:val="FootnoteReference"/>
        </w:rPr>
        <w:footnoteRef/>
      </w:r>
      <w:r>
        <w:t xml:space="preserve"> 42 U.S.C. 1769</w:t>
      </w:r>
    </w:p>
  </w:footnote>
  <w:footnote w:id="3">
    <w:p w14:paraId="4BAC670C" w14:textId="12895AEB" w:rsidR="008464AB" w:rsidRDefault="008464AB">
      <w:pPr>
        <w:pStyle w:val="FootnoteText"/>
      </w:pPr>
      <w:r>
        <w:rPr>
          <w:rStyle w:val="FootnoteReference"/>
        </w:rPr>
        <w:footnoteRef/>
      </w:r>
      <w:r>
        <w:t xml:space="preserve"> </w:t>
      </w:r>
      <w:r w:rsidRPr="00B532C8">
        <w:t>https://www.fns.usda.gov/ops/research-and-analysis</w:t>
      </w:r>
    </w:p>
  </w:footnote>
  <w:footnote w:id="4">
    <w:p w14:paraId="133D4CD9" w14:textId="3F7351FF" w:rsidR="008464AB" w:rsidRDefault="008464AB">
      <w:pPr>
        <w:pStyle w:val="FootnoteText"/>
      </w:pPr>
      <w:r>
        <w:rPr>
          <w:rStyle w:val="FootnoteReference"/>
        </w:rPr>
        <w:footnoteRef/>
      </w:r>
      <w:r>
        <w:t xml:space="preserve"> Of the five objectives for the entire research</w:t>
      </w:r>
      <w:r w:rsidR="004F3848">
        <w:t xml:space="preserve"> project</w:t>
      </w:r>
      <w:r>
        <w:t xml:space="preserve">, which includes a review of the Farm to School Grant program data (mentioned in Section 1), three are relevant to this information collection. The other objectives do not involve data collection. </w:t>
      </w:r>
    </w:p>
  </w:footnote>
  <w:footnote w:id="5">
    <w:p w14:paraId="05A25BB3" w14:textId="2273A553" w:rsidR="008464AB" w:rsidRDefault="008464AB" w:rsidP="00120D5E">
      <w:pPr>
        <w:pStyle w:val="FootnoteText"/>
        <w:ind w:left="180" w:hanging="180"/>
      </w:pPr>
      <w:r>
        <w:rPr>
          <w:rStyle w:val="FootnoteReference"/>
        </w:rPr>
        <w:footnoteRef/>
      </w:r>
      <w:r>
        <w:t xml:space="preserve"> For more information about publicly available data from previous versions of the Census, see: </w:t>
      </w:r>
      <w:r w:rsidRPr="000A1F3F">
        <w:t>https://farmtoschoolcensus.fns.usda.gov/data-explorer</w:t>
      </w:r>
    </w:p>
  </w:footnote>
  <w:footnote w:id="6">
    <w:p w14:paraId="2096A0E2" w14:textId="77777777" w:rsidR="008464AB" w:rsidRDefault="008464AB" w:rsidP="003E6D7C">
      <w:pPr>
        <w:pStyle w:val="FootnoteText"/>
      </w:pPr>
      <w:r>
        <w:rPr>
          <w:rStyle w:val="FootnoteReference"/>
        </w:rPr>
        <w:footnoteRef/>
      </w:r>
      <w:r>
        <w:t xml:space="preserve"> For more information about publicly available data from previous versions of the Census, see: </w:t>
      </w:r>
      <w:r w:rsidRPr="000A1F3F">
        <w:t>https://farmtoschoolcensus.fns.usda.gov/data-explorer</w:t>
      </w:r>
    </w:p>
  </w:footnote>
  <w:footnote w:id="7">
    <w:p w14:paraId="5A90E397" w14:textId="1D3A6467" w:rsidR="008464AB" w:rsidRPr="00EF5123" w:rsidRDefault="008464AB" w:rsidP="00EF5123">
      <w:pPr>
        <w:pStyle w:val="FootnoteText"/>
        <w:rPr>
          <w:sz w:val="18"/>
          <w:szCs w:val="18"/>
        </w:rPr>
      </w:pPr>
      <w:r w:rsidRPr="00EF5123">
        <w:rPr>
          <w:rStyle w:val="FootnoteReference"/>
          <w:sz w:val="18"/>
          <w:szCs w:val="18"/>
        </w:rPr>
        <w:footnoteRef/>
      </w:r>
      <w:r w:rsidRPr="00EF5123">
        <w:rPr>
          <w:sz w:val="18"/>
          <w:szCs w:val="18"/>
        </w:rPr>
        <w:t xml:space="preserve"> Office of Personnel Management, General Schedule, accessed February 2, 2018, at</w:t>
      </w:r>
      <w:hyperlink r:id="rId1" w:history="1">
        <w:r w:rsidRPr="00347222">
          <w:rPr>
            <w:rStyle w:val="Hyperlink"/>
            <w:sz w:val="18"/>
            <w:szCs w:val="18"/>
          </w:rPr>
          <w:t>:%20https:/www.opm.gov/policy-data-oversight/pay-leave/salaries-wages/salary-tables/pdf/2018/DCB_h.pdf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D675B" w14:textId="77777777" w:rsidR="008464AB" w:rsidRPr="004A0F2B" w:rsidRDefault="008464AB" w:rsidP="007B2741">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F2CE1" w14:textId="77777777" w:rsidR="008464AB" w:rsidRDefault="00846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217D5" w14:textId="77777777" w:rsidR="008464AB" w:rsidRPr="004A0F2B" w:rsidRDefault="008464AB" w:rsidP="007B2741">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10D08222"/>
    <w:lvl w:ilvl="0">
      <w:start w:val="1"/>
      <w:numFmt w:val="bullet"/>
      <w:pStyle w:val="indent"/>
      <w:lvlText w:val=""/>
      <w:lvlJc w:val="left"/>
      <w:pPr>
        <w:tabs>
          <w:tab w:val="num" w:pos="360"/>
        </w:tabs>
        <w:ind w:left="360" w:hanging="360"/>
      </w:pPr>
      <w:rPr>
        <w:rFonts w:ascii="Times New Roman" w:hAnsi="Times New Roman" w:hint="default"/>
        <w:sz w:val="24"/>
      </w:rPr>
    </w:lvl>
  </w:abstractNum>
  <w:abstractNum w:abstractNumId="1">
    <w:nsid w:val="001C6BD7"/>
    <w:multiLevelType w:val="hybridMultilevel"/>
    <w:tmpl w:val="4C4A04CE"/>
    <w:lvl w:ilvl="0" w:tplc="377048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B80C33"/>
    <w:multiLevelType w:val="hybridMultilevel"/>
    <w:tmpl w:val="AC36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E7C8E"/>
    <w:multiLevelType w:val="hybridMultilevel"/>
    <w:tmpl w:val="87F2C01A"/>
    <w:lvl w:ilvl="0" w:tplc="5F3279A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EF6A93"/>
    <w:multiLevelType w:val="hybridMultilevel"/>
    <w:tmpl w:val="C00C2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8026E6"/>
    <w:multiLevelType w:val="hybridMultilevel"/>
    <w:tmpl w:val="0380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821FA9"/>
    <w:multiLevelType w:val="hybridMultilevel"/>
    <w:tmpl w:val="78F4CBB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AEA0052"/>
    <w:multiLevelType w:val="hybridMultilevel"/>
    <w:tmpl w:val="0114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D1066C"/>
    <w:multiLevelType w:val="hybridMultilevel"/>
    <w:tmpl w:val="F79E0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0B1DB1"/>
    <w:multiLevelType w:val="hybridMultilevel"/>
    <w:tmpl w:val="031CB2AE"/>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2">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nsid w:val="41BD2990"/>
    <w:multiLevelType w:val="hybridMultilevel"/>
    <w:tmpl w:val="33DAB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654416"/>
    <w:multiLevelType w:val="hybridMultilevel"/>
    <w:tmpl w:val="FC8E5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FC1A0B"/>
    <w:multiLevelType w:val="hybridMultilevel"/>
    <w:tmpl w:val="D8AAAC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169754D"/>
    <w:multiLevelType w:val="hybridMultilevel"/>
    <w:tmpl w:val="C58E7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3B47611"/>
    <w:multiLevelType w:val="hybridMultilevel"/>
    <w:tmpl w:val="9134E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6E3592"/>
    <w:multiLevelType w:val="hybridMultilevel"/>
    <w:tmpl w:val="B742E118"/>
    <w:lvl w:ilvl="0" w:tplc="04090005">
      <w:start w:val="1"/>
      <w:numFmt w:val="bullet"/>
      <w:lvlText w:val=""/>
      <w:lvlJc w:val="left"/>
      <w:pPr>
        <w:ind w:left="840" w:hanging="360"/>
      </w:pPr>
      <w:rPr>
        <w:rFonts w:ascii="Wingdings" w:hAnsi="Wingdings"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nsid w:val="54F62BB9"/>
    <w:multiLevelType w:val="hybridMultilevel"/>
    <w:tmpl w:val="193A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8C6DF5"/>
    <w:multiLevelType w:val="hybridMultilevel"/>
    <w:tmpl w:val="49B88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162BD5"/>
    <w:multiLevelType w:val="hybridMultilevel"/>
    <w:tmpl w:val="E6F27F8E"/>
    <w:lvl w:ilvl="0" w:tplc="66986A14">
      <w:start w:val="1"/>
      <w:numFmt w:val="decimal"/>
      <w:lvlText w:val="%1."/>
      <w:lvlJc w:val="left"/>
      <w:pPr>
        <w:ind w:left="360" w:hanging="36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FF5430"/>
    <w:multiLevelType w:val="hybridMultilevel"/>
    <w:tmpl w:val="1F86DF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09324C2"/>
    <w:multiLevelType w:val="hybridMultilevel"/>
    <w:tmpl w:val="BEAE9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7D81518"/>
    <w:multiLevelType w:val="hybridMultilevel"/>
    <w:tmpl w:val="414EA26C"/>
    <w:lvl w:ilvl="0" w:tplc="CB3AF51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8BF391E"/>
    <w:multiLevelType w:val="hybridMultilevel"/>
    <w:tmpl w:val="5036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EC64B8"/>
    <w:multiLevelType w:val="hybridMultilevel"/>
    <w:tmpl w:val="7D0C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BE36E6"/>
    <w:multiLevelType w:val="hybridMultilevel"/>
    <w:tmpl w:val="C8805442"/>
    <w:lvl w:ilvl="0" w:tplc="98F20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F029F7"/>
    <w:multiLevelType w:val="hybridMultilevel"/>
    <w:tmpl w:val="CDA256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802956"/>
    <w:multiLevelType w:val="hybridMultilevel"/>
    <w:tmpl w:val="EAB4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8123F8"/>
    <w:multiLevelType w:val="hybridMultilevel"/>
    <w:tmpl w:val="C09A80F0"/>
    <w:lvl w:ilvl="0" w:tplc="2244E85C">
      <w:start w:val="1"/>
      <w:numFmt w:val="decimal"/>
      <w:lvlText w:val="(%1)"/>
      <w:lvlJc w:val="left"/>
      <w:pPr>
        <w:ind w:left="360" w:hanging="360"/>
      </w:pPr>
      <w:rPr>
        <w:rFonts w:hint="default"/>
        <w:sz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3">
    <w:nsid w:val="747159F0"/>
    <w:multiLevelType w:val="hybridMultilevel"/>
    <w:tmpl w:val="3DD4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D63DA6"/>
    <w:multiLevelType w:val="singleLevel"/>
    <w:tmpl w:val="F4D88BB0"/>
    <w:lvl w:ilvl="0">
      <w:start w:val="1"/>
      <w:numFmt w:val="bullet"/>
      <w:pStyle w:val="Bullets"/>
      <w:lvlText w:val=""/>
      <w:lvlJc w:val="left"/>
      <w:pPr>
        <w:ind w:left="360" w:hanging="360"/>
      </w:pPr>
      <w:rPr>
        <w:rFonts w:ascii="Symbol" w:hAnsi="Symbol" w:hint="default"/>
        <w:color w:val="000000" w:themeColor="text1"/>
        <w:sz w:val="22"/>
      </w:rPr>
    </w:lvl>
  </w:abstractNum>
  <w:abstractNum w:abstractNumId="35">
    <w:nsid w:val="7C7B5C08"/>
    <w:multiLevelType w:val="hybridMultilevel"/>
    <w:tmpl w:val="C310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245C20"/>
    <w:multiLevelType w:val="hybridMultilevel"/>
    <w:tmpl w:val="F14A4F80"/>
    <w:lvl w:ilvl="0" w:tplc="F8FC850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2"/>
  </w:num>
  <w:num w:numId="3">
    <w:abstractNumId w:val="34"/>
  </w:num>
  <w:num w:numId="4">
    <w:abstractNumId w:val="13"/>
  </w:num>
  <w:num w:numId="5">
    <w:abstractNumId w:val="37"/>
  </w:num>
  <w:num w:numId="6">
    <w:abstractNumId w:val="22"/>
  </w:num>
  <w:num w:numId="7">
    <w:abstractNumId w:val="35"/>
  </w:num>
  <w:num w:numId="8">
    <w:abstractNumId w:val="33"/>
  </w:num>
  <w:num w:numId="9">
    <w:abstractNumId w:val="4"/>
  </w:num>
  <w:num w:numId="10">
    <w:abstractNumId w:val="9"/>
  </w:num>
  <w:num w:numId="11">
    <w:abstractNumId w:val="2"/>
  </w:num>
  <w:num w:numId="12">
    <w:abstractNumId w:val="8"/>
  </w:num>
  <w:num w:numId="13">
    <w:abstractNumId w:val="26"/>
  </w:num>
  <w:num w:numId="14">
    <w:abstractNumId w:val="0"/>
  </w:num>
  <w:num w:numId="15">
    <w:abstractNumId w:val="30"/>
  </w:num>
  <w:num w:numId="16">
    <w:abstractNumId w:val="21"/>
  </w:num>
  <w:num w:numId="17">
    <w:abstractNumId w:val="18"/>
  </w:num>
  <w:num w:numId="18">
    <w:abstractNumId w:val="25"/>
  </w:num>
  <w:num w:numId="19">
    <w:abstractNumId w:val="31"/>
  </w:num>
  <w:num w:numId="20">
    <w:abstractNumId w:val="28"/>
  </w:num>
  <w:num w:numId="21">
    <w:abstractNumId w:val="17"/>
  </w:num>
  <w:num w:numId="22">
    <w:abstractNumId w:val="15"/>
  </w:num>
  <w:num w:numId="23">
    <w:abstractNumId w:val="36"/>
  </w:num>
  <w:num w:numId="24">
    <w:abstractNumId w:val="10"/>
  </w:num>
  <w:num w:numId="25">
    <w:abstractNumId w:val="19"/>
  </w:num>
  <w:num w:numId="26">
    <w:abstractNumId w:val="11"/>
  </w:num>
  <w:num w:numId="27">
    <w:abstractNumId w:val="12"/>
  </w:num>
  <w:num w:numId="28">
    <w:abstractNumId w:val="29"/>
  </w:num>
  <w:num w:numId="29">
    <w:abstractNumId w:val="23"/>
  </w:num>
  <w:num w:numId="30">
    <w:abstractNumId w:val="14"/>
  </w:num>
  <w:num w:numId="31">
    <w:abstractNumId w:val="24"/>
  </w:num>
  <w:num w:numId="32">
    <w:abstractNumId w:val="20"/>
  </w:num>
  <w:num w:numId="33">
    <w:abstractNumId w:val="6"/>
  </w:num>
  <w:num w:numId="34">
    <w:abstractNumId w:val="3"/>
  </w:num>
  <w:num w:numId="35">
    <w:abstractNumId w:val="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6"/>
  </w:num>
  <w:num w:numId="39">
    <w:abstractNumId w:val="27"/>
  </w:num>
  <w:num w:numId="40">
    <w:abstractNumId w:val="34"/>
  </w:num>
  <w:num w:numId="41">
    <w:abstractNumId w:val="34"/>
  </w:num>
  <w:num w:numId="42">
    <w:abstractNumId w:val="34"/>
  </w:num>
  <w:num w:numId="43">
    <w:abstractNumId w:val="34"/>
  </w:num>
  <w:num w:numId="4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21D6"/>
    <w:rsid w:val="00003A2C"/>
    <w:rsid w:val="00006A8A"/>
    <w:rsid w:val="00006B3A"/>
    <w:rsid w:val="00007F67"/>
    <w:rsid w:val="00010A43"/>
    <w:rsid w:val="00011103"/>
    <w:rsid w:val="00011A90"/>
    <w:rsid w:val="000136F3"/>
    <w:rsid w:val="00013D54"/>
    <w:rsid w:val="0001609E"/>
    <w:rsid w:val="00016E17"/>
    <w:rsid w:val="0002216E"/>
    <w:rsid w:val="0002563B"/>
    <w:rsid w:val="000308AA"/>
    <w:rsid w:val="00035268"/>
    <w:rsid w:val="00040E00"/>
    <w:rsid w:val="0004227E"/>
    <w:rsid w:val="00046728"/>
    <w:rsid w:val="00050DB2"/>
    <w:rsid w:val="000519E2"/>
    <w:rsid w:val="000525E0"/>
    <w:rsid w:val="00053EEF"/>
    <w:rsid w:val="000543DC"/>
    <w:rsid w:val="00055022"/>
    <w:rsid w:val="0005750B"/>
    <w:rsid w:val="00057F5D"/>
    <w:rsid w:val="0006045E"/>
    <w:rsid w:val="0006076A"/>
    <w:rsid w:val="00062873"/>
    <w:rsid w:val="00065733"/>
    <w:rsid w:val="0006587B"/>
    <w:rsid w:val="00070322"/>
    <w:rsid w:val="00073248"/>
    <w:rsid w:val="00073FC3"/>
    <w:rsid w:val="00080DCD"/>
    <w:rsid w:val="00082D01"/>
    <w:rsid w:val="00087856"/>
    <w:rsid w:val="000902AA"/>
    <w:rsid w:val="0009115B"/>
    <w:rsid w:val="00091C6A"/>
    <w:rsid w:val="00093CCD"/>
    <w:rsid w:val="00095590"/>
    <w:rsid w:val="00095D40"/>
    <w:rsid w:val="000A00A2"/>
    <w:rsid w:val="000A0EC2"/>
    <w:rsid w:val="000A1C6D"/>
    <w:rsid w:val="000A1F3F"/>
    <w:rsid w:val="000A3435"/>
    <w:rsid w:val="000A5482"/>
    <w:rsid w:val="000A7CDE"/>
    <w:rsid w:val="000A7D69"/>
    <w:rsid w:val="000B0830"/>
    <w:rsid w:val="000B237F"/>
    <w:rsid w:val="000B33D1"/>
    <w:rsid w:val="000B36E3"/>
    <w:rsid w:val="000B6491"/>
    <w:rsid w:val="000B7F53"/>
    <w:rsid w:val="000C01FE"/>
    <w:rsid w:val="000C0A39"/>
    <w:rsid w:val="000C3040"/>
    <w:rsid w:val="000C4DFC"/>
    <w:rsid w:val="000C68C0"/>
    <w:rsid w:val="000D2680"/>
    <w:rsid w:val="000D53F1"/>
    <w:rsid w:val="000D5777"/>
    <w:rsid w:val="000D7751"/>
    <w:rsid w:val="000E3D81"/>
    <w:rsid w:val="000E6B75"/>
    <w:rsid w:val="000F3BDB"/>
    <w:rsid w:val="000F53F4"/>
    <w:rsid w:val="000F6A51"/>
    <w:rsid w:val="001034D7"/>
    <w:rsid w:val="00104F2A"/>
    <w:rsid w:val="00107777"/>
    <w:rsid w:val="00107A04"/>
    <w:rsid w:val="0011170B"/>
    <w:rsid w:val="001178CA"/>
    <w:rsid w:val="00120D5E"/>
    <w:rsid w:val="00125C20"/>
    <w:rsid w:val="001307A5"/>
    <w:rsid w:val="00133465"/>
    <w:rsid w:val="00134419"/>
    <w:rsid w:val="00135DEA"/>
    <w:rsid w:val="0013687B"/>
    <w:rsid w:val="0013743A"/>
    <w:rsid w:val="00137489"/>
    <w:rsid w:val="00141FE1"/>
    <w:rsid w:val="0014213B"/>
    <w:rsid w:val="0014384D"/>
    <w:rsid w:val="00151210"/>
    <w:rsid w:val="00152153"/>
    <w:rsid w:val="00157E04"/>
    <w:rsid w:val="00160657"/>
    <w:rsid w:val="00160B87"/>
    <w:rsid w:val="001677DC"/>
    <w:rsid w:val="00172119"/>
    <w:rsid w:val="00177023"/>
    <w:rsid w:val="001817D6"/>
    <w:rsid w:val="001824C0"/>
    <w:rsid w:val="0018462E"/>
    <w:rsid w:val="0018499B"/>
    <w:rsid w:val="00191CD7"/>
    <w:rsid w:val="001945DC"/>
    <w:rsid w:val="001A04CE"/>
    <w:rsid w:val="001A0E0A"/>
    <w:rsid w:val="001A23B5"/>
    <w:rsid w:val="001A3624"/>
    <w:rsid w:val="001A403F"/>
    <w:rsid w:val="001A4633"/>
    <w:rsid w:val="001A7518"/>
    <w:rsid w:val="001A7852"/>
    <w:rsid w:val="001B1B8C"/>
    <w:rsid w:val="001B4509"/>
    <w:rsid w:val="001B504D"/>
    <w:rsid w:val="001B7138"/>
    <w:rsid w:val="001C0891"/>
    <w:rsid w:val="001C10AF"/>
    <w:rsid w:val="001C1C09"/>
    <w:rsid w:val="001C1E9E"/>
    <w:rsid w:val="001C6C2D"/>
    <w:rsid w:val="001C7299"/>
    <w:rsid w:val="001D2A31"/>
    <w:rsid w:val="001D32B3"/>
    <w:rsid w:val="001D45A3"/>
    <w:rsid w:val="001D4741"/>
    <w:rsid w:val="001D4CB3"/>
    <w:rsid w:val="001D4FDD"/>
    <w:rsid w:val="001D5FE1"/>
    <w:rsid w:val="001D65C9"/>
    <w:rsid w:val="001E2CF1"/>
    <w:rsid w:val="001E2FC5"/>
    <w:rsid w:val="001E3961"/>
    <w:rsid w:val="001E3EFF"/>
    <w:rsid w:val="001F4547"/>
    <w:rsid w:val="00200B62"/>
    <w:rsid w:val="00200E58"/>
    <w:rsid w:val="00201848"/>
    <w:rsid w:val="00201AD4"/>
    <w:rsid w:val="0020245F"/>
    <w:rsid w:val="002048E5"/>
    <w:rsid w:val="00204E7B"/>
    <w:rsid w:val="002064D3"/>
    <w:rsid w:val="00207376"/>
    <w:rsid w:val="002106BF"/>
    <w:rsid w:val="002176B8"/>
    <w:rsid w:val="002216AD"/>
    <w:rsid w:val="00221D99"/>
    <w:rsid w:val="00223A9F"/>
    <w:rsid w:val="002261AE"/>
    <w:rsid w:val="0022674D"/>
    <w:rsid w:val="00227977"/>
    <w:rsid w:val="002317C8"/>
    <w:rsid w:val="002318F2"/>
    <w:rsid w:val="00232EEC"/>
    <w:rsid w:val="0023449A"/>
    <w:rsid w:val="0023528C"/>
    <w:rsid w:val="00235F88"/>
    <w:rsid w:val="00242D25"/>
    <w:rsid w:val="00247C6A"/>
    <w:rsid w:val="00252909"/>
    <w:rsid w:val="00255975"/>
    <w:rsid w:val="00260F67"/>
    <w:rsid w:val="002612F1"/>
    <w:rsid w:val="00266182"/>
    <w:rsid w:val="002702F7"/>
    <w:rsid w:val="00273EAA"/>
    <w:rsid w:val="002762F1"/>
    <w:rsid w:val="00276702"/>
    <w:rsid w:val="0028328D"/>
    <w:rsid w:val="002838F5"/>
    <w:rsid w:val="00285BB6"/>
    <w:rsid w:val="0029359E"/>
    <w:rsid w:val="002937B4"/>
    <w:rsid w:val="0029491C"/>
    <w:rsid w:val="00295B36"/>
    <w:rsid w:val="00297F0B"/>
    <w:rsid w:val="002A07C4"/>
    <w:rsid w:val="002A3EFC"/>
    <w:rsid w:val="002A4078"/>
    <w:rsid w:val="002A5CE0"/>
    <w:rsid w:val="002B05FE"/>
    <w:rsid w:val="002B2006"/>
    <w:rsid w:val="002B2F3C"/>
    <w:rsid w:val="002C0314"/>
    <w:rsid w:val="002C0F75"/>
    <w:rsid w:val="002C1BDB"/>
    <w:rsid w:val="002C32AB"/>
    <w:rsid w:val="002C41F9"/>
    <w:rsid w:val="002C4495"/>
    <w:rsid w:val="002C545A"/>
    <w:rsid w:val="002C5AC8"/>
    <w:rsid w:val="002C76AB"/>
    <w:rsid w:val="002D4536"/>
    <w:rsid w:val="002D5525"/>
    <w:rsid w:val="002D6042"/>
    <w:rsid w:val="002D6045"/>
    <w:rsid w:val="002D6472"/>
    <w:rsid w:val="002E11A7"/>
    <w:rsid w:val="002E1626"/>
    <w:rsid w:val="002E1DCA"/>
    <w:rsid w:val="002E2678"/>
    <w:rsid w:val="002E26E5"/>
    <w:rsid w:val="002E6CC3"/>
    <w:rsid w:val="002F3364"/>
    <w:rsid w:val="002F3E96"/>
    <w:rsid w:val="002F48C8"/>
    <w:rsid w:val="002F55CE"/>
    <w:rsid w:val="002F591D"/>
    <w:rsid w:val="002F5995"/>
    <w:rsid w:val="002F76F5"/>
    <w:rsid w:val="00300379"/>
    <w:rsid w:val="00300C2D"/>
    <w:rsid w:val="00310066"/>
    <w:rsid w:val="00310669"/>
    <w:rsid w:val="00313212"/>
    <w:rsid w:val="00314A8A"/>
    <w:rsid w:val="003206AD"/>
    <w:rsid w:val="00320922"/>
    <w:rsid w:val="00324EC2"/>
    <w:rsid w:val="00326BD9"/>
    <w:rsid w:val="00326DCC"/>
    <w:rsid w:val="003279F2"/>
    <w:rsid w:val="00332F89"/>
    <w:rsid w:val="00340A28"/>
    <w:rsid w:val="00342BA9"/>
    <w:rsid w:val="003455BC"/>
    <w:rsid w:val="00347222"/>
    <w:rsid w:val="0035288D"/>
    <w:rsid w:val="00352EAC"/>
    <w:rsid w:val="00352F3D"/>
    <w:rsid w:val="00354503"/>
    <w:rsid w:val="0035497F"/>
    <w:rsid w:val="003623F0"/>
    <w:rsid w:val="00366A44"/>
    <w:rsid w:val="00370164"/>
    <w:rsid w:val="003711CD"/>
    <w:rsid w:val="00371ED1"/>
    <w:rsid w:val="00374DCD"/>
    <w:rsid w:val="00380DB1"/>
    <w:rsid w:val="00383BFC"/>
    <w:rsid w:val="00384611"/>
    <w:rsid w:val="00384CA0"/>
    <w:rsid w:val="003870BA"/>
    <w:rsid w:val="00392D19"/>
    <w:rsid w:val="00394C36"/>
    <w:rsid w:val="0039596B"/>
    <w:rsid w:val="00395A89"/>
    <w:rsid w:val="00396A20"/>
    <w:rsid w:val="00396EC6"/>
    <w:rsid w:val="003A28D2"/>
    <w:rsid w:val="003A2FA8"/>
    <w:rsid w:val="003A3403"/>
    <w:rsid w:val="003A449F"/>
    <w:rsid w:val="003A5742"/>
    <w:rsid w:val="003B09A3"/>
    <w:rsid w:val="003B0EB1"/>
    <w:rsid w:val="003B2F9B"/>
    <w:rsid w:val="003B4770"/>
    <w:rsid w:val="003C20BF"/>
    <w:rsid w:val="003C2162"/>
    <w:rsid w:val="003C3DEE"/>
    <w:rsid w:val="003D3DB0"/>
    <w:rsid w:val="003D4DEB"/>
    <w:rsid w:val="003D5616"/>
    <w:rsid w:val="003E5F03"/>
    <w:rsid w:val="003E666B"/>
    <w:rsid w:val="003E6D7C"/>
    <w:rsid w:val="003F3E19"/>
    <w:rsid w:val="003F6450"/>
    <w:rsid w:val="004014D7"/>
    <w:rsid w:val="004036E3"/>
    <w:rsid w:val="00406CAA"/>
    <w:rsid w:val="00410DEF"/>
    <w:rsid w:val="0041412C"/>
    <w:rsid w:val="00420EEE"/>
    <w:rsid w:val="004216DD"/>
    <w:rsid w:val="00423092"/>
    <w:rsid w:val="004253E8"/>
    <w:rsid w:val="00427EA9"/>
    <w:rsid w:val="004319BC"/>
    <w:rsid w:val="00431A02"/>
    <w:rsid w:val="00431E77"/>
    <w:rsid w:val="0043254E"/>
    <w:rsid w:val="00432CDA"/>
    <w:rsid w:val="00433BD5"/>
    <w:rsid w:val="004350B0"/>
    <w:rsid w:val="00435888"/>
    <w:rsid w:val="00436CE2"/>
    <w:rsid w:val="00436CE5"/>
    <w:rsid w:val="00436D8D"/>
    <w:rsid w:val="00441BF9"/>
    <w:rsid w:val="004439C3"/>
    <w:rsid w:val="00444BE5"/>
    <w:rsid w:val="00444E3D"/>
    <w:rsid w:val="00450193"/>
    <w:rsid w:val="00453FE3"/>
    <w:rsid w:val="004635B7"/>
    <w:rsid w:val="00465966"/>
    <w:rsid w:val="00470AB4"/>
    <w:rsid w:val="00472E16"/>
    <w:rsid w:val="00472F48"/>
    <w:rsid w:val="004734DF"/>
    <w:rsid w:val="00476916"/>
    <w:rsid w:val="004775DA"/>
    <w:rsid w:val="00483C68"/>
    <w:rsid w:val="00486943"/>
    <w:rsid w:val="004930AE"/>
    <w:rsid w:val="00495B91"/>
    <w:rsid w:val="00495DDB"/>
    <w:rsid w:val="004973DF"/>
    <w:rsid w:val="004A0F2B"/>
    <w:rsid w:val="004A1EEF"/>
    <w:rsid w:val="004A2066"/>
    <w:rsid w:val="004A5408"/>
    <w:rsid w:val="004A7259"/>
    <w:rsid w:val="004A79D1"/>
    <w:rsid w:val="004B1CD1"/>
    <w:rsid w:val="004B4DBD"/>
    <w:rsid w:val="004B6EF0"/>
    <w:rsid w:val="004B7354"/>
    <w:rsid w:val="004B75B5"/>
    <w:rsid w:val="004C18DF"/>
    <w:rsid w:val="004C29E5"/>
    <w:rsid w:val="004C2B46"/>
    <w:rsid w:val="004C4498"/>
    <w:rsid w:val="004D1537"/>
    <w:rsid w:val="004D2511"/>
    <w:rsid w:val="004D34A4"/>
    <w:rsid w:val="004D4C6D"/>
    <w:rsid w:val="004E01A4"/>
    <w:rsid w:val="004E0643"/>
    <w:rsid w:val="004F1259"/>
    <w:rsid w:val="004F3848"/>
    <w:rsid w:val="004F5D83"/>
    <w:rsid w:val="004F6742"/>
    <w:rsid w:val="004F709B"/>
    <w:rsid w:val="00500678"/>
    <w:rsid w:val="0050221A"/>
    <w:rsid w:val="00503049"/>
    <w:rsid w:val="00517423"/>
    <w:rsid w:val="00522721"/>
    <w:rsid w:val="00524027"/>
    <w:rsid w:val="00526AB9"/>
    <w:rsid w:val="00534B03"/>
    <w:rsid w:val="00534C33"/>
    <w:rsid w:val="0053522C"/>
    <w:rsid w:val="00536DB4"/>
    <w:rsid w:val="0054025D"/>
    <w:rsid w:val="0055123E"/>
    <w:rsid w:val="005535AC"/>
    <w:rsid w:val="00567427"/>
    <w:rsid w:val="00571789"/>
    <w:rsid w:val="00574572"/>
    <w:rsid w:val="00581FEF"/>
    <w:rsid w:val="00585CA4"/>
    <w:rsid w:val="005906C0"/>
    <w:rsid w:val="00593B91"/>
    <w:rsid w:val="00593F1F"/>
    <w:rsid w:val="00597948"/>
    <w:rsid w:val="005B16E9"/>
    <w:rsid w:val="005B1AC5"/>
    <w:rsid w:val="005B6A25"/>
    <w:rsid w:val="005C24D6"/>
    <w:rsid w:val="005C406C"/>
    <w:rsid w:val="005C4647"/>
    <w:rsid w:val="005C76F0"/>
    <w:rsid w:val="005E0CF2"/>
    <w:rsid w:val="005E2AEA"/>
    <w:rsid w:val="005E4A67"/>
    <w:rsid w:val="005E6B70"/>
    <w:rsid w:val="005F45B3"/>
    <w:rsid w:val="0060010D"/>
    <w:rsid w:val="00601017"/>
    <w:rsid w:val="00601BCB"/>
    <w:rsid w:val="006029C1"/>
    <w:rsid w:val="00604E0B"/>
    <w:rsid w:val="006066AA"/>
    <w:rsid w:val="00610C46"/>
    <w:rsid w:val="006118C2"/>
    <w:rsid w:val="006122D8"/>
    <w:rsid w:val="0061247A"/>
    <w:rsid w:val="006133C1"/>
    <w:rsid w:val="00615038"/>
    <w:rsid w:val="00615938"/>
    <w:rsid w:val="00615CC6"/>
    <w:rsid w:val="00620D03"/>
    <w:rsid w:val="00625DE7"/>
    <w:rsid w:val="0063014E"/>
    <w:rsid w:val="00637648"/>
    <w:rsid w:val="006377B5"/>
    <w:rsid w:val="0064786F"/>
    <w:rsid w:val="00647E1C"/>
    <w:rsid w:val="0065112D"/>
    <w:rsid w:val="006542E0"/>
    <w:rsid w:val="0066134E"/>
    <w:rsid w:val="00661E1F"/>
    <w:rsid w:val="00670327"/>
    <w:rsid w:val="006709C6"/>
    <w:rsid w:val="0067200A"/>
    <w:rsid w:val="00675E7E"/>
    <w:rsid w:val="00676909"/>
    <w:rsid w:val="006814BB"/>
    <w:rsid w:val="006840EB"/>
    <w:rsid w:val="00685C29"/>
    <w:rsid w:val="00686D2C"/>
    <w:rsid w:val="00690734"/>
    <w:rsid w:val="00690B25"/>
    <w:rsid w:val="00690E28"/>
    <w:rsid w:val="006910CB"/>
    <w:rsid w:val="0069237B"/>
    <w:rsid w:val="0069342C"/>
    <w:rsid w:val="006956AA"/>
    <w:rsid w:val="00696AB4"/>
    <w:rsid w:val="006A02C3"/>
    <w:rsid w:val="006A541C"/>
    <w:rsid w:val="006A5B3B"/>
    <w:rsid w:val="006B050D"/>
    <w:rsid w:val="006B1DA6"/>
    <w:rsid w:val="006B3C28"/>
    <w:rsid w:val="006B455A"/>
    <w:rsid w:val="006C2FC9"/>
    <w:rsid w:val="006C5DB8"/>
    <w:rsid w:val="006C7A4C"/>
    <w:rsid w:val="006D1758"/>
    <w:rsid w:val="006D406B"/>
    <w:rsid w:val="006D5249"/>
    <w:rsid w:val="006D7855"/>
    <w:rsid w:val="006D7D59"/>
    <w:rsid w:val="006E0A45"/>
    <w:rsid w:val="006E2B32"/>
    <w:rsid w:val="006F04B2"/>
    <w:rsid w:val="006F2B34"/>
    <w:rsid w:val="006F44FF"/>
    <w:rsid w:val="006F518D"/>
    <w:rsid w:val="006F7622"/>
    <w:rsid w:val="007023DC"/>
    <w:rsid w:val="0070560C"/>
    <w:rsid w:val="007057ED"/>
    <w:rsid w:val="0070672F"/>
    <w:rsid w:val="007105A6"/>
    <w:rsid w:val="00715417"/>
    <w:rsid w:val="007204C2"/>
    <w:rsid w:val="007215F3"/>
    <w:rsid w:val="00723373"/>
    <w:rsid w:val="00726DD4"/>
    <w:rsid w:val="00730C8B"/>
    <w:rsid w:val="00730F56"/>
    <w:rsid w:val="00732AB8"/>
    <w:rsid w:val="00734F2D"/>
    <w:rsid w:val="00741586"/>
    <w:rsid w:val="00742EA8"/>
    <w:rsid w:val="0074375A"/>
    <w:rsid w:val="00744CB1"/>
    <w:rsid w:val="00744E2C"/>
    <w:rsid w:val="00745E27"/>
    <w:rsid w:val="007476DB"/>
    <w:rsid w:val="0075158E"/>
    <w:rsid w:val="00752119"/>
    <w:rsid w:val="00754408"/>
    <w:rsid w:val="007631C7"/>
    <w:rsid w:val="00763CCC"/>
    <w:rsid w:val="00770632"/>
    <w:rsid w:val="00774E5E"/>
    <w:rsid w:val="00776C72"/>
    <w:rsid w:val="0078258F"/>
    <w:rsid w:val="007835F5"/>
    <w:rsid w:val="007846BC"/>
    <w:rsid w:val="00791D57"/>
    <w:rsid w:val="00794B6E"/>
    <w:rsid w:val="007967DD"/>
    <w:rsid w:val="007969A4"/>
    <w:rsid w:val="00797683"/>
    <w:rsid w:val="00797BDD"/>
    <w:rsid w:val="007A0114"/>
    <w:rsid w:val="007A2EF4"/>
    <w:rsid w:val="007A3F76"/>
    <w:rsid w:val="007A4763"/>
    <w:rsid w:val="007B1321"/>
    <w:rsid w:val="007B1904"/>
    <w:rsid w:val="007B2581"/>
    <w:rsid w:val="007B2741"/>
    <w:rsid w:val="007B2A2A"/>
    <w:rsid w:val="007C009E"/>
    <w:rsid w:val="007C07C3"/>
    <w:rsid w:val="007C1BD7"/>
    <w:rsid w:val="007C420E"/>
    <w:rsid w:val="007D0C66"/>
    <w:rsid w:val="007D2E43"/>
    <w:rsid w:val="007D31D0"/>
    <w:rsid w:val="007D518B"/>
    <w:rsid w:val="007D6370"/>
    <w:rsid w:val="007D73CD"/>
    <w:rsid w:val="007D7F38"/>
    <w:rsid w:val="007E092F"/>
    <w:rsid w:val="007E0DB4"/>
    <w:rsid w:val="007E3D22"/>
    <w:rsid w:val="007E4019"/>
    <w:rsid w:val="007E5EC0"/>
    <w:rsid w:val="007E78C1"/>
    <w:rsid w:val="007F11E3"/>
    <w:rsid w:val="007F6069"/>
    <w:rsid w:val="0080098A"/>
    <w:rsid w:val="00801761"/>
    <w:rsid w:val="008022DA"/>
    <w:rsid w:val="00802D24"/>
    <w:rsid w:val="00806E49"/>
    <w:rsid w:val="00807705"/>
    <w:rsid w:val="00811084"/>
    <w:rsid w:val="008111EB"/>
    <w:rsid w:val="008114E7"/>
    <w:rsid w:val="008130C9"/>
    <w:rsid w:val="00813D02"/>
    <w:rsid w:val="00814833"/>
    <w:rsid w:val="00815BAF"/>
    <w:rsid w:val="0082033D"/>
    <w:rsid w:val="008222AD"/>
    <w:rsid w:val="00822729"/>
    <w:rsid w:val="00825657"/>
    <w:rsid w:val="008263A9"/>
    <w:rsid w:val="0082675C"/>
    <w:rsid w:val="0083104D"/>
    <w:rsid w:val="008319C4"/>
    <w:rsid w:val="008349AE"/>
    <w:rsid w:val="00834B03"/>
    <w:rsid w:val="00843A25"/>
    <w:rsid w:val="00844E03"/>
    <w:rsid w:val="00845BA5"/>
    <w:rsid w:val="008464AB"/>
    <w:rsid w:val="00846D77"/>
    <w:rsid w:val="0084708F"/>
    <w:rsid w:val="0085022F"/>
    <w:rsid w:val="00851136"/>
    <w:rsid w:val="00851BB9"/>
    <w:rsid w:val="00852480"/>
    <w:rsid w:val="0085303D"/>
    <w:rsid w:val="00855B3E"/>
    <w:rsid w:val="00856632"/>
    <w:rsid w:val="00856B4D"/>
    <w:rsid w:val="00857099"/>
    <w:rsid w:val="00861F34"/>
    <w:rsid w:val="00867308"/>
    <w:rsid w:val="00872C30"/>
    <w:rsid w:val="00882102"/>
    <w:rsid w:val="008838AC"/>
    <w:rsid w:val="008838FA"/>
    <w:rsid w:val="00883CD1"/>
    <w:rsid w:val="008909A6"/>
    <w:rsid w:val="0089243C"/>
    <w:rsid w:val="008A436F"/>
    <w:rsid w:val="008B0543"/>
    <w:rsid w:val="008B6E42"/>
    <w:rsid w:val="008C0888"/>
    <w:rsid w:val="008C3505"/>
    <w:rsid w:val="008C5318"/>
    <w:rsid w:val="008D3061"/>
    <w:rsid w:val="008D30EA"/>
    <w:rsid w:val="008D5437"/>
    <w:rsid w:val="008D55C8"/>
    <w:rsid w:val="008D6034"/>
    <w:rsid w:val="008E20DE"/>
    <w:rsid w:val="008F10CD"/>
    <w:rsid w:val="008F1759"/>
    <w:rsid w:val="008F1770"/>
    <w:rsid w:val="008F1CD7"/>
    <w:rsid w:val="008F2185"/>
    <w:rsid w:val="0090080E"/>
    <w:rsid w:val="009013C5"/>
    <w:rsid w:val="0090321E"/>
    <w:rsid w:val="0090401B"/>
    <w:rsid w:val="009061A4"/>
    <w:rsid w:val="00912E02"/>
    <w:rsid w:val="009140FD"/>
    <w:rsid w:val="00917F90"/>
    <w:rsid w:val="00942024"/>
    <w:rsid w:val="00943571"/>
    <w:rsid w:val="009435BD"/>
    <w:rsid w:val="00944550"/>
    <w:rsid w:val="0095446A"/>
    <w:rsid w:val="009550AD"/>
    <w:rsid w:val="009565D4"/>
    <w:rsid w:val="00957561"/>
    <w:rsid w:val="00962F24"/>
    <w:rsid w:val="00963B88"/>
    <w:rsid w:val="00966B7E"/>
    <w:rsid w:val="00967D7C"/>
    <w:rsid w:val="009712FC"/>
    <w:rsid w:val="0097351B"/>
    <w:rsid w:val="00977058"/>
    <w:rsid w:val="0097781D"/>
    <w:rsid w:val="00977D73"/>
    <w:rsid w:val="009830E1"/>
    <w:rsid w:val="00983471"/>
    <w:rsid w:val="009838B2"/>
    <w:rsid w:val="00983A67"/>
    <w:rsid w:val="00987C5A"/>
    <w:rsid w:val="009901AB"/>
    <w:rsid w:val="0099262A"/>
    <w:rsid w:val="0099747B"/>
    <w:rsid w:val="009A05F3"/>
    <w:rsid w:val="009A10F9"/>
    <w:rsid w:val="009A2B24"/>
    <w:rsid w:val="009A46BE"/>
    <w:rsid w:val="009B0BFD"/>
    <w:rsid w:val="009B3D0C"/>
    <w:rsid w:val="009B56B5"/>
    <w:rsid w:val="009B56DA"/>
    <w:rsid w:val="009D02D7"/>
    <w:rsid w:val="009D13BB"/>
    <w:rsid w:val="009D50EB"/>
    <w:rsid w:val="009D6904"/>
    <w:rsid w:val="009D6DA5"/>
    <w:rsid w:val="009E32F5"/>
    <w:rsid w:val="009E6279"/>
    <w:rsid w:val="009F24BE"/>
    <w:rsid w:val="009F2649"/>
    <w:rsid w:val="009F2F7F"/>
    <w:rsid w:val="009F704C"/>
    <w:rsid w:val="00A0215D"/>
    <w:rsid w:val="00A032C2"/>
    <w:rsid w:val="00A0614E"/>
    <w:rsid w:val="00A06666"/>
    <w:rsid w:val="00A105E0"/>
    <w:rsid w:val="00A15F9C"/>
    <w:rsid w:val="00A2074A"/>
    <w:rsid w:val="00A27A63"/>
    <w:rsid w:val="00A3018B"/>
    <w:rsid w:val="00A3128D"/>
    <w:rsid w:val="00A324EA"/>
    <w:rsid w:val="00A33A46"/>
    <w:rsid w:val="00A340ED"/>
    <w:rsid w:val="00A34C2C"/>
    <w:rsid w:val="00A36467"/>
    <w:rsid w:val="00A36D06"/>
    <w:rsid w:val="00A377B9"/>
    <w:rsid w:val="00A45B43"/>
    <w:rsid w:val="00A4794A"/>
    <w:rsid w:val="00A51CFA"/>
    <w:rsid w:val="00A52DD2"/>
    <w:rsid w:val="00A533DE"/>
    <w:rsid w:val="00A53E2B"/>
    <w:rsid w:val="00A63AA7"/>
    <w:rsid w:val="00A67C5D"/>
    <w:rsid w:val="00A765CC"/>
    <w:rsid w:val="00A8063F"/>
    <w:rsid w:val="00A817CE"/>
    <w:rsid w:val="00A81B0A"/>
    <w:rsid w:val="00A83E14"/>
    <w:rsid w:val="00A85B48"/>
    <w:rsid w:val="00A867E5"/>
    <w:rsid w:val="00A909B5"/>
    <w:rsid w:val="00A92083"/>
    <w:rsid w:val="00A924B9"/>
    <w:rsid w:val="00A928FA"/>
    <w:rsid w:val="00A95C40"/>
    <w:rsid w:val="00A96D0E"/>
    <w:rsid w:val="00AA208E"/>
    <w:rsid w:val="00AA2300"/>
    <w:rsid w:val="00AA4DD4"/>
    <w:rsid w:val="00AA625D"/>
    <w:rsid w:val="00AA759A"/>
    <w:rsid w:val="00AA7B0B"/>
    <w:rsid w:val="00AB32CF"/>
    <w:rsid w:val="00AB6855"/>
    <w:rsid w:val="00AB7ADE"/>
    <w:rsid w:val="00AC59EB"/>
    <w:rsid w:val="00AD0AF5"/>
    <w:rsid w:val="00AD16A6"/>
    <w:rsid w:val="00AD1F84"/>
    <w:rsid w:val="00AD2235"/>
    <w:rsid w:val="00AD6EC5"/>
    <w:rsid w:val="00AE03AF"/>
    <w:rsid w:val="00AE3B39"/>
    <w:rsid w:val="00AE453D"/>
    <w:rsid w:val="00AE5530"/>
    <w:rsid w:val="00AF171D"/>
    <w:rsid w:val="00AF312D"/>
    <w:rsid w:val="00AF5EF4"/>
    <w:rsid w:val="00B01852"/>
    <w:rsid w:val="00B02599"/>
    <w:rsid w:val="00B02E53"/>
    <w:rsid w:val="00B14060"/>
    <w:rsid w:val="00B16B3C"/>
    <w:rsid w:val="00B170B8"/>
    <w:rsid w:val="00B22ACC"/>
    <w:rsid w:val="00B25EE3"/>
    <w:rsid w:val="00B269D4"/>
    <w:rsid w:val="00B327A9"/>
    <w:rsid w:val="00B32AC1"/>
    <w:rsid w:val="00B3357C"/>
    <w:rsid w:val="00B40C5E"/>
    <w:rsid w:val="00B518F2"/>
    <w:rsid w:val="00B532C8"/>
    <w:rsid w:val="00B53963"/>
    <w:rsid w:val="00B57187"/>
    <w:rsid w:val="00B60599"/>
    <w:rsid w:val="00B61C4A"/>
    <w:rsid w:val="00B61EC9"/>
    <w:rsid w:val="00B63EB8"/>
    <w:rsid w:val="00B65734"/>
    <w:rsid w:val="00B671DC"/>
    <w:rsid w:val="00B679AD"/>
    <w:rsid w:val="00B70F86"/>
    <w:rsid w:val="00B7144F"/>
    <w:rsid w:val="00B747A0"/>
    <w:rsid w:val="00B76193"/>
    <w:rsid w:val="00B769F0"/>
    <w:rsid w:val="00B7744A"/>
    <w:rsid w:val="00B82D4D"/>
    <w:rsid w:val="00B8468D"/>
    <w:rsid w:val="00B87EE6"/>
    <w:rsid w:val="00B91E56"/>
    <w:rsid w:val="00B9214E"/>
    <w:rsid w:val="00B92593"/>
    <w:rsid w:val="00B9260A"/>
    <w:rsid w:val="00B94785"/>
    <w:rsid w:val="00B9530F"/>
    <w:rsid w:val="00B96ABD"/>
    <w:rsid w:val="00BA3F92"/>
    <w:rsid w:val="00BA6A40"/>
    <w:rsid w:val="00BB040D"/>
    <w:rsid w:val="00BB5B51"/>
    <w:rsid w:val="00BB6CFA"/>
    <w:rsid w:val="00BC0452"/>
    <w:rsid w:val="00BC20BA"/>
    <w:rsid w:val="00BC35D3"/>
    <w:rsid w:val="00BD0EFC"/>
    <w:rsid w:val="00BD1906"/>
    <w:rsid w:val="00BE3CF6"/>
    <w:rsid w:val="00BE56EC"/>
    <w:rsid w:val="00BF18DC"/>
    <w:rsid w:val="00BF5CC7"/>
    <w:rsid w:val="00BF64C1"/>
    <w:rsid w:val="00C0417A"/>
    <w:rsid w:val="00C04B4F"/>
    <w:rsid w:val="00C05DE1"/>
    <w:rsid w:val="00C06144"/>
    <w:rsid w:val="00C06D54"/>
    <w:rsid w:val="00C11759"/>
    <w:rsid w:val="00C12950"/>
    <w:rsid w:val="00C13DE2"/>
    <w:rsid w:val="00C14408"/>
    <w:rsid w:val="00C14776"/>
    <w:rsid w:val="00C151FD"/>
    <w:rsid w:val="00C17F58"/>
    <w:rsid w:val="00C21324"/>
    <w:rsid w:val="00C21530"/>
    <w:rsid w:val="00C269EF"/>
    <w:rsid w:val="00C307E7"/>
    <w:rsid w:val="00C31694"/>
    <w:rsid w:val="00C31770"/>
    <w:rsid w:val="00C34A92"/>
    <w:rsid w:val="00C35829"/>
    <w:rsid w:val="00C36245"/>
    <w:rsid w:val="00C36E4B"/>
    <w:rsid w:val="00C370A7"/>
    <w:rsid w:val="00C414E7"/>
    <w:rsid w:val="00C421FE"/>
    <w:rsid w:val="00C423A3"/>
    <w:rsid w:val="00C43876"/>
    <w:rsid w:val="00C44AD8"/>
    <w:rsid w:val="00C45458"/>
    <w:rsid w:val="00C46716"/>
    <w:rsid w:val="00C534D7"/>
    <w:rsid w:val="00C54EA3"/>
    <w:rsid w:val="00C556E9"/>
    <w:rsid w:val="00C57E90"/>
    <w:rsid w:val="00C62DBD"/>
    <w:rsid w:val="00C62F1C"/>
    <w:rsid w:val="00C6380F"/>
    <w:rsid w:val="00C64FCC"/>
    <w:rsid w:val="00C72AF0"/>
    <w:rsid w:val="00C744A3"/>
    <w:rsid w:val="00C81DB5"/>
    <w:rsid w:val="00C834BA"/>
    <w:rsid w:val="00C83C37"/>
    <w:rsid w:val="00C878D4"/>
    <w:rsid w:val="00C87F13"/>
    <w:rsid w:val="00C900FF"/>
    <w:rsid w:val="00C90210"/>
    <w:rsid w:val="00C92C31"/>
    <w:rsid w:val="00C9485D"/>
    <w:rsid w:val="00C952CC"/>
    <w:rsid w:val="00CA24FD"/>
    <w:rsid w:val="00CA574B"/>
    <w:rsid w:val="00CA7F3A"/>
    <w:rsid w:val="00CB3FC8"/>
    <w:rsid w:val="00CB442A"/>
    <w:rsid w:val="00CB5B5A"/>
    <w:rsid w:val="00CC50A4"/>
    <w:rsid w:val="00CC6A6A"/>
    <w:rsid w:val="00CD202A"/>
    <w:rsid w:val="00CD2213"/>
    <w:rsid w:val="00CD29E3"/>
    <w:rsid w:val="00CD34AB"/>
    <w:rsid w:val="00CD4B2E"/>
    <w:rsid w:val="00CD4DE4"/>
    <w:rsid w:val="00CD596A"/>
    <w:rsid w:val="00CD6527"/>
    <w:rsid w:val="00CD6A88"/>
    <w:rsid w:val="00CD6B3F"/>
    <w:rsid w:val="00CD6DA0"/>
    <w:rsid w:val="00CF1559"/>
    <w:rsid w:val="00CF3E63"/>
    <w:rsid w:val="00CF561E"/>
    <w:rsid w:val="00CF74E2"/>
    <w:rsid w:val="00D02AC1"/>
    <w:rsid w:val="00D033F2"/>
    <w:rsid w:val="00D065DF"/>
    <w:rsid w:val="00D12E2C"/>
    <w:rsid w:val="00D143BA"/>
    <w:rsid w:val="00D202A8"/>
    <w:rsid w:val="00D20DD2"/>
    <w:rsid w:val="00D21BB1"/>
    <w:rsid w:val="00D246BF"/>
    <w:rsid w:val="00D3282E"/>
    <w:rsid w:val="00D3295A"/>
    <w:rsid w:val="00D3419A"/>
    <w:rsid w:val="00D34EEE"/>
    <w:rsid w:val="00D35D5C"/>
    <w:rsid w:val="00D37BAF"/>
    <w:rsid w:val="00D37F0E"/>
    <w:rsid w:val="00D40D20"/>
    <w:rsid w:val="00D44216"/>
    <w:rsid w:val="00D47AB1"/>
    <w:rsid w:val="00D50EEC"/>
    <w:rsid w:val="00D51B1E"/>
    <w:rsid w:val="00D66D18"/>
    <w:rsid w:val="00D711F0"/>
    <w:rsid w:val="00D74013"/>
    <w:rsid w:val="00D746E5"/>
    <w:rsid w:val="00D74A46"/>
    <w:rsid w:val="00D74D43"/>
    <w:rsid w:val="00D76FC5"/>
    <w:rsid w:val="00D770A5"/>
    <w:rsid w:val="00D8046C"/>
    <w:rsid w:val="00D80971"/>
    <w:rsid w:val="00D8514E"/>
    <w:rsid w:val="00D92B0D"/>
    <w:rsid w:val="00D92B32"/>
    <w:rsid w:val="00D96426"/>
    <w:rsid w:val="00D96598"/>
    <w:rsid w:val="00D979EA"/>
    <w:rsid w:val="00DA02B9"/>
    <w:rsid w:val="00DA42EA"/>
    <w:rsid w:val="00DA4E60"/>
    <w:rsid w:val="00DA7FEA"/>
    <w:rsid w:val="00DB07EC"/>
    <w:rsid w:val="00DB1571"/>
    <w:rsid w:val="00DB269B"/>
    <w:rsid w:val="00DB2F32"/>
    <w:rsid w:val="00DB5AE9"/>
    <w:rsid w:val="00DB65D3"/>
    <w:rsid w:val="00DC02B5"/>
    <w:rsid w:val="00DC034A"/>
    <w:rsid w:val="00DC2849"/>
    <w:rsid w:val="00DC3D0F"/>
    <w:rsid w:val="00DD27D1"/>
    <w:rsid w:val="00DD2D13"/>
    <w:rsid w:val="00DD6D65"/>
    <w:rsid w:val="00DE221A"/>
    <w:rsid w:val="00DE2334"/>
    <w:rsid w:val="00DE5780"/>
    <w:rsid w:val="00DE5C1E"/>
    <w:rsid w:val="00DE5F36"/>
    <w:rsid w:val="00DF0500"/>
    <w:rsid w:val="00DF124E"/>
    <w:rsid w:val="00DF235E"/>
    <w:rsid w:val="00DF34BA"/>
    <w:rsid w:val="00DF40E3"/>
    <w:rsid w:val="00DF68F0"/>
    <w:rsid w:val="00DF6CDE"/>
    <w:rsid w:val="00DF7D31"/>
    <w:rsid w:val="00E0113D"/>
    <w:rsid w:val="00E039CB"/>
    <w:rsid w:val="00E0617B"/>
    <w:rsid w:val="00E0669A"/>
    <w:rsid w:val="00E1423B"/>
    <w:rsid w:val="00E162A3"/>
    <w:rsid w:val="00E178F3"/>
    <w:rsid w:val="00E2043B"/>
    <w:rsid w:val="00E23C6C"/>
    <w:rsid w:val="00E27FFA"/>
    <w:rsid w:val="00E317E1"/>
    <w:rsid w:val="00E33080"/>
    <w:rsid w:val="00E33231"/>
    <w:rsid w:val="00E37554"/>
    <w:rsid w:val="00E444DA"/>
    <w:rsid w:val="00E45A6A"/>
    <w:rsid w:val="00E541FB"/>
    <w:rsid w:val="00E54AAD"/>
    <w:rsid w:val="00E61044"/>
    <w:rsid w:val="00E6186E"/>
    <w:rsid w:val="00E61C8E"/>
    <w:rsid w:val="00E64565"/>
    <w:rsid w:val="00E71A70"/>
    <w:rsid w:val="00E72F03"/>
    <w:rsid w:val="00E73D35"/>
    <w:rsid w:val="00E7429A"/>
    <w:rsid w:val="00E75A1D"/>
    <w:rsid w:val="00E75D77"/>
    <w:rsid w:val="00E75D89"/>
    <w:rsid w:val="00E81206"/>
    <w:rsid w:val="00E81ADF"/>
    <w:rsid w:val="00E82688"/>
    <w:rsid w:val="00E83252"/>
    <w:rsid w:val="00E83970"/>
    <w:rsid w:val="00E84434"/>
    <w:rsid w:val="00E84BBC"/>
    <w:rsid w:val="00E853BE"/>
    <w:rsid w:val="00E86F2A"/>
    <w:rsid w:val="00E93403"/>
    <w:rsid w:val="00E94380"/>
    <w:rsid w:val="00E95CDB"/>
    <w:rsid w:val="00EA0512"/>
    <w:rsid w:val="00EA13BB"/>
    <w:rsid w:val="00EA14AE"/>
    <w:rsid w:val="00EA44AB"/>
    <w:rsid w:val="00EB0177"/>
    <w:rsid w:val="00EB0314"/>
    <w:rsid w:val="00EB30F5"/>
    <w:rsid w:val="00EB5C8B"/>
    <w:rsid w:val="00EB6D74"/>
    <w:rsid w:val="00EC13A0"/>
    <w:rsid w:val="00EC3CC1"/>
    <w:rsid w:val="00EC47CA"/>
    <w:rsid w:val="00EC6948"/>
    <w:rsid w:val="00ED263C"/>
    <w:rsid w:val="00ED2A92"/>
    <w:rsid w:val="00ED492C"/>
    <w:rsid w:val="00ED503D"/>
    <w:rsid w:val="00ED644C"/>
    <w:rsid w:val="00EE0B44"/>
    <w:rsid w:val="00EE11FD"/>
    <w:rsid w:val="00EE1D07"/>
    <w:rsid w:val="00EF316B"/>
    <w:rsid w:val="00EF394B"/>
    <w:rsid w:val="00EF5123"/>
    <w:rsid w:val="00EF573D"/>
    <w:rsid w:val="00EF6D2C"/>
    <w:rsid w:val="00F0365A"/>
    <w:rsid w:val="00F07A1F"/>
    <w:rsid w:val="00F112B5"/>
    <w:rsid w:val="00F1141F"/>
    <w:rsid w:val="00F13235"/>
    <w:rsid w:val="00F13578"/>
    <w:rsid w:val="00F1494E"/>
    <w:rsid w:val="00F16609"/>
    <w:rsid w:val="00F17628"/>
    <w:rsid w:val="00F20A4C"/>
    <w:rsid w:val="00F2348D"/>
    <w:rsid w:val="00F23798"/>
    <w:rsid w:val="00F24B0B"/>
    <w:rsid w:val="00F260AC"/>
    <w:rsid w:val="00F26DFB"/>
    <w:rsid w:val="00F27043"/>
    <w:rsid w:val="00F30E8E"/>
    <w:rsid w:val="00F32C54"/>
    <w:rsid w:val="00F32E6E"/>
    <w:rsid w:val="00F33CCE"/>
    <w:rsid w:val="00F33EFC"/>
    <w:rsid w:val="00F376D0"/>
    <w:rsid w:val="00F4263A"/>
    <w:rsid w:val="00F456A2"/>
    <w:rsid w:val="00F47140"/>
    <w:rsid w:val="00F47E96"/>
    <w:rsid w:val="00F5080A"/>
    <w:rsid w:val="00F50A3A"/>
    <w:rsid w:val="00F551EF"/>
    <w:rsid w:val="00F6014F"/>
    <w:rsid w:val="00F625B7"/>
    <w:rsid w:val="00F62A1E"/>
    <w:rsid w:val="00F64DB9"/>
    <w:rsid w:val="00F65513"/>
    <w:rsid w:val="00F65655"/>
    <w:rsid w:val="00F70079"/>
    <w:rsid w:val="00F722DB"/>
    <w:rsid w:val="00F73A84"/>
    <w:rsid w:val="00F76181"/>
    <w:rsid w:val="00F77422"/>
    <w:rsid w:val="00F85399"/>
    <w:rsid w:val="00F90D14"/>
    <w:rsid w:val="00F93183"/>
    <w:rsid w:val="00F9397C"/>
    <w:rsid w:val="00F95081"/>
    <w:rsid w:val="00FA035F"/>
    <w:rsid w:val="00FA686C"/>
    <w:rsid w:val="00FA6932"/>
    <w:rsid w:val="00FA6ACB"/>
    <w:rsid w:val="00FB1F04"/>
    <w:rsid w:val="00FB3972"/>
    <w:rsid w:val="00FB70DE"/>
    <w:rsid w:val="00FC21C9"/>
    <w:rsid w:val="00FC2BD1"/>
    <w:rsid w:val="00FD0BE5"/>
    <w:rsid w:val="00FD17C2"/>
    <w:rsid w:val="00FD3B1E"/>
    <w:rsid w:val="00FD634F"/>
    <w:rsid w:val="00FE067C"/>
    <w:rsid w:val="00FE0A7C"/>
    <w:rsid w:val="00FE2611"/>
    <w:rsid w:val="00FF2067"/>
    <w:rsid w:val="00FF3FFA"/>
    <w:rsid w:val="00FF6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1e1ff,#069,#bad1e8,#afd787,#cde6b4,#d1e8ba,#0000ac"/>
    </o:shapedefaults>
    <o:shapelayout v:ext="edit">
      <o:idmap v:ext="edit" data="1"/>
    </o:shapelayout>
  </w:shapeDefaults>
  <w:decimalSymbol w:val="."/>
  <w:listSeparator w:val=","/>
  <w14:docId w14:val="1478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A867E5"/>
    <w:pPr>
      <w:spacing w:after="0" w:line="480" w:lineRule="auto"/>
      <w:ind w:firstLine="360"/>
    </w:pPr>
    <w:rPr>
      <w:sz w:val="24"/>
      <w:szCs w:val="22"/>
    </w:rPr>
  </w:style>
  <w:style w:type="character" w:customStyle="1" w:styleId="BodyTextChar">
    <w:name w:val="Body Text Char"/>
    <w:basedOn w:val="DefaultParagraphFont"/>
    <w:link w:val="BodyText"/>
    <w:rsid w:val="00A867E5"/>
    <w:rPr>
      <w:sz w:val="24"/>
      <w:szCs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rPr>
      <w:sz w:val="16"/>
    </w:rPr>
  </w:style>
  <w:style w:type="paragraph" w:styleId="TOC2">
    <w:name w:val="toc 2"/>
    <w:basedOn w:val="BodyText"/>
    <w:next w:val="BodyText"/>
    <w:uiPriority w:val="39"/>
    <w:rsid w:val="00C36245"/>
    <w:pPr>
      <w:tabs>
        <w:tab w:val="left" w:pos="1260"/>
        <w:tab w:val="right" w:leader="dot" w:pos="9000"/>
      </w:tabs>
      <w:spacing w:before="6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ind w:left="1987" w:right="360" w:hanging="720"/>
    </w:pPr>
    <w:rPr>
      <w:noProof/>
    </w:rPr>
  </w:style>
  <w:style w:type="paragraph" w:styleId="TOC4">
    <w:name w:val="toc 4"/>
    <w:basedOn w:val="BodyText"/>
    <w:next w:val="BodyText"/>
    <w:uiPriority w:val="39"/>
    <w:rsid w:val="00C36245"/>
    <w:pPr>
      <w:tabs>
        <w:tab w:val="right" w:leader="dot" w:pos="9000"/>
      </w:tabs>
      <w:spacing w:before="6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r,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ootnote Text Char Char,Footnote Text2,F"/>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3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Footnote Text Char Char Char,Footnote Text2 Char,F Char"/>
    <w:basedOn w:val="DefaultParagraphFont"/>
    <w:link w:val="FootnoteText"/>
    <w:rsid w:val="00574572"/>
  </w:style>
  <w:style w:type="paragraph" w:customStyle="1" w:styleId="TableText">
    <w:name w:val="Table Text"/>
    <w:basedOn w:val="Normal"/>
    <w:uiPriority w:val="99"/>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4A0F2B"/>
  </w:style>
  <w:style w:type="paragraph" w:styleId="ListParagraph">
    <w:name w:val="List Paragraph"/>
    <w:basedOn w:val="Normal"/>
    <w:uiPriority w:val="34"/>
    <w:qFormat/>
    <w:rsid w:val="004A0F2B"/>
    <w:pPr>
      <w:spacing w:after="200" w:line="276" w:lineRule="auto"/>
      <w:ind w:left="720"/>
      <w:contextualSpacing/>
    </w:pPr>
    <w:rPr>
      <w:rFonts w:ascii="Calibri" w:eastAsia="Calibri" w:hAnsi="Calibri"/>
      <w:szCs w:val="22"/>
    </w:rPr>
  </w:style>
  <w:style w:type="paragraph" w:customStyle="1" w:styleId="indent">
    <w:name w:val="indent"/>
    <w:basedOn w:val="Normal"/>
    <w:rsid w:val="004A0F2B"/>
    <w:pPr>
      <w:numPr>
        <w:numId w:val="14"/>
      </w:numPr>
      <w:spacing w:before="20" w:after="120" w:line="200" w:lineRule="atLeast"/>
    </w:pPr>
    <w:rPr>
      <w:rFonts w:ascii="Optim" w:hAnsi="Optim"/>
      <w:sz w:val="20"/>
    </w:rPr>
  </w:style>
  <w:style w:type="paragraph" w:styleId="NormalWeb">
    <w:name w:val="Normal (Web)"/>
    <w:basedOn w:val="Normal"/>
    <w:uiPriority w:val="99"/>
    <w:unhideWhenUsed/>
    <w:rsid w:val="006B3C28"/>
    <w:pPr>
      <w:spacing w:before="100" w:beforeAutospacing="1" w:after="100" w:afterAutospacing="1" w:line="240" w:lineRule="auto"/>
    </w:pPr>
    <w:rPr>
      <w:sz w:val="24"/>
      <w:szCs w:val="24"/>
    </w:rPr>
  </w:style>
  <w:style w:type="paragraph" w:customStyle="1" w:styleId="NormalSS">
    <w:name w:val="NormalSS"/>
    <w:basedOn w:val="Normal"/>
    <w:link w:val="NormalSSChar"/>
    <w:qFormat/>
    <w:rsid w:val="00432CDA"/>
    <w:pPr>
      <w:tabs>
        <w:tab w:val="left" w:pos="432"/>
      </w:tabs>
      <w:spacing w:after="0" w:line="240" w:lineRule="auto"/>
      <w:ind w:firstLine="432"/>
      <w:jc w:val="both"/>
    </w:pPr>
    <w:rPr>
      <w:sz w:val="24"/>
    </w:rPr>
  </w:style>
  <w:style w:type="character" w:customStyle="1" w:styleId="NormalSSChar">
    <w:name w:val="NormalSS Char"/>
    <w:basedOn w:val="DefaultParagraphFont"/>
    <w:link w:val="NormalSS"/>
    <w:rsid w:val="00432CDA"/>
    <w:rPr>
      <w:sz w:val="24"/>
    </w:rPr>
  </w:style>
  <w:style w:type="table" w:customStyle="1" w:styleId="TableGrid1">
    <w:name w:val="Table Grid1"/>
    <w:basedOn w:val="TableNormal"/>
    <w:next w:val="TableGrid"/>
    <w:uiPriority w:val="59"/>
    <w:rsid w:val="0010777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107777"/>
    <w:pPr>
      <w:spacing w:after="18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Revision">
    <w:name w:val="Revision"/>
    <w:hidden/>
    <w:uiPriority w:val="99"/>
    <w:semiHidden/>
    <w:rsid w:val="00107777"/>
    <w:rPr>
      <w:sz w:val="22"/>
    </w:rPr>
  </w:style>
  <w:style w:type="paragraph" w:styleId="TOCHeading">
    <w:name w:val="TOC Heading"/>
    <w:basedOn w:val="Heading1"/>
    <w:next w:val="Normal"/>
    <w:uiPriority w:val="39"/>
    <w:unhideWhenUsed/>
    <w:qFormat/>
    <w:rsid w:val="000A0EC2"/>
    <w:pPr>
      <w:pageBreakBefore w:val="0"/>
      <w:numPr>
        <w:numId w:val="0"/>
      </w:numPr>
      <w:pBdr>
        <w:top w:val="none" w:sz="0" w:space="0" w:color="auto"/>
        <w:bottom w:val="none" w:sz="0" w:space="0" w:color="auto"/>
      </w:pBdr>
      <w:shd w:val="clear" w:color="auto" w:fill="auto"/>
      <w:spacing w:before="240" w:after="0" w:line="259" w:lineRule="auto"/>
      <w:outlineLvl w:val="9"/>
    </w:pPr>
    <w:rPr>
      <w:rFonts w:asciiTheme="majorHAnsi" w:eastAsiaTheme="majorEastAsia" w:hAnsiTheme="majorHAnsi" w:cstheme="majorBidi"/>
      <w:b w:val="0"/>
      <w:color w:val="A31E15" w:themeColor="accent1" w:themeShade="BF"/>
      <w:kern w:val="0"/>
      <w:sz w:val="32"/>
      <w:szCs w:val="32"/>
    </w:rPr>
  </w:style>
  <w:style w:type="paragraph" w:customStyle="1" w:styleId="Default">
    <w:name w:val="Default"/>
    <w:rsid w:val="00742EA8"/>
    <w:pPr>
      <w:autoSpaceDE w:val="0"/>
      <w:autoSpaceDN w:val="0"/>
      <w:adjustRightInd w:val="0"/>
    </w:pPr>
    <w:rPr>
      <w:rFonts w:ascii="Calibri" w:hAnsi="Calibri" w:cs="Calibri"/>
      <w:color w:val="000000"/>
      <w:sz w:val="24"/>
      <w:szCs w:val="24"/>
    </w:rPr>
  </w:style>
  <w:style w:type="paragraph" w:customStyle="1" w:styleId="L1-FlLSp12">
    <w:name w:val="L1-FlL Sp&amp;1/2"/>
    <w:basedOn w:val="Normal"/>
    <w:link w:val="L1-FlLSp12Char"/>
    <w:rsid w:val="00EF5123"/>
    <w:pPr>
      <w:tabs>
        <w:tab w:val="left" w:pos="1152"/>
      </w:tabs>
      <w:spacing w:after="0" w:line="360" w:lineRule="atLeast"/>
    </w:pPr>
    <w:rPr>
      <w:rFonts w:ascii="Garamond" w:hAnsi="Garamond"/>
      <w:sz w:val="24"/>
    </w:rPr>
  </w:style>
  <w:style w:type="paragraph" w:customStyle="1" w:styleId="N2-2ndBullet">
    <w:name w:val="N2-2nd Bullet"/>
    <w:basedOn w:val="Normal"/>
    <w:uiPriority w:val="99"/>
    <w:rsid w:val="00EF5123"/>
    <w:pPr>
      <w:numPr>
        <w:numId w:val="26"/>
      </w:numPr>
      <w:spacing w:after="240" w:line="240" w:lineRule="atLeast"/>
    </w:pPr>
    <w:rPr>
      <w:rFonts w:ascii="Garamond" w:hAnsi="Garamond"/>
      <w:sz w:val="24"/>
    </w:rPr>
  </w:style>
  <w:style w:type="paragraph" w:customStyle="1" w:styleId="N3-3rdBullet">
    <w:name w:val="N3-3rd Bullet"/>
    <w:basedOn w:val="Normal"/>
    <w:uiPriority w:val="99"/>
    <w:rsid w:val="00EF5123"/>
    <w:pPr>
      <w:numPr>
        <w:numId w:val="27"/>
      </w:numPr>
      <w:spacing w:after="240" w:line="240" w:lineRule="atLeast"/>
    </w:pPr>
    <w:rPr>
      <w:rFonts w:ascii="Garamond" w:hAnsi="Garamond"/>
      <w:sz w:val="24"/>
    </w:rPr>
  </w:style>
  <w:style w:type="character" w:customStyle="1" w:styleId="L1-FlLSp12Char">
    <w:name w:val="L1-FlL Sp&amp;1/2 Char"/>
    <w:basedOn w:val="DefaultParagraphFont"/>
    <w:link w:val="L1-FlLSp12"/>
    <w:locked/>
    <w:rsid w:val="00EF5123"/>
    <w:rPr>
      <w:rFonts w:ascii="Garamond" w:hAnsi="Garamond"/>
      <w:sz w:val="24"/>
    </w:rPr>
  </w:style>
  <w:style w:type="character" w:customStyle="1" w:styleId="NoSpacingChar">
    <w:name w:val="No Spacing Char"/>
    <w:basedOn w:val="DefaultParagraphFont"/>
    <w:link w:val="NoSpacing"/>
    <w:rsid w:val="001B7138"/>
    <w:rPr>
      <w:sz w:val="22"/>
    </w:rPr>
  </w:style>
  <w:style w:type="character" w:styleId="Emphasis">
    <w:name w:val="Emphasis"/>
    <w:uiPriority w:val="20"/>
    <w:qFormat/>
    <w:rsid w:val="00856B4D"/>
    <w:rPr>
      <w:i/>
      <w:iCs/>
    </w:rPr>
  </w:style>
  <w:style w:type="character" w:styleId="FollowedHyperlink">
    <w:name w:val="FollowedHyperlink"/>
    <w:basedOn w:val="DefaultParagraphFont"/>
    <w:semiHidden/>
    <w:unhideWhenUsed/>
    <w:rsid w:val="00396A20"/>
    <w:rPr>
      <w:color w:val="0070C0" w:themeColor="followedHyperlink"/>
      <w:u w:val="single"/>
    </w:rPr>
  </w:style>
  <w:style w:type="table" w:customStyle="1" w:styleId="TableGridLight2">
    <w:name w:val="Table Grid Light2"/>
    <w:basedOn w:val="TableNormal"/>
    <w:uiPriority w:val="40"/>
    <w:rsid w:val="00A15F9C"/>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A867E5"/>
    <w:pPr>
      <w:spacing w:after="0" w:line="480" w:lineRule="auto"/>
      <w:ind w:firstLine="360"/>
    </w:pPr>
    <w:rPr>
      <w:sz w:val="24"/>
      <w:szCs w:val="22"/>
    </w:rPr>
  </w:style>
  <w:style w:type="character" w:customStyle="1" w:styleId="BodyTextChar">
    <w:name w:val="Body Text Char"/>
    <w:basedOn w:val="DefaultParagraphFont"/>
    <w:link w:val="BodyText"/>
    <w:rsid w:val="00A867E5"/>
    <w:rPr>
      <w:sz w:val="24"/>
      <w:szCs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rPr>
      <w:sz w:val="16"/>
    </w:rPr>
  </w:style>
  <w:style w:type="paragraph" w:styleId="TOC2">
    <w:name w:val="toc 2"/>
    <w:basedOn w:val="BodyText"/>
    <w:next w:val="BodyText"/>
    <w:uiPriority w:val="39"/>
    <w:rsid w:val="00C36245"/>
    <w:pPr>
      <w:tabs>
        <w:tab w:val="left" w:pos="1260"/>
        <w:tab w:val="right" w:leader="dot" w:pos="9000"/>
      </w:tabs>
      <w:spacing w:before="6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ind w:left="1987" w:right="360" w:hanging="720"/>
    </w:pPr>
    <w:rPr>
      <w:noProof/>
    </w:rPr>
  </w:style>
  <w:style w:type="paragraph" w:styleId="TOC4">
    <w:name w:val="toc 4"/>
    <w:basedOn w:val="BodyText"/>
    <w:next w:val="BodyText"/>
    <w:uiPriority w:val="39"/>
    <w:rsid w:val="00C36245"/>
    <w:pPr>
      <w:tabs>
        <w:tab w:val="right" w:leader="dot" w:pos="9000"/>
      </w:tabs>
      <w:spacing w:before="6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r,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ootnote Text Char Char,Footnote Text2,F"/>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3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Footnote Text Char Char Char,Footnote Text2 Char,F Char"/>
    <w:basedOn w:val="DefaultParagraphFont"/>
    <w:link w:val="FootnoteText"/>
    <w:rsid w:val="00574572"/>
  </w:style>
  <w:style w:type="paragraph" w:customStyle="1" w:styleId="TableText">
    <w:name w:val="Table Text"/>
    <w:basedOn w:val="Normal"/>
    <w:uiPriority w:val="99"/>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4A0F2B"/>
  </w:style>
  <w:style w:type="paragraph" w:styleId="ListParagraph">
    <w:name w:val="List Paragraph"/>
    <w:basedOn w:val="Normal"/>
    <w:uiPriority w:val="34"/>
    <w:qFormat/>
    <w:rsid w:val="004A0F2B"/>
    <w:pPr>
      <w:spacing w:after="200" w:line="276" w:lineRule="auto"/>
      <w:ind w:left="720"/>
      <w:contextualSpacing/>
    </w:pPr>
    <w:rPr>
      <w:rFonts w:ascii="Calibri" w:eastAsia="Calibri" w:hAnsi="Calibri"/>
      <w:szCs w:val="22"/>
    </w:rPr>
  </w:style>
  <w:style w:type="paragraph" w:customStyle="1" w:styleId="indent">
    <w:name w:val="indent"/>
    <w:basedOn w:val="Normal"/>
    <w:rsid w:val="004A0F2B"/>
    <w:pPr>
      <w:numPr>
        <w:numId w:val="14"/>
      </w:numPr>
      <w:spacing w:before="20" w:after="120" w:line="200" w:lineRule="atLeast"/>
    </w:pPr>
    <w:rPr>
      <w:rFonts w:ascii="Optim" w:hAnsi="Optim"/>
      <w:sz w:val="20"/>
    </w:rPr>
  </w:style>
  <w:style w:type="paragraph" w:styleId="NormalWeb">
    <w:name w:val="Normal (Web)"/>
    <w:basedOn w:val="Normal"/>
    <w:uiPriority w:val="99"/>
    <w:unhideWhenUsed/>
    <w:rsid w:val="006B3C28"/>
    <w:pPr>
      <w:spacing w:before="100" w:beforeAutospacing="1" w:after="100" w:afterAutospacing="1" w:line="240" w:lineRule="auto"/>
    </w:pPr>
    <w:rPr>
      <w:sz w:val="24"/>
      <w:szCs w:val="24"/>
    </w:rPr>
  </w:style>
  <w:style w:type="paragraph" w:customStyle="1" w:styleId="NormalSS">
    <w:name w:val="NormalSS"/>
    <w:basedOn w:val="Normal"/>
    <w:link w:val="NormalSSChar"/>
    <w:qFormat/>
    <w:rsid w:val="00432CDA"/>
    <w:pPr>
      <w:tabs>
        <w:tab w:val="left" w:pos="432"/>
      </w:tabs>
      <w:spacing w:after="0" w:line="240" w:lineRule="auto"/>
      <w:ind w:firstLine="432"/>
      <w:jc w:val="both"/>
    </w:pPr>
    <w:rPr>
      <w:sz w:val="24"/>
    </w:rPr>
  </w:style>
  <w:style w:type="character" w:customStyle="1" w:styleId="NormalSSChar">
    <w:name w:val="NormalSS Char"/>
    <w:basedOn w:val="DefaultParagraphFont"/>
    <w:link w:val="NormalSS"/>
    <w:rsid w:val="00432CDA"/>
    <w:rPr>
      <w:sz w:val="24"/>
    </w:rPr>
  </w:style>
  <w:style w:type="table" w:customStyle="1" w:styleId="TableGrid1">
    <w:name w:val="Table Grid1"/>
    <w:basedOn w:val="TableNormal"/>
    <w:next w:val="TableGrid"/>
    <w:uiPriority w:val="59"/>
    <w:rsid w:val="0010777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107777"/>
    <w:pPr>
      <w:spacing w:after="18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Revision">
    <w:name w:val="Revision"/>
    <w:hidden/>
    <w:uiPriority w:val="99"/>
    <w:semiHidden/>
    <w:rsid w:val="00107777"/>
    <w:rPr>
      <w:sz w:val="22"/>
    </w:rPr>
  </w:style>
  <w:style w:type="paragraph" w:styleId="TOCHeading">
    <w:name w:val="TOC Heading"/>
    <w:basedOn w:val="Heading1"/>
    <w:next w:val="Normal"/>
    <w:uiPriority w:val="39"/>
    <w:unhideWhenUsed/>
    <w:qFormat/>
    <w:rsid w:val="000A0EC2"/>
    <w:pPr>
      <w:pageBreakBefore w:val="0"/>
      <w:numPr>
        <w:numId w:val="0"/>
      </w:numPr>
      <w:pBdr>
        <w:top w:val="none" w:sz="0" w:space="0" w:color="auto"/>
        <w:bottom w:val="none" w:sz="0" w:space="0" w:color="auto"/>
      </w:pBdr>
      <w:shd w:val="clear" w:color="auto" w:fill="auto"/>
      <w:spacing w:before="240" w:after="0" w:line="259" w:lineRule="auto"/>
      <w:outlineLvl w:val="9"/>
    </w:pPr>
    <w:rPr>
      <w:rFonts w:asciiTheme="majorHAnsi" w:eastAsiaTheme="majorEastAsia" w:hAnsiTheme="majorHAnsi" w:cstheme="majorBidi"/>
      <w:b w:val="0"/>
      <w:color w:val="A31E15" w:themeColor="accent1" w:themeShade="BF"/>
      <w:kern w:val="0"/>
      <w:sz w:val="32"/>
      <w:szCs w:val="32"/>
    </w:rPr>
  </w:style>
  <w:style w:type="paragraph" w:customStyle="1" w:styleId="Default">
    <w:name w:val="Default"/>
    <w:rsid w:val="00742EA8"/>
    <w:pPr>
      <w:autoSpaceDE w:val="0"/>
      <w:autoSpaceDN w:val="0"/>
      <w:adjustRightInd w:val="0"/>
    </w:pPr>
    <w:rPr>
      <w:rFonts w:ascii="Calibri" w:hAnsi="Calibri" w:cs="Calibri"/>
      <w:color w:val="000000"/>
      <w:sz w:val="24"/>
      <w:szCs w:val="24"/>
    </w:rPr>
  </w:style>
  <w:style w:type="paragraph" w:customStyle="1" w:styleId="L1-FlLSp12">
    <w:name w:val="L1-FlL Sp&amp;1/2"/>
    <w:basedOn w:val="Normal"/>
    <w:link w:val="L1-FlLSp12Char"/>
    <w:rsid w:val="00EF5123"/>
    <w:pPr>
      <w:tabs>
        <w:tab w:val="left" w:pos="1152"/>
      </w:tabs>
      <w:spacing w:after="0" w:line="360" w:lineRule="atLeast"/>
    </w:pPr>
    <w:rPr>
      <w:rFonts w:ascii="Garamond" w:hAnsi="Garamond"/>
      <w:sz w:val="24"/>
    </w:rPr>
  </w:style>
  <w:style w:type="paragraph" w:customStyle="1" w:styleId="N2-2ndBullet">
    <w:name w:val="N2-2nd Bullet"/>
    <w:basedOn w:val="Normal"/>
    <w:uiPriority w:val="99"/>
    <w:rsid w:val="00EF5123"/>
    <w:pPr>
      <w:numPr>
        <w:numId w:val="26"/>
      </w:numPr>
      <w:spacing w:after="240" w:line="240" w:lineRule="atLeast"/>
    </w:pPr>
    <w:rPr>
      <w:rFonts w:ascii="Garamond" w:hAnsi="Garamond"/>
      <w:sz w:val="24"/>
    </w:rPr>
  </w:style>
  <w:style w:type="paragraph" w:customStyle="1" w:styleId="N3-3rdBullet">
    <w:name w:val="N3-3rd Bullet"/>
    <w:basedOn w:val="Normal"/>
    <w:uiPriority w:val="99"/>
    <w:rsid w:val="00EF5123"/>
    <w:pPr>
      <w:numPr>
        <w:numId w:val="27"/>
      </w:numPr>
      <w:spacing w:after="240" w:line="240" w:lineRule="atLeast"/>
    </w:pPr>
    <w:rPr>
      <w:rFonts w:ascii="Garamond" w:hAnsi="Garamond"/>
      <w:sz w:val="24"/>
    </w:rPr>
  </w:style>
  <w:style w:type="character" w:customStyle="1" w:styleId="L1-FlLSp12Char">
    <w:name w:val="L1-FlL Sp&amp;1/2 Char"/>
    <w:basedOn w:val="DefaultParagraphFont"/>
    <w:link w:val="L1-FlLSp12"/>
    <w:locked/>
    <w:rsid w:val="00EF5123"/>
    <w:rPr>
      <w:rFonts w:ascii="Garamond" w:hAnsi="Garamond"/>
      <w:sz w:val="24"/>
    </w:rPr>
  </w:style>
  <w:style w:type="character" w:customStyle="1" w:styleId="NoSpacingChar">
    <w:name w:val="No Spacing Char"/>
    <w:basedOn w:val="DefaultParagraphFont"/>
    <w:link w:val="NoSpacing"/>
    <w:rsid w:val="001B7138"/>
    <w:rPr>
      <w:sz w:val="22"/>
    </w:rPr>
  </w:style>
  <w:style w:type="character" w:styleId="Emphasis">
    <w:name w:val="Emphasis"/>
    <w:uiPriority w:val="20"/>
    <w:qFormat/>
    <w:rsid w:val="00856B4D"/>
    <w:rPr>
      <w:i/>
      <w:iCs/>
    </w:rPr>
  </w:style>
  <w:style w:type="character" w:styleId="FollowedHyperlink">
    <w:name w:val="FollowedHyperlink"/>
    <w:basedOn w:val="DefaultParagraphFont"/>
    <w:semiHidden/>
    <w:unhideWhenUsed/>
    <w:rsid w:val="00396A20"/>
    <w:rPr>
      <w:color w:val="0070C0" w:themeColor="followedHyperlink"/>
      <w:u w:val="single"/>
    </w:rPr>
  </w:style>
  <w:style w:type="table" w:customStyle="1" w:styleId="TableGridLight2">
    <w:name w:val="Table Grid Light2"/>
    <w:basedOn w:val="TableNormal"/>
    <w:uiPriority w:val="40"/>
    <w:rsid w:val="00A15F9C"/>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5279">
      <w:bodyDiv w:val="1"/>
      <w:marLeft w:val="0"/>
      <w:marRight w:val="0"/>
      <w:marTop w:val="0"/>
      <w:marBottom w:val="0"/>
      <w:divBdr>
        <w:top w:val="none" w:sz="0" w:space="0" w:color="auto"/>
        <w:left w:val="none" w:sz="0" w:space="0" w:color="auto"/>
        <w:bottom w:val="none" w:sz="0" w:space="0" w:color="auto"/>
        <w:right w:val="none" w:sz="0" w:space="0" w:color="auto"/>
      </w:divBdr>
    </w:div>
    <w:div w:id="171845474">
      <w:bodyDiv w:val="1"/>
      <w:marLeft w:val="0"/>
      <w:marRight w:val="0"/>
      <w:marTop w:val="0"/>
      <w:marBottom w:val="0"/>
      <w:divBdr>
        <w:top w:val="none" w:sz="0" w:space="0" w:color="auto"/>
        <w:left w:val="none" w:sz="0" w:space="0" w:color="auto"/>
        <w:bottom w:val="none" w:sz="0" w:space="0" w:color="auto"/>
        <w:right w:val="none" w:sz="0" w:space="0" w:color="auto"/>
      </w:divBdr>
    </w:div>
    <w:div w:id="209924136">
      <w:bodyDiv w:val="1"/>
      <w:marLeft w:val="0"/>
      <w:marRight w:val="0"/>
      <w:marTop w:val="0"/>
      <w:marBottom w:val="0"/>
      <w:divBdr>
        <w:top w:val="none" w:sz="0" w:space="0" w:color="auto"/>
        <w:left w:val="none" w:sz="0" w:space="0" w:color="auto"/>
        <w:bottom w:val="none" w:sz="0" w:space="0" w:color="auto"/>
        <w:right w:val="none" w:sz="0" w:space="0" w:color="auto"/>
      </w:divBdr>
    </w:div>
    <w:div w:id="318729247">
      <w:bodyDiv w:val="1"/>
      <w:marLeft w:val="0"/>
      <w:marRight w:val="0"/>
      <w:marTop w:val="0"/>
      <w:marBottom w:val="0"/>
      <w:divBdr>
        <w:top w:val="none" w:sz="0" w:space="0" w:color="auto"/>
        <w:left w:val="none" w:sz="0" w:space="0" w:color="auto"/>
        <w:bottom w:val="none" w:sz="0" w:space="0" w:color="auto"/>
        <w:right w:val="none" w:sz="0" w:space="0" w:color="auto"/>
      </w:divBdr>
    </w:div>
    <w:div w:id="325205464">
      <w:bodyDiv w:val="1"/>
      <w:marLeft w:val="0"/>
      <w:marRight w:val="0"/>
      <w:marTop w:val="0"/>
      <w:marBottom w:val="0"/>
      <w:divBdr>
        <w:top w:val="none" w:sz="0" w:space="0" w:color="auto"/>
        <w:left w:val="none" w:sz="0" w:space="0" w:color="auto"/>
        <w:bottom w:val="none" w:sz="0" w:space="0" w:color="auto"/>
        <w:right w:val="none" w:sz="0" w:space="0" w:color="auto"/>
      </w:divBdr>
    </w:div>
    <w:div w:id="464658297">
      <w:bodyDiv w:val="1"/>
      <w:marLeft w:val="0"/>
      <w:marRight w:val="0"/>
      <w:marTop w:val="0"/>
      <w:marBottom w:val="0"/>
      <w:divBdr>
        <w:top w:val="none" w:sz="0" w:space="0" w:color="auto"/>
        <w:left w:val="none" w:sz="0" w:space="0" w:color="auto"/>
        <w:bottom w:val="none" w:sz="0" w:space="0" w:color="auto"/>
        <w:right w:val="none" w:sz="0" w:space="0" w:color="auto"/>
      </w:divBdr>
    </w:div>
    <w:div w:id="588850028">
      <w:bodyDiv w:val="1"/>
      <w:marLeft w:val="0"/>
      <w:marRight w:val="0"/>
      <w:marTop w:val="0"/>
      <w:marBottom w:val="0"/>
      <w:divBdr>
        <w:top w:val="none" w:sz="0" w:space="0" w:color="auto"/>
        <w:left w:val="none" w:sz="0" w:space="0" w:color="auto"/>
        <w:bottom w:val="none" w:sz="0" w:space="0" w:color="auto"/>
        <w:right w:val="none" w:sz="0" w:space="0" w:color="auto"/>
      </w:divBdr>
    </w:div>
    <w:div w:id="717510140">
      <w:bodyDiv w:val="1"/>
      <w:marLeft w:val="0"/>
      <w:marRight w:val="0"/>
      <w:marTop w:val="0"/>
      <w:marBottom w:val="0"/>
      <w:divBdr>
        <w:top w:val="none" w:sz="0" w:space="0" w:color="auto"/>
        <w:left w:val="none" w:sz="0" w:space="0" w:color="auto"/>
        <w:bottom w:val="none" w:sz="0" w:space="0" w:color="auto"/>
        <w:right w:val="none" w:sz="0" w:space="0" w:color="auto"/>
      </w:divBdr>
    </w:div>
    <w:div w:id="727651191">
      <w:bodyDiv w:val="1"/>
      <w:marLeft w:val="0"/>
      <w:marRight w:val="0"/>
      <w:marTop w:val="0"/>
      <w:marBottom w:val="0"/>
      <w:divBdr>
        <w:top w:val="none" w:sz="0" w:space="0" w:color="auto"/>
        <w:left w:val="none" w:sz="0" w:space="0" w:color="auto"/>
        <w:bottom w:val="none" w:sz="0" w:space="0" w:color="auto"/>
        <w:right w:val="none" w:sz="0" w:space="0" w:color="auto"/>
      </w:divBdr>
    </w:div>
    <w:div w:id="764615862">
      <w:bodyDiv w:val="1"/>
      <w:marLeft w:val="0"/>
      <w:marRight w:val="0"/>
      <w:marTop w:val="0"/>
      <w:marBottom w:val="0"/>
      <w:divBdr>
        <w:top w:val="none" w:sz="0" w:space="0" w:color="auto"/>
        <w:left w:val="none" w:sz="0" w:space="0" w:color="auto"/>
        <w:bottom w:val="none" w:sz="0" w:space="0" w:color="auto"/>
        <w:right w:val="none" w:sz="0" w:space="0" w:color="auto"/>
      </w:divBdr>
    </w:div>
    <w:div w:id="781531873">
      <w:bodyDiv w:val="1"/>
      <w:marLeft w:val="0"/>
      <w:marRight w:val="0"/>
      <w:marTop w:val="0"/>
      <w:marBottom w:val="0"/>
      <w:divBdr>
        <w:top w:val="none" w:sz="0" w:space="0" w:color="auto"/>
        <w:left w:val="none" w:sz="0" w:space="0" w:color="auto"/>
        <w:bottom w:val="none" w:sz="0" w:space="0" w:color="auto"/>
        <w:right w:val="none" w:sz="0" w:space="0" w:color="auto"/>
      </w:divBdr>
    </w:div>
    <w:div w:id="853693529">
      <w:bodyDiv w:val="1"/>
      <w:marLeft w:val="0"/>
      <w:marRight w:val="0"/>
      <w:marTop w:val="0"/>
      <w:marBottom w:val="0"/>
      <w:divBdr>
        <w:top w:val="none" w:sz="0" w:space="0" w:color="auto"/>
        <w:left w:val="none" w:sz="0" w:space="0" w:color="auto"/>
        <w:bottom w:val="none" w:sz="0" w:space="0" w:color="auto"/>
        <w:right w:val="none" w:sz="0" w:space="0" w:color="auto"/>
      </w:divBdr>
    </w:div>
    <w:div w:id="867328664">
      <w:bodyDiv w:val="1"/>
      <w:marLeft w:val="0"/>
      <w:marRight w:val="0"/>
      <w:marTop w:val="0"/>
      <w:marBottom w:val="0"/>
      <w:divBdr>
        <w:top w:val="none" w:sz="0" w:space="0" w:color="auto"/>
        <w:left w:val="none" w:sz="0" w:space="0" w:color="auto"/>
        <w:bottom w:val="none" w:sz="0" w:space="0" w:color="auto"/>
        <w:right w:val="none" w:sz="0" w:space="0" w:color="auto"/>
      </w:divBdr>
    </w:div>
    <w:div w:id="935289543">
      <w:bodyDiv w:val="1"/>
      <w:marLeft w:val="0"/>
      <w:marRight w:val="0"/>
      <w:marTop w:val="0"/>
      <w:marBottom w:val="0"/>
      <w:divBdr>
        <w:top w:val="none" w:sz="0" w:space="0" w:color="auto"/>
        <w:left w:val="none" w:sz="0" w:space="0" w:color="auto"/>
        <w:bottom w:val="none" w:sz="0" w:space="0" w:color="auto"/>
        <w:right w:val="none" w:sz="0" w:space="0" w:color="auto"/>
      </w:divBdr>
    </w:div>
    <w:div w:id="991375707">
      <w:bodyDiv w:val="1"/>
      <w:marLeft w:val="0"/>
      <w:marRight w:val="0"/>
      <w:marTop w:val="0"/>
      <w:marBottom w:val="0"/>
      <w:divBdr>
        <w:top w:val="none" w:sz="0" w:space="0" w:color="auto"/>
        <w:left w:val="none" w:sz="0" w:space="0" w:color="auto"/>
        <w:bottom w:val="none" w:sz="0" w:space="0" w:color="auto"/>
        <w:right w:val="none" w:sz="0" w:space="0" w:color="auto"/>
      </w:divBdr>
    </w:div>
    <w:div w:id="1021469738">
      <w:bodyDiv w:val="1"/>
      <w:marLeft w:val="0"/>
      <w:marRight w:val="0"/>
      <w:marTop w:val="0"/>
      <w:marBottom w:val="0"/>
      <w:divBdr>
        <w:top w:val="none" w:sz="0" w:space="0" w:color="auto"/>
        <w:left w:val="none" w:sz="0" w:space="0" w:color="auto"/>
        <w:bottom w:val="none" w:sz="0" w:space="0" w:color="auto"/>
        <w:right w:val="none" w:sz="0" w:space="0" w:color="auto"/>
      </w:divBdr>
    </w:div>
    <w:div w:id="1165894332">
      <w:bodyDiv w:val="1"/>
      <w:marLeft w:val="0"/>
      <w:marRight w:val="0"/>
      <w:marTop w:val="0"/>
      <w:marBottom w:val="0"/>
      <w:divBdr>
        <w:top w:val="none" w:sz="0" w:space="0" w:color="auto"/>
        <w:left w:val="none" w:sz="0" w:space="0" w:color="auto"/>
        <w:bottom w:val="none" w:sz="0" w:space="0" w:color="auto"/>
        <w:right w:val="none" w:sz="0" w:space="0" w:color="auto"/>
      </w:divBdr>
    </w:div>
    <w:div w:id="1275987450">
      <w:bodyDiv w:val="1"/>
      <w:marLeft w:val="0"/>
      <w:marRight w:val="0"/>
      <w:marTop w:val="0"/>
      <w:marBottom w:val="0"/>
      <w:divBdr>
        <w:top w:val="none" w:sz="0" w:space="0" w:color="auto"/>
        <w:left w:val="none" w:sz="0" w:space="0" w:color="auto"/>
        <w:bottom w:val="none" w:sz="0" w:space="0" w:color="auto"/>
        <w:right w:val="none" w:sz="0" w:space="0" w:color="auto"/>
      </w:divBdr>
    </w:div>
    <w:div w:id="1284267137">
      <w:bodyDiv w:val="1"/>
      <w:marLeft w:val="0"/>
      <w:marRight w:val="0"/>
      <w:marTop w:val="0"/>
      <w:marBottom w:val="0"/>
      <w:divBdr>
        <w:top w:val="none" w:sz="0" w:space="0" w:color="auto"/>
        <w:left w:val="none" w:sz="0" w:space="0" w:color="auto"/>
        <w:bottom w:val="none" w:sz="0" w:space="0" w:color="auto"/>
        <w:right w:val="none" w:sz="0" w:space="0" w:color="auto"/>
      </w:divBdr>
    </w:div>
    <w:div w:id="1291983231">
      <w:bodyDiv w:val="1"/>
      <w:marLeft w:val="0"/>
      <w:marRight w:val="0"/>
      <w:marTop w:val="0"/>
      <w:marBottom w:val="0"/>
      <w:divBdr>
        <w:top w:val="none" w:sz="0" w:space="0" w:color="auto"/>
        <w:left w:val="none" w:sz="0" w:space="0" w:color="auto"/>
        <w:bottom w:val="none" w:sz="0" w:space="0" w:color="auto"/>
        <w:right w:val="none" w:sz="0" w:space="0" w:color="auto"/>
      </w:divBdr>
    </w:div>
    <w:div w:id="139920917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3252">
      <w:bodyDiv w:val="1"/>
      <w:marLeft w:val="0"/>
      <w:marRight w:val="0"/>
      <w:marTop w:val="0"/>
      <w:marBottom w:val="0"/>
      <w:divBdr>
        <w:top w:val="none" w:sz="0" w:space="0" w:color="auto"/>
        <w:left w:val="none" w:sz="0" w:space="0" w:color="auto"/>
        <w:bottom w:val="none" w:sz="0" w:space="0" w:color="auto"/>
        <w:right w:val="none" w:sz="0" w:space="0" w:color="auto"/>
      </w:divBdr>
    </w:div>
    <w:div w:id="1701588065">
      <w:bodyDiv w:val="1"/>
      <w:marLeft w:val="0"/>
      <w:marRight w:val="0"/>
      <w:marTop w:val="0"/>
      <w:marBottom w:val="0"/>
      <w:divBdr>
        <w:top w:val="none" w:sz="0" w:space="0" w:color="auto"/>
        <w:left w:val="none" w:sz="0" w:space="0" w:color="auto"/>
        <w:bottom w:val="none" w:sz="0" w:space="0" w:color="auto"/>
        <w:right w:val="none" w:sz="0" w:space="0" w:color="auto"/>
      </w:divBdr>
    </w:div>
    <w:div w:id="1747653620">
      <w:bodyDiv w:val="1"/>
      <w:marLeft w:val="0"/>
      <w:marRight w:val="0"/>
      <w:marTop w:val="0"/>
      <w:marBottom w:val="0"/>
      <w:divBdr>
        <w:top w:val="none" w:sz="0" w:space="0" w:color="auto"/>
        <w:left w:val="none" w:sz="0" w:space="0" w:color="auto"/>
        <w:bottom w:val="none" w:sz="0" w:space="0" w:color="auto"/>
        <w:right w:val="none" w:sz="0" w:space="0" w:color="auto"/>
      </w:divBdr>
    </w:div>
    <w:div w:id="1887133476">
      <w:bodyDiv w:val="1"/>
      <w:marLeft w:val="0"/>
      <w:marRight w:val="0"/>
      <w:marTop w:val="0"/>
      <w:marBottom w:val="0"/>
      <w:divBdr>
        <w:top w:val="none" w:sz="0" w:space="0" w:color="auto"/>
        <w:left w:val="none" w:sz="0" w:space="0" w:color="auto"/>
        <w:bottom w:val="none" w:sz="0" w:space="0" w:color="auto"/>
        <w:right w:val="none" w:sz="0" w:space="0" w:color="auto"/>
      </w:divBdr>
    </w:div>
    <w:div w:id="2085449379">
      <w:bodyDiv w:val="1"/>
      <w:marLeft w:val="0"/>
      <w:marRight w:val="0"/>
      <w:marTop w:val="0"/>
      <w:marBottom w:val="0"/>
      <w:divBdr>
        <w:top w:val="none" w:sz="0" w:space="0" w:color="auto"/>
        <w:left w:val="none" w:sz="0" w:space="0" w:color="auto"/>
        <w:bottom w:val="none" w:sz="0" w:space="0" w:color="auto"/>
        <w:right w:val="none" w:sz="0" w:space="0" w:color="auto"/>
      </w:divBdr>
    </w:div>
    <w:div w:id="2125882629">
      <w:bodyDiv w:val="1"/>
      <w:marLeft w:val="0"/>
      <w:marRight w:val="0"/>
      <w:marTop w:val="0"/>
      <w:marBottom w:val="0"/>
      <w:divBdr>
        <w:top w:val="none" w:sz="0" w:space="0" w:color="auto"/>
        <w:left w:val="none" w:sz="0" w:space="0" w:color="auto"/>
        <w:bottom w:val="none" w:sz="0" w:space="0" w:color="auto"/>
        <w:right w:val="none" w:sz="0" w:space="0" w:color="auto"/>
      </w:divBdr>
    </w:div>
    <w:div w:id="213228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bls.gov/oes/current/naics3_611000.htm"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bls.gov/oes/current/naics3_611000.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ls.gov/oes/current/naics4_999200.ht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fns.usda.gov/ops/research-and-analysis" TargetMode="External"/><Relationship Id="rId23" Type="http://schemas.openxmlformats.org/officeDocument/2006/relationships/hyperlink" Target="https://www.fns.usda.gov/ops/research-and-analysis" TargetMode="External"/><Relationship Id="rId10" Type="http://schemas.openxmlformats.org/officeDocument/2006/relationships/header" Target="header1.xml"/><Relationship Id="rId19" Type="http://schemas.openxmlformats.org/officeDocument/2006/relationships/hyperlink" Target="https://www.bls.gov/oes/current/naics3_424000.htm" TargetMode="External"/><Relationship Id="rId4" Type="http://schemas.microsoft.com/office/2007/relationships/stylesWithEffects" Target="stylesWithEffects.xml"/><Relationship Id="rId9" Type="http://schemas.openxmlformats.org/officeDocument/2006/relationships/hyperlink" Target="mailto:Ashley.Chaifetz@fns.usda.gov" TargetMode="External"/><Relationship Id="rId14" Type="http://schemas.openxmlformats.org/officeDocument/2006/relationships/footer" Target="footer3.xml"/><Relationship Id="rId22"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file:///\\fnsva\~holly.figueroa\Farm%20to%20School%20Study\:%20https:\www.opm.gov\policy-data-oversight\pay-leave\salaries-wages\salary-tables\pdf\2018\DCB_h.pdf"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87565-4622-4DD4-A082-E4066AFD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6099</Words>
  <Characters>34767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40785</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Sandberg, Christina - FNS</dc:creator>
  <cp:keywords>Single-Sided body Templates</cp:keywords>
  <cp:lastModifiedBy>SYSTEM</cp:lastModifiedBy>
  <cp:revision>2</cp:revision>
  <cp:lastPrinted>2018-11-21T17:20:00Z</cp:lastPrinted>
  <dcterms:created xsi:type="dcterms:W3CDTF">2018-11-21T17:42:00Z</dcterms:created>
  <dcterms:modified xsi:type="dcterms:W3CDTF">2018-11-21T17:42:00Z</dcterms:modified>
  <cp:category>Templates</cp:category>
</cp:coreProperties>
</file>