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B6B" w:rsidRPr="007D53E8" w:rsidRDefault="00534B6B" w:rsidP="00534B6B">
      <w:pPr>
        <w:suppressAutoHyphens/>
        <w:jc w:val="center"/>
        <w:rPr>
          <w:rFonts w:ascii="Times New Roman" w:hAnsi="Times New Roman"/>
          <w:b/>
        </w:rPr>
      </w:pPr>
      <w:bookmarkStart w:id="0" w:name="_GoBack"/>
      <w:bookmarkEnd w:id="0"/>
      <w:r w:rsidRPr="007D53E8">
        <w:rPr>
          <w:rFonts w:ascii="Times New Roman" w:hAnsi="Times New Roman"/>
          <w:b/>
        </w:rPr>
        <w:t>SUPPORTING STATEMENT FOR NEW AND</w:t>
      </w:r>
    </w:p>
    <w:p w:rsidR="00534B6B" w:rsidRPr="007D53E8" w:rsidRDefault="00534B6B" w:rsidP="00534B6B">
      <w:pPr>
        <w:suppressAutoHyphens/>
        <w:spacing w:after="240"/>
        <w:jc w:val="center"/>
        <w:rPr>
          <w:rFonts w:ascii="Times New Roman" w:hAnsi="Times New Roman"/>
          <w:b/>
        </w:rPr>
      </w:pPr>
      <w:r w:rsidRPr="007D53E8">
        <w:rPr>
          <w:rFonts w:ascii="Times New Roman" w:hAnsi="Times New Roman"/>
          <w:b/>
        </w:rPr>
        <w:t>REVISED INFORMATION COLLECTIONS</w:t>
      </w:r>
    </w:p>
    <w:p w:rsidR="00534B6B" w:rsidRDefault="00534B6B" w:rsidP="00534B6B">
      <w:pPr>
        <w:tabs>
          <w:tab w:val="center" w:pos="4680"/>
        </w:tabs>
        <w:suppressAutoHyphens/>
        <w:spacing w:after="240"/>
        <w:jc w:val="center"/>
        <w:rPr>
          <w:rFonts w:ascii="Times New Roman" w:hAnsi="Times New Roman"/>
          <w:b/>
        </w:rPr>
      </w:pPr>
      <w:r w:rsidRPr="007D53E8">
        <w:rPr>
          <w:rFonts w:ascii="Times New Roman" w:hAnsi="Times New Roman"/>
          <w:b/>
        </w:rPr>
        <w:t xml:space="preserve">OMB CONTROL NUMBER </w:t>
      </w:r>
      <w:r w:rsidR="00B26DF3" w:rsidRPr="007D53E8">
        <w:rPr>
          <w:rFonts w:ascii="Times New Roman" w:hAnsi="Times New Roman"/>
          <w:b/>
        </w:rPr>
        <w:t>3038-</w:t>
      </w:r>
      <w:r w:rsidR="00977E0C">
        <w:rPr>
          <w:rFonts w:ascii="Times New Roman" w:hAnsi="Times New Roman"/>
          <w:b/>
        </w:rPr>
        <w:t>0076</w:t>
      </w:r>
    </w:p>
    <w:p w:rsidR="00297F2E" w:rsidRPr="00FE54B8" w:rsidRDefault="00297F2E" w:rsidP="00534B6B">
      <w:pPr>
        <w:tabs>
          <w:tab w:val="center" w:pos="4680"/>
        </w:tabs>
        <w:suppressAutoHyphens/>
        <w:spacing w:after="240"/>
        <w:jc w:val="center"/>
        <w:rPr>
          <w:rFonts w:ascii="Times New Roman" w:hAnsi="Times New Roman"/>
        </w:rPr>
      </w:pPr>
      <w:r w:rsidRPr="00FE54B8">
        <w:rPr>
          <w:rFonts w:ascii="Times New Roman" w:hAnsi="Times New Roman"/>
        </w:rPr>
        <w:t>Risk Management Requirements for Derivatives Clearing Organizations</w:t>
      </w:r>
    </w:p>
    <w:p w:rsidR="00534B6B" w:rsidRPr="007D53E8" w:rsidRDefault="00534B6B" w:rsidP="00534B6B">
      <w:pPr>
        <w:pStyle w:val="Heading1"/>
        <w:keepNext w:val="0"/>
        <w:spacing w:after="240"/>
        <w:rPr>
          <w:rFonts w:ascii="Times New Roman" w:hAnsi="Times New Roman"/>
          <w:szCs w:val="24"/>
        </w:rPr>
      </w:pPr>
      <w:r w:rsidRPr="007D53E8">
        <w:rPr>
          <w:rFonts w:ascii="Times New Roman" w:hAnsi="Times New Roman"/>
          <w:szCs w:val="24"/>
        </w:rPr>
        <w:t>Justification</w:t>
      </w:r>
    </w:p>
    <w:p w:rsidR="00534B6B" w:rsidRPr="007D53E8" w:rsidRDefault="00534B6B" w:rsidP="00534B6B">
      <w:pPr>
        <w:tabs>
          <w:tab w:val="left" w:pos="-720"/>
          <w:tab w:val="left" w:pos="0"/>
        </w:tabs>
        <w:spacing w:after="240"/>
        <w:rPr>
          <w:rFonts w:ascii="Times New Roman" w:hAnsi="Times New Roman"/>
        </w:rPr>
      </w:pPr>
      <w:r w:rsidRPr="007D53E8">
        <w:rPr>
          <w:rFonts w:ascii="Times New Roman" w:hAnsi="Times New Roman"/>
          <w:b/>
        </w:rPr>
        <w:t>1.</w:t>
      </w:r>
      <w:r w:rsidRPr="007D53E8">
        <w:rPr>
          <w:rFonts w:ascii="Times New Roman" w:hAnsi="Times New Roman"/>
          <w:b/>
        </w:rPr>
        <w:tab/>
        <w:t>Explain the circumstances that make the coll</w:t>
      </w:r>
      <w:r w:rsidR="00893A29" w:rsidRPr="007D53E8">
        <w:rPr>
          <w:rFonts w:ascii="Times New Roman" w:hAnsi="Times New Roman"/>
          <w:b/>
        </w:rPr>
        <w:t>ection of information necessary</w:t>
      </w:r>
      <w:r w:rsidRPr="007D53E8">
        <w:rPr>
          <w:rFonts w:ascii="Times New Roman" w:hAnsi="Times New Roman"/>
          <w:b/>
        </w:rPr>
        <w:t>.  Identify any legal or administrative requirements that necessitate the collection.  Attach a copy of the appropriate section of each statute and regulation mandating or authorizing the collection of information.</w:t>
      </w:r>
    </w:p>
    <w:p w:rsidR="00ED5DAA" w:rsidRDefault="00ED5DAA" w:rsidP="00512EE5">
      <w:pPr>
        <w:pStyle w:val="Default"/>
        <w:rPr>
          <w:rFonts w:ascii="Times New Roman" w:hAnsi="Times New Roman" w:cs="Times New Roman"/>
        </w:rPr>
      </w:pPr>
      <w:r>
        <w:rPr>
          <w:rFonts w:ascii="Times New Roman" w:hAnsi="Times New Roman" w:cs="Times New Roman"/>
        </w:rPr>
        <w:tab/>
      </w:r>
      <w:r w:rsidR="007B61B0" w:rsidRPr="007D53E8">
        <w:rPr>
          <w:rFonts w:ascii="Times New Roman" w:hAnsi="Times New Roman" w:cs="Times New Roman"/>
        </w:rPr>
        <w:t>Section 5b(c)(2) of the CEA</w:t>
      </w:r>
      <w:r w:rsidR="00CF28AB">
        <w:rPr>
          <w:rFonts w:ascii="Times New Roman" w:hAnsi="Times New Roman" w:cs="Times New Roman"/>
        </w:rPr>
        <w:t xml:space="preserve"> </w:t>
      </w:r>
      <w:r w:rsidR="00D4017D" w:rsidRPr="007D53E8">
        <w:rPr>
          <w:rFonts w:ascii="Times New Roman" w:hAnsi="Times New Roman" w:cs="Times New Roman"/>
        </w:rPr>
        <w:t>set</w:t>
      </w:r>
      <w:r w:rsidR="00CF28AB">
        <w:rPr>
          <w:rFonts w:ascii="Times New Roman" w:hAnsi="Times New Roman" w:cs="Times New Roman"/>
        </w:rPr>
        <w:t>s</w:t>
      </w:r>
      <w:r w:rsidR="00D4017D" w:rsidRPr="007D53E8">
        <w:rPr>
          <w:rFonts w:ascii="Times New Roman" w:hAnsi="Times New Roman" w:cs="Times New Roman"/>
        </w:rPr>
        <w:t xml:space="preserve"> forth core principles with which a derivatives clearing organization (“DCO”) must comply to be registered</w:t>
      </w:r>
      <w:r w:rsidR="00CF28AB">
        <w:rPr>
          <w:rFonts w:ascii="Times New Roman" w:hAnsi="Times New Roman" w:cs="Times New Roman"/>
        </w:rPr>
        <w:t>,</w:t>
      </w:r>
      <w:r w:rsidR="00D4017D" w:rsidRPr="007D53E8">
        <w:rPr>
          <w:rFonts w:ascii="Times New Roman" w:hAnsi="Times New Roman" w:cs="Times New Roman"/>
        </w:rPr>
        <w:t xml:space="preserve"> and to maintain registration</w:t>
      </w:r>
      <w:r w:rsidR="00CF28AB">
        <w:rPr>
          <w:rFonts w:ascii="Times New Roman" w:hAnsi="Times New Roman" w:cs="Times New Roman"/>
        </w:rPr>
        <w:t>,</w:t>
      </w:r>
      <w:r w:rsidR="00D4017D" w:rsidRPr="007D53E8">
        <w:rPr>
          <w:rFonts w:ascii="Times New Roman" w:hAnsi="Times New Roman" w:cs="Times New Roman"/>
        </w:rPr>
        <w:t xml:space="preserve"> as a DCO.  </w:t>
      </w:r>
      <w:r w:rsidR="00E26556">
        <w:rPr>
          <w:rFonts w:ascii="Times New Roman" w:hAnsi="Times New Roman" w:cs="Times New Roman"/>
        </w:rPr>
        <w:t xml:space="preserve">The Commission has codified these risk management requirements in Regulations 39.12, 39.13, 39.14, 39.15, 39.16 and 39.18.  </w:t>
      </w:r>
      <w:r>
        <w:rPr>
          <w:rFonts w:ascii="Times New Roman" w:hAnsi="Times New Roman" w:cs="Times New Roman"/>
        </w:rPr>
        <w:t xml:space="preserve">Regulation 39.3 </w:t>
      </w:r>
      <w:r w:rsidR="00CF28AB">
        <w:rPr>
          <w:rFonts w:ascii="Times New Roman" w:hAnsi="Times New Roman" w:cs="Times New Roman"/>
        </w:rPr>
        <w:t>require</w:t>
      </w:r>
      <w:r>
        <w:rPr>
          <w:rFonts w:ascii="Times New Roman" w:hAnsi="Times New Roman" w:cs="Times New Roman"/>
        </w:rPr>
        <w:t>s</w:t>
      </w:r>
      <w:r w:rsidR="00CF28AB">
        <w:rPr>
          <w:rFonts w:ascii="Times New Roman" w:hAnsi="Times New Roman" w:cs="Times New Roman"/>
        </w:rPr>
        <w:t xml:space="preserve"> </w:t>
      </w:r>
      <w:r w:rsidR="00CF28AB" w:rsidRPr="00F17018">
        <w:rPr>
          <w:rFonts w:ascii="Times New Roman" w:hAnsi="Times New Roman" w:cs="Times New Roman"/>
        </w:rPr>
        <w:t>any person seeking to register as a DCO to submit a completed Form DCO as provided in the appendix to part 39, accompanied by all applicable exhibits</w:t>
      </w:r>
      <w:r w:rsidR="00CF28AB">
        <w:rPr>
          <w:rFonts w:ascii="Times New Roman" w:hAnsi="Times New Roman" w:cs="Times New Roman"/>
        </w:rPr>
        <w:t>.</w:t>
      </w:r>
      <w:r w:rsidR="00CF28AB">
        <w:rPr>
          <w:rStyle w:val="FootnoteReference"/>
          <w:rFonts w:ascii="Times New Roman" w:hAnsi="Times New Roman" w:cs="Times New Roman"/>
        </w:rPr>
        <w:footnoteReference w:id="1"/>
      </w:r>
    </w:p>
    <w:p w:rsidR="00512EE5" w:rsidRDefault="00F17018" w:rsidP="00512EE5">
      <w:pPr>
        <w:pStyle w:val="Default"/>
        <w:rPr>
          <w:rFonts w:ascii="Times New Roman" w:hAnsi="Times New Roman" w:cs="Times New Roman"/>
        </w:rPr>
      </w:pPr>
      <w:r>
        <w:rPr>
          <w:rFonts w:ascii="Times New Roman" w:hAnsi="Times New Roman" w:cs="Times New Roman"/>
        </w:rPr>
        <w:t xml:space="preserve">  </w:t>
      </w:r>
    </w:p>
    <w:p w:rsidR="00512EE5" w:rsidRDefault="00D3323C" w:rsidP="00D4017D">
      <w:pPr>
        <w:ind w:firstLine="720"/>
        <w:rPr>
          <w:rFonts w:ascii="Times New Roman" w:hAnsi="Times New Roman"/>
        </w:rPr>
      </w:pPr>
      <w:r>
        <w:rPr>
          <w:rFonts w:ascii="Times New Roman" w:hAnsi="Times New Roman"/>
        </w:rPr>
        <w:t>Under t</w:t>
      </w:r>
      <w:r w:rsidR="004055F2">
        <w:rPr>
          <w:rFonts w:ascii="Times New Roman" w:hAnsi="Times New Roman"/>
        </w:rPr>
        <w:t>he</w:t>
      </w:r>
      <w:r w:rsidR="00ED5DAA">
        <w:rPr>
          <w:rFonts w:ascii="Times New Roman" w:hAnsi="Times New Roman"/>
        </w:rPr>
        <w:t>se</w:t>
      </w:r>
      <w:r w:rsidR="004055F2">
        <w:rPr>
          <w:rFonts w:ascii="Times New Roman" w:hAnsi="Times New Roman"/>
        </w:rPr>
        <w:t xml:space="preserve"> regulations</w:t>
      </w:r>
      <w:r>
        <w:rPr>
          <w:rFonts w:ascii="Times New Roman" w:hAnsi="Times New Roman"/>
        </w:rPr>
        <w:t>, e</w:t>
      </w:r>
      <w:r w:rsidR="004055F2" w:rsidRPr="004055F2">
        <w:rPr>
          <w:rFonts w:ascii="Times New Roman" w:hAnsi="Times New Roman"/>
        </w:rPr>
        <w:t>ach respon</w:t>
      </w:r>
      <w:r w:rsidR="004055F2">
        <w:rPr>
          <w:rFonts w:ascii="Times New Roman" w:hAnsi="Times New Roman"/>
        </w:rPr>
        <w:t xml:space="preserve">dent </w:t>
      </w:r>
      <w:r>
        <w:rPr>
          <w:rFonts w:ascii="Times New Roman" w:hAnsi="Times New Roman"/>
        </w:rPr>
        <w:t xml:space="preserve">is required </w:t>
      </w:r>
      <w:r w:rsidR="004055F2">
        <w:rPr>
          <w:rFonts w:ascii="Times New Roman" w:hAnsi="Times New Roman"/>
        </w:rPr>
        <w:t xml:space="preserve">to maintain records of </w:t>
      </w:r>
      <w:r w:rsidR="004055F2" w:rsidRPr="004055F2">
        <w:rPr>
          <w:rFonts w:ascii="Times New Roman" w:hAnsi="Times New Roman"/>
        </w:rPr>
        <w:t>activities related to its business as a DCO, including all information required to be created, generated, or reported under part 39, including but not limited to the results of and methodology used for all tests, reviews, and calculations.</w:t>
      </w:r>
      <w:r w:rsidR="004055F2">
        <w:rPr>
          <w:rFonts w:ascii="Times New Roman" w:hAnsi="Times New Roman"/>
        </w:rPr>
        <w:t xml:space="preserve">  In addition, Regulation 39.18(g) require</w:t>
      </w:r>
      <w:r w:rsidR="009319D1">
        <w:rPr>
          <w:rFonts w:ascii="Times New Roman" w:hAnsi="Times New Roman"/>
        </w:rPr>
        <w:t>s</w:t>
      </w:r>
      <w:r w:rsidR="004055F2">
        <w:rPr>
          <w:rFonts w:ascii="Times New Roman" w:hAnsi="Times New Roman"/>
        </w:rPr>
        <w:t xml:space="preserve"> a DCO to </w:t>
      </w:r>
      <w:r w:rsidR="009319D1">
        <w:rPr>
          <w:rFonts w:ascii="Times New Roman" w:hAnsi="Times New Roman"/>
        </w:rPr>
        <w:t>notify Commission staff of certain exceptional events, including any hardware or software malfunction, cyber security incident, or targeted threat that materially impairs</w:t>
      </w:r>
      <w:r w:rsidR="009319D1" w:rsidRPr="009319D1">
        <w:t xml:space="preserve"> </w:t>
      </w:r>
      <w:r w:rsidR="009319D1" w:rsidRPr="009319D1">
        <w:rPr>
          <w:rFonts w:ascii="Times New Roman" w:hAnsi="Times New Roman"/>
        </w:rPr>
        <w:t>or creates a significant likelihood of material impairment, of automated system operation, reliability, security, or capacity; or</w:t>
      </w:r>
      <w:r w:rsidR="009319D1">
        <w:rPr>
          <w:rFonts w:ascii="Times New Roman" w:hAnsi="Times New Roman"/>
        </w:rPr>
        <w:t xml:space="preserve"> a</w:t>
      </w:r>
      <w:r w:rsidR="009319D1" w:rsidRPr="009319D1">
        <w:rPr>
          <w:rFonts w:ascii="Times New Roman" w:hAnsi="Times New Roman"/>
        </w:rPr>
        <w:t xml:space="preserve">ny activation of the </w:t>
      </w:r>
      <w:r w:rsidR="009319D1">
        <w:rPr>
          <w:rFonts w:ascii="Times New Roman" w:hAnsi="Times New Roman"/>
        </w:rPr>
        <w:t>DCO</w:t>
      </w:r>
      <w:r w:rsidR="009319D1" w:rsidRPr="009319D1">
        <w:rPr>
          <w:rFonts w:ascii="Times New Roman" w:hAnsi="Times New Roman"/>
        </w:rPr>
        <w:t>'s business continuity and disaster recovery plan.</w:t>
      </w:r>
      <w:r w:rsidR="009319D1">
        <w:rPr>
          <w:rFonts w:ascii="Times New Roman" w:hAnsi="Times New Roman"/>
        </w:rPr>
        <w:t xml:space="preserve">  Further, Regulation 39.18(h) requires that the DCO provide Commission staff with timely advance notice of planned changes to </w:t>
      </w:r>
      <w:r w:rsidR="009319D1" w:rsidRPr="009319D1">
        <w:rPr>
          <w:rFonts w:ascii="Times New Roman" w:hAnsi="Times New Roman"/>
        </w:rPr>
        <w:t>automated systems that are likely to have a significant impact on the reliability, security, or adequate sca</w:t>
      </w:r>
      <w:r w:rsidR="009319D1">
        <w:rPr>
          <w:rFonts w:ascii="Times New Roman" w:hAnsi="Times New Roman"/>
        </w:rPr>
        <w:t>lable capacity of such systems, as well as p</w:t>
      </w:r>
      <w:r w:rsidR="009319D1" w:rsidRPr="009319D1">
        <w:rPr>
          <w:rFonts w:ascii="Times New Roman" w:hAnsi="Times New Roman"/>
        </w:rPr>
        <w:t xml:space="preserve">lanned changes to the </w:t>
      </w:r>
      <w:r w:rsidR="009319D1">
        <w:rPr>
          <w:rFonts w:ascii="Times New Roman" w:hAnsi="Times New Roman"/>
        </w:rPr>
        <w:t>DCO</w:t>
      </w:r>
      <w:r w:rsidR="009319D1" w:rsidRPr="009319D1">
        <w:rPr>
          <w:rFonts w:ascii="Times New Roman" w:hAnsi="Times New Roman"/>
        </w:rPr>
        <w:t>'s program of risk analysis and oversight.</w:t>
      </w:r>
      <w:r w:rsidR="004055F2">
        <w:rPr>
          <w:rFonts w:ascii="Times New Roman" w:hAnsi="Times New Roman"/>
        </w:rPr>
        <w:t xml:space="preserve"> </w:t>
      </w:r>
      <w:r w:rsidR="006F6EC3">
        <w:rPr>
          <w:rFonts w:ascii="Times New Roman" w:hAnsi="Times New Roman"/>
        </w:rPr>
        <w:t xml:space="preserve"> These notice requirements are incorporated by reference in Regulation 39.19, which establishes the procedure for such notifications.  </w:t>
      </w:r>
      <w:r>
        <w:rPr>
          <w:rFonts w:ascii="Times New Roman" w:hAnsi="Times New Roman"/>
        </w:rPr>
        <w:t xml:space="preserve">Appendix A to Part 39 includes Form DCO, which </w:t>
      </w:r>
      <w:r w:rsidR="00201988">
        <w:rPr>
          <w:rFonts w:ascii="Times New Roman" w:hAnsi="Times New Roman"/>
        </w:rPr>
        <w:t>standardize</w:t>
      </w:r>
      <w:r>
        <w:rPr>
          <w:rFonts w:ascii="Times New Roman" w:hAnsi="Times New Roman"/>
        </w:rPr>
        <w:t>s</w:t>
      </w:r>
      <w:r w:rsidR="00201988">
        <w:rPr>
          <w:rFonts w:ascii="Times New Roman" w:hAnsi="Times New Roman"/>
        </w:rPr>
        <w:t xml:space="preserve"> the application process</w:t>
      </w:r>
      <w:r w:rsidR="005D39C1">
        <w:rPr>
          <w:rFonts w:ascii="Times New Roman" w:hAnsi="Times New Roman"/>
        </w:rPr>
        <w:t xml:space="preserve"> for DCO registration</w:t>
      </w:r>
      <w:r w:rsidR="00201988">
        <w:rPr>
          <w:rFonts w:ascii="Times New Roman" w:hAnsi="Times New Roman"/>
        </w:rPr>
        <w:t>.</w:t>
      </w:r>
      <w:r w:rsidR="006F6EC3">
        <w:rPr>
          <w:rFonts w:ascii="Times New Roman" w:hAnsi="Times New Roman"/>
        </w:rPr>
        <w:t xml:space="preserve"> </w:t>
      </w:r>
    </w:p>
    <w:p w:rsidR="00D4017D" w:rsidRPr="007D53E8" w:rsidRDefault="00D4017D" w:rsidP="00512EE5">
      <w:pPr>
        <w:rPr>
          <w:rFonts w:ascii="Times New Roman" w:hAnsi="Times New Roman"/>
        </w:rPr>
      </w:pPr>
    </w:p>
    <w:p w:rsidR="00534B6B" w:rsidRPr="007D53E8" w:rsidRDefault="00534B6B" w:rsidP="00534B6B">
      <w:pPr>
        <w:tabs>
          <w:tab w:val="left" w:pos="-720"/>
        </w:tabs>
        <w:spacing w:after="240"/>
        <w:rPr>
          <w:rFonts w:ascii="Times New Roman" w:hAnsi="Times New Roman"/>
          <w:b/>
        </w:rPr>
      </w:pPr>
      <w:r w:rsidRPr="007D53E8">
        <w:rPr>
          <w:rFonts w:ascii="Times New Roman" w:hAnsi="Times New Roman"/>
          <w:b/>
        </w:rPr>
        <w:t>2.</w:t>
      </w:r>
      <w:r w:rsidRPr="007D53E8">
        <w:rPr>
          <w:rFonts w:ascii="Times New Roman" w:hAnsi="Times New Roman"/>
          <w:b/>
        </w:rPr>
        <w:tab/>
        <w:t>Indicate how, by who</w:t>
      </w:r>
      <w:r w:rsidR="00EB6A33" w:rsidRPr="007D53E8">
        <w:rPr>
          <w:rFonts w:ascii="Times New Roman" w:hAnsi="Times New Roman"/>
          <w:b/>
        </w:rPr>
        <w:t>m, and for what purpose the data</w:t>
      </w:r>
      <w:r w:rsidRPr="007D53E8">
        <w:rPr>
          <w:rFonts w:ascii="Times New Roman" w:hAnsi="Times New Roman"/>
          <w:b/>
        </w:rPr>
        <w:t xml:space="preserve"> would be used.  Except for a new collection, indicate the actual use the agency has made of the information received from the current collection.</w:t>
      </w:r>
    </w:p>
    <w:p w:rsidR="00534B6B" w:rsidRPr="007D53E8" w:rsidRDefault="00D3323C" w:rsidP="00534B6B">
      <w:pPr>
        <w:spacing w:after="240"/>
        <w:rPr>
          <w:rFonts w:ascii="Times New Roman" w:hAnsi="Times New Roman"/>
        </w:rPr>
      </w:pPr>
      <w:r>
        <w:rPr>
          <w:rFonts w:ascii="Times New Roman" w:hAnsi="Times New Roman"/>
        </w:rPr>
        <w:tab/>
      </w:r>
      <w:r w:rsidR="00534B6B" w:rsidRPr="007D53E8">
        <w:rPr>
          <w:rFonts w:ascii="Times New Roman" w:hAnsi="Times New Roman"/>
        </w:rPr>
        <w:t xml:space="preserve">The information received </w:t>
      </w:r>
      <w:r w:rsidR="009319D1">
        <w:rPr>
          <w:rFonts w:ascii="Times New Roman" w:hAnsi="Times New Roman"/>
        </w:rPr>
        <w:t>is</w:t>
      </w:r>
      <w:r w:rsidR="00534B6B" w:rsidRPr="007D53E8">
        <w:rPr>
          <w:rFonts w:ascii="Times New Roman" w:hAnsi="Times New Roman"/>
        </w:rPr>
        <w:t xml:space="preserve"> analyzed by Commission staff and form</w:t>
      </w:r>
      <w:r w:rsidR="009319D1">
        <w:rPr>
          <w:rFonts w:ascii="Times New Roman" w:hAnsi="Times New Roman"/>
        </w:rPr>
        <w:t>s</w:t>
      </w:r>
      <w:r w:rsidR="00534B6B" w:rsidRPr="007D53E8">
        <w:rPr>
          <w:rFonts w:ascii="Times New Roman" w:hAnsi="Times New Roman"/>
        </w:rPr>
        <w:t xml:space="preserve"> a basis for </w:t>
      </w:r>
      <w:r w:rsidR="007D690E">
        <w:rPr>
          <w:rFonts w:ascii="Times New Roman" w:hAnsi="Times New Roman"/>
        </w:rPr>
        <w:t xml:space="preserve">on-going evaluation and oversight of the </w:t>
      </w:r>
      <w:r w:rsidR="00B600A8">
        <w:rPr>
          <w:rFonts w:ascii="Times New Roman" w:hAnsi="Times New Roman"/>
        </w:rPr>
        <w:t xml:space="preserve">risk management and </w:t>
      </w:r>
      <w:r w:rsidR="007D690E">
        <w:rPr>
          <w:rFonts w:ascii="Times New Roman" w:hAnsi="Times New Roman"/>
        </w:rPr>
        <w:t>financial integrity of DCOs and compliance with the CEA and Commission regulations.  It inform</w:t>
      </w:r>
      <w:r w:rsidR="009319D1">
        <w:rPr>
          <w:rFonts w:ascii="Times New Roman" w:hAnsi="Times New Roman"/>
        </w:rPr>
        <w:t>s</w:t>
      </w:r>
      <w:r w:rsidR="007D690E">
        <w:rPr>
          <w:rFonts w:ascii="Times New Roman" w:hAnsi="Times New Roman"/>
        </w:rPr>
        <w:t xml:space="preserve"> </w:t>
      </w:r>
      <w:r w:rsidR="00534B6B" w:rsidRPr="007D53E8">
        <w:rPr>
          <w:rFonts w:ascii="Times New Roman" w:hAnsi="Times New Roman"/>
        </w:rPr>
        <w:t xml:space="preserve">the Commission concerning whether the Commission should take any action regarding </w:t>
      </w:r>
      <w:r w:rsidR="007D690E">
        <w:rPr>
          <w:rFonts w:ascii="Times New Roman" w:hAnsi="Times New Roman"/>
        </w:rPr>
        <w:t xml:space="preserve">the failure of financial and risk management </w:t>
      </w:r>
      <w:r w:rsidR="007D690E">
        <w:rPr>
          <w:rFonts w:ascii="Times New Roman" w:hAnsi="Times New Roman"/>
        </w:rPr>
        <w:lastRenderedPageBreak/>
        <w:t xml:space="preserve">practices or </w:t>
      </w:r>
      <w:r w:rsidR="00534B6B" w:rsidRPr="007D53E8">
        <w:rPr>
          <w:rFonts w:ascii="Times New Roman" w:hAnsi="Times New Roman"/>
        </w:rPr>
        <w:t xml:space="preserve">lack of compliance with the </w:t>
      </w:r>
      <w:r w:rsidR="00A53958" w:rsidRPr="007D53E8">
        <w:rPr>
          <w:rFonts w:ascii="Times New Roman" w:hAnsi="Times New Roman"/>
        </w:rPr>
        <w:t>CEA</w:t>
      </w:r>
      <w:r w:rsidR="00534B6B" w:rsidRPr="007D53E8">
        <w:rPr>
          <w:rFonts w:ascii="Times New Roman" w:hAnsi="Times New Roman"/>
        </w:rPr>
        <w:t>.</w:t>
      </w:r>
      <w:r w:rsidR="00512EE5">
        <w:rPr>
          <w:rFonts w:ascii="Times New Roman" w:hAnsi="Times New Roman"/>
        </w:rPr>
        <w:t xml:space="preserve"> It also </w:t>
      </w:r>
      <w:r w:rsidR="009319D1">
        <w:rPr>
          <w:rFonts w:ascii="Times New Roman" w:hAnsi="Times New Roman"/>
        </w:rPr>
        <w:t xml:space="preserve">is </w:t>
      </w:r>
      <w:r w:rsidR="00512EE5">
        <w:rPr>
          <w:rFonts w:ascii="Times New Roman" w:hAnsi="Times New Roman"/>
        </w:rPr>
        <w:t xml:space="preserve">used as the basis for determining whether applicants meet the necessary criteria to register as a </w:t>
      </w:r>
      <w:r w:rsidR="009319D1">
        <w:rPr>
          <w:rFonts w:ascii="Times New Roman" w:hAnsi="Times New Roman"/>
        </w:rPr>
        <w:t>DCO</w:t>
      </w:r>
      <w:r w:rsidR="00512EE5">
        <w:rPr>
          <w:rFonts w:ascii="Times New Roman" w:hAnsi="Times New Roman"/>
        </w:rPr>
        <w:t>.</w:t>
      </w:r>
    </w:p>
    <w:p w:rsidR="00534B6B" w:rsidRPr="007D53E8" w:rsidRDefault="00534B6B" w:rsidP="00534B6B">
      <w:pPr>
        <w:keepNext/>
        <w:tabs>
          <w:tab w:val="left" w:pos="-720"/>
          <w:tab w:val="left" w:pos="0"/>
        </w:tabs>
        <w:spacing w:after="240"/>
        <w:rPr>
          <w:rFonts w:ascii="Times New Roman" w:hAnsi="Times New Roman"/>
          <w:b/>
        </w:rPr>
      </w:pPr>
      <w:r w:rsidRPr="007D53E8">
        <w:rPr>
          <w:rFonts w:ascii="Times New Roman" w:hAnsi="Times New Roman"/>
          <w:b/>
        </w:rPr>
        <w:t>3.</w:t>
      </w:r>
      <w:r w:rsidRPr="007D53E8">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4B6B" w:rsidRPr="007D53E8" w:rsidRDefault="00534B6B" w:rsidP="00534B6B">
      <w:pPr>
        <w:tabs>
          <w:tab w:val="left" w:pos="-720"/>
          <w:tab w:val="left" w:pos="0"/>
        </w:tabs>
        <w:spacing w:after="240"/>
        <w:rPr>
          <w:rFonts w:ascii="Times New Roman" w:hAnsi="Times New Roman"/>
        </w:rPr>
      </w:pPr>
      <w:r w:rsidRPr="007D53E8">
        <w:rPr>
          <w:rFonts w:ascii="Times New Roman" w:hAnsi="Times New Roman"/>
        </w:rPr>
        <w:tab/>
      </w:r>
      <w:r w:rsidR="00166C09">
        <w:rPr>
          <w:rFonts w:ascii="Times New Roman" w:hAnsi="Times New Roman"/>
        </w:rPr>
        <w:t xml:space="preserve">Unless there is an emergency situation where the respondent </w:t>
      </w:r>
      <w:r w:rsidR="007D690E">
        <w:rPr>
          <w:rFonts w:ascii="Times New Roman" w:hAnsi="Times New Roman"/>
        </w:rPr>
        <w:t>might</w:t>
      </w:r>
      <w:r w:rsidR="00166C09">
        <w:rPr>
          <w:rFonts w:ascii="Times New Roman" w:hAnsi="Times New Roman"/>
        </w:rPr>
        <w:t xml:space="preserve"> report to the Commission </w:t>
      </w:r>
      <w:r w:rsidR="007D690E">
        <w:rPr>
          <w:rFonts w:ascii="Times New Roman" w:hAnsi="Times New Roman"/>
        </w:rPr>
        <w:t>by telephone</w:t>
      </w:r>
      <w:r w:rsidR="00166C09">
        <w:rPr>
          <w:rFonts w:ascii="Times New Roman" w:hAnsi="Times New Roman"/>
        </w:rPr>
        <w:t>, i</w:t>
      </w:r>
      <w:r w:rsidRPr="007D53E8">
        <w:rPr>
          <w:rFonts w:ascii="Times New Roman" w:hAnsi="Times New Roman"/>
        </w:rPr>
        <w:t xml:space="preserve">nformation </w:t>
      </w:r>
      <w:r w:rsidR="00A53958" w:rsidRPr="007D53E8">
        <w:rPr>
          <w:rFonts w:ascii="Times New Roman" w:hAnsi="Times New Roman"/>
        </w:rPr>
        <w:t xml:space="preserve">is required to </w:t>
      </w:r>
      <w:r w:rsidRPr="007D53E8">
        <w:rPr>
          <w:rFonts w:ascii="Times New Roman" w:hAnsi="Times New Roman"/>
        </w:rPr>
        <w:t>be submitted electronically.</w:t>
      </w:r>
    </w:p>
    <w:p w:rsidR="00534B6B" w:rsidRPr="007D53E8" w:rsidRDefault="00534B6B" w:rsidP="00534B6B">
      <w:pPr>
        <w:tabs>
          <w:tab w:val="left" w:pos="-720"/>
          <w:tab w:val="left" w:pos="0"/>
        </w:tabs>
        <w:spacing w:after="240"/>
        <w:rPr>
          <w:rFonts w:ascii="Times New Roman" w:hAnsi="Times New Roman"/>
          <w:b/>
        </w:rPr>
      </w:pPr>
      <w:r w:rsidRPr="007D53E8">
        <w:rPr>
          <w:rFonts w:ascii="Times New Roman" w:hAnsi="Times New Roman"/>
          <w:b/>
        </w:rPr>
        <w:t>4.</w:t>
      </w:r>
      <w:r w:rsidRPr="007D53E8">
        <w:rPr>
          <w:rFonts w:ascii="Times New Roman" w:hAnsi="Times New Roman"/>
          <w:b/>
        </w:rPr>
        <w:tab/>
        <w:t>Describe efforts to identify duplication.  Show specifically why any similar information already available cannot be used or modified for use for the purposes described in Item 2 above.</w:t>
      </w:r>
    </w:p>
    <w:p w:rsidR="00534B6B" w:rsidRPr="007D53E8" w:rsidRDefault="00534B6B" w:rsidP="00534B6B">
      <w:pPr>
        <w:tabs>
          <w:tab w:val="left" w:pos="-720"/>
        </w:tabs>
        <w:spacing w:after="240"/>
        <w:rPr>
          <w:rFonts w:ascii="Times New Roman" w:hAnsi="Times New Roman"/>
        </w:rPr>
      </w:pPr>
      <w:r w:rsidRPr="007D53E8">
        <w:rPr>
          <w:rFonts w:ascii="Times New Roman" w:hAnsi="Times New Roman"/>
        </w:rPr>
        <w:tab/>
      </w:r>
      <w:r w:rsidR="00572A34" w:rsidRPr="00572A34">
        <w:rPr>
          <w:rFonts w:ascii="Times New Roman" w:hAnsi="Times New Roman"/>
        </w:rPr>
        <w:t>The required information is not already collected by the Commission for any other purpose, nor is it collected by any other agency, nor is the information available for public disclosure through any other source.</w:t>
      </w:r>
    </w:p>
    <w:p w:rsidR="00534B6B" w:rsidRPr="007D53E8" w:rsidRDefault="00534B6B" w:rsidP="00534B6B">
      <w:pPr>
        <w:tabs>
          <w:tab w:val="left" w:pos="-720"/>
          <w:tab w:val="left" w:pos="0"/>
        </w:tabs>
        <w:spacing w:after="240"/>
        <w:rPr>
          <w:rFonts w:ascii="Times New Roman" w:hAnsi="Times New Roman"/>
          <w:b/>
        </w:rPr>
      </w:pPr>
      <w:r w:rsidRPr="007D53E8">
        <w:rPr>
          <w:rFonts w:ascii="Times New Roman" w:hAnsi="Times New Roman"/>
          <w:b/>
        </w:rPr>
        <w:t>5.</w:t>
      </w:r>
      <w:r w:rsidRPr="007D53E8">
        <w:rPr>
          <w:rFonts w:ascii="Times New Roman" w:hAnsi="Times New Roman"/>
          <w:b/>
        </w:rPr>
        <w:tab/>
        <w:t>If the collection of information involves small business or other small entities (Item 5 of OMB From 83-I), describe the methods used to minimize burden.</w:t>
      </w:r>
    </w:p>
    <w:p w:rsidR="00534B6B" w:rsidRPr="007D53E8" w:rsidRDefault="00534B6B" w:rsidP="00534B6B">
      <w:pPr>
        <w:tabs>
          <w:tab w:val="left" w:pos="-720"/>
        </w:tabs>
        <w:spacing w:after="240"/>
        <w:rPr>
          <w:rFonts w:ascii="Times New Roman" w:hAnsi="Times New Roman"/>
        </w:rPr>
      </w:pPr>
      <w:r w:rsidRPr="007D53E8">
        <w:rPr>
          <w:rFonts w:ascii="Times New Roman" w:hAnsi="Times New Roman"/>
        </w:rPr>
        <w:tab/>
        <w:t>This collection of information will not have a significant impact on a substantial number of small entities.</w:t>
      </w:r>
      <w:r w:rsidR="00022B65" w:rsidRPr="007D53E8">
        <w:rPr>
          <w:rFonts w:ascii="Times New Roman" w:hAnsi="Times New Roman"/>
        </w:rPr>
        <w:t xml:space="preserve">  </w:t>
      </w:r>
      <w:r w:rsidR="00EB6A33" w:rsidRPr="007D53E8">
        <w:rPr>
          <w:rFonts w:ascii="Times New Roman" w:hAnsi="Times New Roman"/>
        </w:rPr>
        <w:t>The required information does not involve any small busi</w:t>
      </w:r>
      <w:r w:rsidR="00022B65" w:rsidRPr="007D53E8">
        <w:rPr>
          <w:rFonts w:ascii="Times New Roman" w:hAnsi="Times New Roman"/>
        </w:rPr>
        <w:t>nesses or other small entities.</w:t>
      </w:r>
    </w:p>
    <w:p w:rsidR="00534B6B" w:rsidRPr="007D53E8" w:rsidRDefault="00534B6B" w:rsidP="00534B6B">
      <w:pPr>
        <w:tabs>
          <w:tab w:val="left" w:pos="-720"/>
          <w:tab w:val="left" w:pos="0"/>
        </w:tabs>
        <w:spacing w:after="240"/>
        <w:rPr>
          <w:rFonts w:ascii="Times New Roman" w:hAnsi="Times New Roman"/>
          <w:b/>
        </w:rPr>
      </w:pPr>
      <w:r w:rsidRPr="007D53E8">
        <w:rPr>
          <w:rFonts w:ascii="Times New Roman" w:hAnsi="Times New Roman"/>
          <w:b/>
        </w:rPr>
        <w:t>6.</w:t>
      </w:r>
      <w:r w:rsidRPr="007D53E8">
        <w:rPr>
          <w:rFonts w:ascii="Times New Roman" w:hAnsi="Times New Roman"/>
          <w:b/>
        </w:rPr>
        <w:tab/>
        <w:t>Describe the consequence to the Federal Program or policy activities if the collection were conducted less frequently as well as any technical or legal obstacles to reducing burden.</w:t>
      </w:r>
    </w:p>
    <w:p w:rsidR="00534B6B" w:rsidRPr="007D53E8" w:rsidRDefault="00534B6B" w:rsidP="00534B6B">
      <w:pPr>
        <w:tabs>
          <w:tab w:val="left" w:pos="-720"/>
        </w:tabs>
        <w:spacing w:after="240"/>
        <w:rPr>
          <w:rFonts w:ascii="Times New Roman" w:hAnsi="Times New Roman"/>
        </w:rPr>
      </w:pPr>
      <w:r w:rsidRPr="007D53E8">
        <w:rPr>
          <w:rFonts w:ascii="Times New Roman" w:hAnsi="Times New Roman"/>
        </w:rPr>
        <w:tab/>
        <w:t xml:space="preserve">If the information required under this collection of information were not collected, enforcement of </w:t>
      </w:r>
      <w:r w:rsidR="007D690E">
        <w:rPr>
          <w:rFonts w:ascii="Times New Roman" w:hAnsi="Times New Roman"/>
        </w:rPr>
        <w:t xml:space="preserve">the CEA and </w:t>
      </w:r>
      <w:r w:rsidRPr="007D53E8">
        <w:rPr>
          <w:rFonts w:ascii="Times New Roman" w:hAnsi="Times New Roman"/>
        </w:rPr>
        <w:t>Commission rules would be adversely affected.</w:t>
      </w:r>
    </w:p>
    <w:p w:rsidR="00534B6B" w:rsidRPr="007D53E8" w:rsidRDefault="00534B6B" w:rsidP="00534B6B">
      <w:pPr>
        <w:tabs>
          <w:tab w:val="left" w:pos="-720"/>
          <w:tab w:val="left" w:pos="0"/>
        </w:tabs>
        <w:spacing w:after="240"/>
        <w:rPr>
          <w:rFonts w:ascii="Times New Roman" w:hAnsi="Times New Roman"/>
          <w:b/>
        </w:rPr>
      </w:pPr>
      <w:r w:rsidRPr="007D53E8">
        <w:rPr>
          <w:rFonts w:ascii="Times New Roman" w:hAnsi="Times New Roman"/>
          <w:b/>
        </w:rPr>
        <w:t>7.</w:t>
      </w:r>
      <w:r w:rsidRPr="007D53E8">
        <w:rPr>
          <w:rFonts w:ascii="Times New Roman" w:hAnsi="Times New Roman"/>
          <w:b/>
        </w:rPr>
        <w:tab/>
        <w:t>Explain any special circumstances that require the collection to be conducted in a manner:</w:t>
      </w:r>
    </w:p>
    <w:p w:rsidR="0088759B" w:rsidRPr="007D53E8" w:rsidRDefault="00534B6B" w:rsidP="0088759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requiring respondents to report information to the agency more often than quarterly;</w:t>
      </w:r>
    </w:p>
    <w:p w:rsidR="005D43DB" w:rsidRPr="007D53E8" w:rsidRDefault="00362852" w:rsidP="0088759B">
      <w:pPr>
        <w:tabs>
          <w:tab w:val="left" w:pos="-720"/>
          <w:tab w:val="left" w:pos="0"/>
          <w:tab w:val="left" w:pos="720"/>
        </w:tabs>
        <w:spacing w:after="240"/>
        <w:ind w:left="1080"/>
        <w:rPr>
          <w:rFonts w:ascii="Times New Roman" w:hAnsi="Times New Roman"/>
        </w:rPr>
      </w:pPr>
      <w:r>
        <w:rPr>
          <w:rFonts w:ascii="Times New Roman" w:hAnsi="Times New Roman"/>
        </w:rPr>
        <w:t>E</w:t>
      </w:r>
      <w:r w:rsidR="005D43DB" w:rsidRPr="007D53E8">
        <w:rPr>
          <w:rFonts w:ascii="Times New Roman" w:hAnsi="Times New Roman"/>
        </w:rPr>
        <w:t>vent-</w:t>
      </w:r>
      <w:r w:rsidR="007D690E">
        <w:rPr>
          <w:rFonts w:ascii="Times New Roman" w:hAnsi="Times New Roman"/>
        </w:rPr>
        <w:t>s</w:t>
      </w:r>
      <w:r w:rsidR="005D43DB" w:rsidRPr="007D53E8">
        <w:rPr>
          <w:rFonts w:ascii="Times New Roman" w:hAnsi="Times New Roman"/>
        </w:rPr>
        <w:t>pecific reporting may or may not be more often than quarterl</w:t>
      </w:r>
      <w:r w:rsidR="00512EE5">
        <w:rPr>
          <w:rFonts w:ascii="Times New Roman" w:hAnsi="Times New Roman"/>
        </w:rPr>
        <w:t xml:space="preserve">y.  </w:t>
      </w:r>
    </w:p>
    <w:p w:rsidR="00534B6B"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 xml:space="preserve">requiring respondents to prepare a written response to a collection of </w:t>
      </w:r>
      <w:r w:rsidR="00082A80">
        <w:rPr>
          <w:rFonts w:ascii="Times New Roman" w:hAnsi="Times New Roman"/>
          <w:b/>
        </w:rPr>
        <w:t xml:space="preserve"> </w:t>
      </w:r>
      <w:r w:rsidRPr="007D53E8">
        <w:rPr>
          <w:rFonts w:ascii="Times New Roman" w:hAnsi="Times New Roman"/>
          <w:b/>
        </w:rPr>
        <w:t>information in fewer than 30 days after receipt of it:</w:t>
      </w:r>
    </w:p>
    <w:p w:rsidR="00446161" w:rsidRPr="007D53E8" w:rsidRDefault="00446161" w:rsidP="00446161">
      <w:pPr>
        <w:tabs>
          <w:tab w:val="left" w:pos="-720"/>
          <w:tab w:val="left" w:pos="0"/>
          <w:tab w:val="left" w:pos="720"/>
        </w:tabs>
        <w:spacing w:after="240"/>
        <w:ind w:left="1080"/>
        <w:rPr>
          <w:rFonts w:ascii="Times New Roman" w:hAnsi="Times New Roman"/>
        </w:rPr>
      </w:pPr>
      <w:r w:rsidRPr="007D53E8">
        <w:rPr>
          <w:rFonts w:ascii="Times New Roman" w:hAnsi="Times New Roman"/>
        </w:rPr>
        <w:t xml:space="preserve">In order for the Commission </w:t>
      </w:r>
      <w:r w:rsidR="007764F4" w:rsidRPr="007D53E8">
        <w:rPr>
          <w:rFonts w:ascii="Times New Roman" w:hAnsi="Times New Roman"/>
        </w:rPr>
        <w:t>to adequately assess a DCO</w:t>
      </w:r>
      <w:r w:rsidR="007D690E">
        <w:rPr>
          <w:rFonts w:ascii="Times New Roman" w:hAnsi="Times New Roman"/>
        </w:rPr>
        <w:t>’s</w:t>
      </w:r>
      <w:r w:rsidRPr="007D53E8">
        <w:rPr>
          <w:rFonts w:ascii="Times New Roman" w:hAnsi="Times New Roman"/>
        </w:rPr>
        <w:t xml:space="preserve"> </w:t>
      </w:r>
      <w:r w:rsidR="00572A34" w:rsidRPr="00572A34">
        <w:rPr>
          <w:rFonts w:ascii="Times New Roman" w:hAnsi="Times New Roman"/>
        </w:rPr>
        <w:t xml:space="preserve">compliance with </w:t>
      </w:r>
      <w:r w:rsidR="00572A34">
        <w:rPr>
          <w:rFonts w:ascii="Times New Roman" w:hAnsi="Times New Roman"/>
        </w:rPr>
        <w:t>these core p</w:t>
      </w:r>
      <w:r w:rsidR="00572A34" w:rsidRPr="00572A34">
        <w:rPr>
          <w:rFonts w:ascii="Times New Roman" w:hAnsi="Times New Roman"/>
        </w:rPr>
        <w:t>rinciple</w:t>
      </w:r>
      <w:r w:rsidR="00572A34">
        <w:rPr>
          <w:rFonts w:ascii="Times New Roman" w:hAnsi="Times New Roman"/>
        </w:rPr>
        <w:t>s</w:t>
      </w:r>
      <w:r w:rsidR="00572A34" w:rsidRPr="00572A34">
        <w:rPr>
          <w:rFonts w:ascii="Times New Roman" w:hAnsi="Times New Roman"/>
        </w:rPr>
        <w:t xml:space="preserve"> and related regulations, </w:t>
      </w:r>
      <w:r w:rsidR="005D43DB" w:rsidRPr="007D53E8">
        <w:rPr>
          <w:rFonts w:ascii="Times New Roman" w:hAnsi="Times New Roman"/>
        </w:rPr>
        <w:t>a DCO</w:t>
      </w:r>
      <w:r w:rsidRPr="007D53E8">
        <w:rPr>
          <w:rFonts w:ascii="Times New Roman" w:hAnsi="Times New Roman"/>
        </w:rPr>
        <w:t xml:space="preserve"> </w:t>
      </w:r>
      <w:r w:rsidR="00572A34">
        <w:rPr>
          <w:rFonts w:ascii="Times New Roman" w:hAnsi="Times New Roman"/>
        </w:rPr>
        <w:t xml:space="preserve">may be required </w:t>
      </w:r>
      <w:r w:rsidRPr="007D53E8">
        <w:rPr>
          <w:rFonts w:ascii="Times New Roman" w:hAnsi="Times New Roman"/>
        </w:rPr>
        <w:t>to prepare a written response to a collection of information in fewer than 30 days depending on the exigency of the situation.</w:t>
      </w:r>
      <w:r w:rsidR="005D43DB" w:rsidRPr="007D53E8">
        <w:rPr>
          <w:rFonts w:ascii="Times New Roman" w:hAnsi="Times New Roman"/>
        </w:rPr>
        <w:t xml:space="preserve">  At all times, the Commission’s goal is to protect the integrity of the U.S. clearing system.</w:t>
      </w:r>
    </w:p>
    <w:p w:rsidR="00534B6B"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requiring respondents to submit more that an original and two copies of any document;</w:t>
      </w:r>
    </w:p>
    <w:p w:rsidR="00446161" w:rsidRPr="007D53E8" w:rsidRDefault="007764F4" w:rsidP="00446161">
      <w:pPr>
        <w:tabs>
          <w:tab w:val="left" w:pos="-720"/>
          <w:tab w:val="left" w:pos="0"/>
          <w:tab w:val="left" w:pos="720"/>
        </w:tabs>
        <w:spacing w:after="240"/>
        <w:ind w:left="1080"/>
        <w:rPr>
          <w:rFonts w:ascii="Times New Roman" w:hAnsi="Times New Roman"/>
        </w:rPr>
      </w:pPr>
      <w:r w:rsidRPr="007D53E8">
        <w:rPr>
          <w:rFonts w:ascii="Times New Roman" w:hAnsi="Times New Roman"/>
        </w:rPr>
        <w:t>DCOs</w:t>
      </w:r>
      <w:r w:rsidR="00446161" w:rsidRPr="007D53E8">
        <w:rPr>
          <w:rFonts w:ascii="Times New Roman" w:hAnsi="Times New Roman"/>
        </w:rPr>
        <w:t xml:space="preserve"> are required to submit </w:t>
      </w:r>
      <w:r w:rsidR="00070B31">
        <w:rPr>
          <w:rFonts w:ascii="Times New Roman" w:hAnsi="Times New Roman"/>
        </w:rPr>
        <w:t xml:space="preserve">documents electronically, </w:t>
      </w:r>
      <w:r w:rsidR="00446161" w:rsidRPr="007D53E8">
        <w:rPr>
          <w:rFonts w:ascii="Times New Roman" w:hAnsi="Times New Roman"/>
        </w:rPr>
        <w:t>o</w:t>
      </w:r>
      <w:r w:rsidR="005D43DB" w:rsidRPr="007D53E8">
        <w:rPr>
          <w:rFonts w:ascii="Times New Roman" w:hAnsi="Times New Roman"/>
        </w:rPr>
        <w:t xml:space="preserve">nly </w:t>
      </w:r>
      <w:r w:rsidR="00070B31">
        <w:rPr>
          <w:rFonts w:ascii="Times New Roman" w:hAnsi="Times New Roman"/>
        </w:rPr>
        <w:t>once.  No hard copies are required.</w:t>
      </w:r>
    </w:p>
    <w:p w:rsidR="00534B6B"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requiring respondents to retain records other than health, medical, government contract, grant-in-aid, or tax records, for more than three years;</w:t>
      </w:r>
    </w:p>
    <w:p w:rsidR="00D66F44" w:rsidRPr="007D53E8" w:rsidRDefault="00C575AB" w:rsidP="00D66F44">
      <w:pPr>
        <w:tabs>
          <w:tab w:val="left" w:pos="-720"/>
          <w:tab w:val="left" w:pos="0"/>
          <w:tab w:val="left" w:pos="720"/>
        </w:tabs>
        <w:spacing w:after="240"/>
        <w:ind w:left="1080"/>
        <w:rPr>
          <w:rFonts w:ascii="Times New Roman" w:hAnsi="Times New Roman"/>
          <w:b/>
        </w:rPr>
      </w:pPr>
      <w:r w:rsidRPr="00C575AB">
        <w:rPr>
          <w:rFonts w:ascii="Times New Roman" w:hAnsi="Times New Roman"/>
        </w:rPr>
        <w:t>Commission Regulation 1.31(b) expressly requires that books and records required to be kept by the CEA or Commission regulations be retained for certain specified periods.  Other than with respect to oral communications and records exclusively created and maintained on paper, the shortest of these periods is five years from the date of creation.</w:t>
      </w:r>
      <w:r>
        <w:rPr>
          <w:rFonts w:ascii="Times New Roman" w:hAnsi="Times New Roman"/>
        </w:rPr>
        <w:t xml:space="preserve">  </w:t>
      </w:r>
    </w:p>
    <w:p w:rsidR="00534B6B"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 xml:space="preserve">in connection with a statistical survey, that is not designed to produce valid and reliable results that can be generalized to the universe of study; </w:t>
      </w:r>
    </w:p>
    <w:p w:rsidR="0061595D" w:rsidRPr="007D53E8" w:rsidRDefault="0061595D" w:rsidP="0061595D">
      <w:pPr>
        <w:tabs>
          <w:tab w:val="left" w:pos="-720"/>
          <w:tab w:val="left" w:pos="0"/>
          <w:tab w:val="left" w:pos="720"/>
        </w:tabs>
        <w:spacing w:after="240"/>
        <w:ind w:left="1080"/>
        <w:rPr>
          <w:rFonts w:ascii="Times New Roman" w:hAnsi="Times New Roman"/>
        </w:rPr>
      </w:pPr>
      <w:r w:rsidRPr="007D53E8">
        <w:rPr>
          <w:rFonts w:ascii="Times New Roman" w:hAnsi="Times New Roman"/>
        </w:rPr>
        <w:t>No statistical surveys are involved.</w:t>
      </w:r>
    </w:p>
    <w:p w:rsidR="00534B6B"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requiring the use of a statistical data classification that has not been reviewed and approved by OMB;</w:t>
      </w:r>
    </w:p>
    <w:p w:rsidR="0061595D" w:rsidRPr="007D53E8" w:rsidRDefault="0061595D" w:rsidP="0061595D">
      <w:pPr>
        <w:tabs>
          <w:tab w:val="left" w:pos="-720"/>
          <w:tab w:val="left" w:pos="0"/>
          <w:tab w:val="left" w:pos="720"/>
        </w:tabs>
        <w:spacing w:after="240"/>
        <w:ind w:left="1080"/>
        <w:rPr>
          <w:rFonts w:ascii="Times New Roman" w:hAnsi="Times New Roman"/>
        </w:rPr>
      </w:pPr>
      <w:r w:rsidRPr="007D53E8">
        <w:rPr>
          <w:rFonts w:ascii="Times New Roman" w:hAnsi="Times New Roman"/>
        </w:rPr>
        <w:t>The requirements do not involve use of any statistical data classification.</w:t>
      </w:r>
    </w:p>
    <w:p w:rsidR="00534B6B"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F51ACE" w:rsidRPr="007D53E8" w:rsidRDefault="00F51ACE" w:rsidP="00F51ACE">
      <w:pPr>
        <w:tabs>
          <w:tab w:val="left" w:pos="-720"/>
          <w:tab w:val="left" w:pos="0"/>
          <w:tab w:val="left" w:pos="720"/>
        </w:tabs>
        <w:spacing w:after="240"/>
        <w:ind w:left="1080"/>
        <w:rPr>
          <w:rFonts w:ascii="Times New Roman" w:hAnsi="Times New Roman"/>
          <w:b/>
        </w:rPr>
      </w:pPr>
      <w:r w:rsidRPr="007D53E8">
        <w:rPr>
          <w:rFonts w:ascii="Times New Roman" w:hAnsi="Times New Roman"/>
        </w:rPr>
        <w:t>The requirements do not involve a</w:t>
      </w:r>
      <w:r w:rsidR="00023BDF">
        <w:rPr>
          <w:rFonts w:ascii="Times New Roman" w:hAnsi="Times New Roman"/>
        </w:rPr>
        <w:t>n unsupported</w:t>
      </w:r>
      <w:r w:rsidRPr="007D53E8">
        <w:rPr>
          <w:rFonts w:ascii="Times New Roman" w:hAnsi="Times New Roman"/>
        </w:rPr>
        <w:t xml:space="preserve"> pledge of confidentiality regarding the collection of data.</w:t>
      </w:r>
      <w:r w:rsidR="007764F4" w:rsidRPr="007D53E8">
        <w:rPr>
          <w:rFonts w:ascii="Times New Roman" w:hAnsi="Times New Roman"/>
        </w:rPr>
        <w:t xml:space="preserve">  </w:t>
      </w:r>
    </w:p>
    <w:p w:rsidR="00D320F0"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D320F0" w:rsidRPr="007D53E8" w:rsidRDefault="00C575AB" w:rsidP="00D320F0">
      <w:pPr>
        <w:tabs>
          <w:tab w:val="left" w:pos="-720"/>
          <w:tab w:val="left" w:pos="0"/>
          <w:tab w:val="left" w:pos="720"/>
        </w:tabs>
        <w:spacing w:after="240"/>
        <w:ind w:left="1080"/>
        <w:rPr>
          <w:rFonts w:ascii="Times New Roman" w:hAnsi="Times New Roman"/>
          <w:b/>
        </w:rPr>
      </w:pPr>
      <w:r w:rsidRPr="00C575AB">
        <w:rPr>
          <w:rFonts w:ascii="Times New Roman" w:hAnsi="Times New Roman"/>
        </w:rPr>
        <w:t>The Commission has procedures to protect the confidentiality of an applicant’s or registrant’s data.  These are set forth in the Commission’s regulations at parts 145 and 147 of title 17 of the Code of Federal Regulations.</w:t>
      </w:r>
    </w:p>
    <w:p w:rsidR="00534B6B" w:rsidRPr="007D53E8" w:rsidRDefault="00534B6B" w:rsidP="00534B6B">
      <w:pPr>
        <w:tabs>
          <w:tab w:val="left" w:pos="-720"/>
          <w:tab w:val="left" w:pos="0"/>
        </w:tabs>
        <w:spacing w:after="240"/>
        <w:rPr>
          <w:rFonts w:ascii="Times New Roman" w:hAnsi="Times New Roman"/>
          <w:b/>
        </w:rPr>
      </w:pPr>
      <w:r w:rsidRPr="007D53E8">
        <w:rPr>
          <w:rFonts w:ascii="Times New Roman" w:hAnsi="Times New Roman"/>
          <w:b/>
        </w:rPr>
        <w:t>8.</w:t>
      </w:r>
      <w:r w:rsidRPr="007D53E8">
        <w:rPr>
          <w:rFonts w:ascii="Times New Roman" w:hAnsi="Times New Roman"/>
          <w:b/>
        </w:rPr>
        <w:tab/>
        <w:t xml:space="preserve">If applicable, provide a copy and identify the date and page number of publication in the </w:t>
      </w:r>
      <w:r w:rsidRPr="007D53E8">
        <w:rPr>
          <w:rFonts w:ascii="Times New Roman" w:hAnsi="Times New Roman"/>
          <w:b/>
          <w:i/>
        </w:rPr>
        <w:t>Federal Register</w:t>
      </w:r>
      <w:r w:rsidRPr="007D53E8">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81DA6" w:rsidRDefault="00534B6B" w:rsidP="00581DA6">
      <w:pPr>
        <w:rPr>
          <w:rFonts w:ascii="Times New Roman" w:hAnsi="Times New Roman"/>
        </w:rPr>
      </w:pPr>
      <w:r w:rsidRPr="007D53E8">
        <w:rPr>
          <w:rFonts w:ascii="Times New Roman" w:hAnsi="Times New Roman"/>
        </w:rPr>
        <w:tab/>
      </w:r>
      <w:r w:rsidR="000765CD" w:rsidRPr="000765CD">
        <w:rPr>
          <w:rFonts w:ascii="Times New Roman" w:hAnsi="Times New Roman"/>
        </w:rPr>
        <w:t>Th</w:t>
      </w:r>
      <w:r w:rsidR="000C1963">
        <w:rPr>
          <w:rFonts w:ascii="Times New Roman" w:hAnsi="Times New Roman"/>
        </w:rPr>
        <w:t xml:space="preserve">e 60-day Federal </w:t>
      </w:r>
      <w:r w:rsidR="00705151">
        <w:rPr>
          <w:rFonts w:ascii="Times New Roman" w:hAnsi="Times New Roman"/>
        </w:rPr>
        <w:t>R</w:t>
      </w:r>
      <w:r w:rsidR="000C1963">
        <w:rPr>
          <w:rFonts w:ascii="Times New Roman" w:hAnsi="Times New Roman"/>
        </w:rPr>
        <w:t>egister notice seeking public comment w</w:t>
      </w:r>
      <w:r w:rsidR="0017784D">
        <w:rPr>
          <w:rFonts w:ascii="Times New Roman" w:hAnsi="Times New Roman"/>
        </w:rPr>
        <w:t>as</w:t>
      </w:r>
      <w:r w:rsidR="00C575AB">
        <w:rPr>
          <w:rFonts w:ascii="Times New Roman" w:hAnsi="Times New Roman"/>
        </w:rPr>
        <w:t xml:space="preserve"> </w:t>
      </w:r>
      <w:r w:rsidR="000C1963">
        <w:rPr>
          <w:rFonts w:ascii="Times New Roman" w:hAnsi="Times New Roman"/>
        </w:rPr>
        <w:t xml:space="preserve">published on </w:t>
      </w:r>
      <w:r w:rsidR="0017784D">
        <w:rPr>
          <w:rFonts w:ascii="Times New Roman" w:hAnsi="Times New Roman"/>
        </w:rPr>
        <w:t>July 13</w:t>
      </w:r>
      <w:r w:rsidR="00C575AB">
        <w:rPr>
          <w:rFonts w:ascii="Times New Roman" w:hAnsi="Times New Roman"/>
        </w:rPr>
        <w:t>, 2018.</w:t>
      </w:r>
      <w:r w:rsidR="0017784D">
        <w:rPr>
          <w:rStyle w:val="FootnoteReference"/>
          <w:rFonts w:ascii="Times New Roman" w:hAnsi="Times New Roman"/>
        </w:rPr>
        <w:footnoteReference w:id="2"/>
      </w:r>
      <w:r w:rsidR="00C575AB">
        <w:rPr>
          <w:rFonts w:ascii="Times New Roman" w:hAnsi="Times New Roman"/>
        </w:rPr>
        <w:t xml:space="preserve"> </w:t>
      </w:r>
      <w:r w:rsidR="00705151">
        <w:rPr>
          <w:rFonts w:ascii="Times New Roman" w:hAnsi="Times New Roman"/>
        </w:rPr>
        <w:t xml:space="preserve"> </w:t>
      </w:r>
      <w:r w:rsidR="00581DA6" w:rsidRPr="00581DA6">
        <w:rPr>
          <w:rFonts w:ascii="Times New Roman" w:hAnsi="Times New Roman"/>
        </w:rPr>
        <w:t>No relevant comments were received.</w:t>
      </w:r>
    </w:p>
    <w:p w:rsidR="00B27A18" w:rsidRPr="00581DA6" w:rsidRDefault="00B27A18" w:rsidP="00581DA6">
      <w:pPr>
        <w:rPr>
          <w:rFonts w:ascii="Times New Roman" w:hAnsi="Times New Roman"/>
        </w:rPr>
      </w:pPr>
    </w:p>
    <w:p w:rsidR="00534B6B" w:rsidRPr="007D53E8" w:rsidRDefault="00534B6B" w:rsidP="00534B6B">
      <w:pPr>
        <w:tabs>
          <w:tab w:val="left" w:pos="-720"/>
          <w:tab w:val="left" w:pos="0"/>
        </w:tabs>
        <w:spacing w:after="240"/>
        <w:rPr>
          <w:rFonts w:ascii="Times New Roman" w:hAnsi="Times New Roman"/>
          <w:b/>
        </w:rPr>
      </w:pPr>
      <w:r w:rsidRPr="007D53E8">
        <w:rPr>
          <w:rFonts w:ascii="Times New Roman" w:hAnsi="Times New Roman"/>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34B6B" w:rsidRPr="007D53E8" w:rsidRDefault="00534B6B" w:rsidP="00534B6B">
      <w:pPr>
        <w:pStyle w:val="EndnoteText"/>
        <w:tabs>
          <w:tab w:val="left" w:pos="-720"/>
        </w:tabs>
        <w:spacing w:after="240"/>
        <w:rPr>
          <w:rFonts w:ascii="Times New Roman" w:hAnsi="Times New Roman"/>
          <w:szCs w:val="24"/>
        </w:rPr>
      </w:pPr>
      <w:r w:rsidRPr="007D53E8">
        <w:rPr>
          <w:rFonts w:ascii="Times New Roman" w:hAnsi="Times New Roman"/>
          <w:szCs w:val="24"/>
        </w:rPr>
        <w:tab/>
      </w:r>
      <w:r w:rsidR="000765CD" w:rsidRPr="000765CD">
        <w:rPr>
          <w:rFonts w:ascii="Times New Roman" w:hAnsi="Times New Roman"/>
          <w:szCs w:val="24"/>
        </w:rPr>
        <w:t>As part of the rulemaking process, the rule was published in the Federal Register.  Thus, members of the public, including respondents, were provided an opportunity to comment on the rule and related matters, including issues concerning recordkeeping and other paperwork burdens.</w:t>
      </w:r>
    </w:p>
    <w:p w:rsidR="00534B6B" w:rsidRPr="007D53E8" w:rsidRDefault="00534B6B" w:rsidP="00534B6B">
      <w:pPr>
        <w:tabs>
          <w:tab w:val="left" w:pos="-720"/>
          <w:tab w:val="left" w:pos="0"/>
        </w:tabs>
        <w:spacing w:after="240"/>
        <w:rPr>
          <w:rFonts w:ascii="Times New Roman" w:hAnsi="Times New Roman"/>
          <w:b/>
        </w:rPr>
      </w:pPr>
      <w:r w:rsidRPr="007D53E8">
        <w:rPr>
          <w:rFonts w:ascii="Times New Roman" w:hAnsi="Times New Roman"/>
          <w:b/>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34B6B" w:rsidRDefault="00534B6B" w:rsidP="00534B6B">
      <w:pPr>
        <w:tabs>
          <w:tab w:val="left" w:pos="-720"/>
        </w:tabs>
        <w:spacing w:after="240"/>
        <w:rPr>
          <w:rFonts w:ascii="Times New Roman" w:hAnsi="Times New Roman"/>
        </w:rPr>
      </w:pPr>
      <w:r w:rsidRPr="007D53E8">
        <w:rPr>
          <w:rFonts w:ascii="Times New Roman" w:hAnsi="Times New Roman"/>
        </w:rPr>
        <w:tab/>
      </w:r>
      <w:r w:rsidR="000765CD" w:rsidRPr="000765CD">
        <w:rPr>
          <w:rFonts w:ascii="Times New Roman" w:hAnsi="Times New Roman"/>
        </w:rPr>
        <w:t xml:space="preserve">No such circumstances are anticipated. </w:t>
      </w:r>
      <w:r w:rsidR="001278DD" w:rsidRPr="007D53E8">
        <w:rPr>
          <w:rFonts w:ascii="Times New Roman" w:hAnsi="Times New Roman"/>
        </w:rPr>
        <w:t xml:space="preserve">  </w:t>
      </w:r>
    </w:p>
    <w:p w:rsidR="00534B6B" w:rsidRPr="007D53E8" w:rsidRDefault="00534B6B" w:rsidP="00534B6B">
      <w:pPr>
        <w:tabs>
          <w:tab w:val="left" w:pos="-720"/>
          <w:tab w:val="left" w:pos="0"/>
        </w:tabs>
        <w:spacing w:after="240"/>
        <w:rPr>
          <w:rFonts w:ascii="Times New Roman" w:hAnsi="Times New Roman"/>
          <w:b/>
        </w:rPr>
      </w:pPr>
      <w:r w:rsidRPr="007D53E8">
        <w:rPr>
          <w:rFonts w:ascii="Times New Roman" w:hAnsi="Times New Roman"/>
          <w:b/>
        </w:rPr>
        <w:t>9.</w:t>
      </w:r>
      <w:r w:rsidRPr="007D53E8">
        <w:rPr>
          <w:rFonts w:ascii="Times New Roman" w:hAnsi="Times New Roman"/>
          <w:b/>
        </w:rPr>
        <w:tab/>
        <w:t xml:space="preserve">Explain any decision to provide any payment or gift to respondents, other than </w:t>
      </w:r>
      <w:r w:rsidR="00A35E0C" w:rsidRPr="007D53E8">
        <w:rPr>
          <w:rFonts w:ascii="Times New Roman" w:hAnsi="Times New Roman"/>
          <w:b/>
        </w:rPr>
        <w:t>remuneration</w:t>
      </w:r>
      <w:r w:rsidRPr="007D53E8">
        <w:rPr>
          <w:rFonts w:ascii="Times New Roman" w:hAnsi="Times New Roman"/>
          <w:b/>
        </w:rPr>
        <w:t xml:space="preserve"> of contractors or grantees.</w:t>
      </w:r>
    </w:p>
    <w:p w:rsidR="00534B6B" w:rsidRPr="007D53E8" w:rsidRDefault="00534B6B" w:rsidP="00534B6B">
      <w:pPr>
        <w:tabs>
          <w:tab w:val="left" w:pos="-720"/>
        </w:tabs>
        <w:spacing w:after="240"/>
        <w:rPr>
          <w:rFonts w:ascii="Times New Roman" w:hAnsi="Times New Roman"/>
        </w:rPr>
      </w:pPr>
      <w:r w:rsidRPr="007D53E8">
        <w:rPr>
          <w:rFonts w:ascii="Times New Roman" w:hAnsi="Times New Roman"/>
        </w:rPr>
        <w:tab/>
      </w:r>
      <w:r w:rsidR="001278DD" w:rsidRPr="007D53E8">
        <w:rPr>
          <w:rFonts w:ascii="Times New Roman" w:hAnsi="Times New Roman"/>
        </w:rPr>
        <w:t>This question d</w:t>
      </w:r>
      <w:r w:rsidRPr="007D53E8">
        <w:rPr>
          <w:rFonts w:ascii="Times New Roman" w:hAnsi="Times New Roman"/>
        </w:rPr>
        <w:t>oes not apply.</w:t>
      </w:r>
    </w:p>
    <w:p w:rsidR="00534B6B" w:rsidRPr="007D53E8" w:rsidRDefault="00534B6B" w:rsidP="00534B6B">
      <w:pPr>
        <w:tabs>
          <w:tab w:val="left" w:pos="-720"/>
        </w:tabs>
        <w:spacing w:after="240"/>
        <w:rPr>
          <w:rFonts w:ascii="Times New Roman" w:hAnsi="Times New Roman"/>
          <w:b/>
        </w:rPr>
      </w:pPr>
      <w:r w:rsidRPr="007D53E8">
        <w:rPr>
          <w:rFonts w:ascii="Times New Roman" w:hAnsi="Times New Roman"/>
          <w:b/>
        </w:rPr>
        <w:t>10.</w:t>
      </w:r>
      <w:r w:rsidRPr="007D53E8">
        <w:rPr>
          <w:rFonts w:ascii="Times New Roman" w:hAnsi="Times New Roman"/>
          <w:b/>
        </w:rPr>
        <w:tab/>
        <w:t>Describe any assurance of confidentiality provided to respondents and the basis for the assurance in statute, regulations, or agency policy.</w:t>
      </w:r>
    </w:p>
    <w:p w:rsidR="00534B6B" w:rsidRPr="007D53E8" w:rsidRDefault="00534B6B" w:rsidP="00534B6B">
      <w:pPr>
        <w:tabs>
          <w:tab w:val="left" w:pos="-720"/>
        </w:tabs>
        <w:spacing w:after="240"/>
        <w:rPr>
          <w:rFonts w:ascii="Times New Roman" w:hAnsi="Times New Roman"/>
        </w:rPr>
      </w:pPr>
      <w:r w:rsidRPr="007D53E8">
        <w:rPr>
          <w:rFonts w:ascii="Times New Roman" w:hAnsi="Times New Roman"/>
        </w:rPr>
        <w:tab/>
      </w:r>
      <w:r w:rsidR="00C60D5C" w:rsidRPr="00C60D5C">
        <w:rPr>
          <w:rFonts w:ascii="Times New Roman" w:hAnsi="Times New Roman"/>
        </w:rPr>
        <w:t xml:space="preserve"> </w:t>
      </w:r>
      <w:r w:rsidR="00C575AB" w:rsidRPr="00C575AB">
        <w:rPr>
          <w:rFonts w:ascii="Times New Roman" w:hAnsi="Times New Roman"/>
        </w:rPr>
        <w:t>The Commission does not provide respondents with an assurance of confidentiality.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00534B6B" w:rsidRPr="007D53E8" w:rsidRDefault="00534B6B" w:rsidP="00534B6B">
      <w:pPr>
        <w:tabs>
          <w:tab w:val="left" w:pos="-720"/>
        </w:tabs>
        <w:spacing w:after="240"/>
        <w:rPr>
          <w:rFonts w:ascii="Times New Roman" w:hAnsi="Times New Roman"/>
          <w:b/>
        </w:rPr>
      </w:pPr>
      <w:r w:rsidRPr="007D53E8">
        <w:rPr>
          <w:rFonts w:ascii="Times New Roman" w:hAnsi="Times New Roman"/>
          <w:b/>
        </w:rPr>
        <w:t>11.</w:t>
      </w:r>
      <w:r w:rsidRPr="007D53E8">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34B6B" w:rsidRPr="007D53E8" w:rsidRDefault="00534B6B" w:rsidP="00534B6B">
      <w:pPr>
        <w:tabs>
          <w:tab w:val="left" w:pos="-720"/>
        </w:tabs>
        <w:spacing w:after="240"/>
        <w:rPr>
          <w:rFonts w:ascii="Times New Roman" w:hAnsi="Times New Roman"/>
        </w:rPr>
      </w:pPr>
      <w:r w:rsidRPr="007D53E8">
        <w:rPr>
          <w:rFonts w:ascii="Times New Roman" w:hAnsi="Times New Roman"/>
        </w:rPr>
        <w:tab/>
      </w:r>
      <w:r w:rsidR="00D673D1" w:rsidRPr="007D53E8">
        <w:rPr>
          <w:rFonts w:ascii="Times New Roman" w:hAnsi="Times New Roman"/>
        </w:rPr>
        <w:t xml:space="preserve">This question does not apply.  </w:t>
      </w:r>
      <w:r w:rsidRPr="007D53E8">
        <w:rPr>
          <w:rFonts w:ascii="Times New Roman" w:hAnsi="Times New Roman"/>
        </w:rPr>
        <w:t xml:space="preserve">None of the </w:t>
      </w:r>
      <w:r w:rsidR="00D673D1" w:rsidRPr="007D53E8">
        <w:rPr>
          <w:rFonts w:ascii="Times New Roman" w:hAnsi="Times New Roman"/>
        </w:rPr>
        <w:t>required information is</w:t>
      </w:r>
      <w:r w:rsidRPr="007D53E8">
        <w:rPr>
          <w:rFonts w:ascii="Times New Roman" w:hAnsi="Times New Roman"/>
        </w:rPr>
        <w:t xml:space="preserve"> sensitive, as that term is used in Question 11.</w:t>
      </w:r>
    </w:p>
    <w:p w:rsidR="00534B6B" w:rsidRPr="007D53E8" w:rsidRDefault="00534B6B" w:rsidP="00534B6B">
      <w:pPr>
        <w:tabs>
          <w:tab w:val="left" w:pos="-720"/>
          <w:tab w:val="left" w:pos="0"/>
        </w:tabs>
        <w:spacing w:after="240"/>
        <w:rPr>
          <w:rFonts w:ascii="Times New Roman" w:hAnsi="Times New Roman"/>
          <w:b/>
        </w:rPr>
      </w:pPr>
      <w:r w:rsidRPr="007D53E8">
        <w:rPr>
          <w:rFonts w:ascii="Times New Roman" w:hAnsi="Times New Roman"/>
          <w:b/>
        </w:rPr>
        <w:t>12.</w:t>
      </w:r>
      <w:r w:rsidRPr="007D53E8">
        <w:rPr>
          <w:rFonts w:ascii="Times New Roman" w:hAnsi="Times New Roman"/>
          <w:b/>
        </w:rPr>
        <w:tab/>
        <w:t>Provide estimates of the hour burden of the collection of information.  The Statement should:</w:t>
      </w:r>
    </w:p>
    <w:p w:rsidR="00534B6B"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34B6B"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If the request for approval covers more than one form, provide separate hour burden estimates for each form and aggregate the hour burdens in Item 13 of OMB Form 83-I.</w:t>
      </w:r>
    </w:p>
    <w:p w:rsidR="00534B6B"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Provide estimates of annualized cost to respondents for the hours burdens for collections of information, identifying and using appropriate wage rate categories.  The cost of contracting ou</w:t>
      </w:r>
      <w:r w:rsidR="00E92EC0">
        <w:rPr>
          <w:rFonts w:ascii="Times New Roman" w:hAnsi="Times New Roman"/>
          <w:b/>
        </w:rPr>
        <w:t>t</w:t>
      </w:r>
      <w:r w:rsidRPr="007D53E8">
        <w:rPr>
          <w:rFonts w:ascii="Times New Roman" w:hAnsi="Times New Roman"/>
          <w:b/>
        </w:rPr>
        <w:t xml:space="preserve"> or paying outside parties for information collection activities should not be included here.  Instead, this cost should be included in Item 13.</w:t>
      </w:r>
    </w:p>
    <w:p w:rsidR="00B457A8" w:rsidRDefault="003B6EA8" w:rsidP="00B457A8">
      <w:pPr>
        <w:tabs>
          <w:tab w:val="left" w:pos="-720"/>
        </w:tabs>
        <w:spacing w:after="240"/>
        <w:rPr>
          <w:rFonts w:ascii="Times New Roman" w:hAnsi="Times New Roman"/>
        </w:rPr>
      </w:pPr>
      <w:r>
        <w:rPr>
          <w:rFonts w:ascii="Times New Roman" w:hAnsi="Times New Roman"/>
        </w:rPr>
        <w:tab/>
        <w:t xml:space="preserve">See Attachment A.  </w:t>
      </w:r>
      <w:r w:rsidR="00B457A8">
        <w:rPr>
          <w:rFonts w:ascii="Times New Roman" w:hAnsi="Times New Roman"/>
        </w:rPr>
        <w:t xml:space="preserve">There are 3 potential registrants and 16 currently registered DCOs. </w:t>
      </w:r>
    </w:p>
    <w:p w:rsidR="00B457A8" w:rsidRDefault="00702E3B" w:rsidP="00B141B9">
      <w:pPr>
        <w:tabs>
          <w:tab w:val="left" w:pos="-720"/>
        </w:tabs>
        <w:spacing w:after="240"/>
        <w:rPr>
          <w:rFonts w:ascii="Times New Roman" w:hAnsi="Times New Roman"/>
        </w:rPr>
      </w:pPr>
      <w:r>
        <w:rPr>
          <w:rFonts w:ascii="Times New Roman" w:hAnsi="Times New Roman"/>
        </w:rPr>
        <w:tab/>
      </w:r>
      <w:r w:rsidR="00B457A8">
        <w:rPr>
          <w:rFonts w:ascii="Times New Roman" w:hAnsi="Times New Roman"/>
        </w:rPr>
        <w:t xml:space="preserve">Attachment A consists of Tables 1, 2, and 3. </w:t>
      </w:r>
      <w:r w:rsidR="00B141B9" w:rsidRPr="00B457A8">
        <w:rPr>
          <w:rFonts w:ascii="Times New Roman" w:hAnsi="Times New Roman"/>
        </w:rPr>
        <w:t>The burden estimate in Table 1 applies solely to the 3 potential applicants, whereas the burden estimates in Tables 2 and 3 apply to currently registered DCOs</w:t>
      </w:r>
      <w:r w:rsidR="00B141B9">
        <w:rPr>
          <w:rFonts w:ascii="Times New Roman" w:hAnsi="Times New Roman"/>
        </w:rPr>
        <w:t>, with figures</w:t>
      </w:r>
      <w:r w:rsidR="00B457A8">
        <w:rPr>
          <w:rFonts w:ascii="Times New Roman" w:hAnsi="Times New Roman"/>
        </w:rPr>
        <w:t xml:space="preserve"> </w:t>
      </w:r>
      <w:r w:rsidR="00B457A8" w:rsidRPr="007D53E8">
        <w:rPr>
          <w:rFonts w:ascii="Times New Roman" w:hAnsi="Times New Roman"/>
        </w:rPr>
        <w:t>adjust</w:t>
      </w:r>
      <w:r w:rsidR="00B457A8">
        <w:rPr>
          <w:rFonts w:ascii="Times New Roman" w:hAnsi="Times New Roman"/>
        </w:rPr>
        <w:t xml:space="preserve">ed </w:t>
      </w:r>
      <w:r w:rsidR="00B141B9">
        <w:rPr>
          <w:rFonts w:ascii="Times New Roman" w:hAnsi="Times New Roman"/>
        </w:rPr>
        <w:t>from 2015 to the current renewal</w:t>
      </w:r>
      <w:r w:rsidR="00B457A8">
        <w:rPr>
          <w:rFonts w:ascii="Times New Roman" w:hAnsi="Times New Roman"/>
        </w:rPr>
        <w:t xml:space="preserve">. </w:t>
      </w:r>
    </w:p>
    <w:p w:rsidR="00702E3B" w:rsidRDefault="00702E3B" w:rsidP="00702E3B">
      <w:pPr>
        <w:tabs>
          <w:tab w:val="left" w:pos="-720"/>
        </w:tabs>
        <w:spacing w:after="240"/>
        <w:rPr>
          <w:rFonts w:ascii="Times New Roman" w:hAnsi="Times New Roman"/>
        </w:rPr>
      </w:pPr>
      <w:r>
        <w:rPr>
          <w:rFonts w:ascii="Times New Roman" w:hAnsi="Times New Roman"/>
        </w:rPr>
        <w:tab/>
        <w:t xml:space="preserve">Collection is done on occasion. </w:t>
      </w:r>
      <w:r w:rsidR="00FD272F">
        <w:rPr>
          <w:rFonts w:ascii="Times New Roman" w:hAnsi="Times New Roman"/>
        </w:rPr>
        <w:t xml:space="preserve"> </w:t>
      </w:r>
      <w:r>
        <w:rPr>
          <w:rFonts w:ascii="Times New Roman" w:hAnsi="Times New Roman"/>
        </w:rPr>
        <w:t>Total annual burden hours</w:t>
      </w:r>
      <w:r w:rsidR="00EF58FC">
        <w:rPr>
          <w:rFonts w:ascii="Times New Roman" w:hAnsi="Times New Roman"/>
        </w:rPr>
        <w:t xml:space="preserve"> (</w:t>
      </w:r>
      <w:r>
        <w:rPr>
          <w:rFonts w:ascii="Times New Roman" w:hAnsi="Times New Roman"/>
        </w:rPr>
        <w:t>aggregated from Tables 1, 2, and 3</w:t>
      </w:r>
      <w:r w:rsidR="00EF58FC">
        <w:rPr>
          <w:rFonts w:ascii="Times New Roman" w:hAnsi="Times New Roman"/>
        </w:rPr>
        <w:t xml:space="preserve">): 1200 + 3.2. + 800 = </w:t>
      </w:r>
      <w:r>
        <w:rPr>
          <w:rFonts w:ascii="Times New Roman" w:hAnsi="Times New Roman"/>
        </w:rPr>
        <w:t xml:space="preserve">2003 hrs. </w:t>
      </w:r>
    </w:p>
    <w:p w:rsidR="00534B6B" w:rsidRPr="007D53E8" w:rsidRDefault="00534B6B" w:rsidP="00534B6B">
      <w:pPr>
        <w:keepNext/>
        <w:tabs>
          <w:tab w:val="left" w:pos="-720"/>
          <w:tab w:val="left" w:pos="0"/>
        </w:tabs>
        <w:spacing w:after="240"/>
        <w:rPr>
          <w:rFonts w:ascii="Times New Roman" w:hAnsi="Times New Roman"/>
          <w:b/>
        </w:rPr>
      </w:pPr>
      <w:r w:rsidRPr="007D53E8">
        <w:rPr>
          <w:rFonts w:ascii="Times New Roman" w:hAnsi="Times New Roman"/>
          <w:b/>
        </w:rPr>
        <w:t>13.</w:t>
      </w:r>
      <w:r w:rsidRPr="007D53E8">
        <w:rPr>
          <w:rFonts w:ascii="Times New Roman" w:hAnsi="Times New Roman"/>
          <w:b/>
        </w:rPr>
        <w:tab/>
        <w:t>Provide an estimate of the total annual cost burden to respondents or recordkeepers resulting fr</w:t>
      </w:r>
      <w:r w:rsidR="00E92EC0">
        <w:rPr>
          <w:rFonts w:ascii="Times New Roman" w:hAnsi="Times New Roman"/>
          <w:b/>
        </w:rPr>
        <w:t>o</w:t>
      </w:r>
      <w:r w:rsidRPr="007D53E8">
        <w:rPr>
          <w:rFonts w:ascii="Times New Roman" w:hAnsi="Times New Roman"/>
          <w:b/>
        </w:rPr>
        <w:t>m the collection of information.  (Do not include the cost of any hour burden shown in Items 12 and 14).</w:t>
      </w:r>
    </w:p>
    <w:p w:rsidR="00534B6B"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34B6B"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534B6B" w:rsidRPr="007D53E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7D53E8">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34B6B" w:rsidRDefault="00534B6B" w:rsidP="00534B6B">
      <w:pPr>
        <w:tabs>
          <w:tab w:val="left" w:pos="-720"/>
        </w:tabs>
        <w:spacing w:after="240"/>
        <w:rPr>
          <w:rFonts w:ascii="Times New Roman" w:hAnsi="Times New Roman"/>
        </w:rPr>
      </w:pPr>
      <w:r w:rsidRPr="007D53E8">
        <w:rPr>
          <w:rFonts w:ascii="Times New Roman" w:hAnsi="Times New Roman"/>
        </w:rPr>
        <w:tab/>
      </w:r>
      <w:r w:rsidR="002654AE" w:rsidRPr="007D53E8">
        <w:rPr>
          <w:rFonts w:ascii="Times New Roman" w:hAnsi="Times New Roman"/>
        </w:rPr>
        <w:t>See Attachment A.</w:t>
      </w:r>
      <w:r w:rsidR="003D5351">
        <w:rPr>
          <w:rFonts w:ascii="Times New Roman" w:hAnsi="Times New Roman"/>
        </w:rPr>
        <w:t xml:space="preserve">  </w:t>
      </w:r>
      <w:r w:rsidR="00497964">
        <w:rPr>
          <w:rFonts w:ascii="Times New Roman" w:hAnsi="Times New Roman"/>
        </w:rPr>
        <w:t>Estimated annual burden costs for three potential registrants are $300,000 ($100,000 x 3) - Table 1).</w:t>
      </w:r>
    </w:p>
    <w:p w:rsidR="00497964" w:rsidRPr="007D53E8" w:rsidRDefault="00497964" w:rsidP="00534B6B">
      <w:pPr>
        <w:tabs>
          <w:tab w:val="left" w:pos="-720"/>
        </w:tabs>
        <w:spacing w:after="240"/>
        <w:rPr>
          <w:rFonts w:ascii="Times New Roman" w:hAnsi="Times New Roman"/>
        </w:rPr>
      </w:pPr>
      <w:r>
        <w:rPr>
          <w:rFonts w:ascii="Times New Roman" w:hAnsi="Times New Roman"/>
        </w:rPr>
        <w:tab/>
        <w:t xml:space="preserve">Estimated annual burden costs for current DCOs </w:t>
      </w:r>
      <w:r w:rsidR="00EF58FC">
        <w:rPr>
          <w:rFonts w:ascii="Times New Roman" w:hAnsi="Times New Roman"/>
        </w:rPr>
        <w:t xml:space="preserve">= </w:t>
      </w:r>
      <w:r>
        <w:rPr>
          <w:rFonts w:ascii="Times New Roman" w:hAnsi="Times New Roman"/>
        </w:rPr>
        <w:t>$80,416 (</w:t>
      </w:r>
      <w:r w:rsidR="008A098C">
        <w:rPr>
          <w:rFonts w:ascii="Times New Roman" w:hAnsi="Times New Roman"/>
        </w:rPr>
        <w:t xml:space="preserve">aggregated from </w:t>
      </w:r>
      <w:r>
        <w:rPr>
          <w:rFonts w:ascii="Times New Roman" w:hAnsi="Times New Roman"/>
        </w:rPr>
        <w:t>Tables 2 and 3).</w:t>
      </w:r>
    </w:p>
    <w:p w:rsidR="00534B6B" w:rsidRPr="007D53E8" w:rsidRDefault="00534B6B" w:rsidP="00534B6B">
      <w:pPr>
        <w:tabs>
          <w:tab w:val="left" w:pos="-720"/>
        </w:tabs>
        <w:spacing w:after="240"/>
        <w:rPr>
          <w:rFonts w:ascii="Times New Roman" w:hAnsi="Times New Roman"/>
          <w:b/>
        </w:rPr>
      </w:pPr>
      <w:r w:rsidRPr="007D53E8">
        <w:rPr>
          <w:rFonts w:ascii="Times New Roman" w:hAnsi="Times New Roman"/>
          <w:b/>
        </w:rPr>
        <w:t>14.</w:t>
      </w:r>
      <w:r w:rsidRPr="007D53E8">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6349DA" w:rsidRDefault="00DF07CF" w:rsidP="00534B6B">
      <w:pPr>
        <w:tabs>
          <w:tab w:val="left" w:pos="-720"/>
          <w:tab w:val="left" w:pos="0"/>
        </w:tabs>
        <w:spacing w:after="240"/>
        <w:rPr>
          <w:rFonts w:ascii="Times New Roman" w:hAnsi="Times New Roman"/>
        </w:rPr>
      </w:pPr>
      <w:r>
        <w:rPr>
          <w:rFonts w:ascii="Times New Roman" w:hAnsi="Times New Roman"/>
        </w:rPr>
        <w:tab/>
      </w:r>
      <w:r w:rsidR="00C01AD0" w:rsidRPr="00C01AD0">
        <w:rPr>
          <w:rFonts w:ascii="Times New Roman" w:hAnsi="Times New Roman"/>
        </w:rPr>
        <w:t xml:space="preserve">The primary cost to the federal government </w:t>
      </w:r>
      <w:r>
        <w:rPr>
          <w:rFonts w:ascii="Times New Roman" w:hAnsi="Times New Roman"/>
        </w:rPr>
        <w:t xml:space="preserve">is </w:t>
      </w:r>
      <w:r w:rsidR="00C01AD0" w:rsidRPr="00C01AD0">
        <w:rPr>
          <w:rFonts w:ascii="Times New Roman" w:hAnsi="Times New Roman"/>
        </w:rPr>
        <w:t xml:space="preserve">the salaries for staff to process the applications received.  </w:t>
      </w:r>
      <w:r>
        <w:rPr>
          <w:rFonts w:ascii="Times New Roman" w:hAnsi="Times New Roman"/>
        </w:rPr>
        <w:t xml:space="preserve">Based on </w:t>
      </w:r>
      <w:r w:rsidR="00A35E0C">
        <w:rPr>
          <w:rFonts w:ascii="Times New Roman" w:hAnsi="Times New Roman"/>
        </w:rPr>
        <w:t xml:space="preserve">estimated staff </w:t>
      </w:r>
      <w:r>
        <w:rPr>
          <w:rFonts w:ascii="Times New Roman" w:hAnsi="Times New Roman"/>
        </w:rPr>
        <w:t>time</w:t>
      </w:r>
      <w:r w:rsidR="00A35E0C">
        <w:rPr>
          <w:rFonts w:ascii="Times New Roman" w:hAnsi="Times New Roman"/>
        </w:rPr>
        <w:t xml:space="preserve"> spent on </w:t>
      </w:r>
      <w:r>
        <w:rPr>
          <w:rFonts w:ascii="Times New Roman" w:hAnsi="Times New Roman"/>
        </w:rPr>
        <w:t>application reviews completed within the past four years,</w:t>
      </w:r>
      <w:r w:rsidR="006335C3">
        <w:rPr>
          <w:rStyle w:val="FootnoteReference"/>
          <w:rFonts w:ascii="Times New Roman" w:hAnsi="Times New Roman"/>
        </w:rPr>
        <w:t xml:space="preserve"> </w:t>
      </w:r>
      <w:r>
        <w:rPr>
          <w:rFonts w:ascii="Times New Roman" w:hAnsi="Times New Roman"/>
        </w:rPr>
        <w:t xml:space="preserve"> i</w:t>
      </w:r>
      <w:r w:rsidR="00C01AD0" w:rsidRPr="00C01AD0">
        <w:rPr>
          <w:rFonts w:ascii="Times New Roman" w:hAnsi="Times New Roman"/>
        </w:rPr>
        <w:t xml:space="preserve">t is anticipated that </w:t>
      </w:r>
      <w:r>
        <w:rPr>
          <w:rFonts w:ascii="Times New Roman" w:hAnsi="Times New Roman"/>
        </w:rPr>
        <w:t xml:space="preserve">on average, approximately 2400 hours will be spent each year on application review.  </w:t>
      </w:r>
      <w:r w:rsidR="00C01AD0" w:rsidRPr="00C01AD0">
        <w:rPr>
          <w:rFonts w:ascii="Times New Roman" w:hAnsi="Times New Roman"/>
        </w:rPr>
        <w:t xml:space="preserve">At an estimated </w:t>
      </w:r>
      <w:r>
        <w:rPr>
          <w:rFonts w:ascii="Times New Roman" w:hAnsi="Times New Roman"/>
        </w:rPr>
        <w:t xml:space="preserve">average </w:t>
      </w:r>
      <w:r w:rsidR="00C01AD0" w:rsidRPr="00C01AD0">
        <w:rPr>
          <w:rFonts w:ascii="Times New Roman" w:hAnsi="Times New Roman"/>
        </w:rPr>
        <w:t>salary cost of $</w:t>
      </w:r>
      <w:r>
        <w:rPr>
          <w:rFonts w:ascii="Times New Roman" w:hAnsi="Times New Roman"/>
        </w:rPr>
        <w:t xml:space="preserve">90 </w:t>
      </w:r>
      <w:r w:rsidR="00C01AD0" w:rsidRPr="00C01AD0">
        <w:rPr>
          <w:rFonts w:ascii="Times New Roman" w:hAnsi="Times New Roman"/>
        </w:rPr>
        <w:t>per</w:t>
      </w:r>
      <w:r>
        <w:rPr>
          <w:rFonts w:ascii="Times New Roman" w:hAnsi="Times New Roman"/>
        </w:rPr>
        <w:t xml:space="preserve"> </w:t>
      </w:r>
      <w:r w:rsidR="00C01AD0" w:rsidRPr="00C01AD0">
        <w:rPr>
          <w:rFonts w:ascii="Times New Roman" w:hAnsi="Times New Roman"/>
        </w:rPr>
        <w:t xml:space="preserve">hour, the </w:t>
      </w:r>
      <w:r>
        <w:rPr>
          <w:rFonts w:ascii="Times New Roman" w:hAnsi="Times New Roman"/>
        </w:rPr>
        <w:t xml:space="preserve">annual </w:t>
      </w:r>
      <w:r w:rsidR="00C01AD0" w:rsidRPr="00C01AD0">
        <w:rPr>
          <w:rFonts w:ascii="Times New Roman" w:hAnsi="Times New Roman"/>
        </w:rPr>
        <w:t>cost</w:t>
      </w:r>
      <w:r>
        <w:rPr>
          <w:rFonts w:ascii="Times New Roman" w:hAnsi="Times New Roman"/>
        </w:rPr>
        <w:t xml:space="preserve"> to the government is</w:t>
      </w:r>
      <w:r w:rsidR="00C01AD0" w:rsidRPr="00C01AD0">
        <w:rPr>
          <w:rFonts w:ascii="Times New Roman" w:hAnsi="Times New Roman"/>
        </w:rPr>
        <w:t xml:space="preserve"> approximately $</w:t>
      </w:r>
      <w:r>
        <w:rPr>
          <w:rFonts w:ascii="Times New Roman" w:hAnsi="Times New Roman"/>
        </w:rPr>
        <w:t>216</w:t>
      </w:r>
      <w:r w:rsidR="00C01AD0" w:rsidRPr="00C01AD0">
        <w:rPr>
          <w:rFonts w:ascii="Times New Roman" w:hAnsi="Times New Roman"/>
        </w:rPr>
        <w:t>,</w:t>
      </w:r>
      <w:r>
        <w:rPr>
          <w:rFonts w:ascii="Times New Roman" w:hAnsi="Times New Roman"/>
        </w:rPr>
        <w:t>00</w:t>
      </w:r>
      <w:r w:rsidR="00C01AD0" w:rsidRPr="00C01AD0">
        <w:rPr>
          <w:rFonts w:ascii="Times New Roman" w:hAnsi="Times New Roman"/>
        </w:rPr>
        <w:t>0</w:t>
      </w:r>
      <w:r w:rsidR="00B75357">
        <w:rPr>
          <w:rFonts w:ascii="Times New Roman" w:hAnsi="Times New Roman"/>
        </w:rPr>
        <w:t>.</w:t>
      </w:r>
      <w:r w:rsidR="00A35E0C">
        <w:rPr>
          <w:rStyle w:val="FootnoteReference"/>
          <w:rFonts w:ascii="Times New Roman" w:hAnsi="Times New Roman"/>
        </w:rPr>
        <w:footnoteReference w:id="3"/>
      </w:r>
    </w:p>
    <w:p w:rsidR="00534B6B" w:rsidRPr="007D53E8" w:rsidRDefault="00534B6B" w:rsidP="00534B6B">
      <w:pPr>
        <w:tabs>
          <w:tab w:val="left" w:pos="-720"/>
          <w:tab w:val="left" w:pos="0"/>
        </w:tabs>
        <w:spacing w:after="240"/>
        <w:rPr>
          <w:rFonts w:ascii="Times New Roman" w:hAnsi="Times New Roman"/>
          <w:b/>
        </w:rPr>
      </w:pPr>
      <w:r w:rsidRPr="007D53E8">
        <w:rPr>
          <w:rFonts w:ascii="Times New Roman" w:hAnsi="Times New Roman"/>
          <w:b/>
        </w:rPr>
        <w:t>15.</w:t>
      </w:r>
      <w:r w:rsidRPr="007D53E8">
        <w:rPr>
          <w:rFonts w:ascii="Times New Roman" w:hAnsi="Times New Roman"/>
          <w:b/>
        </w:rPr>
        <w:tab/>
        <w:t>Explain the reasons for any program changes or adjustments reported in Items 13 or 14 of the OMB Form 83-I.</w:t>
      </w:r>
    </w:p>
    <w:p w:rsidR="008B4A12" w:rsidRDefault="00534B6B" w:rsidP="008B4A12">
      <w:pPr>
        <w:tabs>
          <w:tab w:val="left" w:pos="-720"/>
        </w:tabs>
        <w:spacing w:after="240"/>
        <w:rPr>
          <w:rFonts w:ascii="Times New Roman" w:hAnsi="Times New Roman"/>
        </w:rPr>
      </w:pPr>
      <w:r w:rsidRPr="007D53E8">
        <w:rPr>
          <w:rFonts w:ascii="Times New Roman" w:hAnsi="Times New Roman"/>
        </w:rPr>
        <w:tab/>
      </w:r>
      <w:r w:rsidR="004D4646">
        <w:rPr>
          <w:rFonts w:ascii="Times New Roman" w:hAnsi="Times New Roman"/>
        </w:rPr>
        <w:tab/>
      </w:r>
      <w:r w:rsidR="00C94AB1" w:rsidRPr="003056A6">
        <w:rPr>
          <w:rFonts w:ascii="Times New Roman" w:hAnsi="Times New Roman"/>
        </w:rPr>
        <w:t>For system safeguards reporting</w:t>
      </w:r>
      <w:r w:rsidR="004D4646">
        <w:rPr>
          <w:rFonts w:ascii="Times New Roman" w:hAnsi="Times New Roman"/>
        </w:rPr>
        <w:t xml:space="preserve"> pertaining to currently registered </w:t>
      </w:r>
      <w:r w:rsidR="004D4646" w:rsidRPr="003056A6">
        <w:rPr>
          <w:rFonts w:ascii="Times New Roman" w:hAnsi="Times New Roman"/>
        </w:rPr>
        <w:t>DCO</w:t>
      </w:r>
      <w:r w:rsidR="004D4646">
        <w:rPr>
          <w:rFonts w:ascii="Times New Roman" w:hAnsi="Times New Roman"/>
        </w:rPr>
        <w:t>s</w:t>
      </w:r>
      <w:r w:rsidR="00C94AB1" w:rsidRPr="003056A6">
        <w:rPr>
          <w:rFonts w:ascii="Times New Roman" w:hAnsi="Times New Roman"/>
        </w:rPr>
        <w:t xml:space="preserve">, the total hour burden increases slightly (from 2.8 to 3.2) due to the change from 14 </w:t>
      </w:r>
      <w:r w:rsidR="004D4646">
        <w:rPr>
          <w:rFonts w:ascii="Times New Roman" w:hAnsi="Times New Roman"/>
        </w:rPr>
        <w:t>DCOs (</w:t>
      </w:r>
      <w:r w:rsidR="00F25D9C">
        <w:rPr>
          <w:rFonts w:ascii="Times New Roman" w:hAnsi="Times New Roman"/>
        </w:rPr>
        <w:t>in 2015</w:t>
      </w:r>
      <w:r w:rsidR="004D4646">
        <w:rPr>
          <w:rFonts w:ascii="Times New Roman" w:hAnsi="Times New Roman"/>
        </w:rPr>
        <w:t>)</w:t>
      </w:r>
      <w:r w:rsidR="00F25D9C">
        <w:rPr>
          <w:rFonts w:ascii="Times New Roman" w:hAnsi="Times New Roman"/>
        </w:rPr>
        <w:t xml:space="preserve"> </w:t>
      </w:r>
      <w:r w:rsidR="00C94AB1" w:rsidRPr="003056A6">
        <w:rPr>
          <w:rFonts w:ascii="Times New Roman" w:hAnsi="Times New Roman"/>
        </w:rPr>
        <w:t xml:space="preserve">to </w:t>
      </w:r>
      <w:r w:rsidR="004D4646">
        <w:rPr>
          <w:rFonts w:ascii="Times New Roman" w:hAnsi="Times New Roman"/>
        </w:rPr>
        <w:t xml:space="preserve">the current </w:t>
      </w:r>
      <w:r w:rsidR="00C94AB1" w:rsidRPr="003056A6">
        <w:rPr>
          <w:rFonts w:ascii="Times New Roman" w:hAnsi="Times New Roman"/>
        </w:rPr>
        <w:t>16, and total cost burden increases from $280 to $416 due to the increased number of DCOs and an updated hourly cost estimate. </w:t>
      </w:r>
    </w:p>
    <w:p w:rsidR="008B4A12" w:rsidRPr="008B4A12" w:rsidRDefault="008B4A12" w:rsidP="008B4A12">
      <w:pPr>
        <w:tabs>
          <w:tab w:val="left" w:pos="-720"/>
        </w:tabs>
        <w:spacing w:after="240"/>
        <w:rPr>
          <w:rFonts w:ascii="Times New Roman" w:hAnsi="Times New Roman"/>
        </w:rPr>
      </w:pPr>
      <w:r>
        <w:rPr>
          <w:rFonts w:ascii="Times New Roman" w:hAnsi="Times New Roman"/>
        </w:rPr>
        <w:tab/>
      </w:r>
      <w:r w:rsidR="003056A6" w:rsidRPr="003056A6">
        <w:rPr>
          <w:rFonts w:ascii="Times New Roman" w:hAnsi="Times New Roman"/>
        </w:rPr>
        <w:t>Similarly, the total recordkeeping burden increases from 700 to 800 hours due to the increase in DCOs</w:t>
      </w:r>
      <w:r w:rsidR="004D4646">
        <w:rPr>
          <w:rFonts w:ascii="Times New Roman" w:hAnsi="Times New Roman"/>
        </w:rPr>
        <w:t xml:space="preserve">, </w:t>
      </w:r>
      <w:r w:rsidR="003056A6" w:rsidRPr="003056A6">
        <w:rPr>
          <w:rFonts w:ascii="Times New Roman" w:hAnsi="Times New Roman"/>
        </w:rPr>
        <w:t xml:space="preserve">and the total cost burden increases from $7000 to $80,000 due to an updated hourly cost estimate. </w:t>
      </w:r>
      <w:r w:rsidRPr="008B4A12">
        <w:rPr>
          <w:rFonts w:ascii="Times New Roman" w:hAnsi="Times New Roman"/>
        </w:rPr>
        <w:t>(The original supporting statement’s cost burden of $7000 was based on an hourly rate of $10 ($10 x 700), which was most likely inaccurate and not supported by existing records. The hourly rate of $100 is based on current (2018) rate, thus $100 x 800 hrs</w:t>
      </w:r>
      <w:r w:rsidR="00FD272F">
        <w:rPr>
          <w:rFonts w:ascii="Times New Roman" w:hAnsi="Times New Roman"/>
        </w:rPr>
        <w:t>.</w:t>
      </w:r>
      <w:r w:rsidRPr="008B4A12">
        <w:rPr>
          <w:rFonts w:ascii="Times New Roman" w:hAnsi="Times New Roman"/>
        </w:rPr>
        <w:t xml:space="preserve"> = $80,000). </w:t>
      </w:r>
    </w:p>
    <w:p w:rsidR="003056A6" w:rsidRPr="003056A6" w:rsidRDefault="004B2DA7" w:rsidP="003056A6">
      <w:pPr>
        <w:tabs>
          <w:tab w:val="left" w:pos="-720"/>
        </w:tabs>
        <w:spacing w:after="240"/>
        <w:rPr>
          <w:rFonts w:ascii="Times New Roman" w:hAnsi="Times New Roman"/>
        </w:rPr>
      </w:pPr>
      <w:r>
        <w:rPr>
          <w:rFonts w:ascii="Times New Roman" w:hAnsi="Times New Roman"/>
        </w:rPr>
        <w:tab/>
      </w:r>
      <w:r w:rsidR="00F5587E">
        <w:rPr>
          <w:rFonts w:ascii="Times New Roman" w:hAnsi="Times New Roman"/>
        </w:rPr>
        <w:t xml:space="preserve">In addition, </w:t>
      </w:r>
      <w:r w:rsidR="00F5587E" w:rsidRPr="00F5587E">
        <w:rPr>
          <w:rFonts w:ascii="Times New Roman" w:hAnsi="Times New Roman"/>
        </w:rPr>
        <w:t xml:space="preserve">the </w:t>
      </w:r>
      <w:r w:rsidR="00F5587E">
        <w:rPr>
          <w:rFonts w:ascii="Times New Roman" w:hAnsi="Times New Roman"/>
        </w:rPr>
        <w:t xml:space="preserve">total annual </w:t>
      </w:r>
      <w:r w:rsidR="00F5587E" w:rsidRPr="00F5587E">
        <w:rPr>
          <w:rFonts w:ascii="Times New Roman" w:hAnsi="Times New Roman"/>
        </w:rPr>
        <w:t xml:space="preserve">cost to the </w:t>
      </w:r>
      <w:r w:rsidR="00F5587E">
        <w:rPr>
          <w:rFonts w:ascii="Times New Roman" w:hAnsi="Times New Roman"/>
        </w:rPr>
        <w:t xml:space="preserve">Federal Government </w:t>
      </w:r>
      <w:r w:rsidR="00F5587E" w:rsidRPr="00F5587E">
        <w:rPr>
          <w:rFonts w:ascii="Times New Roman" w:hAnsi="Times New Roman"/>
        </w:rPr>
        <w:t xml:space="preserve">has gone up from $1,200 </w:t>
      </w:r>
      <w:r w:rsidR="00F5587E">
        <w:rPr>
          <w:rFonts w:ascii="Times New Roman" w:hAnsi="Times New Roman"/>
        </w:rPr>
        <w:t xml:space="preserve">in 2015 </w:t>
      </w:r>
      <w:r w:rsidR="00F5587E" w:rsidRPr="00F5587E">
        <w:rPr>
          <w:rFonts w:ascii="Times New Roman" w:hAnsi="Times New Roman"/>
        </w:rPr>
        <w:t>to $216,000</w:t>
      </w:r>
      <w:r w:rsidR="00F5587E">
        <w:rPr>
          <w:rFonts w:ascii="Times New Roman" w:hAnsi="Times New Roman"/>
        </w:rPr>
        <w:t xml:space="preserve"> currently. </w:t>
      </w:r>
      <w:r w:rsidR="00F5587E" w:rsidRPr="00B27A18">
        <w:rPr>
          <w:rFonts w:ascii="Times New Roman" w:hAnsi="Times New Roman"/>
          <w:i/>
        </w:rPr>
        <w:t>See also</w:t>
      </w:r>
      <w:r w:rsidR="00F5587E">
        <w:rPr>
          <w:rFonts w:ascii="Times New Roman" w:hAnsi="Times New Roman"/>
        </w:rPr>
        <w:t xml:space="preserve"> response to Item 14</w:t>
      </w:r>
      <w:r w:rsidR="00F5587E" w:rsidRPr="00F5587E">
        <w:rPr>
          <w:rFonts w:ascii="Times New Roman" w:hAnsi="Times New Roman"/>
        </w:rPr>
        <w:t xml:space="preserve"> </w:t>
      </w:r>
      <w:r w:rsidR="00F5587E">
        <w:rPr>
          <w:rFonts w:ascii="Times New Roman" w:hAnsi="Times New Roman"/>
        </w:rPr>
        <w:t>above</w:t>
      </w:r>
      <w:r w:rsidR="00FD272F">
        <w:rPr>
          <w:rFonts w:ascii="Times New Roman" w:hAnsi="Times New Roman"/>
        </w:rPr>
        <w:t>.</w:t>
      </w:r>
      <w:r w:rsidR="00F5587E" w:rsidRPr="00F5587E">
        <w:rPr>
          <w:rFonts w:ascii="Times New Roman" w:hAnsi="Times New Roman"/>
        </w:rPr>
        <w:t> </w:t>
      </w:r>
    </w:p>
    <w:p w:rsidR="00534B6B" w:rsidRPr="007D53E8" w:rsidRDefault="00534B6B" w:rsidP="00534B6B">
      <w:pPr>
        <w:tabs>
          <w:tab w:val="left" w:pos="-720"/>
          <w:tab w:val="left" w:pos="0"/>
        </w:tabs>
        <w:spacing w:after="240"/>
        <w:rPr>
          <w:rFonts w:ascii="Times New Roman" w:hAnsi="Times New Roman"/>
          <w:b/>
        </w:rPr>
      </w:pPr>
      <w:r w:rsidRPr="007D53E8">
        <w:rPr>
          <w:rFonts w:ascii="Times New Roman" w:hAnsi="Times New Roman"/>
          <w:b/>
        </w:rPr>
        <w:t>16.</w:t>
      </w:r>
      <w:r w:rsidRPr="007D53E8">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534B6B" w:rsidRPr="007D53E8" w:rsidRDefault="00534B6B" w:rsidP="00534B6B">
      <w:pPr>
        <w:tabs>
          <w:tab w:val="left" w:pos="-720"/>
        </w:tabs>
        <w:spacing w:after="240"/>
        <w:rPr>
          <w:rFonts w:ascii="Times New Roman" w:hAnsi="Times New Roman"/>
        </w:rPr>
      </w:pPr>
      <w:r w:rsidRPr="007D53E8">
        <w:rPr>
          <w:rFonts w:ascii="Times New Roman" w:hAnsi="Times New Roman"/>
        </w:rPr>
        <w:tab/>
        <w:t>This question does not apply.</w:t>
      </w:r>
    </w:p>
    <w:p w:rsidR="00534B6B" w:rsidRPr="007D53E8" w:rsidRDefault="00534B6B" w:rsidP="00534B6B">
      <w:pPr>
        <w:tabs>
          <w:tab w:val="left" w:pos="-720"/>
          <w:tab w:val="left" w:pos="0"/>
        </w:tabs>
        <w:spacing w:after="240"/>
        <w:rPr>
          <w:rFonts w:ascii="Times New Roman" w:hAnsi="Times New Roman"/>
          <w:b/>
        </w:rPr>
      </w:pPr>
      <w:r w:rsidRPr="007D53E8">
        <w:rPr>
          <w:rFonts w:ascii="Times New Roman" w:hAnsi="Times New Roman"/>
          <w:b/>
        </w:rPr>
        <w:t>17.</w:t>
      </w:r>
      <w:r w:rsidRPr="007D53E8">
        <w:rPr>
          <w:rFonts w:ascii="Times New Roman" w:hAnsi="Times New Roman"/>
          <w:b/>
        </w:rPr>
        <w:tab/>
        <w:t>If seeking approval to not display the expiration date for OMB approval of the information collection, explain the reasons that display would be inappropriate.</w:t>
      </w:r>
    </w:p>
    <w:p w:rsidR="00534B6B" w:rsidRPr="007D53E8" w:rsidRDefault="00534B6B" w:rsidP="00534B6B">
      <w:pPr>
        <w:tabs>
          <w:tab w:val="left" w:pos="-720"/>
        </w:tabs>
        <w:spacing w:after="240"/>
        <w:rPr>
          <w:rFonts w:ascii="Times New Roman" w:hAnsi="Times New Roman"/>
        </w:rPr>
      </w:pPr>
      <w:r w:rsidRPr="007D53E8">
        <w:rPr>
          <w:rFonts w:ascii="Times New Roman" w:hAnsi="Times New Roman"/>
        </w:rPr>
        <w:tab/>
        <w:t>This question does not apply.</w:t>
      </w:r>
    </w:p>
    <w:p w:rsidR="00534B6B" w:rsidRPr="007D53E8" w:rsidRDefault="00534B6B" w:rsidP="00534B6B">
      <w:pPr>
        <w:keepNext/>
        <w:tabs>
          <w:tab w:val="left" w:pos="-720"/>
          <w:tab w:val="left" w:pos="0"/>
        </w:tabs>
        <w:spacing w:after="240"/>
        <w:rPr>
          <w:rFonts w:ascii="Times New Roman" w:hAnsi="Times New Roman"/>
          <w:b/>
        </w:rPr>
      </w:pPr>
      <w:r w:rsidRPr="007D53E8">
        <w:rPr>
          <w:rFonts w:ascii="Times New Roman" w:hAnsi="Times New Roman"/>
          <w:b/>
        </w:rPr>
        <w:t>18.</w:t>
      </w:r>
      <w:r w:rsidRPr="007D53E8">
        <w:rPr>
          <w:rFonts w:ascii="Times New Roman" w:hAnsi="Times New Roman"/>
          <w:b/>
        </w:rPr>
        <w:tab/>
        <w:t>Explain each exception to the certification statement identified in Item 19, "Certification for Paperwork Reduction Act Submissions," of OMB Form 83-I.</w:t>
      </w:r>
    </w:p>
    <w:p w:rsidR="00B26DF3" w:rsidRPr="007D53E8" w:rsidRDefault="00CE1D0A" w:rsidP="00CE1D0A">
      <w:pPr>
        <w:tabs>
          <w:tab w:val="left" w:pos="-720"/>
        </w:tabs>
        <w:spacing w:after="120"/>
        <w:rPr>
          <w:rFonts w:ascii="Times New Roman" w:hAnsi="Times New Roman"/>
          <w:b/>
        </w:rPr>
      </w:pPr>
      <w:r>
        <w:rPr>
          <w:rFonts w:ascii="Times New Roman" w:hAnsi="Times New Roman"/>
        </w:rPr>
        <w:tab/>
      </w:r>
      <w:r w:rsidR="00C60D5C">
        <w:rPr>
          <w:rFonts w:ascii="Times New Roman" w:hAnsi="Times New Roman"/>
        </w:rPr>
        <w:t>This question does not apply.</w:t>
      </w:r>
      <w:r w:rsidR="00B26DF3" w:rsidRPr="007D53E8">
        <w:rPr>
          <w:rFonts w:ascii="Times New Roman" w:hAnsi="Times New Roman"/>
        </w:rPr>
        <w:br w:type="page"/>
      </w:r>
      <w:r w:rsidR="00B26DF3" w:rsidRPr="007D53E8">
        <w:rPr>
          <w:rFonts w:ascii="Times New Roman" w:hAnsi="Times New Roman"/>
          <w:b/>
        </w:rPr>
        <w:t>Attachment A</w:t>
      </w:r>
    </w:p>
    <w:p w:rsidR="009D10CA" w:rsidRDefault="009D10CA" w:rsidP="00B26DF3">
      <w:pPr>
        <w:pStyle w:val="Title"/>
        <w:spacing w:after="240"/>
        <w:rPr>
          <w:sz w:val="24"/>
          <w:szCs w:val="24"/>
        </w:rPr>
      </w:pPr>
    </w:p>
    <w:p w:rsidR="00B26DF3" w:rsidRPr="007D53E8" w:rsidRDefault="00082A80" w:rsidP="00B26DF3">
      <w:pPr>
        <w:pStyle w:val="Title"/>
        <w:spacing w:after="240"/>
        <w:rPr>
          <w:sz w:val="24"/>
          <w:szCs w:val="24"/>
        </w:rPr>
      </w:pPr>
      <w:r>
        <w:rPr>
          <w:sz w:val="24"/>
          <w:szCs w:val="24"/>
        </w:rPr>
        <w:t xml:space="preserve">Risk Management Requirements and </w:t>
      </w:r>
      <w:r w:rsidR="00B26DF3" w:rsidRPr="007D53E8">
        <w:rPr>
          <w:sz w:val="24"/>
          <w:szCs w:val="24"/>
        </w:rPr>
        <w:t>Registration Requirements Applicable to</w:t>
      </w:r>
      <w:r w:rsidR="00B26DF3" w:rsidRPr="007D53E8">
        <w:rPr>
          <w:sz w:val="24"/>
          <w:szCs w:val="24"/>
        </w:rPr>
        <w:br/>
      </w:r>
      <w:r w:rsidR="00166C09">
        <w:rPr>
          <w:sz w:val="24"/>
          <w:szCs w:val="24"/>
        </w:rPr>
        <w:t>Derivatives Clearing Organization</w:t>
      </w:r>
      <w:r>
        <w:rPr>
          <w:sz w:val="24"/>
          <w:szCs w:val="24"/>
        </w:rPr>
        <w:t>s</w:t>
      </w:r>
    </w:p>
    <w:p w:rsidR="00B26DF3" w:rsidRPr="007D53E8" w:rsidRDefault="00B26DF3" w:rsidP="0099405B">
      <w:pPr>
        <w:pStyle w:val="Title"/>
        <w:spacing w:after="240"/>
        <w:rPr>
          <w:sz w:val="24"/>
          <w:szCs w:val="24"/>
        </w:rPr>
      </w:pPr>
      <w:r w:rsidRPr="007D53E8">
        <w:rPr>
          <w:sz w:val="24"/>
          <w:szCs w:val="24"/>
        </w:rPr>
        <w:t>OMB Collection File 3038</w:t>
      </w:r>
      <w:r w:rsidR="00082A80" w:rsidRPr="007D53E8">
        <w:rPr>
          <w:sz w:val="24"/>
          <w:szCs w:val="24"/>
        </w:rPr>
        <w:t>-</w:t>
      </w:r>
      <w:r w:rsidR="00082A80">
        <w:rPr>
          <w:sz w:val="24"/>
          <w:szCs w:val="24"/>
        </w:rPr>
        <w:t>0076</w:t>
      </w:r>
    </w:p>
    <w:p w:rsidR="009D10CA" w:rsidRDefault="009D10CA" w:rsidP="007F39B7">
      <w:pPr>
        <w:ind w:firstLine="720"/>
        <w:rPr>
          <w:rFonts w:ascii="Times New Roman" w:hAnsi="Times New Roman"/>
        </w:rPr>
      </w:pPr>
    </w:p>
    <w:p w:rsidR="00F3672F" w:rsidRPr="007D53E8" w:rsidRDefault="00481D80" w:rsidP="007F39B7">
      <w:pPr>
        <w:ind w:firstLine="720"/>
        <w:rPr>
          <w:rFonts w:ascii="Times New Roman" w:hAnsi="Times New Roman"/>
        </w:rPr>
      </w:pPr>
      <w:r w:rsidRPr="007D53E8">
        <w:rPr>
          <w:rFonts w:ascii="Times New Roman" w:hAnsi="Times New Roman"/>
        </w:rPr>
        <w:t xml:space="preserve">The burden associated with rules implementing </w:t>
      </w:r>
      <w:r w:rsidR="00082A80">
        <w:rPr>
          <w:rFonts w:ascii="Times New Roman" w:hAnsi="Times New Roman"/>
        </w:rPr>
        <w:t xml:space="preserve">risk </w:t>
      </w:r>
      <w:r w:rsidR="00900E2B" w:rsidRPr="007D53E8">
        <w:rPr>
          <w:rFonts w:ascii="Times New Roman" w:hAnsi="Times New Roman"/>
        </w:rPr>
        <w:t xml:space="preserve">management </w:t>
      </w:r>
      <w:r w:rsidR="00082A80">
        <w:rPr>
          <w:rFonts w:ascii="Times New Roman" w:hAnsi="Times New Roman"/>
        </w:rPr>
        <w:t xml:space="preserve">requirements for registered DCOs and the Form DCO </w:t>
      </w:r>
      <w:r w:rsidR="00900E2B" w:rsidRPr="007D53E8">
        <w:rPr>
          <w:rFonts w:ascii="Times New Roman" w:hAnsi="Times New Roman"/>
        </w:rPr>
        <w:t xml:space="preserve">for </w:t>
      </w:r>
      <w:r w:rsidR="00082A80">
        <w:rPr>
          <w:rFonts w:ascii="Times New Roman" w:hAnsi="Times New Roman"/>
        </w:rPr>
        <w:t xml:space="preserve">DCO applicants </w:t>
      </w:r>
      <w:r w:rsidR="00900E2B" w:rsidRPr="007D53E8">
        <w:rPr>
          <w:rFonts w:ascii="Times New Roman" w:hAnsi="Times New Roman"/>
        </w:rPr>
        <w:t xml:space="preserve">is </w:t>
      </w:r>
      <w:r w:rsidR="00F3672F" w:rsidRPr="007D53E8">
        <w:rPr>
          <w:rFonts w:ascii="Times New Roman" w:hAnsi="Times New Roman"/>
        </w:rPr>
        <w:t>estimated as follows:</w:t>
      </w:r>
    </w:p>
    <w:p w:rsidR="007F39B7" w:rsidRPr="007D53E8" w:rsidRDefault="007F39B7" w:rsidP="007F39B7">
      <w:pPr>
        <w:ind w:firstLine="720"/>
        <w:rPr>
          <w:rFonts w:ascii="Times New Roman" w:hAnsi="Times New Roman"/>
        </w:rPr>
      </w:pPr>
    </w:p>
    <w:p w:rsidR="00E17F36" w:rsidRDefault="00F3672F">
      <w:pPr>
        <w:rPr>
          <w:rFonts w:ascii="Times New Roman" w:hAnsi="Times New Roman"/>
        </w:rPr>
      </w:pPr>
      <w:r w:rsidRPr="007D53E8">
        <w:rPr>
          <w:rFonts w:ascii="Times New Roman" w:hAnsi="Times New Roman"/>
        </w:rPr>
        <w:tab/>
      </w:r>
      <w:r w:rsidRPr="006349DA">
        <w:rPr>
          <w:rFonts w:ascii="Times New Roman" w:hAnsi="Times New Roman"/>
        </w:rPr>
        <w:t xml:space="preserve">Commission staff estimates that all respondents could expend in the aggregate </w:t>
      </w:r>
      <w:r w:rsidR="00FE01CA">
        <w:rPr>
          <w:rFonts w:ascii="Times New Roman" w:hAnsi="Times New Roman"/>
        </w:rPr>
        <w:t>$100,000 initially</w:t>
      </w:r>
      <w:r w:rsidR="008B0D4D" w:rsidRPr="006349DA">
        <w:rPr>
          <w:rFonts w:ascii="Times New Roman" w:hAnsi="Times New Roman"/>
        </w:rPr>
        <w:t xml:space="preserve"> </w:t>
      </w:r>
      <w:r w:rsidRPr="006349DA">
        <w:rPr>
          <w:rFonts w:ascii="Times New Roman" w:hAnsi="Times New Roman"/>
        </w:rPr>
        <w:t>to comply with the proposed regulations.  Depending on the expertise of the filer or recordkeeper, the cost to the public of the</w:t>
      </w:r>
      <w:r w:rsidR="008B0D4D" w:rsidRPr="006349DA">
        <w:rPr>
          <w:rFonts w:ascii="Times New Roman" w:hAnsi="Times New Roman"/>
        </w:rPr>
        <w:t xml:space="preserve"> hour bu</w:t>
      </w:r>
      <w:r w:rsidR="004E4427" w:rsidRPr="006349DA">
        <w:rPr>
          <w:rFonts w:ascii="Times New Roman" w:hAnsi="Times New Roman"/>
        </w:rPr>
        <w:t>rdens varies between $10 to $400</w:t>
      </w:r>
      <w:r w:rsidRPr="006349DA">
        <w:rPr>
          <w:rFonts w:ascii="Times New Roman" w:hAnsi="Times New Roman"/>
        </w:rPr>
        <w:t xml:space="preserve"> per hour.</w:t>
      </w:r>
    </w:p>
    <w:p w:rsidR="008B0D4D" w:rsidRDefault="008B0D4D" w:rsidP="008B0D4D"/>
    <w:p w:rsidR="008B0D4D" w:rsidRPr="002F7215" w:rsidRDefault="008B0D4D" w:rsidP="008B0D4D">
      <w:pPr>
        <w:rPr>
          <w:rFonts w:ascii="Times New Roman" w:hAnsi="Times New Roman"/>
          <w:b/>
        </w:rPr>
      </w:pPr>
      <w:r w:rsidRPr="002F7215">
        <w:rPr>
          <w:rFonts w:ascii="Times New Roman" w:hAnsi="Times New Roman"/>
          <w:b/>
        </w:rPr>
        <w:t>1.   Collection 3038-</w:t>
      </w:r>
      <w:r w:rsidR="0080467B" w:rsidRPr="002F7215">
        <w:rPr>
          <w:rFonts w:ascii="Times New Roman" w:hAnsi="Times New Roman"/>
          <w:b/>
        </w:rPr>
        <w:t xml:space="preserve">0076 </w:t>
      </w:r>
      <w:r w:rsidRPr="002F7215">
        <w:rPr>
          <w:rFonts w:ascii="Times New Roman" w:hAnsi="Times New Roman"/>
          <w:b/>
        </w:rPr>
        <w:t>–De</w:t>
      </w:r>
      <w:r w:rsidR="006349DA" w:rsidRPr="002F7215">
        <w:rPr>
          <w:rFonts w:ascii="Times New Roman" w:hAnsi="Times New Roman"/>
          <w:b/>
        </w:rPr>
        <w:t>rivatives Clearing Organization Applicants Reporting Requirement</w:t>
      </w:r>
      <w:r w:rsidR="00EB5A64" w:rsidRPr="002F7215">
        <w:rPr>
          <w:rFonts w:ascii="Times New Roman" w:hAnsi="Times New Roman"/>
          <w:b/>
        </w:rPr>
        <w:t xml:space="preserve"> (Regulation 39.3 and Form DCO)</w:t>
      </w:r>
      <w:r w:rsidR="006D5A86" w:rsidRPr="002F7215">
        <w:rPr>
          <w:rStyle w:val="FootnoteReference"/>
          <w:rFonts w:ascii="Times New Roman" w:hAnsi="Times New Roman"/>
          <w:b/>
        </w:rPr>
        <w:footnoteReference w:id="4"/>
      </w:r>
    </w:p>
    <w:p w:rsidR="008B0D4D" w:rsidRPr="002F7215" w:rsidRDefault="008B0D4D" w:rsidP="008B0D4D">
      <w:pPr>
        <w:rPr>
          <w:rFonts w:ascii="Times New Roman" w:hAnsi="Times New Roman"/>
        </w:rPr>
      </w:pPr>
    </w:p>
    <w:tbl>
      <w:tblPr>
        <w:tblW w:w="8513" w:type="dxa"/>
        <w:jc w:val="center"/>
        <w:tblLook w:val="04A0" w:firstRow="1" w:lastRow="0" w:firstColumn="1" w:lastColumn="0" w:noHBand="0" w:noVBand="1"/>
      </w:tblPr>
      <w:tblGrid>
        <w:gridCol w:w="1631"/>
        <w:gridCol w:w="1373"/>
        <w:gridCol w:w="1417"/>
        <w:gridCol w:w="1297"/>
        <w:gridCol w:w="1284"/>
        <w:gridCol w:w="1511"/>
      </w:tblGrid>
      <w:tr w:rsidR="003F4325" w:rsidRPr="002F7215" w:rsidTr="00B04FD4">
        <w:trPr>
          <w:trHeight w:val="2820"/>
          <w:jc w:val="center"/>
        </w:trPr>
        <w:tc>
          <w:tcPr>
            <w:tcW w:w="1631" w:type="dxa"/>
            <w:tcBorders>
              <w:top w:val="single" w:sz="8" w:space="0" w:color="auto"/>
              <w:left w:val="single" w:sz="8" w:space="0" w:color="auto"/>
              <w:bottom w:val="single" w:sz="8" w:space="0" w:color="auto"/>
              <w:right w:val="single" w:sz="8" w:space="0" w:color="auto"/>
            </w:tcBorders>
            <w:shd w:val="clear" w:color="auto" w:fill="auto"/>
            <w:hideMark/>
          </w:tcPr>
          <w:p w:rsidR="003F4325" w:rsidRPr="002F7215" w:rsidRDefault="003F4325" w:rsidP="008B0D4D">
            <w:pPr>
              <w:rPr>
                <w:rFonts w:ascii="Times New Roman" w:hAnsi="Times New Roman"/>
                <w:color w:val="000000"/>
              </w:rPr>
            </w:pPr>
            <w:r w:rsidRPr="002F7215">
              <w:rPr>
                <w:rFonts w:ascii="Times New Roman" w:hAnsi="Times New Roman"/>
                <w:color w:val="000000"/>
              </w:rPr>
              <w:t xml:space="preserve">Estimated # of Respondents Per Year </w:t>
            </w:r>
          </w:p>
        </w:tc>
        <w:tc>
          <w:tcPr>
            <w:tcW w:w="1373" w:type="dxa"/>
            <w:tcBorders>
              <w:top w:val="single" w:sz="8" w:space="0" w:color="auto"/>
              <w:left w:val="nil"/>
              <w:bottom w:val="single" w:sz="8" w:space="0" w:color="auto"/>
              <w:right w:val="single" w:sz="8" w:space="0" w:color="auto"/>
            </w:tcBorders>
            <w:shd w:val="clear" w:color="auto" w:fill="auto"/>
            <w:hideMark/>
          </w:tcPr>
          <w:p w:rsidR="003F4325" w:rsidRPr="002F7215" w:rsidRDefault="003F4325" w:rsidP="008B0D4D">
            <w:pPr>
              <w:rPr>
                <w:rFonts w:ascii="Times New Roman" w:hAnsi="Times New Roman"/>
                <w:color w:val="000000"/>
              </w:rPr>
            </w:pPr>
            <w:r w:rsidRPr="002F7215">
              <w:rPr>
                <w:rFonts w:ascii="Times New Roman" w:hAnsi="Times New Roman"/>
                <w:color w:val="000000"/>
              </w:rPr>
              <w:t xml:space="preserve">Reports Annually by Each </w:t>
            </w:r>
          </w:p>
        </w:tc>
        <w:tc>
          <w:tcPr>
            <w:tcW w:w="1417" w:type="dxa"/>
            <w:tcBorders>
              <w:top w:val="single" w:sz="8" w:space="0" w:color="auto"/>
              <w:left w:val="nil"/>
              <w:bottom w:val="single" w:sz="8" w:space="0" w:color="auto"/>
              <w:right w:val="single" w:sz="8" w:space="0" w:color="auto"/>
            </w:tcBorders>
            <w:shd w:val="clear" w:color="auto" w:fill="auto"/>
            <w:hideMark/>
          </w:tcPr>
          <w:p w:rsidR="003F4325" w:rsidRPr="002F7215" w:rsidRDefault="003F4325" w:rsidP="008B0D4D">
            <w:pPr>
              <w:rPr>
                <w:rFonts w:ascii="Times New Roman" w:hAnsi="Times New Roman"/>
                <w:color w:val="000000"/>
              </w:rPr>
            </w:pPr>
            <w:r w:rsidRPr="002F7215">
              <w:rPr>
                <w:rFonts w:ascii="Times New Roman" w:hAnsi="Times New Roman"/>
                <w:color w:val="000000"/>
              </w:rPr>
              <w:t xml:space="preserve">Total Annual Responses </w:t>
            </w:r>
          </w:p>
        </w:tc>
        <w:tc>
          <w:tcPr>
            <w:tcW w:w="1297" w:type="dxa"/>
            <w:tcBorders>
              <w:top w:val="single" w:sz="8" w:space="0" w:color="auto"/>
              <w:left w:val="nil"/>
              <w:bottom w:val="single" w:sz="8" w:space="0" w:color="auto"/>
              <w:right w:val="single" w:sz="8" w:space="0" w:color="auto"/>
            </w:tcBorders>
            <w:shd w:val="clear" w:color="auto" w:fill="auto"/>
            <w:hideMark/>
          </w:tcPr>
          <w:p w:rsidR="003F4325" w:rsidRPr="002F7215" w:rsidRDefault="003F4325" w:rsidP="008B0D4D">
            <w:pPr>
              <w:rPr>
                <w:rFonts w:ascii="Times New Roman" w:hAnsi="Times New Roman"/>
                <w:color w:val="000000"/>
              </w:rPr>
            </w:pPr>
            <w:r w:rsidRPr="002F7215">
              <w:rPr>
                <w:rFonts w:ascii="Times New Roman" w:hAnsi="Times New Roman"/>
                <w:color w:val="000000"/>
              </w:rPr>
              <w:t xml:space="preserve">Estimated Average Number of Hours Per Response </w:t>
            </w:r>
          </w:p>
        </w:tc>
        <w:tc>
          <w:tcPr>
            <w:tcW w:w="1284" w:type="dxa"/>
            <w:tcBorders>
              <w:top w:val="single" w:sz="8" w:space="0" w:color="auto"/>
              <w:left w:val="nil"/>
              <w:bottom w:val="single" w:sz="8" w:space="0" w:color="auto"/>
              <w:right w:val="single" w:sz="8" w:space="0" w:color="auto"/>
            </w:tcBorders>
            <w:shd w:val="clear" w:color="auto" w:fill="auto"/>
            <w:hideMark/>
          </w:tcPr>
          <w:p w:rsidR="003F4325" w:rsidRPr="002F7215" w:rsidRDefault="003F4325" w:rsidP="008B0D4D">
            <w:pPr>
              <w:rPr>
                <w:rFonts w:ascii="Times New Roman" w:hAnsi="Times New Roman"/>
                <w:color w:val="000000"/>
              </w:rPr>
            </w:pPr>
            <w:r w:rsidRPr="002F7215">
              <w:rPr>
                <w:rFonts w:ascii="Times New Roman" w:hAnsi="Times New Roman"/>
                <w:color w:val="000000"/>
              </w:rPr>
              <w:t xml:space="preserve">Estimated Total Number of Hours of Annual Burden in Fiscal Year </w:t>
            </w:r>
          </w:p>
        </w:tc>
        <w:tc>
          <w:tcPr>
            <w:tcW w:w="1511" w:type="dxa"/>
            <w:tcBorders>
              <w:top w:val="single" w:sz="8" w:space="0" w:color="auto"/>
              <w:left w:val="nil"/>
              <w:bottom w:val="single" w:sz="8" w:space="0" w:color="auto"/>
              <w:right w:val="single" w:sz="8" w:space="0" w:color="auto"/>
            </w:tcBorders>
            <w:shd w:val="clear" w:color="auto" w:fill="auto"/>
            <w:hideMark/>
          </w:tcPr>
          <w:p w:rsidR="003F4325" w:rsidRPr="002F7215" w:rsidRDefault="003F4325" w:rsidP="008B0D4D">
            <w:pPr>
              <w:rPr>
                <w:rFonts w:ascii="Times New Roman" w:hAnsi="Times New Roman"/>
                <w:color w:val="000000"/>
              </w:rPr>
            </w:pPr>
            <w:r w:rsidRPr="002F7215">
              <w:rPr>
                <w:rFonts w:ascii="Times New Roman" w:hAnsi="Times New Roman"/>
                <w:color w:val="000000"/>
              </w:rPr>
              <w:t>Estimated Annual Cost Per Respondent</w:t>
            </w:r>
          </w:p>
        </w:tc>
      </w:tr>
      <w:tr w:rsidR="003F4325" w:rsidRPr="002F7215" w:rsidTr="00B04FD4">
        <w:trPr>
          <w:trHeight w:val="324"/>
          <w:jc w:val="center"/>
        </w:trPr>
        <w:tc>
          <w:tcPr>
            <w:tcW w:w="1631" w:type="dxa"/>
            <w:tcBorders>
              <w:top w:val="single" w:sz="8" w:space="0" w:color="auto"/>
              <w:left w:val="single" w:sz="8" w:space="0" w:color="auto"/>
              <w:bottom w:val="single" w:sz="8" w:space="0" w:color="auto"/>
              <w:right w:val="single" w:sz="8" w:space="0" w:color="auto"/>
            </w:tcBorders>
            <w:shd w:val="clear" w:color="auto" w:fill="auto"/>
            <w:hideMark/>
          </w:tcPr>
          <w:p w:rsidR="003F4325" w:rsidRPr="002F7215" w:rsidRDefault="006C62B4" w:rsidP="008B0D4D">
            <w:pPr>
              <w:jc w:val="right"/>
              <w:rPr>
                <w:rFonts w:ascii="Times New Roman" w:hAnsi="Times New Roman"/>
                <w:color w:val="000000"/>
              </w:rPr>
            </w:pPr>
            <w:r w:rsidRPr="002F7215">
              <w:rPr>
                <w:rFonts w:ascii="Times New Roman" w:hAnsi="Times New Roman"/>
                <w:color w:val="000000"/>
              </w:rPr>
              <w:t xml:space="preserve"> </w:t>
            </w:r>
            <w:r w:rsidR="003F4325" w:rsidRPr="002F7215">
              <w:rPr>
                <w:rFonts w:ascii="Times New Roman" w:hAnsi="Times New Roman"/>
                <w:color w:val="000000"/>
              </w:rPr>
              <w:t>3</w:t>
            </w:r>
          </w:p>
        </w:tc>
        <w:tc>
          <w:tcPr>
            <w:tcW w:w="1373" w:type="dxa"/>
            <w:tcBorders>
              <w:top w:val="single" w:sz="8" w:space="0" w:color="auto"/>
              <w:left w:val="nil"/>
              <w:bottom w:val="single" w:sz="8" w:space="0" w:color="auto"/>
              <w:right w:val="single" w:sz="8" w:space="0" w:color="auto"/>
            </w:tcBorders>
            <w:shd w:val="clear" w:color="auto" w:fill="auto"/>
            <w:hideMark/>
          </w:tcPr>
          <w:p w:rsidR="003F4325" w:rsidRPr="002F7215" w:rsidRDefault="003F4325" w:rsidP="008B0D4D">
            <w:pPr>
              <w:jc w:val="right"/>
              <w:rPr>
                <w:rFonts w:ascii="Times New Roman" w:hAnsi="Times New Roman"/>
                <w:color w:val="000000"/>
              </w:rPr>
            </w:pPr>
            <w:r w:rsidRPr="002F7215">
              <w:rPr>
                <w:rFonts w:ascii="Times New Roman" w:hAnsi="Times New Roman"/>
                <w:color w:val="000000"/>
              </w:rPr>
              <w:t>1</w:t>
            </w:r>
          </w:p>
        </w:tc>
        <w:tc>
          <w:tcPr>
            <w:tcW w:w="1417" w:type="dxa"/>
            <w:tcBorders>
              <w:top w:val="single" w:sz="8" w:space="0" w:color="auto"/>
              <w:left w:val="nil"/>
              <w:bottom w:val="single" w:sz="8" w:space="0" w:color="auto"/>
              <w:right w:val="single" w:sz="8" w:space="0" w:color="auto"/>
            </w:tcBorders>
            <w:shd w:val="clear" w:color="auto" w:fill="auto"/>
            <w:hideMark/>
          </w:tcPr>
          <w:p w:rsidR="003F4325" w:rsidRPr="002F7215" w:rsidRDefault="003F4325" w:rsidP="008B0D4D">
            <w:pPr>
              <w:jc w:val="right"/>
              <w:rPr>
                <w:rFonts w:ascii="Times New Roman" w:hAnsi="Times New Roman"/>
                <w:color w:val="000000"/>
              </w:rPr>
            </w:pPr>
            <w:r w:rsidRPr="002F7215">
              <w:rPr>
                <w:rFonts w:ascii="Times New Roman" w:hAnsi="Times New Roman"/>
                <w:color w:val="000000"/>
              </w:rPr>
              <w:t>3</w:t>
            </w:r>
          </w:p>
        </w:tc>
        <w:tc>
          <w:tcPr>
            <w:tcW w:w="1297" w:type="dxa"/>
            <w:tcBorders>
              <w:top w:val="single" w:sz="8" w:space="0" w:color="auto"/>
              <w:left w:val="nil"/>
              <w:bottom w:val="single" w:sz="8" w:space="0" w:color="auto"/>
              <w:right w:val="single" w:sz="8" w:space="0" w:color="auto"/>
            </w:tcBorders>
            <w:shd w:val="clear" w:color="auto" w:fill="auto"/>
            <w:hideMark/>
          </w:tcPr>
          <w:p w:rsidR="003F4325" w:rsidRPr="002F7215" w:rsidRDefault="003F4325" w:rsidP="008B0D4D">
            <w:pPr>
              <w:jc w:val="right"/>
              <w:rPr>
                <w:rFonts w:ascii="Times New Roman" w:hAnsi="Times New Roman"/>
                <w:color w:val="000000"/>
              </w:rPr>
            </w:pPr>
            <w:r w:rsidRPr="002F7215">
              <w:rPr>
                <w:rFonts w:ascii="Times New Roman" w:hAnsi="Times New Roman"/>
                <w:color w:val="000000"/>
              </w:rPr>
              <w:t>400</w:t>
            </w:r>
          </w:p>
        </w:tc>
        <w:tc>
          <w:tcPr>
            <w:tcW w:w="1284" w:type="dxa"/>
            <w:tcBorders>
              <w:top w:val="single" w:sz="8" w:space="0" w:color="auto"/>
              <w:left w:val="nil"/>
              <w:bottom w:val="single" w:sz="8" w:space="0" w:color="auto"/>
              <w:right w:val="single" w:sz="8" w:space="0" w:color="auto"/>
            </w:tcBorders>
            <w:shd w:val="clear" w:color="auto" w:fill="auto"/>
            <w:hideMark/>
          </w:tcPr>
          <w:p w:rsidR="003F4325" w:rsidRPr="002F7215" w:rsidRDefault="003F4325" w:rsidP="008B0D4D">
            <w:pPr>
              <w:jc w:val="right"/>
              <w:rPr>
                <w:rFonts w:ascii="Times New Roman" w:hAnsi="Times New Roman"/>
                <w:color w:val="000000"/>
              </w:rPr>
            </w:pPr>
            <w:r w:rsidRPr="002F7215">
              <w:rPr>
                <w:rFonts w:ascii="Times New Roman" w:hAnsi="Times New Roman"/>
                <w:color w:val="000000"/>
              </w:rPr>
              <w:t>1200</w:t>
            </w:r>
          </w:p>
        </w:tc>
        <w:tc>
          <w:tcPr>
            <w:tcW w:w="1511" w:type="dxa"/>
            <w:tcBorders>
              <w:top w:val="single" w:sz="8" w:space="0" w:color="auto"/>
              <w:left w:val="nil"/>
              <w:bottom w:val="single" w:sz="8" w:space="0" w:color="auto"/>
              <w:right w:val="single" w:sz="8" w:space="0" w:color="auto"/>
            </w:tcBorders>
            <w:shd w:val="clear" w:color="auto" w:fill="auto"/>
            <w:hideMark/>
          </w:tcPr>
          <w:p w:rsidR="003F4325" w:rsidRPr="002F7215" w:rsidRDefault="003F4325" w:rsidP="00B61293">
            <w:pPr>
              <w:jc w:val="right"/>
              <w:rPr>
                <w:rFonts w:ascii="Times New Roman" w:hAnsi="Times New Roman"/>
                <w:color w:val="000000"/>
              </w:rPr>
            </w:pPr>
            <w:r w:rsidRPr="002F7215">
              <w:rPr>
                <w:rFonts w:ascii="Times New Roman" w:hAnsi="Times New Roman"/>
                <w:color w:val="000000"/>
              </w:rPr>
              <w:t xml:space="preserve">$100,000* </w:t>
            </w:r>
          </w:p>
        </w:tc>
      </w:tr>
    </w:tbl>
    <w:p w:rsidR="008B0D4D" w:rsidRPr="002F7215" w:rsidRDefault="008B0D4D" w:rsidP="008B0D4D">
      <w:pPr>
        <w:rPr>
          <w:rFonts w:ascii="Times New Roman" w:hAnsi="Times New Roman"/>
        </w:rPr>
      </w:pPr>
    </w:p>
    <w:p w:rsidR="008B0D4D" w:rsidRPr="002F7215" w:rsidRDefault="00166C09" w:rsidP="008B0D4D">
      <w:pPr>
        <w:rPr>
          <w:rFonts w:ascii="Times New Roman" w:hAnsi="Times New Roman"/>
        </w:rPr>
      </w:pPr>
      <w:r w:rsidRPr="002F7215">
        <w:rPr>
          <w:rFonts w:ascii="Times New Roman" w:hAnsi="Times New Roman"/>
        </w:rPr>
        <w:t xml:space="preserve">* </w:t>
      </w:r>
      <w:r w:rsidR="00F314F7" w:rsidRPr="002F7215">
        <w:rPr>
          <w:rFonts w:ascii="Times New Roman" w:hAnsi="Times New Roman"/>
        </w:rPr>
        <w:t xml:space="preserve">Taking into account an average salary of $75-400 per hour, the calculation uses $250. In the Commission’s experience, DCO applicants often hire outside counsel to prepare and submit their applications. While the Commission is uncertain about the billing rates that these entities may pay for outside counsel, the Commission believes that such counsel may bill at a rate of several hundred dollars per hour. </w:t>
      </w:r>
    </w:p>
    <w:p w:rsidR="00166C09" w:rsidRDefault="00166C09" w:rsidP="008B0D4D"/>
    <w:p w:rsidR="009D10CA" w:rsidRDefault="009D10CA" w:rsidP="006349DA">
      <w:pPr>
        <w:rPr>
          <w:rFonts w:ascii="Times New Roman" w:hAnsi="Times New Roman"/>
          <w:b/>
        </w:rPr>
      </w:pPr>
    </w:p>
    <w:p w:rsidR="009D10CA" w:rsidRDefault="009D10CA" w:rsidP="006349DA">
      <w:pPr>
        <w:rPr>
          <w:rFonts w:ascii="Times New Roman" w:hAnsi="Times New Roman"/>
          <w:b/>
        </w:rPr>
      </w:pPr>
    </w:p>
    <w:p w:rsidR="009D10CA" w:rsidRDefault="009D10CA" w:rsidP="006349DA">
      <w:pPr>
        <w:rPr>
          <w:rFonts w:ascii="Times New Roman" w:hAnsi="Times New Roman"/>
          <w:b/>
        </w:rPr>
      </w:pPr>
    </w:p>
    <w:p w:rsidR="009D10CA" w:rsidRDefault="009D10CA" w:rsidP="006349DA">
      <w:pPr>
        <w:rPr>
          <w:rFonts w:ascii="Times New Roman" w:hAnsi="Times New Roman"/>
          <w:b/>
        </w:rPr>
      </w:pPr>
    </w:p>
    <w:p w:rsidR="009D10CA" w:rsidRDefault="009D10CA" w:rsidP="006349DA">
      <w:pPr>
        <w:rPr>
          <w:rFonts w:ascii="Times New Roman" w:hAnsi="Times New Roman"/>
          <w:b/>
        </w:rPr>
      </w:pPr>
    </w:p>
    <w:p w:rsidR="009D10CA" w:rsidRDefault="009D10CA" w:rsidP="006349DA">
      <w:pPr>
        <w:rPr>
          <w:rFonts w:ascii="Times New Roman" w:hAnsi="Times New Roman"/>
          <w:b/>
        </w:rPr>
      </w:pPr>
    </w:p>
    <w:p w:rsidR="006349DA" w:rsidRPr="002F7215" w:rsidRDefault="0031738D" w:rsidP="006349DA">
      <w:pPr>
        <w:rPr>
          <w:rFonts w:ascii="Times New Roman" w:hAnsi="Times New Roman"/>
          <w:b/>
        </w:rPr>
      </w:pPr>
      <w:r w:rsidRPr="002F7215">
        <w:rPr>
          <w:rFonts w:ascii="Times New Roman" w:hAnsi="Times New Roman"/>
          <w:b/>
        </w:rPr>
        <w:t>2</w:t>
      </w:r>
      <w:r w:rsidR="006349DA" w:rsidRPr="002F7215">
        <w:rPr>
          <w:rFonts w:ascii="Times New Roman" w:hAnsi="Times New Roman"/>
          <w:b/>
        </w:rPr>
        <w:t>.   Collection 3038-</w:t>
      </w:r>
      <w:r w:rsidR="0080467B" w:rsidRPr="002F7215">
        <w:rPr>
          <w:rFonts w:ascii="Times New Roman" w:hAnsi="Times New Roman"/>
          <w:b/>
        </w:rPr>
        <w:t xml:space="preserve">0076 </w:t>
      </w:r>
      <w:r w:rsidR="006349DA" w:rsidRPr="002F7215">
        <w:rPr>
          <w:rFonts w:ascii="Times New Roman" w:hAnsi="Times New Roman"/>
          <w:b/>
        </w:rPr>
        <w:t xml:space="preserve">– Event-Specific </w:t>
      </w:r>
      <w:r w:rsidR="006F6EC3" w:rsidRPr="002F7215">
        <w:rPr>
          <w:rFonts w:ascii="Times New Roman" w:hAnsi="Times New Roman"/>
          <w:b/>
        </w:rPr>
        <w:t xml:space="preserve">System Safeguards </w:t>
      </w:r>
      <w:r w:rsidR="006349DA" w:rsidRPr="002F7215">
        <w:rPr>
          <w:rFonts w:ascii="Times New Roman" w:hAnsi="Times New Roman"/>
          <w:b/>
        </w:rPr>
        <w:t>Reporting Requirements for Derivatives Clearing Organizations</w:t>
      </w:r>
      <w:r w:rsidR="0080467B" w:rsidRPr="002F7215">
        <w:rPr>
          <w:rFonts w:ascii="Times New Roman" w:hAnsi="Times New Roman"/>
          <w:b/>
        </w:rPr>
        <w:t xml:space="preserve"> </w:t>
      </w:r>
      <w:r w:rsidR="00EB5A64" w:rsidRPr="002F7215">
        <w:rPr>
          <w:rFonts w:ascii="Times New Roman" w:hAnsi="Times New Roman"/>
          <w:b/>
        </w:rPr>
        <w:t>(Regulations 39.18(g) and (h))</w:t>
      </w:r>
    </w:p>
    <w:p w:rsidR="008B0D4D" w:rsidRPr="002F7215" w:rsidRDefault="008B0D4D" w:rsidP="008B0D4D">
      <w:pPr>
        <w:rPr>
          <w:rFonts w:ascii="Times New Roman" w:hAnsi="Times New Roman"/>
        </w:rPr>
      </w:pPr>
    </w:p>
    <w:tbl>
      <w:tblPr>
        <w:tblW w:w="8640" w:type="dxa"/>
        <w:jc w:val="center"/>
        <w:tblInd w:w="96" w:type="dxa"/>
        <w:tblLook w:val="04A0" w:firstRow="1" w:lastRow="0" w:firstColumn="1" w:lastColumn="0" w:noHBand="0" w:noVBand="1"/>
      </w:tblPr>
      <w:tblGrid>
        <w:gridCol w:w="1456"/>
        <w:gridCol w:w="1120"/>
        <w:gridCol w:w="1241"/>
        <w:gridCol w:w="1553"/>
        <w:gridCol w:w="1635"/>
        <w:gridCol w:w="1635"/>
      </w:tblGrid>
      <w:tr w:rsidR="008B0D4D" w:rsidRPr="002F7215" w:rsidTr="008B0D4D">
        <w:trPr>
          <w:trHeight w:val="2820"/>
          <w:jc w:val="center"/>
        </w:trPr>
        <w:tc>
          <w:tcPr>
            <w:tcW w:w="1443" w:type="dxa"/>
            <w:tcBorders>
              <w:top w:val="single" w:sz="8" w:space="0" w:color="auto"/>
              <w:left w:val="single" w:sz="8" w:space="0" w:color="auto"/>
              <w:bottom w:val="single" w:sz="8" w:space="0" w:color="auto"/>
              <w:right w:val="single" w:sz="8" w:space="0" w:color="auto"/>
            </w:tcBorders>
            <w:shd w:val="clear" w:color="auto" w:fill="auto"/>
            <w:hideMark/>
          </w:tcPr>
          <w:p w:rsidR="008B0D4D" w:rsidRPr="002F7215" w:rsidRDefault="008B0D4D" w:rsidP="008B0D4D">
            <w:pPr>
              <w:rPr>
                <w:rFonts w:ascii="Times New Roman" w:hAnsi="Times New Roman"/>
                <w:color w:val="000000"/>
              </w:rPr>
            </w:pPr>
            <w:r w:rsidRPr="002F7215">
              <w:rPr>
                <w:rFonts w:ascii="Times New Roman" w:hAnsi="Times New Roman"/>
                <w:color w:val="000000"/>
              </w:rPr>
              <w:t xml:space="preserve">Estimated # of Respondents Per Year </w:t>
            </w:r>
          </w:p>
        </w:tc>
        <w:tc>
          <w:tcPr>
            <w:tcW w:w="1110" w:type="dxa"/>
            <w:tcBorders>
              <w:top w:val="single" w:sz="8" w:space="0" w:color="auto"/>
              <w:left w:val="nil"/>
              <w:bottom w:val="single" w:sz="8" w:space="0" w:color="auto"/>
              <w:right w:val="single" w:sz="8" w:space="0" w:color="auto"/>
            </w:tcBorders>
            <w:shd w:val="clear" w:color="auto" w:fill="auto"/>
            <w:hideMark/>
          </w:tcPr>
          <w:p w:rsidR="008B0D4D" w:rsidRPr="002F7215" w:rsidRDefault="008B0D4D" w:rsidP="008B0D4D">
            <w:pPr>
              <w:rPr>
                <w:rFonts w:ascii="Times New Roman" w:hAnsi="Times New Roman"/>
                <w:color w:val="000000"/>
              </w:rPr>
            </w:pPr>
            <w:r w:rsidRPr="002F7215">
              <w:rPr>
                <w:rFonts w:ascii="Times New Roman" w:hAnsi="Times New Roman"/>
                <w:color w:val="000000"/>
              </w:rPr>
              <w:t xml:space="preserve">Reports Annually by Each </w:t>
            </w:r>
          </w:p>
        </w:tc>
        <w:tc>
          <w:tcPr>
            <w:tcW w:w="1230" w:type="dxa"/>
            <w:tcBorders>
              <w:top w:val="single" w:sz="8" w:space="0" w:color="auto"/>
              <w:left w:val="nil"/>
              <w:bottom w:val="single" w:sz="8" w:space="0" w:color="auto"/>
              <w:right w:val="single" w:sz="8" w:space="0" w:color="auto"/>
            </w:tcBorders>
            <w:shd w:val="clear" w:color="auto" w:fill="auto"/>
            <w:hideMark/>
          </w:tcPr>
          <w:p w:rsidR="008B0D4D" w:rsidRPr="002F7215" w:rsidRDefault="008B0D4D" w:rsidP="008B0D4D">
            <w:pPr>
              <w:rPr>
                <w:rFonts w:ascii="Times New Roman" w:hAnsi="Times New Roman"/>
                <w:color w:val="000000"/>
              </w:rPr>
            </w:pPr>
            <w:r w:rsidRPr="002F7215">
              <w:rPr>
                <w:rFonts w:ascii="Times New Roman" w:hAnsi="Times New Roman"/>
                <w:color w:val="000000"/>
              </w:rPr>
              <w:t xml:space="preserve">Total Annual Responses </w:t>
            </w:r>
          </w:p>
        </w:tc>
        <w:tc>
          <w:tcPr>
            <w:tcW w:w="1539" w:type="dxa"/>
            <w:tcBorders>
              <w:top w:val="single" w:sz="8" w:space="0" w:color="auto"/>
              <w:left w:val="nil"/>
              <w:bottom w:val="single" w:sz="8" w:space="0" w:color="auto"/>
              <w:right w:val="single" w:sz="8" w:space="0" w:color="auto"/>
            </w:tcBorders>
            <w:shd w:val="clear" w:color="auto" w:fill="auto"/>
            <w:hideMark/>
          </w:tcPr>
          <w:p w:rsidR="008B0D4D" w:rsidRPr="002F7215" w:rsidRDefault="008B0D4D" w:rsidP="008B0D4D">
            <w:pPr>
              <w:rPr>
                <w:rFonts w:ascii="Times New Roman" w:hAnsi="Times New Roman"/>
                <w:color w:val="000000"/>
              </w:rPr>
            </w:pPr>
            <w:r w:rsidRPr="002F7215">
              <w:rPr>
                <w:rFonts w:ascii="Times New Roman" w:hAnsi="Times New Roman"/>
                <w:color w:val="000000"/>
              </w:rPr>
              <w:t xml:space="preserve">Estimated Average Number of Hours Per Response </w:t>
            </w:r>
          </w:p>
        </w:tc>
        <w:tc>
          <w:tcPr>
            <w:tcW w:w="1620" w:type="dxa"/>
            <w:tcBorders>
              <w:top w:val="single" w:sz="8" w:space="0" w:color="auto"/>
              <w:left w:val="nil"/>
              <w:bottom w:val="single" w:sz="8" w:space="0" w:color="auto"/>
              <w:right w:val="single" w:sz="8" w:space="0" w:color="auto"/>
            </w:tcBorders>
            <w:shd w:val="clear" w:color="auto" w:fill="auto"/>
            <w:hideMark/>
          </w:tcPr>
          <w:p w:rsidR="008B0D4D" w:rsidRPr="002F7215" w:rsidRDefault="008B0D4D" w:rsidP="008B0D4D">
            <w:pPr>
              <w:rPr>
                <w:rFonts w:ascii="Times New Roman" w:hAnsi="Times New Roman"/>
                <w:color w:val="000000"/>
              </w:rPr>
            </w:pPr>
            <w:r w:rsidRPr="002F7215">
              <w:rPr>
                <w:rFonts w:ascii="Times New Roman" w:hAnsi="Times New Roman"/>
                <w:color w:val="000000"/>
              </w:rPr>
              <w:t xml:space="preserve">Estimated Total Number of Hours of Annual Burden in Fiscal Year </w:t>
            </w:r>
          </w:p>
        </w:tc>
        <w:tc>
          <w:tcPr>
            <w:tcW w:w="1620" w:type="dxa"/>
            <w:tcBorders>
              <w:top w:val="single" w:sz="8" w:space="0" w:color="auto"/>
              <w:left w:val="nil"/>
              <w:bottom w:val="single" w:sz="8" w:space="0" w:color="auto"/>
              <w:right w:val="single" w:sz="8" w:space="0" w:color="auto"/>
            </w:tcBorders>
            <w:shd w:val="clear" w:color="auto" w:fill="auto"/>
            <w:hideMark/>
          </w:tcPr>
          <w:p w:rsidR="008B0D4D" w:rsidRPr="002F7215" w:rsidRDefault="008B0D4D" w:rsidP="008B0D4D">
            <w:pPr>
              <w:rPr>
                <w:rFonts w:ascii="Times New Roman" w:hAnsi="Times New Roman"/>
                <w:color w:val="000000"/>
              </w:rPr>
            </w:pPr>
            <w:r w:rsidRPr="002F7215">
              <w:rPr>
                <w:rFonts w:ascii="Times New Roman" w:hAnsi="Times New Roman"/>
                <w:color w:val="000000"/>
              </w:rPr>
              <w:t>Estimated Annual Cost Per Respondent</w:t>
            </w:r>
          </w:p>
        </w:tc>
      </w:tr>
      <w:tr w:rsidR="008B0D4D" w:rsidRPr="002F7215" w:rsidTr="008B0D4D">
        <w:trPr>
          <w:trHeight w:val="324"/>
          <w:jc w:val="center"/>
        </w:trPr>
        <w:tc>
          <w:tcPr>
            <w:tcW w:w="1443" w:type="dxa"/>
            <w:tcBorders>
              <w:top w:val="nil"/>
              <w:left w:val="single" w:sz="8" w:space="0" w:color="auto"/>
              <w:bottom w:val="single" w:sz="8" w:space="0" w:color="auto"/>
              <w:right w:val="single" w:sz="8" w:space="0" w:color="auto"/>
            </w:tcBorders>
            <w:shd w:val="clear" w:color="auto" w:fill="auto"/>
            <w:hideMark/>
          </w:tcPr>
          <w:p w:rsidR="008B0D4D" w:rsidRPr="002F7215" w:rsidRDefault="006E0721" w:rsidP="006E0721">
            <w:pPr>
              <w:jc w:val="right"/>
              <w:rPr>
                <w:rFonts w:ascii="Times New Roman" w:hAnsi="Times New Roman"/>
                <w:color w:val="000000"/>
              </w:rPr>
            </w:pPr>
            <w:r w:rsidRPr="002F7215">
              <w:rPr>
                <w:rFonts w:ascii="Times New Roman" w:hAnsi="Times New Roman"/>
                <w:color w:val="000000"/>
              </w:rPr>
              <w:t>1</w:t>
            </w:r>
            <w:r w:rsidR="006C62B4" w:rsidRPr="002F7215">
              <w:rPr>
                <w:rFonts w:ascii="Times New Roman" w:hAnsi="Times New Roman"/>
                <w:color w:val="000000"/>
              </w:rPr>
              <w:t>6</w:t>
            </w:r>
          </w:p>
        </w:tc>
        <w:tc>
          <w:tcPr>
            <w:tcW w:w="1110" w:type="dxa"/>
            <w:tcBorders>
              <w:top w:val="nil"/>
              <w:left w:val="nil"/>
              <w:bottom w:val="single" w:sz="8" w:space="0" w:color="auto"/>
              <w:right w:val="single" w:sz="8" w:space="0" w:color="auto"/>
            </w:tcBorders>
            <w:shd w:val="clear" w:color="auto" w:fill="auto"/>
            <w:hideMark/>
          </w:tcPr>
          <w:p w:rsidR="008B0D4D" w:rsidRPr="002F7215" w:rsidRDefault="00B61293" w:rsidP="008B0D4D">
            <w:pPr>
              <w:jc w:val="right"/>
              <w:rPr>
                <w:rFonts w:ascii="Times New Roman" w:hAnsi="Times New Roman"/>
                <w:color w:val="000000"/>
              </w:rPr>
            </w:pPr>
            <w:r w:rsidRPr="002F7215">
              <w:rPr>
                <w:rFonts w:ascii="Times New Roman" w:hAnsi="Times New Roman"/>
                <w:color w:val="000000"/>
              </w:rPr>
              <w:t>2</w:t>
            </w:r>
          </w:p>
        </w:tc>
        <w:tc>
          <w:tcPr>
            <w:tcW w:w="1230" w:type="dxa"/>
            <w:tcBorders>
              <w:top w:val="nil"/>
              <w:left w:val="nil"/>
              <w:bottom w:val="single" w:sz="8" w:space="0" w:color="auto"/>
              <w:right w:val="single" w:sz="8" w:space="0" w:color="auto"/>
            </w:tcBorders>
            <w:shd w:val="clear" w:color="auto" w:fill="auto"/>
            <w:hideMark/>
          </w:tcPr>
          <w:p w:rsidR="008B0D4D" w:rsidRPr="002F7215" w:rsidRDefault="006C62B4" w:rsidP="006C62B4">
            <w:pPr>
              <w:jc w:val="right"/>
              <w:rPr>
                <w:rFonts w:ascii="Times New Roman" w:hAnsi="Times New Roman"/>
                <w:color w:val="000000"/>
              </w:rPr>
            </w:pPr>
            <w:r w:rsidRPr="002F7215">
              <w:rPr>
                <w:rFonts w:ascii="Times New Roman" w:hAnsi="Times New Roman"/>
                <w:color w:val="000000"/>
              </w:rPr>
              <w:t>3</w:t>
            </w:r>
            <w:r w:rsidR="00B61293" w:rsidRPr="002F7215">
              <w:rPr>
                <w:rFonts w:ascii="Times New Roman" w:hAnsi="Times New Roman"/>
                <w:color w:val="000000"/>
              </w:rPr>
              <w:t>2</w:t>
            </w:r>
          </w:p>
        </w:tc>
        <w:tc>
          <w:tcPr>
            <w:tcW w:w="1539" w:type="dxa"/>
            <w:tcBorders>
              <w:top w:val="nil"/>
              <w:left w:val="nil"/>
              <w:bottom w:val="single" w:sz="8" w:space="0" w:color="auto"/>
              <w:right w:val="single" w:sz="8" w:space="0" w:color="auto"/>
            </w:tcBorders>
            <w:shd w:val="clear" w:color="auto" w:fill="auto"/>
            <w:hideMark/>
          </w:tcPr>
          <w:p w:rsidR="008B0D4D" w:rsidRPr="002F7215" w:rsidRDefault="00B61293" w:rsidP="008B0D4D">
            <w:pPr>
              <w:jc w:val="right"/>
              <w:rPr>
                <w:rFonts w:ascii="Times New Roman" w:hAnsi="Times New Roman"/>
                <w:color w:val="000000"/>
              </w:rPr>
            </w:pPr>
            <w:r w:rsidRPr="002F7215">
              <w:rPr>
                <w:rFonts w:ascii="Times New Roman" w:hAnsi="Times New Roman"/>
                <w:color w:val="000000"/>
              </w:rPr>
              <w:t>0.1</w:t>
            </w:r>
          </w:p>
        </w:tc>
        <w:tc>
          <w:tcPr>
            <w:tcW w:w="1620" w:type="dxa"/>
            <w:tcBorders>
              <w:top w:val="nil"/>
              <w:left w:val="nil"/>
              <w:bottom w:val="single" w:sz="8" w:space="0" w:color="auto"/>
              <w:right w:val="single" w:sz="8" w:space="0" w:color="auto"/>
            </w:tcBorders>
            <w:shd w:val="clear" w:color="auto" w:fill="auto"/>
            <w:hideMark/>
          </w:tcPr>
          <w:p w:rsidR="008B0D4D" w:rsidRPr="002F7215" w:rsidRDefault="006C62B4" w:rsidP="006C62B4">
            <w:pPr>
              <w:jc w:val="right"/>
              <w:rPr>
                <w:rFonts w:ascii="Times New Roman" w:hAnsi="Times New Roman"/>
                <w:color w:val="000000"/>
              </w:rPr>
            </w:pPr>
            <w:r w:rsidRPr="002F7215">
              <w:rPr>
                <w:rFonts w:ascii="Times New Roman" w:hAnsi="Times New Roman"/>
                <w:color w:val="000000"/>
              </w:rPr>
              <w:t>3.</w:t>
            </w:r>
            <w:r w:rsidR="00B61293" w:rsidRPr="002F7215">
              <w:rPr>
                <w:rFonts w:ascii="Times New Roman" w:hAnsi="Times New Roman"/>
                <w:color w:val="000000"/>
              </w:rPr>
              <w:t>2</w:t>
            </w:r>
          </w:p>
        </w:tc>
        <w:tc>
          <w:tcPr>
            <w:tcW w:w="1620" w:type="dxa"/>
            <w:tcBorders>
              <w:top w:val="nil"/>
              <w:left w:val="nil"/>
              <w:bottom w:val="single" w:sz="8" w:space="0" w:color="auto"/>
              <w:right w:val="single" w:sz="8" w:space="0" w:color="auto"/>
            </w:tcBorders>
            <w:shd w:val="clear" w:color="auto" w:fill="auto"/>
            <w:hideMark/>
          </w:tcPr>
          <w:p w:rsidR="008B0D4D" w:rsidRPr="002F7215" w:rsidRDefault="00166C09" w:rsidP="00EB5A64">
            <w:pPr>
              <w:jc w:val="right"/>
              <w:rPr>
                <w:rFonts w:ascii="Times New Roman" w:hAnsi="Times New Roman"/>
                <w:color w:val="000000"/>
              </w:rPr>
            </w:pPr>
            <w:r w:rsidRPr="002F7215">
              <w:rPr>
                <w:rFonts w:ascii="Times New Roman" w:hAnsi="Times New Roman"/>
                <w:color w:val="000000"/>
              </w:rPr>
              <w:t>$</w:t>
            </w:r>
            <w:r w:rsidR="00B61293" w:rsidRPr="002F7215">
              <w:rPr>
                <w:rFonts w:ascii="Times New Roman" w:hAnsi="Times New Roman"/>
                <w:color w:val="000000"/>
              </w:rPr>
              <w:t>2</w:t>
            </w:r>
            <w:r w:rsidR="00EB5A64" w:rsidRPr="002F7215">
              <w:rPr>
                <w:rFonts w:ascii="Times New Roman" w:hAnsi="Times New Roman"/>
                <w:color w:val="000000"/>
              </w:rPr>
              <w:t>6</w:t>
            </w:r>
            <w:r w:rsidRPr="002F7215">
              <w:rPr>
                <w:rFonts w:ascii="Times New Roman" w:hAnsi="Times New Roman"/>
                <w:color w:val="000000"/>
              </w:rPr>
              <w:t>*</w:t>
            </w:r>
            <w:r w:rsidR="00A911F6" w:rsidRPr="002F7215">
              <w:rPr>
                <w:rFonts w:ascii="Times New Roman" w:hAnsi="Times New Roman"/>
                <w:color w:val="000000"/>
              </w:rPr>
              <w:t>*</w:t>
            </w:r>
          </w:p>
        </w:tc>
      </w:tr>
    </w:tbl>
    <w:p w:rsidR="00166C09" w:rsidRPr="002F7215" w:rsidRDefault="00166C09" w:rsidP="008B0D4D">
      <w:pPr>
        <w:rPr>
          <w:rFonts w:ascii="Times New Roman" w:hAnsi="Times New Roman"/>
        </w:rPr>
      </w:pPr>
    </w:p>
    <w:p w:rsidR="008B0D4D" w:rsidRPr="002F7215" w:rsidRDefault="00166C09" w:rsidP="00166C09">
      <w:pPr>
        <w:rPr>
          <w:rFonts w:ascii="Times New Roman" w:hAnsi="Times New Roman"/>
        </w:rPr>
      </w:pPr>
      <w:r w:rsidRPr="002F7215">
        <w:rPr>
          <w:rFonts w:ascii="Times New Roman" w:hAnsi="Times New Roman"/>
        </w:rPr>
        <w:t>*</w:t>
      </w:r>
      <w:r w:rsidR="00A35E0C" w:rsidRPr="002F7215">
        <w:rPr>
          <w:rFonts w:ascii="Times New Roman" w:hAnsi="Times New Roman"/>
        </w:rPr>
        <w:t>*</w:t>
      </w:r>
      <w:r w:rsidRPr="002F7215">
        <w:rPr>
          <w:rFonts w:ascii="Times New Roman" w:hAnsi="Times New Roman"/>
        </w:rPr>
        <w:t>Taking int</w:t>
      </w:r>
      <w:r w:rsidR="00EB5A64" w:rsidRPr="002F7215">
        <w:rPr>
          <w:rFonts w:ascii="Times New Roman" w:hAnsi="Times New Roman"/>
        </w:rPr>
        <w:t>o account an hourly cost of $132, which is based on salary information for the securities industry compiled by the Securities Industry and Financial Markets Association (“SIFMA”).  Commission staff arrived at this hourly rate using figures from the SIFMA Report on Management &amp; Professional Earnings in the Securities Industry 2013, in the category of Chief Compliance Officer</w:t>
      </w:r>
      <w:r w:rsidRPr="002F7215">
        <w:rPr>
          <w:rFonts w:ascii="Times New Roman" w:hAnsi="Times New Roman"/>
        </w:rPr>
        <w:t>.</w:t>
      </w:r>
    </w:p>
    <w:p w:rsidR="008B0D4D" w:rsidRPr="002F7215" w:rsidRDefault="008B0D4D" w:rsidP="008B0D4D">
      <w:pPr>
        <w:rPr>
          <w:rFonts w:ascii="Times New Roman" w:hAnsi="Times New Roman"/>
        </w:rPr>
      </w:pPr>
    </w:p>
    <w:p w:rsidR="008B0D4D" w:rsidRPr="002F7215" w:rsidRDefault="006349DA" w:rsidP="008B0D4D">
      <w:pPr>
        <w:rPr>
          <w:rFonts w:ascii="Times New Roman" w:hAnsi="Times New Roman"/>
          <w:b/>
        </w:rPr>
      </w:pPr>
      <w:r w:rsidRPr="002F7215">
        <w:rPr>
          <w:rFonts w:ascii="Times New Roman" w:hAnsi="Times New Roman"/>
          <w:b/>
        </w:rPr>
        <w:t>3</w:t>
      </w:r>
      <w:r w:rsidR="008B0D4D" w:rsidRPr="002F7215">
        <w:rPr>
          <w:rFonts w:ascii="Times New Roman" w:hAnsi="Times New Roman"/>
          <w:b/>
        </w:rPr>
        <w:t xml:space="preserve">.   Collection </w:t>
      </w:r>
      <w:r w:rsidR="00CB01D5" w:rsidRPr="002F7215">
        <w:rPr>
          <w:rFonts w:ascii="Times New Roman" w:hAnsi="Times New Roman"/>
          <w:b/>
        </w:rPr>
        <w:t>3038-</w:t>
      </w:r>
      <w:r w:rsidR="0080467B" w:rsidRPr="002F7215">
        <w:rPr>
          <w:rFonts w:ascii="Times New Roman" w:hAnsi="Times New Roman"/>
          <w:b/>
        </w:rPr>
        <w:t xml:space="preserve">0076 </w:t>
      </w:r>
      <w:r w:rsidR="008B0D4D" w:rsidRPr="002F7215">
        <w:rPr>
          <w:rFonts w:ascii="Times New Roman" w:hAnsi="Times New Roman"/>
          <w:b/>
        </w:rPr>
        <w:t>– Recordkeeping Requirements for Derivatives Clearing Organizations</w:t>
      </w:r>
    </w:p>
    <w:p w:rsidR="008B0D4D" w:rsidRPr="002F7215" w:rsidRDefault="008B0D4D" w:rsidP="008B0D4D">
      <w:pPr>
        <w:rPr>
          <w:rFonts w:ascii="Times New Roman" w:hAnsi="Times New Roman"/>
        </w:rPr>
      </w:pPr>
    </w:p>
    <w:tbl>
      <w:tblPr>
        <w:tblW w:w="8640" w:type="dxa"/>
        <w:jc w:val="center"/>
        <w:tblLook w:val="04A0" w:firstRow="1" w:lastRow="0" w:firstColumn="1" w:lastColumn="0" w:noHBand="0" w:noVBand="1"/>
      </w:tblPr>
      <w:tblGrid>
        <w:gridCol w:w="1564"/>
        <w:gridCol w:w="1203"/>
        <w:gridCol w:w="1333"/>
        <w:gridCol w:w="1560"/>
        <w:gridCol w:w="1517"/>
        <w:gridCol w:w="1463"/>
      </w:tblGrid>
      <w:tr w:rsidR="008B0D4D" w:rsidRPr="002F7215" w:rsidTr="008B0D4D">
        <w:trPr>
          <w:trHeight w:val="2820"/>
          <w:jc w:val="center"/>
        </w:trPr>
        <w:tc>
          <w:tcPr>
            <w:tcW w:w="1280" w:type="dxa"/>
            <w:tcBorders>
              <w:top w:val="single" w:sz="8" w:space="0" w:color="auto"/>
              <w:left w:val="single" w:sz="8" w:space="0" w:color="auto"/>
              <w:bottom w:val="single" w:sz="8" w:space="0" w:color="auto"/>
              <w:right w:val="single" w:sz="8" w:space="0" w:color="auto"/>
            </w:tcBorders>
            <w:shd w:val="clear" w:color="auto" w:fill="auto"/>
            <w:hideMark/>
          </w:tcPr>
          <w:p w:rsidR="008B0D4D" w:rsidRPr="002F7215" w:rsidRDefault="008B0D4D" w:rsidP="008B0D4D">
            <w:pPr>
              <w:rPr>
                <w:rFonts w:ascii="Times New Roman" w:hAnsi="Times New Roman"/>
                <w:color w:val="000000"/>
              </w:rPr>
            </w:pPr>
            <w:r w:rsidRPr="002F7215">
              <w:rPr>
                <w:rFonts w:ascii="Times New Roman" w:hAnsi="Times New Roman"/>
                <w:color w:val="000000"/>
              </w:rPr>
              <w:t xml:space="preserve">Estimated # of Respondents Per Year </w:t>
            </w:r>
          </w:p>
        </w:tc>
        <w:tc>
          <w:tcPr>
            <w:tcW w:w="980" w:type="dxa"/>
            <w:tcBorders>
              <w:top w:val="single" w:sz="8" w:space="0" w:color="auto"/>
              <w:left w:val="nil"/>
              <w:bottom w:val="single" w:sz="8" w:space="0" w:color="auto"/>
              <w:right w:val="single" w:sz="8" w:space="0" w:color="auto"/>
            </w:tcBorders>
            <w:shd w:val="clear" w:color="auto" w:fill="auto"/>
            <w:hideMark/>
          </w:tcPr>
          <w:p w:rsidR="008B0D4D" w:rsidRPr="002F7215" w:rsidRDefault="008B0D4D" w:rsidP="008B0D4D">
            <w:pPr>
              <w:rPr>
                <w:rFonts w:ascii="Times New Roman" w:hAnsi="Times New Roman"/>
                <w:color w:val="000000"/>
              </w:rPr>
            </w:pPr>
            <w:r w:rsidRPr="002F7215">
              <w:rPr>
                <w:rFonts w:ascii="Times New Roman" w:hAnsi="Times New Roman"/>
                <w:color w:val="000000"/>
              </w:rPr>
              <w:t xml:space="preserve">Reports Annually by Each </w:t>
            </w:r>
          </w:p>
        </w:tc>
        <w:tc>
          <w:tcPr>
            <w:tcW w:w="1100" w:type="dxa"/>
            <w:tcBorders>
              <w:top w:val="single" w:sz="8" w:space="0" w:color="auto"/>
              <w:left w:val="nil"/>
              <w:bottom w:val="single" w:sz="8" w:space="0" w:color="auto"/>
              <w:right w:val="single" w:sz="8" w:space="0" w:color="auto"/>
            </w:tcBorders>
            <w:shd w:val="clear" w:color="auto" w:fill="auto"/>
            <w:hideMark/>
          </w:tcPr>
          <w:p w:rsidR="008B0D4D" w:rsidRPr="002F7215" w:rsidRDefault="008B0D4D" w:rsidP="008B0D4D">
            <w:pPr>
              <w:rPr>
                <w:rFonts w:ascii="Times New Roman" w:hAnsi="Times New Roman"/>
                <w:color w:val="000000"/>
              </w:rPr>
            </w:pPr>
            <w:r w:rsidRPr="002F7215">
              <w:rPr>
                <w:rFonts w:ascii="Times New Roman" w:hAnsi="Times New Roman"/>
                <w:color w:val="000000"/>
              </w:rPr>
              <w:t xml:space="preserve">Total Annual Responses </w:t>
            </w:r>
          </w:p>
        </w:tc>
        <w:tc>
          <w:tcPr>
            <w:tcW w:w="1440" w:type="dxa"/>
            <w:tcBorders>
              <w:top w:val="single" w:sz="8" w:space="0" w:color="auto"/>
              <w:left w:val="nil"/>
              <w:bottom w:val="single" w:sz="8" w:space="0" w:color="auto"/>
              <w:right w:val="single" w:sz="8" w:space="0" w:color="auto"/>
            </w:tcBorders>
            <w:shd w:val="clear" w:color="auto" w:fill="auto"/>
            <w:hideMark/>
          </w:tcPr>
          <w:p w:rsidR="008B0D4D" w:rsidRPr="002F7215" w:rsidRDefault="008B0D4D" w:rsidP="008B0D4D">
            <w:pPr>
              <w:rPr>
                <w:rFonts w:ascii="Times New Roman" w:hAnsi="Times New Roman"/>
                <w:color w:val="000000"/>
              </w:rPr>
            </w:pPr>
            <w:r w:rsidRPr="002F7215">
              <w:rPr>
                <w:rFonts w:ascii="Times New Roman" w:hAnsi="Times New Roman"/>
                <w:color w:val="000000"/>
              </w:rPr>
              <w:t xml:space="preserve">Estimated Average Number of Hours Per Response </w:t>
            </w:r>
          </w:p>
        </w:tc>
        <w:tc>
          <w:tcPr>
            <w:tcW w:w="1400" w:type="dxa"/>
            <w:tcBorders>
              <w:top w:val="single" w:sz="8" w:space="0" w:color="auto"/>
              <w:left w:val="nil"/>
              <w:bottom w:val="single" w:sz="8" w:space="0" w:color="auto"/>
              <w:right w:val="single" w:sz="8" w:space="0" w:color="auto"/>
            </w:tcBorders>
            <w:shd w:val="clear" w:color="auto" w:fill="auto"/>
            <w:hideMark/>
          </w:tcPr>
          <w:p w:rsidR="008B0D4D" w:rsidRPr="002F7215" w:rsidRDefault="008B0D4D" w:rsidP="008B0D4D">
            <w:pPr>
              <w:rPr>
                <w:rFonts w:ascii="Times New Roman" w:hAnsi="Times New Roman"/>
                <w:color w:val="000000"/>
              </w:rPr>
            </w:pPr>
            <w:r w:rsidRPr="002F7215">
              <w:rPr>
                <w:rFonts w:ascii="Times New Roman" w:hAnsi="Times New Roman"/>
                <w:color w:val="000000"/>
              </w:rPr>
              <w:t xml:space="preserve">Estimated Total Number of Hours of Annual Burden in Fiscal Year </w:t>
            </w:r>
          </w:p>
        </w:tc>
        <w:tc>
          <w:tcPr>
            <w:tcW w:w="1240" w:type="dxa"/>
            <w:tcBorders>
              <w:top w:val="single" w:sz="8" w:space="0" w:color="auto"/>
              <w:left w:val="nil"/>
              <w:bottom w:val="single" w:sz="8" w:space="0" w:color="auto"/>
              <w:right w:val="single" w:sz="8" w:space="0" w:color="auto"/>
            </w:tcBorders>
            <w:shd w:val="clear" w:color="auto" w:fill="auto"/>
            <w:hideMark/>
          </w:tcPr>
          <w:p w:rsidR="008B0D4D" w:rsidRPr="002F7215" w:rsidRDefault="008B0D4D" w:rsidP="008B0D4D">
            <w:pPr>
              <w:rPr>
                <w:rFonts w:ascii="Times New Roman" w:hAnsi="Times New Roman"/>
                <w:color w:val="000000"/>
              </w:rPr>
            </w:pPr>
            <w:r w:rsidRPr="002F7215">
              <w:rPr>
                <w:rFonts w:ascii="Times New Roman" w:hAnsi="Times New Roman"/>
                <w:color w:val="000000"/>
              </w:rPr>
              <w:t>Estimated Annual Cost Per Respondent</w:t>
            </w:r>
          </w:p>
        </w:tc>
      </w:tr>
      <w:tr w:rsidR="008B0D4D" w:rsidRPr="002F7215" w:rsidTr="008B0D4D">
        <w:trPr>
          <w:trHeight w:val="324"/>
          <w:jc w:val="center"/>
        </w:trPr>
        <w:tc>
          <w:tcPr>
            <w:tcW w:w="1280" w:type="dxa"/>
            <w:tcBorders>
              <w:top w:val="nil"/>
              <w:left w:val="single" w:sz="8" w:space="0" w:color="auto"/>
              <w:bottom w:val="single" w:sz="8" w:space="0" w:color="auto"/>
              <w:right w:val="single" w:sz="8" w:space="0" w:color="auto"/>
            </w:tcBorders>
            <w:shd w:val="clear" w:color="auto" w:fill="auto"/>
            <w:hideMark/>
          </w:tcPr>
          <w:p w:rsidR="008B0D4D" w:rsidRPr="002F7215" w:rsidRDefault="008B0D4D" w:rsidP="008B0D4D">
            <w:pPr>
              <w:jc w:val="right"/>
              <w:rPr>
                <w:rFonts w:ascii="Times New Roman" w:hAnsi="Times New Roman"/>
                <w:color w:val="000000"/>
              </w:rPr>
            </w:pPr>
            <w:r w:rsidRPr="002F7215">
              <w:rPr>
                <w:rFonts w:ascii="Times New Roman" w:hAnsi="Times New Roman"/>
                <w:color w:val="000000"/>
              </w:rPr>
              <w:t>1</w:t>
            </w:r>
            <w:r w:rsidR="006C62B4" w:rsidRPr="002F7215">
              <w:rPr>
                <w:rFonts w:ascii="Times New Roman" w:hAnsi="Times New Roman"/>
                <w:color w:val="000000"/>
              </w:rPr>
              <w:t>6</w:t>
            </w:r>
          </w:p>
        </w:tc>
        <w:tc>
          <w:tcPr>
            <w:tcW w:w="980" w:type="dxa"/>
            <w:tcBorders>
              <w:top w:val="nil"/>
              <w:left w:val="nil"/>
              <w:bottom w:val="single" w:sz="8" w:space="0" w:color="auto"/>
              <w:right w:val="single" w:sz="8" w:space="0" w:color="auto"/>
            </w:tcBorders>
            <w:shd w:val="clear" w:color="auto" w:fill="auto"/>
            <w:hideMark/>
          </w:tcPr>
          <w:p w:rsidR="008B0D4D" w:rsidRPr="002F7215" w:rsidRDefault="008B0D4D" w:rsidP="008B0D4D">
            <w:pPr>
              <w:jc w:val="right"/>
              <w:rPr>
                <w:rFonts w:ascii="Times New Roman" w:hAnsi="Times New Roman"/>
                <w:color w:val="000000"/>
              </w:rPr>
            </w:pPr>
            <w:r w:rsidRPr="002F7215">
              <w:rPr>
                <w:rFonts w:ascii="Times New Roman" w:hAnsi="Times New Roman"/>
                <w:color w:val="000000"/>
              </w:rPr>
              <w:t>1</w:t>
            </w:r>
          </w:p>
        </w:tc>
        <w:tc>
          <w:tcPr>
            <w:tcW w:w="1100" w:type="dxa"/>
            <w:tcBorders>
              <w:top w:val="nil"/>
              <w:left w:val="nil"/>
              <w:bottom w:val="single" w:sz="8" w:space="0" w:color="auto"/>
              <w:right w:val="single" w:sz="8" w:space="0" w:color="auto"/>
            </w:tcBorders>
            <w:shd w:val="clear" w:color="auto" w:fill="auto"/>
            <w:hideMark/>
          </w:tcPr>
          <w:p w:rsidR="008B0D4D" w:rsidRPr="002F7215" w:rsidRDefault="008B0D4D" w:rsidP="006C62B4">
            <w:pPr>
              <w:jc w:val="right"/>
              <w:rPr>
                <w:rFonts w:ascii="Times New Roman" w:hAnsi="Times New Roman"/>
                <w:color w:val="000000"/>
              </w:rPr>
            </w:pPr>
            <w:r w:rsidRPr="002F7215">
              <w:rPr>
                <w:rFonts w:ascii="Times New Roman" w:hAnsi="Times New Roman"/>
                <w:color w:val="000000"/>
              </w:rPr>
              <w:t>1</w:t>
            </w:r>
            <w:r w:rsidR="006C62B4" w:rsidRPr="002F7215">
              <w:rPr>
                <w:rFonts w:ascii="Times New Roman" w:hAnsi="Times New Roman"/>
                <w:color w:val="000000"/>
              </w:rPr>
              <w:t>6</w:t>
            </w:r>
          </w:p>
        </w:tc>
        <w:tc>
          <w:tcPr>
            <w:tcW w:w="1440" w:type="dxa"/>
            <w:tcBorders>
              <w:top w:val="nil"/>
              <w:left w:val="nil"/>
              <w:bottom w:val="single" w:sz="8" w:space="0" w:color="auto"/>
              <w:right w:val="single" w:sz="8" w:space="0" w:color="auto"/>
            </w:tcBorders>
            <w:shd w:val="clear" w:color="auto" w:fill="auto"/>
            <w:hideMark/>
          </w:tcPr>
          <w:p w:rsidR="008B0D4D" w:rsidRPr="002F7215" w:rsidRDefault="00D15980" w:rsidP="008B0D4D">
            <w:pPr>
              <w:jc w:val="right"/>
              <w:rPr>
                <w:rFonts w:ascii="Times New Roman" w:hAnsi="Times New Roman"/>
                <w:color w:val="000000"/>
              </w:rPr>
            </w:pPr>
            <w:r w:rsidRPr="002F7215">
              <w:rPr>
                <w:rFonts w:ascii="Times New Roman" w:hAnsi="Times New Roman"/>
                <w:color w:val="000000"/>
              </w:rPr>
              <w:t>50</w:t>
            </w:r>
          </w:p>
        </w:tc>
        <w:tc>
          <w:tcPr>
            <w:tcW w:w="1400" w:type="dxa"/>
            <w:tcBorders>
              <w:top w:val="nil"/>
              <w:left w:val="nil"/>
              <w:bottom w:val="single" w:sz="8" w:space="0" w:color="auto"/>
              <w:right w:val="single" w:sz="8" w:space="0" w:color="auto"/>
            </w:tcBorders>
            <w:shd w:val="clear" w:color="auto" w:fill="auto"/>
            <w:hideMark/>
          </w:tcPr>
          <w:p w:rsidR="008B0D4D" w:rsidRPr="002F7215" w:rsidRDefault="006C62B4" w:rsidP="008B0D4D">
            <w:pPr>
              <w:jc w:val="right"/>
              <w:rPr>
                <w:rFonts w:ascii="Times New Roman" w:hAnsi="Times New Roman"/>
                <w:color w:val="000000"/>
              </w:rPr>
            </w:pPr>
            <w:r w:rsidRPr="002F7215">
              <w:rPr>
                <w:rFonts w:ascii="Times New Roman" w:hAnsi="Times New Roman"/>
                <w:color w:val="000000"/>
              </w:rPr>
              <w:t>8</w:t>
            </w:r>
            <w:r w:rsidR="00D15980" w:rsidRPr="002F7215">
              <w:rPr>
                <w:rFonts w:ascii="Times New Roman" w:hAnsi="Times New Roman"/>
                <w:color w:val="000000"/>
              </w:rPr>
              <w:t>00</w:t>
            </w:r>
          </w:p>
        </w:tc>
        <w:tc>
          <w:tcPr>
            <w:tcW w:w="1240" w:type="dxa"/>
            <w:tcBorders>
              <w:top w:val="nil"/>
              <w:left w:val="nil"/>
              <w:bottom w:val="single" w:sz="8" w:space="0" w:color="auto"/>
              <w:right w:val="single" w:sz="8" w:space="0" w:color="auto"/>
            </w:tcBorders>
            <w:shd w:val="clear" w:color="auto" w:fill="auto"/>
            <w:hideMark/>
          </w:tcPr>
          <w:p w:rsidR="008B0D4D" w:rsidRPr="002F7215" w:rsidRDefault="006C62B4" w:rsidP="00ED348F">
            <w:pPr>
              <w:jc w:val="right"/>
              <w:rPr>
                <w:rFonts w:ascii="Times New Roman" w:hAnsi="Times New Roman"/>
                <w:color w:val="000000"/>
              </w:rPr>
            </w:pPr>
            <w:r w:rsidRPr="002F7215">
              <w:rPr>
                <w:rFonts w:ascii="Times New Roman" w:hAnsi="Times New Roman"/>
                <w:color w:val="000000"/>
              </w:rPr>
              <w:t>$</w:t>
            </w:r>
            <w:r w:rsidR="00ED348F" w:rsidRPr="002F7215">
              <w:rPr>
                <w:rFonts w:ascii="Times New Roman" w:hAnsi="Times New Roman"/>
                <w:color w:val="000000"/>
              </w:rPr>
              <w:t>5</w:t>
            </w:r>
            <w:r w:rsidR="008B0D4D" w:rsidRPr="002F7215">
              <w:rPr>
                <w:rFonts w:ascii="Times New Roman" w:hAnsi="Times New Roman"/>
                <w:color w:val="000000"/>
              </w:rPr>
              <w:t>00</w:t>
            </w:r>
            <w:r w:rsidR="00914E2D" w:rsidRPr="002F7215">
              <w:rPr>
                <w:rFonts w:ascii="Times New Roman" w:hAnsi="Times New Roman"/>
                <w:color w:val="000000"/>
              </w:rPr>
              <w:t>0</w:t>
            </w:r>
            <w:r w:rsidR="00166C09" w:rsidRPr="002F7215">
              <w:rPr>
                <w:rFonts w:ascii="Times New Roman" w:hAnsi="Times New Roman"/>
                <w:color w:val="000000"/>
              </w:rPr>
              <w:t>*</w:t>
            </w:r>
            <w:r w:rsidR="00A911F6" w:rsidRPr="002F7215">
              <w:rPr>
                <w:rFonts w:ascii="Times New Roman" w:hAnsi="Times New Roman"/>
                <w:color w:val="000000"/>
              </w:rPr>
              <w:t>**</w:t>
            </w:r>
            <w:r w:rsidR="008B0D4D" w:rsidRPr="002F7215">
              <w:rPr>
                <w:rFonts w:ascii="Times New Roman" w:hAnsi="Times New Roman"/>
                <w:color w:val="000000"/>
              </w:rPr>
              <w:t xml:space="preserve"> </w:t>
            </w:r>
          </w:p>
        </w:tc>
      </w:tr>
    </w:tbl>
    <w:p w:rsidR="008B0D4D" w:rsidRPr="002F7215" w:rsidRDefault="008B0D4D" w:rsidP="008B0D4D">
      <w:pPr>
        <w:rPr>
          <w:rFonts w:ascii="Times New Roman" w:hAnsi="Times New Roman"/>
        </w:rPr>
      </w:pPr>
    </w:p>
    <w:p w:rsidR="00166C09" w:rsidRPr="002F7215" w:rsidRDefault="00A911F6" w:rsidP="00166C09">
      <w:pPr>
        <w:rPr>
          <w:rFonts w:ascii="Times New Roman" w:hAnsi="Times New Roman"/>
        </w:rPr>
      </w:pPr>
      <w:r w:rsidRPr="002F7215">
        <w:rPr>
          <w:rFonts w:ascii="Times New Roman" w:hAnsi="Times New Roman"/>
        </w:rPr>
        <w:t>**</w:t>
      </w:r>
      <w:r w:rsidR="00166C09" w:rsidRPr="002F7215">
        <w:rPr>
          <w:rFonts w:ascii="Times New Roman" w:hAnsi="Times New Roman"/>
        </w:rPr>
        <w:t>*Taking into account an hourly cost of $10</w:t>
      </w:r>
      <w:r w:rsidR="00914E2D" w:rsidRPr="002F7215">
        <w:rPr>
          <w:rFonts w:ascii="Times New Roman" w:hAnsi="Times New Roman"/>
        </w:rPr>
        <w:t>0</w:t>
      </w:r>
      <w:r w:rsidR="00166C09" w:rsidRPr="002F7215">
        <w:rPr>
          <w:rFonts w:ascii="Times New Roman" w:hAnsi="Times New Roman"/>
        </w:rPr>
        <w:t>.</w:t>
      </w:r>
      <w:r w:rsidR="00914E2D" w:rsidRPr="002F7215">
        <w:rPr>
          <w:rFonts w:ascii="Times New Roman" w:hAnsi="Times New Roman"/>
        </w:rPr>
        <w:t xml:space="preserve">  According to recent Bureau of Labor Statistics data (May 2017), the mean hourly wage of an employee under occupation code 11-3031, “Financial Managers,” that is employed by the “Securities and Commodity Contracts Intermediation and Brokerage” industry is $97.82</w:t>
      </w:r>
      <w:r w:rsidR="00ED348F" w:rsidRPr="002F7215">
        <w:rPr>
          <w:rFonts w:ascii="Times New Roman" w:hAnsi="Times New Roman"/>
        </w:rPr>
        <w:t xml:space="preserve">, which the Commission rounded to $100 per hour in </w:t>
      </w:r>
      <w:r w:rsidR="00914E2D" w:rsidRPr="002F7215">
        <w:rPr>
          <w:rFonts w:ascii="Times New Roman" w:hAnsi="Times New Roman"/>
        </w:rPr>
        <w:t>estimat</w:t>
      </w:r>
      <w:r w:rsidR="00ED348F" w:rsidRPr="002F7215">
        <w:rPr>
          <w:rFonts w:ascii="Times New Roman" w:hAnsi="Times New Roman"/>
        </w:rPr>
        <w:t xml:space="preserve">ing </w:t>
      </w:r>
      <w:r w:rsidR="00914E2D" w:rsidRPr="002F7215">
        <w:rPr>
          <w:rFonts w:ascii="Times New Roman" w:hAnsi="Times New Roman"/>
        </w:rPr>
        <w:t>the cost burden of th</w:t>
      </w:r>
      <w:r w:rsidRPr="002F7215">
        <w:rPr>
          <w:rFonts w:ascii="Times New Roman" w:hAnsi="Times New Roman"/>
        </w:rPr>
        <w:t>ese</w:t>
      </w:r>
      <w:r w:rsidR="00914E2D" w:rsidRPr="002F7215">
        <w:rPr>
          <w:rFonts w:ascii="Times New Roman" w:hAnsi="Times New Roman"/>
        </w:rPr>
        <w:t xml:space="preserve"> </w:t>
      </w:r>
      <w:r w:rsidRPr="002F7215">
        <w:rPr>
          <w:rFonts w:ascii="Times New Roman" w:hAnsi="Times New Roman"/>
        </w:rPr>
        <w:t>recordkeeping</w:t>
      </w:r>
      <w:r w:rsidR="00914E2D" w:rsidRPr="002F7215">
        <w:rPr>
          <w:rFonts w:ascii="Times New Roman" w:hAnsi="Times New Roman"/>
        </w:rPr>
        <w:t xml:space="preserve"> re</w:t>
      </w:r>
      <w:r w:rsidRPr="002F7215">
        <w:rPr>
          <w:rFonts w:ascii="Times New Roman" w:hAnsi="Times New Roman"/>
        </w:rPr>
        <w:t>quirements</w:t>
      </w:r>
      <w:r w:rsidR="00ED348F" w:rsidRPr="002F7215">
        <w:rPr>
          <w:rFonts w:ascii="Times New Roman" w:hAnsi="Times New Roman"/>
        </w:rPr>
        <w:t>.</w:t>
      </w:r>
    </w:p>
    <w:p w:rsidR="00D32006" w:rsidRDefault="0031224B" w:rsidP="00D32006">
      <w:r>
        <w:t xml:space="preserve"> </w:t>
      </w:r>
    </w:p>
    <w:sectPr w:rsidR="00D32006" w:rsidSect="00AD72CD">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35F" w:rsidRDefault="0088135F" w:rsidP="000F5E97">
      <w:r>
        <w:separator/>
      </w:r>
    </w:p>
  </w:endnote>
  <w:endnote w:type="continuationSeparator" w:id="0">
    <w:p w:rsidR="0088135F" w:rsidRDefault="0088135F" w:rsidP="000F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D5" w:rsidRDefault="00361A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D5" w:rsidRDefault="00361A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D5" w:rsidRDefault="00361A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35F" w:rsidRDefault="0088135F" w:rsidP="000F5E97">
      <w:r>
        <w:separator/>
      </w:r>
    </w:p>
  </w:footnote>
  <w:footnote w:type="continuationSeparator" w:id="0">
    <w:p w:rsidR="0088135F" w:rsidRDefault="0088135F" w:rsidP="000F5E97">
      <w:r>
        <w:continuationSeparator/>
      </w:r>
    </w:p>
  </w:footnote>
  <w:footnote w:id="1">
    <w:p w:rsidR="00CF28AB" w:rsidRPr="00CF28AB" w:rsidRDefault="00CF28AB" w:rsidP="00C74CC4">
      <w:pPr>
        <w:pStyle w:val="FootnoteText"/>
        <w:spacing w:before="120"/>
        <w:rPr>
          <w:rFonts w:ascii="Times New Roman" w:hAnsi="Times New Roman"/>
        </w:rPr>
      </w:pPr>
      <w:r>
        <w:rPr>
          <w:rStyle w:val="FootnoteReference"/>
        </w:rPr>
        <w:footnoteRef/>
      </w:r>
      <w:r>
        <w:t xml:space="preserve"> </w:t>
      </w:r>
      <w:r>
        <w:rPr>
          <w:rFonts w:ascii="Times New Roman" w:hAnsi="Times New Roman"/>
          <w:sz w:val="22"/>
          <w:szCs w:val="22"/>
        </w:rPr>
        <w:t xml:space="preserve">76 FR 69334 (November 8, 2011).  </w:t>
      </w:r>
    </w:p>
  </w:footnote>
  <w:footnote w:id="2">
    <w:p w:rsidR="0017784D" w:rsidRPr="00AC41AF" w:rsidRDefault="0017784D">
      <w:pPr>
        <w:pStyle w:val="FootnoteText"/>
        <w:rPr>
          <w:rFonts w:ascii="Times New Roman" w:hAnsi="Times New Roman"/>
        </w:rPr>
      </w:pPr>
      <w:r w:rsidRPr="00AC41AF">
        <w:rPr>
          <w:rStyle w:val="FootnoteReference"/>
          <w:rFonts w:ascii="Times New Roman" w:hAnsi="Times New Roman"/>
        </w:rPr>
        <w:footnoteRef/>
      </w:r>
      <w:r w:rsidRPr="00AC41AF">
        <w:rPr>
          <w:rFonts w:ascii="Times New Roman" w:hAnsi="Times New Roman"/>
        </w:rPr>
        <w:t xml:space="preserve"> 83 FR 32638 (Jul</w:t>
      </w:r>
      <w:r w:rsidR="00AC41AF" w:rsidRPr="00AC41AF">
        <w:rPr>
          <w:rFonts w:ascii="Times New Roman" w:hAnsi="Times New Roman"/>
        </w:rPr>
        <w:t>.</w:t>
      </w:r>
      <w:r w:rsidRPr="00AC41AF">
        <w:rPr>
          <w:rFonts w:ascii="Times New Roman" w:hAnsi="Times New Roman"/>
        </w:rPr>
        <w:t xml:space="preserve"> 13, 2018)</w:t>
      </w:r>
    </w:p>
  </w:footnote>
  <w:footnote w:id="3">
    <w:p w:rsidR="00A35E0C" w:rsidRPr="002F7215" w:rsidRDefault="00A35E0C" w:rsidP="00A35E0C">
      <w:pPr>
        <w:pStyle w:val="FootnoteText"/>
        <w:rPr>
          <w:rFonts w:ascii="Times New Roman" w:hAnsi="Times New Roman"/>
          <w:sz w:val="24"/>
          <w:szCs w:val="24"/>
        </w:rPr>
      </w:pPr>
      <w:r w:rsidRPr="002F7215">
        <w:rPr>
          <w:rStyle w:val="FootnoteReference"/>
          <w:rFonts w:ascii="Times New Roman" w:hAnsi="Times New Roman"/>
          <w:sz w:val="24"/>
          <w:szCs w:val="24"/>
        </w:rPr>
        <w:footnoteRef/>
      </w:r>
      <w:r w:rsidRPr="002F7215">
        <w:rPr>
          <w:rFonts w:ascii="Times New Roman" w:hAnsi="Times New Roman"/>
          <w:sz w:val="24"/>
          <w:szCs w:val="24"/>
        </w:rPr>
        <w:t xml:space="preserve"> Using reports generated by CFTC’s Financial Management </w:t>
      </w:r>
      <w:r w:rsidR="002F7215">
        <w:rPr>
          <w:rFonts w:ascii="Times New Roman" w:hAnsi="Times New Roman"/>
          <w:sz w:val="24"/>
          <w:szCs w:val="24"/>
        </w:rPr>
        <w:t>O</w:t>
      </w:r>
      <w:r w:rsidRPr="002F7215">
        <w:rPr>
          <w:rFonts w:ascii="Times New Roman" w:hAnsi="Times New Roman"/>
          <w:sz w:val="24"/>
          <w:szCs w:val="24"/>
        </w:rPr>
        <w:t xml:space="preserve">ffice.  </w:t>
      </w:r>
    </w:p>
  </w:footnote>
  <w:footnote w:id="4">
    <w:p w:rsidR="006D5A86" w:rsidRPr="00B27A18" w:rsidRDefault="006D5A86">
      <w:pPr>
        <w:pStyle w:val="FootnoteText"/>
        <w:rPr>
          <w:rFonts w:ascii="Times New Roman" w:hAnsi="Times New Roman"/>
          <w:sz w:val="24"/>
          <w:szCs w:val="24"/>
        </w:rPr>
      </w:pPr>
      <w:r w:rsidRPr="00B27A18">
        <w:rPr>
          <w:rStyle w:val="FootnoteReference"/>
          <w:rFonts w:ascii="Times New Roman" w:hAnsi="Times New Roman"/>
          <w:sz w:val="24"/>
          <w:szCs w:val="24"/>
        </w:rPr>
        <w:footnoteRef/>
      </w:r>
      <w:r w:rsidRPr="00B27A18">
        <w:rPr>
          <w:rFonts w:ascii="Times New Roman" w:hAnsi="Times New Roman"/>
          <w:sz w:val="24"/>
          <w:szCs w:val="24"/>
        </w:rPr>
        <w:t xml:space="preserve"> </w:t>
      </w:r>
      <w:r w:rsidRPr="002F7215">
        <w:rPr>
          <w:rFonts w:ascii="Times New Roman" w:hAnsi="Times New Roman"/>
          <w:sz w:val="24"/>
          <w:szCs w:val="24"/>
        </w:rPr>
        <w:t>The burden estimate in Table 1 applies solely to the 3 potential applicants</w:t>
      </w:r>
      <w:r w:rsidR="00F25D9C" w:rsidRPr="002F7215">
        <w:rPr>
          <w:rFonts w:ascii="Times New Roman" w:hAnsi="Times New Roman"/>
          <w:sz w:val="24"/>
          <w:szCs w:val="24"/>
        </w:rPr>
        <w:t>, whereas the burden estimates in Tables 2 and 3 apply to currently registered DCOs.</w:t>
      </w:r>
      <w:r w:rsidRPr="002F7215">
        <w:rPr>
          <w:rFonts w:ascii="Times New Roman" w:hAnsi="Times New Roman"/>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D5" w:rsidRDefault="00361A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D5" w:rsidRDefault="00361A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D5" w:rsidRDefault="00361A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3159F"/>
    <w:multiLevelType w:val="hybridMultilevel"/>
    <w:tmpl w:val="46CEDD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6B"/>
    <w:rsid w:val="000035C3"/>
    <w:rsid w:val="00011BE8"/>
    <w:rsid w:val="00014E41"/>
    <w:rsid w:val="000175EB"/>
    <w:rsid w:val="00022B4E"/>
    <w:rsid w:val="00022B65"/>
    <w:rsid w:val="000232F0"/>
    <w:rsid w:val="0002390B"/>
    <w:rsid w:val="00023BDF"/>
    <w:rsid w:val="00025991"/>
    <w:rsid w:val="000277A5"/>
    <w:rsid w:val="00030EBB"/>
    <w:rsid w:val="000341C4"/>
    <w:rsid w:val="00043A69"/>
    <w:rsid w:val="00057324"/>
    <w:rsid w:val="000600B6"/>
    <w:rsid w:val="000605D8"/>
    <w:rsid w:val="00063FBB"/>
    <w:rsid w:val="00065329"/>
    <w:rsid w:val="00067AE2"/>
    <w:rsid w:val="00070B31"/>
    <w:rsid w:val="000765CD"/>
    <w:rsid w:val="000768F5"/>
    <w:rsid w:val="00081341"/>
    <w:rsid w:val="00082A80"/>
    <w:rsid w:val="00082E9F"/>
    <w:rsid w:val="000835F6"/>
    <w:rsid w:val="000866F0"/>
    <w:rsid w:val="0008745D"/>
    <w:rsid w:val="000939F0"/>
    <w:rsid w:val="00096E82"/>
    <w:rsid w:val="000A4158"/>
    <w:rsid w:val="000A5A5E"/>
    <w:rsid w:val="000A6A35"/>
    <w:rsid w:val="000B162A"/>
    <w:rsid w:val="000B26DF"/>
    <w:rsid w:val="000B37A1"/>
    <w:rsid w:val="000C1963"/>
    <w:rsid w:val="000C30AD"/>
    <w:rsid w:val="000C4E0C"/>
    <w:rsid w:val="000D0AC9"/>
    <w:rsid w:val="000D42B9"/>
    <w:rsid w:val="000E216C"/>
    <w:rsid w:val="000E60AA"/>
    <w:rsid w:val="000E6F66"/>
    <w:rsid w:val="000E7BA7"/>
    <w:rsid w:val="000F413A"/>
    <w:rsid w:val="000F43CF"/>
    <w:rsid w:val="000F5E97"/>
    <w:rsid w:val="000F7C4A"/>
    <w:rsid w:val="00100FFF"/>
    <w:rsid w:val="00120A90"/>
    <w:rsid w:val="00124A68"/>
    <w:rsid w:val="00125988"/>
    <w:rsid w:val="001278DD"/>
    <w:rsid w:val="00132FB8"/>
    <w:rsid w:val="0013795F"/>
    <w:rsid w:val="0015188C"/>
    <w:rsid w:val="0015194E"/>
    <w:rsid w:val="001525B7"/>
    <w:rsid w:val="00153F0B"/>
    <w:rsid w:val="0015463A"/>
    <w:rsid w:val="0016662F"/>
    <w:rsid w:val="00166C09"/>
    <w:rsid w:val="0016738E"/>
    <w:rsid w:val="00171C64"/>
    <w:rsid w:val="001737C1"/>
    <w:rsid w:val="00173E2B"/>
    <w:rsid w:val="0017723B"/>
    <w:rsid w:val="0017784D"/>
    <w:rsid w:val="00182FBB"/>
    <w:rsid w:val="00184A5F"/>
    <w:rsid w:val="00187502"/>
    <w:rsid w:val="00190146"/>
    <w:rsid w:val="00192BF1"/>
    <w:rsid w:val="00193363"/>
    <w:rsid w:val="00196D55"/>
    <w:rsid w:val="00197E50"/>
    <w:rsid w:val="001A1542"/>
    <w:rsid w:val="001A21D2"/>
    <w:rsid w:val="001A315C"/>
    <w:rsid w:val="001A6F8A"/>
    <w:rsid w:val="001B1D9B"/>
    <w:rsid w:val="001C06D6"/>
    <w:rsid w:val="001C7463"/>
    <w:rsid w:val="001D0FB2"/>
    <w:rsid w:val="001D1FAF"/>
    <w:rsid w:val="001E0D04"/>
    <w:rsid w:val="001F4DED"/>
    <w:rsid w:val="00201988"/>
    <w:rsid w:val="002037F6"/>
    <w:rsid w:val="0020533B"/>
    <w:rsid w:val="00206095"/>
    <w:rsid w:val="00230FCC"/>
    <w:rsid w:val="002331B0"/>
    <w:rsid w:val="00241951"/>
    <w:rsid w:val="00245E23"/>
    <w:rsid w:val="002469B1"/>
    <w:rsid w:val="00247D20"/>
    <w:rsid w:val="00256058"/>
    <w:rsid w:val="002626C9"/>
    <w:rsid w:val="0026473C"/>
    <w:rsid w:val="002654AE"/>
    <w:rsid w:val="00266723"/>
    <w:rsid w:val="00296AC1"/>
    <w:rsid w:val="002973A3"/>
    <w:rsid w:val="00297F2E"/>
    <w:rsid w:val="002A3DCA"/>
    <w:rsid w:val="002C013D"/>
    <w:rsid w:val="002D3E29"/>
    <w:rsid w:val="002D50DC"/>
    <w:rsid w:val="002D69B6"/>
    <w:rsid w:val="002E1502"/>
    <w:rsid w:val="002F1336"/>
    <w:rsid w:val="002F2092"/>
    <w:rsid w:val="002F498B"/>
    <w:rsid w:val="002F7215"/>
    <w:rsid w:val="002F7400"/>
    <w:rsid w:val="0030293E"/>
    <w:rsid w:val="003053A8"/>
    <w:rsid w:val="003056A6"/>
    <w:rsid w:val="00311AB7"/>
    <w:rsid w:val="0031224B"/>
    <w:rsid w:val="0031405E"/>
    <w:rsid w:val="00315A5F"/>
    <w:rsid w:val="00315A79"/>
    <w:rsid w:val="003168A3"/>
    <w:rsid w:val="0031738D"/>
    <w:rsid w:val="00325A0A"/>
    <w:rsid w:val="0033019B"/>
    <w:rsid w:val="003351C7"/>
    <w:rsid w:val="00346CCF"/>
    <w:rsid w:val="00347DE6"/>
    <w:rsid w:val="00355CD8"/>
    <w:rsid w:val="00361AD5"/>
    <w:rsid w:val="00362852"/>
    <w:rsid w:val="00372F94"/>
    <w:rsid w:val="003742D1"/>
    <w:rsid w:val="00380D74"/>
    <w:rsid w:val="00383EE8"/>
    <w:rsid w:val="00387DE0"/>
    <w:rsid w:val="00390223"/>
    <w:rsid w:val="003A04C2"/>
    <w:rsid w:val="003A65CB"/>
    <w:rsid w:val="003B2BEB"/>
    <w:rsid w:val="003B60A5"/>
    <w:rsid w:val="003B6EA8"/>
    <w:rsid w:val="003C65AB"/>
    <w:rsid w:val="003D32C7"/>
    <w:rsid w:val="003D4314"/>
    <w:rsid w:val="003D49DE"/>
    <w:rsid w:val="003D5351"/>
    <w:rsid w:val="003D597E"/>
    <w:rsid w:val="003E256B"/>
    <w:rsid w:val="003E4B94"/>
    <w:rsid w:val="003F0037"/>
    <w:rsid w:val="003F308D"/>
    <w:rsid w:val="003F4325"/>
    <w:rsid w:val="003F4662"/>
    <w:rsid w:val="003F7037"/>
    <w:rsid w:val="004024C0"/>
    <w:rsid w:val="00402F76"/>
    <w:rsid w:val="00405023"/>
    <w:rsid w:val="004055F2"/>
    <w:rsid w:val="004056E1"/>
    <w:rsid w:val="004134B4"/>
    <w:rsid w:val="00415146"/>
    <w:rsid w:val="00416161"/>
    <w:rsid w:val="0041782A"/>
    <w:rsid w:val="00420535"/>
    <w:rsid w:val="00427241"/>
    <w:rsid w:val="004435EB"/>
    <w:rsid w:val="00443786"/>
    <w:rsid w:val="0044398D"/>
    <w:rsid w:val="00446161"/>
    <w:rsid w:val="00447527"/>
    <w:rsid w:val="004544AC"/>
    <w:rsid w:val="00457CD5"/>
    <w:rsid w:val="00461BE7"/>
    <w:rsid w:val="00462B97"/>
    <w:rsid w:val="00481D80"/>
    <w:rsid w:val="00484030"/>
    <w:rsid w:val="00484368"/>
    <w:rsid w:val="00492081"/>
    <w:rsid w:val="0049540F"/>
    <w:rsid w:val="00497964"/>
    <w:rsid w:val="004A282C"/>
    <w:rsid w:val="004A392F"/>
    <w:rsid w:val="004A3B8F"/>
    <w:rsid w:val="004A4F62"/>
    <w:rsid w:val="004B264E"/>
    <w:rsid w:val="004B2DA7"/>
    <w:rsid w:val="004B57F1"/>
    <w:rsid w:val="004B7C1F"/>
    <w:rsid w:val="004C1386"/>
    <w:rsid w:val="004C4EBD"/>
    <w:rsid w:val="004C7A01"/>
    <w:rsid w:val="004D2594"/>
    <w:rsid w:val="004D36F7"/>
    <w:rsid w:val="004D4646"/>
    <w:rsid w:val="004D4C4C"/>
    <w:rsid w:val="004E4107"/>
    <w:rsid w:val="004E4427"/>
    <w:rsid w:val="004E77DC"/>
    <w:rsid w:val="004F5BCC"/>
    <w:rsid w:val="00503C27"/>
    <w:rsid w:val="0051126A"/>
    <w:rsid w:val="00512EE5"/>
    <w:rsid w:val="00517B58"/>
    <w:rsid w:val="0052232F"/>
    <w:rsid w:val="00523658"/>
    <w:rsid w:val="00524271"/>
    <w:rsid w:val="00524354"/>
    <w:rsid w:val="00525E95"/>
    <w:rsid w:val="0052625D"/>
    <w:rsid w:val="00526447"/>
    <w:rsid w:val="00534983"/>
    <w:rsid w:val="00534B6B"/>
    <w:rsid w:val="00535068"/>
    <w:rsid w:val="00542723"/>
    <w:rsid w:val="00542854"/>
    <w:rsid w:val="00556B45"/>
    <w:rsid w:val="00563950"/>
    <w:rsid w:val="005652AC"/>
    <w:rsid w:val="00565921"/>
    <w:rsid w:val="00572A34"/>
    <w:rsid w:val="005730FF"/>
    <w:rsid w:val="00574C2F"/>
    <w:rsid w:val="00576890"/>
    <w:rsid w:val="00581DA6"/>
    <w:rsid w:val="00583E5B"/>
    <w:rsid w:val="00586F7E"/>
    <w:rsid w:val="00591252"/>
    <w:rsid w:val="00592165"/>
    <w:rsid w:val="0059221E"/>
    <w:rsid w:val="00596D53"/>
    <w:rsid w:val="005A4D99"/>
    <w:rsid w:val="005A56CC"/>
    <w:rsid w:val="005B0BE6"/>
    <w:rsid w:val="005B27BA"/>
    <w:rsid w:val="005B5435"/>
    <w:rsid w:val="005C0DD3"/>
    <w:rsid w:val="005C479A"/>
    <w:rsid w:val="005C5517"/>
    <w:rsid w:val="005D0314"/>
    <w:rsid w:val="005D39C1"/>
    <w:rsid w:val="005D43DB"/>
    <w:rsid w:val="005E09D4"/>
    <w:rsid w:val="005E536C"/>
    <w:rsid w:val="005F4138"/>
    <w:rsid w:val="005F449F"/>
    <w:rsid w:val="005F6628"/>
    <w:rsid w:val="0060418F"/>
    <w:rsid w:val="006046B6"/>
    <w:rsid w:val="006101E5"/>
    <w:rsid w:val="0061595D"/>
    <w:rsid w:val="0062259E"/>
    <w:rsid w:val="00625474"/>
    <w:rsid w:val="006335C3"/>
    <w:rsid w:val="00634796"/>
    <w:rsid w:val="006349DA"/>
    <w:rsid w:val="006371A5"/>
    <w:rsid w:val="006500E8"/>
    <w:rsid w:val="00664257"/>
    <w:rsid w:val="00675296"/>
    <w:rsid w:val="00677D40"/>
    <w:rsid w:val="00677F55"/>
    <w:rsid w:val="00682A4D"/>
    <w:rsid w:val="00692A25"/>
    <w:rsid w:val="006A05A1"/>
    <w:rsid w:val="006A3336"/>
    <w:rsid w:val="006A6FCF"/>
    <w:rsid w:val="006B29D9"/>
    <w:rsid w:val="006B38C2"/>
    <w:rsid w:val="006C1D44"/>
    <w:rsid w:val="006C5EE1"/>
    <w:rsid w:val="006C62B4"/>
    <w:rsid w:val="006C78B7"/>
    <w:rsid w:val="006D0492"/>
    <w:rsid w:val="006D38A6"/>
    <w:rsid w:val="006D4EA5"/>
    <w:rsid w:val="006D5A86"/>
    <w:rsid w:val="006D759D"/>
    <w:rsid w:val="006E0721"/>
    <w:rsid w:val="006E1BC0"/>
    <w:rsid w:val="006E3F07"/>
    <w:rsid w:val="006E4D0C"/>
    <w:rsid w:val="006E6A35"/>
    <w:rsid w:val="006F4F75"/>
    <w:rsid w:val="006F6771"/>
    <w:rsid w:val="006F6EC3"/>
    <w:rsid w:val="006F7274"/>
    <w:rsid w:val="007003B8"/>
    <w:rsid w:val="00701D5C"/>
    <w:rsid w:val="00702E3B"/>
    <w:rsid w:val="00705151"/>
    <w:rsid w:val="00706B2B"/>
    <w:rsid w:val="00706DFE"/>
    <w:rsid w:val="00714F2C"/>
    <w:rsid w:val="0072782D"/>
    <w:rsid w:val="007303F4"/>
    <w:rsid w:val="00734B27"/>
    <w:rsid w:val="0074513D"/>
    <w:rsid w:val="007456F6"/>
    <w:rsid w:val="007536D5"/>
    <w:rsid w:val="00753B6E"/>
    <w:rsid w:val="00756626"/>
    <w:rsid w:val="007600AF"/>
    <w:rsid w:val="007602AC"/>
    <w:rsid w:val="007616A9"/>
    <w:rsid w:val="007641B8"/>
    <w:rsid w:val="00773F48"/>
    <w:rsid w:val="00775781"/>
    <w:rsid w:val="007764F4"/>
    <w:rsid w:val="00784B6C"/>
    <w:rsid w:val="00793467"/>
    <w:rsid w:val="00794BD7"/>
    <w:rsid w:val="00796330"/>
    <w:rsid w:val="00796602"/>
    <w:rsid w:val="007A49AE"/>
    <w:rsid w:val="007B2CE3"/>
    <w:rsid w:val="007B61B0"/>
    <w:rsid w:val="007D270C"/>
    <w:rsid w:val="007D53E8"/>
    <w:rsid w:val="007D690E"/>
    <w:rsid w:val="007E27C1"/>
    <w:rsid w:val="007F2D28"/>
    <w:rsid w:val="007F39B7"/>
    <w:rsid w:val="007F5475"/>
    <w:rsid w:val="00803774"/>
    <w:rsid w:val="0080467B"/>
    <w:rsid w:val="00807DB0"/>
    <w:rsid w:val="00810F14"/>
    <w:rsid w:val="008159FE"/>
    <w:rsid w:val="008207B9"/>
    <w:rsid w:val="008222C7"/>
    <w:rsid w:val="00833F01"/>
    <w:rsid w:val="00834DD7"/>
    <w:rsid w:val="008356FF"/>
    <w:rsid w:val="00847761"/>
    <w:rsid w:val="008519D2"/>
    <w:rsid w:val="0085370C"/>
    <w:rsid w:val="00860CE6"/>
    <w:rsid w:val="00863A6C"/>
    <w:rsid w:val="00864576"/>
    <w:rsid w:val="00866362"/>
    <w:rsid w:val="0088135F"/>
    <w:rsid w:val="008827E0"/>
    <w:rsid w:val="0088759B"/>
    <w:rsid w:val="0088767B"/>
    <w:rsid w:val="00893A29"/>
    <w:rsid w:val="008A098C"/>
    <w:rsid w:val="008A09F2"/>
    <w:rsid w:val="008A0B3E"/>
    <w:rsid w:val="008A1115"/>
    <w:rsid w:val="008A4669"/>
    <w:rsid w:val="008A5D5E"/>
    <w:rsid w:val="008B0D4D"/>
    <w:rsid w:val="008B4817"/>
    <w:rsid w:val="008B4A12"/>
    <w:rsid w:val="008C1109"/>
    <w:rsid w:val="008C2BBC"/>
    <w:rsid w:val="008C3257"/>
    <w:rsid w:val="008C3CA7"/>
    <w:rsid w:val="008C6976"/>
    <w:rsid w:val="008D0546"/>
    <w:rsid w:val="008D761A"/>
    <w:rsid w:val="008E3461"/>
    <w:rsid w:val="008E634D"/>
    <w:rsid w:val="008E74F8"/>
    <w:rsid w:val="008E7AF8"/>
    <w:rsid w:val="008F1930"/>
    <w:rsid w:val="008F6602"/>
    <w:rsid w:val="008F7E0C"/>
    <w:rsid w:val="00900E2B"/>
    <w:rsid w:val="009025A4"/>
    <w:rsid w:val="0090417E"/>
    <w:rsid w:val="009064B6"/>
    <w:rsid w:val="00911EE7"/>
    <w:rsid w:val="00912A9E"/>
    <w:rsid w:val="0091307D"/>
    <w:rsid w:val="00914E2D"/>
    <w:rsid w:val="0092012D"/>
    <w:rsid w:val="009220A1"/>
    <w:rsid w:val="00924694"/>
    <w:rsid w:val="0092581A"/>
    <w:rsid w:val="00925FF4"/>
    <w:rsid w:val="00927192"/>
    <w:rsid w:val="009319D1"/>
    <w:rsid w:val="00932277"/>
    <w:rsid w:val="009367E2"/>
    <w:rsid w:val="00943367"/>
    <w:rsid w:val="00943BB2"/>
    <w:rsid w:val="00944106"/>
    <w:rsid w:val="00945C50"/>
    <w:rsid w:val="00953494"/>
    <w:rsid w:val="0095732F"/>
    <w:rsid w:val="00964BFD"/>
    <w:rsid w:val="00975151"/>
    <w:rsid w:val="0097606A"/>
    <w:rsid w:val="00977E0C"/>
    <w:rsid w:val="00986B86"/>
    <w:rsid w:val="0099285B"/>
    <w:rsid w:val="0099405B"/>
    <w:rsid w:val="00994E58"/>
    <w:rsid w:val="00995D04"/>
    <w:rsid w:val="009A24BB"/>
    <w:rsid w:val="009A3147"/>
    <w:rsid w:val="009A585D"/>
    <w:rsid w:val="009B5165"/>
    <w:rsid w:val="009C0842"/>
    <w:rsid w:val="009D10CA"/>
    <w:rsid w:val="009D187B"/>
    <w:rsid w:val="009D20C8"/>
    <w:rsid w:val="009D3A33"/>
    <w:rsid w:val="009E20E0"/>
    <w:rsid w:val="009F5BE2"/>
    <w:rsid w:val="009F699A"/>
    <w:rsid w:val="00A0346E"/>
    <w:rsid w:val="00A05E23"/>
    <w:rsid w:val="00A06CDC"/>
    <w:rsid w:val="00A11B9C"/>
    <w:rsid w:val="00A123D6"/>
    <w:rsid w:val="00A20639"/>
    <w:rsid w:val="00A23539"/>
    <w:rsid w:val="00A25483"/>
    <w:rsid w:val="00A31CC4"/>
    <w:rsid w:val="00A3588B"/>
    <w:rsid w:val="00A35E0C"/>
    <w:rsid w:val="00A41899"/>
    <w:rsid w:val="00A45957"/>
    <w:rsid w:val="00A47D54"/>
    <w:rsid w:val="00A50199"/>
    <w:rsid w:val="00A53958"/>
    <w:rsid w:val="00A54436"/>
    <w:rsid w:val="00A61170"/>
    <w:rsid w:val="00A61F7A"/>
    <w:rsid w:val="00A67C3D"/>
    <w:rsid w:val="00A80D36"/>
    <w:rsid w:val="00A8414C"/>
    <w:rsid w:val="00A8752C"/>
    <w:rsid w:val="00A87E91"/>
    <w:rsid w:val="00A90EF4"/>
    <w:rsid w:val="00A911F6"/>
    <w:rsid w:val="00A938FE"/>
    <w:rsid w:val="00A95253"/>
    <w:rsid w:val="00AA0461"/>
    <w:rsid w:val="00AA0E2A"/>
    <w:rsid w:val="00AA5153"/>
    <w:rsid w:val="00AB0BBC"/>
    <w:rsid w:val="00AC00CC"/>
    <w:rsid w:val="00AC1D40"/>
    <w:rsid w:val="00AC41AF"/>
    <w:rsid w:val="00AC7946"/>
    <w:rsid w:val="00AD1B32"/>
    <w:rsid w:val="00AD6953"/>
    <w:rsid w:val="00AD716A"/>
    <w:rsid w:val="00AD72CD"/>
    <w:rsid w:val="00AE4C42"/>
    <w:rsid w:val="00AE609D"/>
    <w:rsid w:val="00AF4A73"/>
    <w:rsid w:val="00B04FD4"/>
    <w:rsid w:val="00B05FA4"/>
    <w:rsid w:val="00B141B9"/>
    <w:rsid w:val="00B14DF4"/>
    <w:rsid w:val="00B165A8"/>
    <w:rsid w:val="00B22DD7"/>
    <w:rsid w:val="00B22E95"/>
    <w:rsid w:val="00B22FB7"/>
    <w:rsid w:val="00B23301"/>
    <w:rsid w:val="00B24F98"/>
    <w:rsid w:val="00B26DF3"/>
    <w:rsid w:val="00B27A18"/>
    <w:rsid w:val="00B31D59"/>
    <w:rsid w:val="00B36E33"/>
    <w:rsid w:val="00B457A8"/>
    <w:rsid w:val="00B50EEE"/>
    <w:rsid w:val="00B600A8"/>
    <w:rsid w:val="00B61293"/>
    <w:rsid w:val="00B66F38"/>
    <w:rsid w:val="00B72015"/>
    <w:rsid w:val="00B72421"/>
    <w:rsid w:val="00B75357"/>
    <w:rsid w:val="00B800F8"/>
    <w:rsid w:val="00B839EF"/>
    <w:rsid w:val="00B873D6"/>
    <w:rsid w:val="00B90175"/>
    <w:rsid w:val="00B91D33"/>
    <w:rsid w:val="00B93362"/>
    <w:rsid w:val="00B95CC5"/>
    <w:rsid w:val="00BA7889"/>
    <w:rsid w:val="00BB4C1A"/>
    <w:rsid w:val="00BC4975"/>
    <w:rsid w:val="00BC5447"/>
    <w:rsid w:val="00BC78F9"/>
    <w:rsid w:val="00BD4837"/>
    <w:rsid w:val="00BE1714"/>
    <w:rsid w:val="00BF20CC"/>
    <w:rsid w:val="00BF54BE"/>
    <w:rsid w:val="00C01AD0"/>
    <w:rsid w:val="00C02B7A"/>
    <w:rsid w:val="00C2325B"/>
    <w:rsid w:val="00C33FC9"/>
    <w:rsid w:val="00C37E53"/>
    <w:rsid w:val="00C424BC"/>
    <w:rsid w:val="00C4280C"/>
    <w:rsid w:val="00C4283A"/>
    <w:rsid w:val="00C4606F"/>
    <w:rsid w:val="00C476D6"/>
    <w:rsid w:val="00C50F6D"/>
    <w:rsid w:val="00C50FAC"/>
    <w:rsid w:val="00C5548B"/>
    <w:rsid w:val="00C575AB"/>
    <w:rsid w:val="00C60B24"/>
    <w:rsid w:val="00C60D5C"/>
    <w:rsid w:val="00C6498B"/>
    <w:rsid w:val="00C649BE"/>
    <w:rsid w:val="00C74CC4"/>
    <w:rsid w:val="00C75A20"/>
    <w:rsid w:val="00C83F82"/>
    <w:rsid w:val="00C84192"/>
    <w:rsid w:val="00C86933"/>
    <w:rsid w:val="00C902A1"/>
    <w:rsid w:val="00C914C7"/>
    <w:rsid w:val="00C94AB1"/>
    <w:rsid w:val="00CB01D5"/>
    <w:rsid w:val="00CB0347"/>
    <w:rsid w:val="00CB24FF"/>
    <w:rsid w:val="00CB7148"/>
    <w:rsid w:val="00CB7953"/>
    <w:rsid w:val="00CD542F"/>
    <w:rsid w:val="00CE1D0A"/>
    <w:rsid w:val="00CE608B"/>
    <w:rsid w:val="00CE7F41"/>
    <w:rsid w:val="00CF28AB"/>
    <w:rsid w:val="00CF7673"/>
    <w:rsid w:val="00D03F7B"/>
    <w:rsid w:val="00D04857"/>
    <w:rsid w:val="00D05B93"/>
    <w:rsid w:val="00D14348"/>
    <w:rsid w:val="00D15980"/>
    <w:rsid w:val="00D20989"/>
    <w:rsid w:val="00D21740"/>
    <w:rsid w:val="00D24617"/>
    <w:rsid w:val="00D32006"/>
    <w:rsid w:val="00D320F0"/>
    <w:rsid w:val="00D3323C"/>
    <w:rsid w:val="00D4017D"/>
    <w:rsid w:val="00D40FE0"/>
    <w:rsid w:val="00D41450"/>
    <w:rsid w:val="00D4197D"/>
    <w:rsid w:val="00D443F5"/>
    <w:rsid w:val="00D46F63"/>
    <w:rsid w:val="00D52101"/>
    <w:rsid w:val="00D55CAE"/>
    <w:rsid w:val="00D56D12"/>
    <w:rsid w:val="00D66F44"/>
    <w:rsid w:val="00D673D1"/>
    <w:rsid w:val="00D67916"/>
    <w:rsid w:val="00D723D3"/>
    <w:rsid w:val="00D73E26"/>
    <w:rsid w:val="00D77105"/>
    <w:rsid w:val="00D8025D"/>
    <w:rsid w:val="00D9298D"/>
    <w:rsid w:val="00D93BA9"/>
    <w:rsid w:val="00DB03AA"/>
    <w:rsid w:val="00DB2157"/>
    <w:rsid w:val="00DC02A3"/>
    <w:rsid w:val="00DC2B99"/>
    <w:rsid w:val="00DC522E"/>
    <w:rsid w:val="00DD1153"/>
    <w:rsid w:val="00DD3676"/>
    <w:rsid w:val="00DE297F"/>
    <w:rsid w:val="00DF07CF"/>
    <w:rsid w:val="00E013D8"/>
    <w:rsid w:val="00E05D75"/>
    <w:rsid w:val="00E11EED"/>
    <w:rsid w:val="00E1421F"/>
    <w:rsid w:val="00E17DE8"/>
    <w:rsid w:val="00E17F36"/>
    <w:rsid w:val="00E22E82"/>
    <w:rsid w:val="00E2335E"/>
    <w:rsid w:val="00E236E5"/>
    <w:rsid w:val="00E240FB"/>
    <w:rsid w:val="00E24462"/>
    <w:rsid w:val="00E26556"/>
    <w:rsid w:val="00E268D0"/>
    <w:rsid w:val="00E301B2"/>
    <w:rsid w:val="00E313D8"/>
    <w:rsid w:val="00E33EDE"/>
    <w:rsid w:val="00E36FCD"/>
    <w:rsid w:val="00E417BB"/>
    <w:rsid w:val="00E42623"/>
    <w:rsid w:val="00E42631"/>
    <w:rsid w:val="00E51D99"/>
    <w:rsid w:val="00E54A26"/>
    <w:rsid w:val="00E55422"/>
    <w:rsid w:val="00E605B7"/>
    <w:rsid w:val="00E639DE"/>
    <w:rsid w:val="00E80060"/>
    <w:rsid w:val="00E90F3F"/>
    <w:rsid w:val="00E92478"/>
    <w:rsid w:val="00E92EC0"/>
    <w:rsid w:val="00E93DA6"/>
    <w:rsid w:val="00E944C1"/>
    <w:rsid w:val="00E96691"/>
    <w:rsid w:val="00EA260E"/>
    <w:rsid w:val="00EB273E"/>
    <w:rsid w:val="00EB4864"/>
    <w:rsid w:val="00EB4997"/>
    <w:rsid w:val="00EB4BD8"/>
    <w:rsid w:val="00EB5A64"/>
    <w:rsid w:val="00EB6A33"/>
    <w:rsid w:val="00EB7E02"/>
    <w:rsid w:val="00EB7F98"/>
    <w:rsid w:val="00EC0E5E"/>
    <w:rsid w:val="00EC0E78"/>
    <w:rsid w:val="00EC2551"/>
    <w:rsid w:val="00EC508B"/>
    <w:rsid w:val="00EC7005"/>
    <w:rsid w:val="00ED0361"/>
    <w:rsid w:val="00ED21C5"/>
    <w:rsid w:val="00ED348F"/>
    <w:rsid w:val="00ED5DAA"/>
    <w:rsid w:val="00ED609B"/>
    <w:rsid w:val="00ED613C"/>
    <w:rsid w:val="00EE2608"/>
    <w:rsid w:val="00EE44CA"/>
    <w:rsid w:val="00EE4E0D"/>
    <w:rsid w:val="00EE677F"/>
    <w:rsid w:val="00EE7872"/>
    <w:rsid w:val="00EE7D31"/>
    <w:rsid w:val="00EF1ADC"/>
    <w:rsid w:val="00EF58FC"/>
    <w:rsid w:val="00F12BA6"/>
    <w:rsid w:val="00F17018"/>
    <w:rsid w:val="00F20518"/>
    <w:rsid w:val="00F21D61"/>
    <w:rsid w:val="00F24E01"/>
    <w:rsid w:val="00F25D9C"/>
    <w:rsid w:val="00F264B6"/>
    <w:rsid w:val="00F314F7"/>
    <w:rsid w:val="00F31702"/>
    <w:rsid w:val="00F3672F"/>
    <w:rsid w:val="00F36CB5"/>
    <w:rsid w:val="00F36F82"/>
    <w:rsid w:val="00F45CC6"/>
    <w:rsid w:val="00F50479"/>
    <w:rsid w:val="00F51ACE"/>
    <w:rsid w:val="00F52D41"/>
    <w:rsid w:val="00F5587E"/>
    <w:rsid w:val="00F570E2"/>
    <w:rsid w:val="00F6053F"/>
    <w:rsid w:val="00F61018"/>
    <w:rsid w:val="00F62252"/>
    <w:rsid w:val="00F63D59"/>
    <w:rsid w:val="00F704C5"/>
    <w:rsid w:val="00F706E4"/>
    <w:rsid w:val="00F80680"/>
    <w:rsid w:val="00F85FEA"/>
    <w:rsid w:val="00F86BB6"/>
    <w:rsid w:val="00F86F2A"/>
    <w:rsid w:val="00F91BB4"/>
    <w:rsid w:val="00F940C0"/>
    <w:rsid w:val="00F973FB"/>
    <w:rsid w:val="00F978BB"/>
    <w:rsid w:val="00FA0F5C"/>
    <w:rsid w:val="00FA241F"/>
    <w:rsid w:val="00FA6552"/>
    <w:rsid w:val="00FB404A"/>
    <w:rsid w:val="00FB5A74"/>
    <w:rsid w:val="00FC5158"/>
    <w:rsid w:val="00FC59D7"/>
    <w:rsid w:val="00FC64FD"/>
    <w:rsid w:val="00FD0FBE"/>
    <w:rsid w:val="00FD272F"/>
    <w:rsid w:val="00FE01CA"/>
    <w:rsid w:val="00FE18B9"/>
    <w:rsid w:val="00FE54B8"/>
    <w:rsid w:val="00FE6D02"/>
    <w:rsid w:val="00FF01C2"/>
    <w:rsid w:val="00FF4046"/>
    <w:rsid w:val="00FF6071"/>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qFormat/>
    <w:rsid w:val="00534B6B"/>
    <w:pPr>
      <w:keepNext/>
      <w:outlineLvl w:val="0"/>
    </w:pPr>
    <w:rPr>
      <w:b/>
      <w:szCs w:val="20"/>
    </w:rPr>
  </w:style>
  <w:style w:type="paragraph" w:styleId="Heading2">
    <w:name w:val="heading 2"/>
    <w:basedOn w:val="Normal"/>
    <w:next w:val="Normal"/>
    <w:link w:val="Heading2Char"/>
    <w:semiHidden/>
    <w:unhideWhenUsed/>
    <w:qFormat/>
    <w:rsid w:val="00B26DF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styleId="FootnoteText">
    <w:name w:val="footnote text"/>
    <w:basedOn w:val="Normal"/>
    <w:link w:val="FootnoteTextChar"/>
    <w:uiPriority w:val="99"/>
    <w:rsid w:val="000F5E97"/>
    <w:rPr>
      <w:sz w:val="20"/>
      <w:szCs w:val="20"/>
    </w:rPr>
  </w:style>
  <w:style w:type="character" w:customStyle="1" w:styleId="FootnoteTextChar">
    <w:name w:val="Footnote Text Char"/>
    <w:link w:val="FootnoteText"/>
    <w:uiPriority w:val="99"/>
    <w:rsid w:val="000F5E97"/>
    <w:rPr>
      <w:rFonts w:ascii="Arial" w:hAnsi="Arial"/>
    </w:rPr>
  </w:style>
  <w:style w:type="character" w:styleId="FootnoteReference">
    <w:name w:val="footnote reference"/>
    <w:uiPriority w:val="99"/>
    <w:rsid w:val="000F5E97"/>
    <w:rPr>
      <w:vertAlign w:val="superscript"/>
    </w:rPr>
  </w:style>
  <w:style w:type="character" w:customStyle="1" w:styleId="Heading2Char">
    <w:name w:val="Heading 2 Char"/>
    <w:link w:val="Heading2"/>
    <w:semiHidden/>
    <w:rsid w:val="00B26DF3"/>
    <w:rPr>
      <w:rFonts w:ascii="Cambria" w:eastAsia="Times New Roman" w:hAnsi="Cambria" w:cs="Times New Roman"/>
      <w:b/>
      <w:bCs/>
      <w:i/>
      <w:iCs/>
      <w:sz w:val="28"/>
      <w:szCs w:val="28"/>
    </w:rPr>
  </w:style>
  <w:style w:type="paragraph" w:styleId="Title">
    <w:name w:val="Title"/>
    <w:basedOn w:val="Normal"/>
    <w:link w:val="TitleChar"/>
    <w:qFormat/>
    <w:rsid w:val="00B26DF3"/>
    <w:pPr>
      <w:jc w:val="center"/>
    </w:pPr>
    <w:rPr>
      <w:rFonts w:ascii="Times New Roman" w:hAnsi="Times New Roman"/>
      <w:b/>
      <w:sz w:val="40"/>
      <w:szCs w:val="20"/>
    </w:rPr>
  </w:style>
  <w:style w:type="character" w:customStyle="1" w:styleId="TitleChar">
    <w:name w:val="Title Char"/>
    <w:link w:val="Title"/>
    <w:rsid w:val="00B26DF3"/>
    <w:rPr>
      <w:b/>
      <w:sz w:val="40"/>
    </w:rPr>
  </w:style>
  <w:style w:type="character" w:styleId="CommentReference">
    <w:name w:val="annotation reference"/>
    <w:uiPriority w:val="99"/>
    <w:rsid w:val="00924694"/>
    <w:rPr>
      <w:sz w:val="16"/>
      <w:szCs w:val="16"/>
    </w:rPr>
  </w:style>
  <w:style w:type="character" w:styleId="EndnoteReference">
    <w:name w:val="endnote reference"/>
    <w:rsid w:val="007600AF"/>
    <w:rPr>
      <w:vertAlign w:val="superscript"/>
    </w:rPr>
  </w:style>
  <w:style w:type="paragraph" w:styleId="CommentText">
    <w:name w:val="annotation text"/>
    <w:basedOn w:val="Normal"/>
    <w:link w:val="CommentTextChar"/>
    <w:uiPriority w:val="99"/>
    <w:unhideWhenUsed/>
    <w:rsid w:val="00B23301"/>
    <w:pPr>
      <w:overflowPunct w:val="0"/>
      <w:autoSpaceDE w:val="0"/>
      <w:autoSpaceDN w:val="0"/>
      <w:adjustRightInd w:val="0"/>
      <w:textAlignment w:val="baseline"/>
    </w:pPr>
    <w:rPr>
      <w:rFonts w:ascii="Times New Roman" w:hAnsi="Times New Roman"/>
      <w:sz w:val="20"/>
      <w:szCs w:val="20"/>
    </w:rPr>
  </w:style>
  <w:style w:type="character" w:customStyle="1" w:styleId="CommentTextChar">
    <w:name w:val="Comment Text Char"/>
    <w:basedOn w:val="DefaultParagraphFont"/>
    <w:link w:val="CommentText"/>
    <w:uiPriority w:val="99"/>
    <w:rsid w:val="00B23301"/>
  </w:style>
  <w:style w:type="paragraph" w:styleId="BalloonText">
    <w:name w:val="Balloon Text"/>
    <w:basedOn w:val="Normal"/>
    <w:link w:val="BalloonTextChar"/>
    <w:rsid w:val="00B23301"/>
    <w:rPr>
      <w:rFonts w:ascii="Tahoma" w:hAnsi="Tahoma" w:cs="Tahoma"/>
      <w:sz w:val="16"/>
      <w:szCs w:val="16"/>
    </w:rPr>
  </w:style>
  <w:style w:type="character" w:customStyle="1" w:styleId="BalloonTextChar">
    <w:name w:val="Balloon Text Char"/>
    <w:link w:val="BalloonText"/>
    <w:rsid w:val="00B23301"/>
    <w:rPr>
      <w:rFonts w:ascii="Tahoma" w:hAnsi="Tahoma" w:cs="Tahoma"/>
      <w:sz w:val="16"/>
      <w:szCs w:val="16"/>
    </w:rPr>
  </w:style>
  <w:style w:type="paragraph" w:styleId="Header">
    <w:name w:val="header"/>
    <w:basedOn w:val="Normal"/>
    <w:link w:val="HeaderChar"/>
    <w:rsid w:val="0052232F"/>
    <w:pPr>
      <w:tabs>
        <w:tab w:val="center" w:pos="4680"/>
        <w:tab w:val="right" w:pos="9360"/>
      </w:tabs>
    </w:pPr>
  </w:style>
  <w:style w:type="character" w:customStyle="1" w:styleId="HeaderChar">
    <w:name w:val="Header Char"/>
    <w:link w:val="Header"/>
    <w:rsid w:val="0052232F"/>
    <w:rPr>
      <w:rFonts w:ascii="Arial" w:hAnsi="Arial"/>
      <w:sz w:val="24"/>
      <w:szCs w:val="24"/>
    </w:rPr>
  </w:style>
  <w:style w:type="paragraph" w:styleId="Footer">
    <w:name w:val="footer"/>
    <w:basedOn w:val="Normal"/>
    <w:link w:val="FooterChar"/>
    <w:rsid w:val="0052232F"/>
    <w:pPr>
      <w:tabs>
        <w:tab w:val="center" w:pos="4680"/>
        <w:tab w:val="right" w:pos="9360"/>
      </w:tabs>
    </w:pPr>
  </w:style>
  <w:style w:type="character" w:customStyle="1" w:styleId="FooterChar">
    <w:name w:val="Footer Char"/>
    <w:link w:val="Footer"/>
    <w:rsid w:val="0052232F"/>
    <w:rPr>
      <w:rFonts w:ascii="Arial" w:hAnsi="Arial"/>
      <w:sz w:val="24"/>
      <w:szCs w:val="24"/>
    </w:rPr>
  </w:style>
  <w:style w:type="paragraph" w:styleId="PlainText">
    <w:name w:val="Plain Text"/>
    <w:basedOn w:val="Normal"/>
    <w:link w:val="PlainTextChar"/>
    <w:uiPriority w:val="99"/>
    <w:unhideWhenUsed/>
    <w:rsid w:val="007B61B0"/>
    <w:rPr>
      <w:rFonts w:ascii="Calibri" w:hAnsi="Calibri"/>
      <w:color w:val="1F497D"/>
      <w:sz w:val="22"/>
      <w:szCs w:val="21"/>
    </w:rPr>
  </w:style>
  <w:style w:type="character" w:customStyle="1" w:styleId="PlainTextChar">
    <w:name w:val="Plain Text Char"/>
    <w:link w:val="PlainText"/>
    <w:uiPriority w:val="99"/>
    <w:rsid w:val="007B61B0"/>
    <w:rPr>
      <w:rFonts w:ascii="Calibri" w:hAnsi="Calibri"/>
      <w:color w:val="1F497D"/>
      <w:sz w:val="22"/>
      <w:szCs w:val="21"/>
    </w:rPr>
  </w:style>
  <w:style w:type="paragraph" w:customStyle="1" w:styleId="Default">
    <w:name w:val="Default"/>
    <w:uiPriority w:val="99"/>
    <w:rsid w:val="007B61B0"/>
    <w:pPr>
      <w:autoSpaceDE w:val="0"/>
      <w:autoSpaceDN w:val="0"/>
      <w:adjustRightInd w:val="0"/>
    </w:pPr>
    <w:rPr>
      <w:rFonts w:ascii="Arial" w:eastAsia="Calibri" w:hAnsi="Arial" w:cs="Arial"/>
      <w:color w:val="000000"/>
      <w:sz w:val="24"/>
      <w:szCs w:val="24"/>
    </w:rPr>
  </w:style>
  <w:style w:type="paragraph" w:styleId="CommentSubject">
    <w:name w:val="annotation subject"/>
    <w:basedOn w:val="CommentText"/>
    <w:next w:val="CommentText"/>
    <w:link w:val="CommentSubjectChar"/>
    <w:rsid w:val="007764F4"/>
    <w:pPr>
      <w:overflowPunct/>
      <w:autoSpaceDE/>
      <w:autoSpaceDN/>
      <w:adjustRightInd/>
      <w:textAlignment w:val="auto"/>
    </w:pPr>
    <w:rPr>
      <w:rFonts w:ascii="Arial" w:hAnsi="Arial"/>
      <w:b/>
      <w:bCs/>
    </w:rPr>
  </w:style>
  <w:style w:type="character" w:customStyle="1" w:styleId="CommentSubjectChar">
    <w:name w:val="Comment Subject Char"/>
    <w:link w:val="CommentSubject"/>
    <w:rsid w:val="007764F4"/>
    <w:rPr>
      <w:rFonts w:ascii="Arial" w:hAnsi="Arial"/>
      <w:b/>
      <w:bCs/>
    </w:rPr>
  </w:style>
  <w:style w:type="character" w:styleId="Hyperlink">
    <w:name w:val="Hyperlink"/>
    <w:rsid w:val="007D53E8"/>
    <w:rPr>
      <w:color w:val="0000FF"/>
      <w:u w:val="single"/>
    </w:rPr>
  </w:style>
  <w:style w:type="paragraph" w:styleId="Revision">
    <w:name w:val="Revision"/>
    <w:hidden/>
    <w:uiPriority w:val="99"/>
    <w:semiHidden/>
    <w:rsid w:val="00070B31"/>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qFormat/>
    <w:rsid w:val="00534B6B"/>
    <w:pPr>
      <w:keepNext/>
      <w:outlineLvl w:val="0"/>
    </w:pPr>
    <w:rPr>
      <w:b/>
      <w:szCs w:val="20"/>
    </w:rPr>
  </w:style>
  <w:style w:type="paragraph" w:styleId="Heading2">
    <w:name w:val="heading 2"/>
    <w:basedOn w:val="Normal"/>
    <w:next w:val="Normal"/>
    <w:link w:val="Heading2Char"/>
    <w:semiHidden/>
    <w:unhideWhenUsed/>
    <w:qFormat/>
    <w:rsid w:val="00B26DF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styleId="FootnoteText">
    <w:name w:val="footnote text"/>
    <w:basedOn w:val="Normal"/>
    <w:link w:val="FootnoteTextChar"/>
    <w:uiPriority w:val="99"/>
    <w:rsid w:val="000F5E97"/>
    <w:rPr>
      <w:sz w:val="20"/>
      <w:szCs w:val="20"/>
    </w:rPr>
  </w:style>
  <w:style w:type="character" w:customStyle="1" w:styleId="FootnoteTextChar">
    <w:name w:val="Footnote Text Char"/>
    <w:link w:val="FootnoteText"/>
    <w:uiPriority w:val="99"/>
    <w:rsid w:val="000F5E97"/>
    <w:rPr>
      <w:rFonts w:ascii="Arial" w:hAnsi="Arial"/>
    </w:rPr>
  </w:style>
  <w:style w:type="character" w:styleId="FootnoteReference">
    <w:name w:val="footnote reference"/>
    <w:uiPriority w:val="99"/>
    <w:rsid w:val="000F5E97"/>
    <w:rPr>
      <w:vertAlign w:val="superscript"/>
    </w:rPr>
  </w:style>
  <w:style w:type="character" w:customStyle="1" w:styleId="Heading2Char">
    <w:name w:val="Heading 2 Char"/>
    <w:link w:val="Heading2"/>
    <w:semiHidden/>
    <w:rsid w:val="00B26DF3"/>
    <w:rPr>
      <w:rFonts w:ascii="Cambria" w:eastAsia="Times New Roman" w:hAnsi="Cambria" w:cs="Times New Roman"/>
      <w:b/>
      <w:bCs/>
      <w:i/>
      <w:iCs/>
      <w:sz w:val="28"/>
      <w:szCs w:val="28"/>
    </w:rPr>
  </w:style>
  <w:style w:type="paragraph" w:styleId="Title">
    <w:name w:val="Title"/>
    <w:basedOn w:val="Normal"/>
    <w:link w:val="TitleChar"/>
    <w:qFormat/>
    <w:rsid w:val="00B26DF3"/>
    <w:pPr>
      <w:jc w:val="center"/>
    </w:pPr>
    <w:rPr>
      <w:rFonts w:ascii="Times New Roman" w:hAnsi="Times New Roman"/>
      <w:b/>
      <w:sz w:val="40"/>
      <w:szCs w:val="20"/>
    </w:rPr>
  </w:style>
  <w:style w:type="character" w:customStyle="1" w:styleId="TitleChar">
    <w:name w:val="Title Char"/>
    <w:link w:val="Title"/>
    <w:rsid w:val="00B26DF3"/>
    <w:rPr>
      <w:b/>
      <w:sz w:val="40"/>
    </w:rPr>
  </w:style>
  <w:style w:type="character" w:styleId="CommentReference">
    <w:name w:val="annotation reference"/>
    <w:uiPriority w:val="99"/>
    <w:rsid w:val="00924694"/>
    <w:rPr>
      <w:sz w:val="16"/>
      <w:szCs w:val="16"/>
    </w:rPr>
  </w:style>
  <w:style w:type="character" w:styleId="EndnoteReference">
    <w:name w:val="endnote reference"/>
    <w:rsid w:val="007600AF"/>
    <w:rPr>
      <w:vertAlign w:val="superscript"/>
    </w:rPr>
  </w:style>
  <w:style w:type="paragraph" w:styleId="CommentText">
    <w:name w:val="annotation text"/>
    <w:basedOn w:val="Normal"/>
    <w:link w:val="CommentTextChar"/>
    <w:uiPriority w:val="99"/>
    <w:unhideWhenUsed/>
    <w:rsid w:val="00B23301"/>
    <w:pPr>
      <w:overflowPunct w:val="0"/>
      <w:autoSpaceDE w:val="0"/>
      <w:autoSpaceDN w:val="0"/>
      <w:adjustRightInd w:val="0"/>
      <w:textAlignment w:val="baseline"/>
    </w:pPr>
    <w:rPr>
      <w:rFonts w:ascii="Times New Roman" w:hAnsi="Times New Roman"/>
      <w:sz w:val="20"/>
      <w:szCs w:val="20"/>
    </w:rPr>
  </w:style>
  <w:style w:type="character" w:customStyle="1" w:styleId="CommentTextChar">
    <w:name w:val="Comment Text Char"/>
    <w:basedOn w:val="DefaultParagraphFont"/>
    <w:link w:val="CommentText"/>
    <w:uiPriority w:val="99"/>
    <w:rsid w:val="00B23301"/>
  </w:style>
  <w:style w:type="paragraph" w:styleId="BalloonText">
    <w:name w:val="Balloon Text"/>
    <w:basedOn w:val="Normal"/>
    <w:link w:val="BalloonTextChar"/>
    <w:rsid w:val="00B23301"/>
    <w:rPr>
      <w:rFonts w:ascii="Tahoma" w:hAnsi="Tahoma" w:cs="Tahoma"/>
      <w:sz w:val="16"/>
      <w:szCs w:val="16"/>
    </w:rPr>
  </w:style>
  <w:style w:type="character" w:customStyle="1" w:styleId="BalloonTextChar">
    <w:name w:val="Balloon Text Char"/>
    <w:link w:val="BalloonText"/>
    <w:rsid w:val="00B23301"/>
    <w:rPr>
      <w:rFonts w:ascii="Tahoma" w:hAnsi="Tahoma" w:cs="Tahoma"/>
      <w:sz w:val="16"/>
      <w:szCs w:val="16"/>
    </w:rPr>
  </w:style>
  <w:style w:type="paragraph" w:styleId="Header">
    <w:name w:val="header"/>
    <w:basedOn w:val="Normal"/>
    <w:link w:val="HeaderChar"/>
    <w:rsid w:val="0052232F"/>
    <w:pPr>
      <w:tabs>
        <w:tab w:val="center" w:pos="4680"/>
        <w:tab w:val="right" w:pos="9360"/>
      </w:tabs>
    </w:pPr>
  </w:style>
  <w:style w:type="character" w:customStyle="1" w:styleId="HeaderChar">
    <w:name w:val="Header Char"/>
    <w:link w:val="Header"/>
    <w:rsid w:val="0052232F"/>
    <w:rPr>
      <w:rFonts w:ascii="Arial" w:hAnsi="Arial"/>
      <w:sz w:val="24"/>
      <w:szCs w:val="24"/>
    </w:rPr>
  </w:style>
  <w:style w:type="paragraph" w:styleId="Footer">
    <w:name w:val="footer"/>
    <w:basedOn w:val="Normal"/>
    <w:link w:val="FooterChar"/>
    <w:rsid w:val="0052232F"/>
    <w:pPr>
      <w:tabs>
        <w:tab w:val="center" w:pos="4680"/>
        <w:tab w:val="right" w:pos="9360"/>
      </w:tabs>
    </w:pPr>
  </w:style>
  <w:style w:type="character" w:customStyle="1" w:styleId="FooterChar">
    <w:name w:val="Footer Char"/>
    <w:link w:val="Footer"/>
    <w:rsid w:val="0052232F"/>
    <w:rPr>
      <w:rFonts w:ascii="Arial" w:hAnsi="Arial"/>
      <w:sz w:val="24"/>
      <w:szCs w:val="24"/>
    </w:rPr>
  </w:style>
  <w:style w:type="paragraph" w:styleId="PlainText">
    <w:name w:val="Plain Text"/>
    <w:basedOn w:val="Normal"/>
    <w:link w:val="PlainTextChar"/>
    <w:uiPriority w:val="99"/>
    <w:unhideWhenUsed/>
    <w:rsid w:val="007B61B0"/>
    <w:rPr>
      <w:rFonts w:ascii="Calibri" w:hAnsi="Calibri"/>
      <w:color w:val="1F497D"/>
      <w:sz w:val="22"/>
      <w:szCs w:val="21"/>
    </w:rPr>
  </w:style>
  <w:style w:type="character" w:customStyle="1" w:styleId="PlainTextChar">
    <w:name w:val="Plain Text Char"/>
    <w:link w:val="PlainText"/>
    <w:uiPriority w:val="99"/>
    <w:rsid w:val="007B61B0"/>
    <w:rPr>
      <w:rFonts w:ascii="Calibri" w:hAnsi="Calibri"/>
      <w:color w:val="1F497D"/>
      <w:sz w:val="22"/>
      <w:szCs w:val="21"/>
    </w:rPr>
  </w:style>
  <w:style w:type="paragraph" w:customStyle="1" w:styleId="Default">
    <w:name w:val="Default"/>
    <w:uiPriority w:val="99"/>
    <w:rsid w:val="007B61B0"/>
    <w:pPr>
      <w:autoSpaceDE w:val="0"/>
      <w:autoSpaceDN w:val="0"/>
      <w:adjustRightInd w:val="0"/>
    </w:pPr>
    <w:rPr>
      <w:rFonts w:ascii="Arial" w:eastAsia="Calibri" w:hAnsi="Arial" w:cs="Arial"/>
      <w:color w:val="000000"/>
      <w:sz w:val="24"/>
      <w:szCs w:val="24"/>
    </w:rPr>
  </w:style>
  <w:style w:type="paragraph" w:styleId="CommentSubject">
    <w:name w:val="annotation subject"/>
    <w:basedOn w:val="CommentText"/>
    <w:next w:val="CommentText"/>
    <w:link w:val="CommentSubjectChar"/>
    <w:rsid w:val="007764F4"/>
    <w:pPr>
      <w:overflowPunct/>
      <w:autoSpaceDE/>
      <w:autoSpaceDN/>
      <w:adjustRightInd/>
      <w:textAlignment w:val="auto"/>
    </w:pPr>
    <w:rPr>
      <w:rFonts w:ascii="Arial" w:hAnsi="Arial"/>
      <w:b/>
      <w:bCs/>
    </w:rPr>
  </w:style>
  <w:style w:type="character" w:customStyle="1" w:styleId="CommentSubjectChar">
    <w:name w:val="Comment Subject Char"/>
    <w:link w:val="CommentSubject"/>
    <w:rsid w:val="007764F4"/>
    <w:rPr>
      <w:rFonts w:ascii="Arial" w:hAnsi="Arial"/>
      <w:b/>
      <w:bCs/>
    </w:rPr>
  </w:style>
  <w:style w:type="character" w:styleId="Hyperlink">
    <w:name w:val="Hyperlink"/>
    <w:rsid w:val="007D53E8"/>
    <w:rPr>
      <w:color w:val="0000FF"/>
      <w:u w:val="single"/>
    </w:rPr>
  </w:style>
  <w:style w:type="paragraph" w:styleId="Revision">
    <w:name w:val="Revision"/>
    <w:hidden/>
    <w:uiPriority w:val="99"/>
    <w:semiHidden/>
    <w:rsid w:val="00070B3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65373">
      <w:bodyDiv w:val="1"/>
      <w:marLeft w:val="0"/>
      <w:marRight w:val="0"/>
      <w:marTop w:val="0"/>
      <w:marBottom w:val="0"/>
      <w:divBdr>
        <w:top w:val="none" w:sz="0" w:space="0" w:color="auto"/>
        <w:left w:val="none" w:sz="0" w:space="0" w:color="auto"/>
        <w:bottom w:val="none" w:sz="0" w:space="0" w:color="auto"/>
        <w:right w:val="none" w:sz="0" w:space="0" w:color="auto"/>
      </w:divBdr>
    </w:div>
    <w:div w:id="878853800">
      <w:bodyDiv w:val="1"/>
      <w:marLeft w:val="0"/>
      <w:marRight w:val="0"/>
      <w:marTop w:val="0"/>
      <w:marBottom w:val="0"/>
      <w:divBdr>
        <w:top w:val="none" w:sz="0" w:space="0" w:color="auto"/>
        <w:left w:val="none" w:sz="0" w:space="0" w:color="auto"/>
        <w:bottom w:val="none" w:sz="0" w:space="0" w:color="auto"/>
        <w:right w:val="none" w:sz="0" w:space="0" w:color="auto"/>
      </w:divBdr>
    </w:div>
    <w:div w:id="1004167574">
      <w:bodyDiv w:val="1"/>
      <w:marLeft w:val="0"/>
      <w:marRight w:val="0"/>
      <w:marTop w:val="0"/>
      <w:marBottom w:val="0"/>
      <w:divBdr>
        <w:top w:val="none" w:sz="0" w:space="0" w:color="auto"/>
        <w:left w:val="none" w:sz="0" w:space="0" w:color="auto"/>
        <w:bottom w:val="none" w:sz="0" w:space="0" w:color="auto"/>
        <w:right w:val="none" w:sz="0" w:space="0" w:color="auto"/>
      </w:divBdr>
    </w:div>
    <w:div w:id="1267498788">
      <w:bodyDiv w:val="1"/>
      <w:marLeft w:val="0"/>
      <w:marRight w:val="0"/>
      <w:marTop w:val="0"/>
      <w:marBottom w:val="0"/>
      <w:divBdr>
        <w:top w:val="none" w:sz="0" w:space="0" w:color="auto"/>
        <w:left w:val="none" w:sz="0" w:space="0" w:color="auto"/>
        <w:bottom w:val="none" w:sz="0" w:space="0" w:color="auto"/>
        <w:right w:val="none" w:sz="0" w:space="0" w:color="auto"/>
      </w:divBdr>
    </w:div>
    <w:div w:id="1378819680">
      <w:bodyDiv w:val="1"/>
      <w:marLeft w:val="0"/>
      <w:marRight w:val="0"/>
      <w:marTop w:val="0"/>
      <w:marBottom w:val="0"/>
      <w:divBdr>
        <w:top w:val="none" w:sz="0" w:space="0" w:color="auto"/>
        <w:left w:val="none" w:sz="0" w:space="0" w:color="auto"/>
        <w:bottom w:val="none" w:sz="0" w:space="0" w:color="auto"/>
        <w:right w:val="none" w:sz="0" w:space="0" w:color="auto"/>
      </w:divBdr>
    </w:div>
    <w:div w:id="1567911653">
      <w:bodyDiv w:val="1"/>
      <w:marLeft w:val="0"/>
      <w:marRight w:val="0"/>
      <w:marTop w:val="0"/>
      <w:marBottom w:val="0"/>
      <w:divBdr>
        <w:top w:val="none" w:sz="0" w:space="0" w:color="auto"/>
        <w:left w:val="none" w:sz="0" w:space="0" w:color="auto"/>
        <w:bottom w:val="none" w:sz="0" w:space="0" w:color="auto"/>
        <w:right w:val="none" w:sz="0" w:space="0" w:color="auto"/>
      </w:divBdr>
    </w:div>
    <w:div w:id="1884559273">
      <w:bodyDiv w:val="1"/>
      <w:marLeft w:val="0"/>
      <w:marRight w:val="0"/>
      <w:marTop w:val="0"/>
      <w:marBottom w:val="0"/>
      <w:divBdr>
        <w:top w:val="none" w:sz="0" w:space="0" w:color="auto"/>
        <w:left w:val="none" w:sz="0" w:space="0" w:color="auto"/>
        <w:bottom w:val="none" w:sz="0" w:space="0" w:color="auto"/>
        <w:right w:val="none" w:sz="0" w:space="0" w:color="auto"/>
      </w:divBdr>
    </w:div>
    <w:div w:id="200790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8375968BE9643A16166B7ACE0A245" ma:contentTypeVersion="1" ma:contentTypeDescription="Create a new document." ma:contentTypeScope="" ma:versionID="43adef1b04df6aed352e6db3695f2106">
  <xsd:schema xmlns:xsd="http://www.w3.org/2001/XMLSchema" xmlns:p="http://schemas.microsoft.com/office/2006/metadata/properties" xmlns:ns2="c9a4a8f0-17e8-479f-8e39-ee5ae7a66e51" targetNamespace="http://schemas.microsoft.com/office/2006/metadata/properties" ma:root="true" ma:fieldsID="dc6ad32d019b2ac4aa1afb0045c35ccd" ns2:_="">
    <xsd:import namespace="c9a4a8f0-17e8-479f-8e39-ee5ae7a66e51"/>
    <xsd:element name="properties">
      <xsd:complexType>
        <xsd:sequence>
          <xsd:element name="documentManagement">
            <xsd:complexType>
              <xsd:all>
                <xsd:element ref="ns2:Rule_x0020_Subject" minOccurs="0"/>
              </xsd:all>
            </xsd:complexType>
          </xsd:element>
        </xsd:sequence>
      </xsd:complexType>
    </xsd:element>
  </xsd:schema>
  <xsd:schema xmlns:xsd="http://www.w3.org/2001/XMLSchema" xmlns:dms="http://schemas.microsoft.com/office/2006/documentManagement/types" targetNamespace="c9a4a8f0-17e8-479f-8e39-ee5ae7a66e51" elementFormDefault="qualified">
    <xsd:import namespace="http://schemas.microsoft.com/office/2006/documentManagement/types"/>
    <xsd:element name="Rule_x0020_Subject" ma:index="8" nillable="true" ma:displayName="Rule Subject" ma:list="{A3964D25-5C21-4CCC-8BF8-82A9324D752A}" ma:internalName="Rule_x0020_Subject"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ule_x0020_Subject xmlns="c9a4a8f0-17e8-479f-8e39-ee5ae7a66e51">1</Rule_x0020_Subjec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CD85D-3ABD-4927-A574-B09159E53FF5}">
  <ds:schemaRefs>
    <ds:schemaRef ds:uri="http://schemas.microsoft.com/office/2006/metadata/longProperties"/>
  </ds:schemaRefs>
</ds:datastoreItem>
</file>

<file path=customXml/itemProps2.xml><?xml version="1.0" encoding="utf-8"?>
<ds:datastoreItem xmlns:ds="http://schemas.openxmlformats.org/officeDocument/2006/customXml" ds:itemID="{170E0D1F-41BA-48DA-ADC4-F62B8EDD3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4a8f0-17e8-479f-8e39-ee5ae7a66e5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4ECF570-9D0E-4F80-AEB4-5E67B3DFC2AB}">
  <ds:schemaRefs>
    <ds:schemaRef ds:uri="http://schemas.microsoft.com/sharepoint/v3/contenttype/forms"/>
  </ds:schemaRefs>
</ds:datastoreItem>
</file>

<file path=customXml/itemProps4.xml><?xml version="1.0" encoding="utf-8"?>
<ds:datastoreItem xmlns:ds="http://schemas.openxmlformats.org/officeDocument/2006/customXml" ds:itemID="{5F4D0335-BFAE-4BAB-A499-B9D827D79CAF}">
  <ds:schemaRefs>
    <ds:schemaRef ds:uri="http://purl.org/dc/terms/"/>
    <ds:schemaRef ds:uri="c9a4a8f0-17e8-479f-8e39-ee5ae7a66e51"/>
    <ds:schemaRef ds:uri="http://schemas.microsoft.com/office/2006/documentManagement/types"/>
    <ds:schemaRef ds:uri="http://schemas.microsoft.com/office/2006/metadata/properties"/>
    <ds:schemaRef ds:uri="http://www.w3.org/XML/1998/namespace"/>
    <ds:schemaRef ds:uri="http://purl.org/dc/dcmitype/"/>
    <ds:schemaRef ds:uri="http://schemas.openxmlformats.org/package/2006/metadata/core-properties"/>
    <ds:schemaRef ds:uri="http://purl.org/dc/elements/1.1/"/>
    <ds:schemaRef ds:uri="http://schemas.microsoft.com/office/infopath/2007/PartnerControls"/>
  </ds:schemaRefs>
</ds:datastoreItem>
</file>

<file path=customXml/itemProps5.xml><?xml version="1.0" encoding="utf-8"?>
<ds:datastoreItem xmlns:ds="http://schemas.openxmlformats.org/officeDocument/2006/customXml" ds:itemID="{C060E8EF-603A-4464-B174-337F5C00B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2991</Words>
  <Characters>17053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SYSTEM</cp:lastModifiedBy>
  <cp:revision>2</cp:revision>
  <cp:lastPrinted>2015-01-08T14:47:00Z</cp:lastPrinted>
  <dcterms:created xsi:type="dcterms:W3CDTF">2018-10-05T15:27:00Z</dcterms:created>
  <dcterms:modified xsi:type="dcterms:W3CDTF">2018-10-05T15:27:00Z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