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7D53E8" w:rsidRDefault="00534B6B" w:rsidP="00534B6B">
      <w:pPr>
        <w:suppressAutoHyphens/>
        <w:jc w:val="center"/>
        <w:rPr>
          <w:rFonts w:ascii="Times New Roman" w:hAnsi="Times New Roman"/>
          <w:b/>
        </w:rPr>
      </w:pPr>
      <w:bookmarkStart w:id="0" w:name="_GoBack"/>
      <w:bookmarkEnd w:id="0"/>
      <w:r w:rsidRPr="007D53E8">
        <w:rPr>
          <w:rFonts w:ascii="Times New Roman" w:hAnsi="Times New Roman"/>
          <w:b/>
        </w:rPr>
        <w:t>SUPPORTING STATEMENT FOR NEW AND</w:t>
      </w:r>
    </w:p>
    <w:p w:rsidR="00534B6B" w:rsidRPr="007D53E8" w:rsidRDefault="00534B6B" w:rsidP="00534B6B">
      <w:pPr>
        <w:suppressAutoHyphens/>
        <w:spacing w:after="240"/>
        <w:jc w:val="center"/>
        <w:rPr>
          <w:rFonts w:ascii="Times New Roman" w:hAnsi="Times New Roman"/>
          <w:b/>
        </w:rPr>
      </w:pPr>
      <w:r w:rsidRPr="007D53E8">
        <w:rPr>
          <w:rFonts w:ascii="Times New Roman" w:hAnsi="Times New Roman"/>
          <w:b/>
        </w:rPr>
        <w:t>REVISED INFORMATION COLLECTIONS</w:t>
      </w:r>
    </w:p>
    <w:p w:rsidR="00534B6B" w:rsidRPr="007D53E8" w:rsidRDefault="00534B6B" w:rsidP="00534B6B">
      <w:pPr>
        <w:tabs>
          <w:tab w:val="center" w:pos="4680"/>
        </w:tabs>
        <w:suppressAutoHyphens/>
        <w:spacing w:after="240"/>
        <w:jc w:val="center"/>
        <w:rPr>
          <w:rFonts w:ascii="Times New Roman" w:hAnsi="Times New Roman"/>
          <w:b/>
        </w:rPr>
      </w:pPr>
      <w:r w:rsidRPr="007D53E8">
        <w:rPr>
          <w:rFonts w:ascii="Times New Roman" w:hAnsi="Times New Roman"/>
          <w:b/>
        </w:rPr>
        <w:t xml:space="preserve">OMB CONTROL NUMBER </w:t>
      </w:r>
      <w:r w:rsidR="00B26DF3" w:rsidRPr="007D53E8">
        <w:rPr>
          <w:rFonts w:ascii="Times New Roman" w:hAnsi="Times New Roman"/>
          <w:b/>
        </w:rPr>
        <w:t>3038</w:t>
      </w:r>
      <w:r w:rsidR="005F2AFC" w:rsidRPr="007D53E8">
        <w:rPr>
          <w:rFonts w:ascii="Times New Roman" w:hAnsi="Times New Roman"/>
          <w:b/>
        </w:rPr>
        <w:t>-</w:t>
      </w:r>
      <w:r w:rsidR="005F2AFC">
        <w:rPr>
          <w:rFonts w:ascii="Times New Roman" w:hAnsi="Times New Roman"/>
          <w:b/>
        </w:rPr>
        <w:t>0069</w:t>
      </w:r>
    </w:p>
    <w:p w:rsidR="00451260" w:rsidRPr="005E2E27" w:rsidRDefault="00451260" w:rsidP="00451260">
      <w:pPr>
        <w:pStyle w:val="Heading1"/>
        <w:keepNext w:val="0"/>
        <w:spacing w:after="240"/>
        <w:jc w:val="center"/>
        <w:rPr>
          <w:rFonts w:ascii="Times New Roman" w:hAnsi="Times New Roman"/>
          <w:b w:val="0"/>
          <w:szCs w:val="24"/>
        </w:rPr>
      </w:pPr>
      <w:r w:rsidRPr="005E2E27">
        <w:rPr>
          <w:rFonts w:ascii="Times New Roman" w:hAnsi="Times New Roman"/>
          <w:b w:val="0"/>
          <w:szCs w:val="24"/>
        </w:rPr>
        <w:t>Information Management for Derivatives Clearing Organizations</w:t>
      </w:r>
    </w:p>
    <w:p w:rsidR="00534B6B" w:rsidRPr="007D53E8" w:rsidRDefault="00534B6B" w:rsidP="00534B6B">
      <w:pPr>
        <w:pStyle w:val="Heading1"/>
        <w:keepNext w:val="0"/>
        <w:spacing w:after="240"/>
        <w:rPr>
          <w:rFonts w:ascii="Times New Roman" w:hAnsi="Times New Roman"/>
          <w:szCs w:val="24"/>
        </w:rPr>
      </w:pPr>
      <w:r w:rsidRPr="007D53E8">
        <w:rPr>
          <w:rFonts w:ascii="Times New Roman" w:hAnsi="Times New Roman"/>
          <w:szCs w:val="24"/>
        </w:rPr>
        <w:t>Justification</w:t>
      </w:r>
    </w:p>
    <w:p w:rsidR="00534B6B" w:rsidRPr="007D53E8" w:rsidRDefault="00534B6B" w:rsidP="00534B6B">
      <w:pPr>
        <w:tabs>
          <w:tab w:val="left" w:pos="-720"/>
          <w:tab w:val="left" w:pos="0"/>
        </w:tabs>
        <w:spacing w:after="240"/>
        <w:rPr>
          <w:rFonts w:ascii="Times New Roman" w:hAnsi="Times New Roman"/>
        </w:rPr>
      </w:pPr>
      <w:r w:rsidRPr="007D53E8">
        <w:rPr>
          <w:rFonts w:ascii="Times New Roman" w:hAnsi="Times New Roman"/>
          <w:b/>
        </w:rPr>
        <w:t>1.</w:t>
      </w:r>
      <w:r w:rsidRPr="007D53E8">
        <w:rPr>
          <w:rFonts w:ascii="Times New Roman" w:hAnsi="Times New Roman"/>
          <w:b/>
        </w:rPr>
        <w:tab/>
        <w:t>Explain the circumstances that make the coll</w:t>
      </w:r>
      <w:r w:rsidR="00893A29" w:rsidRPr="007D53E8">
        <w:rPr>
          <w:rFonts w:ascii="Times New Roman" w:hAnsi="Times New Roman"/>
          <w:b/>
        </w:rPr>
        <w:t>ection of information necessary</w:t>
      </w:r>
      <w:r w:rsidRPr="007D53E8">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D4017D" w:rsidRDefault="000F7D2B" w:rsidP="007B61B0">
      <w:pPr>
        <w:pStyle w:val="Default"/>
        <w:rPr>
          <w:rFonts w:ascii="Times New Roman" w:hAnsi="Times New Roman" w:cs="Times New Roman"/>
        </w:rPr>
      </w:pPr>
      <w:r>
        <w:rPr>
          <w:rFonts w:ascii="Times New Roman" w:hAnsi="Times New Roman" w:cs="Times New Roman"/>
        </w:rPr>
        <w:tab/>
      </w:r>
      <w:r w:rsidRPr="007D53E8">
        <w:rPr>
          <w:rFonts w:ascii="Times New Roman" w:hAnsi="Times New Roman" w:cs="Times New Roman"/>
        </w:rPr>
        <w:t>Section 5b(c)(2)</w:t>
      </w:r>
      <w:r w:rsidR="007B61B0" w:rsidRPr="007D53E8">
        <w:rPr>
          <w:rFonts w:ascii="Times New Roman" w:hAnsi="Times New Roman" w:cs="Times New Roman"/>
        </w:rPr>
        <w:t xml:space="preserve">of the </w:t>
      </w:r>
      <w:r w:rsidRPr="007D53E8">
        <w:rPr>
          <w:rFonts w:ascii="Times New Roman" w:hAnsi="Times New Roman" w:cs="Times New Roman"/>
        </w:rPr>
        <w:t>Commodity Exchange Act (CEA)</w:t>
      </w:r>
      <w:r w:rsidRPr="007D53E8">
        <w:rPr>
          <w:rStyle w:val="FootnoteReference"/>
          <w:rFonts w:ascii="Times New Roman" w:hAnsi="Times New Roman" w:cs="Times New Roman"/>
        </w:rPr>
        <w:footnoteReference w:id="1"/>
      </w:r>
      <w:r w:rsidRPr="007D53E8">
        <w:rPr>
          <w:rFonts w:ascii="Times New Roman" w:hAnsi="Times New Roman" w:cs="Times New Roman"/>
        </w:rPr>
        <w:t xml:space="preserve"> </w:t>
      </w:r>
      <w:r w:rsidR="00D4017D" w:rsidRPr="007D53E8">
        <w:rPr>
          <w:rFonts w:ascii="Times New Roman" w:hAnsi="Times New Roman" w:cs="Times New Roman"/>
        </w:rPr>
        <w:t>set</w:t>
      </w:r>
      <w:r w:rsidR="00785D57">
        <w:rPr>
          <w:rFonts w:ascii="Times New Roman" w:hAnsi="Times New Roman" w:cs="Times New Roman"/>
        </w:rPr>
        <w:t>s</w:t>
      </w:r>
      <w:r w:rsidR="00D4017D" w:rsidRPr="007D53E8">
        <w:rPr>
          <w:rFonts w:ascii="Times New Roman" w:hAnsi="Times New Roman" w:cs="Times New Roman"/>
        </w:rPr>
        <w:t xml:space="preserve"> forth core principles with which a derivatives clearing organization (“DCO”) must comply to be registered</w:t>
      </w:r>
      <w:r w:rsidR="00785D57">
        <w:rPr>
          <w:rFonts w:ascii="Times New Roman" w:hAnsi="Times New Roman" w:cs="Times New Roman"/>
        </w:rPr>
        <w:t>,</w:t>
      </w:r>
      <w:r w:rsidR="00D4017D" w:rsidRPr="007D53E8">
        <w:rPr>
          <w:rFonts w:ascii="Times New Roman" w:hAnsi="Times New Roman" w:cs="Times New Roman"/>
        </w:rPr>
        <w:t xml:space="preserve"> and to maintain registration</w:t>
      </w:r>
      <w:r w:rsidR="00785D57">
        <w:rPr>
          <w:rFonts w:ascii="Times New Roman" w:hAnsi="Times New Roman" w:cs="Times New Roman"/>
        </w:rPr>
        <w:t>,</w:t>
      </w:r>
      <w:r w:rsidR="00D4017D" w:rsidRPr="007D53E8">
        <w:rPr>
          <w:rFonts w:ascii="Times New Roman" w:hAnsi="Times New Roman" w:cs="Times New Roman"/>
        </w:rPr>
        <w:t xml:space="preserve"> as a DCO. </w:t>
      </w:r>
      <w:r>
        <w:rPr>
          <w:rFonts w:ascii="Times New Roman" w:hAnsi="Times New Roman" w:cs="Times New Roman"/>
        </w:rPr>
        <w:t xml:space="preserve"> T</w:t>
      </w:r>
      <w:r w:rsidR="00D4017D" w:rsidRPr="007D53E8">
        <w:rPr>
          <w:rFonts w:ascii="Times New Roman" w:hAnsi="Times New Roman" w:cs="Times New Roman"/>
        </w:rPr>
        <w:t xml:space="preserve">he Commission </w:t>
      </w:r>
      <w:r>
        <w:rPr>
          <w:rFonts w:ascii="Times New Roman" w:hAnsi="Times New Roman" w:cs="Times New Roman"/>
        </w:rPr>
        <w:t xml:space="preserve">has codified these </w:t>
      </w:r>
      <w:r w:rsidR="00D4017D" w:rsidRPr="007D53E8">
        <w:rPr>
          <w:rFonts w:ascii="Times New Roman" w:hAnsi="Times New Roman" w:cs="Times New Roman"/>
        </w:rPr>
        <w:t xml:space="preserve">information management </w:t>
      </w:r>
      <w:r>
        <w:rPr>
          <w:rFonts w:ascii="Times New Roman" w:hAnsi="Times New Roman" w:cs="Times New Roman"/>
        </w:rPr>
        <w:t>requirements in Regulations 39.19, 39.20, 39.21, and 39.22.</w:t>
      </w:r>
      <w:r w:rsidR="00785D57" w:rsidRPr="00785D57">
        <w:rPr>
          <w:rFonts w:ascii="Times New Roman" w:hAnsi="Times New Roman" w:cs="Times New Roman"/>
          <w:vertAlign w:val="superscript"/>
        </w:rPr>
        <w:footnoteReference w:id="2"/>
      </w:r>
    </w:p>
    <w:p w:rsidR="000F7D2B" w:rsidRDefault="000F7D2B" w:rsidP="007B61B0">
      <w:pPr>
        <w:pStyle w:val="Default"/>
        <w:rPr>
          <w:rFonts w:ascii="Times New Roman" w:hAnsi="Times New Roman" w:cs="Times New Roman"/>
        </w:rPr>
      </w:pPr>
    </w:p>
    <w:p w:rsidR="00785D57" w:rsidRPr="007D53E8" w:rsidRDefault="000F7D2B" w:rsidP="007B61B0">
      <w:pPr>
        <w:pStyle w:val="Default"/>
        <w:rPr>
          <w:rFonts w:ascii="Times New Roman" w:hAnsi="Times New Roman" w:cs="Times New Roman"/>
        </w:rPr>
      </w:pPr>
      <w:r>
        <w:rPr>
          <w:rFonts w:ascii="Times New Roman" w:hAnsi="Times New Roman" w:cs="Times New Roman"/>
        </w:rPr>
        <w:tab/>
        <w:t xml:space="preserve">Under these regulations, </w:t>
      </w:r>
      <w:r w:rsidRPr="000F7D2B">
        <w:rPr>
          <w:rFonts w:ascii="Times New Roman" w:hAnsi="Times New Roman" w:cs="Times New Roman"/>
        </w:rPr>
        <w:t xml:space="preserve">each respondent is required to </w:t>
      </w:r>
      <w:r>
        <w:rPr>
          <w:rFonts w:ascii="Times New Roman" w:hAnsi="Times New Roman" w:cs="Times New Roman"/>
        </w:rPr>
        <w:t xml:space="preserve">provide certain reports to the Commission on a daily and annual basis, as well as upon the occurrence of specific events.  Each respondent is required to </w:t>
      </w:r>
      <w:r w:rsidRPr="000F7D2B">
        <w:rPr>
          <w:rFonts w:ascii="Times New Roman" w:hAnsi="Times New Roman" w:cs="Times New Roman"/>
        </w:rPr>
        <w:t>maintain records of activities re</w:t>
      </w:r>
      <w:r>
        <w:rPr>
          <w:rFonts w:ascii="Times New Roman" w:hAnsi="Times New Roman" w:cs="Times New Roman"/>
        </w:rPr>
        <w:t xml:space="preserve">lated to its business as a DCO and to make specified information publicly available.  </w:t>
      </w:r>
    </w:p>
    <w:p w:rsidR="00D4017D" w:rsidRPr="007D53E8" w:rsidRDefault="00D4017D" w:rsidP="00D4017D">
      <w:pPr>
        <w:ind w:firstLine="720"/>
        <w:rPr>
          <w:rFonts w:ascii="Times New Roman" w:hAnsi="Times New Roman"/>
        </w:rPr>
      </w:pP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2.</w:t>
      </w:r>
      <w:r w:rsidRPr="007D53E8">
        <w:rPr>
          <w:rFonts w:ascii="Times New Roman" w:hAnsi="Times New Roman"/>
          <w:b/>
        </w:rPr>
        <w:tab/>
        <w:t>Indicate how, by who</w:t>
      </w:r>
      <w:r w:rsidR="00EB6A33" w:rsidRPr="007D53E8">
        <w:rPr>
          <w:rFonts w:ascii="Times New Roman" w:hAnsi="Times New Roman"/>
          <w:b/>
        </w:rPr>
        <w:t>m, and for what purpose the data</w:t>
      </w:r>
      <w:r w:rsidRPr="007D53E8">
        <w:rPr>
          <w:rFonts w:ascii="Times New Roman" w:hAnsi="Times New Roman"/>
          <w:b/>
        </w:rPr>
        <w:t xml:space="preserve"> would be used.  Except for a new collection, indicate the actual use the agency has made of the information received from the current collection.</w:t>
      </w:r>
    </w:p>
    <w:p w:rsidR="00534B6B" w:rsidRPr="007D53E8" w:rsidRDefault="00A533A5" w:rsidP="00534B6B">
      <w:pPr>
        <w:spacing w:after="240"/>
        <w:rPr>
          <w:rFonts w:ascii="Times New Roman" w:hAnsi="Times New Roman"/>
        </w:rPr>
      </w:pPr>
      <w:r>
        <w:rPr>
          <w:rFonts w:ascii="Times New Roman" w:hAnsi="Times New Roman"/>
        </w:rPr>
        <w:tab/>
      </w:r>
      <w:r w:rsidR="00534B6B" w:rsidRPr="007D53E8">
        <w:rPr>
          <w:rFonts w:ascii="Times New Roman" w:hAnsi="Times New Roman"/>
        </w:rPr>
        <w:t xml:space="preserve">The information received </w:t>
      </w:r>
      <w:r w:rsidR="005F2AFC">
        <w:rPr>
          <w:rFonts w:ascii="Times New Roman" w:hAnsi="Times New Roman"/>
        </w:rPr>
        <w:t xml:space="preserve">is </w:t>
      </w:r>
      <w:r w:rsidR="00534B6B" w:rsidRPr="007D53E8">
        <w:rPr>
          <w:rFonts w:ascii="Times New Roman" w:hAnsi="Times New Roman"/>
        </w:rPr>
        <w:t>analyzed by Commission staff and form</w:t>
      </w:r>
      <w:r w:rsidR="005F2AFC">
        <w:rPr>
          <w:rFonts w:ascii="Times New Roman" w:hAnsi="Times New Roman"/>
        </w:rPr>
        <w:t>s</w:t>
      </w:r>
      <w:r w:rsidR="00534B6B" w:rsidRPr="007D53E8">
        <w:rPr>
          <w:rFonts w:ascii="Times New Roman" w:hAnsi="Times New Roman"/>
        </w:rPr>
        <w:t xml:space="preserve"> a basis for </w:t>
      </w:r>
      <w:r w:rsidR="007D690E">
        <w:rPr>
          <w:rFonts w:ascii="Times New Roman" w:hAnsi="Times New Roman"/>
        </w:rPr>
        <w:t>on-going evaluation and oversight of the financial integrity of DCOs and compliance with the CEA and Commission regulations.  It inform</w:t>
      </w:r>
      <w:r w:rsidR="005F2AFC">
        <w:rPr>
          <w:rFonts w:ascii="Times New Roman" w:hAnsi="Times New Roman"/>
        </w:rPr>
        <w:t>s</w:t>
      </w:r>
      <w:r w:rsidR="007D690E">
        <w:rPr>
          <w:rFonts w:ascii="Times New Roman" w:hAnsi="Times New Roman"/>
        </w:rPr>
        <w:t xml:space="preserve"> </w:t>
      </w:r>
      <w:r w:rsidR="00534B6B" w:rsidRPr="007D53E8">
        <w:rPr>
          <w:rFonts w:ascii="Times New Roman" w:hAnsi="Times New Roman"/>
        </w:rPr>
        <w:t xml:space="preserve">the Commission concerning whether the Commission should take any action regarding </w:t>
      </w:r>
      <w:r w:rsidR="007D690E">
        <w:rPr>
          <w:rFonts w:ascii="Times New Roman" w:hAnsi="Times New Roman"/>
        </w:rPr>
        <w:t xml:space="preserve">the failure of financial and risk management practices or </w:t>
      </w:r>
      <w:r w:rsidR="00534B6B" w:rsidRPr="007D53E8">
        <w:rPr>
          <w:rFonts w:ascii="Times New Roman" w:hAnsi="Times New Roman"/>
        </w:rPr>
        <w:t xml:space="preserve">lack of compliance with the </w:t>
      </w:r>
      <w:r w:rsidR="00A53958" w:rsidRPr="007D53E8">
        <w:rPr>
          <w:rFonts w:ascii="Times New Roman" w:hAnsi="Times New Roman"/>
        </w:rPr>
        <w:t>CEA</w:t>
      </w:r>
      <w:r w:rsidR="005F2AFC">
        <w:rPr>
          <w:rFonts w:ascii="Times New Roman" w:hAnsi="Times New Roman"/>
        </w:rPr>
        <w:t xml:space="preserve"> or Commission regulations</w:t>
      </w:r>
      <w:r w:rsidR="00534B6B" w:rsidRPr="007D53E8">
        <w:rPr>
          <w:rFonts w:ascii="Times New Roman" w:hAnsi="Times New Roman"/>
        </w:rPr>
        <w:t>.</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3.</w:t>
      </w:r>
      <w:r w:rsidRPr="007D53E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7D53E8" w:rsidRDefault="00534B6B" w:rsidP="00534B6B">
      <w:pPr>
        <w:tabs>
          <w:tab w:val="left" w:pos="-720"/>
          <w:tab w:val="left" w:pos="0"/>
        </w:tabs>
        <w:spacing w:after="240"/>
        <w:rPr>
          <w:rFonts w:ascii="Times New Roman" w:hAnsi="Times New Roman"/>
        </w:rPr>
      </w:pPr>
      <w:r w:rsidRPr="007D53E8">
        <w:rPr>
          <w:rFonts w:ascii="Times New Roman" w:hAnsi="Times New Roman"/>
        </w:rPr>
        <w:tab/>
      </w:r>
      <w:r w:rsidR="00166C09">
        <w:rPr>
          <w:rFonts w:ascii="Times New Roman" w:hAnsi="Times New Roman"/>
        </w:rPr>
        <w:t xml:space="preserve">Unless there is an emergency situation where the respondent </w:t>
      </w:r>
      <w:r w:rsidR="007D690E">
        <w:rPr>
          <w:rFonts w:ascii="Times New Roman" w:hAnsi="Times New Roman"/>
        </w:rPr>
        <w:t>might</w:t>
      </w:r>
      <w:r w:rsidR="00166C09">
        <w:rPr>
          <w:rFonts w:ascii="Times New Roman" w:hAnsi="Times New Roman"/>
        </w:rPr>
        <w:t xml:space="preserve"> report to the Commission </w:t>
      </w:r>
      <w:r w:rsidR="007D690E">
        <w:rPr>
          <w:rFonts w:ascii="Times New Roman" w:hAnsi="Times New Roman"/>
        </w:rPr>
        <w:t>by telephone</w:t>
      </w:r>
      <w:r w:rsidR="00166C09">
        <w:rPr>
          <w:rFonts w:ascii="Times New Roman" w:hAnsi="Times New Roman"/>
        </w:rPr>
        <w:t>, i</w:t>
      </w:r>
      <w:r w:rsidRPr="007D53E8">
        <w:rPr>
          <w:rFonts w:ascii="Times New Roman" w:hAnsi="Times New Roman"/>
        </w:rPr>
        <w:t xml:space="preserve">nformation </w:t>
      </w:r>
      <w:r w:rsidR="00A53958" w:rsidRPr="007D53E8">
        <w:rPr>
          <w:rFonts w:ascii="Times New Roman" w:hAnsi="Times New Roman"/>
        </w:rPr>
        <w:t xml:space="preserve">is required to </w:t>
      </w:r>
      <w:r w:rsidRPr="007D53E8">
        <w:rPr>
          <w:rFonts w:ascii="Times New Roman" w:hAnsi="Times New Roman"/>
        </w:rPr>
        <w:t>be submitted electronically.</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lastRenderedPageBreak/>
        <w:t>4.</w:t>
      </w:r>
      <w:r w:rsidRPr="007D53E8">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785D57" w:rsidRPr="00785D57">
        <w:rPr>
          <w:rFonts w:ascii="Times New Roman" w:hAnsi="Times New Roman"/>
        </w:rPr>
        <w:t>The required information is not already collected by the Commission for any other purpose, nor is it collected by any other agency, nor is the information available for public disclosure through any other source.</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5.</w:t>
      </w:r>
      <w:r w:rsidRPr="007D53E8">
        <w:rPr>
          <w:rFonts w:ascii="Times New Roman" w:hAnsi="Times New Roman"/>
          <w:b/>
        </w:rPr>
        <w:tab/>
        <w:t>If the collection of information involves small business or other small entities (Item 5 of OMB From 83-I), describe the methods used to minimize burden.</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collection of information will not have a significant impact on a substantial number of small entities.</w:t>
      </w:r>
      <w:r w:rsidR="00022B65" w:rsidRPr="007D53E8">
        <w:rPr>
          <w:rFonts w:ascii="Times New Roman" w:hAnsi="Times New Roman"/>
        </w:rPr>
        <w:t xml:space="preserve">  </w:t>
      </w:r>
      <w:r w:rsidR="00EB6A33" w:rsidRPr="007D53E8">
        <w:rPr>
          <w:rFonts w:ascii="Times New Roman" w:hAnsi="Times New Roman"/>
        </w:rPr>
        <w:t>The required information does not involve any small busi</w:t>
      </w:r>
      <w:r w:rsidR="00022B65" w:rsidRPr="007D53E8">
        <w:rPr>
          <w:rFonts w:ascii="Times New Roman" w:hAnsi="Times New Roman"/>
        </w:rPr>
        <w:t>nesses or other small entities.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6.</w:t>
      </w:r>
      <w:r w:rsidRPr="007D53E8">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 xml:space="preserve">If the information required under this collection of information were not collected, enforcement of </w:t>
      </w:r>
      <w:r w:rsidR="007D690E">
        <w:rPr>
          <w:rFonts w:ascii="Times New Roman" w:hAnsi="Times New Roman"/>
        </w:rPr>
        <w:t xml:space="preserve">the CEA and </w:t>
      </w:r>
      <w:r w:rsidRPr="007D53E8">
        <w:rPr>
          <w:rFonts w:ascii="Times New Roman" w:hAnsi="Times New Roman"/>
        </w:rPr>
        <w:t>Commission rules would be adversely affected.</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7.</w:t>
      </w:r>
      <w:r w:rsidRPr="007D53E8">
        <w:rPr>
          <w:rFonts w:ascii="Times New Roman" w:hAnsi="Times New Roman"/>
          <w:b/>
        </w:rPr>
        <w:tab/>
        <w:t>Explain any special circumstances that require the collection to be conducted in a manner:</w:t>
      </w:r>
    </w:p>
    <w:p w:rsidR="0088759B" w:rsidRPr="007D53E8" w:rsidRDefault="00534B6B" w:rsidP="0088759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report information to the agency more often than quarterly;</w:t>
      </w:r>
    </w:p>
    <w:p w:rsidR="0088759B" w:rsidRPr="007D53E8" w:rsidRDefault="0088759B" w:rsidP="0088759B">
      <w:pPr>
        <w:tabs>
          <w:tab w:val="left" w:pos="-720"/>
          <w:tab w:val="left" w:pos="0"/>
          <w:tab w:val="left" w:pos="720"/>
        </w:tabs>
        <w:spacing w:after="240"/>
        <w:ind w:left="1080"/>
        <w:rPr>
          <w:rFonts w:ascii="Times New Roman" w:hAnsi="Times New Roman"/>
        </w:rPr>
      </w:pPr>
      <w:r w:rsidRPr="007D53E8">
        <w:rPr>
          <w:rFonts w:ascii="Times New Roman" w:hAnsi="Times New Roman"/>
        </w:rPr>
        <w:t>Th</w:t>
      </w:r>
      <w:r w:rsidR="007B61B0" w:rsidRPr="007D53E8">
        <w:rPr>
          <w:rFonts w:ascii="Times New Roman" w:hAnsi="Times New Roman"/>
        </w:rPr>
        <w:t xml:space="preserve">e regulations require </w:t>
      </w:r>
      <w:r w:rsidRPr="007D53E8">
        <w:rPr>
          <w:rFonts w:ascii="Times New Roman" w:hAnsi="Times New Roman"/>
        </w:rPr>
        <w:t>respondents to report information to the Commission annually</w:t>
      </w:r>
      <w:r w:rsidR="007B61B0" w:rsidRPr="007D53E8">
        <w:rPr>
          <w:rFonts w:ascii="Times New Roman" w:hAnsi="Times New Roman"/>
        </w:rPr>
        <w:t xml:space="preserve">, </w:t>
      </w:r>
      <w:r w:rsidR="00D4017D" w:rsidRPr="007D53E8">
        <w:rPr>
          <w:rFonts w:ascii="Times New Roman" w:hAnsi="Times New Roman"/>
        </w:rPr>
        <w:t xml:space="preserve">daily, </w:t>
      </w:r>
      <w:r w:rsidRPr="007D53E8">
        <w:rPr>
          <w:rFonts w:ascii="Times New Roman" w:hAnsi="Times New Roman"/>
        </w:rPr>
        <w:t xml:space="preserve">and </w:t>
      </w:r>
      <w:r w:rsidR="007B61B0" w:rsidRPr="007D53E8">
        <w:rPr>
          <w:rFonts w:ascii="Times New Roman" w:hAnsi="Times New Roman"/>
        </w:rPr>
        <w:t>episodically</w:t>
      </w:r>
      <w:r w:rsidR="005D43DB" w:rsidRPr="007D53E8">
        <w:rPr>
          <w:rFonts w:ascii="Times New Roman" w:hAnsi="Times New Roman"/>
        </w:rPr>
        <w:t xml:space="preserve">, </w:t>
      </w:r>
      <w:r w:rsidR="005D43DB" w:rsidRPr="007D53E8">
        <w:rPr>
          <w:rFonts w:ascii="Times New Roman" w:hAnsi="Times New Roman"/>
          <w:i/>
        </w:rPr>
        <w:t xml:space="preserve">i.e., </w:t>
      </w:r>
      <w:r w:rsidR="005D43DB" w:rsidRPr="007D53E8">
        <w:rPr>
          <w:rFonts w:ascii="Times New Roman" w:hAnsi="Times New Roman"/>
        </w:rPr>
        <w:t>event specific.</w:t>
      </w:r>
    </w:p>
    <w:p w:rsidR="005D43DB" w:rsidRPr="007D53E8" w:rsidRDefault="005D43DB" w:rsidP="0088759B">
      <w:pPr>
        <w:tabs>
          <w:tab w:val="left" w:pos="-720"/>
          <w:tab w:val="left" w:pos="0"/>
          <w:tab w:val="left" w:pos="720"/>
        </w:tabs>
        <w:spacing w:after="240"/>
        <w:ind w:left="1080"/>
        <w:rPr>
          <w:rFonts w:ascii="Times New Roman" w:hAnsi="Times New Roman"/>
        </w:rPr>
      </w:pPr>
      <w:r w:rsidRPr="007D53E8">
        <w:rPr>
          <w:rFonts w:ascii="Times New Roman" w:hAnsi="Times New Roman"/>
        </w:rPr>
        <w:t>The Commission need</w:t>
      </w:r>
      <w:r w:rsidR="005F2AFC">
        <w:rPr>
          <w:rFonts w:ascii="Times New Roman" w:hAnsi="Times New Roman"/>
        </w:rPr>
        <w:t>s</w:t>
      </w:r>
      <w:r w:rsidRPr="007D53E8">
        <w:rPr>
          <w:rFonts w:ascii="Times New Roman" w:hAnsi="Times New Roman"/>
        </w:rPr>
        <w:t xml:space="preserve"> margin data on a daily basis to effectively maintain oversight of a DCO and to be alerted to unusual activity on a timely basis.</w:t>
      </w:r>
    </w:p>
    <w:p w:rsidR="005D43DB" w:rsidRPr="007D53E8" w:rsidRDefault="005D43DB" w:rsidP="0088759B">
      <w:pPr>
        <w:tabs>
          <w:tab w:val="left" w:pos="-720"/>
          <w:tab w:val="left" w:pos="0"/>
          <w:tab w:val="left" w:pos="720"/>
        </w:tabs>
        <w:spacing w:after="240"/>
        <w:ind w:left="1080"/>
        <w:rPr>
          <w:rFonts w:ascii="Times New Roman" w:hAnsi="Times New Roman"/>
        </w:rPr>
      </w:pPr>
      <w:r w:rsidRPr="007D53E8">
        <w:rPr>
          <w:rFonts w:ascii="Times New Roman" w:hAnsi="Times New Roman"/>
        </w:rPr>
        <w:t>Event-</w:t>
      </w:r>
      <w:r w:rsidR="007D690E">
        <w:rPr>
          <w:rFonts w:ascii="Times New Roman" w:hAnsi="Times New Roman"/>
        </w:rPr>
        <w:t>s</w:t>
      </w:r>
      <w:r w:rsidRPr="007D53E8">
        <w:rPr>
          <w:rFonts w:ascii="Times New Roman" w:hAnsi="Times New Roman"/>
        </w:rPr>
        <w:t xml:space="preserve">pecific reporting may or may not be more often than quarterly.  </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prepare a written response to a collection of information in fewer than 30 days after receipt of it:</w:t>
      </w:r>
    </w:p>
    <w:p w:rsidR="00446161" w:rsidRPr="007D53E8" w:rsidRDefault="00446161" w:rsidP="00446161">
      <w:pPr>
        <w:tabs>
          <w:tab w:val="left" w:pos="-720"/>
          <w:tab w:val="left" w:pos="0"/>
          <w:tab w:val="left" w:pos="720"/>
        </w:tabs>
        <w:spacing w:after="240"/>
        <w:ind w:left="1080"/>
        <w:rPr>
          <w:rFonts w:ascii="Times New Roman" w:hAnsi="Times New Roman"/>
        </w:rPr>
      </w:pPr>
      <w:r w:rsidRPr="007D53E8">
        <w:rPr>
          <w:rFonts w:ascii="Times New Roman" w:hAnsi="Times New Roman"/>
        </w:rPr>
        <w:t xml:space="preserve">In order for the Commission </w:t>
      </w:r>
      <w:r w:rsidR="007764F4" w:rsidRPr="007D53E8">
        <w:rPr>
          <w:rFonts w:ascii="Times New Roman" w:hAnsi="Times New Roman"/>
        </w:rPr>
        <w:t>to adequately assess a DCO</w:t>
      </w:r>
      <w:r w:rsidR="007D690E">
        <w:rPr>
          <w:rFonts w:ascii="Times New Roman" w:hAnsi="Times New Roman"/>
        </w:rPr>
        <w:t>’s</w:t>
      </w:r>
      <w:r w:rsidRPr="007D53E8">
        <w:rPr>
          <w:rFonts w:ascii="Times New Roman" w:hAnsi="Times New Roman"/>
        </w:rPr>
        <w:t xml:space="preserve"> </w:t>
      </w:r>
      <w:r w:rsidR="00785D57" w:rsidRPr="00785D57">
        <w:rPr>
          <w:rFonts w:ascii="Times New Roman" w:hAnsi="Times New Roman"/>
        </w:rPr>
        <w:t xml:space="preserve">compliance with these core principles and related regulations, </w:t>
      </w:r>
      <w:r w:rsidR="00785D57">
        <w:rPr>
          <w:rFonts w:ascii="Times New Roman" w:hAnsi="Times New Roman"/>
        </w:rPr>
        <w:t xml:space="preserve">a DCO may be </w:t>
      </w:r>
      <w:r w:rsidR="005D43DB" w:rsidRPr="007D53E8">
        <w:rPr>
          <w:rFonts w:ascii="Times New Roman" w:hAnsi="Times New Roman"/>
        </w:rPr>
        <w:t>require</w:t>
      </w:r>
      <w:r w:rsidR="00785D57">
        <w:rPr>
          <w:rFonts w:ascii="Times New Roman" w:hAnsi="Times New Roman"/>
        </w:rPr>
        <w:t>d</w:t>
      </w:r>
      <w:r w:rsidR="005D43DB" w:rsidRPr="007D53E8">
        <w:rPr>
          <w:rFonts w:ascii="Times New Roman" w:hAnsi="Times New Roman"/>
        </w:rPr>
        <w:t xml:space="preserve"> </w:t>
      </w:r>
      <w:r w:rsidRPr="007D53E8">
        <w:rPr>
          <w:rFonts w:ascii="Times New Roman" w:hAnsi="Times New Roman"/>
        </w:rPr>
        <w:t>to prepare a written response to a collection of information in fewer than 30 days depending on the exigency of the situation.</w:t>
      </w:r>
      <w:r w:rsidR="005D43DB" w:rsidRPr="007D53E8">
        <w:rPr>
          <w:rFonts w:ascii="Times New Roman" w:hAnsi="Times New Roman"/>
        </w:rPr>
        <w:t xml:space="preserve">  At all times, the Commission’s goal is to protect the integrity of the U.S. clearing system.</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submit more that an original and two copies of any document;</w:t>
      </w:r>
    </w:p>
    <w:p w:rsidR="00446161" w:rsidRPr="007D53E8" w:rsidRDefault="007764F4" w:rsidP="00446161">
      <w:pPr>
        <w:tabs>
          <w:tab w:val="left" w:pos="-720"/>
          <w:tab w:val="left" w:pos="0"/>
          <w:tab w:val="left" w:pos="720"/>
        </w:tabs>
        <w:spacing w:after="240"/>
        <w:ind w:left="1080"/>
        <w:rPr>
          <w:rFonts w:ascii="Times New Roman" w:hAnsi="Times New Roman"/>
        </w:rPr>
      </w:pPr>
      <w:r w:rsidRPr="007D53E8">
        <w:rPr>
          <w:rFonts w:ascii="Times New Roman" w:hAnsi="Times New Roman"/>
        </w:rPr>
        <w:lastRenderedPageBreak/>
        <w:t>DCOs</w:t>
      </w:r>
      <w:r w:rsidR="00446161" w:rsidRPr="007D53E8">
        <w:rPr>
          <w:rFonts w:ascii="Times New Roman" w:hAnsi="Times New Roman"/>
        </w:rPr>
        <w:t xml:space="preserve"> are required to submit </w:t>
      </w:r>
      <w:r w:rsidR="00070B31">
        <w:rPr>
          <w:rFonts w:ascii="Times New Roman" w:hAnsi="Times New Roman"/>
        </w:rPr>
        <w:t xml:space="preserve">documents electronically, </w:t>
      </w:r>
      <w:r w:rsidR="00446161" w:rsidRPr="007D53E8">
        <w:rPr>
          <w:rFonts w:ascii="Times New Roman" w:hAnsi="Times New Roman"/>
        </w:rPr>
        <w:t>o</w:t>
      </w:r>
      <w:r w:rsidR="005D43DB" w:rsidRPr="007D53E8">
        <w:rPr>
          <w:rFonts w:ascii="Times New Roman" w:hAnsi="Times New Roman"/>
        </w:rPr>
        <w:t xml:space="preserve">nly </w:t>
      </w:r>
      <w:r w:rsidR="00070B31">
        <w:rPr>
          <w:rFonts w:ascii="Times New Roman" w:hAnsi="Times New Roman"/>
        </w:rPr>
        <w:t>once.  No hard copies are required.</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retain records other than health, medical, government contract, grant-in-aid, or tax records, for more than three years;</w:t>
      </w:r>
    </w:p>
    <w:p w:rsidR="00080899" w:rsidRPr="007D53E8" w:rsidRDefault="000F7D2B" w:rsidP="00080899">
      <w:pPr>
        <w:tabs>
          <w:tab w:val="left" w:pos="-720"/>
          <w:tab w:val="left" w:pos="0"/>
          <w:tab w:val="left" w:pos="720"/>
        </w:tabs>
        <w:spacing w:after="240"/>
        <w:ind w:left="1080"/>
        <w:rPr>
          <w:rFonts w:ascii="Times New Roman" w:hAnsi="Times New Roman"/>
          <w:b/>
        </w:rPr>
      </w:pPr>
      <w:r w:rsidRPr="000F7D2B">
        <w:rPr>
          <w:rFonts w:ascii="Times New Roman" w:hAnsi="Times New Roman"/>
        </w:rPr>
        <w:t xml:space="preserve">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 xml:space="preserve">in connection with a statistical survey, that is not designed to produce valid and reliable results that can be generalized to the universe of study; </w:t>
      </w:r>
    </w:p>
    <w:p w:rsidR="0061595D" w:rsidRPr="007D53E8" w:rsidRDefault="0061595D" w:rsidP="0061595D">
      <w:pPr>
        <w:tabs>
          <w:tab w:val="left" w:pos="-720"/>
          <w:tab w:val="left" w:pos="0"/>
          <w:tab w:val="left" w:pos="720"/>
        </w:tabs>
        <w:spacing w:after="240"/>
        <w:ind w:left="1080"/>
        <w:rPr>
          <w:rFonts w:ascii="Times New Roman" w:hAnsi="Times New Roman"/>
        </w:rPr>
      </w:pPr>
      <w:r w:rsidRPr="007D53E8">
        <w:rPr>
          <w:rFonts w:ascii="Times New Roman" w:hAnsi="Times New Roman"/>
        </w:rPr>
        <w:t>No statistical surveys are involved.</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the use of a statistical data classification that has not been reviewed and approved by OMB;</w:t>
      </w:r>
    </w:p>
    <w:p w:rsidR="0061595D" w:rsidRPr="007D53E8" w:rsidRDefault="0061595D" w:rsidP="0061595D">
      <w:pPr>
        <w:tabs>
          <w:tab w:val="left" w:pos="-720"/>
          <w:tab w:val="left" w:pos="0"/>
          <w:tab w:val="left" w:pos="720"/>
        </w:tabs>
        <w:spacing w:after="240"/>
        <w:ind w:left="1080"/>
        <w:rPr>
          <w:rFonts w:ascii="Times New Roman" w:hAnsi="Times New Roman"/>
        </w:rPr>
      </w:pPr>
      <w:r w:rsidRPr="007D53E8">
        <w:rPr>
          <w:rFonts w:ascii="Times New Roman" w:hAnsi="Times New Roman"/>
        </w:rPr>
        <w:t>The requirements do not involve use of any statistical data classification.</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51ACE" w:rsidRPr="007D53E8" w:rsidRDefault="00F51ACE" w:rsidP="00F51ACE">
      <w:pPr>
        <w:tabs>
          <w:tab w:val="left" w:pos="-720"/>
          <w:tab w:val="left" w:pos="0"/>
          <w:tab w:val="left" w:pos="720"/>
        </w:tabs>
        <w:spacing w:after="240"/>
        <w:ind w:left="1080"/>
        <w:rPr>
          <w:rFonts w:ascii="Times New Roman" w:hAnsi="Times New Roman"/>
          <w:b/>
        </w:rPr>
      </w:pPr>
      <w:r w:rsidRPr="007D53E8">
        <w:rPr>
          <w:rFonts w:ascii="Times New Roman" w:hAnsi="Times New Roman"/>
        </w:rPr>
        <w:t>The requirements do not involve a</w:t>
      </w:r>
      <w:r w:rsidR="00023BDF">
        <w:rPr>
          <w:rFonts w:ascii="Times New Roman" w:hAnsi="Times New Roman"/>
        </w:rPr>
        <w:t>n unsupported</w:t>
      </w:r>
      <w:r w:rsidRPr="007D53E8">
        <w:rPr>
          <w:rFonts w:ascii="Times New Roman" w:hAnsi="Times New Roman"/>
        </w:rPr>
        <w:t xml:space="preserve"> pledge of confidentiality regarding the collection of data.</w:t>
      </w:r>
      <w:r w:rsidR="007764F4" w:rsidRPr="007D53E8">
        <w:rPr>
          <w:rFonts w:ascii="Times New Roman" w:hAnsi="Times New Roman"/>
        </w:rPr>
        <w:t xml:space="preserve">  </w:t>
      </w:r>
    </w:p>
    <w:p w:rsidR="00D320F0"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0F7D2B" w:rsidRPr="001B51C5" w:rsidRDefault="000F7D2B" w:rsidP="001B51C5">
      <w:pPr>
        <w:tabs>
          <w:tab w:val="left" w:pos="-720"/>
          <w:tab w:val="left" w:pos="0"/>
          <w:tab w:val="left" w:pos="720"/>
        </w:tabs>
        <w:spacing w:after="240"/>
        <w:ind w:left="720"/>
        <w:rPr>
          <w:rFonts w:ascii="Times New Roman" w:hAnsi="Times New Roman"/>
          <w:b/>
        </w:rPr>
      </w:pPr>
      <w:r w:rsidRPr="001B51C5">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8.</w:t>
      </w:r>
      <w:r w:rsidRPr="007D53E8">
        <w:rPr>
          <w:rFonts w:ascii="Times New Roman" w:hAnsi="Times New Roman"/>
          <w:b/>
        </w:rPr>
        <w:tab/>
        <w:t xml:space="preserve">If applicable, provide a copy and identify the date and page number of publication in the </w:t>
      </w:r>
      <w:r w:rsidRPr="007D53E8">
        <w:rPr>
          <w:rFonts w:ascii="Times New Roman" w:hAnsi="Times New Roman"/>
          <w:b/>
          <w:i/>
        </w:rPr>
        <w:t>Federal Register</w:t>
      </w:r>
      <w:r w:rsidRPr="007D53E8">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51C5" w:rsidRPr="001B51C5" w:rsidRDefault="001B51C5" w:rsidP="001B51C5">
      <w:pPr>
        <w:pStyle w:val="EndnoteText"/>
        <w:tabs>
          <w:tab w:val="left" w:pos="-720"/>
        </w:tabs>
        <w:spacing w:after="240"/>
        <w:rPr>
          <w:rFonts w:ascii="Times New Roman" w:hAnsi="Times New Roman"/>
          <w:szCs w:val="24"/>
        </w:rPr>
      </w:pPr>
      <w:r>
        <w:rPr>
          <w:rFonts w:ascii="Times New Roman" w:hAnsi="Times New Roman"/>
          <w:szCs w:val="24"/>
        </w:rPr>
        <w:tab/>
      </w:r>
      <w:r w:rsidRPr="001B51C5">
        <w:rPr>
          <w:rFonts w:ascii="Times New Roman" w:hAnsi="Times New Roman"/>
          <w:szCs w:val="24"/>
        </w:rPr>
        <w:t>The 60-day Federal register notice seeking public comment w</w:t>
      </w:r>
      <w:r>
        <w:rPr>
          <w:rFonts w:ascii="Times New Roman" w:hAnsi="Times New Roman"/>
          <w:szCs w:val="24"/>
        </w:rPr>
        <w:t>as</w:t>
      </w:r>
      <w:r w:rsidRPr="001B51C5">
        <w:rPr>
          <w:rFonts w:ascii="Times New Roman" w:hAnsi="Times New Roman"/>
          <w:szCs w:val="24"/>
        </w:rPr>
        <w:t xml:space="preserve"> published on </w:t>
      </w:r>
      <w:r w:rsidR="005D5223">
        <w:rPr>
          <w:rFonts w:ascii="Times New Roman" w:hAnsi="Times New Roman"/>
          <w:szCs w:val="24"/>
        </w:rPr>
        <w:t>July 24</w:t>
      </w:r>
      <w:r w:rsidRPr="001B51C5">
        <w:rPr>
          <w:rFonts w:ascii="Times New Roman" w:hAnsi="Times New Roman"/>
          <w:szCs w:val="24"/>
        </w:rPr>
        <w:t>, 2018.</w:t>
      </w:r>
      <w:r w:rsidR="005D5223">
        <w:rPr>
          <w:rStyle w:val="FootnoteReference"/>
          <w:rFonts w:ascii="Times New Roman" w:hAnsi="Times New Roman"/>
          <w:szCs w:val="24"/>
        </w:rPr>
        <w:footnoteReference w:id="3"/>
      </w:r>
      <w:r w:rsidRPr="001B51C5">
        <w:rPr>
          <w:rFonts w:ascii="Times New Roman" w:hAnsi="Times New Roman"/>
          <w:szCs w:val="24"/>
        </w:rPr>
        <w:t xml:space="preserve"> </w:t>
      </w:r>
      <w:r w:rsidR="00302DCF">
        <w:rPr>
          <w:rFonts w:ascii="Times New Roman" w:hAnsi="Times New Roman"/>
          <w:szCs w:val="24"/>
        </w:rPr>
        <w:t xml:space="preserve"> </w:t>
      </w:r>
      <w:r w:rsidR="00302DCF" w:rsidRPr="0094243D">
        <w:rPr>
          <w:rFonts w:ascii="Times New Roman" w:hAnsi="Times New Roman"/>
          <w:szCs w:val="24"/>
        </w:rPr>
        <w:t>The Commission receive</w:t>
      </w:r>
      <w:r w:rsidR="0071608F" w:rsidRPr="0094243D">
        <w:rPr>
          <w:rFonts w:ascii="Times New Roman" w:hAnsi="Times New Roman"/>
          <w:szCs w:val="24"/>
        </w:rPr>
        <w:t>d</w:t>
      </w:r>
      <w:r w:rsidR="00302DCF" w:rsidRPr="0094243D">
        <w:rPr>
          <w:rFonts w:ascii="Times New Roman" w:hAnsi="Times New Roman"/>
          <w:szCs w:val="24"/>
        </w:rPr>
        <w:t xml:space="preserve"> </w:t>
      </w:r>
      <w:r w:rsidR="00D153F0">
        <w:rPr>
          <w:rFonts w:ascii="Times New Roman" w:hAnsi="Times New Roman"/>
          <w:szCs w:val="24"/>
        </w:rPr>
        <w:t xml:space="preserve">no relevant </w:t>
      </w:r>
      <w:r w:rsidR="0071608F" w:rsidRPr="0094243D">
        <w:rPr>
          <w:rFonts w:ascii="Times New Roman" w:hAnsi="Times New Roman"/>
          <w:szCs w:val="24"/>
        </w:rPr>
        <w:t>comment</w:t>
      </w:r>
      <w:r w:rsidR="00D153F0">
        <w:rPr>
          <w:rFonts w:ascii="Times New Roman" w:hAnsi="Times New Roman"/>
          <w:szCs w:val="24"/>
        </w:rPr>
        <w:t>s</w:t>
      </w:r>
      <w:r w:rsidR="0071608F" w:rsidRPr="0094243D">
        <w:rPr>
          <w:rFonts w:ascii="Times New Roman" w:hAnsi="Times New Roman"/>
          <w:szCs w:val="24"/>
        </w:rPr>
        <w:t xml:space="preserve"> </w:t>
      </w:r>
      <w:r w:rsidR="00302DCF" w:rsidRPr="0094243D">
        <w:rPr>
          <w:rFonts w:ascii="Times New Roman" w:hAnsi="Times New Roman"/>
          <w:szCs w:val="24"/>
        </w:rPr>
        <w:t>on the 60-Day Notice</w:t>
      </w:r>
      <w:r w:rsidR="00D153F0">
        <w:rPr>
          <w:rFonts w:ascii="Times New Roman" w:hAnsi="Times New Roman"/>
          <w:szCs w:val="24"/>
        </w:rPr>
        <w:t xml:space="preserve">. </w:t>
      </w:r>
    </w:p>
    <w:p w:rsidR="00534B6B" w:rsidRPr="007D53E8" w:rsidRDefault="00080899" w:rsidP="00C82589">
      <w:pPr>
        <w:pStyle w:val="TOC6"/>
        <w:tabs>
          <w:tab w:val="clear" w:pos="9360"/>
          <w:tab w:val="left" w:pos="-720"/>
          <w:tab w:val="left" w:pos="0"/>
        </w:tabs>
        <w:suppressAutoHyphens w:val="0"/>
        <w:spacing w:after="240"/>
        <w:ind w:left="0" w:firstLine="0"/>
        <w:rPr>
          <w:rFonts w:ascii="Times New Roman" w:hAnsi="Times New Roman"/>
          <w:b/>
        </w:rPr>
      </w:pPr>
      <w:r>
        <w:rPr>
          <w:rFonts w:ascii="Times New Roman" w:hAnsi="Times New Roman"/>
          <w:b/>
        </w:rPr>
        <w:tab/>
      </w:r>
      <w:r w:rsidR="00534B6B" w:rsidRPr="007D53E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7D53E8" w:rsidRDefault="00534B6B" w:rsidP="00534B6B">
      <w:pPr>
        <w:pStyle w:val="EndnoteText"/>
        <w:tabs>
          <w:tab w:val="left" w:pos="-720"/>
        </w:tabs>
        <w:spacing w:after="240"/>
        <w:rPr>
          <w:rFonts w:ascii="Times New Roman" w:hAnsi="Times New Roman"/>
          <w:szCs w:val="24"/>
        </w:rPr>
      </w:pPr>
      <w:r w:rsidRPr="007D53E8">
        <w:rPr>
          <w:rFonts w:ascii="Times New Roman" w:hAnsi="Times New Roman"/>
          <w:szCs w:val="24"/>
        </w:rPr>
        <w:tab/>
      </w:r>
      <w:r w:rsidR="00A40C44" w:rsidRPr="00A40C44">
        <w:rPr>
          <w:rFonts w:ascii="Times New Roman" w:hAnsi="Times New Roman"/>
          <w:szCs w:val="24"/>
        </w:rPr>
        <w:t>As part of the rulemaking process, the rule was published in the Federal Register.  Thus, members of the public, including respondents, were provided an opportunity to comment on the rule and related matters, including issues concerning recordkeeping and other paperwork burdens.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7199" w:rsidRDefault="00534B6B" w:rsidP="00A40C44">
      <w:pPr>
        <w:tabs>
          <w:tab w:val="left" w:pos="-720"/>
        </w:tabs>
        <w:spacing w:after="240"/>
        <w:rPr>
          <w:color w:val="1F497D"/>
        </w:rPr>
      </w:pPr>
      <w:r w:rsidRPr="007D53E8">
        <w:rPr>
          <w:rFonts w:ascii="Times New Roman" w:hAnsi="Times New Roman"/>
        </w:rPr>
        <w:tab/>
      </w:r>
      <w:r w:rsidR="00A40C44" w:rsidRPr="00A40C44">
        <w:rPr>
          <w:rFonts w:ascii="Times New Roman" w:hAnsi="Times New Roman"/>
        </w:rPr>
        <w:t xml:space="preserve">No such circumstances are anticipated. </w:t>
      </w:r>
      <w:r w:rsidR="00737199">
        <w:rPr>
          <w:color w:val="1F497D"/>
        </w:rPr>
        <w:t xml:space="preserve"> </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9.</w:t>
      </w:r>
      <w:r w:rsidRPr="007D53E8">
        <w:rPr>
          <w:rFonts w:ascii="Times New Roman" w:hAnsi="Times New Roman"/>
          <w:b/>
        </w:rPr>
        <w:tab/>
        <w:t xml:space="preserve">Explain any decision to provide any payment or gift to respondents, other than </w:t>
      </w:r>
      <w:r w:rsidR="005C6C6F" w:rsidRPr="007D53E8">
        <w:rPr>
          <w:rFonts w:ascii="Times New Roman" w:hAnsi="Times New Roman"/>
          <w:b/>
        </w:rPr>
        <w:t>remuneration</w:t>
      </w:r>
      <w:r w:rsidRPr="007D53E8">
        <w:rPr>
          <w:rFonts w:ascii="Times New Roman" w:hAnsi="Times New Roman"/>
          <w:b/>
        </w:rPr>
        <w:t xml:space="preserve"> of contractors or grantees.</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1278DD" w:rsidRPr="007D53E8">
        <w:rPr>
          <w:rFonts w:ascii="Times New Roman" w:hAnsi="Times New Roman"/>
        </w:rPr>
        <w:t>This question d</w:t>
      </w:r>
      <w:r w:rsidRPr="007D53E8">
        <w:rPr>
          <w:rFonts w:ascii="Times New Roman" w:hAnsi="Times New Roman"/>
        </w:rPr>
        <w:t>oes not apply.</w:t>
      </w: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10.</w:t>
      </w:r>
      <w:r w:rsidRPr="007D53E8">
        <w:rPr>
          <w:rFonts w:ascii="Times New Roman" w:hAnsi="Times New Roman"/>
          <w:b/>
        </w:rPr>
        <w:tab/>
        <w:t>Describe any assurance of confidentiality provided to respondents and the basis for the assurance in statute, regulations, or agency policy.</w:t>
      </w:r>
    </w:p>
    <w:p w:rsidR="001B51C5" w:rsidRPr="001B51C5" w:rsidRDefault="00534B6B" w:rsidP="001B51C5">
      <w:pPr>
        <w:tabs>
          <w:tab w:val="left" w:pos="-720"/>
        </w:tabs>
        <w:spacing w:after="240"/>
        <w:rPr>
          <w:rFonts w:ascii="Times New Roman" w:hAnsi="Times New Roman"/>
        </w:rPr>
      </w:pPr>
      <w:r w:rsidRPr="007D53E8">
        <w:rPr>
          <w:rFonts w:ascii="Times New Roman" w:hAnsi="Times New Roman"/>
        </w:rPr>
        <w:tab/>
      </w:r>
      <w:r w:rsidR="00C60D5C" w:rsidRPr="00C60D5C">
        <w:rPr>
          <w:rFonts w:ascii="Times New Roman" w:hAnsi="Times New Roman"/>
        </w:rPr>
        <w:t xml:space="preserve"> </w:t>
      </w:r>
      <w:r w:rsidR="001B51C5" w:rsidRPr="001B51C5">
        <w:rPr>
          <w:rFonts w:ascii="Times New Roman" w:hAnsi="Times New Roman"/>
        </w:rPr>
        <w:t>The Commission does not provide respondents with an assurance of confidentiality</w:t>
      </w:r>
      <w:r w:rsidR="00146B52">
        <w:rPr>
          <w:rFonts w:ascii="Times New Roman" w:hAnsi="Times New Roman"/>
        </w:rPr>
        <w:t xml:space="preserve"> beyond that provided by applicable law</w:t>
      </w:r>
      <w:r w:rsidR="001B51C5" w:rsidRPr="001B51C5">
        <w:rPr>
          <w:rFonts w:ascii="Times New Roman" w:hAnsi="Times New Roman"/>
        </w:rPr>
        <w:t>.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BE4E06" w:rsidRDefault="00BE4E06" w:rsidP="00534B6B">
      <w:pPr>
        <w:tabs>
          <w:tab w:val="left" w:pos="-720"/>
        </w:tabs>
        <w:spacing w:after="240"/>
        <w:rPr>
          <w:rFonts w:ascii="Times New Roman" w:hAnsi="Times New Roman"/>
        </w:rPr>
      </w:pP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11.</w:t>
      </w:r>
      <w:r w:rsidRPr="007D53E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D673D1" w:rsidRPr="007D53E8">
        <w:rPr>
          <w:rFonts w:ascii="Times New Roman" w:hAnsi="Times New Roman"/>
        </w:rPr>
        <w:t xml:space="preserve">This question does not apply.  </w:t>
      </w:r>
      <w:r w:rsidRPr="007D53E8">
        <w:rPr>
          <w:rFonts w:ascii="Times New Roman" w:hAnsi="Times New Roman"/>
        </w:rPr>
        <w:t xml:space="preserve">None of the </w:t>
      </w:r>
      <w:r w:rsidR="00D673D1" w:rsidRPr="007D53E8">
        <w:rPr>
          <w:rFonts w:ascii="Times New Roman" w:hAnsi="Times New Roman"/>
        </w:rPr>
        <w:t>required information is</w:t>
      </w:r>
      <w:r w:rsidRPr="007D53E8">
        <w:rPr>
          <w:rFonts w:ascii="Times New Roman" w:hAnsi="Times New Roman"/>
        </w:rPr>
        <w:t xml:space="preserve"> sensitive, as that term is used in Question 11.</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12.</w:t>
      </w:r>
      <w:r w:rsidRPr="007D53E8">
        <w:rPr>
          <w:rFonts w:ascii="Times New Roman" w:hAnsi="Times New Roman"/>
          <w:b/>
        </w:rPr>
        <w:tab/>
        <w:t>Provide estimates of the hour burden of the collection of information.  The Statement should:</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If the request for approval covers more than one form, provide separate hour burden estimates for each form and aggregate the hour burdens in Item 13 of OMB Form 83-I.</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5F509E" w:rsidRPr="007D53E8">
        <w:rPr>
          <w:rFonts w:ascii="Times New Roman" w:hAnsi="Times New Roman"/>
          <w:b/>
        </w:rPr>
        <w:t>out</w:t>
      </w:r>
      <w:r w:rsidRPr="007D53E8">
        <w:rPr>
          <w:rFonts w:ascii="Times New Roman" w:hAnsi="Times New Roman"/>
          <w:b/>
        </w:rPr>
        <w:t xml:space="preserve"> or paying outside parties for information collection activities should not be included here.  Instead, this cost should be included in Item 13.</w:t>
      </w:r>
    </w:p>
    <w:p w:rsidR="00534B6B" w:rsidRPr="007D53E8" w:rsidRDefault="003B6EA8" w:rsidP="00534B6B">
      <w:pPr>
        <w:tabs>
          <w:tab w:val="left" w:pos="-720"/>
        </w:tabs>
        <w:spacing w:after="240"/>
        <w:rPr>
          <w:rFonts w:ascii="Times New Roman" w:hAnsi="Times New Roman"/>
        </w:rPr>
      </w:pPr>
      <w:r>
        <w:rPr>
          <w:rFonts w:ascii="Times New Roman" w:hAnsi="Times New Roman"/>
        </w:rPr>
        <w:tab/>
        <w:t>See Attachment A</w:t>
      </w:r>
      <w:r w:rsidR="001B51C5">
        <w:rPr>
          <w:rFonts w:ascii="Times New Roman" w:hAnsi="Times New Roman"/>
        </w:rPr>
        <w:t>.</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13.</w:t>
      </w:r>
      <w:r w:rsidRPr="007D53E8">
        <w:rPr>
          <w:rFonts w:ascii="Times New Roman" w:hAnsi="Times New Roman"/>
          <w:b/>
        </w:rPr>
        <w:tab/>
        <w:t>Provide an estimate of the total annual cost burden to respondents or recordkeepers resulting f</w:t>
      </w:r>
      <w:r w:rsidR="00A40C44">
        <w:rPr>
          <w:rFonts w:ascii="Times New Roman" w:hAnsi="Times New Roman"/>
          <w:b/>
        </w:rPr>
        <w:t>r</w:t>
      </w:r>
      <w:r w:rsidRPr="007D53E8">
        <w:rPr>
          <w:rFonts w:ascii="Times New Roman" w:hAnsi="Times New Roman"/>
          <w:b/>
        </w:rPr>
        <w:t>om the collection of information.  (Do not include the cost of any hour burden shown in Items 12 and 14).</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Total costs are included in the answer to question 12.</w:t>
      </w:r>
      <w:r w:rsidR="002654AE" w:rsidRPr="007D53E8">
        <w:rPr>
          <w:rFonts w:ascii="Times New Roman" w:hAnsi="Times New Roman"/>
        </w:rPr>
        <w:t xml:space="preserve">  See Attachment A.</w:t>
      </w: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14.</w:t>
      </w:r>
      <w:r w:rsidRPr="007D53E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3B6EA8" w:rsidRDefault="003B6EA8" w:rsidP="00534B6B">
      <w:pPr>
        <w:tabs>
          <w:tab w:val="left" w:pos="-720"/>
          <w:tab w:val="left" w:pos="0"/>
        </w:tabs>
        <w:spacing w:after="240"/>
        <w:rPr>
          <w:rFonts w:ascii="Times New Roman" w:hAnsi="Times New Roman"/>
        </w:rPr>
      </w:pPr>
      <w:r w:rsidRPr="003B6EA8">
        <w:rPr>
          <w:rFonts w:ascii="Times New Roman" w:hAnsi="Times New Roman"/>
        </w:rPr>
        <w:tab/>
      </w:r>
      <w:r w:rsidRPr="009F699A">
        <w:rPr>
          <w:rFonts w:ascii="Times New Roman" w:hAnsi="Times New Roman"/>
        </w:rPr>
        <w:t xml:space="preserve">The estimate of the </w:t>
      </w:r>
      <w:r w:rsidR="00387F96">
        <w:rPr>
          <w:rFonts w:ascii="Times New Roman" w:hAnsi="Times New Roman"/>
        </w:rPr>
        <w:t xml:space="preserve">annual </w:t>
      </w:r>
      <w:r w:rsidRPr="009F699A">
        <w:rPr>
          <w:rFonts w:ascii="Times New Roman" w:hAnsi="Times New Roman"/>
        </w:rPr>
        <w:t>cost to the gove</w:t>
      </w:r>
      <w:r w:rsidR="00CE608B" w:rsidRPr="009F699A">
        <w:rPr>
          <w:rFonts w:ascii="Times New Roman" w:hAnsi="Times New Roman"/>
        </w:rPr>
        <w:t xml:space="preserve">rnment per respondent is about </w:t>
      </w:r>
      <w:r w:rsidRPr="009F699A">
        <w:rPr>
          <w:rFonts w:ascii="Times New Roman" w:hAnsi="Times New Roman"/>
        </w:rPr>
        <w:t>$</w:t>
      </w:r>
      <w:r w:rsidR="00D35DF4">
        <w:rPr>
          <w:rFonts w:ascii="Times New Roman" w:hAnsi="Times New Roman"/>
        </w:rPr>
        <w:t>7980</w:t>
      </w:r>
      <w:r w:rsidRPr="009F699A">
        <w:rPr>
          <w:rFonts w:ascii="Times New Roman" w:hAnsi="Times New Roman"/>
        </w:rPr>
        <w:t xml:space="preserve"> per year</w:t>
      </w:r>
      <w:r w:rsidR="00387F96">
        <w:rPr>
          <w:rFonts w:ascii="Times New Roman" w:hAnsi="Times New Roman"/>
        </w:rPr>
        <w:t xml:space="preserve">.  </w:t>
      </w:r>
      <w:r w:rsidR="00387F96" w:rsidRPr="00387F96">
        <w:rPr>
          <w:rFonts w:ascii="Times New Roman" w:hAnsi="Times New Roman"/>
        </w:rPr>
        <w:t xml:space="preserve">This reflects the cost of staff needed to analyze </w:t>
      </w:r>
      <w:r w:rsidRPr="009F699A">
        <w:rPr>
          <w:rFonts w:ascii="Times New Roman" w:hAnsi="Times New Roman"/>
        </w:rPr>
        <w:t>the infor</w:t>
      </w:r>
      <w:r w:rsidR="00CE608B" w:rsidRPr="009F699A">
        <w:rPr>
          <w:rFonts w:ascii="Times New Roman" w:hAnsi="Times New Roman"/>
        </w:rPr>
        <w:t>mation received, as follows: a</w:t>
      </w:r>
      <w:r w:rsidRPr="009F699A">
        <w:rPr>
          <w:rFonts w:ascii="Times New Roman" w:hAnsi="Times New Roman"/>
        </w:rPr>
        <w:t xml:space="preserve"> full </w:t>
      </w:r>
      <w:r w:rsidR="00CE608B" w:rsidRPr="009F699A">
        <w:rPr>
          <w:rFonts w:ascii="Times New Roman" w:hAnsi="Times New Roman"/>
        </w:rPr>
        <w:t>time equivalent reviewing for 7</w:t>
      </w:r>
      <w:r w:rsidRPr="009F699A">
        <w:rPr>
          <w:rFonts w:ascii="Times New Roman" w:hAnsi="Times New Roman"/>
        </w:rPr>
        <w:t xml:space="preserve"> hours per</w:t>
      </w:r>
      <w:r w:rsidR="00CE608B" w:rsidRPr="009F699A">
        <w:rPr>
          <w:rFonts w:ascii="Times New Roman" w:hAnsi="Times New Roman"/>
        </w:rPr>
        <w:t xml:space="preserve"> trading day</w:t>
      </w:r>
      <w:r w:rsidR="00387F96">
        <w:rPr>
          <w:rFonts w:ascii="Times New Roman" w:hAnsi="Times New Roman"/>
        </w:rPr>
        <w:t>,</w:t>
      </w:r>
      <w:r w:rsidR="00CE608B" w:rsidRPr="009F699A">
        <w:rPr>
          <w:rFonts w:ascii="Times New Roman" w:hAnsi="Times New Roman"/>
        </w:rPr>
        <w:t xml:space="preserve"> and an additional 7</w:t>
      </w:r>
      <w:r w:rsidRPr="009F699A">
        <w:rPr>
          <w:rFonts w:ascii="Times New Roman" w:hAnsi="Times New Roman"/>
        </w:rPr>
        <w:t>0 hours per year reviewing other required reports at an average salary of $</w:t>
      </w:r>
      <w:r w:rsidR="00226EDD">
        <w:rPr>
          <w:rFonts w:ascii="Times New Roman" w:hAnsi="Times New Roman"/>
        </w:rPr>
        <w:t>70</w:t>
      </w:r>
      <w:r w:rsidRPr="009F699A">
        <w:rPr>
          <w:rFonts w:ascii="Times New Roman" w:hAnsi="Times New Roman"/>
        </w:rPr>
        <w:t xml:space="preserve"> per hour.</w:t>
      </w:r>
      <w:r w:rsidR="00226EDD" w:rsidRPr="00226EDD">
        <w:rPr>
          <w:rStyle w:val="FootnoteReference"/>
          <w:rFonts w:ascii="Times New Roman" w:hAnsi="Times New Roman"/>
        </w:rPr>
        <w:footnoteReference w:id="4"/>
      </w:r>
      <w:r w:rsidRPr="009F699A">
        <w:rPr>
          <w:rFonts w:ascii="Times New Roman" w:hAnsi="Times New Roman"/>
        </w:rPr>
        <w:t xml:space="preserve">  The total number of hours of review time per respondent each year is </w:t>
      </w:r>
      <w:r w:rsidR="00CE608B" w:rsidRPr="009F699A">
        <w:rPr>
          <w:rFonts w:ascii="Times New Roman" w:hAnsi="Times New Roman"/>
        </w:rPr>
        <w:t>1</w:t>
      </w:r>
      <w:r w:rsidR="00226EDD">
        <w:rPr>
          <w:rFonts w:ascii="Times New Roman" w:hAnsi="Times New Roman"/>
        </w:rPr>
        <w:t>14</w:t>
      </w:r>
      <w:r w:rsidR="00CE608B" w:rsidRPr="009F699A">
        <w:rPr>
          <w:rFonts w:ascii="Times New Roman" w:hAnsi="Times New Roman"/>
        </w:rPr>
        <w:t xml:space="preserve"> hours</w:t>
      </w:r>
      <w:r w:rsidR="00D35DF4">
        <w:rPr>
          <w:rFonts w:ascii="Times New Roman" w:hAnsi="Times New Roman"/>
        </w:rPr>
        <w:t>.</w:t>
      </w:r>
      <w:r w:rsidR="00D35DF4">
        <w:rPr>
          <w:rStyle w:val="FootnoteReference"/>
          <w:rFonts w:ascii="Times New Roman" w:hAnsi="Times New Roman"/>
        </w:rPr>
        <w:footnoteReference w:id="5"/>
      </w:r>
      <w:r w:rsidR="00CE608B" w:rsidRPr="009F699A">
        <w:rPr>
          <w:rFonts w:ascii="Times New Roman" w:hAnsi="Times New Roman"/>
        </w:rPr>
        <w:t xml:space="preserve"> </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15.</w:t>
      </w:r>
      <w:r w:rsidRPr="007D53E8">
        <w:rPr>
          <w:rFonts w:ascii="Times New Roman" w:hAnsi="Times New Roman"/>
          <w:b/>
        </w:rPr>
        <w:tab/>
        <w:t>Explain the reasons for any program changes or adjustments reported in Items 13 or 14 of the OMB Form 83-I.</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1B51C5">
        <w:rPr>
          <w:rFonts w:ascii="Times New Roman" w:hAnsi="Times New Roman"/>
        </w:rPr>
        <w:t xml:space="preserve">The figures in Attachment A have been </w:t>
      </w:r>
      <w:r w:rsidR="001B51C5" w:rsidRPr="007D53E8">
        <w:rPr>
          <w:rFonts w:ascii="Times New Roman" w:hAnsi="Times New Roman"/>
        </w:rPr>
        <w:t>adjust</w:t>
      </w:r>
      <w:r w:rsidR="001B51C5">
        <w:rPr>
          <w:rFonts w:ascii="Times New Roman" w:hAnsi="Times New Roman"/>
        </w:rPr>
        <w:t>ed</w:t>
      </w:r>
      <w:r w:rsidR="001D3E3F">
        <w:rPr>
          <w:rFonts w:ascii="Times New Roman" w:hAnsi="Times New Roman"/>
        </w:rPr>
        <w:t xml:space="preserve"> </w:t>
      </w:r>
      <w:r w:rsidR="001B51C5">
        <w:rPr>
          <w:rFonts w:ascii="Times New Roman" w:hAnsi="Times New Roman"/>
        </w:rPr>
        <w:t>to reflect the current number of registered DCOs</w:t>
      </w:r>
      <w:r w:rsidR="001D3E3F">
        <w:rPr>
          <w:rFonts w:ascii="Times New Roman" w:hAnsi="Times New Roman"/>
        </w:rPr>
        <w:t xml:space="preserve"> and to update some of the cost estimates</w:t>
      </w:r>
      <w:r w:rsidR="001B51C5">
        <w:rPr>
          <w:rFonts w:ascii="Times New Roman" w:hAnsi="Times New Roman"/>
        </w:rPr>
        <w:t xml:space="preserve">.  </w:t>
      </w:r>
      <w:r w:rsidR="00405023" w:rsidRPr="007D53E8">
        <w:rPr>
          <w:rFonts w:ascii="Times New Roman" w:hAnsi="Times New Roman"/>
        </w:rPr>
        <w:t xml:space="preserve">  </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16.</w:t>
      </w:r>
      <w:r w:rsidRPr="007D53E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question does not apply.</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17.</w:t>
      </w:r>
      <w:r w:rsidRPr="007D53E8">
        <w:rPr>
          <w:rFonts w:ascii="Times New Roman" w:hAnsi="Times New Roman"/>
          <w:b/>
        </w:rPr>
        <w:tab/>
        <w:t>If seeking approval to not display the expiration date for OMB approval of the information collection, explain the reasons that display would be inappropriate.</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question does not apply.</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18.</w:t>
      </w:r>
      <w:r w:rsidRPr="007D53E8">
        <w:rPr>
          <w:rFonts w:ascii="Times New Roman" w:hAnsi="Times New Roman"/>
          <w:b/>
        </w:rPr>
        <w:tab/>
        <w:t>Explain each exception to the certification statement identified in Item 19, "Certification for Paperwork Reduction Act Submissions," of OMB Form 83-I.</w:t>
      </w:r>
    </w:p>
    <w:p w:rsidR="00B26DF3" w:rsidRPr="007D53E8" w:rsidRDefault="00A40C44" w:rsidP="00080899">
      <w:pPr>
        <w:tabs>
          <w:tab w:val="left" w:pos="-720"/>
        </w:tabs>
        <w:spacing w:after="120"/>
        <w:rPr>
          <w:rFonts w:ascii="Times New Roman" w:hAnsi="Times New Roman"/>
          <w:b/>
        </w:rPr>
      </w:pPr>
      <w:r>
        <w:rPr>
          <w:rFonts w:ascii="Times New Roman" w:hAnsi="Times New Roman"/>
        </w:rPr>
        <w:tab/>
      </w:r>
      <w:r w:rsidR="00C60D5C">
        <w:rPr>
          <w:rFonts w:ascii="Times New Roman" w:hAnsi="Times New Roman"/>
        </w:rPr>
        <w:t>This question does not apply.</w:t>
      </w:r>
      <w:r w:rsidR="00B26DF3" w:rsidRPr="007D53E8">
        <w:rPr>
          <w:rFonts w:ascii="Times New Roman" w:hAnsi="Times New Roman"/>
        </w:rPr>
        <w:br w:type="page"/>
      </w:r>
      <w:r w:rsidR="00B26DF3" w:rsidRPr="007D53E8">
        <w:rPr>
          <w:rFonts w:ascii="Times New Roman" w:hAnsi="Times New Roman"/>
          <w:b/>
        </w:rPr>
        <w:t>Attachment A</w:t>
      </w:r>
    </w:p>
    <w:p w:rsidR="00B26DF3" w:rsidRPr="007D53E8" w:rsidRDefault="005F2AFC" w:rsidP="00B26DF3">
      <w:pPr>
        <w:pStyle w:val="Title"/>
        <w:spacing w:after="240"/>
        <w:rPr>
          <w:sz w:val="24"/>
          <w:szCs w:val="24"/>
        </w:rPr>
      </w:pPr>
      <w:r>
        <w:rPr>
          <w:sz w:val="24"/>
          <w:szCs w:val="24"/>
        </w:rPr>
        <w:t xml:space="preserve">Information Management </w:t>
      </w:r>
      <w:r w:rsidR="00B26DF3" w:rsidRPr="007D53E8">
        <w:rPr>
          <w:sz w:val="24"/>
          <w:szCs w:val="24"/>
        </w:rPr>
        <w:t>Requirements Applicable to</w:t>
      </w:r>
      <w:r w:rsidR="00B26DF3" w:rsidRPr="007D53E8">
        <w:rPr>
          <w:sz w:val="24"/>
          <w:szCs w:val="24"/>
        </w:rPr>
        <w:br/>
      </w:r>
      <w:r w:rsidR="00166C09">
        <w:rPr>
          <w:sz w:val="24"/>
          <w:szCs w:val="24"/>
        </w:rPr>
        <w:t>Derivatives Clearing Organization</w:t>
      </w:r>
      <w:r>
        <w:rPr>
          <w:sz w:val="24"/>
          <w:szCs w:val="24"/>
        </w:rPr>
        <w:t>s</w:t>
      </w:r>
    </w:p>
    <w:p w:rsidR="00B26DF3" w:rsidRPr="007D53E8" w:rsidRDefault="00B26DF3" w:rsidP="0099405B">
      <w:pPr>
        <w:pStyle w:val="Title"/>
        <w:spacing w:after="240"/>
        <w:rPr>
          <w:sz w:val="24"/>
          <w:szCs w:val="24"/>
        </w:rPr>
      </w:pPr>
      <w:r w:rsidRPr="007D53E8">
        <w:rPr>
          <w:sz w:val="24"/>
          <w:szCs w:val="24"/>
        </w:rPr>
        <w:t>OMB Collection File 3038</w:t>
      </w:r>
      <w:r w:rsidR="005F2AFC" w:rsidRPr="007D53E8">
        <w:rPr>
          <w:sz w:val="24"/>
          <w:szCs w:val="24"/>
        </w:rPr>
        <w:t>-</w:t>
      </w:r>
      <w:r w:rsidR="005F2AFC">
        <w:rPr>
          <w:sz w:val="24"/>
          <w:szCs w:val="24"/>
        </w:rPr>
        <w:t>0069</w:t>
      </w:r>
    </w:p>
    <w:p w:rsidR="00F3672F" w:rsidRPr="007D53E8" w:rsidRDefault="00481D80" w:rsidP="007F39B7">
      <w:pPr>
        <w:ind w:firstLine="720"/>
        <w:rPr>
          <w:rFonts w:ascii="Times New Roman" w:hAnsi="Times New Roman"/>
        </w:rPr>
      </w:pPr>
      <w:r w:rsidRPr="007D53E8">
        <w:rPr>
          <w:rFonts w:ascii="Times New Roman" w:hAnsi="Times New Roman"/>
        </w:rPr>
        <w:t xml:space="preserve">The burden associated with rules implementing </w:t>
      </w:r>
      <w:r w:rsidR="00900E2B" w:rsidRPr="007D53E8">
        <w:rPr>
          <w:rFonts w:ascii="Times New Roman" w:hAnsi="Times New Roman"/>
        </w:rPr>
        <w:t>information</w:t>
      </w:r>
      <w:r w:rsidR="00A40C44">
        <w:rPr>
          <w:rFonts w:ascii="Times New Roman" w:hAnsi="Times New Roman"/>
        </w:rPr>
        <w:t xml:space="preserve"> </w:t>
      </w:r>
      <w:r w:rsidR="00900E2B" w:rsidRPr="007D53E8">
        <w:rPr>
          <w:rFonts w:ascii="Times New Roman" w:hAnsi="Times New Roman"/>
        </w:rPr>
        <w:t xml:space="preserve">management </w:t>
      </w:r>
      <w:r w:rsidR="00A40C44">
        <w:rPr>
          <w:rFonts w:ascii="Times New Roman" w:hAnsi="Times New Roman"/>
        </w:rPr>
        <w:t xml:space="preserve">requirements </w:t>
      </w:r>
      <w:r w:rsidR="00900E2B" w:rsidRPr="007D53E8">
        <w:rPr>
          <w:rFonts w:ascii="Times New Roman" w:hAnsi="Times New Roman"/>
        </w:rPr>
        <w:t xml:space="preserve">for derivatives clearing organizations is </w:t>
      </w:r>
      <w:r w:rsidR="00F3672F" w:rsidRPr="007D53E8">
        <w:rPr>
          <w:rFonts w:ascii="Times New Roman" w:hAnsi="Times New Roman"/>
        </w:rPr>
        <w:t>estimated as follows:</w:t>
      </w:r>
    </w:p>
    <w:p w:rsidR="007F39B7" w:rsidRPr="007D53E8" w:rsidRDefault="007F39B7" w:rsidP="007F39B7">
      <w:pPr>
        <w:ind w:firstLine="720"/>
        <w:rPr>
          <w:rFonts w:ascii="Times New Roman" w:hAnsi="Times New Roman"/>
        </w:rPr>
      </w:pPr>
    </w:p>
    <w:p w:rsidR="00E17F36" w:rsidRDefault="00F3672F">
      <w:pPr>
        <w:rPr>
          <w:rFonts w:ascii="Times New Roman" w:hAnsi="Times New Roman"/>
        </w:rPr>
      </w:pPr>
      <w:r w:rsidRPr="007D53E8">
        <w:rPr>
          <w:rFonts w:ascii="Times New Roman" w:hAnsi="Times New Roman"/>
        </w:rPr>
        <w:tab/>
        <w:t>Depending on the expertise of the filer or recordkeeper, the cost to the public of the</w:t>
      </w:r>
      <w:r w:rsidR="008B0D4D">
        <w:rPr>
          <w:rFonts w:ascii="Times New Roman" w:hAnsi="Times New Roman"/>
        </w:rPr>
        <w:t xml:space="preserve"> hou</w:t>
      </w:r>
      <w:r w:rsidR="001D3E3F">
        <w:rPr>
          <w:rFonts w:ascii="Times New Roman" w:hAnsi="Times New Roman"/>
        </w:rPr>
        <w:t>r burdens varies between $</w:t>
      </w:r>
      <w:r w:rsidR="00DB7BED">
        <w:rPr>
          <w:rFonts w:ascii="Times New Roman" w:hAnsi="Times New Roman"/>
        </w:rPr>
        <w:t>46</w:t>
      </w:r>
      <w:r w:rsidR="001D3E3F">
        <w:rPr>
          <w:rFonts w:ascii="Times New Roman" w:hAnsi="Times New Roman"/>
        </w:rPr>
        <w:t xml:space="preserve"> and </w:t>
      </w:r>
      <w:r w:rsidR="008B0D4D">
        <w:rPr>
          <w:rFonts w:ascii="Times New Roman" w:hAnsi="Times New Roman"/>
        </w:rPr>
        <w:t>$1</w:t>
      </w:r>
      <w:r w:rsidR="005F509E">
        <w:rPr>
          <w:rFonts w:ascii="Times New Roman" w:hAnsi="Times New Roman"/>
        </w:rPr>
        <w:t>96</w:t>
      </w:r>
      <w:r w:rsidRPr="007D53E8">
        <w:rPr>
          <w:rFonts w:ascii="Times New Roman" w:hAnsi="Times New Roman"/>
        </w:rPr>
        <w:t xml:space="preserve"> per hour.</w:t>
      </w:r>
    </w:p>
    <w:p w:rsidR="008B0D4D" w:rsidRPr="007D53E8" w:rsidRDefault="008B0D4D">
      <w:pPr>
        <w:rPr>
          <w:rFonts w:ascii="Times New Roman" w:hAnsi="Times New Roman"/>
        </w:rPr>
      </w:pPr>
    </w:p>
    <w:p w:rsidR="008B0D4D" w:rsidRPr="005F509E" w:rsidRDefault="008B0D4D" w:rsidP="008B0D4D">
      <w:pPr>
        <w:rPr>
          <w:b/>
          <w:sz w:val="20"/>
          <w:szCs w:val="20"/>
        </w:rPr>
      </w:pPr>
      <w:r w:rsidRPr="005F509E">
        <w:rPr>
          <w:b/>
          <w:sz w:val="20"/>
          <w:szCs w:val="20"/>
        </w:rPr>
        <w:t>1.   Collection 3038-</w:t>
      </w:r>
      <w:r w:rsidR="005F2AFC" w:rsidRPr="005F509E">
        <w:rPr>
          <w:b/>
          <w:sz w:val="20"/>
          <w:szCs w:val="20"/>
        </w:rPr>
        <w:t xml:space="preserve">0069 </w:t>
      </w:r>
      <w:r w:rsidRPr="005F509E">
        <w:rPr>
          <w:b/>
          <w:sz w:val="20"/>
          <w:szCs w:val="20"/>
        </w:rPr>
        <w:t>– Daily Reporting Requirements for Derivatives Clearing Organizations</w:t>
      </w:r>
    </w:p>
    <w:p w:rsidR="008B0D4D" w:rsidRPr="005F509E" w:rsidRDefault="008B0D4D" w:rsidP="008B0D4D">
      <w:pPr>
        <w:rPr>
          <w:sz w:val="20"/>
          <w:szCs w:val="20"/>
        </w:rPr>
      </w:pPr>
    </w:p>
    <w:tbl>
      <w:tblPr>
        <w:tblW w:w="8458" w:type="dxa"/>
        <w:jc w:val="center"/>
        <w:tblInd w:w="-181" w:type="dxa"/>
        <w:tblLook w:val="04A0" w:firstRow="1" w:lastRow="0" w:firstColumn="1" w:lastColumn="0" w:noHBand="0" w:noVBand="1"/>
      </w:tblPr>
      <w:tblGrid>
        <w:gridCol w:w="1812"/>
        <w:gridCol w:w="1137"/>
        <w:gridCol w:w="1417"/>
        <w:gridCol w:w="1297"/>
        <w:gridCol w:w="1284"/>
        <w:gridCol w:w="1511"/>
      </w:tblGrid>
      <w:tr w:rsidR="00945950" w:rsidRPr="005F509E" w:rsidTr="00945950">
        <w:trPr>
          <w:trHeight w:val="2068"/>
          <w:jc w:val="center"/>
        </w:trPr>
        <w:tc>
          <w:tcPr>
            <w:tcW w:w="1812" w:type="dxa"/>
            <w:tcBorders>
              <w:top w:val="single" w:sz="8" w:space="0" w:color="auto"/>
              <w:left w:val="single" w:sz="4" w:space="0" w:color="auto"/>
              <w:bottom w:val="single" w:sz="8" w:space="0" w:color="auto"/>
              <w:right w:val="single" w:sz="8" w:space="0" w:color="auto"/>
            </w:tcBorders>
            <w:shd w:val="clear" w:color="auto" w:fill="auto"/>
            <w:hideMark/>
          </w:tcPr>
          <w:p w:rsidR="00945950" w:rsidRPr="005F509E" w:rsidRDefault="00945950" w:rsidP="008B0D4D">
            <w:pPr>
              <w:rPr>
                <w:color w:val="000000"/>
                <w:sz w:val="20"/>
                <w:szCs w:val="20"/>
              </w:rPr>
            </w:pPr>
            <w:r w:rsidRPr="005F509E">
              <w:rPr>
                <w:color w:val="000000"/>
                <w:sz w:val="20"/>
                <w:szCs w:val="20"/>
              </w:rPr>
              <w:t xml:space="preserve">Estimated # of Respondents Per Year </w:t>
            </w:r>
          </w:p>
        </w:tc>
        <w:tc>
          <w:tcPr>
            <w:tcW w:w="1137" w:type="dxa"/>
            <w:tcBorders>
              <w:top w:val="single" w:sz="8" w:space="0" w:color="auto"/>
              <w:left w:val="nil"/>
              <w:bottom w:val="single" w:sz="8" w:space="0" w:color="auto"/>
              <w:right w:val="single" w:sz="8" w:space="0" w:color="auto"/>
            </w:tcBorders>
            <w:shd w:val="clear" w:color="auto" w:fill="auto"/>
            <w:hideMark/>
          </w:tcPr>
          <w:p w:rsidR="00945950" w:rsidRPr="005F509E" w:rsidRDefault="00945950" w:rsidP="008B0D4D">
            <w:pPr>
              <w:rPr>
                <w:color w:val="000000"/>
                <w:sz w:val="20"/>
                <w:szCs w:val="20"/>
              </w:rPr>
            </w:pPr>
            <w:r w:rsidRPr="005F509E">
              <w:rPr>
                <w:color w:val="000000"/>
                <w:sz w:val="20"/>
                <w:szCs w:val="20"/>
              </w:rPr>
              <w:t xml:space="preserve">Reports Annually by Each </w:t>
            </w:r>
          </w:p>
        </w:tc>
        <w:tc>
          <w:tcPr>
            <w:tcW w:w="1417" w:type="dxa"/>
            <w:tcBorders>
              <w:top w:val="single" w:sz="8" w:space="0" w:color="auto"/>
              <w:left w:val="nil"/>
              <w:bottom w:val="single" w:sz="8" w:space="0" w:color="auto"/>
              <w:right w:val="single" w:sz="8" w:space="0" w:color="auto"/>
            </w:tcBorders>
            <w:shd w:val="clear" w:color="auto" w:fill="auto"/>
            <w:hideMark/>
          </w:tcPr>
          <w:p w:rsidR="00945950" w:rsidRPr="005F509E" w:rsidRDefault="00945950" w:rsidP="005F509E">
            <w:pPr>
              <w:rPr>
                <w:color w:val="000000"/>
                <w:sz w:val="20"/>
                <w:szCs w:val="20"/>
              </w:rPr>
            </w:pPr>
            <w:r w:rsidRPr="005F509E">
              <w:rPr>
                <w:color w:val="000000"/>
                <w:sz w:val="20"/>
                <w:szCs w:val="20"/>
              </w:rPr>
              <w:t>Total Annual Responses</w:t>
            </w:r>
          </w:p>
        </w:tc>
        <w:tc>
          <w:tcPr>
            <w:tcW w:w="1297" w:type="dxa"/>
            <w:tcBorders>
              <w:top w:val="single" w:sz="8" w:space="0" w:color="auto"/>
              <w:left w:val="nil"/>
              <w:bottom w:val="single" w:sz="8" w:space="0" w:color="auto"/>
              <w:right w:val="single" w:sz="8" w:space="0" w:color="auto"/>
            </w:tcBorders>
            <w:shd w:val="clear" w:color="auto" w:fill="auto"/>
            <w:hideMark/>
          </w:tcPr>
          <w:p w:rsidR="00945950" w:rsidRPr="005F509E" w:rsidRDefault="00945950" w:rsidP="005F509E">
            <w:pPr>
              <w:rPr>
                <w:color w:val="000000"/>
                <w:sz w:val="20"/>
                <w:szCs w:val="20"/>
              </w:rPr>
            </w:pPr>
            <w:r w:rsidRPr="005F509E">
              <w:rPr>
                <w:color w:val="000000"/>
                <w:sz w:val="20"/>
                <w:szCs w:val="20"/>
              </w:rPr>
              <w:t>Estimated Average Number of Hours Per Response</w:t>
            </w:r>
          </w:p>
        </w:tc>
        <w:tc>
          <w:tcPr>
            <w:tcW w:w="1284" w:type="dxa"/>
            <w:tcBorders>
              <w:top w:val="single" w:sz="8" w:space="0" w:color="auto"/>
              <w:left w:val="nil"/>
              <w:bottom w:val="single" w:sz="8" w:space="0" w:color="auto"/>
              <w:right w:val="single" w:sz="8" w:space="0" w:color="auto"/>
            </w:tcBorders>
            <w:shd w:val="clear" w:color="auto" w:fill="auto"/>
            <w:hideMark/>
          </w:tcPr>
          <w:p w:rsidR="00945950" w:rsidRPr="005F509E" w:rsidRDefault="00945950" w:rsidP="005F509E">
            <w:pPr>
              <w:rPr>
                <w:color w:val="000000"/>
                <w:sz w:val="20"/>
                <w:szCs w:val="20"/>
              </w:rPr>
            </w:pPr>
            <w:r w:rsidRPr="005F509E">
              <w:rPr>
                <w:color w:val="000000"/>
                <w:sz w:val="20"/>
                <w:szCs w:val="20"/>
              </w:rPr>
              <w:t>Estimated Total Number of Hours of Annual Burden in Fiscal Year</w:t>
            </w:r>
          </w:p>
        </w:tc>
        <w:tc>
          <w:tcPr>
            <w:tcW w:w="1511" w:type="dxa"/>
            <w:tcBorders>
              <w:top w:val="single" w:sz="8" w:space="0" w:color="auto"/>
              <w:left w:val="nil"/>
              <w:bottom w:val="single" w:sz="8" w:space="0" w:color="auto"/>
              <w:right w:val="single" w:sz="8" w:space="0" w:color="auto"/>
            </w:tcBorders>
            <w:shd w:val="clear" w:color="auto" w:fill="auto"/>
            <w:hideMark/>
          </w:tcPr>
          <w:p w:rsidR="00945950" w:rsidRPr="005F509E" w:rsidRDefault="00945950" w:rsidP="005F509E">
            <w:pPr>
              <w:rPr>
                <w:color w:val="000000"/>
                <w:sz w:val="20"/>
                <w:szCs w:val="20"/>
              </w:rPr>
            </w:pPr>
            <w:r w:rsidRPr="005F509E">
              <w:rPr>
                <w:color w:val="000000"/>
                <w:sz w:val="20"/>
                <w:szCs w:val="20"/>
              </w:rPr>
              <w:t>Estimated Annual Cost Per Respondent*</w:t>
            </w:r>
          </w:p>
        </w:tc>
      </w:tr>
      <w:tr w:rsidR="00945950" w:rsidRPr="005F509E" w:rsidTr="00945950">
        <w:trPr>
          <w:trHeight w:val="324"/>
          <w:jc w:val="center"/>
        </w:trPr>
        <w:tc>
          <w:tcPr>
            <w:tcW w:w="1812" w:type="dxa"/>
            <w:tcBorders>
              <w:top w:val="single" w:sz="8" w:space="0" w:color="auto"/>
              <w:left w:val="single" w:sz="4" w:space="0" w:color="auto"/>
              <w:bottom w:val="single" w:sz="8" w:space="0" w:color="auto"/>
              <w:right w:val="single" w:sz="8" w:space="0" w:color="auto"/>
            </w:tcBorders>
            <w:shd w:val="clear" w:color="auto" w:fill="auto"/>
            <w:hideMark/>
          </w:tcPr>
          <w:p w:rsidR="00945950" w:rsidRPr="005F509E" w:rsidRDefault="00945950" w:rsidP="001D3E3F">
            <w:pPr>
              <w:jc w:val="right"/>
              <w:rPr>
                <w:color w:val="000000"/>
                <w:sz w:val="20"/>
                <w:szCs w:val="20"/>
              </w:rPr>
            </w:pPr>
            <w:r w:rsidRPr="005F509E">
              <w:rPr>
                <w:color w:val="000000"/>
                <w:sz w:val="20"/>
                <w:szCs w:val="20"/>
              </w:rPr>
              <w:t>16</w:t>
            </w:r>
          </w:p>
        </w:tc>
        <w:tc>
          <w:tcPr>
            <w:tcW w:w="1137" w:type="dxa"/>
            <w:tcBorders>
              <w:top w:val="nil"/>
              <w:left w:val="nil"/>
              <w:bottom w:val="single" w:sz="8" w:space="0" w:color="auto"/>
              <w:right w:val="single" w:sz="8" w:space="0" w:color="auto"/>
            </w:tcBorders>
            <w:shd w:val="clear" w:color="auto" w:fill="auto"/>
            <w:hideMark/>
          </w:tcPr>
          <w:p w:rsidR="00945950" w:rsidRPr="005F509E" w:rsidRDefault="00945950" w:rsidP="008B0D4D">
            <w:pPr>
              <w:jc w:val="right"/>
              <w:rPr>
                <w:color w:val="000000"/>
                <w:sz w:val="20"/>
                <w:szCs w:val="20"/>
              </w:rPr>
            </w:pPr>
            <w:r w:rsidRPr="005F509E">
              <w:rPr>
                <w:color w:val="000000"/>
                <w:sz w:val="20"/>
                <w:szCs w:val="20"/>
              </w:rPr>
              <w:t>250</w:t>
            </w:r>
            <w:r>
              <w:rPr>
                <w:rStyle w:val="FootnoteReference"/>
                <w:color w:val="000000"/>
                <w:sz w:val="20"/>
                <w:szCs w:val="20"/>
              </w:rPr>
              <w:footnoteReference w:id="6"/>
            </w:r>
          </w:p>
        </w:tc>
        <w:tc>
          <w:tcPr>
            <w:tcW w:w="1417" w:type="dxa"/>
            <w:tcBorders>
              <w:top w:val="nil"/>
              <w:left w:val="nil"/>
              <w:bottom w:val="single" w:sz="8" w:space="0" w:color="auto"/>
              <w:right w:val="single" w:sz="8" w:space="0" w:color="auto"/>
            </w:tcBorders>
            <w:shd w:val="clear" w:color="auto" w:fill="auto"/>
            <w:hideMark/>
          </w:tcPr>
          <w:p w:rsidR="00945950" w:rsidRPr="005F509E" w:rsidRDefault="00945950" w:rsidP="008B0D4D">
            <w:pPr>
              <w:jc w:val="right"/>
              <w:rPr>
                <w:color w:val="000000"/>
                <w:sz w:val="20"/>
                <w:szCs w:val="20"/>
              </w:rPr>
            </w:pPr>
            <w:r w:rsidRPr="005F509E">
              <w:rPr>
                <w:color w:val="000000"/>
                <w:sz w:val="20"/>
                <w:szCs w:val="20"/>
              </w:rPr>
              <w:t>4000</w:t>
            </w:r>
          </w:p>
        </w:tc>
        <w:tc>
          <w:tcPr>
            <w:tcW w:w="1297" w:type="dxa"/>
            <w:tcBorders>
              <w:top w:val="nil"/>
              <w:left w:val="nil"/>
              <w:bottom w:val="single" w:sz="8" w:space="0" w:color="auto"/>
              <w:right w:val="single" w:sz="8" w:space="0" w:color="auto"/>
            </w:tcBorders>
            <w:shd w:val="clear" w:color="auto" w:fill="auto"/>
            <w:hideMark/>
          </w:tcPr>
          <w:p w:rsidR="00945950" w:rsidRPr="005F509E" w:rsidRDefault="00945950" w:rsidP="008B0D4D">
            <w:pPr>
              <w:jc w:val="right"/>
              <w:rPr>
                <w:color w:val="000000"/>
                <w:sz w:val="20"/>
                <w:szCs w:val="20"/>
              </w:rPr>
            </w:pPr>
            <w:r w:rsidRPr="005F509E">
              <w:rPr>
                <w:color w:val="000000"/>
                <w:sz w:val="20"/>
                <w:szCs w:val="20"/>
              </w:rPr>
              <w:t>0.1</w:t>
            </w:r>
          </w:p>
        </w:tc>
        <w:tc>
          <w:tcPr>
            <w:tcW w:w="1284" w:type="dxa"/>
            <w:tcBorders>
              <w:top w:val="nil"/>
              <w:left w:val="nil"/>
              <w:bottom w:val="single" w:sz="8" w:space="0" w:color="auto"/>
              <w:right w:val="single" w:sz="8" w:space="0" w:color="auto"/>
            </w:tcBorders>
            <w:shd w:val="clear" w:color="auto" w:fill="auto"/>
            <w:hideMark/>
          </w:tcPr>
          <w:p w:rsidR="00945950" w:rsidRPr="005F509E" w:rsidRDefault="00945950" w:rsidP="00DB7BED">
            <w:pPr>
              <w:jc w:val="right"/>
              <w:rPr>
                <w:color w:val="000000"/>
                <w:sz w:val="20"/>
                <w:szCs w:val="20"/>
              </w:rPr>
            </w:pPr>
            <w:r w:rsidRPr="005F509E">
              <w:rPr>
                <w:color w:val="000000"/>
                <w:sz w:val="20"/>
                <w:szCs w:val="20"/>
              </w:rPr>
              <w:t>400</w:t>
            </w:r>
          </w:p>
        </w:tc>
        <w:tc>
          <w:tcPr>
            <w:tcW w:w="1511" w:type="dxa"/>
            <w:tcBorders>
              <w:top w:val="nil"/>
              <w:left w:val="nil"/>
              <w:bottom w:val="single" w:sz="8" w:space="0" w:color="auto"/>
              <w:right w:val="single" w:sz="8" w:space="0" w:color="auto"/>
            </w:tcBorders>
            <w:shd w:val="clear" w:color="auto" w:fill="auto"/>
            <w:hideMark/>
          </w:tcPr>
          <w:p w:rsidR="00945950" w:rsidRPr="005F509E" w:rsidRDefault="00945950" w:rsidP="00DB7BED">
            <w:pPr>
              <w:jc w:val="right"/>
              <w:rPr>
                <w:color w:val="000000"/>
                <w:sz w:val="20"/>
                <w:szCs w:val="20"/>
              </w:rPr>
            </w:pPr>
            <w:r w:rsidRPr="005F509E">
              <w:rPr>
                <w:color w:val="000000"/>
                <w:sz w:val="20"/>
                <w:szCs w:val="20"/>
              </w:rPr>
              <w:t>$1,</w:t>
            </w:r>
            <w:r>
              <w:rPr>
                <w:color w:val="000000"/>
                <w:sz w:val="20"/>
                <w:szCs w:val="20"/>
              </w:rPr>
              <w:t>15</w:t>
            </w:r>
            <w:r w:rsidRPr="005F509E">
              <w:rPr>
                <w:color w:val="000000"/>
                <w:sz w:val="20"/>
                <w:szCs w:val="20"/>
              </w:rPr>
              <w:t>0</w:t>
            </w:r>
            <w:r>
              <w:rPr>
                <w:rStyle w:val="FootnoteReference"/>
                <w:color w:val="000000"/>
                <w:sz w:val="20"/>
                <w:szCs w:val="20"/>
              </w:rPr>
              <w:footnoteReference w:id="7"/>
            </w:r>
            <w:r w:rsidRPr="005F509E">
              <w:rPr>
                <w:color w:val="000000"/>
                <w:sz w:val="20"/>
                <w:szCs w:val="20"/>
              </w:rPr>
              <w:t xml:space="preserve"> </w:t>
            </w:r>
          </w:p>
        </w:tc>
      </w:tr>
    </w:tbl>
    <w:p w:rsidR="008B0D4D" w:rsidRPr="005F509E" w:rsidRDefault="008B0D4D" w:rsidP="005F509E">
      <w:pPr>
        <w:rPr>
          <w:sz w:val="20"/>
          <w:szCs w:val="20"/>
        </w:rPr>
      </w:pPr>
    </w:p>
    <w:p w:rsidR="005F509E" w:rsidRDefault="00166C09" w:rsidP="008B0D4D">
      <w:pPr>
        <w:rPr>
          <w:sz w:val="20"/>
          <w:szCs w:val="20"/>
        </w:rPr>
      </w:pPr>
      <w:r w:rsidRPr="005F509E">
        <w:rPr>
          <w:sz w:val="20"/>
          <w:szCs w:val="20"/>
        </w:rPr>
        <w:t xml:space="preserve"> </w:t>
      </w:r>
      <w:r w:rsidR="00DB7BED">
        <w:rPr>
          <w:sz w:val="20"/>
          <w:szCs w:val="20"/>
        </w:rPr>
        <w:t xml:space="preserve">  </w:t>
      </w:r>
      <w:r w:rsidR="001D3E3F" w:rsidRPr="005F509E">
        <w:rPr>
          <w:sz w:val="20"/>
          <w:szCs w:val="20"/>
        </w:rPr>
        <w:t xml:space="preserve">  </w:t>
      </w:r>
    </w:p>
    <w:p w:rsidR="008B0D4D" w:rsidRPr="005F509E" w:rsidRDefault="008B0D4D" w:rsidP="008B0D4D">
      <w:pPr>
        <w:rPr>
          <w:b/>
          <w:sz w:val="20"/>
          <w:szCs w:val="20"/>
        </w:rPr>
      </w:pPr>
      <w:r w:rsidRPr="005F509E">
        <w:rPr>
          <w:b/>
          <w:sz w:val="20"/>
          <w:szCs w:val="20"/>
        </w:rPr>
        <w:t>2.   Collection 3038-</w:t>
      </w:r>
      <w:r w:rsidR="005F2AFC" w:rsidRPr="005F509E">
        <w:rPr>
          <w:b/>
          <w:sz w:val="20"/>
          <w:szCs w:val="20"/>
        </w:rPr>
        <w:t xml:space="preserve">0069 </w:t>
      </w:r>
      <w:r w:rsidRPr="005F509E">
        <w:rPr>
          <w:b/>
          <w:sz w:val="20"/>
          <w:szCs w:val="20"/>
        </w:rPr>
        <w:t>– Annual Reporting Requirements for Derivatives Clearing Organizations</w:t>
      </w:r>
    </w:p>
    <w:p w:rsidR="005F509E" w:rsidRPr="005F509E" w:rsidRDefault="005F509E" w:rsidP="008B0D4D">
      <w:pPr>
        <w:rPr>
          <w:sz w:val="20"/>
          <w:szCs w:val="20"/>
        </w:rPr>
      </w:pPr>
    </w:p>
    <w:tbl>
      <w:tblPr>
        <w:tblW w:w="8550" w:type="dxa"/>
        <w:jc w:val="center"/>
        <w:tblLook w:val="04A0" w:firstRow="1" w:lastRow="0" w:firstColumn="1" w:lastColumn="0" w:noHBand="0" w:noVBand="1"/>
      </w:tblPr>
      <w:tblGrid>
        <w:gridCol w:w="1631"/>
        <w:gridCol w:w="1137"/>
        <w:gridCol w:w="1417"/>
        <w:gridCol w:w="1424"/>
        <w:gridCol w:w="1462"/>
        <w:gridCol w:w="1479"/>
      </w:tblGrid>
      <w:tr w:rsidR="008B0D4D" w:rsidRPr="005F509E" w:rsidTr="00945950">
        <w:trPr>
          <w:cantSplit/>
          <w:trHeight w:val="1501"/>
          <w:jc w:val="center"/>
        </w:trPr>
        <w:tc>
          <w:tcPr>
            <w:tcW w:w="1631" w:type="dxa"/>
            <w:tcBorders>
              <w:top w:val="single" w:sz="8" w:space="0" w:color="auto"/>
              <w:left w:val="single" w:sz="8" w:space="0" w:color="auto"/>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 of Respondents Per Year </w:t>
            </w:r>
          </w:p>
        </w:tc>
        <w:tc>
          <w:tcPr>
            <w:tcW w:w="1137"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Reports Annually by Each </w:t>
            </w:r>
          </w:p>
        </w:tc>
        <w:tc>
          <w:tcPr>
            <w:tcW w:w="1417"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Total Annual Responses </w:t>
            </w:r>
          </w:p>
        </w:tc>
        <w:tc>
          <w:tcPr>
            <w:tcW w:w="1424"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Average Number of Hours Per Response </w:t>
            </w:r>
          </w:p>
        </w:tc>
        <w:tc>
          <w:tcPr>
            <w:tcW w:w="1462"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Total Number of Hours of Annual Burden in Fiscal Year </w:t>
            </w:r>
          </w:p>
        </w:tc>
        <w:tc>
          <w:tcPr>
            <w:tcW w:w="1479"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Estimated Annual Cost Per Respondent</w:t>
            </w:r>
          </w:p>
        </w:tc>
      </w:tr>
      <w:tr w:rsidR="008B0D4D" w:rsidRPr="005F509E" w:rsidTr="00945950">
        <w:trPr>
          <w:cantSplit/>
          <w:trHeight w:val="324"/>
          <w:jc w:val="center"/>
        </w:trPr>
        <w:tc>
          <w:tcPr>
            <w:tcW w:w="1631" w:type="dxa"/>
            <w:tcBorders>
              <w:top w:val="nil"/>
              <w:left w:val="single" w:sz="8" w:space="0" w:color="auto"/>
              <w:bottom w:val="single" w:sz="4" w:space="0" w:color="auto"/>
              <w:right w:val="single" w:sz="8" w:space="0" w:color="auto"/>
            </w:tcBorders>
            <w:shd w:val="clear" w:color="auto" w:fill="auto"/>
            <w:hideMark/>
          </w:tcPr>
          <w:p w:rsidR="008B0D4D" w:rsidRPr="005F509E" w:rsidRDefault="00545EF6" w:rsidP="008B0D4D">
            <w:pPr>
              <w:jc w:val="right"/>
              <w:rPr>
                <w:color w:val="000000"/>
                <w:sz w:val="20"/>
                <w:szCs w:val="20"/>
              </w:rPr>
            </w:pPr>
            <w:r>
              <w:rPr>
                <w:color w:val="000000"/>
                <w:sz w:val="20"/>
                <w:szCs w:val="20"/>
              </w:rPr>
              <w:t>1</w:t>
            </w:r>
            <w:r w:rsidR="00A64922" w:rsidRPr="005F509E">
              <w:rPr>
                <w:color w:val="000000"/>
                <w:sz w:val="20"/>
                <w:szCs w:val="20"/>
              </w:rPr>
              <w:t>6</w:t>
            </w:r>
          </w:p>
        </w:tc>
        <w:tc>
          <w:tcPr>
            <w:tcW w:w="1137" w:type="dxa"/>
            <w:tcBorders>
              <w:top w:val="nil"/>
              <w:left w:val="nil"/>
              <w:bottom w:val="single" w:sz="4"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1</w:t>
            </w:r>
          </w:p>
        </w:tc>
        <w:tc>
          <w:tcPr>
            <w:tcW w:w="1417" w:type="dxa"/>
            <w:tcBorders>
              <w:top w:val="nil"/>
              <w:left w:val="nil"/>
              <w:bottom w:val="single" w:sz="4" w:space="0" w:color="auto"/>
              <w:right w:val="single" w:sz="8" w:space="0" w:color="auto"/>
            </w:tcBorders>
            <w:shd w:val="clear" w:color="auto" w:fill="auto"/>
            <w:hideMark/>
          </w:tcPr>
          <w:p w:rsidR="008B0D4D" w:rsidRPr="005F509E" w:rsidRDefault="008B0D4D" w:rsidP="005F2AFC">
            <w:pPr>
              <w:jc w:val="right"/>
              <w:rPr>
                <w:color w:val="000000"/>
                <w:sz w:val="20"/>
                <w:szCs w:val="20"/>
              </w:rPr>
            </w:pPr>
            <w:r w:rsidRPr="005F509E">
              <w:rPr>
                <w:color w:val="000000"/>
                <w:sz w:val="20"/>
                <w:szCs w:val="20"/>
              </w:rPr>
              <w:t>1</w:t>
            </w:r>
            <w:r w:rsidR="00A64922" w:rsidRPr="005F509E">
              <w:rPr>
                <w:color w:val="000000"/>
                <w:sz w:val="20"/>
                <w:szCs w:val="20"/>
              </w:rPr>
              <w:t>6</w:t>
            </w:r>
          </w:p>
        </w:tc>
        <w:tc>
          <w:tcPr>
            <w:tcW w:w="1424" w:type="dxa"/>
            <w:tcBorders>
              <w:top w:val="nil"/>
              <w:left w:val="nil"/>
              <w:bottom w:val="single" w:sz="4" w:space="0" w:color="auto"/>
              <w:right w:val="single" w:sz="8" w:space="0" w:color="auto"/>
            </w:tcBorders>
            <w:shd w:val="clear" w:color="auto" w:fill="auto"/>
            <w:hideMark/>
          </w:tcPr>
          <w:p w:rsidR="008B0D4D" w:rsidRPr="005F509E" w:rsidRDefault="00166C09" w:rsidP="008B0D4D">
            <w:pPr>
              <w:jc w:val="right"/>
              <w:rPr>
                <w:color w:val="000000"/>
                <w:sz w:val="20"/>
                <w:szCs w:val="20"/>
              </w:rPr>
            </w:pPr>
            <w:r w:rsidRPr="005F509E">
              <w:rPr>
                <w:color w:val="000000"/>
                <w:sz w:val="20"/>
                <w:szCs w:val="20"/>
              </w:rPr>
              <w:t>2606</w:t>
            </w:r>
          </w:p>
        </w:tc>
        <w:tc>
          <w:tcPr>
            <w:tcW w:w="1462" w:type="dxa"/>
            <w:tcBorders>
              <w:top w:val="nil"/>
              <w:left w:val="nil"/>
              <w:bottom w:val="single" w:sz="4" w:space="0" w:color="auto"/>
              <w:right w:val="single" w:sz="8" w:space="0" w:color="auto"/>
            </w:tcBorders>
            <w:shd w:val="clear" w:color="auto" w:fill="auto"/>
            <w:hideMark/>
          </w:tcPr>
          <w:p w:rsidR="008B0D4D" w:rsidRPr="005F509E" w:rsidRDefault="00A64922" w:rsidP="000A1972">
            <w:pPr>
              <w:jc w:val="right"/>
              <w:rPr>
                <w:color w:val="000000"/>
                <w:sz w:val="20"/>
                <w:szCs w:val="20"/>
              </w:rPr>
            </w:pPr>
            <w:r w:rsidRPr="005F509E">
              <w:rPr>
                <w:color w:val="000000"/>
                <w:sz w:val="20"/>
                <w:szCs w:val="20"/>
              </w:rPr>
              <w:t>4</w:t>
            </w:r>
            <w:r w:rsidR="000A1972">
              <w:rPr>
                <w:color w:val="000000"/>
                <w:sz w:val="20"/>
                <w:szCs w:val="20"/>
              </w:rPr>
              <w:t>1</w:t>
            </w:r>
            <w:r w:rsidRPr="005F509E">
              <w:rPr>
                <w:color w:val="000000"/>
                <w:sz w:val="20"/>
                <w:szCs w:val="20"/>
              </w:rPr>
              <w:t>,</w:t>
            </w:r>
            <w:r w:rsidR="000A1972">
              <w:rPr>
                <w:color w:val="000000"/>
                <w:sz w:val="20"/>
                <w:szCs w:val="20"/>
              </w:rPr>
              <w:t>69</w:t>
            </w:r>
            <w:r w:rsidRPr="005F509E">
              <w:rPr>
                <w:color w:val="000000"/>
                <w:sz w:val="20"/>
                <w:szCs w:val="20"/>
              </w:rPr>
              <w:t>6</w:t>
            </w:r>
          </w:p>
        </w:tc>
        <w:tc>
          <w:tcPr>
            <w:tcW w:w="1479" w:type="dxa"/>
            <w:tcBorders>
              <w:top w:val="nil"/>
              <w:left w:val="nil"/>
              <w:bottom w:val="single" w:sz="4" w:space="0" w:color="auto"/>
              <w:right w:val="single" w:sz="8" w:space="0" w:color="auto"/>
            </w:tcBorders>
            <w:shd w:val="clear" w:color="auto" w:fill="auto"/>
            <w:hideMark/>
          </w:tcPr>
          <w:p w:rsidR="008B0D4D" w:rsidRPr="005F509E" w:rsidRDefault="00166C09" w:rsidP="000A1972">
            <w:pPr>
              <w:jc w:val="right"/>
              <w:rPr>
                <w:color w:val="000000"/>
                <w:sz w:val="20"/>
                <w:szCs w:val="20"/>
              </w:rPr>
            </w:pPr>
            <w:r w:rsidRPr="005F509E">
              <w:rPr>
                <w:color w:val="000000"/>
                <w:sz w:val="20"/>
                <w:szCs w:val="20"/>
              </w:rPr>
              <w:t>$</w:t>
            </w:r>
            <w:r w:rsidR="005F509E" w:rsidRPr="005F509E">
              <w:rPr>
                <w:color w:val="000000"/>
                <w:sz w:val="20"/>
                <w:szCs w:val="20"/>
              </w:rPr>
              <w:t>51</w:t>
            </w:r>
            <w:r w:rsidR="000A1972">
              <w:rPr>
                <w:color w:val="000000"/>
                <w:sz w:val="20"/>
                <w:szCs w:val="20"/>
              </w:rPr>
              <w:t>0</w:t>
            </w:r>
            <w:r w:rsidRPr="005F509E">
              <w:rPr>
                <w:color w:val="000000"/>
                <w:sz w:val="20"/>
                <w:szCs w:val="20"/>
              </w:rPr>
              <w:t>,</w:t>
            </w:r>
            <w:r w:rsidR="000A1972">
              <w:rPr>
                <w:color w:val="000000"/>
                <w:sz w:val="20"/>
                <w:szCs w:val="20"/>
              </w:rPr>
              <w:t>77</w:t>
            </w:r>
            <w:r w:rsidR="005F509E" w:rsidRPr="005F509E">
              <w:rPr>
                <w:color w:val="000000"/>
                <w:sz w:val="20"/>
                <w:szCs w:val="20"/>
              </w:rPr>
              <w:t>6</w:t>
            </w:r>
            <w:r w:rsidR="00DB7BED">
              <w:rPr>
                <w:rStyle w:val="FootnoteReference"/>
                <w:color w:val="000000"/>
                <w:sz w:val="20"/>
                <w:szCs w:val="20"/>
              </w:rPr>
              <w:footnoteReference w:id="8"/>
            </w:r>
          </w:p>
        </w:tc>
      </w:tr>
    </w:tbl>
    <w:p w:rsidR="008B0D4D" w:rsidRPr="005F509E" w:rsidRDefault="008B0D4D" w:rsidP="008B0D4D">
      <w:pPr>
        <w:rPr>
          <w:b/>
          <w:sz w:val="20"/>
          <w:szCs w:val="20"/>
        </w:rPr>
      </w:pPr>
      <w:r w:rsidRPr="005F509E">
        <w:rPr>
          <w:b/>
          <w:sz w:val="20"/>
          <w:szCs w:val="20"/>
        </w:rPr>
        <w:t>3.   Collection 3038-</w:t>
      </w:r>
      <w:r w:rsidR="005F509E">
        <w:rPr>
          <w:b/>
          <w:sz w:val="20"/>
          <w:szCs w:val="20"/>
        </w:rPr>
        <w:t>0069</w:t>
      </w:r>
      <w:r w:rsidRPr="005F509E">
        <w:rPr>
          <w:b/>
          <w:sz w:val="20"/>
          <w:szCs w:val="20"/>
        </w:rPr>
        <w:t xml:space="preserve"> – Event-Specific Reporting Requirements for Derivatives Clearing Organizations</w:t>
      </w:r>
    </w:p>
    <w:p w:rsidR="008B0D4D" w:rsidRPr="005F509E" w:rsidRDefault="008B0D4D" w:rsidP="008B0D4D">
      <w:pPr>
        <w:rPr>
          <w:sz w:val="20"/>
          <w:szCs w:val="20"/>
        </w:rPr>
      </w:pPr>
    </w:p>
    <w:tbl>
      <w:tblPr>
        <w:tblW w:w="8640" w:type="dxa"/>
        <w:jc w:val="center"/>
        <w:tblInd w:w="96" w:type="dxa"/>
        <w:tblLook w:val="04A0" w:firstRow="1" w:lastRow="0" w:firstColumn="1" w:lastColumn="0" w:noHBand="0" w:noVBand="1"/>
      </w:tblPr>
      <w:tblGrid>
        <w:gridCol w:w="1651"/>
        <w:gridCol w:w="1151"/>
        <w:gridCol w:w="1434"/>
        <w:gridCol w:w="1458"/>
        <w:gridCol w:w="1417"/>
        <w:gridCol w:w="1529"/>
      </w:tblGrid>
      <w:tr w:rsidR="008B0D4D" w:rsidRPr="005F509E" w:rsidTr="005F509E">
        <w:trPr>
          <w:trHeight w:val="2221"/>
          <w:jc w:val="center"/>
        </w:trPr>
        <w:tc>
          <w:tcPr>
            <w:tcW w:w="1651" w:type="dxa"/>
            <w:tcBorders>
              <w:top w:val="single" w:sz="8" w:space="0" w:color="auto"/>
              <w:left w:val="single" w:sz="8" w:space="0" w:color="auto"/>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 of Respondents Per Year </w:t>
            </w:r>
          </w:p>
        </w:tc>
        <w:tc>
          <w:tcPr>
            <w:tcW w:w="1151"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Reports Annually by Each </w:t>
            </w:r>
          </w:p>
        </w:tc>
        <w:tc>
          <w:tcPr>
            <w:tcW w:w="1434"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Total Annual Responses </w:t>
            </w:r>
          </w:p>
        </w:tc>
        <w:tc>
          <w:tcPr>
            <w:tcW w:w="1458"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Average Number of Hours Per Response </w:t>
            </w:r>
          </w:p>
        </w:tc>
        <w:tc>
          <w:tcPr>
            <w:tcW w:w="1417"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Total Number of Hours of Annual Burden in Fiscal Year </w:t>
            </w:r>
          </w:p>
        </w:tc>
        <w:tc>
          <w:tcPr>
            <w:tcW w:w="1529"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Estimated Annual Cost Per Respondent</w:t>
            </w:r>
          </w:p>
        </w:tc>
      </w:tr>
      <w:tr w:rsidR="008B0D4D" w:rsidRPr="005F509E" w:rsidTr="00166C09">
        <w:trPr>
          <w:trHeight w:val="324"/>
          <w:jc w:val="center"/>
        </w:trPr>
        <w:tc>
          <w:tcPr>
            <w:tcW w:w="1651" w:type="dxa"/>
            <w:tcBorders>
              <w:top w:val="nil"/>
              <w:left w:val="single" w:sz="8" w:space="0" w:color="auto"/>
              <w:bottom w:val="single" w:sz="8" w:space="0" w:color="auto"/>
              <w:right w:val="single" w:sz="8" w:space="0" w:color="auto"/>
            </w:tcBorders>
            <w:shd w:val="clear" w:color="auto" w:fill="auto"/>
            <w:hideMark/>
          </w:tcPr>
          <w:p w:rsidR="008B0D4D" w:rsidRPr="005F509E" w:rsidRDefault="008B0D4D" w:rsidP="00DF0627">
            <w:pPr>
              <w:jc w:val="right"/>
              <w:rPr>
                <w:color w:val="000000"/>
                <w:sz w:val="20"/>
                <w:szCs w:val="20"/>
              </w:rPr>
            </w:pPr>
            <w:r w:rsidRPr="005F509E">
              <w:rPr>
                <w:color w:val="000000"/>
                <w:sz w:val="20"/>
                <w:szCs w:val="20"/>
              </w:rPr>
              <w:t>1</w:t>
            </w:r>
            <w:r w:rsidR="00DF0627">
              <w:rPr>
                <w:color w:val="000000"/>
                <w:sz w:val="20"/>
                <w:szCs w:val="20"/>
              </w:rPr>
              <w:t>6</w:t>
            </w:r>
          </w:p>
        </w:tc>
        <w:tc>
          <w:tcPr>
            <w:tcW w:w="1151" w:type="dxa"/>
            <w:tcBorders>
              <w:top w:val="nil"/>
              <w:left w:val="nil"/>
              <w:bottom w:val="single" w:sz="8"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4</w:t>
            </w:r>
          </w:p>
        </w:tc>
        <w:tc>
          <w:tcPr>
            <w:tcW w:w="1434" w:type="dxa"/>
            <w:tcBorders>
              <w:top w:val="nil"/>
              <w:left w:val="nil"/>
              <w:bottom w:val="single" w:sz="8" w:space="0" w:color="auto"/>
              <w:right w:val="single" w:sz="8" w:space="0" w:color="auto"/>
            </w:tcBorders>
            <w:shd w:val="clear" w:color="auto" w:fill="auto"/>
            <w:hideMark/>
          </w:tcPr>
          <w:p w:rsidR="008B0D4D" w:rsidRPr="005F509E" w:rsidRDefault="005F2AFC" w:rsidP="008B0D4D">
            <w:pPr>
              <w:jc w:val="right"/>
              <w:rPr>
                <w:color w:val="000000"/>
                <w:sz w:val="20"/>
                <w:szCs w:val="20"/>
              </w:rPr>
            </w:pPr>
            <w:r w:rsidRPr="005F509E">
              <w:rPr>
                <w:color w:val="000000"/>
                <w:sz w:val="20"/>
                <w:szCs w:val="20"/>
              </w:rPr>
              <w:t>6</w:t>
            </w:r>
            <w:r w:rsidR="00DF0627">
              <w:rPr>
                <w:color w:val="000000"/>
                <w:sz w:val="20"/>
                <w:szCs w:val="20"/>
              </w:rPr>
              <w:t>4</w:t>
            </w:r>
          </w:p>
        </w:tc>
        <w:tc>
          <w:tcPr>
            <w:tcW w:w="1458" w:type="dxa"/>
            <w:tcBorders>
              <w:top w:val="nil"/>
              <w:left w:val="nil"/>
              <w:bottom w:val="single" w:sz="8"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5.6</w:t>
            </w:r>
          </w:p>
        </w:tc>
        <w:tc>
          <w:tcPr>
            <w:tcW w:w="1417" w:type="dxa"/>
            <w:tcBorders>
              <w:top w:val="nil"/>
              <w:left w:val="nil"/>
              <w:bottom w:val="single" w:sz="8" w:space="0" w:color="auto"/>
              <w:right w:val="single" w:sz="8" w:space="0" w:color="auto"/>
            </w:tcBorders>
            <w:shd w:val="clear" w:color="auto" w:fill="auto"/>
            <w:hideMark/>
          </w:tcPr>
          <w:p w:rsidR="008B0D4D" w:rsidRPr="005F509E" w:rsidRDefault="005F2AFC" w:rsidP="00DF0627">
            <w:pPr>
              <w:jc w:val="right"/>
              <w:rPr>
                <w:color w:val="000000"/>
                <w:sz w:val="20"/>
                <w:szCs w:val="20"/>
              </w:rPr>
            </w:pPr>
            <w:r w:rsidRPr="005F509E">
              <w:rPr>
                <w:color w:val="000000"/>
                <w:sz w:val="20"/>
                <w:szCs w:val="20"/>
              </w:rPr>
              <w:t>3</w:t>
            </w:r>
            <w:r w:rsidR="00DF0627">
              <w:rPr>
                <w:color w:val="000000"/>
                <w:sz w:val="20"/>
                <w:szCs w:val="20"/>
              </w:rPr>
              <w:t>58</w:t>
            </w:r>
            <w:r w:rsidRPr="005F509E">
              <w:rPr>
                <w:color w:val="000000"/>
                <w:sz w:val="20"/>
                <w:szCs w:val="20"/>
              </w:rPr>
              <w:t>.</w:t>
            </w:r>
            <w:r w:rsidR="00DF0627">
              <w:rPr>
                <w:color w:val="000000"/>
                <w:sz w:val="20"/>
                <w:szCs w:val="20"/>
              </w:rPr>
              <w:t>4</w:t>
            </w:r>
          </w:p>
        </w:tc>
        <w:tc>
          <w:tcPr>
            <w:tcW w:w="1529" w:type="dxa"/>
            <w:tcBorders>
              <w:top w:val="nil"/>
              <w:left w:val="nil"/>
              <w:bottom w:val="single" w:sz="8"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$1,680</w:t>
            </w:r>
            <w:r w:rsidR="00945950">
              <w:rPr>
                <w:rStyle w:val="FootnoteReference"/>
                <w:color w:val="000000"/>
                <w:sz w:val="20"/>
                <w:szCs w:val="20"/>
              </w:rPr>
              <w:footnoteReference w:id="9"/>
            </w:r>
            <w:r w:rsidRPr="005F509E">
              <w:rPr>
                <w:color w:val="000000"/>
                <w:sz w:val="20"/>
                <w:szCs w:val="20"/>
              </w:rPr>
              <w:t xml:space="preserve"> </w:t>
            </w:r>
          </w:p>
        </w:tc>
      </w:tr>
    </w:tbl>
    <w:p w:rsidR="001D3E3F" w:rsidRPr="005F509E" w:rsidRDefault="001D3E3F" w:rsidP="00166C09">
      <w:pPr>
        <w:rPr>
          <w:sz w:val="20"/>
          <w:szCs w:val="20"/>
        </w:rPr>
      </w:pPr>
    </w:p>
    <w:p w:rsidR="008B0D4D" w:rsidRPr="005F509E" w:rsidRDefault="008B0D4D" w:rsidP="008B0D4D">
      <w:pPr>
        <w:rPr>
          <w:sz w:val="20"/>
          <w:szCs w:val="20"/>
        </w:rPr>
      </w:pPr>
    </w:p>
    <w:p w:rsidR="008B0D4D" w:rsidRPr="005F509E" w:rsidRDefault="008B0D4D" w:rsidP="008B0D4D">
      <w:pPr>
        <w:rPr>
          <w:b/>
          <w:sz w:val="20"/>
          <w:szCs w:val="20"/>
        </w:rPr>
      </w:pPr>
      <w:r w:rsidRPr="005F509E">
        <w:rPr>
          <w:b/>
          <w:sz w:val="20"/>
          <w:szCs w:val="20"/>
        </w:rPr>
        <w:t>4.   Collection 3038</w:t>
      </w:r>
      <w:r w:rsidR="005F509E">
        <w:rPr>
          <w:b/>
          <w:sz w:val="20"/>
          <w:szCs w:val="20"/>
        </w:rPr>
        <w:t>-0069</w:t>
      </w:r>
      <w:r w:rsidRPr="005F509E">
        <w:rPr>
          <w:b/>
          <w:sz w:val="20"/>
          <w:szCs w:val="20"/>
        </w:rPr>
        <w:t xml:space="preserve"> – Recordkeeping Requirements for Derivatives Clearing Organizations</w:t>
      </w:r>
    </w:p>
    <w:p w:rsidR="008B0D4D" w:rsidRPr="005F509E" w:rsidRDefault="008B0D4D" w:rsidP="008B0D4D">
      <w:pPr>
        <w:rPr>
          <w:b/>
          <w:sz w:val="20"/>
          <w:szCs w:val="20"/>
        </w:rPr>
      </w:pPr>
    </w:p>
    <w:tbl>
      <w:tblPr>
        <w:tblW w:w="8640" w:type="dxa"/>
        <w:jc w:val="center"/>
        <w:tblLook w:val="04A0" w:firstRow="1" w:lastRow="0" w:firstColumn="1" w:lastColumn="0" w:noHBand="0" w:noVBand="1"/>
      </w:tblPr>
      <w:tblGrid>
        <w:gridCol w:w="1559"/>
        <w:gridCol w:w="1100"/>
        <w:gridCol w:w="1360"/>
        <w:gridCol w:w="1609"/>
        <w:gridCol w:w="1565"/>
        <w:gridCol w:w="1447"/>
      </w:tblGrid>
      <w:tr w:rsidR="008B0D4D" w:rsidRPr="005F509E" w:rsidTr="005F509E">
        <w:trPr>
          <w:trHeight w:val="2113"/>
          <w:jc w:val="center"/>
        </w:trPr>
        <w:tc>
          <w:tcPr>
            <w:tcW w:w="1280" w:type="dxa"/>
            <w:tcBorders>
              <w:top w:val="single" w:sz="8" w:space="0" w:color="auto"/>
              <w:left w:val="single" w:sz="8" w:space="0" w:color="auto"/>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 of Respondents Per Year </w:t>
            </w:r>
          </w:p>
        </w:tc>
        <w:tc>
          <w:tcPr>
            <w:tcW w:w="980"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Reports Annually by Each </w:t>
            </w:r>
          </w:p>
        </w:tc>
        <w:tc>
          <w:tcPr>
            <w:tcW w:w="1100"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Total Annual Responses </w:t>
            </w:r>
          </w:p>
        </w:tc>
        <w:tc>
          <w:tcPr>
            <w:tcW w:w="1440"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Average Number of Hours Per Response </w:t>
            </w:r>
          </w:p>
        </w:tc>
        <w:tc>
          <w:tcPr>
            <w:tcW w:w="1400"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 xml:space="preserve">Estimated Total Number of Hours of Annual Burden in Fiscal Year </w:t>
            </w:r>
          </w:p>
        </w:tc>
        <w:tc>
          <w:tcPr>
            <w:tcW w:w="1240" w:type="dxa"/>
            <w:tcBorders>
              <w:top w:val="single" w:sz="8" w:space="0" w:color="auto"/>
              <w:left w:val="nil"/>
              <w:bottom w:val="single" w:sz="8" w:space="0" w:color="auto"/>
              <w:right w:val="single" w:sz="8" w:space="0" w:color="auto"/>
            </w:tcBorders>
            <w:shd w:val="clear" w:color="auto" w:fill="auto"/>
            <w:hideMark/>
          </w:tcPr>
          <w:p w:rsidR="008B0D4D" w:rsidRPr="005F509E" w:rsidRDefault="008B0D4D" w:rsidP="008B0D4D">
            <w:pPr>
              <w:rPr>
                <w:color w:val="000000"/>
                <w:sz w:val="20"/>
                <w:szCs w:val="20"/>
              </w:rPr>
            </w:pPr>
            <w:r w:rsidRPr="005F509E">
              <w:rPr>
                <w:color w:val="000000"/>
                <w:sz w:val="20"/>
                <w:szCs w:val="20"/>
              </w:rPr>
              <w:t>Estimated Annual Cost Per Respondent</w:t>
            </w:r>
          </w:p>
        </w:tc>
      </w:tr>
      <w:tr w:rsidR="008B0D4D" w:rsidRPr="005F509E" w:rsidTr="008B0D4D">
        <w:trPr>
          <w:trHeight w:val="324"/>
          <w:jc w:val="center"/>
        </w:trPr>
        <w:tc>
          <w:tcPr>
            <w:tcW w:w="1280" w:type="dxa"/>
            <w:tcBorders>
              <w:top w:val="nil"/>
              <w:left w:val="single" w:sz="8" w:space="0" w:color="auto"/>
              <w:bottom w:val="single" w:sz="8" w:space="0" w:color="auto"/>
              <w:right w:val="single" w:sz="8" w:space="0" w:color="auto"/>
            </w:tcBorders>
            <w:shd w:val="clear" w:color="auto" w:fill="auto"/>
            <w:hideMark/>
          </w:tcPr>
          <w:p w:rsidR="008B0D4D" w:rsidRPr="005F509E" w:rsidRDefault="008B0D4D" w:rsidP="00A64922">
            <w:pPr>
              <w:jc w:val="right"/>
              <w:rPr>
                <w:color w:val="000000"/>
                <w:sz w:val="20"/>
                <w:szCs w:val="20"/>
              </w:rPr>
            </w:pPr>
            <w:r w:rsidRPr="005F509E">
              <w:rPr>
                <w:color w:val="000000"/>
                <w:sz w:val="20"/>
                <w:szCs w:val="20"/>
              </w:rPr>
              <w:t>1</w:t>
            </w:r>
            <w:r w:rsidR="00A64922" w:rsidRPr="005F509E">
              <w:rPr>
                <w:color w:val="000000"/>
                <w:sz w:val="20"/>
                <w:szCs w:val="20"/>
              </w:rPr>
              <w:t>6</w:t>
            </w:r>
          </w:p>
        </w:tc>
        <w:tc>
          <w:tcPr>
            <w:tcW w:w="980" w:type="dxa"/>
            <w:tcBorders>
              <w:top w:val="nil"/>
              <w:left w:val="nil"/>
              <w:bottom w:val="single" w:sz="8"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1</w:t>
            </w:r>
          </w:p>
        </w:tc>
        <w:tc>
          <w:tcPr>
            <w:tcW w:w="1100" w:type="dxa"/>
            <w:tcBorders>
              <w:top w:val="nil"/>
              <w:left w:val="nil"/>
              <w:bottom w:val="single" w:sz="8" w:space="0" w:color="auto"/>
              <w:right w:val="single" w:sz="8" w:space="0" w:color="auto"/>
            </w:tcBorders>
            <w:shd w:val="clear" w:color="auto" w:fill="auto"/>
            <w:hideMark/>
          </w:tcPr>
          <w:p w:rsidR="008B0D4D" w:rsidRPr="005F509E" w:rsidRDefault="008B0D4D" w:rsidP="00A64922">
            <w:pPr>
              <w:jc w:val="right"/>
              <w:rPr>
                <w:color w:val="000000"/>
                <w:sz w:val="20"/>
                <w:szCs w:val="20"/>
              </w:rPr>
            </w:pPr>
            <w:r w:rsidRPr="005F509E">
              <w:rPr>
                <w:color w:val="000000"/>
                <w:sz w:val="20"/>
                <w:szCs w:val="20"/>
              </w:rPr>
              <w:t>1</w:t>
            </w:r>
            <w:r w:rsidR="00A64922" w:rsidRPr="005F509E">
              <w:rPr>
                <w:color w:val="000000"/>
                <w:sz w:val="20"/>
                <w:szCs w:val="20"/>
              </w:rPr>
              <w:t>6</w:t>
            </w:r>
          </w:p>
        </w:tc>
        <w:tc>
          <w:tcPr>
            <w:tcW w:w="1440" w:type="dxa"/>
            <w:tcBorders>
              <w:top w:val="nil"/>
              <w:left w:val="nil"/>
              <w:bottom w:val="single" w:sz="8" w:space="0" w:color="auto"/>
              <w:right w:val="single" w:sz="8" w:space="0" w:color="auto"/>
            </w:tcBorders>
            <w:shd w:val="clear" w:color="auto" w:fill="auto"/>
            <w:hideMark/>
          </w:tcPr>
          <w:p w:rsidR="008B0D4D" w:rsidRPr="005F509E" w:rsidRDefault="008B0D4D" w:rsidP="008B0D4D">
            <w:pPr>
              <w:jc w:val="right"/>
              <w:rPr>
                <w:color w:val="000000"/>
                <w:sz w:val="20"/>
                <w:szCs w:val="20"/>
              </w:rPr>
            </w:pPr>
            <w:r w:rsidRPr="005F509E">
              <w:rPr>
                <w:color w:val="000000"/>
                <w:sz w:val="20"/>
                <w:szCs w:val="20"/>
              </w:rPr>
              <w:t>100</w:t>
            </w:r>
          </w:p>
        </w:tc>
        <w:tc>
          <w:tcPr>
            <w:tcW w:w="1400" w:type="dxa"/>
            <w:tcBorders>
              <w:top w:val="nil"/>
              <w:left w:val="nil"/>
              <w:bottom w:val="single" w:sz="8" w:space="0" w:color="auto"/>
              <w:right w:val="single" w:sz="8" w:space="0" w:color="auto"/>
            </w:tcBorders>
            <w:shd w:val="clear" w:color="auto" w:fill="auto"/>
            <w:hideMark/>
          </w:tcPr>
          <w:p w:rsidR="008B0D4D" w:rsidRPr="005F509E" w:rsidRDefault="00A64922" w:rsidP="008B0D4D">
            <w:pPr>
              <w:jc w:val="right"/>
              <w:rPr>
                <w:color w:val="000000"/>
                <w:sz w:val="20"/>
                <w:szCs w:val="20"/>
              </w:rPr>
            </w:pPr>
            <w:r w:rsidRPr="005F509E">
              <w:rPr>
                <w:color w:val="000000"/>
                <w:sz w:val="20"/>
                <w:szCs w:val="20"/>
              </w:rPr>
              <w:t>16</w:t>
            </w:r>
            <w:r w:rsidR="005F2AFC" w:rsidRPr="005F509E">
              <w:rPr>
                <w:color w:val="000000"/>
                <w:sz w:val="20"/>
                <w:szCs w:val="20"/>
              </w:rPr>
              <w:t>00</w:t>
            </w:r>
          </w:p>
        </w:tc>
        <w:tc>
          <w:tcPr>
            <w:tcW w:w="1240" w:type="dxa"/>
            <w:tcBorders>
              <w:top w:val="nil"/>
              <w:left w:val="nil"/>
              <w:bottom w:val="single" w:sz="8" w:space="0" w:color="auto"/>
              <w:right w:val="single" w:sz="8" w:space="0" w:color="auto"/>
            </w:tcBorders>
            <w:shd w:val="clear" w:color="auto" w:fill="auto"/>
            <w:hideMark/>
          </w:tcPr>
          <w:p w:rsidR="008B0D4D" w:rsidRPr="005F509E" w:rsidRDefault="008B0D4D" w:rsidP="000B2383">
            <w:pPr>
              <w:jc w:val="right"/>
              <w:rPr>
                <w:color w:val="000000"/>
                <w:sz w:val="20"/>
                <w:szCs w:val="20"/>
              </w:rPr>
            </w:pPr>
            <w:r w:rsidRPr="005F509E">
              <w:rPr>
                <w:color w:val="000000"/>
                <w:sz w:val="20"/>
                <w:szCs w:val="20"/>
              </w:rPr>
              <w:t>$1</w:t>
            </w:r>
            <w:r w:rsidR="0060326B">
              <w:rPr>
                <w:color w:val="000000"/>
                <w:sz w:val="20"/>
                <w:szCs w:val="20"/>
              </w:rPr>
              <w:t>0</w:t>
            </w:r>
            <w:r w:rsidRPr="005F509E">
              <w:rPr>
                <w:color w:val="000000"/>
                <w:sz w:val="20"/>
                <w:szCs w:val="20"/>
              </w:rPr>
              <w:t>,000</w:t>
            </w:r>
            <w:r w:rsidR="000B2383">
              <w:rPr>
                <w:rStyle w:val="FootnoteReference"/>
                <w:color w:val="000000"/>
                <w:sz w:val="20"/>
                <w:szCs w:val="20"/>
              </w:rPr>
              <w:footnoteReference w:id="10"/>
            </w:r>
            <w:r w:rsidRPr="005F509E">
              <w:rPr>
                <w:color w:val="000000"/>
                <w:sz w:val="20"/>
                <w:szCs w:val="20"/>
              </w:rPr>
              <w:t xml:space="preserve"> </w:t>
            </w:r>
          </w:p>
        </w:tc>
      </w:tr>
    </w:tbl>
    <w:p w:rsidR="008B0D4D" w:rsidRPr="005F509E" w:rsidRDefault="008B0D4D" w:rsidP="008B0D4D">
      <w:pPr>
        <w:rPr>
          <w:sz w:val="20"/>
          <w:szCs w:val="20"/>
        </w:rPr>
      </w:pPr>
    </w:p>
    <w:p w:rsidR="00166C09" w:rsidRPr="005F509E" w:rsidRDefault="00166C09" w:rsidP="00166C09">
      <w:pPr>
        <w:rPr>
          <w:sz w:val="20"/>
          <w:szCs w:val="20"/>
        </w:rPr>
      </w:pPr>
    </w:p>
    <w:p w:rsidR="00E17F36" w:rsidRPr="005F509E" w:rsidRDefault="00E17F36" w:rsidP="008B0D4D">
      <w:pPr>
        <w:rPr>
          <w:rFonts w:ascii="Times New Roman" w:hAnsi="Times New Roman"/>
          <w:b/>
          <w:color w:val="FF0000"/>
          <w:sz w:val="20"/>
          <w:szCs w:val="20"/>
        </w:rPr>
      </w:pPr>
    </w:p>
    <w:sectPr w:rsidR="00E17F36" w:rsidRPr="005F509E" w:rsidSect="00AD72C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70" w:rsidRDefault="00B31270" w:rsidP="000F5E97">
      <w:r>
        <w:separator/>
      </w:r>
    </w:p>
  </w:endnote>
  <w:endnote w:type="continuationSeparator" w:id="0">
    <w:p w:rsidR="00B31270" w:rsidRDefault="00B31270" w:rsidP="000F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70" w:rsidRDefault="00B31270" w:rsidP="000F5E97">
      <w:r>
        <w:separator/>
      </w:r>
    </w:p>
  </w:footnote>
  <w:footnote w:type="continuationSeparator" w:id="0">
    <w:p w:rsidR="00B31270" w:rsidRDefault="00B31270" w:rsidP="000F5E97">
      <w:r>
        <w:continuationSeparator/>
      </w:r>
    </w:p>
  </w:footnote>
  <w:footnote w:id="1">
    <w:p w:rsidR="000F7D2B" w:rsidRPr="007D53E8" w:rsidRDefault="000F7D2B" w:rsidP="000F7D2B">
      <w:pPr>
        <w:pStyle w:val="FootnoteText"/>
        <w:spacing w:before="120"/>
        <w:rPr>
          <w:rFonts w:ascii="Times New Roman" w:hAnsi="Times New Roman"/>
          <w:sz w:val="22"/>
          <w:szCs w:val="22"/>
        </w:rPr>
      </w:pPr>
      <w:r w:rsidRPr="007D53E8">
        <w:rPr>
          <w:rStyle w:val="FootnoteReference"/>
          <w:rFonts w:ascii="Times New Roman" w:hAnsi="Times New Roman"/>
          <w:sz w:val="22"/>
          <w:szCs w:val="22"/>
        </w:rPr>
        <w:footnoteRef/>
      </w:r>
      <w:r w:rsidRPr="007D53E8">
        <w:rPr>
          <w:rFonts w:ascii="Times New Roman" w:hAnsi="Times New Roman"/>
          <w:sz w:val="22"/>
          <w:szCs w:val="22"/>
        </w:rPr>
        <w:t xml:space="preserve">  7 U.S.C. 1 </w:t>
      </w:r>
      <w:r w:rsidRPr="007D53E8">
        <w:rPr>
          <w:rFonts w:ascii="Times New Roman" w:hAnsi="Times New Roman"/>
          <w:sz w:val="22"/>
          <w:szCs w:val="22"/>
          <w:u w:val="single"/>
        </w:rPr>
        <w:t>et seq</w:t>
      </w:r>
      <w:r w:rsidRPr="007D53E8">
        <w:rPr>
          <w:rFonts w:ascii="Times New Roman" w:hAnsi="Times New Roman"/>
          <w:i/>
          <w:sz w:val="22"/>
          <w:szCs w:val="22"/>
        </w:rPr>
        <w:t>.</w:t>
      </w:r>
    </w:p>
  </w:footnote>
  <w:footnote w:id="2">
    <w:p w:rsidR="00785D57" w:rsidRPr="00CF28AB" w:rsidRDefault="00785D57" w:rsidP="00080899">
      <w:pPr>
        <w:pStyle w:val="FootnoteText"/>
        <w:spacing w:before="120"/>
        <w:rPr>
          <w:rFonts w:ascii="Times New Roman" w:hAnsi="Times New Roman"/>
        </w:rPr>
      </w:pPr>
      <w:r w:rsidRPr="00785D57">
        <w:rPr>
          <w:rStyle w:val="FootnoteReference"/>
        </w:rPr>
        <w:footnoteRef/>
      </w:r>
      <w:r w:rsidRPr="00080899">
        <w:rPr>
          <w:rFonts w:ascii="Times New Roman" w:hAnsi="Times New Roman"/>
          <w:sz w:val="22"/>
          <w:szCs w:val="22"/>
        </w:rPr>
        <w:t xml:space="preserve"> </w:t>
      </w:r>
      <w:r>
        <w:rPr>
          <w:rFonts w:ascii="Times New Roman" w:hAnsi="Times New Roman"/>
          <w:sz w:val="22"/>
          <w:szCs w:val="22"/>
        </w:rPr>
        <w:t xml:space="preserve">76 FR 69334 (November 8, 2011).  </w:t>
      </w:r>
    </w:p>
  </w:footnote>
  <w:footnote w:id="3">
    <w:p w:rsidR="005D5223" w:rsidRPr="005D5223" w:rsidRDefault="005D5223">
      <w:pPr>
        <w:pStyle w:val="FootnoteText"/>
        <w:rPr>
          <w:rFonts w:ascii="Times New Roman" w:hAnsi="Times New Roman"/>
        </w:rPr>
      </w:pPr>
      <w:r w:rsidRPr="005D5223">
        <w:rPr>
          <w:rStyle w:val="FootnoteReference"/>
          <w:rFonts w:ascii="Times New Roman" w:hAnsi="Times New Roman"/>
        </w:rPr>
        <w:footnoteRef/>
      </w:r>
      <w:r w:rsidRPr="005D5223">
        <w:rPr>
          <w:rFonts w:ascii="Times New Roman" w:hAnsi="Times New Roman"/>
        </w:rPr>
        <w:t xml:space="preserve"> 83 FR 34986</w:t>
      </w:r>
      <w:r>
        <w:rPr>
          <w:rFonts w:ascii="Times New Roman" w:hAnsi="Times New Roman"/>
        </w:rPr>
        <w:t xml:space="preserve"> (July 13, 2018).</w:t>
      </w:r>
    </w:p>
  </w:footnote>
  <w:footnote w:id="4">
    <w:p w:rsidR="00226EDD" w:rsidRPr="00226EDD" w:rsidRDefault="00226EDD" w:rsidP="00226EDD">
      <w:pPr>
        <w:pStyle w:val="FootnoteText"/>
        <w:rPr>
          <w:rFonts w:ascii="Times New Roman" w:hAnsi="Times New Roman"/>
        </w:rPr>
      </w:pPr>
      <w:r w:rsidRPr="00226EDD">
        <w:rPr>
          <w:rStyle w:val="FootnoteReference"/>
          <w:rFonts w:ascii="Times New Roman" w:hAnsi="Times New Roman"/>
        </w:rPr>
        <w:footnoteRef/>
      </w:r>
      <w:r w:rsidRPr="00226EDD">
        <w:rPr>
          <w:rFonts w:ascii="Times New Roman" w:hAnsi="Times New Roman"/>
        </w:rPr>
        <w:t xml:space="preserve"> The estimated average staff compensation was derived from the current base and locality pay structure tables applicable to Commission employees.  It was calculated using the average compensation for employees at the relevant staff level in the applicable Commission office.</w:t>
      </w:r>
    </w:p>
  </w:footnote>
  <w:footnote w:id="5">
    <w:p w:rsidR="00D35DF4" w:rsidRPr="00D35DF4" w:rsidRDefault="00D35DF4">
      <w:pPr>
        <w:pStyle w:val="FootnoteText"/>
        <w:rPr>
          <w:rFonts w:ascii="Times New Roman" w:hAnsi="Times New Roman"/>
        </w:rPr>
      </w:pPr>
      <w:r>
        <w:rPr>
          <w:rStyle w:val="FootnoteReference"/>
        </w:rPr>
        <w:footnoteRef/>
      </w:r>
      <w:r>
        <w:t xml:space="preserve"> </w:t>
      </w:r>
      <m:oMath>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 xml:space="preserve">7 </m:t>
                </m:r>
                <m:r>
                  <w:rPr>
                    <w:rFonts w:ascii="Cambria Math" w:hAnsi="Cambria Math"/>
                  </w:rPr>
                  <m:t>hours x 250 trading days</m:t>
                </m:r>
              </m:e>
            </m:d>
            <m:r>
              <w:rPr>
                <w:rFonts w:ascii="Cambria Math" w:hAnsi="Cambria Math"/>
              </w:rPr>
              <m:t>+70</m:t>
            </m:r>
          </m:num>
          <m:den>
            <m:r>
              <w:rPr>
                <w:rFonts w:ascii="Cambria Math" w:hAnsi="Cambria Math"/>
              </w:rPr>
              <m:t>16 DCOs</m:t>
            </m:r>
          </m:den>
        </m:f>
      </m:oMath>
      <w:r w:rsidRPr="00D35DF4">
        <w:t xml:space="preserve"> </w:t>
      </w:r>
      <w:r w:rsidRPr="00D35DF4">
        <w:rPr>
          <w:rFonts w:ascii="Times New Roman" w:hAnsi="Times New Roman"/>
        </w:rPr>
        <w:t>= 114 hours</w:t>
      </w:r>
    </w:p>
  </w:footnote>
  <w:footnote w:id="6">
    <w:p w:rsidR="00945950" w:rsidRDefault="00945950">
      <w:pPr>
        <w:pStyle w:val="FootnoteText"/>
      </w:pPr>
      <w:r>
        <w:rPr>
          <w:rStyle w:val="FootnoteReference"/>
        </w:rPr>
        <w:footnoteRef/>
      </w:r>
      <w:r>
        <w:t xml:space="preserve"> </w:t>
      </w:r>
      <w:r w:rsidRPr="00DB7BED">
        <w:t>Indicates the approximate number of trading days in the fiscal year.</w:t>
      </w:r>
    </w:p>
    <w:p w:rsidR="00945950" w:rsidRDefault="00945950">
      <w:pPr>
        <w:pStyle w:val="FootnoteText"/>
      </w:pPr>
    </w:p>
  </w:footnote>
  <w:footnote w:id="7">
    <w:p w:rsidR="00945950" w:rsidRDefault="00945950" w:rsidP="00DB7BED">
      <w:pPr>
        <w:pStyle w:val="FootnoteText"/>
      </w:pPr>
      <w:r>
        <w:rPr>
          <w:rStyle w:val="FootnoteReference"/>
        </w:rPr>
        <w:footnoteRef/>
      </w:r>
      <w:r>
        <w:t xml:space="preserve"> </w:t>
      </w:r>
      <w:r w:rsidRPr="00DB7BED">
        <w:t>Taking into account an average salary of $46 per hour, which is based on salary information for the securities industry compiled by the Securities Industry and Financial Markets Association (“SIFMA”)</w:t>
      </w:r>
      <w:r>
        <w:t xml:space="preserve">, </w:t>
      </w:r>
      <w:r w:rsidRPr="00DB7BED">
        <w:t>in the</w:t>
      </w:r>
      <w:r>
        <w:t xml:space="preserve"> category of programmer/analyst</w:t>
      </w:r>
      <w:r w:rsidRPr="00DB7BED">
        <w:t>.</w:t>
      </w:r>
      <w:r>
        <w:t xml:space="preserve"> </w:t>
      </w:r>
      <w:r w:rsidRPr="00DB7BED">
        <w:t>16 DCOs x 250 annual responses = 4000 annual responses x 0.1 hours per response = 400 hours.  Hours per response (0.1) x 250 responses per respondent = 25 x $46 per hour = $1,150.</w:t>
      </w:r>
    </w:p>
    <w:p w:rsidR="00945950" w:rsidRDefault="00945950" w:rsidP="00DB7BED">
      <w:pPr>
        <w:pStyle w:val="FootnoteText"/>
      </w:pPr>
    </w:p>
  </w:footnote>
  <w:footnote w:id="8">
    <w:p w:rsidR="00DB7BED" w:rsidRDefault="00DB7BED" w:rsidP="00DB7BED">
      <w:pPr>
        <w:pStyle w:val="FootnoteText"/>
      </w:pPr>
      <w:r>
        <w:rPr>
          <w:rStyle w:val="FootnoteReference"/>
        </w:rPr>
        <w:footnoteRef/>
      </w:r>
      <w:r>
        <w:t xml:space="preserve"> </w:t>
      </w:r>
      <w:r w:rsidRPr="00DB7BED">
        <w:t xml:space="preserve">16 DCOs x 1 annual response = 16 annual responses x 2606 hours per response = 41,696 hours.  </w:t>
      </w:r>
      <w:r w:rsidR="00945950">
        <w:t>One annual response x 2606 h</w:t>
      </w:r>
      <w:r w:rsidRPr="00DB7BED">
        <w:t>ours per response x $196 per hour = $510,776 per respon</w:t>
      </w:r>
      <w:r w:rsidR="00945950">
        <w:t>d</w:t>
      </w:r>
      <w:r w:rsidRPr="00DB7BED">
        <w:t>e</w:t>
      </w:r>
      <w:r w:rsidR="00945950">
        <w:t>nt</w:t>
      </w:r>
      <w:r w:rsidRPr="00DB7BED">
        <w:t>.  DCOs are required to provide audited year-end financial statements.  This dollar amount takes into account an hourly cost of $196, which represents the median per hour audit costs in the 2015 Audit Fee Report prepared by the Financial Executives Research Foundation (“FERF”), http://www.financialexecutives.org/ferf/download/2015%20Final/2015-018.pdf.  The number of hours per response, which has been used in this burden estimate since 2011, is reasonably consistent with the median audit hours in the FERF report.</w:t>
      </w:r>
    </w:p>
    <w:p w:rsidR="00945950" w:rsidRDefault="00945950" w:rsidP="00DB7BED">
      <w:pPr>
        <w:pStyle w:val="FootnoteText"/>
      </w:pPr>
    </w:p>
  </w:footnote>
  <w:footnote w:id="9">
    <w:p w:rsidR="00945950" w:rsidRDefault="00945950" w:rsidP="00945950">
      <w:pPr>
        <w:pStyle w:val="FootnoteText"/>
      </w:pPr>
      <w:r>
        <w:rPr>
          <w:rStyle w:val="FootnoteReference"/>
        </w:rPr>
        <w:footnoteRef/>
      </w:r>
      <w:r>
        <w:t xml:space="preserve"> </w:t>
      </w:r>
      <w:r w:rsidRPr="00DB7BED">
        <w:t xml:space="preserve">16 DCOs x </w:t>
      </w:r>
      <w:r>
        <w:t>4</w:t>
      </w:r>
      <w:r w:rsidRPr="00DB7BED">
        <w:t xml:space="preserve"> annual response</w:t>
      </w:r>
      <w:r>
        <w:t>s</w:t>
      </w:r>
      <w:r w:rsidRPr="00DB7BED">
        <w:t xml:space="preserve"> = 6</w:t>
      </w:r>
      <w:r>
        <w:t>4</w:t>
      </w:r>
      <w:r w:rsidRPr="00DB7BED">
        <w:t xml:space="preserve"> annual responses x </w:t>
      </w:r>
      <w:r>
        <w:t>5.6</w:t>
      </w:r>
      <w:r w:rsidRPr="00DB7BED">
        <w:t xml:space="preserve"> hours per response = </w:t>
      </w:r>
      <w:r>
        <w:t>358.4</w:t>
      </w:r>
      <w:r w:rsidRPr="00DB7BED">
        <w:t xml:space="preserve"> hours.  </w:t>
      </w:r>
      <w:r>
        <w:t>Four annual responses x 5.6 h</w:t>
      </w:r>
      <w:r w:rsidRPr="00DB7BED">
        <w:t>ours per response x $</w:t>
      </w:r>
      <w:r>
        <w:t>75</w:t>
      </w:r>
      <w:r w:rsidRPr="00DB7BED">
        <w:t xml:space="preserve"> per hour = $1,</w:t>
      </w:r>
      <w:r>
        <w:t>680</w:t>
      </w:r>
      <w:r w:rsidRPr="00DB7BED">
        <w:t xml:space="preserve"> per respon</w:t>
      </w:r>
      <w:r>
        <w:t>d</w:t>
      </w:r>
      <w:r w:rsidRPr="00DB7BED">
        <w:t>e</w:t>
      </w:r>
      <w:r>
        <w:t>nt</w:t>
      </w:r>
      <w:r w:rsidRPr="00DB7BED">
        <w:t>.</w:t>
      </w:r>
      <w:r>
        <w:t xml:space="preserve"> </w:t>
      </w:r>
      <w:r w:rsidRPr="00945950">
        <w:t>Taking into account an hourly cost of $75.  Commission staff arrived at this hourly rate using figures from the SIFMA Report on Management &amp; Professional Earnings in the Securities Industry 2013, which is based on a weighted average of the annual salaries for deputy general counsel (30%) and assistant/associate general counsel (70%).</w:t>
      </w:r>
    </w:p>
    <w:p w:rsidR="00945950" w:rsidRDefault="00945950">
      <w:pPr>
        <w:pStyle w:val="FootnoteText"/>
      </w:pPr>
    </w:p>
  </w:footnote>
  <w:footnote w:id="10">
    <w:p w:rsidR="000B2383" w:rsidRDefault="000B2383">
      <w:pPr>
        <w:pStyle w:val="FootnoteText"/>
      </w:pPr>
      <w:r>
        <w:rPr>
          <w:rStyle w:val="FootnoteReference"/>
        </w:rPr>
        <w:footnoteRef/>
      </w:r>
      <w:r>
        <w:t xml:space="preserve"> </w:t>
      </w:r>
      <w:r w:rsidRPr="000B2383">
        <w:t>16 DCOs x 1 annual response = 16 annual responses x 100 hours per response = 1600 hours.  One annual response x 100 hours per response x $100 per hour = $10,000 per respondent. According to recent Bureau of Labor Statistics data (May 2017), the mean hourly wage of an employee under occupation code 11-3031, “Financial Managers,” that is employed by the “Securities and Commodity Contracts Intermediation and Brokerage” industry is $97.82, which is rounded to $100 per hour in estimating the cost burden of these recordkeeping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89" w:rsidRDefault="00C82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3159F"/>
    <w:multiLevelType w:val="hybridMultilevel"/>
    <w:tmpl w:val="46CED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35C3"/>
    <w:rsid w:val="000175EB"/>
    <w:rsid w:val="00022B4E"/>
    <w:rsid w:val="00022B65"/>
    <w:rsid w:val="000232F0"/>
    <w:rsid w:val="0002390B"/>
    <w:rsid w:val="00023BDF"/>
    <w:rsid w:val="000277A5"/>
    <w:rsid w:val="00030EBB"/>
    <w:rsid w:val="000341C4"/>
    <w:rsid w:val="00057324"/>
    <w:rsid w:val="000600B6"/>
    <w:rsid w:val="000605D8"/>
    <w:rsid w:val="00063FBB"/>
    <w:rsid w:val="00065329"/>
    <w:rsid w:val="00070B31"/>
    <w:rsid w:val="00080899"/>
    <w:rsid w:val="00081341"/>
    <w:rsid w:val="00082E9F"/>
    <w:rsid w:val="000835F6"/>
    <w:rsid w:val="0008745D"/>
    <w:rsid w:val="000939F0"/>
    <w:rsid w:val="000A1972"/>
    <w:rsid w:val="000A4158"/>
    <w:rsid w:val="000A5FB7"/>
    <w:rsid w:val="000B162A"/>
    <w:rsid w:val="000B2383"/>
    <w:rsid w:val="000B26DF"/>
    <w:rsid w:val="000B37A1"/>
    <w:rsid w:val="000C30AD"/>
    <w:rsid w:val="000D0AC9"/>
    <w:rsid w:val="000D42B9"/>
    <w:rsid w:val="000E216C"/>
    <w:rsid w:val="000E60AA"/>
    <w:rsid w:val="000E6F66"/>
    <w:rsid w:val="000E7A1B"/>
    <w:rsid w:val="000F413A"/>
    <w:rsid w:val="000F43CF"/>
    <w:rsid w:val="000F5E97"/>
    <w:rsid w:val="000F7C4A"/>
    <w:rsid w:val="000F7D2B"/>
    <w:rsid w:val="00100F98"/>
    <w:rsid w:val="00100FFF"/>
    <w:rsid w:val="00124A68"/>
    <w:rsid w:val="00126742"/>
    <w:rsid w:val="001278DD"/>
    <w:rsid w:val="00132FB8"/>
    <w:rsid w:val="0013795F"/>
    <w:rsid w:val="00146B52"/>
    <w:rsid w:val="0015188C"/>
    <w:rsid w:val="0015194E"/>
    <w:rsid w:val="001525B7"/>
    <w:rsid w:val="001650C0"/>
    <w:rsid w:val="0016662F"/>
    <w:rsid w:val="00166C09"/>
    <w:rsid w:val="0016738E"/>
    <w:rsid w:val="00171C64"/>
    <w:rsid w:val="001737C1"/>
    <w:rsid w:val="00173E2B"/>
    <w:rsid w:val="0017723B"/>
    <w:rsid w:val="00182FBB"/>
    <w:rsid w:val="00184A5F"/>
    <w:rsid w:val="00187502"/>
    <w:rsid w:val="00190146"/>
    <w:rsid w:val="00192BF1"/>
    <w:rsid w:val="00193363"/>
    <w:rsid w:val="00196D55"/>
    <w:rsid w:val="001A129F"/>
    <w:rsid w:val="001A1542"/>
    <w:rsid w:val="001A21D2"/>
    <w:rsid w:val="001A315C"/>
    <w:rsid w:val="001A6F8A"/>
    <w:rsid w:val="001B1D9B"/>
    <w:rsid w:val="001B51C5"/>
    <w:rsid w:val="001C06D6"/>
    <w:rsid w:val="001D0FB2"/>
    <w:rsid w:val="001D1FAF"/>
    <w:rsid w:val="001D3E3F"/>
    <w:rsid w:val="001E0D04"/>
    <w:rsid w:val="001F145A"/>
    <w:rsid w:val="001F4DED"/>
    <w:rsid w:val="002037F6"/>
    <w:rsid w:val="0020533B"/>
    <w:rsid w:val="00206095"/>
    <w:rsid w:val="00226EDD"/>
    <w:rsid w:val="002331B0"/>
    <w:rsid w:val="00241951"/>
    <w:rsid w:val="002469B1"/>
    <w:rsid w:val="00247D20"/>
    <w:rsid w:val="00256058"/>
    <w:rsid w:val="0026473C"/>
    <w:rsid w:val="002654AE"/>
    <w:rsid w:val="00266723"/>
    <w:rsid w:val="00296AC1"/>
    <w:rsid w:val="002A3DCA"/>
    <w:rsid w:val="002C013D"/>
    <w:rsid w:val="002D3E29"/>
    <w:rsid w:val="002D50DC"/>
    <w:rsid w:val="002D69B6"/>
    <w:rsid w:val="002E1502"/>
    <w:rsid w:val="002F1336"/>
    <w:rsid w:val="002F2092"/>
    <w:rsid w:val="002F498B"/>
    <w:rsid w:val="002F7400"/>
    <w:rsid w:val="0030293E"/>
    <w:rsid w:val="00302DCF"/>
    <w:rsid w:val="00311AB7"/>
    <w:rsid w:val="00315A5F"/>
    <w:rsid w:val="00315A79"/>
    <w:rsid w:val="003168A3"/>
    <w:rsid w:val="00325A0A"/>
    <w:rsid w:val="0033019B"/>
    <w:rsid w:val="00346CCF"/>
    <w:rsid w:val="00355CD8"/>
    <w:rsid w:val="00372F94"/>
    <w:rsid w:val="003742D1"/>
    <w:rsid w:val="00380D74"/>
    <w:rsid w:val="00383EE8"/>
    <w:rsid w:val="00387DE0"/>
    <w:rsid w:val="00387F96"/>
    <w:rsid w:val="00390223"/>
    <w:rsid w:val="003A04C2"/>
    <w:rsid w:val="003A65CB"/>
    <w:rsid w:val="003B60A5"/>
    <w:rsid w:val="003B6EA8"/>
    <w:rsid w:val="003D32C7"/>
    <w:rsid w:val="003D4314"/>
    <w:rsid w:val="003D49DE"/>
    <w:rsid w:val="003D597E"/>
    <w:rsid w:val="003E256B"/>
    <w:rsid w:val="003F0037"/>
    <w:rsid w:val="003F308D"/>
    <w:rsid w:val="003F4662"/>
    <w:rsid w:val="003F7037"/>
    <w:rsid w:val="004024C0"/>
    <w:rsid w:val="00405023"/>
    <w:rsid w:val="004056E1"/>
    <w:rsid w:val="00411620"/>
    <w:rsid w:val="004134B4"/>
    <w:rsid w:val="00415146"/>
    <w:rsid w:val="00420535"/>
    <w:rsid w:val="00427241"/>
    <w:rsid w:val="00430FB7"/>
    <w:rsid w:val="004435EB"/>
    <w:rsid w:val="00443786"/>
    <w:rsid w:val="0044398D"/>
    <w:rsid w:val="00446161"/>
    <w:rsid w:val="00447527"/>
    <w:rsid w:val="00451260"/>
    <w:rsid w:val="00457CD5"/>
    <w:rsid w:val="00461BE7"/>
    <w:rsid w:val="00462B97"/>
    <w:rsid w:val="004748D5"/>
    <w:rsid w:val="00481D80"/>
    <w:rsid w:val="00484030"/>
    <w:rsid w:val="00484368"/>
    <w:rsid w:val="00492081"/>
    <w:rsid w:val="0049540F"/>
    <w:rsid w:val="004A282C"/>
    <w:rsid w:val="004A3B8F"/>
    <w:rsid w:val="004B7C1F"/>
    <w:rsid w:val="004C1386"/>
    <w:rsid w:val="004C4EBD"/>
    <w:rsid w:val="004C7A01"/>
    <w:rsid w:val="004D2594"/>
    <w:rsid w:val="004D36F7"/>
    <w:rsid w:val="004D4C4C"/>
    <w:rsid w:val="004E77DC"/>
    <w:rsid w:val="004F5BCC"/>
    <w:rsid w:val="00503C27"/>
    <w:rsid w:val="00517B58"/>
    <w:rsid w:val="0052232F"/>
    <w:rsid w:val="00524271"/>
    <w:rsid w:val="00525E95"/>
    <w:rsid w:val="0052625D"/>
    <w:rsid w:val="00526447"/>
    <w:rsid w:val="00534983"/>
    <w:rsid w:val="00534B6B"/>
    <w:rsid w:val="00542723"/>
    <w:rsid w:val="00542854"/>
    <w:rsid w:val="00542915"/>
    <w:rsid w:val="00545EF6"/>
    <w:rsid w:val="00551552"/>
    <w:rsid w:val="00556B45"/>
    <w:rsid w:val="00563950"/>
    <w:rsid w:val="005652AC"/>
    <w:rsid w:val="00565921"/>
    <w:rsid w:val="00574C2F"/>
    <w:rsid w:val="00576890"/>
    <w:rsid w:val="00583E5B"/>
    <w:rsid w:val="00586A16"/>
    <w:rsid w:val="00586F7E"/>
    <w:rsid w:val="00591252"/>
    <w:rsid w:val="00592165"/>
    <w:rsid w:val="0059221E"/>
    <w:rsid w:val="00596D53"/>
    <w:rsid w:val="005A4D99"/>
    <w:rsid w:val="005A56CC"/>
    <w:rsid w:val="005B0BE6"/>
    <w:rsid w:val="005B1E9A"/>
    <w:rsid w:val="005B27BA"/>
    <w:rsid w:val="005B5435"/>
    <w:rsid w:val="005C0DD3"/>
    <w:rsid w:val="005C479A"/>
    <w:rsid w:val="005C6C6F"/>
    <w:rsid w:val="005D0314"/>
    <w:rsid w:val="005D43DB"/>
    <w:rsid w:val="005D5223"/>
    <w:rsid w:val="005E2E27"/>
    <w:rsid w:val="005E536C"/>
    <w:rsid w:val="005F2AFC"/>
    <w:rsid w:val="005F4138"/>
    <w:rsid w:val="005F449F"/>
    <w:rsid w:val="005F509E"/>
    <w:rsid w:val="005F6628"/>
    <w:rsid w:val="0060326B"/>
    <w:rsid w:val="0060418F"/>
    <w:rsid w:val="006046B6"/>
    <w:rsid w:val="00606ECC"/>
    <w:rsid w:val="006101E5"/>
    <w:rsid w:val="0061595D"/>
    <w:rsid w:val="0062259E"/>
    <w:rsid w:val="00625474"/>
    <w:rsid w:val="00634796"/>
    <w:rsid w:val="006371A5"/>
    <w:rsid w:val="006500E8"/>
    <w:rsid w:val="00664257"/>
    <w:rsid w:val="00675296"/>
    <w:rsid w:val="00677F55"/>
    <w:rsid w:val="006805D3"/>
    <w:rsid w:val="00692A25"/>
    <w:rsid w:val="006A05A1"/>
    <w:rsid w:val="006A3336"/>
    <w:rsid w:val="006A6FCF"/>
    <w:rsid w:val="006B29D9"/>
    <w:rsid w:val="006B4043"/>
    <w:rsid w:val="006B7141"/>
    <w:rsid w:val="006C1D44"/>
    <w:rsid w:val="006C5EE1"/>
    <w:rsid w:val="006D0492"/>
    <w:rsid w:val="006D25FF"/>
    <w:rsid w:val="006D38A6"/>
    <w:rsid w:val="006D4EA5"/>
    <w:rsid w:val="006D759D"/>
    <w:rsid w:val="006E3F07"/>
    <w:rsid w:val="006F4F75"/>
    <w:rsid w:val="006F6771"/>
    <w:rsid w:val="006F7274"/>
    <w:rsid w:val="007003B8"/>
    <w:rsid w:val="00701D5C"/>
    <w:rsid w:val="00714F2C"/>
    <w:rsid w:val="0071608F"/>
    <w:rsid w:val="0072782D"/>
    <w:rsid w:val="007303F4"/>
    <w:rsid w:val="00737199"/>
    <w:rsid w:val="0074513D"/>
    <w:rsid w:val="007456F6"/>
    <w:rsid w:val="00752F89"/>
    <w:rsid w:val="007536D5"/>
    <w:rsid w:val="00753B6E"/>
    <w:rsid w:val="00756626"/>
    <w:rsid w:val="007600AF"/>
    <w:rsid w:val="007602AC"/>
    <w:rsid w:val="007616A9"/>
    <w:rsid w:val="007641B8"/>
    <w:rsid w:val="00773F48"/>
    <w:rsid w:val="00775781"/>
    <w:rsid w:val="007764F4"/>
    <w:rsid w:val="00785D57"/>
    <w:rsid w:val="00793467"/>
    <w:rsid w:val="00794BD7"/>
    <w:rsid w:val="00796330"/>
    <w:rsid w:val="00796602"/>
    <w:rsid w:val="007A49AE"/>
    <w:rsid w:val="007B2CE3"/>
    <w:rsid w:val="007B61B0"/>
    <w:rsid w:val="007D270C"/>
    <w:rsid w:val="007D53E8"/>
    <w:rsid w:val="007D690E"/>
    <w:rsid w:val="007F2D28"/>
    <w:rsid w:val="007F39B7"/>
    <w:rsid w:val="007F5475"/>
    <w:rsid w:val="00803774"/>
    <w:rsid w:val="00807DB0"/>
    <w:rsid w:val="00810F14"/>
    <w:rsid w:val="008159FE"/>
    <w:rsid w:val="008207B9"/>
    <w:rsid w:val="008222C7"/>
    <w:rsid w:val="00834DD7"/>
    <w:rsid w:val="00847761"/>
    <w:rsid w:val="008519D2"/>
    <w:rsid w:val="0085370C"/>
    <w:rsid w:val="00860CE6"/>
    <w:rsid w:val="00863A6C"/>
    <w:rsid w:val="00864576"/>
    <w:rsid w:val="00866362"/>
    <w:rsid w:val="008827E0"/>
    <w:rsid w:val="0088759B"/>
    <w:rsid w:val="0088767B"/>
    <w:rsid w:val="00893A29"/>
    <w:rsid w:val="008A1115"/>
    <w:rsid w:val="008A4669"/>
    <w:rsid w:val="008A5D5E"/>
    <w:rsid w:val="008A6F95"/>
    <w:rsid w:val="008B0D4D"/>
    <w:rsid w:val="008B4817"/>
    <w:rsid w:val="008C1109"/>
    <w:rsid w:val="008C2BBC"/>
    <w:rsid w:val="008C3257"/>
    <w:rsid w:val="008C3CA7"/>
    <w:rsid w:val="008D0546"/>
    <w:rsid w:val="008D761A"/>
    <w:rsid w:val="008E3461"/>
    <w:rsid w:val="008E7AF8"/>
    <w:rsid w:val="008F1930"/>
    <w:rsid w:val="008F7E0C"/>
    <w:rsid w:val="00900E2B"/>
    <w:rsid w:val="009025A4"/>
    <w:rsid w:val="0090417E"/>
    <w:rsid w:val="00911EE7"/>
    <w:rsid w:val="00912A9E"/>
    <w:rsid w:val="0092012D"/>
    <w:rsid w:val="009220A1"/>
    <w:rsid w:val="00924694"/>
    <w:rsid w:val="0092581A"/>
    <w:rsid w:val="00925FF4"/>
    <w:rsid w:val="00932277"/>
    <w:rsid w:val="009367E2"/>
    <w:rsid w:val="0094243D"/>
    <w:rsid w:val="00943367"/>
    <w:rsid w:val="00943BB2"/>
    <w:rsid w:val="00944106"/>
    <w:rsid w:val="00945950"/>
    <w:rsid w:val="00945C50"/>
    <w:rsid w:val="00953494"/>
    <w:rsid w:val="0095732F"/>
    <w:rsid w:val="00964BFD"/>
    <w:rsid w:val="00986B86"/>
    <w:rsid w:val="0099405B"/>
    <w:rsid w:val="00994E58"/>
    <w:rsid w:val="00995D04"/>
    <w:rsid w:val="009A24BB"/>
    <w:rsid w:val="009A585D"/>
    <w:rsid w:val="009B4871"/>
    <w:rsid w:val="009B5165"/>
    <w:rsid w:val="009C0842"/>
    <w:rsid w:val="009D187B"/>
    <w:rsid w:val="009D3A33"/>
    <w:rsid w:val="009E20E0"/>
    <w:rsid w:val="009E3D52"/>
    <w:rsid w:val="009F5BE2"/>
    <w:rsid w:val="009F699A"/>
    <w:rsid w:val="00A0346E"/>
    <w:rsid w:val="00A05E23"/>
    <w:rsid w:val="00A06CDC"/>
    <w:rsid w:val="00A11B9C"/>
    <w:rsid w:val="00A123D6"/>
    <w:rsid w:val="00A20639"/>
    <w:rsid w:val="00A23539"/>
    <w:rsid w:val="00A31CC4"/>
    <w:rsid w:val="00A3588B"/>
    <w:rsid w:val="00A40C44"/>
    <w:rsid w:val="00A41899"/>
    <w:rsid w:val="00A45957"/>
    <w:rsid w:val="00A47D54"/>
    <w:rsid w:val="00A50199"/>
    <w:rsid w:val="00A533A5"/>
    <w:rsid w:val="00A53958"/>
    <w:rsid w:val="00A61170"/>
    <w:rsid w:val="00A61F7A"/>
    <w:rsid w:val="00A64922"/>
    <w:rsid w:val="00A80D36"/>
    <w:rsid w:val="00A8414C"/>
    <w:rsid w:val="00A8752C"/>
    <w:rsid w:val="00A87E91"/>
    <w:rsid w:val="00A938FE"/>
    <w:rsid w:val="00A95253"/>
    <w:rsid w:val="00AA0461"/>
    <w:rsid w:val="00AA095A"/>
    <w:rsid w:val="00AB0BBC"/>
    <w:rsid w:val="00AC00CC"/>
    <w:rsid w:val="00AC1D40"/>
    <w:rsid w:val="00AD1B32"/>
    <w:rsid w:val="00AD6953"/>
    <w:rsid w:val="00AD716A"/>
    <w:rsid w:val="00AD72CD"/>
    <w:rsid w:val="00AE4C42"/>
    <w:rsid w:val="00AE609D"/>
    <w:rsid w:val="00AE64E7"/>
    <w:rsid w:val="00AF4A73"/>
    <w:rsid w:val="00B05FA4"/>
    <w:rsid w:val="00B14DF4"/>
    <w:rsid w:val="00B165A8"/>
    <w:rsid w:val="00B22DD7"/>
    <w:rsid w:val="00B22E95"/>
    <w:rsid w:val="00B22FB7"/>
    <w:rsid w:val="00B23301"/>
    <w:rsid w:val="00B24F98"/>
    <w:rsid w:val="00B26DF3"/>
    <w:rsid w:val="00B31270"/>
    <w:rsid w:val="00B31D59"/>
    <w:rsid w:val="00B36E33"/>
    <w:rsid w:val="00B475CE"/>
    <w:rsid w:val="00B50EEE"/>
    <w:rsid w:val="00B66F38"/>
    <w:rsid w:val="00B72015"/>
    <w:rsid w:val="00B800F8"/>
    <w:rsid w:val="00B839EF"/>
    <w:rsid w:val="00B8685B"/>
    <w:rsid w:val="00B873D6"/>
    <w:rsid w:val="00B90175"/>
    <w:rsid w:val="00B93362"/>
    <w:rsid w:val="00BA6305"/>
    <w:rsid w:val="00BA7889"/>
    <w:rsid w:val="00BB4C1A"/>
    <w:rsid w:val="00BC4975"/>
    <w:rsid w:val="00BC5447"/>
    <w:rsid w:val="00BC78F9"/>
    <w:rsid w:val="00BD4837"/>
    <w:rsid w:val="00BE1714"/>
    <w:rsid w:val="00BE4E06"/>
    <w:rsid w:val="00BF0E9E"/>
    <w:rsid w:val="00BF20CC"/>
    <w:rsid w:val="00BF54BE"/>
    <w:rsid w:val="00C2325B"/>
    <w:rsid w:val="00C33FC9"/>
    <w:rsid w:val="00C37E53"/>
    <w:rsid w:val="00C424BC"/>
    <w:rsid w:val="00C4280C"/>
    <w:rsid w:val="00C4283A"/>
    <w:rsid w:val="00C4606F"/>
    <w:rsid w:val="00C50F6D"/>
    <w:rsid w:val="00C50FAC"/>
    <w:rsid w:val="00C60B24"/>
    <w:rsid w:val="00C60D5C"/>
    <w:rsid w:val="00C6498B"/>
    <w:rsid w:val="00C649BE"/>
    <w:rsid w:val="00C75A20"/>
    <w:rsid w:val="00C82589"/>
    <w:rsid w:val="00C83F82"/>
    <w:rsid w:val="00C902A1"/>
    <w:rsid w:val="00C914C7"/>
    <w:rsid w:val="00C94BD1"/>
    <w:rsid w:val="00CB0347"/>
    <w:rsid w:val="00CB24FF"/>
    <w:rsid w:val="00CB7148"/>
    <w:rsid w:val="00CB7953"/>
    <w:rsid w:val="00CD542F"/>
    <w:rsid w:val="00CE608B"/>
    <w:rsid w:val="00CE7F41"/>
    <w:rsid w:val="00CF2FDC"/>
    <w:rsid w:val="00CF7673"/>
    <w:rsid w:val="00D03F7B"/>
    <w:rsid w:val="00D04857"/>
    <w:rsid w:val="00D05B93"/>
    <w:rsid w:val="00D14348"/>
    <w:rsid w:val="00D153F0"/>
    <w:rsid w:val="00D20989"/>
    <w:rsid w:val="00D21740"/>
    <w:rsid w:val="00D24617"/>
    <w:rsid w:val="00D320F0"/>
    <w:rsid w:val="00D35DF4"/>
    <w:rsid w:val="00D4017D"/>
    <w:rsid w:val="00D40FE0"/>
    <w:rsid w:val="00D41450"/>
    <w:rsid w:val="00D4197D"/>
    <w:rsid w:val="00D443F5"/>
    <w:rsid w:val="00D46E89"/>
    <w:rsid w:val="00D52101"/>
    <w:rsid w:val="00D55CAE"/>
    <w:rsid w:val="00D56D12"/>
    <w:rsid w:val="00D66F44"/>
    <w:rsid w:val="00D673D1"/>
    <w:rsid w:val="00D67916"/>
    <w:rsid w:val="00D77105"/>
    <w:rsid w:val="00D8025D"/>
    <w:rsid w:val="00D9298D"/>
    <w:rsid w:val="00D93BA9"/>
    <w:rsid w:val="00DB03AA"/>
    <w:rsid w:val="00DB2157"/>
    <w:rsid w:val="00DB7BED"/>
    <w:rsid w:val="00DC2B99"/>
    <w:rsid w:val="00DC522E"/>
    <w:rsid w:val="00DE11CE"/>
    <w:rsid w:val="00DE297F"/>
    <w:rsid w:val="00DE5233"/>
    <w:rsid w:val="00DF0627"/>
    <w:rsid w:val="00E013D8"/>
    <w:rsid w:val="00E05D75"/>
    <w:rsid w:val="00E0636A"/>
    <w:rsid w:val="00E11EED"/>
    <w:rsid w:val="00E11F2D"/>
    <w:rsid w:val="00E1421F"/>
    <w:rsid w:val="00E15902"/>
    <w:rsid w:val="00E17DE8"/>
    <w:rsid w:val="00E17F36"/>
    <w:rsid w:val="00E22E82"/>
    <w:rsid w:val="00E2335E"/>
    <w:rsid w:val="00E236E5"/>
    <w:rsid w:val="00E240FB"/>
    <w:rsid w:val="00E268D0"/>
    <w:rsid w:val="00E313D8"/>
    <w:rsid w:val="00E33EDE"/>
    <w:rsid w:val="00E36FCD"/>
    <w:rsid w:val="00E417BB"/>
    <w:rsid w:val="00E42623"/>
    <w:rsid w:val="00E42631"/>
    <w:rsid w:val="00E51D99"/>
    <w:rsid w:val="00E54A26"/>
    <w:rsid w:val="00E55422"/>
    <w:rsid w:val="00E605B7"/>
    <w:rsid w:val="00E639DE"/>
    <w:rsid w:val="00E717D7"/>
    <w:rsid w:val="00E90F3F"/>
    <w:rsid w:val="00E93DA6"/>
    <w:rsid w:val="00E944C1"/>
    <w:rsid w:val="00EA260E"/>
    <w:rsid w:val="00EA6028"/>
    <w:rsid w:val="00EB4997"/>
    <w:rsid w:val="00EB4BD8"/>
    <w:rsid w:val="00EB6A33"/>
    <w:rsid w:val="00EB7E02"/>
    <w:rsid w:val="00EB7F98"/>
    <w:rsid w:val="00EC0E5E"/>
    <w:rsid w:val="00EC0E78"/>
    <w:rsid w:val="00EC2551"/>
    <w:rsid w:val="00EC7005"/>
    <w:rsid w:val="00ED0361"/>
    <w:rsid w:val="00ED609B"/>
    <w:rsid w:val="00EE2608"/>
    <w:rsid w:val="00EE44CA"/>
    <w:rsid w:val="00EE4E0D"/>
    <w:rsid w:val="00EE677F"/>
    <w:rsid w:val="00EE7872"/>
    <w:rsid w:val="00EE7D31"/>
    <w:rsid w:val="00EF1ADC"/>
    <w:rsid w:val="00F12BA6"/>
    <w:rsid w:val="00F21D61"/>
    <w:rsid w:val="00F24E01"/>
    <w:rsid w:val="00F264B6"/>
    <w:rsid w:val="00F31702"/>
    <w:rsid w:val="00F3672F"/>
    <w:rsid w:val="00F36F82"/>
    <w:rsid w:val="00F45CC6"/>
    <w:rsid w:val="00F50479"/>
    <w:rsid w:val="00F51ACE"/>
    <w:rsid w:val="00F52D41"/>
    <w:rsid w:val="00F570E2"/>
    <w:rsid w:val="00F6053F"/>
    <w:rsid w:val="00F62252"/>
    <w:rsid w:val="00F63D59"/>
    <w:rsid w:val="00F706E4"/>
    <w:rsid w:val="00F80680"/>
    <w:rsid w:val="00F85FEA"/>
    <w:rsid w:val="00F86BB6"/>
    <w:rsid w:val="00F86F2A"/>
    <w:rsid w:val="00F91BB4"/>
    <w:rsid w:val="00F940C0"/>
    <w:rsid w:val="00F973FB"/>
    <w:rsid w:val="00F978BB"/>
    <w:rsid w:val="00FA0F5C"/>
    <w:rsid w:val="00FA241F"/>
    <w:rsid w:val="00FB404A"/>
    <w:rsid w:val="00FC5158"/>
    <w:rsid w:val="00FC59D7"/>
    <w:rsid w:val="00FC64FD"/>
    <w:rsid w:val="00FD0FBE"/>
    <w:rsid w:val="00FE6D02"/>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uiPriority w:val="99"/>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Header">
    <w:name w:val="header"/>
    <w:basedOn w:val="Normal"/>
    <w:link w:val="HeaderChar"/>
    <w:rsid w:val="0052232F"/>
    <w:pPr>
      <w:tabs>
        <w:tab w:val="center" w:pos="4680"/>
        <w:tab w:val="right" w:pos="9360"/>
      </w:tabs>
    </w:pPr>
  </w:style>
  <w:style w:type="character" w:customStyle="1" w:styleId="HeaderChar">
    <w:name w:val="Header Char"/>
    <w:link w:val="Header"/>
    <w:rsid w:val="0052232F"/>
    <w:rPr>
      <w:rFonts w:ascii="Arial" w:hAnsi="Arial"/>
      <w:sz w:val="24"/>
      <w:szCs w:val="24"/>
    </w:rPr>
  </w:style>
  <w:style w:type="paragraph" w:styleId="Footer">
    <w:name w:val="footer"/>
    <w:basedOn w:val="Normal"/>
    <w:link w:val="FooterChar"/>
    <w:rsid w:val="0052232F"/>
    <w:pPr>
      <w:tabs>
        <w:tab w:val="center" w:pos="4680"/>
        <w:tab w:val="right" w:pos="9360"/>
      </w:tabs>
    </w:pPr>
  </w:style>
  <w:style w:type="character" w:customStyle="1" w:styleId="FooterChar">
    <w:name w:val="Footer Char"/>
    <w:link w:val="Footer"/>
    <w:rsid w:val="0052232F"/>
    <w:rPr>
      <w:rFonts w:ascii="Arial" w:hAnsi="Arial"/>
      <w:sz w:val="24"/>
      <w:szCs w:val="24"/>
    </w:rPr>
  </w:style>
  <w:style w:type="paragraph" w:styleId="PlainText">
    <w:name w:val="Plain Text"/>
    <w:basedOn w:val="Normal"/>
    <w:link w:val="PlainTextChar"/>
    <w:uiPriority w:val="99"/>
    <w:unhideWhenUsed/>
    <w:rsid w:val="007B61B0"/>
    <w:rPr>
      <w:rFonts w:ascii="Calibri" w:hAnsi="Calibri"/>
      <w:color w:val="1F497D"/>
      <w:sz w:val="22"/>
      <w:szCs w:val="21"/>
    </w:rPr>
  </w:style>
  <w:style w:type="character" w:customStyle="1" w:styleId="PlainTextChar">
    <w:name w:val="Plain Text Char"/>
    <w:link w:val="PlainText"/>
    <w:uiPriority w:val="99"/>
    <w:rsid w:val="007B61B0"/>
    <w:rPr>
      <w:rFonts w:ascii="Calibri" w:hAnsi="Calibri"/>
      <w:color w:val="1F497D"/>
      <w:sz w:val="22"/>
      <w:szCs w:val="21"/>
    </w:rPr>
  </w:style>
  <w:style w:type="paragraph" w:customStyle="1" w:styleId="Default">
    <w:name w:val="Default"/>
    <w:uiPriority w:val="99"/>
    <w:rsid w:val="007B61B0"/>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7764F4"/>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7764F4"/>
    <w:rPr>
      <w:rFonts w:ascii="Arial" w:hAnsi="Arial"/>
      <w:b/>
      <w:bCs/>
    </w:rPr>
  </w:style>
  <w:style w:type="character" w:styleId="Hyperlink">
    <w:name w:val="Hyperlink"/>
    <w:rsid w:val="007D53E8"/>
    <w:rPr>
      <w:color w:val="0000FF"/>
      <w:u w:val="single"/>
    </w:rPr>
  </w:style>
  <w:style w:type="paragraph" w:styleId="Revision">
    <w:name w:val="Revision"/>
    <w:hidden/>
    <w:uiPriority w:val="99"/>
    <w:semiHidden/>
    <w:rsid w:val="00070B31"/>
    <w:rPr>
      <w:rFonts w:ascii="Arial" w:hAnsi="Arial"/>
      <w:sz w:val="24"/>
      <w:szCs w:val="24"/>
    </w:rPr>
  </w:style>
  <w:style w:type="paragraph" w:styleId="ListParagraph">
    <w:name w:val="List Paragraph"/>
    <w:basedOn w:val="Normal"/>
    <w:uiPriority w:val="34"/>
    <w:qFormat/>
    <w:rsid w:val="000F7D2B"/>
    <w:pPr>
      <w:ind w:left="720"/>
      <w:contextualSpacing/>
    </w:pPr>
  </w:style>
  <w:style w:type="character" w:styleId="PlaceholderText">
    <w:name w:val="Placeholder Text"/>
    <w:basedOn w:val="DefaultParagraphFont"/>
    <w:uiPriority w:val="99"/>
    <w:semiHidden/>
    <w:rsid w:val="00D35D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uiPriority w:val="99"/>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Header">
    <w:name w:val="header"/>
    <w:basedOn w:val="Normal"/>
    <w:link w:val="HeaderChar"/>
    <w:rsid w:val="0052232F"/>
    <w:pPr>
      <w:tabs>
        <w:tab w:val="center" w:pos="4680"/>
        <w:tab w:val="right" w:pos="9360"/>
      </w:tabs>
    </w:pPr>
  </w:style>
  <w:style w:type="character" w:customStyle="1" w:styleId="HeaderChar">
    <w:name w:val="Header Char"/>
    <w:link w:val="Header"/>
    <w:rsid w:val="0052232F"/>
    <w:rPr>
      <w:rFonts w:ascii="Arial" w:hAnsi="Arial"/>
      <w:sz w:val="24"/>
      <w:szCs w:val="24"/>
    </w:rPr>
  </w:style>
  <w:style w:type="paragraph" w:styleId="Footer">
    <w:name w:val="footer"/>
    <w:basedOn w:val="Normal"/>
    <w:link w:val="FooterChar"/>
    <w:rsid w:val="0052232F"/>
    <w:pPr>
      <w:tabs>
        <w:tab w:val="center" w:pos="4680"/>
        <w:tab w:val="right" w:pos="9360"/>
      </w:tabs>
    </w:pPr>
  </w:style>
  <w:style w:type="character" w:customStyle="1" w:styleId="FooterChar">
    <w:name w:val="Footer Char"/>
    <w:link w:val="Footer"/>
    <w:rsid w:val="0052232F"/>
    <w:rPr>
      <w:rFonts w:ascii="Arial" w:hAnsi="Arial"/>
      <w:sz w:val="24"/>
      <w:szCs w:val="24"/>
    </w:rPr>
  </w:style>
  <w:style w:type="paragraph" w:styleId="PlainText">
    <w:name w:val="Plain Text"/>
    <w:basedOn w:val="Normal"/>
    <w:link w:val="PlainTextChar"/>
    <w:uiPriority w:val="99"/>
    <w:unhideWhenUsed/>
    <w:rsid w:val="007B61B0"/>
    <w:rPr>
      <w:rFonts w:ascii="Calibri" w:hAnsi="Calibri"/>
      <w:color w:val="1F497D"/>
      <w:sz w:val="22"/>
      <w:szCs w:val="21"/>
    </w:rPr>
  </w:style>
  <w:style w:type="character" w:customStyle="1" w:styleId="PlainTextChar">
    <w:name w:val="Plain Text Char"/>
    <w:link w:val="PlainText"/>
    <w:uiPriority w:val="99"/>
    <w:rsid w:val="007B61B0"/>
    <w:rPr>
      <w:rFonts w:ascii="Calibri" w:hAnsi="Calibri"/>
      <w:color w:val="1F497D"/>
      <w:sz w:val="22"/>
      <w:szCs w:val="21"/>
    </w:rPr>
  </w:style>
  <w:style w:type="paragraph" w:customStyle="1" w:styleId="Default">
    <w:name w:val="Default"/>
    <w:uiPriority w:val="99"/>
    <w:rsid w:val="007B61B0"/>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7764F4"/>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7764F4"/>
    <w:rPr>
      <w:rFonts w:ascii="Arial" w:hAnsi="Arial"/>
      <w:b/>
      <w:bCs/>
    </w:rPr>
  </w:style>
  <w:style w:type="character" w:styleId="Hyperlink">
    <w:name w:val="Hyperlink"/>
    <w:rsid w:val="007D53E8"/>
    <w:rPr>
      <w:color w:val="0000FF"/>
      <w:u w:val="single"/>
    </w:rPr>
  </w:style>
  <w:style w:type="paragraph" w:styleId="Revision">
    <w:name w:val="Revision"/>
    <w:hidden/>
    <w:uiPriority w:val="99"/>
    <w:semiHidden/>
    <w:rsid w:val="00070B31"/>
    <w:rPr>
      <w:rFonts w:ascii="Arial" w:hAnsi="Arial"/>
      <w:sz w:val="24"/>
      <w:szCs w:val="24"/>
    </w:rPr>
  </w:style>
  <w:style w:type="paragraph" w:styleId="ListParagraph">
    <w:name w:val="List Paragraph"/>
    <w:basedOn w:val="Normal"/>
    <w:uiPriority w:val="34"/>
    <w:qFormat/>
    <w:rsid w:val="000F7D2B"/>
    <w:pPr>
      <w:ind w:left="720"/>
      <w:contextualSpacing/>
    </w:pPr>
  </w:style>
  <w:style w:type="character" w:styleId="PlaceholderText">
    <w:name w:val="Placeholder Text"/>
    <w:basedOn w:val="DefaultParagraphFont"/>
    <w:uiPriority w:val="99"/>
    <w:semiHidden/>
    <w:rsid w:val="00D35D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816">
      <w:bodyDiv w:val="1"/>
      <w:marLeft w:val="0"/>
      <w:marRight w:val="0"/>
      <w:marTop w:val="0"/>
      <w:marBottom w:val="0"/>
      <w:divBdr>
        <w:top w:val="none" w:sz="0" w:space="0" w:color="auto"/>
        <w:left w:val="none" w:sz="0" w:space="0" w:color="auto"/>
        <w:bottom w:val="none" w:sz="0" w:space="0" w:color="auto"/>
        <w:right w:val="none" w:sz="0" w:space="0" w:color="auto"/>
      </w:divBdr>
    </w:div>
    <w:div w:id="13788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4B6F-8299-4CFC-A78A-434C19004742}">
  <ds:schemaRefs>
    <ds:schemaRef ds:uri="http://schemas.microsoft.com/sharepoint/v3/contenttype/forms"/>
  </ds:schemaRefs>
</ds:datastoreItem>
</file>

<file path=customXml/itemProps2.xml><?xml version="1.0" encoding="utf-8"?>
<ds:datastoreItem xmlns:ds="http://schemas.openxmlformats.org/officeDocument/2006/customXml" ds:itemID="{5A5A3141-2F36-43CF-9042-08EE7324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FFA731-7647-408F-9879-88123A21518D}">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8439906-C97E-4EDD-9D67-C96AB86B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2010-11-03T15:41:00Z</cp:lastPrinted>
  <dcterms:created xsi:type="dcterms:W3CDTF">2018-09-26T16:43:00Z</dcterms:created>
  <dcterms:modified xsi:type="dcterms:W3CDTF">2018-09-26T16:43:00Z</dcterms:modified>
</cp:coreProperties>
</file>