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5759C" w14:textId="77777777" w:rsidR="00191782" w:rsidRPr="00191782" w:rsidRDefault="00191782" w:rsidP="00191782">
      <w:pPr>
        <w:spacing w:after="0" w:line="276" w:lineRule="auto"/>
        <w:jc w:val="center"/>
        <w:rPr>
          <w:rFonts w:ascii="Times New Roman" w:eastAsia="Calibri" w:hAnsi="Times New Roman" w:cs="Times New Roman"/>
          <w:sz w:val="26"/>
          <w:szCs w:val="26"/>
        </w:rPr>
      </w:pPr>
      <w:bookmarkStart w:id="0" w:name="_GoBack"/>
      <w:bookmarkEnd w:id="0"/>
      <w:r w:rsidRPr="00191782">
        <w:rPr>
          <w:rFonts w:ascii="Times New Roman" w:eastAsia="Calibri" w:hAnsi="Times New Roman" w:cs="Times New Roman"/>
          <w:sz w:val="26"/>
          <w:szCs w:val="26"/>
        </w:rPr>
        <w:t xml:space="preserve">Supporting Statement for </w:t>
      </w:r>
    </w:p>
    <w:p w14:paraId="78DDB67D" w14:textId="77777777" w:rsidR="00191782" w:rsidRPr="00191782" w:rsidRDefault="00191782" w:rsidP="00191782">
      <w:pPr>
        <w:spacing w:after="0" w:line="276"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FERC</w:t>
      </w:r>
      <w:r w:rsidR="00BD4F83">
        <w:rPr>
          <w:rFonts w:ascii="Times New Roman" w:eastAsia="Calibri" w:hAnsi="Times New Roman" w:cs="Times New Roman"/>
          <w:b/>
          <w:sz w:val="26"/>
          <w:szCs w:val="26"/>
        </w:rPr>
        <w:t xml:space="preserve"> Form </w:t>
      </w:r>
      <w:r w:rsidRPr="00191782">
        <w:rPr>
          <w:rFonts w:ascii="Times New Roman" w:eastAsia="Calibri" w:hAnsi="Times New Roman" w:cs="Times New Roman"/>
          <w:b/>
          <w:sz w:val="26"/>
          <w:szCs w:val="26"/>
        </w:rPr>
        <w:t>714, Annual Electric Balancing Authority Area and Planning Area Report</w:t>
      </w:r>
    </w:p>
    <w:p w14:paraId="6CAECAED" w14:textId="77777777" w:rsidR="00191782" w:rsidRPr="00191782" w:rsidRDefault="00191782" w:rsidP="00191782">
      <w:pPr>
        <w:spacing w:after="0" w:line="276" w:lineRule="auto"/>
        <w:jc w:val="center"/>
        <w:rPr>
          <w:rFonts w:ascii="Times New Roman" w:eastAsia="Calibri" w:hAnsi="Times New Roman" w:cs="Times New Roman"/>
          <w:sz w:val="26"/>
          <w:szCs w:val="26"/>
        </w:rPr>
      </w:pPr>
    </w:p>
    <w:p w14:paraId="08ABC722"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 xml:space="preserve">The Federal Energy Regulatory Commission (Commission or FERC) requests that the Office of Management and Budget (OMB) review and approve </w:t>
      </w:r>
      <w:r w:rsidRPr="00191782">
        <w:rPr>
          <w:rFonts w:ascii="Times New Roman" w:eastAsia="Calibri" w:hAnsi="Times New Roman" w:cs="Times New Roman"/>
          <w:b/>
          <w:sz w:val="26"/>
          <w:szCs w:val="26"/>
        </w:rPr>
        <w:t>FERC</w:t>
      </w:r>
      <w:r w:rsidR="00BD4F83">
        <w:rPr>
          <w:rFonts w:ascii="Times New Roman" w:eastAsia="Calibri" w:hAnsi="Times New Roman" w:cs="Times New Roman"/>
          <w:b/>
          <w:sz w:val="26"/>
          <w:szCs w:val="26"/>
        </w:rPr>
        <w:t xml:space="preserve"> Form </w:t>
      </w:r>
      <w:r w:rsidRPr="00191782">
        <w:rPr>
          <w:rFonts w:ascii="Times New Roman" w:eastAsia="Calibri" w:hAnsi="Times New Roman" w:cs="Times New Roman"/>
          <w:b/>
          <w:sz w:val="26"/>
          <w:szCs w:val="26"/>
        </w:rPr>
        <w:t xml:space="preserve">714, </w:t>
      </w:r>
      <w:r w:rsidR="00EA5420" w:rsidRPr="00D9353F">
        <w:rPr>
          <w:rFonts w:ascii="Times New Roman" w:eastAsia="Calibri" w:hAnsi="Times New Roman" w:cs="Times New Roman"/>
          <w:b/>
          <w:sz w:val="26"/>
          <w:szCs w:val="26"/>
        </w:rPr>
        <w:t>(</w:t>
      </w:r>
      <w:r w:rsidRPr="00191782">
        <w:rPr>
          <w:rFonts w:ascii="Times New Roman" w:eastAsia="Calibri" w:hAnsi="Times New Roman" w:cs="Times New Roman"/>
          <w:b/>
          <w:sz w:val="26"/>
          <w:szCs w:val="26"/>
        </w:rPr>
        <w:t>Annual Electric Balancing Authority Area and Planning Area Report</w:t>
      </w:r>
      <w:r w:rsidR="00EA5420" w:rsidRPr="00D9353F">
        <w:rPr>
          <w:rFonts w:ascii="Times New Roman" w:eastAsia="Calibri" w:hAnsi="Times New Roman" w:cs="Times New Roman"/>
          <w:b/>
          <w:sz w:val="26"/>
          <w:szCs w:val="26"/>
        </w:rPr>
        <w:t>)</w:t>
      </w:r>
      <w:r w:rsidRPr="00191782">
        <w:rPr>
          <w:rFonts w:ascii="Times New Roman" w:eastAsia="Calibri" w:hAnsi="Times New Roman" w:cs="Times New Roman"/>
          <w:sz w:val="26"/>
          <w:szCs w:val="26"/>
        </w:rPr>
        <w:t>, for a three-year period.  FERC</w:t>
      </w:r>
      <w:r w:rsidR="00BD4F83">
        <w:rPr>
          <w:rFonts w:ascii="Times New Roman" w:eastAsia="Calibri" w:hAnsi="Times New Roman" w:cs="Times New Roman"/>
          <w:sz w:val="26"/>
          <w:szCs w:val="26"/>
        </w:rPr>
        <w:t xml:space="preserve"> Form</w:t>
      </w:r>
      <w:r w:rsidRPr="00191782">
        <w:rPr>
          <w:rFonts w:ascii="Times New Roman" w:eastAsia="Calibri" w:hAnsi="Times New Roman" w:cs="Times New Roman"/>
          <w:sz w:val="26"/>
          <w:szCs w:val="26"/>
        </w:rPr>
        <w:t>714 (OMB Control No. 1902-0140) is an existing Commission data collection as described in 18 Code of Federal Regulations (CFR) 141.51.</w:t>
      </w:r>
    </w:p>
    <w:p w14:paraId="41031F85" w14:textId="77777777" w:rsidR="00191782" w:rsidRPr="00191782" w:rsidRDefault="00191782" w:rsidP="00191782">
      <w:pPr>
        <w:spacing w:after="0" w:line="276" w:lineRule="auto"/>
        <w:rPr>
          <w:rFonts w:ascii="Times New Roman" w:eastAsia="Calibri" w:hAnsi="Times New Roman" w:cs="Times New Roman"/>
          <w:sz w:val="26"/>
          <w:szCs w:val="26"/>
        </w:rPr>
      </w:pPr>
    </w:p>
    <w:p w14:paraId="2FDD05B0"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CIRCUMSTANCES THAT MAKE THE COLLECTION OF INFORMATION NECESSARY</w:t>
      </w:r>
    </w:p>
    <w:p w14:paraId="4D2FF8A5" w14:textId="77777777" w:rsidR="00191782" w:rsidRPr="00191782" w:rsidRDefault="00191782" w:rsidP="00191782">
      <w:pPr>
        <w:spacing w:after="0" w:line="276" w:lineRule="auto"/>
        <w:rPr>
          <w:rFonts w:ascii="Times New Roman" w:eastAsia="Calibri" w:hAnsi="Times New Roman" w:cs="Times New Roman"/>
          <w:sz w:val="26"/>
          <w:szCs w:val="26"/>
        </w:rPr>
      </w:pPr>
    </w:p>
    <w:p w14:paraId="4462A543" w14:textId="77777777" w:rsidR="00191782" w:rsidRPr="00D9353F"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Commission uses the collected data to analyze power system operations along with its regulatory functions.  These analyses estimate the effect of changes in power system operations resulting from the installation of a new generating unit or plant, transmission facilities, energy transfers between systems, and/or new points of interconnections.  Also, these analyses serve to correlate rates and charges, assess reliability and other operating attributes in regulatory proceedings, monitor market trends and behaviors, and determine the competitive impacts of proposed mergers, acquisitions, and dispositions.</w:t>
      </w:r>
    </w:p>
    <w:p w14:paraId="176AD495" w14:textId="77777777" w:rsidR="00EA5420" w:rsidRPr="00D9353F" w:rsidRDefault="00EA5420" w:rsidP="00191782">
      <w:pPr>
        <w:spacing w:after="0" w:line="276" w:lineRule="auto"/>
        <w:rPr>
          <w:rFonts w:ascii="Times New Roman" w:eastAsia="Calibri" w:hAnsi="Times New Roman" w:cs="Times New Roman"/>
          <w:sz w:val="26"/>
          <w:szCs w:val="26"/>
        </w:rPr>
      </w:pPr>
    </w:p>
    <w:p w14:paraId="786A186A" w14:textId="77777777" w:rsidR="00EA5420" w:rsidRPr="00D9353F" w:rsidRDefault="00EA5420" w:rsidP="00EA5420">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 xml:space="preserve">The Federal Power Act authorizes the Commission to collect information from electric utility balancing authorities and planning areas in the United States.  The Commission implements the data collection requirements in 18 CFR 141.51. </w:t>
      </w:r>
    </w:p>
    <w:p w14:paraId="193794DE" w14:textId="77777777" w:rsidR="00191782" w:rsidRPr="00191782" w:rsidRDefault="00191782" w:rsidP="00191782">
      <w:pPr>
        <w:spacing w:after="0" w:line="276" w:lineRule="auto"/>
        <w:rPr>
          <w:rFonts w:ascii="Times New Roman" w:eastAsia="Calibri" w:hAnsi="Times New Roman" w:cs="Times New Roman"/>
          <w:sz w:val="26"/>
          <w:szCs w:val="26"/>
        </w:rPr>
      </w:pPr>
    </w:p>
    <w:p w14:paraId="0456D3F5"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HOW, BY WHOM, AND FOR WHAT PURPOSE THE INFORMATION IS TO BE USED AND THE CONSEQUENCES OF NOT COLLECTING THE INFORMATION</w:t>
      </w:r>
    </w:p>
    <w:p w14:paraId="120E002D" w14:textId="77777777" w:rsidR="00191782" w:rsidRPr="00191782" w:rsidRDefault="00191782" w:rsidP="00191782">
      <w:pPr>
        <w:spacing w:after="0" w:line="276" w:lineRule="auto"/>
        <w:ind w:left="360"/>
        <w:contextualSpacing/>
        <w:rPr>
          <w:rFonts w:ascii="Times New Roman" w:eastAsia="Calibri" w:hAnsi="Times New Roman" w:cs="Times New Roman"/>
          <w:b/>
          <w:sz w:val="26"/>
          <w:szCs w:val="26"/>
        </w:rPr>
      </w:pPr>
    </w:p>
    <w:p w14:paraId="3E296B3B"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Commission uses the FERC</w:t>
      </w:r>
      <w:r w:rsidR="00BD4F83">
        <w:rPr>
          <w:rFonts w:ascii="Times New Roman" w:eastAsia="Calibri" w:hAnsi="Times New Roman" w:cs="Times New Roman"/>
          <w:sz w:val="26"/>
          <w:szCs w:val="26"/>
        </w:rPr>
        <w:t xml:space="preserve"> Form </w:t>
      </w:r>
      <w:r w:rsidRPr="00191782">
        <w:rPr>
          <w:rFonts w:ascii="Times New Roman" w:eastAsia="Calibri" w:hAnsi="Times New Roman" w:cs="Times New Roman"/>
          <w:sz w:val="26"/>
          <w:szCs w:val="26"/>
        </w:rPr>
        <w:t>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FERC</w:t>
      </w:r>
      <w:r w:rsidR="00BD4F83">
        <w:rPr>
          <w:rFonts w:ascii="Times New Roman" w:eastAsia="Calibri" w:hAnsi="Times New Roman" w:cs="Times New Roman"/>
          <w:sz w:val="26"/>
          <w:szCs w:val="26"/>
        </w:rPr>
        <w:t xml:space="preserve"> Form</w:t>
      </w:r>
      <w:r w:rsidRPr="00191782">
        <w:rPr>
          <w:rFonts w:ascii="Times New Roman" w:eastAsia="Calibri" w:hAnsi="Times New Roman" w:cs="Times New Roman"/>
          <w:sz w:val="26"/>
          <w:szCs w:val="26"/>
        </w:rPr>
        <w:t xml:space="preserve">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w:t>
      </w:r>
      <w:r w:rsidRPr="00191782">
        <w:rPr>
          <w:rFonts w:ascii="Times New Roman" w:eastAsia="Calibri" w:hAnsi="Times New Roman" w:cs="Times New Roman"/>
          <w:sz w:val="26"/>
          <w:szCs w:val="26"/>
        </w:rPr>
        <w:lastRenderedPageBreak/>
        <w:t>Commission also uses the data to prepare status reports on the electric utility industry including a review of inter-balancing authority area bulk power trade information.</w:t>
      </w:r>
    </w:p>
    <w:p w14:paraId="560388B4"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ab/>
      </w:r>
    </w:p>
    <w:p w14:paraId="60A04C29" w14:textId="27B18213" w:rsidR="00005626" w:rsidRDefault="00191782" w:rsidP="00005626">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Commission uses the collected data from planning areas to monitor forecasted demands by electric utilities with fundamental demand responsibilities and to develop hourly demand characteristics</w:t>
      </w:r>
      <w:r w:rsidR="008B6A33" w:rsidRPr="00D3650B">
        <w:rPr>
          <w:rStyle w:val="FootnoteReference"/>
          <w:rFonts w:ascii="Times New Roman" w:eastAsia="Calibri" w:hAnsi="Times New Roman" w:cs="Times New Roman"/>
          <w:sz w:val="26"/>
          <w:szCs w:val="26"/>
          <w:vertAlign w:val="superscript"/>
        </w:rPr>
        <w:footnoteReference w:id="1"/>
      </w:r>
      <w:r w:rsidRPr="00191782">
        <w:rPr>
          <w:rFonts w:ascii="Times New Roman" w:eastAsia="Calibri" w:hAnsi="Times New Roman" w:cs="Times New Roman"/>
          <w:sz w:val="26"/>
          <w:szCs w:val="26"/>
        </w:rPr>
        <w:t>.</w:t>
      </w:r>
      <w:r w:rsidR="00005626" w:rsidRPr="00005626">
        <w:rPr>
          <w:rFonts w:ascii="Times New Roman" w:eastAsia="Calibri" w:hAnsi="Times New Roman" w:cs="Times New Roman"/>
          <w:sz w:val="26"/>
          <w:szCs w:val="26"/>
        </w:rPr>
        <w:t xml:space="preserve"> </w:t>
      </w:r>
      <w:r w:rsidR="00005626">
        <w:rPr>
          <w:rFonts w:ascii="Times New Roman" w:eastAsia="Calibri" w:hAnsi="Times New Roman" w:cs="Times New Roman"/>
          <w:sz w:val="26"/>
          <w:szCs w:val="26"/>
        </w:rPr>
        <w:t xml:space="preserve"> </w:t>
      </w:r>
      <w:r w:rsidR="00005626" w:rsidRPr="00734DA8">
        <w:rPr>
          <w:rFonts w:ascii="Times New Roman" w:eastAsia="Calibri" w:hAnsi="Times New Roman" w:cs="Times New Roman"/>
          <w:sz w:val="26"/>
          <w:szCs w:val="26"/>
        </w:rPr>
        <w:t xml:space="preserve">FERC uses </w:t>
      </w:r>
      <w:r w:rsidR="00005626">
        <w:rPr>
          <w:rFonts w:ascii="Times New Roman" w:eastAsia="Calibri" w:hAnsi="Times New Roman" w:cs="Times New Roman"/>
          <w:sz w:val="26"/>
          <w:szCs w:val="26"/>
        </w:rPr>
        <w:t xml:space="preserve">FERC-714 </w:t>
      </w:r>
      <w:r w:rsidR="00005626" w:rsidRPr="00734DA8">
        <w:rPr>
          <w:rFonts w:ascii="Times New Roman" w:eastAsia="Calibri" w:hAnsi="Times New Roman" w:cs="Times New Roman"/>
          <w:sz w:val="26"/>
          <w:szCs w:val="26"/>
        </w:rPr>
        <w:t>to see the generation needed to meet the load in Regional Transmission Organizations (RTOs</w:t>
      </w:r>
    </w:p>
    <w:p w14:paraId="0096BAE2" w14:textId="77777777" w:rsidR="00005626" w:rsidRPr="00734DA8" w:rsidRDefault="00005626" w:rsidP="00005626">
      <w:pPr>
        <w:spacing w:after="0" w:line="276" w:lineRule="auto"/>
        <w:rPr>
          <w:rFonts w:ascii="Times New Roman" w:eastAsia="Calibri" w:hAnsi="Times New Roman" w:cs="Times New Roman"/>
          <w:sz w:val="26"/>
          <w:szCs w:val="26"/>
        </w:rPr>
      </w:pPr>
    </w:p>
    <w:p w14:paraId="66944994" w14:textId="758716F9" w:rsidR="00191782" w:rsidRPr="00191782" w:rsidRDefault="00005626" w:rsidP="00191782">
      <w:pPr>
        <w:spacing w:after="0" w:line="276" w:lineRule="auto"/>
        <w:rPr>
          <w:rFonts w:ascii="Times New Roman" w:eastAsia="Calibri" w:hAnsi="Times New Roman" w:cs="Times New Roman"/>
          <w:sz w:val="26"/>
          <w:szCs w:val="26"/>
        </w:rPr>
      </w:pPr>
      <w:r w:rsidRPr="00734DA8">
        <w:rPr>
          <w:rFonts w:ascii="Times New Roman" w:eastAsia="Calibri" w:hAnsi="Times New Roman" w:cs="Times New Roman"/>
          <w:sz w:val="26"/>
          <w:szCs w:val="26"/>
        </w:rPr>
        <w:t xml:space="preserve">The Form 714 data are </w:t>
      </w:r>
      <w:r>
        <w:rPr>
          <w:rFonts w:ascii="Times New Roman" w:eastAsia="Calibri" w:hAnsi="Times New Roman" w:cs="Times New Roman"/>
          <w:sz w:val="26"/>
          <w:szCs w:val="26"/>
        </w:rPr>
        <w:t xml:space="preserve">also </w:t>
      </w:r>
      <w:r w:rsidRPr="00734DA8">
        <w:rPr>
          <w:rFonts w:ascii="Times New Roman" w:eastAsia="Calibri" w:hAnsi="Times New Roman" w:cs="Times New Roman"/>
          <w:sz w:val="26"/>
          <w:szCs w:val="26"/>
        </w:rPr>
        <w:t xml:space="preserve">used by researchers, </w:t>
      </w:r>
      <w:r>
        <w:rPr>
          <w:rFonts w:ascii="Times New Roman" w:eastAsia="Calibri" w:hAnsi="Times New Roman" w:cs="Times New Roman"/>
          <w:sz w:val="26"/>
          <w:szCs w:val="26"/>
        </w:rPr>
        <w:t>academia</w:t>
      </w:r>
      <w:r w:rsidRPr="00734DA8">
        <w:rPr>
          <w:rFonts w:ascii="Times New Roman" w:eastAsia="Calibri" w:hAnsi="Times New Roman" w:cs="Times New Roman"/>
          <w:sz w:val="26"/>
          <w:szCs w:val="26"/>
        </w:rPr>
        <w:t>, and industry professionals to identify the generation resources in a Balancing Authority Area, the hourly lambda pricing ($/MWh), the load demand of a Planning Authority Area, and the load forecasts for an area.  </w:t>
      </w:r>
    </w:p>
    <w:p w14:paraId="61D793C2" w14:textId="77777777" w:rsidR="00005626" w:rsidRDefault="00191782" w:rsidP="00734DA8">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consequence of not collecting the information contained within the FERC</w:t>
      </w:r>
      <w:r w:rsidR="00BD4F83">
        <w:rPr>
          <w:rFonts w:ascii="Times New Roman" w:eastAsia="Calibri" w:hAnsi="Times New Roman" w:cs="Times New Roman"/>
          <w:sz w:val="26"/>
          <w:szCs w:val="26"/>
        </w:rPr>
        <w:t xml:space="preserve"> Form</w:t>
      </w:r>
      <w:r w:rsidRPr="00191782">
        <w:rPr>
          <w:rFonts w:ascii="Times New Roman" w:eastAsia="Calibri" w:hAnsi="Times New Roman" w:cs="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264C6BAB" w14:textId="77777777" w:rsidR="00005626" w:rsidRDefault="00005626" w:rsidP="00734DA8">
      <w:pPr>
        <w:spacing w:after="0" w:line="276" w:lineRule="auto"/>
        <w:rPr>
          <w:rFonts w:ascii="Times New Roman" w:eastAsia="Calibri" w:hAnsi="Times New Roman" w:cs="Times New Roman"/>
          <w:sz w:val="26"/>
          <w:szCs w:val="26"/>
        </w:rPr>
      </w:pPr>
    </w:p>
    <w:p w14:paraId="5CCB5211" w14:textId="3A8D306E" w:rsidR="00005626" w:rsidRPr="00734DA8" w:rsidRDefault="00734DA8" w:rsidP="00734DA8">
      <w:pPr>
        <w:spacing w:after="0" w:line="276" w:lineRule="auto"/>
        <w:rPr>
          <w:rFonts w:ascii="Times New Roman" w:eastAsia="Calibri" w:hAnsi="Times New Roman" w:cs="Times New Roman"/>
          <w:sz w:val="26"/>
          <w:szCs w:val="26"/>
        </w:rPr>
      </w:pPr>
      <w:r w:rsidRPr="00734DA8">
        <w:rPr>
          <w:rFonts w:ascii="Times New Roman" w:eastAsia="Calibri" w:hAnsi="Times New Roman" w:cs="Times New Roman"/>
          <w:sz w:val="26"/>
          <w:szCs w:val="26"/>
        </w:rPr>
        <w:t xml:space="preserve"> </w:t>
      </w:r>
    </w:p>
    <w:p w14:paraId="7F1832EF" w14:textId="77777777" w:rsidR="00191782" w:rsidRPr="00191782" w:rsidRDefault="00734DA8" w:rsidP="00191782">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191782" w:rsidRPr="00191782">
        <w:rPr>
          <w:rFonts w:ascii="Times New Roman" w:eastAsia="Calibri" w:hAnsi="Times New Roman" w:cs="Times New Roman"/>
          <w:sz w:val="26"/>
          <w:szCs w:val="26"/>
        </w:rPr>
        <w:t xml:space="preserve"> Additionally, the Commission would fail to meet its statutory mandates.</w:t>
      </w:r>
    </w:p>
    <w:p w14:paraId="5E66F614" w14:textId="77777777" w:rsidR="00191782" w:rsidRPr="00191782" w:rsidRDefault="00191782" w:rsidP="00191782">
      <w:pPr>
        <w:spacing w:after="0" w:line="276" w:lineRule="auto"/>
        <w:rPr>
          <w:rFonts w:ascii="Times New Roman" w:eastAsia="Calibri" w:hAnsi="Times New Roman" w:cs="Times New Roman"/>
          <w:sz w:val="26"/>
          <w:szCs w:val="26"/>
        </w:rPr>
      </w:pPr>
    </w:p>
    <w:p w14:paraId="2EFB55D4"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14:paraId="7B186374" w14:textId="77777777" w:rsidR="00191782" w:rsidRPr="00191782" w:rsidRDefault="00191782" w:rsidP="00191782">
      <w:pPr>
        <w:spacing w:after="0" w:line="276" w:lineRule="auto"/>
        <w:rPr>
          <w:rFonts w:ascii="Times New Roman" w:eastAsia="Calibri" w:hAnsi="Times New Roman" w:cs="Times New Roman"/>
          <w:sz w:val="26"/>
          <w:szCs w:val="26"/>
        </w:rPr>
      </w:pPr>
    </w:p>
    <w:p w14:paraId="71AC573E" w14:textId="77777777" w:rsidR="00191782" w:rsidRPr="00D6725B" w:rsidRDefault="00191782" w:rsidP="00191782">
      <w:pPr>
        <w:spacing w:after="0" w:line="276" w:lineRule="auto"/>
        <w:rPr>
          <w:rFonts w:ascii="Times New Roman" w:eastAsia="Calibri" w:hAnsi="Times New Roman" w:cs="Times New Roman"/>
          <w:sz w:val="26"/>
          <w:szCs w:val="26"/>
        </w:rPr>
      </w:pPr>
      <w:r w:rsidRPr="00D6725B">
        <w:rPr>
          <w:rFonts w:ascii="Times New Roman" w:eastAsia="Calibri" w:hAnsi="Times New Roman" w:cs="Times New Roman"/>
          <w:sz w:val="26"/>
          <w:szCs w:val="26"/>
        </w:rPr>
        <w:lastRenderedPageBreak/>
        <w:t>Submission of the FERC</w:t>
      </w:r>
      <w:r w:rsidR="00BD4F83">
        <w:rPr>
          <w:rFonts w:ascii="Times New Roman" w:eastAsia="Calibri" w:hAnsi="Times New Roman" w:cs="Times New Roman"/>
          <w:sz w:val="26"/>
          <w:szCs w:val="26"/>
        </w:rPr>
        <w:t xml:space="preserve"> Form</w:t>
      </w:r>
      <w:r w:rsidRPr="00D6725B">
        <w:rPr>
          <w:rFonts w:ascii="Times New Roman" w:eastAsia="Calibri" w:hAnsi="Times New Roman" w:cs="Times New Roman"/>
          <w:sz w:val="26"/>
          <w:szCs w:val="26"/>
        </w:rPr>
        <w:t>714 occurs annually and electronically through the FERC</w:t>
      </w:r>
      <w:r w:rsidR="00BD4F83">
        <w:rPr>
          <w:rFonts w:ascii="Times New Roman" w:eastAsia="Calibri" w:hAnsi="Times New Roman" w:cs="Times New Roman"/>
          <w:sz w:val="26"/>
          <w:szCs w:val="26"/>
        </w:rPr>
        <w:t xml:space="preserve"> Form</w:t>
      </w:r>
      <w:r w:rsidRPr="00D6725B">
        <w:rPr>
          <w:rFonts w:ascii="Times New Roman" w:eastAsia="Calibri" w:hAnsi="Times New Roman" w:cs="Times New Roman"/>
          <w:sz w:val="26"/>
          <w:szCs w:val="26"/>
        </w:rPr>
        <w:t>714 Submission Software.  For any necessary resubmissions, the FERC</w:t>
      </w:r>
      <w:r w:rsidR="00BD4F83">
        <w:rPr>
          <w:rFonts w:ascii="Times New Roman" w:eastAsia="Calibri" w:hAnsi="Times New Roman" w:cs="Times New Roman"/>
          <w:sz w:val="26"/>
          <w:szCs w:val="26"/>
        </w:rPr>
        <w:t xml:space="preserve"> Form</w:t>
      </w:r>
      <w:r w:rsidRPr="00D6725B">
        <w:rPr>
          <w:rFonts w:ascii="Times New Roman" w:eastAsia="Calibri" w:hAnsi="Times New Roman" w:cs="Times New Roman"/>
          <w:sz w:val="26"/>
          <w:szCs w:val="26"/>
        </w:rPr>
        <w:t>714 Submission Software should be used to resubmit the filing.</w:t>
      </w:r>
    </w:p>
    <w:p w14:paraId="7B9BDA55" w14:textId="77777777" w:rsidR="00191782" w:rsidRPr="00D6725B" w:rsidRDefault="00191782" w:rsidP="00191782">
      <w:pPr>
        <w:spacing w:after="0" w:line="276" w:lineRule="auto"/>
        <w:rPr>
          <w:rFonts w:ascii="Times New Roman" w:eastAsia="Calibri" w:hAnsi="Times New Roman" w:cs="Times New Roman"/>
          <w:sz w:val="26"/>
          <w:szCs w:val="26"/>
        </w:rPr>
      </w:pPr>
    </w:p>
    <w:p w14:paraId="2513F5FA" w14:textId="77777777" w:rsidR="00191782" w:rsidRPr="00191782" w:rsidRDefault="00191782" w:rsidP="00191782">
      <w:pPr>
        <w:spacing w:after="0" w:line="276" w:lineRule="auto"/>
        <w:rPr>
          <w:rFonts w:ascii="Times New Roman" w:eastAsia="Calibri" w:hAnsi="Times New Roman" w:cs="Times New Roman"/>
          <w:sz w:val="26"/>
          <w:szCs w:val="26"/>
        </w:rPr>
      </w:pPr>
      <w:r w:rsidRPr="00D6725B">
        <w:rPr>
          <w:rFonts w:ascii="Times New Roman" w:eastAsia="Calibri" w:hAnsi="Times New Roman" w:cs="Times New Roman"/>
          <w:sz w:val="26"/>
          <w:szCs w:val="26"/>
        </w:rPr>
        <w:t>For information regarding the FERC</w:t>
      </w:r>
      <w:r w:rsidR="00BD4F83">
        <w:rPr>
          <w:rFonts w:ascii="Times New Roman" w:eastAsia="Calibri" w:hAnsi="Times New Roman" w:cs="Times New Roman"/>
          <w:sz w:val="26"/>
          <w:szCs w:val="26"/>
        </w:rPr>
        <w:t xml:space="preserve"> Form</w:t>
      </w:r>
      <w:r w:rsidRPr="00D6725B">
        <w:rPr>
          <w:rFonts w:ascii="Times New Roman" w:eastAsia="Calibri" w:hAnsi="Times New Roman" w:cs="Times New Roman"/>
          <w:sz w:val="26"/>
          <w:szCs w:val="26"/>
        </w:rPr>
        <w:t xml:space="preserve">714 Submission Software, go to </w:t>
      </w:r>
      <w:hyperlink r:id="rId14" w:history="1">
        <w:r w:rsidRPr="00D6725B">
          <w:rPr>
            <w:rFonts w:ascii="Times New Roman" w:eastAsia="Calibri" w:hAnsi="Times New Roman" w:cs="Times New Roman"/>
            <w:color w:val="0000FF"/>
            <w:sz w:val="26"/>
            <w:szCs w:val="26"/>
            <w:u w:val="single"/>
          </w:rPr>
          <w:t>http://www.ferc.gov/docs-filing/forms/form-714/elec-subm-soft.asp</w:t>
        </w:r>
      </w:hyperlink>
      <w:r w:rsidRPr="00D6725B">
        <w:rPr>
          <w:rFonts w:ascii="Times New Roman" w:eastAsia="Calibri" w:hAnsi="Times New Roman" w:cs="Times New Roman"/>
          <w:sz w:val="26"/>
          <w:szCs w:val="26"/>
        </w:rPr>
        <w:t>.  For additional guidance on the FERC</w:t>
      </w:r>
      <w:r w:rsidR="00BD4F83">
        <w:rPr>
          <w:rFonts w:ascii="Times New Roman" w:eastAsia="Calibri" w:hAnsi="Times New Roman" w:cs="Times New Roman"/>
          <w:sz w:val="26"/>
          <w:szCs w:val="26"/>
        </w:rPr>
        <w:t xml:space="preserve"> Form</w:t>
      </w:r>
      <w:r w:rsidRPr="00D6725B">
        <w:rPr>
          <w:rFonts w:ascii="Times New Roman" w:eastAsia="Calibri" w:hAnsi="Times New Roman" w:cs="Times New Roman"/>
          <w:sz w:val="26"/>
          <w:szCs w:val="26"/>
        </w:rPr>
        <w:t xml:space="preserve">714, go to </w:t>
      </w:r>
      <w:hyperlink r:id="rId15" w:anchor="714" w:history="1">
        <w:r w:rsidR="004E697A" w:rsidRPr="00D6725B">
          <w:rPr>
            <w:rStyle w:val="Hyperlink"/>
            <w:rFonts w:ascii="Times New Roman" w:eastAsia="Calibri" w:hAnsi="Times New Roman" w:cs="Times New Roman"/>
            <w:sz w:val="26"/>
            <w:szCs w:val="26"/>
          </w:rPr>
          <w:t>https://www.ferc.gov/docs-filing/forms.asp#714</w:t>
        </w:r>
      </w:hyperlink>
    </w:p>
    <w:p w14:paraId="09D03E7B" w14:textId="77777777" w:rsidR="00191782" w:rsidRPr="00191782" w:rsidRDefault="00191782" w:rsidP="00191782">
      <w:pPr>
        <w:spacing w:after="0" w:line="276" w:lineRule="auto"/>
        <w:rPr>
          <w:rFonts w:ascii="Times New Roman" w:eastAsia="Calibri" w:hAnsi="Times New Roman" w:cs="Times New Roman"/>
          <w:sz w:val="26"/>
          <w:szCs w:val="26"/>
        </w:rPr>
      </w:pPr>
    </w:p>
    <w:p w14:paraId="14F9B32D"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4A5B8B8E" w14:textId="77777777" w:rsidR="00191782" w:rsidRPr="00D9353F" w:rsidRDefault="00191782" w:rsidP="00191782">
      <w:pPr>
        <w:spacing w:after="0" w:line="276" w:lineRule="auto"/>
        <w:rPr>
          <w:rFonts w:ascii="Times New Roman" w:eastAsia="Calibri" w:hAnsi="Times New Roman" w:cs="Times New Roman"/>
          <w:sz w:val="26"/>
          <w:szCs w:val="26"/>
        </w:rPr>
      </w:pPr>
    </w:p>
    <w:p w14:paraId="3505A7FE" w14:textId="77777777" w:rsidR="004B791A" w:rsidRPr="00D9353F" w:rsidRDefault="004B791A" w:rsidP="004B791A">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Filing requirements are periodically reviewed as OMB review dates arise, or as the Commission may deem necessary in carrying out its responsibilities, in order to eliminate duplication and ensure that filing burden is minimized.  The Commission believes there are similar sources of information available</w:t>
      </w:r>
      <w:r w:rsidR="00B84BBB">
        <w:rPr>
          <w:rFonts w:ascii="Times New Roman" w:eastAsia="Calibri" w:hAnsi="Times New Roman" w:cs="Times New Roman"/>
          <w:sz w:val="26"/>
          <w:szCs w:val="26"/>
        </w:rPr>
        <w:t xml:space="preserve">, but </w:t>
      </w:r>
      <w:r w:rsidR="00BD4F83">
        <w:rPr>
          <w:rFonts w:ascii="Times New Roman" w:eastAsia="Calibri" w:hAnsi="Times New Roman" w:cs="Times New Roman"/>
          <w:sz w:val="26"/>
          <w:szCs w:val="26"/>
        </w:rPr>
        <w:t>FERC Form</w:t>
      </w:r>
      <w:r w:rsidR="00B84BBB">
        <w:rPr>
          <w:rFonts w:ascii="Times New Roman" w:eastAsia="Calibri" w:hAnsi="Times New Roman" w:cs="Times New Roman"/>
          <w:sz w:val="26"/>
          <w:szCs w:val="26"/>
        </w:rPr>
        <w:t xml:space="preserve"> 714 </w:t>
      </w:r>
      <w:r w:rsidR="003942C7">
        <w:rPr>
          <w:rFonts w:ascii="Times New Roman" w:eastAsia="Calibri" w:hAnsi="Times New Roman" w:cs="Times New Roman"/>
          <w:sz w:val="26"/>
          <w:szCs w:val="26"/>
        </w:rPr>
        <w:t xml:space="preserve">has some unique data </w:t>
      </w:r>
      <w:r w:rsidR="00B84BBB">
        <w:rPr>
          <w:rFonts w:ascii="Times New Roman" w:eastAsia="Calibri" w:hAnsi="Times New Roman" w:cs="Times New Roman"/>
          <w:sz w:val="26"/>
          <w:szCs w:val="26"/>
        </w:rPr>
        <w:t xml:space="preserve">collection </w:t>
      </w:r>
      <w:r w:rsidR="003942C7">
        <w:rPr>
          <w:rFonts w:ascii="Times New Roman" w:eastAsia="Calibri" w:hAnsi="Times New Roman" w:cs="Times New Roman"/>
          <w:sz w:val="26"/>
          <w:szCs w:val="26"/>
        </w:rPr>
        <w:t>that</w:t>
      </w:r>
      <w:r w:rsidR="00B84BBB">
        <w:rPr>
          <w:rFonts w:ascii="Times New Roman" w:eastAsia="Calibri" w:hAnsi="Times New Roman" w:cs="Times New Roman"/>
          <w:sz w:val="26"/>
          <w:szCs w:val="26"/>
        </w:rPr>
        <w:t xml:space="preserve"> is beneficial to Commission staff and industry.</w:t>
      </w:r>
    </w:p>
    <w:p w14:paraId="350A9A35" w14:textId="77777777" w:rsidR="00191782" w:rsidRPr="00191782" w:rsidRDefault="00191782" w:rsidP="00191782">
      <w:pPr>
        <w:spacing w:after="0" w:line="276" w:lineRule="auto"/>
        <w:rPr>
          <w:rFonts w:ascii="Times New Roman" w:eastAsia="Calibri" w:hAnsi="Times New Roman" w:cs="Times New Roman"/>
          <w:sz w:val="26"/>
          <w:szCs w:val="26"/>
          <w:highlight w:val="yellow"/>
        </w:rPr>
      </w:pPr>
    </w:p>
    <w:p w14:paraId="72CAC269" w14:textId="77777777" w:rsidR="00191782" w:rsidRDefault="00BD4F83" w:rsidP="00191782">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One similar source is t</w:t>
      </w:r>
      <w:r w:rsidR="00916319">
        <w:rPr>
          <w:rFonts w:ascii="Times New Roman" w:eastAsia="Calibri" w:hAnsi="Times New Roman" w:cs="Times New Roman"/>
          <w:sz w:val="26"/>
          <w:szCs w:val="26"/>
        </w:rPr>
        <w:t xml:space="preserve">he U.S. Energy Information Administration (EIA) form EIA-930: Hourly and </w:t>
      </w:r>
      <w:r>
        <w:rPr>
          <w:rFonts w:ascii="Times New Roman" w:eastAsia="Calibri" w:hAnsi="Times New Roman" w:cs="Times New Roman"/>
          <w:sz w:val="26"/>
          <w:szCs w:val="26"/>
        </w:rPr>
        <w:t>D</w:t>
      </w:r>
      <w:r w:rsidR="00916319">
        <w:rPr>
          <w:rFonts w:ascii="Times New Roman" w:eastAsia="Calibri" w:hAnsi="Times New Roman" w:cs="Times New Roman"/>
          <w:sz w:val="26"/>
          <w:szCs w:val="26"/>
        </w:rPr>
        <w:t xml:space="preserve">aily Balancing Authority Operations Report provides near real-time status and trends of the electric power industry. </w:t>
      </w:r>
      <w:r w:rsidR="001E18CC" w:rsidRPr="001E18CC">
        <w:rPr>
          <w:rFonts w:ascii="Times New Roman" w:eastAsia="Calibri" w:hAnsi="Times New Roman" w:cs="Times New Roman"/>
          <w:sz w:val="26"/>
          <w:szCs w:val="26"/>
        </w:rPr>
        <w:t>However, the EIA-930 does not include more granular data on generating plant capabilities, identification of adjacent interconnections, or system lambda.  Also, there are no other Federal agencies responsible for obtaining planning area-level data consisting of forecasted demands and hourly demand characteristics from electric utility entities with fundamental demand responsibilities.</w:t>
      </w:r>
      <w:r w:rsidR="00883DD3" w:rsidRPr="00813871">
        <w:rPr>
          <w:rStyle w:val="FootnoteReference"/>
          <w:rFonts w:ascii="Times New Roman" w:eastAsia="Calibri" w:hAnsi="Times New Roman" w:cs="Times New Roman"/>
          <w:sz w:val="26"/>
          <w:szCs w:val="26"/>
          <w:vertAlign w:val="superscript"/>
        </w:rPr>
        <w:footnoteReference w:id="2"/>
      </w:r>
      <w:r w:rsidR="00A42785">
        <w:rPr>
          <w:rFonts w:ascii="Times New Roman" w:eastAsia="Calibri" w:hAnsi="Times New Roman" w:cs="Times New Roman"/>
          <w:sz w:val="26"/>
          <w:szCs w:val="26"/>
        </w:rPr>
        <w:t xml:space="preserve">  These items noted are included in the form FERC</w:t>
      </w:r>
      <w:r>
        <w:rPr>
          <w:rFonts w:ascii="Times New Roman" w:eastAsia="Calibri" w:hAnsi="Times New Roman" w:cs="Times New Roman"/>
          <w:sz w:val="26"/>
          <w:szCs w:val="26"/>
        </w:rPr>
        <w:t xml:space="preserve"> Form</w:t>
      </w:r>
      <w:r w:rsidR="00A42785">
        <w:rPr>
          <w:rFonts w:ascii="Times New Roman" w:eastAsia="Calibri" w:hAnsi="Times New Roman" w:cs="Times New Roman"/>
          <w:sz w:val="26"/>
          <w:szCs w:val="26"/>
        </w:rPr>
        <w:t>714.</w:t>
      </w:r>
    </w:p>
    <w:p w14:paraId="67912A35" w14:textId="77777777" w:rsidR="001E18CC" w:rsidRPr="00191782" w:rsidRDefault="001E18CC" w:rsidP="00191782">
      <w:pPr>
        <w:spacing w:after="0" w:line="276" w:lineRule="auto"/>
        <w:rPr>
          <w:rFonts w:ascii="Times New Roman" w:eastAsia="Calibri" w:hAnsi="Times New Roman" w:cs="Times New Roman"/>
          <w:sz w:val="26"/>
          <w:szCs w:val="26"/>
        </w:rPr>
      </w:pPr>
    </w:p>
    <w:p w14:paraId="470D1B08"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METHODS USED TO MINIMIZE THE BURDEN IN COLLECTION OF INFORMATION INVOLVING SMALL ENTITIES</w:t>
      </w:r>
    </w:p>
    <w:p w14:paraId="5CD2CB56" w14:textId="77777777" w:rsidR="00191782" w:rsidRPr="00191782" w:rsidRDefault="00191782" w:rsidP="00191782">
      <w:pPr>
        <w:spacing w:after="0" w:line="276" w:lineRule="auto"/>
        <w:rPr>
          <w:rFonts w:ascii="Times New Roman" w:eastAsia="Calibri" w:hAnsi="Times New Roman" w:cs="Times New Roman"/>
          <w:sz w:val="26"/>
          <w:szCs w:val="26"/>
        </w:rPr>
      </w:pPr>
    </w:p>
    <w:p w14:paraId="1DCF7C62" w14:textId="77777777" w:rsidR="00191782" w:rsidRDefault="004B791A" w:rsidP="00191782">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 Commission attempts to impose the least burden possible upon respondents in any requirements for data and any requisite filings made.  With specific regard to the FERC</w:t>
      </w:r>
      <w:r w:rsidR="00BD4F83">
        <w:rPr>
          <w:rFonts w:ascii="Times New Roman" w:eastAsia="Calibri" w:hAnsi="Times New Roman" w:cs="Times New Roman"/>
          <w:sz w:val="26"/>
          <w:szCs w:val="26"/>
        </w:rPr>
        <w:t xml:space="preserve"> Form</w:t>
      </w:r>
      <w:r w:rsidRPr="00D9353F">
        <w:rPr>
          <w:rFonts w:ascii="Times New Roman" w:eastAsia="Calibri" w:hAnsi="Times New Roman" w:cs="Times New Roman"/>
          <w:sz w:val="26"/>
          <w:szCs w:val="26"/>
        </w:rPr>
        <w:t>714, t</w:t>
      </w:r>
      <w:r w:rsidR="00191782" w:rsidRPr="00191782">
        <w:rPr>
          <w:rFonts w:ascii="Times New Roman" w:eastAsia="Calibri" w:hAnsi="Times New Roman" w:cs="Times New Roman"/>
          <w:sz w:val="26"/>
          <w:szCs w:val="26"/>
        </w:rPr>
        <w:t>he Commission requires each balancing authority area and each electric utility with its planning area annual peak demand greater than 200 megawatts (MW) to provide the FERC</w:t>
      </w:r>
      <w:r w:rsidR="00BD4F83">
        <w:rPr>
          <w:rFonts w:ascii="Times New Roman" w:eastAsia="Calibri" w:hAnsi="Times New Roman" w:cs="Times New Roman"/>
          <w:sz w:val="26"/>
          <w:szCs w:val="26"/>
        </w:rPr>
        <w:t xml:space="preserve"> Form </w:t>
      </w:r>
      <w:r w:rsidR="00191782" w:rsidRPr="00191782">
        <w:rPr>
          <w:rFonts w:ascii="Times New Roman" w:eastAsia="Calibri" w:hAnsi="Times New Roman" w:cs="Times New Roman"/>
          <w:sz w:val="26"/>
          <w:szCs w:val="26"/>
        </w:rPr>
        <w:t>714 filing as a means of reducing burden for small entities.  This 200 MW threshold can result in a slight variation year to year in the number of balancing authorities and planning areas that are required to file the FERC</w:t>
      </w:r>
      <w:r w:rsidR="00BD4F83">
        <w:rPr>
          <w:rFonts w:ascii="Times New Roman" w:eastAsia="Calibri" w:hAnsi="Times New Roman" w:cs="Times New Roman"/>
          <w:sz w:val="26"/>
          <w:szCs w:val="26"/>
        </w:rPr>
        <w:t xml:space="preserve"> Form</w:t>
      </w:r>
      <w:r w:rsidR="00191782" w:rsidRPr="00191782">
        <w:rPr>
          <w:rFonts w:ascii="Times New Roman" w:eastAsia="Calibri" w:hAnsi="Times New Roman" w:cs="Times New Roman"/>
          <w:sz w:val="26"/>
          <w:szCs w:val="26"/>
        </w:rPr>
        <w:t>714.  Small entities may have personnel constraints, and a significant increase in burden may be caused by requiring these entities to submit the FERC</w:t>
      </w:r>
      <w:r w:rsidR="00BD4F83">
        <w:rPr>
          <w:rFonts w:ascii="Times New Roman" w:eastAsia="Calibri" w:hAnsi="Times New Roman" w:cs="Times New Roman"/>
          <w:sz w:val="26"/>
          <w:szCs w:val="26"/>
        </w:rPr>
        <w:t xml:space="preserve"> Form</w:t>
      </w:r>
      <w:r w:rsidR="00191782" w:rsidRPr="00191782">
        <w:rPr>
          <w:rFonts w:ascii="Times New Roman" w:eastAsia="Calibri" w:hAnsi="Times New Roman" w:cs="Times New Roman"/>
          <w:sz w:val="26"/>
          <w:szCs w:val="26"/>
        </w:rPr>
        <w:t>714 filing, so setting a 200 MW threshold will exempt many of these small entities from having to respond to this collection.</w:t>
      </w:r>
      <w:r w:rsidR="00BD4F83">
        <w:rPr>
          <w:rFonts w:ascii="Times New Roman" w:eastAsia="Calibri" w:hAnsi="Times New Roman" w:cs="Times New Roman"/>
          <w:sz w:val="26"/>
          <w:szCs w:val="26"/>
        </w:rPr>
        <w:t xml:space="preserve"> </w:t>
      </w:r>
    </w:p>
    <w:p w14:paraId="3BE382C9" w14:textId="77777777" w:rsidR="00BD4F83" w:rsidRPr="00191782" w:rsidRDefault="00BD4F83" w:rsidP="00191782">
      <w:pPr>
        <w:spacing w:after="0" w:line="276" w:lineRule="auto"/>
        <w:rPr>
          <w:rFonts w:ascii="Times New Roman" w:eastAsia="Calibri" w:hAnsi="Times New Roman" w:cs="Times New Roman"/>
          <w:sz w:val="26"/>
          <w:szCs w:val="26"/>
        </w:rPr>
      </w:pPr>
    </w:p>
    <w:p w14:paraId="221D21ED"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CONSEQUENCE TO FEDERAL PROGRAM IF COLLECTION WERE CONDUCTED LESS FREQUENTLY</w:t>
      </w:r>
    </w:p>
    <w:p w14:paraId="52AB50D2" w14:textId="77777777" w:rsidR="00191782" w:rsidRPr="00D9353F" w:rsidRDefault="00191782" w:rsidP="00191782">
      <w:pPr>
        <w:spacing w:after="0" w:line="276" w:lineRule="auto"/>
        <w:rPr>
          <w:rFonts w:ascii="Times New Roman" w:eastAsia="Calibri" w:hAnsi="Times New Roman" w:cs="Times New Roman"/>
          <w:sz w:val="26"/>
          <w:szCs w:val="26"/>
        </w:rPr>
      </w:pPr>
    </w:p>
    <w:p w14:paraId="11486C52" w14:textId="77777777" w:rsidR="004B791A" w:rsidRPr="00D9353F" w:rsidRDefault="004B791A" w:rsidP="004B791A">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Some of the information in particular filings may change markedly from one year to the next.  If the information were collected less frequently, the Commission would be unable to perform its mandated review and oversight in a timely and accurate manner.</w:t>
      </w:r>
    </w:p>
    <w:p w14:paraId="22704C13" w14:textId="77777777" w:rsidR="004B791A" w:rsidRPr="00191782" w:rsidRDefault="004B791A" w:rsidP="00191782">
      <w:pPr>
        <w:spacing w:after="0" w:line="276" w:lineRule="auto"/>
        <w:rPr>
          <w:rFonts w:ascii="Times New Roman" w:eastAsia="Calibri" w:hAnsi="Times New Roman" w:cs="Times New Roman"/>
          <w:sz w:val="26"/>
          <w:szCs w:val="26"/>
        </w:rPr>
      </w:pPr>
    </w:p>
    <w:p w14:paraId="492336EA"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information collected is used on a continual basis by:</w:t>
      </w:r>
    </w:p>
    <w:p w14:paraId="66FE89D2" w14:textId="77777777" w:rsidR="00191782" w:rsidRPr="00191782" w:rsidRDefault="00191782" w:rsidP="00191782">
      <w:pPr>
        <w:spacing w:after="0" w:line="276" w:lineRule="auto"/>
        <w:ind w:left="720" w:hanging="720"/>
        <w:rPr>
          <w:rFonts w:ascii="Times New Roman" w:eastAsia="Calibri" w:hAnsi="Times New Roman" w:cs="Times New Roman"/>
          <w:sz w:val="26"/>
          <w:szCs w:val="26"/>
        </w:rPr>
      </w:pPr>
      <w:r w:rsidRPr="00191782">
        <w:rPr>
          <w:rFonts w:ascii="Times New Roman" w:eastAsia="Calibri" w:hAnsi="Times New Roman" w:cs="Times New Roman"/>
          <w:sz w:val="26"/>
          <w:szCs w:val="26"/>
        </w:rPr>
        <w:t>•</w:t>
      </w:r>
      <w:r w:rsidRPr="00191782">
        <w:rPr>
          <w:rFonts w:ascii="Times New Roman" w:eastAsia="Calibri" w:hAnsi="Times New Roman" w:cs="Times New Roman"/>
          <w:sz w:val="26"/>
          <w:szCs w:val="26"/>
        </w:rPr>
        <w:tab/>
        <w:t>the Commission staff to review rates and charges, reliability issues and market structure relationships;</w:t>
      </w:r>
    </w:p>
    <w:p w14:paraId="4DFA1CD2" w14:textId="77777777" w:rsidR="00191782" w:rsidRPr="00191782" w:rsidRDefault="00191782" w:rsidP="00191782">
      <w:pPr>
        <w:spacing w:after="0" w:line="276" w:lineRule="auto"/>
        <w:ind w:left="720" w:hanging="720"/>
        <w:rPr>
          <w:rFonts w:ascii="Times New Roman" w:eastAsia="Calibri" w:hAnsi="Times New Roman" w:cs="Times New Roman"/>
          <w:sz w:val="26"/>
          <w:szCs w:val="26"/>
        </w:rPr>
      </w:pPr>
      <w:r w:rsidRPr="00191782">
        <w:rPr>
          <w:rFonts w:ascii="Times New Roman" w:eastAsia="Calibri" w:hAnsi="Times New Roman" w:cs="Times New Roman"/>
          <w:sz w:val="26"/>
          <w:szCs w:val="26"/>
        </w:rPr>
        <w:t>•</w:t>
      </w:r>
      <w:r w:rsidRPr="00191782">
        <w:rPr>
          <w:rFonts w:ascii="Times New Roman" w:eastAsia="Calibri" w:hAnsi="Times New Roman" w:cs="Times New Roman"/>
          <w:sz w:val="26"/>
          <w:szCs w:val="26"/>
        </w:rPr>
        <w:tab/>
        <w:t>the U.S. Environmental Protection Agency to monitor the environmental impacts of electric generation as the power industry has become more competitive;</w:t>
      </w:r>
    </w:p>
    <w:p w14:paraId="0F3094D6"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w:t>
      </w:r>
      <w:r w:rsidRPr="00191782">
        <w:rPr>
          <w:rFonts w:ascii="Times New Roman" w:eastAsia="Calibri" w:hAnsi="Times New Roman" w:cs="Times New Roman"/>
          <w:sz w:val="26"/>
          <w:szCs w:val="26"/>
        </w:rPr>
        <w:tab/>
        <w:t>the U.S. Energy Information Administration to model various electricity markets; and</w:t>
      </w:r>
    </w:p>
    <w:p w14:paraId="55CA8279" w14:textId="77777777" w:rsidR="00191782" w:rsidRPr="00191782" w:rsidRDefault="00191782" w:rsidP="00191782">
      <w:pPr>
        <w:spacing w:after="0" w:line="276" w:lineRule="auto"/>
        <w:ind w:left="720" w:hanging="720"/>
        <w:rPr>
          <w:rFonts w:ascii="Times New Roman" w:eastAsia="Calibri" w:hAnsi="Times New Roman" w:cs="Times New Roman"/>
          <w:sz w:val="26"/>
          <w:szCs w:val="26"/>
        </w:rPr>
      </w:pPr>
      <w:r w:rsidRPr="00191782">
        <w:rPr>
          <w:rFonts w:ascii="Times New Roman" w:eastAsia="Calibri" w:hAnsi="Times New Roman" w:cs="Times New Roman"/>
          <w:sz w:val="26"/>
          <w:szCs w:val="26"/>
        </w:rPr>
        <w:t>•</w:t>
      </w:r>
      <w:r w:rsidRPr="00191782">
        <w:rPr>
          <w:rFonts w:ascii="Times New Roman" w:eastAsia="Calibri" w:hAnsi="Times New Roman" w:cs="Times New Roman"/>
          <w:sz w:val="26"/>
          <w:szCs w:val="26"/>
        </w:rPr>
        <w:tab/>
        <w:t>other federal and state regulatory authorities, market participants and the public to access and monitor the wholesale electric market and to determine the competitive impacts of proposed mergers and acquisitions.</w:t>
      </w:r>
    </w:p>
    <w:p w14:paraId="54FC46A7" w14:textId="77777777" w:rsidR="00191782" w:rsidRPr="00191782" w:rsidRDefault="00191782" w:rsidP="00191782">
      <w:pPr>
        <w:spacing w:after="0" w:line="276" w:lineRule="auto"/>
        <w:rPr>
          <w:rFonts w:ascii="Times New Roman" w:eastAsia="Calibri" w:hAnsi="Times New Roman" w:cs="Times New Roman"/>
          <w:sz w:val="26"/>
          <w:szCs w:val="26"/>
        </w:rPr>
      </w:pPr>
    </w:p>
    <w:p w14:paraId="6D2F67AE"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EXPLAIN ANY SPECIAL CIRCUMSTANCES RELATING TO THE INFORMATION COLLECTION</w:t>
      </w:r>
    </w:p>
    <w:p w14:paraId="4EA97772" w14:textId="77777777" w:rsidR="00191782" w:rsidRPr="00191782" w:rsidRDefault="00191782" w:rsidP="00191782">
      <w:pPr>
        <w:spacing w:after="0" w:line="276" w:lineRule="auto"/>
        <w:rPr>
          <w:rFonts w:ascii="Times New Roman" w:eastAsia="Calibri" w:hAnsi="Times New Roman" w:cs="Times New Roman"/>
          <w:sz w:val="26"/>
          <w:szCs w:val="26"/>
        </w:rPr>
      </w:pPr>
    </w:p>
    <w:p w14:paraId="5658265B"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There are no special circumstances</w:t>
      </w:r>
      <w:r w:rsidR="004B791A" w:rsidRPr="00D9353F">
        <w:rPr>
          <w:rFonts w:ascii="Times New Roman" w:eastAsia="Calibri" w:hAnsi="Times New Roman" w:cs="Times New Roman"/>
          <w:sz w:val="26"/>
          <w:szCs w:val="26"/>
        </w:rPr>
        <w:t xml:space="preserve"> related to this collection</w:t>
      </w:r>
      <w:r w:rsidRPr="00191782">
        <w:rPr>
          <w:rFonts w:ascii="Times New Roman" w:eastAsia="Calibri" w:hAnsi="Times New Roman" w:cs="Times New Roman"/>
          <w:sz w:val="26"/>
          <w:szCs w:val="26"/>
        </w:rPr>
        <w:t xml:space="preserve">. </w:t>
      </w:r>
    </w:p>
    <w:p w14:paraId="0EC45803" w14:textId="77777777" w:rsidR="00191782" w:rsidRPr="00191782" w:rsidRDefault="00191782" w:rsidP="00191782">
      <w:pPr>
        <w:spacing w:after="0" w:line="276" w:lineRule="auto"/>
        <w:rPr>
          <w:rFonts w:ascii="Times New Roman" w:eastAsia="Calibri" w:hAnsi="Times New Roman" w:cs="Times New Roman"/>
          <w:sz w:val="26"/>
          <w:szCs w:val="26"/>
        </w:rPr>
      </w:pPr>
    </w:p>
    <w:p w14:paraId="1D713499"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DESCRIBE EFFORTS TO CONSULT OUTSIDE THE AGENCY: SUMMARIZE PUBLIC COMMENTS AND THE AGENCY’S RESPONSE</w:t>
      </w:r>
    </w:p>
    <w:p w14:paraId="1AFB8C54" w14:textId="77777777" w:rsidR="00191782" w:rsidRPr="00191782" w:rsidRDefault="00191782" w:rsidP="00191782">
      <w:pPr>
        <w:spacing w:after="0" w:line="276" w:lineRule="auto"/>
        <w:rPr>
          <w:rFonts w:ascii="Times New Roman" w:eastAsia="Calibri" w:hAnsi="Times New Roman" w:cs="Times New Roman"/>
          <w:sz w:val="26"/>
          <w:szCs w:val="26"/>
        </w:rPr>
      </w:pPr>
    </w:p>
    <w:p w14:paraId="3F433594" w14:textId="77777777" w:rsidR="004B791A" w:rsidRPr="00D9353F" w:rsidRDefault="004B791A" w:rsidP="004B791A">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In accordance with OMB requirements</w:t>
      </w:r>
      <w:r w:rsidRPr="00D9353F">
        <w:rPr>
          <w:rFonts w:ascii="Times New Roman" w:eastAsia="Calibri" w:hAnsi="Times New Roman" w:cs="Times New Roman"/>
          <w:b/>
          <w:sz w:val="26"/>
          <w:szCs w:val="26"/>
          <w:vertAlign w:val="superscript"/>
        </w:rPr>
        <w:footnoteReference w:id="3"/>
      </w:r>
      <w:r w:rsidRPr="00D9353F">
        <w:rPr>
          <w:rFonts w:ascii="Times New Roman" w:eastAsia="Calibri" w:hAnsi="Times New Roman" w:cs="Times New Roman"/>
          <w:sz w:val="26"/>
          <w:szCs w:val="26"/>
        </w:rPr>
        <w:t>, the Commission published a 60-day notice</w:t>
      </w:r>
      <w:r w:rsidRPr="00D9353F">
        <w:rPr>
          <w:rFonts w:ascii="Times New Roman" w:eastAsia="Calibri" w:hAnsi="Times New Roman" w:cs="Times New Roman"/>
          <w:sz w:val="26"/>
          <w:szCs w:val="26"/>
          <w:vertAlign w:val="superscript"/>
        </w:rPr>
        <w:footnoteReference w:id="4"/>
      </w:r>
      <w:r w:rsidRPr="00D9353F">
        <w:rPr>
          <w:rFonts w:ascii="Times New Roman" w:eastAsia="Calibri" w:hAnsi="Times New Roman" w:cs="Times New Roman"/>
          <w:sz w:val="26"/>
          <w:szCs w:val="26"/>
        </w:rPr>
        <w:t xml:space="preserve"> to the public regarding this information collection on 11/7/2018. The 30-day notice</w:t>
      </w:r>
      <w:r w:rsidR="005A2F83" w:rsidRPr="000E398D">
        <w:rPr>
          <w:rStyle w:val="FootnoteReference"/>
          <w:rFonts w:ascii="Times New Roman" w:eastAsia="Calibri" w:hAnsi="Times New Roman" w:cs="Times New Roman"/>
          <w:sz w:val="26"/>
          <w:szCs w:val="26"/>
          <w:vertAlign w:val="superscript"/>
        </w:rPr>
        <w:footnoteReference w:id="5"/>
      </w:r>
      <w:r w:rsidRPr="00D9353F">
        <w:rPr>
          <w:rFonts w:ascii="Times New Roman" w:eastAsia="Calibri" w:hAnsi="Times New Roman" w:cs="Times New Roman"/>
          <w:sz w:val="26"/>
          <w:szCs w:val="26"/>
        </w:rPr>
        <w:t xml:space="preserve"> publish</w:t>
      </w:r>
      <w:r w:rsidR="005A2F83">
        <w:rPr>
          <w:rFonts w:ascii="Times New Roman" w:eastAsia="Calibri" w:hAnsi="Times New Roman" w:cs="Times New Roman"/>
          <w:sz w:val="26"/>
          <w:szCs w:val="26"/>
        </w:rPr>
        <w:t>ed</w:t>
      </w:r>
      <w:r w:rsidRPr="00D9353F">
        <w:rPr>
          <w:rFonts w:ascii="Times New Roman" w:eastAsia="Calibri" w:hAnsi="Times New Roman" w:cs="Times New Roman"/>
          <w:sz w:val="26"/>
          <w:szCs w:val="26"/>
        </w:rPr>
        <w:t xml:space="preserve"> in the Federal Register</w:t>
      </w:r>
      <w:r w:rsidR="005A2F83">
        <w:rPr>
          <w:rFonts w:ascii="Times New Roman" w:eastAsia="Calibri" w:hAnsi="Times New Roman" w:cs="Times New Roman"/>
          <w:sz w:val="26"/>
          <w:szCs w:val="26"/>
        </w:rPr>
        <w:t xml:space="preserve"> on 3/14/2019</w:t>
      </w:r>
      <w:r w:rsidRPr="00D9353F">
        <w:rPr>
          <w:rFonts w:ascii="Times New Roman" w:eastAsia="Calibri" w:hAnsi="Times New Roman" w:cs="Times New Roman"/>
          <w:sz w:val="26"/>
          <w:szCs w:val="26"/>
        </w:rPr>
        <w:t>. Within the public notice, the Commission noted that it would be requesting a three-year extension of the public reporting burden with no change to the existing requirements concerning the collection of data.  No comments were received on the 60-day notice.</w:t>
      </w:r>
    </w:p>
    <w:p w14:paraId="106B380C" w14:textId="77777777" w:rsidR="00191782" w:rsidRPr="00191782" w:rsidRDefault="00191782" w:rsidP="00191782">
      <w:pPr>
        <w:spacing w:after="0" w:line="276" w:lineRule="auto"/>
        <w:rPr>
          <w:rFonts w:ascii="Times New Roman" w:eastAsia="Calibri" w:hAnsi="Times New Roman" w:cs="Times New Roman"/>
          <w:sz w:val="26"/>
          <w:szCs w:val="26"/>
        </w:rPr>
      </w:pPr>
    </w:p>
    <w:p w14:paraId="7C51F08F"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EXPLAIN ANY PAYMENT OR GIFTS TO RESPONDENTS</w:t>
      </w:r>
    </w:p>
    <w:p w14:paraId="6E8693BC" w14:textId="77777777" w:rsidR="00191782" w:rsidRPr="00191782" w:rsidRDefault="00191782" w:rsidP="00191782">
      <w:pPr>
        <w:spacing w:after="0" w:line="276" w:lineRule="auto"/>
        <w:rPr>
          <w:rFonts w:ascii="Times New Roman" w:eastAsia="Calibri" w:hAnsi="Times New Roman" w:cs="Times New Roman"/>
          <w:sz w:val="26"/>
          <w:szCs w:val="26"/>
        </w:rPr>
      </w:pPr>
    </w:p>
    <w:p w14:paraId="3BDE81D1"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There are no payments or gifts to FERC</w:t>
      </w:r>
      <w:r w:rsidR="00BD4F83">
        <w:rPr>
          <w:rFonts w:ascii="Times New Roman" w:eastAsia="Calibri" w:hAnsi="Times New Roman" w:cs="Times New Roman"/>
          <w:sz w:val="26"/>
          <w:szCs w:val="26"/>
        </w:rPr>
        <w:t xml:space="preserve"> Form</w:t>
      </w:r>
      <w:r w:rsidRPr="00191782">
        <w:rPr>
          <w:rFonts w:ascii="Times New Roman" w:eastAsia="Calibri" w:hAnsi="Times New Roman" w:cs="Times New Roman"/>
          <w:sz w:val="26"/>
          <w:szCs w:val="26"/>
        </w:rPr>
        <w:t>714 respondents.</w:t>
      </w:r>
    </w:p>
    <w:p w14:paraId="622705C4" w14:textId="77777777" w:rsidR="00191782" w:rsidRPr="00191782" w:rsidRDefault="00191782" w:rsidP="00191782">
      <w:pPr>
        <w:spacing w:after="0" w:line="276" w:lineRule="auto"/>
        <w:rPr>
          <w:rFonts w:ascii="Times New Roman" w:eastAsia="Calibri" w:hAnsi="Times New Roman" w:cs="Times New Roman"/>
          <w:sz w:val="26"/>
          <w:szCs w:val="26"/>
        </w:rPr>
      </w:pPr>
    </w:p>
    <w:p w14:paraId="0E151E0D"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DESCRIBE ANY ASSURANCE OF CONFIDENTIALITY PROVIDED TO RESPONDENTS</w:t>
      </w:r>
    </w:p>
    <w:p w14:paraId="5B2E9723" w14:textId="77777777" w:rsidR="00191782" w:rsidRPr="00D9353F" w:rsidRDefault="00191782" w:rsidP="00191782">
      <w:pPr>
        <w:spacing w:after="0" w:line="276" w:lineRule="auto"/>
        <w:rPr>
          <w:rFonts w:ascii="Times New Roman" w:eastAsia="Calibri" w:hAnsi="Times New Roman" w:cs="Times New Roman"/>
          <w:sz w:val="26"/>
          <w:szCs w:val="26"/>
        </w:rPr>
      </w:pPr>
    </w:p>
    <w:p w14:paraId="2568FF52" w14:textId="77777777" w:rsidR="00C36732" w:rsidRPr="00D9353F" w:rsidRDefault="00C36732" w:rsidP="00C36732">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 Commission generally does not consider the information collected in FERC</w:t>
      </w:r>
      <w:r w:rsidR="00DA0C0C">
        <w:rPr>
          <w:rFonts w:ascii="Times New Roman" w:eastAsia="Calibri" w:hAnsi="Times New Roman" w:cs="Times New Roman"/>
          <w:sz w:val="26"/>
          <w:szCs w:val="26"/>
        </w:rPr>
        <w:t xml:space="preserve"> Form</w:t>
      </w:r>
      <w:r w:rsidRPr="00D9353F">
        <w:rPr>
          <w:rFonts w:ascii="Times New Roman" w:eastAsia="Calibri" w:hAnsi="Times New Roman" w:cs="Times New Roman"/>
          <w:sz w:val="26"/>
          <w:szCs w:val="26"/>
        </w:rPr>
        <w:t>7</w:t>
      </w:r>
      <w:r w:rsidR="00A4555D">
        <w:rPr>
          <w:rFonts w:ascii="Times New Roman" w:eastAsia="Calibri" w:hAnsi="Times New Roman" w:cs="Times New Roman"/>
          <w:sz w:val="26"/>
          <w:szCs w:val="26"/>
        </w:rPr>
        <w:t>14</w:t>
      </w:r>
      <w:r w:rsidRPr="00D9353F">
        <w:rPr>
          <w:rFonts w:ascii="Times New Roman" w:eastAsia="Calibri" w:hAnsi="Times New Roman" w:cs="Times New Roman"/>
          <w:sz w:val="26"/>
          <w:szCs w:val="26"/>
        </w:rPr>
        <w:t xml:space="preserve"> filings to be confidential.  However, the filer may request privileged treatment of a filing that may contain information harmful to the competitive posture of the applicant if released to the general public.</w:t>
      </w:r>
      <w:r w:rsidRPr="00D9353F">
        <w:rPr>
          <w:rFonts w:ascii="Times New Roman" w:eastAsia="Calibri" w:hAnsi="Times New Roman" w:cs="Times New Roman"/>
          <w:b/>
          <w:sz w:val="26"/>
          <w:szCs w:val="26"/>
          <w:vertAlign w:val="superscript"/>
        </w:rPr>
        <w:footnoteReference w:id="6"/>
      </w:r>
      <w:r w:rsidRPr="00D9353F">
        <w:rPr>
          <w:rFonts w:ascii="Times New Roman" w:eastAsia="Calibri" w:hAnsi="Times New Roman" w:cs="Times New Roman"/>
          <w:sz w:val="26"/>
          <w:szCs w:val="26"/>
        </w:rPr>
        <w:t xml:space="preserve">  </w:t>
      </w:r>
    </w:p>
    <w:p w14:paraId="4817ABF4" w14:textId="77777777" w:rsidR="00C36732" w:rsidRPr="00D9353F" w:rsidRDefault="00C36732" w:rsidP="00191782">
      <w:pPr>
        <w:spacing w:after="0" w:line="276" w:lineRule="auto"/>
        <w:rPr>
          <w:rFonts w:ascii="Times New Roman" w:eastAsia="Calibri" w:hAnsi="Times New Roman" w:cs="Times New Roman"/>
          <w:sz w:val="26"/>
          <w:szCs w:val="26"/>
        </w:rPr>
      </w:pPr>
    </w:p>
    <w:p w14:paraId="4F2C8E33"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instructions to the form state that:</w:t>
      </w:r>
    </w:p>
    <w:p w14:paraId="7B581D34" w14:textId="77777777" w:rsidR="00191782" w:rsidRPr="00191782" w:rsidRDefault="00191782" w:rsidP="00191782">
      <w:pPr>
        <w:spacing w:after="0" w:line="276" w:lineRule="auto"/>
        <w:ind w:left="720"/>
        <w:rPr>
          <w:rFonts w:ascii="Times New Roman" w:eastAsia="Calibri" w:hAnsi="Times New Roman" w:cs="Times New Roman"/>
          <w:sz w:val="26"/>
          <w:szCs w:val="26"/>
        </w:rPr>
      </w:pPr>
      <w:r w:rsidRPr="00191782">
        <w:rPr>
          <w:rFonts w:ascii="Times New Roman" w:eastAsia="Calibri" w:hAnsi="Times New Roman" w:cs="Times New Roman"/>
          <w:sz w:val="26"/>
          <w:szCs w:val="26"/>
        </w:rPr>
        <w:t>“</w:t>
      </w:r>
      <w:r w:rsidRPr="00191782">
        <w:rPr>
          <w:rFonts w:ascii="Times New Roman" w:eastAsia="Calibri" w:hAnsi="Times New Roman" w:cs="Times New Roman"/>
          <w:sz w:val="26"/>
          <w:szCs w:val="26"/>
          <w:u w:val="single"/>
        </w:rPr>
        <w:t>Sanctions and Confidentiality Statements</w:t>
      </w:r>
      <w:r w:rsidRPr="00191782">
        <w:rPr>
          <w:rFonts w:ascii="Times New Roman" w:eastAsia="Calibri" w:hAnsi="Times New Roman" w:cs="Times New Roman"/>
          <w:sz w:val="26"/>
          <w:szCs w:val="26"/>
        </w:rPr>
        <w:t xml:space="preserve"> </w:t>
      </w:r>
    </w:p>
    <w:p w14:paraId="7E655C8E" w14:textId="77777777" w:rsidR="00191782" w:rsidRPr="00191782" w:rsidRDefault="00191782" w:rsidP="00191782">
      <w:pPr>
        <w:spacing w:after="0" w:line="276" w:lineRule="auto"/>
        <w:ind w:left="720"/>
        <w:rPr>
          <w:rFonts w:ascii="Times New Roman" w:eastAsia="Calibri" w:hAnsi="Times New Roman" w:cs="Times New Roman"/>
          <w:sz w:val="26"/>
          <w:szCs w:val="26"/>
        </w:rPr>
      </w:pPr>
      <w:r w:rsidRPr="00191782">
        <w:rPr>
          <w:rFonts w:ascii="Times New Roman" w:eastAsia="Calibri" w:hAnsi="Times New Roman" w:cs="Times New Roman"/>
          <w:sz w:val="26"/>
          <w:szCs w:val="26"/>
        </w:rPr>
        <w:t>This report is mandatory under the Federal Power Act. Late filing or failure to file, keep records, or comply with these instructions may result in criminal fines, civil penalties, and other sanctions as provided by law. Data reported on the Form 714 are not confidential.”</w:t>
      </w:r>
    </w:p>
    <w:p w14:paraId="119CBFC8" w14:textId="77777777" w:rsidR="00191782" w:rsidRPr="00191782" w:rsidRDefault="00191782" w:rsidP="00191782">
      <w:pPr>
        <w:spacing w:after="0" w:line="276" w:lineRule="auto"/>
        <w:rPr>
          <w:rFonts w:ascii="Times New Roman" w:eastAsia="Calibri" w:hAnsi="Times New Roman" w:cs="Times New Roman"/>
          <w:sz w:val="26"/>
          <w:szCs w:val="26"/>
        </w:rPr>
      </w:pPr>
    </w:p>
    <w:p w14:paraId="45760970" w14:textId="77777777" w:rsidR="00191782" w:rsidRPr="00191782" w:rsidRDefault="00191782" w:rsidP="00191782">
      <w:pPr>
        <w:numPr>
          <w:ilvl w:val="0"/>
          <w:numId w:val="1"/>
        </w:numPr>
        <w:spacing w:after="0" w:line="240"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5C54E6DA" w14:textId="77777777" w:rsidR="00191782" w:rsidRPr="00191782" w:rsidRDefault="00191782" w:rsidP="00191782">
      <w:pPr>
        <w:spacing w:after="0" w:line="240" w:lineRule="auto"/>
        <w:rPr>
          <w:rFonts w:ascii="Times New Roman" w:eastAsia="Calibri" w:hAnsi="Times New Roman" w:cs="Times New Roman"/>
          <w:sz w:val="26"/>
          <w:szCs w:val="26"/>
        </w:rPr>
      </w:pPr>
    </w:p>
    <w:p w14:paraId="402918E1" w14:textId="77777777" w:rsidR="00C36732" w:rsidRPr="00D9353F" w:rsidRDefault="00C36732" w:rsidP="00C36732">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 Commission does not consider any of the questions within the FERC</w:t>
      </w:r>
      <w:r w:rsidR="00BD4F83">
        <w:rPr>
          <w:rFonts w:ascii="Times New Roman" w:eastAsia="Calibri" w:hAnsi="Times New Roman" w:cs="Times New Roman"/>
          <w:sz w:val="26"/>
          <w:szCs w:val="26"/>
        </w:rPr>
        <w:t xml:space="preserve"> Form</w:t>
      </w:r>
      <w:r w:rsidRPr="003804C1">
        <w:rPr>
          <w:rFonts w:ascii="Times New Roman" w:eastAsia="Calibri" w:hAnsi="Times New Roman" w:cs="Times New Roman"/>
          <w:sz w:val="26"/>
          <w:szCs w:val="26"/>
        </w:rPr>
        <w:t>7</w:t>
      </w:r>
      <w:r w:rsidR="00A4555D" w:rsidRPr="003804C1">
        <w:rPr>
          <w:rFonts w:ascii="Times New Roman" w:eastAsia="Calibri" w:hAnsi="Times New Roman" w:cs="Times New Roman"/>
          <w:sz w:val="26"/>
          <w:szCs w:val="26"/>
        </w:rPr>
        <w:t>14</w:t>
      </w:r>
      <w:r w:rsidRPr="00D9353F">
        <w:rPr>
          <w:rFonts w:ascii="Times New Roman" w:eastAsia="Calibri" w:hAnsi="Times New Roman" w:cs="Times New Roman"/>
          <w:sz w:val="26"/>
          <w:szCs w:val="26"/>
        </w:rPr>
        <w:t xml:space="preserve"> of a sensitive nature that would be considered private.</w:t>
      </w:r>
    </w:p>
    <w:p w14:paraId="03AC47DC" w14:textId="77777777" w:rsidR="00191782" w:rsidRPr="00191782" w:rsidRDefault="00191782" w:rsidP="00191782">
      <w:pPr>
        <w:spacing w:after="0" w:line="276" w:lineRule="auto"/>
        <w:rPr>
          <w:rFonts w:ascii="Times New Roman" w:eastAsia="Calibri" w:hAnsi="Times New Roman" w:cs="Times New Roman"/>
          <w:sz w:val="26"/>
          <w:szCs w:val="26"/>
        </w:rPr>
      </w:pPr>
    </w:p>
    <w:p w14:paraId="034D676A"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ESTIMATED BURDEN OF COLLECTION OF INFORMATION</w:t>
      </w:r>
    </w:p>
    <w:p w14:paraId="4B851297" w14:textId="77777777" w:rsidR="00191782" w:rsidRPr="00191782" w:rsidRDefault="00191782" w:rsidP="00191782">
      <w:pPr>
        <w:spacing w:after="0" w:line="276" w:lineRule="auto"/>
        <w:rPr>
          <w:rFonts w:ascii="Times New Roman" w:eastAsia="Calibri" w:hAnsi="Times New Roman" w:cs="Times New Roman"/>
          <w:sz w:val="26"/>
          <w:szCs w:val="26"/>
        </w:rPr>
      </w:pPr>
    </w:p>
    <w:p w14:paraId="4B2716D4" w14:textId="77777777" w:rsidR="00C36732" w:rsidRPr="00D9353F" w:rsidRDefault="00191782" w:rsidP="00C36732">
      <w:pPr>
        <w:spacing w:after="0" w:line="240" w:lineRule="auto"/>
        <w:rPr>
          <w:rFonts w:ascii="Times New Roman" w:eastAsia="Times New Roman" w:hAnsi="Times New Roman" w:cs="Times New Roman"/>
          <w:sz w:val="26"/>
          <w:szCs w:val="26"/>
        </w:rPr>
      </w:pPr>
      <w:r w:rsidRPr="00191782">
        <w:rPr>
          <w:rFonts w:ascii="Times New Roman" w:eastAsia="Times New Roman" w:hAnsi="Times New Roman" w:cs="Times New Roman"/>
          <w:sz w:val="26"/>
          <w:szCs w:val="26"/>
        </w:rPr>
        <w:t>The Commission estimates the annual public reporting burden</w:t>
      </w:r>
      <w:r w:rsidR="00C36732" w:rsidRPr="00D9353F">
        <w:rPr>
          <w:rFonts w:ascii="Times New Roman" w:eastAsia="Times New Roman" w:hAnsi="Times New Roman" w:cs="Times New Roman"/>
          <w:b/>
          <w:i/>
          <w:sz w:val="26"/>
          <w:szCs w:val="26"/>
          <w:vertAlign w:val="superscript"/>
        </w:rPr>
        <w:footnoteReference w:id="7"/>
      </w:r>
      <w:r w:rsidR="00C36732" w:rsidRPr="00D9353F">
        <w:rPr>
          <w:rFonts w:ascii="Times New Roman" w:eastAsia="Times New Roman" w:hAnsi="Times New Roman" w:cs="Times New Roman"/>
          <w:i/>
          <w:sz w:val="26"/>
          <w:szCs w:val="26"/>
        </w:rPr>
        <w:t xml:space="preserve">: </w:t>
      </w:r>
      <w:r w:rsidR="00C36732" w:rsidRPr="00D9353F">
        <w:rPr>
          <w:rFonts w:ascii="Times New Roman" w:eastAsia="Times New Roman" w:hAnsi="Times New Roman" w:cs="Times New Roman"/>
          <w:sz w:val="26"/>
          <w:szCs w:val="26"/>
        </w:rPr>
        <w:t>The Commission estimates the annual public reporting burden and cost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60"/>
        <w:gridCol w:w="1804"/>
        <w:gridCol w:w="1442"/>
        <w:gridCol w:w="2700"/>
        <w:gridCol w:w="1384"/>
      </w:tblGrid>
      <w:tr w:rsidR="00C36732" w:rsidRPr="00BD4F83" w14:paraId="62BF3878" w14:textId="77777777" w:rsidTr="007F1E5F">
        <w:trPr>
          <w:cantSplit/>
        </w:trPr>
        <w:tc>
          <w:tcPr>
            <w:tcW w:w="5000" w:type="pct"/>
            <w:gridSpan w:val="6"/>
            <w:tcBorders>
              <w:bottom w:val="single" w:sz="4" w:space="0" w:color="auto"/>
            </w:tcBorders>
            <w:shd w:val="clear" w:color="auto" w:fill="D9D9D9"/>
          </w:tcPr>
          <w:p w14:paraId="35A3AA0B"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FERC</w:t>
            </w:r>
            <w:r w:rsidR="00BD4F83" w:rsidRPr="000E398D">
              <w:rPr>
                <w:rFonts w:ascii="Times New Roman" w:eastAsia="Times New Roman" w:hAnsi="Times New Roman" w:cs="Times New Roman"/>
                <w:b/>
                <w:sz w:val="20"/>
                <w:szCs w:val="20"/>
              </w:rPr>
              <w:t xml:space="preserve"> Form</w:t>
            </w:r>
            <w:r w:rsidRPr="000E398D">
              <w:rPr>
                <w:rFonts w:ascii="Times New Roman" w:eastAsia="Times New Roman" w:hAnsi="Times New Roman" w:cs="Times New Roman"/>
                <w:b/>
                <w:sz w:val="20"/>
                <w:szCs w:val="20"/>
              </w:rPr>
              <w:t>714 (Annual Electric Balancing Authority Area and Planning Area Report)</w:t>
            </w:r>
          </w:p>
        </w:tc>
      </w:tr>
      <w:tr w:rsidR="00C36732" w:rsidRPr="00BD4F83" w14:paraId="6B408526" w14:textId="77777777" w:rsidTr="007F1E5F">
        <w:trPr>
          <w:cantSplit/>
        </w:trPr>
        <w:tc>
          <w:tcPr>
            <w:tcW w:w="867" w:type="pct"/>
            <w:shd w:val="clear" w:color="auto" w:fill="D9D9D9"/>
            <w:vAlign w:val="bottom"/>
          </w:tcPr>
          <w:p w14:paraId="5CE63094"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Number of Respondents</w:t>
            </w:r>
            <w:r w:rsidRPr="000E398D">
              <w:rPr>
                <w:rFonts w:ascii="Times New Roman" w:eastAsia="Times New Roman" w:hAnsi="Times New Roman" w:cs="Times New Roman"/>
                <w:b/>
                <w:sz w:val="20"/>
                <w:szCs w:val="20"/>
              </w:rPr>
              <w:br/>
              <w:t>(1)</w:t>
            </w:r>
          </w:p>
        </w:tc>
        <w:tc>
          <w:tcPr>
            <w:tcW w:w="606" w:type="pct"/>
            <w:shd w:val="clear" w:color="auto" w:fill="D9D9D9"/>
            <w:vAlign w:val="bottom"/>
          </w:tcPr>
          <w:p w14:paraId="05E28791"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Annual Number of Responses per Respondent</w:t>
            </w:r>
          </w:p>
          <w:p w14:paraId="5E778B6F"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(2)</w:t>
            </w:r>
          </w:p>
        </w:tc>
        <w:tc>
          <w:tcPr>
            <w:tcW w:w="868" w:type="pct"/>
            <w:shd w:val="clear" w:color="auto" w:fill="D9D9D9"/>
            <w:vAlign w:val="bottom"/>
          </w:tcPr>
          <w:p w14:paraId="2B2CFF49"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Total Number of Responses (1)*(2)=(3)</w:t>
            </w:r>
          </w:p>
        </w:tc>
        <w:tc>
          <w:tcPr>
            <w:tcW w:w="694" w:type="pct"/>
            <w:shd w:val="clear" w:color="auto" w:fill="D9D9D9"/>
            <w:vAlign w:val="bottom"/>
          </w:tcPr>
          <w:p w14:paraId="784A64D0"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Average Burden &amp; Cost Per Response</w:t>
            </w:r>
            <w:r w:rsidR="00DA0C0C" w:rsidRPr="00DA0C0C">
              <w:rPr>
                <w:rFonts w:ascii="Times New Roman" w:eastAsia="Times New Roman" w:hAnsi="Times New Roman" w:cs="Times New Roman"/>
                <w:b/>
                <w:sz w:val="20"/>
                <w:szCs w:val="20"/>
                <w:vertAlign w:val="superscript"/>
              </w:rPr>
              <w:footnoteReference w:id="8"/>
            </w:r>
          </w:p>
          <w:p w14:paraId="590A82D6"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(4)</w:t>
            </w:r>
          </w:p>
        </w:tc>
        <w:tc>
          <w:tcPr>
            <w:tcW w:w="1299" w:type="pct"/>
            <w:shd w:val="clear" w:color="auto" w:fill="D9D9D9"/>
            <w:vAlign w:val="bottom"/>
          </w:tcPr>
          <w:p w14:paraId="034A2E94"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Total Annual Burden Hours &amp; Total Annual Cost</w:t>
            </w:r>
          </w:p>
          <w:p w14:paraId="4FE98748"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(3)*(4)=(5)</w:t>
            </w:r>
          </w:p>
        </w:tc>
        <w:tc>
          <w:tcPr>
            <w:tcW w:w="666" w:type="pct"/>
            <w:shd w:val="clear" w:color="auto" w:fill="D9D9D9"/>
            <w:vAlign w:val="bottom"/>
          </w:tcPr>
          <w:p w14:paraId="4CF7B2BE"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Cost per Respondent</w:t>
            </w:r>
          </w:p>
          <w:p w14:paraId="55910ED8"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 xml:space="preserve"> ($)</w:t>
            </w:r>
          </w:p>
          <w:p w14:paraId="38F35CEB"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b/>
                <w:sz w:val="20"/>
                <w:szCs w:val="20"/>
              </w:rPr>
            </w:pPr>
            <w:r w:rsidRPr="000E398D">
              <w:rPr>
                <w:rFonts w:ascii="Times New Roman" w:eastAsia="Times New Roman" w:hAnsi="Times New Roman" w:cs="Times New Roman"/>
                <w:b/>
                <w:sz w:val="20"/>
                <w:szCs w:val="20"/>
              </w:rPr>
              <w:t>(5)÷(1)</w:t>
            </w:r>
          </w:p>
        </w:tc>
      </w:tr>
      <w:tr w:rsidR="00C36732" w:rsidRPr="00BD4F83" w14:paraId="7FC8326F" w14:textId="77777777" w:rsidTr="007F1E5F">
        <w:trPr>
          <w:cantSplit/>
        </w:trPr>
        <w:tc>
          <w:tcPr>
            <w:tcW w:w="867" w:type="pct"/>
          </w:tcPr>
          <w:p w14:paraId="25410495" w14:textId="77777777" w:rsidR="00C36732" w:rsidRPr="000E398D" w:rsidRDefault="003942C7">
            <w:pPr>
              <w:tabs>
                <w:tab w:val="left" w:pos="7880"/>
              </w:tabs>
              <w:spacing w:after="0" w:line="240" w:lineRule="auto"/>
              <w:jc w:val="right"/>
              <w:rPr>
                <w:rFonts w:ascii="Times New Roman" w:eastAsia="Times New Roman" w:hAnsi="Times New Roman" w:cs="Times New Roman"/>
                <w:sz w:val="20"/>
                <w:szCs w:val="20"/>
              </w:rPr>
            </w:pPr>
            <w:r w:rsidRPr="000E398D">
              <w:rPr>
                <w:rFonts w:ascii="Times New Roman" w:eastAsia="Times New Roman" w:hAnsi="Times New Roman" w:cs="Times New Roman"/>
                <w:sz w:val="20"/>
                <w:szCs w:val="20"/>
              </w:rPr>
              <w:t>176</w:t>
            </w:r>
          </w:p>
        </w:tc>
        <w:tc>
          <w:tcPr>
            <w:tcW w:w="606" w:type="pct"/>
          </w:tcPr>
          <w:p w14:paraId="4A5992AF"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sz w:val="20"/>
                <w:szCs w:val="20"/>
              </w:rPr>
            </w:pPr>
            <w:r w:rsidRPr="000E398D">
              <w:rPr>
                <w:rFonts w:ascii="Times New Roman" w:eastAsia="Times New Roman" w:hAnsi="Times New Roman" w:cs="Times New Roman"/>
                <w:sz w:val="20"/>
                <w:szCs w:val="20"/>
              </w:rPr>
              <w:t>1</w:t>
            </w:r>
          </w:p>
        </w:tc>
        <w:tc>
          <w:tcPr>
            <w:tcW w:w="868" w:type="pct"/>
          </w:tcPr>
          <w:p w14:paraId="695D1325" w14:textId="77777777" w:rsidR="00C36732" w:rsidRPr="000E398D" w:rsidRDefault="003942C7" w:rsidP="00C36732">
            <w:pPr>
              <w:tabs>
                <w:tab w:val="left" w:pos="7880"/>
              </w:tabs>
              <w:spacing w:after="0" w:line="240" w:lineRule="auto"/>
              <w:jc w:val="right"/>
              <w:rPr>
                <w:rFonts w:ascii="Times New Roman" w:eastAsia="Times New Roman" w:hAnsi="Times New Roman" w:cs="Times New Roman"/>
                <w:sz w:val="20"/>
                <w:szCs w:val="20"/>
              </w:rPr>
            </w:pPr>
            <w:r w:rsidRPr="000E398D">
              <w:rPr>
                <w:rFonts w:ascii="Times New Roman" w:eastAsia="Times New Roman" w:hAnsi="Times New Roman" w:cs="Times New Roman"/>
                <w:sz w:val="20"/>
                <w:szCs w:val="20"/>
              </w:rPr>
              <w:t>176</w:t>
            </w:r>
          </w:p>
        </w:tc>
        <w:tc>
          <w:tcPr>
            <w:tcW w:w="694" w:type="pct"/>
          </w:tcPr>
          <w:p w14:paraId="32B46EE6" w14:textId="77777777" w:rsidR="00C36732" w:rsidRPr="000E398D" w:rsidRDefault="00DA0C0C" w:rsidP="00C36732">
            <w:pPr>
              <w:tabs>
                <w:tab w:val="left" w:pos="788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87 hrs.; $6,264</w:t>
            </w:r>
          </w:p>
        </w:tc>
        <w:tc>
          <w:tcPr>
            <w:tcW w:w="1299" w:type="pct"/>
          </w:tcPr>
          <w:p w14:paraId="4F0F3C14" w14:textId="77777777" w:rsidR="00DA0C0C" w:rsidRDefault="00C36732" w:rsidP="003942C7">
            <w:pPr>
              <w:tabs>
                <w:tab w:val="left" w:pos="7880"/>
              </w:tabs>
              <w:spacing w:after="0" w:line="240" w:lineRule="auto"/>
              <w:jc w:val="right"/>
              <w:rPr>
                <w:rFonts w:ascii="Times New Roman" w:eastAsia="Times New Roman" w:hAnsi="Times New Roman" w:cs="Times New Roman"/>
                <w:sz w:val="20"/>
                <w:szCs w:val="20"/>
              </w:rPr>
            </w:pPr>
            <w:r w:rsidRPr="000E398D">
              <w:rPr>
                <w:rFonts w:ascii="Times New Roman" w:eastAsia="Times New Roman" w:hAnsi="Times New Roman" w:cs="Times New Roman"/>
                <w:sz w:val="20"/>
                <w:szCs w:val="20"/>
              </w:rPr>
              <w:t xml:space="preserve"> 15,</w:t>
            </w:r>
            <w:r w:rsidR="003942C7" w:rsidRPr="000E398D">
              <w:rPr>
                <w:rFonts w:ascii="Times New Roman" w:eastAsia="Times New Roman" w:hAnsi="Times New Roman" w:cs="Times New Roman"/>
                <w:sz w:val="20"/>
                <w:szCs w:val="20"/>
              </w:rPr>
              <w:t xml:space="preserve">312 </w:t>
            </w:r>
            <w:r w:rsidRPr="000E398D">
              <w:rPr>
                <w:rFonts w:ascii="Times New Roman" w:eastAsia="Times New Roman" w:hAnsi="Times New Roman" w:cs="Times New Roman"/>
                <w:sz w:val="20"/>
                <w:szCs w:val="20"/>
              </w:rPr>
              <w:t xml:space="preserve">hrs.; </w:t>
            </w:r>
          </w:p>
          <w:p w14:paraId="1680B2E5" w14:textId="77777777" w:rsidR="00C36732" w:rsidRPr="000E398D" w:rsidRDefault="00C36732" w:rsidP="003942C7">
            <w:pPr>
              <w:tabs>
                <w:tab w:val="left" w:pos="7880"/>
              </w:tabs>
              <w:spacing w:after="0" w:line="240" w:lineRule="auto"/>
              <w:jc w:val="right"/>
              <w:rPr>
                <w:rFonts w:ascii="Times New Roman" w:eastAsia="Times New Roman" w:hAnsi="Times New Roman" w:cs="Times New Roman"/>
                <w:sz w:val="20"/>
                <w:szCs w:val="20"/>
              </w:rPr>
            </w:pPr>
            <w:r w:rsidRPr="000E398D">
              <w:rPr>
                <w:rFonts w:ascii="Times New Roman" w:eastAsia="Times New Roman" w:hAnsi="Times New Roman" w:cs="Times New Roman"/>
                <w:sz w:val="20"/>
                <w:szCs w:val="20"/>
              </w:rPr>
              <w:t>$</w:t>
            </w:r>
            <w:r w:rsidR="003942C7" w:rsidRPr="000E398D">
              <w:rPr>
                <w:rFonts w:ascii="Times New Roman" w:eastAsia="Times New Roman" w:hAnsi="Times New Roman" w:cs="Times New Roman"/>
                <w:sz w:val="20"/>
                <w:szCs w:val="20"/>
              </w:rPr>
              <w:t>1,102,464</w:t>
            </w:r>
          </w:p>
        </w:tc>
        <w:tc>
          <w:tcPr>
            <w:tcW w:w="666" w:type="pct"/>
          </w:tcPr>
          <w:p w14:paraId="625BB6AF" w14:textId="77777777" w:rsidR="00C36732" w:rsidRPr="000E398D" w:rsidRDefault="00DA0C0C" w:rsidP="00C36732">
            <w:pPr>
              <w:tabs>
                <w:tab w:val="left" w:pos="788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$6,264</w:t>
            </w:r>
            <w:r w:rsidR="00C36732" w:rsidRPr="000E398D">
              <w:rPr>
                <w:rFonts w:ascii="Times New Roman" w:eastAsia="Times New Roman" w:hAnsi="Times New Roman" w:cs="Times New Roman"/>
                <w:sz w:val="20"/>
                <w:szCs w:val="20"/>
              </w:rPr>
              <w:t xml:space="preserve"> </w:t>
            </w:r>
          </w:p>
          <w:p w14:paraId="737C39F4" w14:textId="77777777" w:rsidR="00C36732" w:rsidRPr="000E398D" w:rsidRDefault="00C36732" w:rsidP="00C36732">
            <w:pPr>
              <w:tabs>
                <w:tab w:val="left" w:pos="7880"/>
              </w:tabs>
              <w:spacing w:after="0" w:line="240" w:lineRule="auto"/>
              <w:jc w:val="right"/>
              <w:rPr>
                <w:rFonts w:ascii="Times New Roman" w:eastAsia="Times New Roman" w:hAnsi="Times New Roman" w:cs="Times New Roman"/>
                <w:sz w:val="20"/>
                <w:szCs w:val="20"/>
              </w:rPr>
            </w:pPr>
          </w:p>
        </w:tc>
      </w:tr>
    </w:tbl>
    <w:p w14:paraId="3E43C2A3" w14:textId="77777777" w:rsidR="00C36732" w:rsidRPr="00191782" w:rsidRDefault="00C36732" w:rsidP="00191782">
      <w:pPr>
        <w:spacing w:after="0" w:line="240" w:lineRule="auto"/>
        <w:rPr>
          <w:rFonts w:ascii="Times New Roman" w:eastAsia="Times New Roman" w:hAnsi="Times New Roman" w:cs="Times New Roman"/>
          <w:sz w:val="26"/>
          <w:szCs w:val="26"/>
        </w:rPr>
      </w:pPr>
    </w:p>
    <w:p w14:paraId="488EB9DC"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ESTIMATE OF THE TOTAL ANNUAL COST BURDEN TO RESPONDENTS</w:t>
      </w:r>
    </w:p>
    <w:p w14:paraId="267D142D" w14:textId="77777777" w:rsidR="00191782" w:rsidRPr="00D9353F" w:rsidRDefault="00C36732" w:rsidP="00191782">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There are no non-labor costs. All costs are related to burden hours and are addressed in Questions #12 and #15.</w:t>
      </w:r>
    </w:p>
    <w:p w14:paraId="277BC15D" w14:textId="77777777" w:rsidR="00C36732" w:rsidRPr="00191782" w:rsidRDefault="00C36732" w:rsidP="00191782">
      <w:pPr>
        <w:spacing w:after="0" w:line="276" w:lineRule="auto"/>
        <w:rPr>
          <w:rFonts w:ascii="Times New Roman" w:eastAsia="Calibri" w:hAnsi="Times New Roman" w:cs="Times New Roman"/>
          <w:sz w:val="26"/>
          <w:szCs w:val="26"/>
        </w:rPr>
      </w:pPr>
    </w:p>
    <w:p w14:paraId="51B5DD68" w14:textId="77777777" w:rsidR="00191782" w:rsidRPr="00D9353F"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ESTIMATED ANNUALIZED COST TO FEDERAL GOVERNMENT</w:t>
      </w:r>
    </w:p>
    <w:p w14:paraId="48FBC9B4" w14:textId="77777777" w:rsidR="00E45DDC" w:rsidRPr="00D9353F" w:rsidRDefault="00E45DDC" w:rsidP="00E45DDC">
      <w:pPr>
        <w:spacing w:after="0" w:line="276" w:lineRule="auto"/>
        <w:contextualSpacing/>
        <w:rPr>
          <w:rFonts w:ascii="Times New Roman" w:eastAsia="Calibri" w:hAnsi="Times New Roman" w:cs="Times New Roman"/>
          <w:b/>
          <w:sz w:val="26"/>
          <w:szCs w:val="26"/>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854"/>
        <w:gridCol w:w="2823"/>
        <w:gridCol w:w="2970"/>
      </w:tblGrid>
      <w:tr w:rsidR="00E45DDC" w:rsidRPr="00BD4F83" w14:paraId="0E66A4C4" w14:textId="77777777" w:rsidTr="000E3CF6">
        <w:tc>
          <w:tcPr>
            <w:tcW w:w="2428" w:type="dxa"/>
            <w:shd w:val="clear" w:color="auto" w:fill="CCCCCC"/>
          </w:tcPr>
          <w:p w14:paraId="7E75DFF2" w14:textId="77777777" w:rsidR="00E45DDC" w:rsidRPr="00BD4F83" w:rsidRDefault="00E45DDC" w:rsidP="00E45DDC">
            <w:pPr>
              <w:spacing w:after="0" w:line="276" w:lineRule="auto"/>
              <w:contextualSpacing/>
              <w:rPr>
                <w:rFonts w:ascii="Times New Roman" w:eastAsia="Calibri" w:hAnsi="Times New Roman" w:cs="Times New Roman"/>
                <w:b/>
                <w:sz w:val="26"/>
                <w:szCs w:val="26"/>
              </w:rPr>
            </w:pPr>
          </w:p>
        </w:tc>
        <w:tc>
          <w:tcPr>
            <w:tcW w:w="1854" w:type="dxa"/>
            <w:shd w:val="clear" w:color="auto" w:fill="CCCCCC"/>
          </w:tcPr>
          <w:p w14:paraId="0B1D33CA" w14:textId="77777777" w:rsidR="00E45DDC" w:rsidRPr="00BD4F83" w:rsidRDefault="00E45DDC" w:rsidP="00E45DDC">
            <w:pPr>
              <w:spacing w:after="0" w:line="276" w:lineRule="auto"/>
              <w:contextualSpacing/>
              <w:rPr>
                <w:rFonts w:ascii="Times New Roman" w:eastAsia="Calibri" w:hAnsi="Times New Roman" w:cs="Times New Roman"/>
                <w:b/>
                <w:sz w:val="26"/>
                <w:szCs w:val="26"/>
              </w:rPr>
            </w:pPr>
          </w:p>
        </w:tc>
        <w:tc>
          <w:tcPr>
            <w:tcW w:w="2823" w:type="dxa"/>
            <w:shd w:val="clear" w:color="auto" w:fill="CCCCCC"/>
          </w:tcPr>
          <w:p w14:paraId="7A587D02" w14:textId="77777777" w:rsidR="00E45DDC" w:rsidRPr="00DA0C0C" w:rsidRDefault="00E45DDC" w:rsidP="000E3CF6">
            <w:pPr>
              <w:spacing w:after="0" w:line="276" w:lineRule="auto"/>
              <w:contextualSpacing/>
              <w:jc w:val="right"/>
              <w:rPr>
                <w:rFonts w:ascii="Times New Roman" w:eastAsia="Calibri" w:hAnsi="Times New Roman" w:cs="Times New Roman"/>
                <w:b/>
                <w:sz w:val="26"/>
                <w:szCs w:val="26"/>
              </w:rPr>
            </w:pPr>
            <w:r w:rsidRPr="00DA0C0C">
              <w:rPr>
                <w:rFonts w:ascii="Times New Roman" w:eastAsia="Calibri" w:hAnsi="Times New Roman" w:cs="Times New Roman"/>
                <w:b/>
                <w:sz w:val="26"/>
                <w:szCs w:val="26"/>
              </w:rPr>
              <w:t>Number of Employees (FTEs)</w:t>
            </w:r>
          </w:p>
        </w:tc>
        <w:tc>
          <w:tcPr>
            <w:tcW w:w="2970" w:type="dxa"/>
            <w:shd w:val="clear" w:color="auto" w:fill="CCCCCC"/>
          </w:tcPr>
          <w:p w14:paraId="2FC0B182" w14:textId="77777777" w:rsidR="00E45DDC" w:rsidRPr="005A2F83" w:rsidRDefault="00E45DDC" w:rsidP="000E3CF6">
            <w:pPr>
              <w:spacing w:after="0" w:line="276" w:lineRule="auto"/>
              <w:contextualSpacing/>
              <w:jc w:val="right"/>
              <w:rPr>
                <w:rFonts w:ascii="Times New Roman" w:eastAsia="Calibri" w:hAnsi="Times New Roman" w:cs="Times New Roman"/>
                <w:b/>
                <w:sz w:val="26"/>
                <w:szCs w:val="26"/>
              </w:rPr>
            </w:pPr>
            <w:r w:rsidRPr="005A2F83">
              <w:rPr>
                <w:rFonts w:ascii="Times New Roman" w:eastAsia="Calibri" w:hAnsi="Times New Roman" w:cs="Times New Roman"/>
                <w:b/>
                <w:sz w:val="26"/>
                <w:szCs w:val="26"/>
              </w:rPr>
              <w:t>Estimated Annual Federal Cost</w:t>
            </w:r>
          </w:p>
        </w:tc>
      </w:tr>
      <w:tr w:rsidR="006F21FE" w:rsidRPr="00BD4F83" w14:paraId="0546B19F" w14:textId="77777777" w:rsidTr="000E3CF6">
        <w:tc>
          <w:tcPr>
            <w:tcW w:w="2428" w:type="dxa"/>
            <w:shd w:val="clear" w:color="auto" w:fill="CCCCCC"/>
          </w:tcPr>
          <w:p w14:paraId="12CBB332" w14:textId="77777777" w:rsidR="006F21FE" w:rsidRPr="000E398D" w:rsidRDefault="006F21FE" w:rsidP="006F21FE">
            <w:pPr>
              <w:spacing w:after="0" w:line="240" w:lineRule="auto"/>
              <w:rPr>
                <w:rFonts w:ascii="Times New Roman" w:hAnsi="Times New Roman" w:cs="Times New Roman"/>
                <w:sz w:val="26"/>
                <w:szCs w:val="26"/>
              </w:rPr>
            </w:pPr>
            <w:r w:rsidRPr="000E398D">
              <w:rPr>
                <w:rFonts w:ascii="Times New Roman" w:hAnsi="Times New Roman" w:cs="Times New Roman"/>
                <w:sz w:val="26"/>
                <w:szCs w:val="26"/>
              </w:rPr>
              <w:t>Analysis and Processing of filings</w:t>
            </w:r>
            <w:r w:rsidRPr="000E398D">
              <w:rPr>
                <w:rStyle w:val="FootnoteReference"/>
                <w:rFonts w:ascii="Times New Roman" w:hAnsi="Times New Roman" w:cs="Times New Roman"/>
                <w:sz w:val="26"/>
                <w:szCs w:val="26"/>
                <w:vertAlign w:val="superscript"/>
              </w:rPr>
              <w:footnoteReference w:id="9"/>
            </w:r>
          </w:p>
          <w:p w14:paraId="2BA63D49" w14:textId="77777777" w:rsidR="006F21FE" w:rsidRPr="00BD4F83" w:rsidRDefault="006F21FE" w:rsidP="00E45DDC">
            <w:pPr>
              <w:spacing w:after="0" w:line="276" w:lineRule="auto"/>
              <w:contextualSpacing/>
              <w:rPr>
                <w:rFonts w:ascii="Times New Roman" w:eastAsia="Calibri" w:hAnsi="Times New Roman" w:cs="Times New Roman"/>
                <w:b/>
                <w:sz w:val="26"/>
                <w:szCs w:val="26"/>
              </w:rPr>
            </w:pPr>
          </w:p>
        </w:tc>
        <w:tc>
          <w:tcPr>
            <w:tcW w:w="1854" w:type="dxa"/>
            <w:shd w:val="clear" w:color="auto" w:fill="CCCCCC"/>
          </w:tcPr>
          <w:p w14:paraId="2389F53C" w14:textId="77777777" w:rsidR="006F21FE" w:rsidRPr="00BD4F83" w:rsidRDefault="006F21FE" w:rsidP="00E45DDC">
            <w:pPr>
              <w:spacing w:after="0" w:line="276" w:lineRule="auto"/>
              <w:contextualSpacing/>
              <w:rPr>
                <w:rFonts w:ascii="Times New Roman" w:eastAsia="Calibri" w:hAnsi="Times New Roman" w:cs="Times New Roman"/>
                <w:b/>
                <w:sz w:val="26"/>
                <w:szCs w:val="26"/>
              </w:rPr>
            </w:pPr>
          </w:p>
        </w:tc>
        <w:tc>
          <w:tcPr>
            <w:tcW w:w="2823" w:type="dxa"/>
            <w:shd w:val="clear" w:color="auto" w:fill="CCCCCC"/>
          </w:tcPr>
          <w:p w14:paraId="7E91BEDB" w14:textId="77777777" w:rsidR="006F21FE" w:rsidRPr="00BD4F83" w:rsidRDefault="004977F2" w:rsidP="004977F2">
            <w:pPr>
              <w:spacing w:after="0" w:line="276" w:lineRule="auto"/>
              <w:contextualSpacing/>
              <w:jc w:val="right"/>
              <w:rPr>
                <w:rFonts w:ascii="Times New Roman" w:eastAsia="Calibri" w:hAnsi="Times New Roman" w:cs="Times New Roman"/>
                <w:sz w:val="26"/>
                <w:szCs w:val="26"/>
              </w:rPr>
            </w:pPr>
            <w:r>
              <w:rPr>
                <w:rFonts w:ascii="Times New Roman" w:eastAsia="Calibri" w:hAnsi="Times New Roman" w:cs="Times New Roman"/>
                <w:sz w:val="26"/>
                <w:szCs w:val="26"/>
              </w:rPr>
              <w:t>0.2</w:t>
            </w:r>
            <w:r w:rsidR="000E3CF6" w:rsidRPr="00BD4F83">
              <w:rPr>
                <w:rStyle w:val="FootnoteReference"/>
                <w:rFonts w:ascii="Times New Roman" w:eastAsia="Calibri" w:hAnsi="Times New Roman" w:cs="Times New Roman"/>
                <w:sz w:val="26"/>
                <w:szCs w:val="26"/>
                <w:vertAlign w:val="superscript"/>
              </w:rPr>
              <w:footnoteReference w:id="10"/>
            </w:r>
          </w:p>
        </w:tc>
        <w:tc>
          <w:tcPr>
            <w:tcW w:w="2970" w:type="dxa"/>
            <w:shd w:val="clear" w:color="auto" w:fill="CCCCCC"/>
          </w:tcPr>
          <w:p w14:paraId="3853E360" w14:textId="77777777" w:rsidR="006F21FE" w:rsidRPr="00BD4F83" w:rsidRDefault="008362E1" w:rsidP="004977F2">
            <w:pPr>
              <w:spacing w:after="0" w:line="276" w:lineRule="auto"/>
              <w:contextualSpacing/>
              <w:jc w:val="right"/>
              <w:rPr>
                <w:rFonts w:ascii="Times New Roman" w:eastAsia="Calibri" w:hAnsi="Times New Roman" w:cs="Times New Roman"/>
                <w:sz w:val="26"/>
                <w:szCs w:val="26"/>
              </w:rPr>
            </w:pPr>
            <w:r w:rsidRPr="00BD4F83">
              <w:rPr>
                <w:rFonts w:ascii="Times New Roman" w:eastAsia="Calibri" w:hAnsi="Times New Roman" w:cs="Times New Roman"/>
                <w:sz w:val="26"/>
                <w:szCs w:val="26"/>
              </w:rPr>
              <w:t>$3</w:t>
            </w:r>
            <w:r w:rsidR="004977F2">
              <w:rPr>
                <w:rFonts w:ascii="Times New Roman" w:eastAsia="Calibri" w:hAnsi="Times New Roman" w:cs="Times New Roman"/>
                <w:sz w:val="26"/>
                <w:szCs w:val="26"/>
              </w:rPr>
              <w:t>2,964</w:t>
            </w:r>
          </w:p>
        </w:tc>
      </w:tr>
      <w:tr w:rsidR="00E45DDC" w:rsidRPr="00BD4F83" w14:paraId="5DFD680A" w14:textId="77777777" w:rsidTr="000E3CF6">
        <w:tc>
          <w:tcPr>
            <w:tcW w:w="2428" w:type="dxa"/>
            <w:shd w:val="clear" w:color="auto" w:fill="auto"/>
          </w:tcPr>
          <w:p w14:paraId="0418C8C7" w14:textId="77777777" w:rsidR="00E45DDC" w:rsidRPr="00BD4F83" w:rsidRDefault="00E45DDC" w:rsidP="00E45DDC">
            <w:pPr>
              <w:rPr>
                <w:rFonts w:ascii="Times New Roman" w:hAnsi="Times New Roman" w:cs="Times New Roman"/>
                <w:sz w:val="26"/>
                <w:szCs w:val="26"/>
              </w:rPr>
            </w:pPr>
            <w:r w:rsidRPr="00BD4F83">
              <w:rPr>
                <w:rFonts w:ascii="Times New Roman" w:hAnsi="Times New Roman" w:cs="Times New Roman"/>
                <w:sz w:val="26"/>
                <w:szCs w:val="26"/>
              </w:rPr>
              <w:t>PRA</w:t>
            </w:r>
            <w:r w:rsidRPr="00BD4F83">
              <w:rPr>
                <w:rStyle w:val="FootnoteReference"/>
                <w:rFonts w:ascii="Times New Roman" w:hAnsi="Times New Roman" w:cs="Times New Roman"/>
                <w:b/>
                <w:sz w:val="26"/>
                <w:szCs w:val="26"/>
                <w:vertAlign w:val="superscript"/>
              </w:rPr>
              <w:footnoteReference w:id="11"/>
            </w:r>
            <w:r w:rsidRPr="00BD4F83">
              <w:rPr>
                <w:rFonts w:ascii="Times New Roman" w:hAnsi="Times New Roman" w:cs="Times New Roman"/>
                <w:b/>
                <w:sz w:val="26"/>
                <w:szCs w:val="26"/>
              </w:rPr>
              <w:t xml:space="preserve"> </w:t>
            </w:r>
            <w:r w:rsidRPr="00BD4F83">
              <w:rPr>
                <w:rFonts w:ascii="Times New Roman" w:hAnsi="Times New Roman" w:cs="Times New Roman"/>
                <w:sz w:val="26"/>
                <w:szCs w:val="26"/>
              </w:rPr>
              <w:t>Administration Cost</w:t>
            </w:r>
            <w:r w:rsidRPr="00BD4F83">
              <w:rPr>
                <w:rFonts w:ascii="Times New Roman" w:hAnsi="Times New Roman" w:cs="Times New Roman"/>
                <w:b/>
                <w:sz w:val="26"/>
                <w:szCs w:val="26"/>
                <w:vertAlign w:val="superscript"/>
              </w:rPr>
              <w:footnoteReference w:id="12"/>
            </w:r>
            <w:r w:rsidRPr="00BD4F83">
              <w:rPr>
                <w:rFonts w:ascii="Times New Roman" w:hAnsi="Times New Roman" w:cs="Times New Roman"/>
                <w:sz w:val="26"/>
                <w:szCs w:val="26"/>
              </w:rPr>
              <w:t xml:space="preserve"> </w:t>
            </w:r>
          </w:p>
        </w:tc>
        <w:tc>
          <w:tcPr>
            <w:tcW w:w="1854" w:type="dxa"/>
          </w:tcPr>
          <w:p w14:paraId="45DB2D9E" w14:textId="77777777" w:rsidR="00E45DDC" w:rsidRPr="00BD4F83" w:rsidRDefault="00E45DDC" w:rsidP="00E45DDC">
            <w:pPr>
              <w:spacing w:after="0" w:line="276" w:lineRule="auto"/>
              <w:contextualSpacing/>
              <w:jc w:val="right"/>
              <w:rPr>
                <w:rFonts w:ascii="Times New Roman" w:eastAsia="Calibri" w:hAnsi="Times New Roman" w:cs="Times New Roman"/>
                <w:b/>
                <w:sz w:val="26"/>
                <w:szCs w:val="26"/>
              </w:rPr>
            </w:pPr>
          </w:p>
        </w:tc>
        <w:tc>
          <w:tcPr>
            <w:tcW w:w="2823" w:type="dxa"/>
            <w:shd w:val="clear" w:color="auto" w:fill="auto"/>
          </w:tcPr>
          <w:p w14:paraId="0471F080" w14:textId="77777777" w:rsidR="00E45DDC" w:rsidRPr="00DA0C0C" w:rsidRDefault="00E45DDC" w:rsidP="000E3CF6">
            <w:pPr>
              <w:spacing w:after="0" w:line="276" w:lineRule="auto"/>
              <w:contextualSpacing/>
              <w:jc w:val="right"/>
              <w:rPr>
                <w:rFonts w:ascii="Times New Roman" w:eastAsia="Calibri" w:hAnsi="Times New Roman" w:cs="Times New Roman"/>
                <w:sz w:val="26"/>
                <w:szCs w:val="26"/>
              </w:rPr>
            </w:pPr>
            <w:r w:rsidRPr="00DA0C0C">
              <w:rPr>
                <w:rFonts w:ascii="Times New Roman" w:eastAsia="Calibri" w:hAnsi="Times New Roman" w:cs="Times New Roman"/>
                <w:sz w:val="26"/>
                <w:szCs w:val="26"/>
              </w:rPr>
              <w:t>-</w:t>
            </w:r>
          </w:p>
        </w:tc>
        <w:tc>
          <w:tcPr>
            <w:tcW w:w="2970" w:type="dxa"/>
            <w:shd w:val="clear" w:color="auto" w:fill="auto"/>
          </w:tcPr>
          <w:p w14:paraId="222419C5" w14:textId="77777777" w:rsidR="00E45DDC" w:rsidRPr="005A2F83" w:rsidRDefault="00E45DDC" w:rsidP="000E3CF6">
            <w:pPr>
              <w:spacing w:after="0" w:line="276" w:lineRule="auto"/>
              <w:contextualSpacing/>
              <w:jc w:val="right"/>
              <w:rPr>
                <w:rFonts w:ascii="Times New Roman" w:eastAsia="Calibri" w:hAnsi="Times New Roman" w:cs="Times New Roman"/>
                <w:sz w:val="26"/>
                <w:szCs w:val="26"/>
              </w:rPr>
            </w:pPr>
            <w:r w:rsidRPr="00DA0C0C">
              <w:rPr>
                <w:rFonts w:ascii="Times New Roman" w:eastAsia="Calibri" w:hAnsi="Times New Roman" w:cs="Times New Roman"/>
                <w:sz w:val="26"/>
                <w:szCs w:val="26"/>
              </w:rPr>
              <w:t>$</w:t>
            </w:r>
            <w:r w:rsidR="001E18CC" w:rsidRPr="00DA0C0C">
              <w:rPr>
                <w:rFonts w:ascii="Times New Roman" w:eastAsia="Calibri" w:hAnsi="Times New Roman" w:cs="Times New Roman"/>
                <w:sz w:val="26"/>
                <w:szCs w:val="26"/>
              </w:rPr>
              <w:t>4,931</w:t>
            </w:r>
          </w:p>
        </w:tc>
      </w:tr>
      <w:tr w:rsidR="00707AF5" w:rsidRPr="00BD4F83" w14:paraId="5F43F9B9" w14:textId="77777777" w:rsidTr="000E3CF6">
        <w:tc>
          <w:tcPr>
            <w:tcW w:w="2428" w:type="dxa"/>
            <w:shd w:val="clear" w:color="auto" w:fill="auto"/>
          </w:tcPr>
          <w:p w14:paraId="5D8D40CA" w14:textId="77777777" w:rsidR="00707AF5" w:rsidRPr="00BD4F83" w:rsidRDefault="00707AF5" w:rsidP="00E45DDC">
            <w:pPr>
              <w:rPr>
                <w:rFonts w:ascii="Times New Roman" w:hAnsi="Times New Roman" w:cs="Times New Roman"/>
                <w:sz w:val="26"/>
                <w:szCs w:val="26"/>
              </w:rPr>
            </w:pPr>
            <w:r>
              <w:rPr>
                <w:rFonts w:ascii="Times New Roman" w:hAnsi="Times New Roman" w:cs="Times New Roman"/>
                <w:sz w:val="26"/>
                <w:szCs w:val="26"/>
              </w:rPr>
              <w:t>Capital Cost</w:t>
            </w:r>
            <w:r w:rsidRPr="00D3650B">
              <w:rPr>
                <w:rStyle w:val="FootnoteReference"/>
                <w:rFonts w:ascii="Times New Roman" w:hAnsi="Times New Roman" w:cs="Times New Roman"/>
                <w:sz w:val="26"/>
                <w:szCs w:val="26"/>
                <w:vertAlign w:val="superscript"/>
              </w:rPr>
              <w:footnoteReference w:id="13"/>
            </w:r>
          </w:p>
        </w:tc>
        <w:tc>
          <w:tcPr>
            <w:tcW w:w="1854" w:type="dxa"/>
          </w:tcPr>
          <w:p w14:paraId="0EFB7A93" w14:textId="77777777" w:rsidR="00707AF5" w:rsidRPr="00BD4F83" w:rsidRDefault="00707AF5" w:rsidP="00E45DDC">
            <w:pPr>
              <w:spacing w:after="0" w:line="276" w:lineRule="auto"/>
              <w:contextualSpacing/>
              <w:jc w:val="right"/>
              <w:rPr>
                <w:rFonts w:ascii="Times New Roman" w:eastAsia="Calibri" w:hAnsi="Times New Roman" w:cs="Times New Roman"/>
                <w:b/>
                <w:sz w:val="26"/>
                <w:szCs w:val="26"/>
              </w:rPr>
            </w:pPr>
          </w:p>
        </w:tc>
        <w:tc>
          <w:tcPr>
            <w:tcW w:w="2823" w:type="dxa"/>
            <w:shd w:val="clear" w:color="auto" w:fill="auto"/>
          </w:tcPr>
          <w:p w14:paraId="609A102C" w14:textId="77777777" w:rsidR="00707AF5" w:rsidRPr="00DA0C0C" w:rsidRDefault="00707AF5" w:rsidP="000E3CF6">
            <w:pPr>
              <w:spacing w:after="0" w:line="276" w:lineRule="auto"/>
              <w:contextualSpacing/>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2970" w:type="dxa"/>
            <w:shd w:val="clear" w:color="auto" w:fill="auto"/>
          </w:tcPr>
          <w:p w14:paraId="116B5FB9" w14:textId="77777777" w:rsidR="00707AF5" w:rsidRPr="00DA0C0C" w:rsidRDefault="00707AF5" w:rsidP="000E3CF6">
            <w:pPr>
              <w:spacing w:after="0" w:line="276" w:lineRule="auto"/>
              <w:contextualSpacing/>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rsidR="00E45DDC" w:rsidRPr="00BD4F83" w14:paraId="30BE637B" w14:textId="77777777" w:rsidTr="000E3CF6">
        <w:tc>
          <w:tcPr>
            <w:tcW w:w="2428" w:type="dxa"/>
            <w:shd w:val="clear" w:color="auto" w:fill="auto"/>
          </w:tcPr>
          <w:p w14:paraId="4DD00CEA" w14:textId="77777777" w:rsidR="00E45DDC" w:rsidRPr="00BD4F83" w:rsidRDefault="00E45DDC" w:rsidP="00E45DDC">
            <w:pPr>
              <w:spacing w:after="0" w:line="276" w:lineRule="auto"/>
              <w:contextualSpacing/>
              <w:rPr>
                <w:rFonts w:ascii="Times New Roman" w:eastAsia="Calibri" w:hAnsi="Times New Roman" w:cs="Times New Roman"/>
                <w:b/>
                <w:sz w:val="26"/>
                <w:szCs w:val="26"/>
              </w:rPr>
            </w:pPr>
            <w:r w:rsidRPr="00BD4F83">
              <w:rPr>
                <w:rFonts w:ascii="Times New Roman" w:eastAsia="Calibri" w:hAnsi="Times New Roman" w:cs="Times New Roman"/>
                <w:b/>
                <w:sz w:val="26"/>
                <w:szCs w:val="26"/>
              </w:rPr>
              <w:t>FERC Total</w:t>
            </w:r>
          </w:p>
        </w:tc>
        <w:tc>
          <w:tcPr>
            <w:tcW w:w="1854" w:type="dxa"/>
          </w:tcPr>
          <w:p w14:paraId="418C5DA0" w14:textId="77777777" w:rsidR="00E45DDC" w:rsidRPr="00BD4F83" w:rsidRDefault="00E45DDC" w:rsidP="00E45DDC">
            <w:pPr>
              <w:spacing w:after="0" w:line="276" w:lineRule="auto"/>
              <w:contextualSpacing/>
              <w:jc w:val="right"/>
              <w:rPr>
                <w:rFonts w:ascii="Times New Roman" w:eastAsia="Calibri" w:hAnsi="Times New Roman" w:cs="Times New Roman"/>
                <w:b/>
                <w:sz w:val="26"/>
                <w:szCs w:val="26"/>
              </w:rPr>
            </w:pPr>
          </w:p>
        </w:tc>
        <w:tc>
          <w:tcPr>
            <w:tcW w:w="2823" w:type="dxa"/>
            <w:tcBorders>
              <w:bottom w:val="single" w:sz="4" w:space="0" w:color="auto"/>
            </w:tcBorders>
            <w:shd w:val="clear" w:color="auto" w:fill="BFBFBF"/>
          </w:tcPr>
          <w:p w14:paraId="40F09D30" w14:textId="77777777" w:rsidR="00E45DDC" w:rsidRPr="00DA0C0C" w:rsidRDefault="00E45DDC" w:rsidP="000E3CF6">
            <w:pPr>
              <w:spacing w:after="0" w:line="276" w:lineRule="auto"/>
              <w:contextualSpacing/>
              <w:jc w:val="right"/>
              <w:rPr>
                <w:rFonts w:ascii="Times New Roman" w:eastAsia="Calibri" w:hAnsi="Times New Roman" w:cs="Times New Roman"/>
                <w:b/>
                <w:sz w:val="26"/>
                <w:szCs w:val="26"/>
              </w:rPr>
            </w:pPr>
          </w:p>
        </w:tc>
        <w:tc>
          <w:tcPr>
            <w:tcW w:w="2970" w:type="dxa"/>
            <w:shd w:val="clear" w:color="auto" w:fill="auto"/>
          </w:tcPr>
          <w:p w14:paraId="69CB2103" w14:textId="77777777" w:rsidR="00E45DDC" w:rsidRPr="00BD4F83" w:rsidRDefault="00E45DDC" w:rsidP="004977F2">
            <w:pPr>
              <w:spacing w:after="0" w:line="276" w:lineRule="auto"/>
              <w:contextualSpacing/>
              <w:jc w:val="right"/>
              <w:rPr>
                <w:rFonts w:ascii="Times New Roman" w:eastAsia="Calibri" w:hAnsi="Times New Roman" w:cs="Times New Roman"/>
                <w:b/>
                <w:sz w:val="26"/>
                <w:szCs w:val="26"/>
              </w:rPr>
            </w:pPr>
            <w:r w:rsidRPr="00DA0C0C">
              <w:rPr>
                <w:rFonts w:ascii="Times New Roman" w:eastAsia="Calibri" w:hAnsi="Times New Roman" w:cs="Times New Roman"/>
                <w:b/>
                <w:sz w:val="26"/>
                <w:szCs w:val="26"/>
              </w:rPr>
              <w:t>$</w:t>
            </w:r>
            <w:r w:rsidR="00EC70C6" w:rsidRPr="00DA0C0C">
              <w:rPr>
                <w:rFonts w:ascii="Times New Roman" w:eastAsia="Calibri" w:hAnsi="Times New Roman" w:cs="Times New Roman"/>
                <w:b/>
                <w:sz w:val="26"/>
                <w:szCs w:val="26"/>
              </w:rPr>
              <w:t>3</w:t>
            </w:r>
            <w:r w:rsidR="004977F2">
              <w:rPr>
                <w:rFonts w:ascii="Times New Roman" w:eastAsia="Calibri" w:hAnsi="Times New Roman" w:cs="Times New Roman"/>
                <w:b/>
                <w:sz w:val="26"/>
                <w:szCs w:val="26"/>
              </w:rPr>
              <w:t>7,895</w:t>
            </w:r>
          </w:p>
        </w:tc>
      </w:tr>
    </w:tbl>
    <w:p w14:paraId="12FB3509" w14:textId="77777777" w:rsidR="00E45DDC" w:rsidRPr="00D9353F" w:rsidRDefault="00E45DDC" w:rsidP="00E45DDC">
      <w:pPr>
        <w:spacing w:after="0" w:line="276" w:lineRule="auto"/>
        <w:contextualSpacing/>
        <w:rPr>
          <w:rFonts w:ascii="Times New Roman" w:eastAsia="Calibri" w:hAnsi="Times New Roman" w:cs="Times New Roman"/>
          <w:b/>
          <w:sz w:val="26"/>
          <w:szCs w:val="26"/>
        </w:rPr>
      </w:pPr>
    </w:p>
    <w:p w14:paraId="4A2E5B75" w14:textId="77777777" w:rsidR="00C36732" w:rsidRPr="00D9353F" w:rsidRDefault="00C36732" w:rsidP="00C36732">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6F777264" w14:textId="77777777" w:rsidR="00191782" w:rsidRPr="00191782" w:rsidRDefault="00191782" w:rsidP="00191782">
      <w:pPr>
        <w:spacing w:after="0" w:line="276" w:lineRule="auto"/>
        <w:rPr>
          <w:rFonts w:ascii="Times New Roman" w:eastAsia="Calibri" w:hAnsi="Times New Roman" w:cs="Times New Roman"/>
          <w:sz w:val="26"/>
          <w:szCs w:val="26"/>
        </w:rPr>
      </w:pPr>
    </w:p>
    <w:p w14:paraId="546C4CD4"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REASONS FOR CHANGES IN BURDEN INCLUDING THE NEED FOR ANY INCREASE</w:t>
      </w:r>
    </w:p>
    <w:p w14:paraId="59CC4D70" w14:textId="77777777" w:rsidR="00191782" w:rsidRPr="00191782" w:rsidRDefault="00191782" w:rsidP="00191782">
      <w:pPr>
        <w:spacing w:after="0" w:line="276" w:lineRule="auto"/>
        <w:rPr>
          <w:rFonts w:ascii="Times New Roman" w:eastAsia="Calibri" w:hAnsi="Times New Roman" w:cs="Times New Roman"/>
          <w:sz w:val="26"/>
          <w:szCs w:val="26"/>
        </w:rPr>
      </w:pPr>
    </w:p>
    <w:p w14:paraId="0DC39529"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 requirements in FERC</w:t>
      </w:r>
      <w:r w:rsidR="00BD4F83">
        <w:rPr>
          <w:rFonts w:ascii="Times New Roman" w:eastAsia="Calibri" w:hAnsi="Times New Roman" w:cs="Times New Roman"/>
          <w:sz w:val="26"/>
          <w:szCs w:val="26"/>
        </w:rPr>
        <w:t xml:space="preserve"> Form</w:t>
      </w:r>
      <w:r w:rsidRPr="00191782">
        <w:rPr>
          <w:rFonts w:ascii="Times New Roman" w:eastAsia="Calibri" w:hAnsi="Times New Roman" w:cs="Times New Roman"/>
          <w:sz w:val="26"/>
          <w:szCs w:val="26"/>
        </w:rPr>
        <w:t xml:space="preserve">714 </w:t>
      </w:r>
      <w:r w:rsidRPr="006F21FE">
        <w:rPr>
          <w:rFonts w:ascii="Times New Roman" w:eastAsia="Calibri" w:hAnsi="Times New Roman" w:cs="Times New Roman"/>
          <w:sz w:val="26"/>
          <w:szCs w:val="26"/>
        </w:rPr>
        <w:t>did not change</w:t>
      </w:r>
      <w:r w:rsidRPr="00191782">
        <w:rPr>
          <w:rFonts w:ascii="Times New Roman" w:eastAsia="Calibri" w:hAnsi="Times New Roman" w:cs="Times New Roman"/>
          <w:sz w:val="26"/>
          <w:szCs w:val="26"/>
        </w:rPr>
        <w:t xml:space="preserve">.  The Commission determined the annual number of responses by referencing the NERC Compliance Registry list.  The registered entities that possessed either a balancing authority or planning area function were aggregated to determine the total number of responses.  </w:t>
      </w:r>
      <w:r w:rsidR="005A5711">
        <w:rPr>
          <w:rFonts w:ascii="Times New Roman" w:eastAsia="Calibri" w:hAnsi="Times New Roman" w:cs="Times New Roman"/>
          <w:sz w:val="26"/>
          <w:szCs w:val="26"/>
        </w:rPr>
        <w:t>The annual number of affected entities and responses is not expected to change.</w:t>
      </w:r>
    </w:p>
    <w:p w14:paraId="233E06B6" w14:textId="77777777" w:rsidR="00191782" w:rsidRPr="00191782" w:rsidRDefault="00191782" w:rsidP="00191782">
      <w:pPr>
        <w:spacing w:after="0" w:line="276" w:lineRule="auto"/>
        <w:rPr>
          <w:rFonts w:ascii="Times New Roman" w:eastAsia="Calibri" w:hAnsi="Times New Roman" w:cs="Times New Roman"/>
          <w:sz w:val="26"/>
          <w:szCs w:val="26"/>
        </w:rPr>
      </w:pPr>
    </w:p>
    <w:p w14:paraId="1D942C2A" w14:textId="77777777" w:rsidR="000E7E5F" w:rsidRPr="00D9353F" w:rsidRDefault="000E7E5F" w:rsidP="000E7E5F">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14:paraId="586F1C00" w14:textId="77777777" w:rsidR="00191782" w:rsidRPr="00191782" w:rsidRDefault="00191782" w:rsidP="00191782">
      <w:pPr>
        <w:spacing w:after="0" w:line="276"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91782" w:rsidRPr="00191782" w14:paraId="060E690F" w14:textId="77777777" w:rsidTr="007F1E5F">
        <w:trPr>
          <w:trHeight w:val="870"/>
        </w:trPr>
        <w:tc>
          <w:tcPr>
            <w:tcW w:w="2679" w:type="dxa"/>
            <w:shd w:val="clear" w:color="auto" w:fill="D9D9D9"/>
            <w:vAlign w:val="bottom"/>
          </w:tcPr>
          <w:p w14:paraId="3992168C" w14:textId="77777777" w:rsidR="00191782" w:rsidRPr="00191782" w:rsidRDefault="00191782" w:rsidP="00191782">
            <w:pPr>
              <w:spacing w:after="0" w:line="240"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FERC</w:t>
            </w:r>
            <w:r w:rsidR="00BD4F83">
              <w:rPr>
                <w:rFonts w:ascii="Times New Roman" w:eastAsia="Calibri" w:hAnsi="Times New Roman" w:cs="Times New Roman"/>
                <w:b/>
                <w:sz w:val="26"/>
                <w:szCs w:val="26"/>
              </w:rPr>
              <w:t xml:space="preserve"> Form</w:t>
            </w:r>
            <w:r w:rsidRPr="00191782">
              <w:rPr>
                <w:rFonts w:ascii="Times New Roman" w:eastAsia="Calibri" w:hAnsi="Times New Roman" w:cs="Times New Roman"/>
                <w:b/>
                <w:sz w:val="26"/>
                <w:szCs w:val="26"/>
              </w:rPr>
              <w:t>714</w:t>
            </w:r>
          </w:p>
        </w:tc>
        <w:tc>
          <w:tcPr>
            <w:tcW w:w="1461" w:type="dxa"/>
            <w:shd w:val="clear" w:color="auto" w:fill="D9D9D9"/>
            <w:vAlign w:val="bottom"/>
          </w:tcPr>
          <w:p w14:paraId="3477DDF0" w14:textId="77777777" w:rsidR="00191782" w:rsidRPr="00191782" w:rsidRDefault="00191782" w:rsidP="00191782">
            <w:pPr>
              <w:spacing w:after="0" w:line="240"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Total Request</w:t>
            </w:r>
          </w:p>
        </w:tc>
        <w:tc>
          <w:tcPr>
            <w:tcW w:w="1620" w:type="dxa"/>
            <w:shd w:val="clear" w:color="auto" w:fill="D9D9D9"/>
            <w:vAlign w:val="bottom"/>
          </w:tcPr>
          <w:p w14:paraId="758A1B4C" w14:textId="77777777" w:rsidR="00191782" w:rsidRPr="00191782" w:rsidRDefault="00191782" w:rsidP="00191782">
            <w:pPr>
              <w:spacing w:after="0" w:line="240"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Previously Approved</w:t>
            </w:r>
          </w:p>
        </w:tc>
        <w:tc>
          <w:tcPr>
            <w:tcW w:w="1800" w:type="dxa"/>
            <w:shd w:val="clear" w:color="auto" w:fill="D9D9D9"/>
            <w:vAlign w:val="bottom"/>
          </w:tcPr>
          <w:p w14:paraId="4E462E04" w14:textId="77777777" w:rsidR="00191782" w:rsidRPr="00191782" w:rsidRDefault="00191782" w:rsidP="00191782">
            <w:pPr>
              <w:spacing w:after="0" w:line="240"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Change due to Adjustment in Estimate</w:t>
            </w:r>
          </w:p>
        </w:tc>
        <w:tc>
          <w:tcPr>
            <w:tcW w:w="1800" w:type="dxa"/>
            <w:shd w:val="clear" w:color="auto" w:fill="D9D9D9"/>
            <w:vAlign w:val="bottom"/>
          </w:tcPr>
          <w:p w14:paraId="75602F95" w14:textId="77777777" w:rsidR="00191782" w:rsidRPr="00191782" w:rsidRDefault="00191782" w:rsidP="00191782">
            <w:pPr>
              <w:spacing w:after="0" w:line="240" w:lineRule="auto"/>
              <w:jc w:val="center"/>
              <w:rPr>
                <w:rFonts w:ascii="Times New Roman" w:eastAsia="Calibri" w:hAnsi="Times New Roman" w:cs="Times New Roman"/>
                <w:b/>
                <w:sz w:val="26"/>
                <w:szCs w:val="26"/>
              </w:rPr>
            </w:pPr>
            <w:r w:rsidRPr="00191782">
              <w:rPr>
                <w:rFonts w:ascii="Times New Roman" w:eastAsia="Calibri" w:hAnsi="Times New Roman" w:cs="Times New Roman"/>
                <w:b/>
                <w:sz w:val="26"/>
                <w:szCs w:val="26"/>
              </w:rPr>
              <w:t>Change Due to Agency Discretion</w:t>
            </w:r>
          </w:p>
        </w:tc>
      </w:tr>
      <w:tr w:rsidR="00191782" w:rsidRPr="00191782" w14:paraId="089B9952" w14:textId="77777777" w:rsidTr="007F1E5F">
        <w:trPr>
          <w:trHeight w:val="591"/>
        </w:trPr>
        <w:tc>
          <w:tcPr>
            <w:tcW w:w="2679" w:type="dxa"/>
            <w:shd w:val="clear" w:color="auto" w:fill="auto"/>
          </w:tcPr>
          <w:p w14:paraId="71E116B9" w14:textId="77777777" w:rsidR="00191782" w:rsidRPr="00191782" w:rsidRDefault="00191782" w:rsidP="000E7E5F">
            <w:pPr>
              <w:spacing w:after="0" w:line="240"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Annual Number of Responses</w:t>
            </w:r>
          </w:p>
        </w:tc>
        <w:tc>
          <w:tcPr>
            <w:tcW w:w="1461" w:type="dxa"/>
            <w:shd w:val="clear" w:color="auto" w:fill="auto"/>
            <w:vAlign w:val="center"/>
          </w:tcPr>
          <w:p w14:paraId="6331B2D6" w14:textId="77777777" w:rsidR="00191782" w:rsidRPr="00191782" w:rsidRDefault="003942C7" w:rsidP="00A71CD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176</w:t>
            </w:r>
          </w:p>
        </w:tc>
        <w:tc>
          <w:tcPr>
            <w:tcW w:w="1620" w:type="dxa"/>
            <w:shd w:val="clear" w:color="auto" w:fill="auto"/>
            <w:vAlign w:val="center"/>
          </w:tcPr>
          <w:p w14:paraId="04A6B0DC" w14:textId="77777777" w:rsidR="00191782" w:rsidRPr="00191782" w:rsidRDefault="00A71CD2" w:rsidP="006F21FE">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17</w:t>
            </w:r>
            <w:r w:rsidR="006F21FE">
              <w:rPr>
                <w:rFonts w:ascii="Times New Roman" w:eastAsia="Calibri" w:hAnsi="Times New Roman" w:cs="Times New Roman"/>
                <w:sz w:val="26"/>
                <w:szCs w:val="26"/>
              </w:rPr>
              <w:t>6</w:t>
            </w:r>
          </w:p>
        </w:tc>
        <w:tc>
          <w:tcPr>
            <w:tcW w:w="1800" w:type="dxa"/>
            <w:shd w:val="clear" w:color="auto" w:fill="auto"/>
            <w:vAlign w:val="center"/>
          </w:tcPr>
          <w:p w14:paraId="09DB97BB" w14:textId="77777777" w:rsidR="00191782" w:rsidRPr="00191782" w:rsidRDefault="005A5711" w:rsidP="0019178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shd w:val="clear" w:color="auto" w:fill="auto"/>
            <w:vAlign w:val="center"/>
          </w:tcPr>
          <w:p w14:paraId="48589010" w14:textId="77777777" w:rsidR="00191782" w:rsidRPr="00191782" w:rsidRDefault="008362E1" w:rsidP="006F21FE">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rsidR="00191782" w:rsidRPr="00191782" w14:paraId="113CDD3E" w14:textId="77777777" w:rsidTr="007F1E5F">
        <w:trPr>
          <w:trHeight w:val="575"/>
        </w:trPr>
        <w:tc>
          <w:tcPr>
            <w:tcW w:w="2679" w:type="dxa"/>
            <w:shd w:val="clear" w:color="auto" w:fill="auto"/>
          </w:tcPr>
          <w:p w14:paraId="54559AA8" w14:textId="77777777" w:rsidR="00191782" w:rsidRPr="00191782" w:rsidRDefault="00191782" w:rsidP="000E7E5F">
            <w:pPr>
              <w:spacing w:after="0" w:line="240"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Annual Time Burden (Hr.)</w:t>
            </w:r>
          </w:p>
        </w:tc>
        <w:tc>
          <w:tcPr>
            <w:tcW w:w="1461" w:type="dxa"/>
            <w:shd w:val="clear" w:color="auto" w:fill="auto"/>
            <w:vAlign w:val="center"/>
          </w:tcPr>
          <w:p w14:paraId="731AFDE3" w14:textId="77777777" w:rsidR="00191782" w:rsidRPr="00191782" w:rsidRDefault="003942C7" w:rsidP="0019178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15,312</w:t>
            </w:r>
          </w:p>
        </w:tc>
        <w:tc>
          <w:tcPr>
            <w:tcW w:w="1620" w:type="dxa"/>
            <w:shd w:val="clear" w:color="auto" w:fill="auto"/>
            <w:vAlign w:val="center"/>
          </w:tcPr>
          <w:p w14:paraId="6D8AEC04" w14:textId="77777777" w:rsidR="00191782" w:rsidRPr="00191782" w:rsidRDefault="00A71CD2" w:rsidP="0019178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15,312</w:t>
            </w:r>
          </w:p>
        </w:tc>
        <w:tc>
          <w:tcPr>
            <w:tcW w:w="1800" w:type="dxa"/>
            <w:shd w:val="clear" w:color="auto" w:fill="auto"/>
            <w:vAlign w:val="center"/>
          </w:tcPr>
          <w:p w14:paraId="058D4DB8" w14:textId="77777777" w:rsidR="00191782" w:rsidRPr="00191782" w:rsidRDefault="005A5711" w:rsidP="0019178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shd w:val="clear" w:color="auto" w:fill="auto"/>
            <w:vAlign w:val="center"/>
          </w:tcPr>
          <w:p w14:paraId="18EB2D7D" w14:textId="77777777" w:rsidR="00191782" w:rsidRPr="00191782" w:rsidRDefault="000C1EE9" w:rsidP="0019178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rsidR="00191782" w:rsidRPr="00191782" w14:paraId="0033E970" w14:textId="77777777" w:rsidTr="007F1E5F">
        <w:trPr>
          <w:trHeight w:val="295"/>
        </w:trPr>
        <w:tc>
          <w:tcPr>
            <w:tcW w:w="2679" w:type="dxa"/>
            <w:tcBorders>
              <w:bottom w:val="single" w:sz="4" w:space="0" w:color="auto"/>
            </w:tcBorders>
            <w:shd w:val="clear" w:color="auto" w:fill="auto"/>
          </w:tcPr>
          <w:p w14:paraId="67005C47" w14:textId="77777777" w:rsidR="00191782" w:rsidRPr="00191782" w:rsidRDefault="00191782" w:rsidP="000E7E5F">
            <w:pPr>
              <w:spacing w:after="0" w:line="240"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Annual Cost Burden ($)</w:t>
            </w:r>
          </w:p>
        </w:tc>
        <w:tc>
          <w:tcPr>
            <w:tcW w:w="1461" w:type="dxa"/>
            <w:tcBorders>
              <w:bottom w:val="single" w:sz="4" w:space="0" w:color="auto"/>
            </w:tcBorders>
            <w:shd w:val="clear" w:color="auto" w:fill="auto"/>
            <w:vAlign w:val="center"/>
          </w:tcPr>
          <w:p w14:paraId="13E0F7F2" w14:textId="77777777" w:rsidR="00191782" w:rsidRPr="00191782" w:rsidRDefault="00191782" w:rsidP="00191782">
            <w:pPr>
              <w:spacing w:after="0" w:line="240" w:lineRule="auto"/>
              <w:jc w:val="right"/>
              <w:rPr>
                <w:rFonts w:ascii="Times New Roman" w:eastAsia="Calibri" w:hAnsi="Times New Roman" w:cs="Times New Roman"/>
                <w:sz w:val="26"/>
                <w:szCs w:val="26"/>
              </w:rPr>
            </w:pPr>
            <w:r w:rsidRPr="00191782">
              <w:rPr>
                <w:rFonts w:ascii="Times New Roman" w:eastAsia="Calibri" w:hAnsi="Times New Roman" w:cs="Times New Roman"/>
                <w:sz w:val="26"/>
                <w:szCs w:val="26"/>
              </w:rPr>
              <w:t>0</w:t>
            </w:r>
          </w:p>
        </w:tc>
        <w:tc>
          <w:tcPr>
            <w:tcW w:w="1620" w:type="dxa"/>
            <w:tcBorders>
              <w:bottom w:val="single" w:sz="4" w:space="0" w:color="auto"/>
            </w:tcBorders>
            <w:shd w:val="clear" w:color="auto" w:fill="auto"/>
            <w:vAlign w:val="center"/>
          </w:tcPr>
          <w:p w14:paraId="3894C4D3" w14:textId="77777777" w:rsidR="00191782" w:rsidRPr="00191782" w:rsidRDefault="00191782" w:rsidP="00191782">
            <w:pPr>
              <w:spacing w:after="0" w:line="240" w:lineRule="auto"/>
              <w:jc w:val="right"/>
              <w:rPr>
                <w:rFonts w:ascii="Times New Roman" w:eastAsia="Calibri" w:hAnsi="Times New Roman" w:cs="Times New Roman"/>
                <w:sz w:val="26"/>
                <w:szCs w:val="26"/>
              </w:rPr>
            </w:pPr>
            <w:r w:rsidRPr="00191782">
              <w:rPr>
                <w:rFonts w:ascii="Times New Roman" w:eastAsia="Calibri" w:hAnsi="Times New Roman" w:cs="Times New Roman"/>
                <w:sz w:val="26"/>
                <w:szCs w:val="26"/>
              </w:rPr>
              <w:t>0</w:t>
            </w:r>
          </w:p>
        </w:tc>
        <w:tc>
          <w:tcPr>
            <w:tcW w:w="1800" w:type="dxa"/>
            <w:tcBorders>
              <w:bottom w:val="single" w:sz="4" w:space="0" w:color="auto"/>
            </w:tcBorders>
            <w:shd w:val="clear" w:color="auto" w:fill="auto"/>
            <w:vAlign w:val="center"/>
          </w:tcPr>
          <w:p w14:paraId="3E4F9830" w14:textId="77777777" w:rsidR="00191782" w:rsidRPr="00191782" w:rsidRDefault="00191782" w:rsidP="00191782">
            <w:pPr>
              <w:spacing w:after="0" w:line="240" w:lineRule="auto"/>
              <w:jc w:val="right"/>
              <w:rPr>
                <w:rFonts w:ascii="Times New Roman" w:eastAsia="Calibri" w:hAnsi="Times New Roman" w:cs="Times New Roman"/>
                <w:sz w:val="26"/>
                <w:szCs w:val="26"/>
              </w:rPr>
            </w:pPr>
            <w:r w:rsidRPr="00191782">
              <w:rPr>
                <w:rFonts w:ascii="Times New Roman" w:eastAsia="Calibri" w:hAnsi="Times New Roman" w:cs="Times New Roman"/>
                <w:sz w:val="26"/>
                <w:szCs w:val="26"/>
              </w:rPr>
              <w:t>0</w:t>
            </w:r>
          </w:p>
        </w:tc>
        <w:tc>
          <w:tcPr>
            <w:tcW w:w="1800" w:type="dxa"/>
            <w:tcBorders>
              <w:bottom w:val="single" w:sz="4" w:space="0" w:color="auto"/>
            </w:tcBorders>
            <w:shd w:val="clear" w:color="auto" w:fill="auto"/>
            <w:vAlign w:val="center"/>
          </w:tcPr>
          <w:p w14:paraId="0E8E327F" w14:textId="77777777" w:rsidR="00191782" w:rsidRPr="00191782" w:rsidRDefault="00191782" w:rsidP="00191782">
            <w:pPr>
              <w:spacing w:after="0" w:line="240" w:lineRule="auto"/>
              <w:jc w:val="right"/>
              <w:rPr>
                <w:rFonts w:ascii="Times New Roman" w:eastAsia="Calibri" w:hAnsi="Times New Roman" w:cs="Times New Roman"/>
                <w:sz w:val="26"/>
                <w:szCs w:val="26"/>
              </w:rPr>
            </w:pPr>
            <w:r w:rsidRPr="00191782">
              <w:rPr>
                <w:rFonts w:ascii="Times New Roman" w:eastAsia="Calibri" w:hAnsi="Times New Roman" w:cs="Times New Roman"/>
                <w:sz w:val="26"/>
                <w:szCs w:val="26"/>
              </w:rPr>
              <w:t>0</w:t>
            </w:r>
          </w:p>
        </w:tc>
      </w:tr>
    </w:tbl>
    <w:p w14:paraId="628F231C" w14:textId="77777777" w:rsidR="00191782" w:rsidRPr="00191782" w:rsidRDefault="00191782" w:rsidP="00191782">
      <w:pPr>
        <w:spacing w:after="0" w:line="276" w:lineRule="auto"/>
        <w:rPr>
          <w:rFonts w:ascii="Times New Roman" w:eastAsia="Calibri" w:hAnsi="Times New Roman" w:cs="Times New Roman"/>
          <w:sz w:val="26"/>
          <w:szCs w:val="26"/>
        </w:rPr>
      </w:pPr>
    </w:p>
    <w:p w14:paraId="2842D692"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TIME SCHEDULE FOR PUBLICATION OF DATA</w:t>
      </w:r>
    </w:p>
    <w:p w14:paraId="272E6865" w14:textId="77777777" w:rsidR="00191782" w:rsidRPr="00191782" w:rsidRDefault="00191782" w:rsidP="00191782">
      <w:pPr>
        <w:spacing w:after="0" w:line="276" w:lineRule="auto"/>
        <w:rPr>
          <w:rFonts w:ascii="Times New Roman" w:eastAsia="Calibri" w:hAnsi="Times New Roman" w:cs="Times New Roman"/>
          <w:sz w:val="26"/>
          <w:szCs w:val="26"/>
        </w:rPr>
      </w:pPr>
    </w:p>
    <w:p w14:paraId="3A67BDDD" w14:textId="77777777" w:rsidR="000E7E5F" w:rsidRPr="00D9353F" w:rsidRDefault="000E7E5F" w:rsidP="000E7E5F">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There are no tabulating, statistical or tabulating analysis or publication plans for the collection of information.  The data are used for regulatory purposes only.</w:t>
      </w:r>
    </w:p>
    <w:p w14:paraId="38EB9297" w14:textId="77777777" w:rsidR="00191782" w:rsidRPr="00191782" w:rsidRDefault="00191782" w:rsidP="00191782">
      <w:pPr>
        <w:spacing w:after="0" w:line="276" w:lineRule="auto"/>
        <w:rPr>
          <w:rFonts w:ascii="Times New Roman" w:eastAsia="Calibri" w:hAnsi="Times New Roman" w:cs="Times New Roman"/>
          <w:sz w:val="26"/>
          <w:szCs w:val="26"/>
        </w:rPr>
      </w:pPr>
    </w:p>
    <w:p w14:paraId="40637363"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DISPLAY OF EXPIRATION DATE</w:t>
      </w:r>
    </w:p>
    <w:p w14:paraId="424E7036" w14:textId="77777777" w:rsidR="00191782" w:rsidRPr="00D9353F" w:rsidRDefault="00191782" w:rsidP="00191782">
      <w:pPr>
        <w:spacing w:after="0" w:line="276" w:lineRule="auto"/>
        <w:rPr>
          <w:rFonts w:ascii="Times New Roman" w:eastAsia="Calibri" w:hAnsi="Times New Roman" w:cs="Times New Roman"/>
          <w:sz w:val="26"/>
          <w:szCs w:val="26"/>
        </w:rPr>
      </w:pPr>
    </w:p>
    <w:p w14:paraId="563399E3" w14:textId="77777777" w:rsidR="000E7E5F" w:rsidRPr="00D9353F" w:rsidRDefault="000E7E5F" w:rsidP="000E7E5F">
      <w:pPr>
        <w:spacing w:after="0" w:line="276" w:lineRule="auto"/>
        <w:rPr>
          <w:rFonts w:ascii="Times New Roman" w:eastAsia="Calibri" w:hAnsi="Times New Roman" w:cs="Times New Roman"/>
          <w:sz w:val="26"/>
          <w:szCs w:val="26"/>
        </w:rPr>
      </w:pPr>
      <w:r w:rsidRPr="00D9353F">
        <w:rPr>
          <w:rFonts w:ascii="Times New Roman" w:eastAsia="Calibri" w:hAnsi="Times New Roman" w:cs="Times New Roman"/>
          <w:sz w:val="26"/>
          <w:szCs w:val="26"/>
        </w:rPr>
        <w:t xml:space="preserve">The OMB expiration dates are posted on </w:t>
      </w:r>
      <w:hyperlink r:id="rId16" w:history="1">
        <w:r w:rsidRPr="00D9353F">
          <w:rPr>
            <w:rStyle w:val="Hyperlink"/>
            <w:rFonts w:ascii="Times New Roman" w:eastAsia="Calibri" w:hAnsi="Times New Roman" w:cs="Times New Roman"/>
            <w:sz w:val="26"/>
            <w:szCs w:val="26"/>
          </w:rPr>
          <w:t>http://www.ferc.gov/docs-filing/info-collections.asp</w:t>
        </w:r>
      </w:hyperlink>
      <w:r w:rsidRPr="00D9353F">
        <w:rPr>
          <w:rFonts w:ascii="Times New Roman" w:eastAsia="Calibri" w:hAnsi="Times New Roman" w:cs="Times New Roman"/>
          <w:sz w:val="26"/>
          <w:szCs w:val="26"/>
        </w:rPr>
        <w:t>.</w:t>
      </w:r>
    </w:p>
    <w:p w14:paraId="14A3843E" w14:textId="77777777" w:rsidR="000E7E5F" w:rsidRPr="00191782" w:rsidRDefault="000E7E5F" w:rsidP="00191782">
      <w:pPr>
        <w:spacing w:after="0" w:line="276" w:lineRule="auto"/>
        <w:rPr>
          <w:rFonts w:ascii="Times New Roman" w:eastAsia="Calibri" w:hAnsi="Times New Roman" w:cs="Times New Roman"/>
          <w:sz w:val="26"/>
          <w:szCs w:val="26"/>
        </w:rPr>
      </w:pPr>
    </w:p>
    <w:p w14:paraId="6014EBC7" w14:textId="77777777" w:rsidR="00191782" w:rsidRPr="00191782" w:rsidRDefault="00191782" w:rsidP="00191782">
      <w:pPr>
        <w:numPr>
          <w:ilvl w:val="0"/>
          <w:numId w:val="1"/>
        </w:numPr>
        <w:spacing w:after="0" w:line="276" w:lineRule="auto"/>
        <w:ind w:left="360"/>
        <w:contextualSpacing/>
        <w:rPr>
          <w:rFonts w:ascii="Times New Roman" w:eastAsia="Calibri" w:hAnsi="Times New Roman" w:cs="Times New Roman"/>
          <w:b/>
          <w:sz w:val="26"/>
          <w:szCs w:val="26"/>
        </w:rPr>
      </w:pPr>
      <w:r w:rsidRPr="00191782">
        <w:rPr>
          <w:rFonts w:ascii="Times New Roman" w:eastAsia="Calibri" w:hAnsi="Times New Roman" w:cs="Times New Roman"/>
          <w:b/>
          <w:sz w:val="26"/>
          <w:szCs w:val="26"/>
        </w:rPr>
        <w:t>EXCEPTIONS TO THE CERTIFICATION STATEMENT</w:t>
      </w:r>
    </w:p>
    <w:p w14:paraId="1DA62669" w14:textId="77777777" w:rsidR="00191782" w:rsidRPr="00191782" w:rsidRDefault="00191782" w:rsidP="00191782">
      <w:pPr>
        <w:spacing w:after="0" w:line="276" w:lineRule="auto"/>
        <w:rPr>
          <w:rFonts w:ascii="Times New Roman" w:eastAsia="Calibri" w:hAnsi="Times New Roman" w:cs="Times New Roman"/>
          <w:b/>
          <w:sz w:val="26"/>
          <w:szCs w:val="26"/>
        </w:rPr>
      </w:pPr>
    </w:p>
    <w:p w14:paraId="0A1C39F4" w14:textId="77777777" w:rsidR="00191782" w:rsidRPr="00191782" w:rsidRDefault="00191782" w:rsidP="00191782">
      <w:pPr>
        <w:spacing w:after="0" w:line="276" w:lineRule="auto"/>
        <w:rPr>
          <w:rFonts w:ascii="Times New Roman" w:eastAsia="Calibri" w:hAnsi="Times New Roman" w:cs="Times New Roman"/>
          <w:sz w:val="26"/>
          <w:szCs w:val="26"/>
        </w:rPr>
      </w:pPr>
      <w:r w:rsidRPr="00191782">
        <w:rPr>
          <w:rFonts w:ascii="Times New Roman" w:eastAsia="Calibri" w:hAnsi="Times New Roman" w:cs="Times New Roman"/>
          <w:sz w:val="26"/>
          <w:szCs w:val="26"/>
        </w:rPr>
        <w:t>There are no exceptions.</w:t>
      </w:r>
    </w:p>
    <w:p w14:paraId="77E7F4C4" w14:textId="77777777" w:rsidR="00613AE3" w:rsidRPr="00D9353F" w:rsidRDefault="00613AE3">
      <w:pPr>
        <w:rPr>
          <w:rFonts w:ascii="Times New Roman" w:hAnsi="Times New Roman" w:cs="Times New Roman"/>
          <w:sz w:val="26"/>
          <w:szCs w:val="26"/>
        </w:rPr>
      </w:pPr>
    </w:p>
    <w:sectPr w:rsidR="00613AE3" w:rsidRPr="00D935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4A49" w14:textId="77777777" w:rsidR="00DB2C86" w:rsidRDefault="00DB2C86" w:rsidP="00191782">
      <w:pPr>
        <w:spacing w:after="0" w:line="240" w:lineRule="auto"/>
      </w:pPr>
      <w:r>
        <w:separator/>
      </w:r>
    </w:p>
  </w:endnote>
  <w:endnote w:type="continuationSeparator" w:id="0">
    <w:p w14:paraId="2172B8B8" w14:textId="77777777" w:rsidR="00DB2C86" w:rsidRDefault="00DB2C86" w:rsidP="0019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687884"/>
      <w:docPartObj>
        <w:docPartGallery w:val="Page Numbers (Bottom of Page)"/>
        <w:docPartUnique/>
      </w:docPartObj>
    </w:sdtPr>
    <w:sdtEndPr>
      <w:rPr>
        <w:noProof/>
      </w:rPr>
    </w:sdtEndPr>
    <w:sdtContent>
      <w:p w14:paraId="307814F2" w14:textId="77777777" w:rsidR="00701C12" w:rsidRDefault="00AE7917">
        <w:pPr>
          <w:pStyle w:val="Footer"/>
          <w:jc w:val="right"/>
        </w:pPr>
        <w:r>
          <w:fldChar w:fldCharType="begin"/>
        </w:r>
        <w:r>
          <w:instrText xml:space="preserve"> PAGE   \* MERGEFORMAT </w:instrText>
        </w:r>
        <w:r>
          <w:fldChar w:fldCharType="separate"/>
        </w:r>
        <w:r w:rsidR="001C7DB3">
          <w:rPr>
            <w:noProof/>
          </w:rPr>
          <w:t>1</w:t>
        </w:r>
        <w:r>
          <w:rPr>
            <w:noProof/>
          </w:rPr>
          <w:fldChar w:fldCharType="end"/>
        </w:r>
      </w:p>
    </w:sdtContent>
  </w:sdt>
  <w:p w14:paraId="09C866DA" w14:textId="77777777" w:rsidR="00701C12" w:rsidRDefault="001C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A152" w14:textId="77777777" w:rsidR="00DB2C86" w:rsidRDefault="00DB2C86" w:rsidP="00191782">
      <w:pPr>
        <w:spacing w:after="0" w:line="240" w:lineRule="auto"/>
      </w:pPr>
      <w:r>
        <w:separator/>
      </w:r>
    </w:p>
  </w:footnote>
  <w:footnote w:type="continuationSeparator" w:id="0">
    <w:p w14:paraId="35354D22" w14:textId="77777777" w:rsidR="00DB2C86" w:rsidRDefault="00DB2C86" w:rsidP="00191782">
      <w:pPr>
        <w:spacing w:after="0" w:line="240" w:lineRule="auto"/>
      </w:pPr>
      <w:r>
        <w:continuationSeparator/>
      </w:r>
    </w:p>
  </w:footnote>
  <w:footnote w:id="1">
    <w:p w14:paraId="11CE3A29" w14:textId="77777777" w:rsidR="00005626" w:rsidRPr="00D3650B" w:rsidRDefault="008B6A33" w:rsidP="008B6A33">
      <w:pPr>
        <w:pStyle w:val="FootnoteText"/>
        <w:rPr>
          <w:rFonts w:ascii="Times New Roman" w:hAnsi="Times New Roman" w:cs="Times New Roman"/>
          <w:sz w:val="26"/>
          <w:szCs w:val="26"/>
        </w:rPr>
      </w:pPr>
      <w:r w:rsidRPr="00D3650B">
        <w:rPr>
          <w:rStyle w:val="FootnoteReference"/>
          <w:rFonts w:ascii="Times New Roman" w:hAnsi="Times New Roman" w:cs="Times New Roman"/>
          <w:sz w:val="26"/>
          <w:szCs w:val="26"/>
          <w:vertAlign w:val="superscript"/>
        </w:rPr>
        <w:footnoteRef/>
      </w:r>
      <w:r w:rsidRPr="00D3650B">
        <w:rPr>
          <w:rFonts w:ascii="Times New Roman" w:hAnsi="Times New Roman" w:cs="Times New Roman"/>
          <w:sz w:val="26"/>
          <w:szCs w:val="26"/>
        </w:rPr>
        <w:t xml:space="preserve"> The entities that are supposed to submit are ones designated as a NERC Balancing Authority (BA) and/or Planning Authority (PA). The BA submits the generation in its area to meet the load; while, the PA submits the hourly load demand and load forecasts for its area. </w:t>
      </w:r>
    </w:p>
    <w:p w14:paraId="2F99F95B" w14:textId="47652923" w:rsidR="008B6A33" w:rsidRPr="00D3650B" w:rsidRDefault="00005626" w:rsidP="008B6A33">
      <w:pPr>
        <w:pStyle w:val="FootnoteText"/>
        <w:rPr>
          <w:rFonts w:ascii="Times New Roman" w:hAnsi="Times New Roman" w:cs="Times New Roman"/>
          <w:sz w:val="26"/>
          <w:szCs w:val="26"/>
        </w:rPr>
      </w:pPr>
      <w:r w:rsidRPr="00D3650B">
        <w:rPr>
          <w:rFonts w:ascii="Times New Roman" w:hAnsi="Times New Roman" w:cs="Times New Roman"/>
          <w:sz w:val="26"/>
          <w:szCs w:val="26"/>
        </w:rPr>
        <w:t>“L</w:t>
      </w:r>
      <w:r w:rsidR="008B6A33" w:rsidRPr="00D3650B">
        <w:rPr>
          <w:rFonts w:ascii="Times New Roman" w:hAnsi="Times New Roman" w:cs="Times New Roman"/>
          <w:sz w:val="26"/>
          <w:szCs w:val="26"/>
        </w:rPr>
        <w:t>oad demand</w:t>
      </w:r>
      <w:r w:rsidRPr="00D3650B">
        <w:rPr>
          <w:rFonts w:ascii="Times New Roman" w:hAnsi="Times New Roman" w:cs="Times New Roman"/>
          <w:sz w:val="26"/>
          <w:szCs w:val="26"/>
        </w:rPr>
        <w:t>”is</w:t>
      </w:r>
      <w:r w:rsidR="008B6A33" w:rsidRPr="00D3650B">
        <w:rPr>
          <w:rFonts w:ascii="Times New Roman" w:hAnsi="Times New Roman" w:cs="Times New Roman"/>
          <w:sz w:val="26"/>
          <w:szCs w:val="26"/>
        </w:rPr>
        <w:t xml:space="preserve"> the power need of the utilities to serve their customers. Customers can be any entity from industrial, commercial, or residential power consumers. </w:t>
      </w:r>
    </w:p>
    <w:p w14:paraId="40FFF652" w14:textId="77777777" w:rsidR="008B6A33" w:rsidRDefault="008B6A33">
      <w:pPr>
        <w:pStyle w:val="FootnoteText"/>
      </w:pPr>
    </w:p>
  </w:footnote>
  <w:footnote w:id="2">
    <w:p w14:paraId="36996E99" w14:textId="77777777" w:rsidR="00883DD3" w:rsidRPr="00DA0C0C" w:rsidRDefault="00883DD3">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166 FERC ¶ 61,027 Notice of Proposed Rulemaking: Revisions to the Filing Process for Commission Forms. Docket No. RM19-12-000. Issued January 17, 2019.</w:t>
      </w:r>
    </w:p>
  </w:footnote>
  <w:footnote w:id="3">
    <w:p w14:paraId="3734B002" w14:textId="77777777" w:rsidR="004B791A" w:rsidRPr="00DA0C0C" w:rsidRDefault="004B791A" w:rsidP="004B791A">
      <w:pPr>
        <w:pStyle w:val="FootnoteText"/>
        <w:rPr>
          <w:rFonts w:ascii="Times New Roman" w:hAnsi="Times New Roman" w:cs="Times New Roman"/>
          <w:sz w:val="26"/>
          <w:szCs w:val="26"/>
          <w:lang w:val="fr-FR"/>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lang w:val="fr-FR"/>
        </w:rPr>
        <w:t xml:space="preserve"> 5 CFR 1320.8(d)</w:t>
      </w:r>
    </w:p>
  </w:footnote>
  <w:footnote w:id="4">
    <w:p w14:paraId="7B51210D" w14:textId="77777777" w:rsidR="004B791A" w:rsidRPr="00DA0C0C" w:rsidRDefault="004B791A" w:rsidP="004B791A">
      <w:pPr>
        <w:pStyle w:val="FootnoteText"/>
        <w:rPr>
          <w:rFonts w:ascii="Times New Roman" w:hAnsi="Times New Roman" w:cs="Times New Roman"/>
          <w:sz w:val="26"/>
          <w:szCs w:val="26"/>
          <w:lang w:val="fr-FR"/>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lang w:val="fr-FR"/>
        </w:rPr>
        <w:t xml:space="preserve"> 83 FR 55714</w:t>
      </w:r>
    </w:p>
  </w:footnote>
  <w:footnote w:id="5">
    <w:p w14:paraId="726DF83D" w14:textId="77777777" w:rsidR="005A2F83" w:rsidRPr="000E398D" w:rsidRDefault="005A2F83">
      <w:pPr>
        <w:pStyle w:val="FootnoteText"/>
        <w:rPr>
          <w:rFonts w:ascii="Times New Roman" w:hAnsi="Times New Roman" w:cs="Times New Roman"/>
          <w:sz w:val="26"/>
          <w:szCs w:val="26"/>
        </w:rPr>
      </w:pPr>
      <w:r w:rsidRPr="000E398D">
        <w:rPr>
          <w:rStyle w:val="FootnoteReference"/>
          <w:rFonts w:ascii="Times New Roman" w:hAnsi="Times New Roman" w:cs="Times New Roman"/>
          <w:sz w:val="26"/>
          <w:szCs w:val="26"/>
        </w:rPr>
        <w:footnoteRef/>
      </w:r>
      <w:r w:rsidRPr="000E398D">
        <w:rPr>
          <w:rFonts w:ascii="Times New Roman" w:hAnsi="Times New Roman" w:cs="Times New Roman"/>
          <w:sz w:val="26"/>
          <w:szCs w:val="26"/>
        </w:rPr>
        <w:t xml:space="preserve"> 84 FR 9324</w:t>
      </w:r>
    </w:p>
  </w:footnote>
  <w:footnote w:id="6">
    <w:p w14:paraId="7FD93A90" w14:textId="77777777" w:rsidR="00C36732" w:rsidRPr="00DA0C0C" w:rsidRDefault="00C36732" w:rsidP="00C36732">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18 CFR 388.112</w:t>
      </w:r>
    </w:p>
  </w:footnote>
  <w:footnote w:id="7">
    <w:p w14:paraId="4BA890A3" w14:textId="77777777" w:rsidR="00C36732" w:rsidRPr="00DA0C0C" w:rsidRDefault="00C36732" w:rsidP="00C36732">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14:paraId="1CC18D77" w14:textId="77777777" w:rsidR="00DA0C0C" w:rsidRPr="00DA0C0C" w:rsidRDefault="00DA0C0C" w:rsidP="00DA0C0C">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The estimated hourly cost (for salary plus benefits) uses the figures from the Bureau of Labor Statistics, May 2017, for the listed reporting requirements.  These figures include salary (</w:t>
      </w:r>
      <w:hyperlink r:id="rId1" w:history="1">
        <w:r w:rsidRPr="00DA0C0C">
          <w:rPr>
            <w:rFonts w:ascii="Times New Roman" w:hAnsi="Times New Roman" w:cs="Times New Roman"/>
            <w:color w:val="0000FF"/>
            <w:sz w:val="26"/>
            <w:szCs w:val="26"/>
            <w:u w:val="single"/>
          </w:rPr>
          <w:t>https://www.bls.gov/oes/current/naics2_22.htm</w:t>
        </w:r>
      </w:hyperlink>
      <w:r w:rsidRPr="00DA0C0C">
        <w:rPr>
          <w:rFonts w:ascii="Times New Roman" w:hAnsi="Times New Roman" w:cs="Times New Roman"/>
          <w:sz w:val="26"/>
          <w:szCs w:val="26"/>
        </w:rPr>
        <w:t xml:space="preserve"> ) and benefits </w:t>
      </w:r>
      <w:hyperlink r:id="rId2" w:history="1">
        <w:r w:rsidRPr="00DA0C0C">
          <w:rPr>
            <w:rFonts w:ascii="Times New Roman" w:hAnsi="Times New Roman" w:cs="Times New Roman"/>
            <w:color w:val="0000FF"/>
            <w:sz w:val="26"/>
            <w:szCs w:val="26"/>
            <w:u w:val="single"/>
          </w:rPr>
          <w:t>http://www.bls.gov/news.release/ecec.nr0.htm</w:t>
        </w:r>
      </w:hyperlink>
      <w:r w:rsidRPr="00DA0C0C">
        <w:rPr>
          <w:rFonts w:ascii="Times New Roman" w:hAnsi="Times New Roman" w:cs="Times New Roman"/>
          <w:sz w:val="26"/>
          <w:szCs w:val="26"/>
        </w:rPr>
        <w:t xml:space="preserve">) and are:  </w:t>
      </w:r>
    </w:p>
    <w:p w14:paraId="485CD650"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Management (Code 11-0000), $94.28/hr.</w:t>
      </w:r>
    </w:p>
    <w:p w14:paraId="2C968ADD"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Computer and mathematical (Code 15-0000), $63.25/hr.</w:t>
      </w:r>
    </w:p>
    <w:p w14:paraId="265A04EC"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Electrical Engineers (Code 17-2071), $66.90/hr.</w:t>
      </w:r>
    </w:p>
    <w:p w14:paraId="667B93E5"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Economist (Code 19-3011), $71.98/hr.</w:t>
      </w:r>
    </w:p>
    <w:p w14:paraId="2DE5A0F1"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Computer and Information Systems Managers (Code 11-3021), $96.51/hr.</w:t>
      </w:r>
    </w:p>
    <w:p w14:paraId="5D5C14D7"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 xml:space="preserve">Accountants and Auditors (Code 13-2011), $56.59/hr. </w:t>
      </w:r>
    </w:p>
    <w:p w14:paraId="30986D66"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Transportation, Storage, and Distribution Managers (Code 11-3071), $75.34/hr.</w:t>
      </w:r>
    </w:p>
    <w:p w14:paraId="62A9AE1B"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ab/>
        <w:t>Power Distributors and Dispatchers (Code 51-8012), $53.48/hr.</w:t>
      </w:r>
    </w:p>
    <w:p w14:paraId="228929A9" w14:textId="77777777" w:rsidR="00DA0C0C" w:rsidRPr="00DA0C0C" w:rsidRDefault="00DA0C0C" w:rsidP="00DA0C0C">
      <w:pPr>
        <w:pStyle w:val="FootnoteText"/>
        <w:rPr>
          <w:rFonts w:ascii="Times New Roman" w:hAnsi="Times New Roman" w:cs="Times New Roman"/>
          <w:sz w:val="26"/>
          <w:szCs w:val="26"/>
        </w:rPr>
      </w:pPr>
      <w:r w:rsidRPr="00DA0C0C">
        <w:rPr>
          <w:rFonts w:ascii="Times New Roman" w:hAnsi="Times New Roman" w:cs="Times New Roman"/>
          <w:sz w:val="26"/>
          <w:szCs w:val="26"/>
        </w:rPr>
        <w:t>The average hourly cost (wages plus benefits) for the above wages is $72.29/hour (rounded to $72.00/hour)</w:t>
      </w:r>
    </w:p>
  </w:footnote>
  <w:footnote w:id="9">
    <w:p w14:paraId="031008CC" w14:textId="77777777" w:rsidR="006F21FE" w:rsidRPr="00DA0C0C" w:rsidRDefault="006F21FE" w:rsidP="006F21FE">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w:t>
      </w:r>
      <w:r w:rsidR="00660980" w:rsidRPr="00DA0C0C">
        <w:rPr>
          <w:rFonts w:ascii="Times New Roman" w:eastAsia="Times New Roman" w:hAnsi="Times New Roman" w:cs="Times New Roman"/>
          <w:sz w:val="26"/>
          <w:szCs w:val="26"/>
        </w:rPr>
        <w:t>The cost figure is the 2018 FERC average salary plus benefits ($164,820/year or $79/hour).  FERC staff estimates that industry costs for salary plus benefits are similar to Commission costs.</w:t>
      </w:r>
      <w:r w:rsidR="000E3CF6" w:rsidRPr="00DA0C0C" w:rsidDel="000E3CF6">
        <w:rPr>
          <w:rFonts w:ascii="Times New Roman" w:hAnsi="Times New Roman" w:cs="Times New Roman"/>
          <w:sz w:val="26"/>
          <w:szCs w:val="26"/>
        </w:rPr>
        <w:t xml:space="preserve"> </w:t>
      </w:r>
    </w:p>
  </w:footnote>
  <w:footnote w:id="10">
    <w:p w14:paraId="192E29C4" w14:textId="0EE811CA" w:rsidR="000E3CF6" w:rsidRPr="00DA0C0C" w:rsidRDefault="000E3CF6">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The </w:t>
      </w:r>
      <w:r w:rsidR="004977F2">
        <w:rPr>
          <w:rFonts w:ascii="Times New Roman" w:hAnsi="Times New Roman" w:cs="Times New Roman"/>
          <w:sz w:val="26"/>
          <w:szCs w:val="26"/>
        </w:rPr>
        <w:t>0.2 FTE 255 analysis and processing of filings and 75% IT work</w:t>
      </w:r>
      <w:r w:rsidR="00AA6142">
        <w:rPr>
          <w:rFonts w:ascii="Times New Roman" w:hAnsi="Times New Roman" w:cs="Times New Roman"/>
          <w:sz w:val="26"/>
          <w:szCs w:val="26"/>
        </w:rPr>
        <w:t xml:space="preserve"> </w:t>
      </w:r>
      <w:r w:rsidRPr="00DA0C0C">
        <w:rPr>
          <w:rFonts w:ascii="Times New Roman" w:hAnsi="Times New Roman" w:cs="Times New Roman"/>
          <w:sz w:val="26"/>
          <w:szCs w:val="26"/>
        </w:rPr>
        <w:t>(including maintenance and troubleshooting).</w:t>
      </w:r>
    </w:p>
  </w:footnote>
  <w:footnote w:id="11">
    <w:p w14:paraId="1B050BC4" w14:textId="77777777" w:rsidR="00E45DDC" w:rsidRPr="00DA0C0C" w:rsidRDefault="00E45DDC" w:rsidP="004222C5">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Paperwork Reduction Act of 1995 (PRA).</w:t>
      </w:r>
    </w:p>
  </w:footnote>
  <w:footnote w:id="12">
    <w:p w14:paraId="2BA1143A" w14:textId="36FAF43F" w:rsidR="00C869A0" w:rsidRPr="00C869A0" w:rsidRDefault="00E45DDC" w:rsidP="00C869A0">
      <w:pPr>
        <w:pStyle w:val="FootnoteText"/>
        <w:rPr>
          <w:rFonts w:ascii="Times New Roman" w:hAnsi="Times New Roman" w:cs="Times New Roman"/>
          <w:sz w:val="26"/>
          <w:szCs w:val="26"/>
        </w:rPr>
      </w:pPr>
      <w:r w:rsidRPr="00DA0C0C">
        <w:rPr>
          <w:rStyle w:val="FootnoteReference"/>
          <w:rFonts w:ascii="Times New Roman" w:hAnsi="Times New Roman" w:cs="Times New Roman"/>
          <w:sz w:val="26"/>
          <w:szCs w:val="26"/>
        </w:rPr>
        <w:footnoteRef/>
      </w:r>
      <w:r w:rsidRPr="00DA0C0C">
        <w:rPr>
          <w:rFonts w:ascii="Times New Roman" w:hAnsi="Times New Roman" w:cs="Times New Roman"/>
          <w:sz w:val="26"/>
          <w:szCs w:val="26"/>
        </w:rPr>
        <w:t xml:space="preserve"> </w:t>
      </w:r>
      <w:r w:rsidR="00C869A0" w:rsidRPr="00C869A0">
        <w:rPr>
          <w:rFonts w:ascii="Times New Roman" w:hAnsi="Times New Roman" w:cs="Times New Roman"/>
          <w:sz w:val="26"/>
          <w:szCs w:val="26"/>
        </w:rPr>
        <w:t>The Paperwork Reduction Act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w:t>
      </w:r>
    </w:p>
    <w:p w14:paraId="5D91CD7C" w14:textId="77777777" w:rsidR="00E45DDC" w:rsidRPr="00DA0C0C" w:rsidRDefault="00E45DDC" w:rsidP="004222C5">
      <w:pPr>
        <w:pStyle w:val="FootnoteText"/>
        <w:rPr>
          <w:rFonts w:ascii="Times New Roman" w:hAnsi="Times New Roman" w:cs="Times New Roman"/>
          <w:sz w:val="26"/>
          <w:szCs w:val="26"/>
        </w:rPr>
      </w:pPr>
    </w:p>
  </w:footnote>
  <w:footnote w:id="13">
    <w:p w14:paraId="3D84F4C6" w14:textId="5478E4C2" w:rsidR="003202EE" w:rsidRPr="00D3650B" w:rsidRDefault="00707AF5">
      <w:pPr>
        <w:pStyle w:val="FootnoteText"/>
        <w:rPr>
          <w:rFonts w:ascii="Times New Roman" w:hAnsi="Times New Roman" w:cs="Times New Roman"/>
          <w:sz w:val="26"/>
          <w:szCs w:val="26"/>
        </w:rPr>
      </w:pPr>
      <w:r w:rsidRPr="00D3650B">
        <w:rPr>
          <w:rStyle w:val="FootnoteReference"/>
          <w:rFonts w:ascii="Times New Roman" w:hAnsi="Times New Roman" w:cs="Times New Roman"/>
          <w:sz w:val="26"/>
          <w:szCs w:val="26"/>
        </w:rPr>
        <w:footnoteRef/>
      </w:r>
      <w:r w:rsidRPr="00D3650B">
        <w:rPr>
          <w:rFonts w:ascii="Times New Roman" w:hAnsi="Times New Roman" w:cs="Times New Roman"/>
          <w:sz w:val="26"/>
          <w:szCs w:val="26"/>
        </w:rPr>
        <w:t xml:space="preserve"> </w:t>
      </w:r>
      <w:r w:rsidR="001C17F4" w:rsidRPr="00D3650B">
        <w:rPr>
          <w:rFonts w:ascii="Times New Roman" w:hAnsi="Times New Roman" w:cs="Times New Roman"/>
          <w:sz w:val="26"/>
          <w:szCs w:val="26"/>
        </w:rPr>
        <w:t>FERC has no additional</w:t>
      </w:r>
      <w:r w:rsidRPr="00D3650B">
        <w:rPr>
          <w:rFonts w:ascii="Times New Roman" w:hAnsi="Times New Roman" w:cs="Times New Roman"/>
          <w:sz w:val="26"/>
          <w:szCs w:val="26"/>
        </w:rPr>
        <w:t xml:space="preserve"> capital cost because </w:t>
      </w:r>
      <w:r w:rsidR="001C17F4" w:rsidRPr="00D3650B">
        <w:rPr>
          <w:rFonts w:ascii="Times New Roman" w:hAnsi="Times New Roman" w:cs="Times New Roman"/>
          <w:sz w:val="26"/>
          <w:szCs w:val="26"/>
        </w:rPr>
        <w:t>we are not making changes to the current collection or syste</w:t>
      </w:r>
      <w:r w:rsidR="003202EE" w:rsidRPr="00D3650B">
        <w:rPr>
          <w:rFonts w:ascii="Times New Roman" w:hAnsi="Times New Roman" w:cs="Times New Roman"/>
          <w:sz w:val="26"/>
          <w:szCs w:val="26"/>
        </w:rPr>
        <w:t>m at this time</w:t>
      </w:r>
      <w:r w:rsidR="001C17F4" w:rsidRPr="00D3650B">
        <w:rPr>
          <w:rFonts w:ascii="Times New Roman" w:hAnsi="Times New Roman" w:cs="Times New Roman"/>
          <w:sz w:val="26"/>
          <w:szCs w:val="26"/>
        </w:rPr>
        <w:t xml:space="preserve">. </w:t>
      </w:r>
      <w:r w:rsidR="003202EE" w:rsidRPr="00401699">
        <w:rPr>
          <w:rFonts w:ascii="Times New Roman" w:hAnsi="Times New Roman" w:cs="Times New Roman"/>
          <w:sz w:val="26"/>
          <w:szCs w:val="26"/>
        </w:rPr>
        <w:t xml:space="preserve"> </w:t>
      </w:r>
    </w:p>
    <w:p w14:paraId="30AF2AE5" w14:textId="77777777" w:rsidR="00707AF5" w:rsidRDefault="003202EE" w:rsidP="00401699">
      <w:pPr>
        <w:pStyle w:val="FootnoteText"/>
      </w:pPr>
      <w:r w:rsidRPr="00D3650B">
        <w:rPr>
          <w:rFonts w:ascii="Times New Roman" w:hAnsi="Times New Roman" w:cs="Times New Roman"/>
          <w:sz w:val="26"/>
          <w:szCs w:val="26"/>
        </w:rPr>
        <w:t>The FERC-714 is part of the Forms Refresh effort in Docket No. RM19-12; that docket and associated changes are addressed separately and not in this renewal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04AE" w14:textId="77777777" w:rsidR="003B43B4" w:rsidRDefault="00AE7917">
    <w:pPr>
      <w:pStyle w:val="Header"/>
      <w:rPr>
        <w:rFonts w:ascii="Times New Roman" w:hAnsi="Times New Roman" w:cs="Times New Roman"/>
        <w:sz w:val="26"/>
        <w:szCs w:val="26"/>
      </w:rPr>
    </w:pPr>
    <w:r w:rsidRPr="000E398D">
      <w:rPr>
        <w:rFonts w:ascii="Times New Roman" w:hAnsi="Times New Roman" w:cs="Times New Roman"/>
        <w:sz w:val="26"/>
        <w:szCs w:val="26"/>
      </w:rPr>
      <w:t>FERC</w:t>
    </w:r>
    <w:r w:rsidR="00BD4F83">
      <w:rPr>
        <w:rFonts w:ascii="Times New Roman" w:hAnsi="Times New Roman" w:cs="Times New Roman"/>
        <w:sz w:val="26"/>
        <w:szCs w:val="26"/>
      </w:rPr>
      <w:t xml:space="preserve"> Form </w:t>
    </w:r>
    <w:r w:rsidRPr="000E398D">
      <w:rPr>
        <w:rFonts w:ascii="Times New Roman" w:hAnsi="Times New Roman" w:cs="Times New Roman"/>
        <w:sz w:val="26"/>
        <w:szCs w:val="26"/>
      </w:rPr>
      <w:t xml:space="preserve">714 (OMB Control No. 1902-0140) </w:t>
    </w:r>
  </w:p>
  <w:p w14:paraId="59D04DDE" w14:textId="77777777" w:rsidR="00807F2E" w:rsidRDefault="00807F2E">
    <w:pPr>
      <w:pStyle w:val="Header"/>
      <w:rPr>
        <w:rFonts w:ascii="Times New Roman" w:hAnsi="Times New Roman" w:cs="Times New Roman"/>
        <w:sz w:val="26"/>
        <w:szCs w:val="26"/>
      </w:rPr>
    </w:pPr>
    <w:r>
      <w:rPr>
        <w:rFonts w:ascii="Times New Roman" w:hAnsi="Times New Roman" w:cs="Times New Roman"/>
        <w:sz w:val="26"/>
        <w:szCs w:val="26"/>
      </w:rPr>
      <w:t>Updated: June 26, 2019</w:t>
    </w:r>
  </w:p>
  <w:p w14:paraId="27482281" w14:textId="77777777" w:rsidR="00807F2E" w:rsidRPr="000E398D" w:rsidRDefault="00807F2E">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C1895"/>
    <w:multiLevelType w:val="hybridMultilevel"/>
    <w:tmpl w:val="AB4032D0"/>
    <w:lvl w:ilvl="0" w:tplc="9D1CE6D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366131"/>
    <w:multiLevelType w:val="hybridMultilevel"/>
    <w:tmpl w:val="9344F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82"/>
    <w:rsid w:val="00005626"/>
    <w:rsid w:val="00085F09"/>
    <w:rsid w:val="000C1EE9"/>
    <w:rsid w:val="000E398D"/>
    <w:rsid w:val="000E3CF6"/>
    <w:rsid w:val="000E7E5F"/>
    <w:rsid w:val="00191782"/>
    <w:rsid w:val="001C17F4"/>
    <w:rsid w:val="001C7DB3"/>
    <w:rsid w:val="001D7F83"/>
    <w:rsid w:val="001E18CC"/>
    <w:rsid w:val="002816A9"/>
    <w:rsid w:val="002E2150"/>
    <w:rsid w:val="003202EE"/>
    <w:rsid w:val="003804C1"/>
    <w:rsid w:val="003942C7"/>
    <w:rsid w:val="003A1162"/>
    <w:rsid w:val="00401699"/>
    <w:rsid w:val="00474E35"/>
    <w:rsid w:val="00484FD3"/>
    <w:rsid w:val="004977F2"/>
    <w:rsid w:val="004B791A"/>
    <w:rsid w:val="004E697A"/>
    <w:rsid w:val="004F3762"/>
    <w:rsid w:val="005A2F83"/>
    <w:rsid w:val="005A5711"/>
    <w:rsid w:val="00613AE3"/>
    <w:rsid w:val="006420C5"/>
    <w:rsid w:val="00660980"/>
    <w:rsid w:val="00687E0F"/>
    <w:rsid w:val="006C69F6"/>
    <w:rsid w:val="006F21FE"/>
    <w:rsid w:val="00707AF5"/>
    <w:rsid w:val="00734DA8"/>
    <w:rsid w:val="00791C35"/>
    <w:rsid w:val="007A3612"/>
    <w:rsid w:val="00807F2E"/>
    <w:rsid w:val="00813871"/>
    <w:rsid w:val="008362E1"/>
    <w:rsid w:val="00870780"/>
    <w:rsid w:val="00871178"/>
    <w:rsid w:val="00883DD3"/>
    <w:rsid w:val="00893994"/>
    <w:rsid w:val="008B6767"/>
    <w:rsid w:val="008B6A33"/>
    <w:rsid w:val="008C1B91"/>
    <w:rsid w:val="00916319"/>
    <w:rsid w:val="0091747F"/>
    <w:rsid w:val="00966D0C"/>
    <w:rsid w:val="009E673D"/>
    <w:rsid w:val="00A1228A"/>
    <w:rsid w:val="00A42785"/>
    <w:rsid w:val="00A4555D"/>
    <w:rsid w:val="00A71CD2"/>
    <w:rsid w:val="00A80669"/>
    <w:rsid w:val="00AA6142"/>
    <w:rsid w:val="00AB2A3C"/>
    <w:rsid w:val="00AE40FC"/>
    <w:rsid w:val="00AE7917"/>
    <w:rsid w:val="00B446FC"/>
    <w:rsid w:val="00B467E7"/>
    <w:rsid w:val="00B6169A"/>
    <w:rsid w:val="00B84BBB"/>
    <w:rsid w:val="00BC71BF"/>
    <w:rsid w:val="00BD4F83"/>
    <w:rsid w:val="00C01CA9"/>
    <w:rsid w:val="00C35393"/>
    <w:rsid w:val="00C36732"/>
    <w:rsid w:val="00C869A0"/>
    <w:rsid w:val="00D0096C"/>
    <w:rsid w:val="00D031C2"/>
    <w:rsid w:val="00D13680"/>
    <w:rsid w:val="00D3650B"/>
    <w:rsid w:val="00D6245B"/>
    <w:rsid w:val="00D6725B"/>
    <w:rsid w:val="00D9353F"/>
    <w:rsid w:val="00DA0C0C"/>
    <w:rsid w:val="00DB2C86"/>
    <w:rsid w:val="00E21086"/>
    <w:rsid w:val="00E45DDC"/>
    <w:rsid w:val="00EA5420"/>
    <w:rsid w:val="00EB1582"/>
    <w:rsid w:val="00EC70C6"/>
    <w:rsid w:val="00EF24C4"/>
    <w:rsid w:val="00FA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F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w:basedOn w:val="Normal"/>
    <w:link w:val="FootnoteTextChar"/>
    <w:unhideWhenUsed/>
    <w:rsid w:val="00191782"/>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w:basedOn w:val="DefaultParagraphFont"/>
    <w:link w:val="FootnoteText"/>
    <w:rsid w:val="00191782"/>
    <w:rPr>
      <w:sz w:val="20"/>
      <w:szCs w:val="20"/>
    </w:rPr>
  </w:style>
  <w:style w:type="paragraph" w:styleId="Header">
    <w:name w:val="header"/>
    <w:basedOn w:val="Normal"/>
    <w:link w:val="HeaderChar"/>
    <w:uiPriority w:val="99"/>
    <w:unhideWhenUsed/>
    <w:rsid w:val="0019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82"/>
  </w:style>
  <w:style w:type="paragraph" w:styleId="Footer">
    <w:name w:val="footer"/>
    <w:basedOn w:val="Normal"/>
    <w:link w:val="FooterChar"/>
    <w:uiPriority w:val="99"/>
    <w:unhideWhenUsed/>
    <w:rsid w:val="0019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82"/>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191782"/>
  </w:style>
  <w:style w:type="character" w:customStyle="1" w:styleId="Hyperlink1">
    <w:name w:val="Hyperlink1"/>
    <w:basedOn w:val="DefaultParagraphFont"/>
    <w:uiPriority w:val="99"/>
    <w:unhideWhenUsed/>
    <w:rsid w:val="00191782"/>
    <w:rPr>
      <w:color w:val="0000FF"/>
      <w:u w:val="single"/>
    </w:rPr>
  </w:style>
  <w:style w:type="character" w:styleId="Hyperlink">
    <w:name w:val="Hyperlink"/>
    <w:basedOn w:val="DefaultParagraphFont"/>
    <w:uiPriority w:val="99"/>
    <w:unhideWhenUsed/>
    <w:rsid w:val="00191782"/>
    <w:rPr>
      <w:color w:val="0563C1" w:themeColor="hyperlink"/>
      <w:u w:val="single"/>
    </w:rPr>
  </w:style>
  <w:style w:type="character" w:styleId="CommentReference">
    <w:name w:val="annotation reference"/>
    <w:basedOn w:val="DefaultParagraphFont"/>
    <w:uiPriority w:val="99"/>
    <w:semiHidden/>
    <w:unhideWhenUsed/>
    <w:rsid w:val="004B791A"/>
    <w:rPr>
      <w:sz w:val="16"/>
      <w:szCs w:val="16"/>
    </w:rPr>
  </w:style>
  <w:style w:type="paragraph" w:styleId="CommentText">
    <w:name w:val="annotation text"/>
    <w:basedOn w:val="Normal"/>
    <w:link w:val="CommentTextChar"/>
    <w:uiPriority w:val="99"/>
    <w:semiHidden/>
    <w:unhideWhenUsed/>
    <w:rsid w:val="004B791A"/>
    <w:pPr>
      <w:spacing w:line="240" w:lineRule="auto"/>
    </w:pPr>
    <w:rPr>
      <w:sz w:val="20"/>
      <w:szCs w:val="20"/>
    </w:rPr>
  </w:style>
  <w:style w:type="character" w:customStyle="1" w:styleId="CommentTextChar">
    <w:name w:val="Comment Text Char"/>
    <w:basedOn w:val="DefaultParagraphFont"/>
    <w:link w:val="CommentText"/>
    <w:uiPriority w:val="99"/>
    <w:semiHidden/>
    <w:rsid w:val="004B791A"/>
    <w:rPr>
      <w:sz w:val="20"/>
      <w:szCs w:val="20"/>
    </w:rPr>
  </w:style>
  <w:style w:type="paragraph" w:styleId="CommentSubject">
    <w:name w:val="annotation subject"/>
    <w:basedOn w:val="CommentText"/>
    <w:next w:val="CommentText"/>
    <w:link w:val="CommentSubjectChar"/>
    <w:uiPriority w:val="99"/>
    <w:semiHidden/>
    <w:unhideWhenUsed/>
    <w:rsid w:val="004B791A"/>
    <w:rPr>
      <w:b/>
      <w:bCs/>
    </w:rPr>
  </w:style>
  <w:style w:type="character" w:customStyle="1" w:styleId="CommentSubjectChar">
    <w:name w:val="Comment Subject Char"/>
    <w:basedOn w:val="CommentTextChar"/>
    <w:link w:val="CommentSubject"/>
    <w:uiPriority w:val="99"/>
    <w:semiHidden/>
    <w:rsid w:val="004B791A"/>
    <w:rPr>
      <w:b/>
      <w:bCs/>
      <w:sz w:val="20"/>
      <w:szCs w:val="20"/>
    </w:rPr>
  </w:style>
  <w:style w:type="paragraph" w:styleId="BalloonText">
    <w:name w:val="Balloon Text"/>
    <w:basedOn w:val="Normal"/>
    <w:link w:val="BalloonTextChar"/>
    <w:uiPriority w:val="99"/>
    <w:semiHidden/>
    <w:unhideWhenUsed/>
    <w:rsid w:val="004B7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91A"/>
    <w:rPr>
      <w:rFonts w:ascii="Segoe UI" w:hAnsi="Segoe UI" w:cs="Segoe UI"/>
      <w:sz w:val="18"/>
      <w:szCs w:val="18"/>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locked/>
    <w:rsid w:val="00E45DDC"/>
    <w:rPr>
      <w:sz w:val="24"/>
    </w:rPr>
  </w:style>
  <w:style w:type="character" w:styleId="FollowedHyperlink">
    <w:name w:val="FollowedHyperlink"/>
    <w:basedOn w:val="DefaultParagraphFont"/>
    <w:uiPriority w:val="99"/>
    <w:semiHidden/>
    <w:unhideWhenUsed/>
    <w:rsid w:val="008707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w:basedOn w:val="Normal"/>
    <w:link w:val="FootnoteTextChar"/>
    <w:unhideWhenUsed/>
    <w:rsid w:val="00191782"/>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w:basedOn w:val="DefaultParagraphFont"/>
    <w:link w:val="FootnoteText"/>
    <w:rsid w:val="00191782"/>
    <w:rPr>
      <w:sz w:val="20"/>
      <w:szCs w:val="20"/>
    </w:rPr>
  </w:style>
  <w:style w:type="paragraph" w:styleId="Header">
    <w:name w:val="header"/>
    <w:basedOn w:val="Normal"/>
    <w:link w:val="HeaderChar"/>
    <w:uiPriority w:val="99"/>
    <w:unhideWhenUsed/>
    <w:rsid w:val="0019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82"/>
  </w:style>
  <w:style w:type="paragraph" w:styleId="Footer">
    <w:name w:val="footer"/>
    <w:basedOn w:val="Normal"/>
    <w:link w:val="FooterChar"/>
    <w:uiPriority w:val="99"/>
    <w:unhideWhenUsed/>
    <w:rsid w:val="0019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82"/>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191782"/>
  </w:style>
  <w:style w:type="character" w:customStyle="1" w:styleId="Hyperlink1">
    <w:name w:val="Hyperlink1"/>
    <w:basedOn w:val="DefaultParagraphFont"/>
    <w:uiPriority w:val="99"/>
    <w:unhideWhenUsed/>
    <w:rsid w:val="00191782"/>
    <w:rPr>
      <w:color w:val="0000FF"/>
      <w:u w:val="single"/>
    </w:rPr>
  </w:style>
  <w:style w:type="character" w:styleId="Hyperlink">
    <w:name w:val="Hyperlink"/>
    <w:basedOn w:val="DefaultParagraphFont"/>
    <w:uiPriority w:val="99"/>
    <w:unhideWhenUsed/>
    <w:rsid w:val="00191782"/>
    <w:rPr>
      <w:color w:val="0563C1" w:themeColor="hyperlink"/>
      <w:u w:val="single"/>
    </w:rPr>
  </w:style>
  <w:style w:type="character" w:styleId="CommentReference">
    <w:name w:val="annotation reference"/>
    <w:basedOn w:val="DefaultParagraphFont"/>
    <w:uiPriority w:val="99"/>
    <w:semiHidden/>
    <w:unhideWhenUsed/>
    <w:rsid w:val="004B791A"/>
    <w:rPr>
      <w:sz w:val="16"/>
      <w:szCs w:val="16"/>
    </w:rPr>
  </w:style>
  <w:style w:type="paragraph" w:styleId="CommentText">
    <w:name w:val="annotation text"/>
    <w:basedOn w:val="Normal"/>
    <w:link w:val="CommentTextChar"/>
    <w:uiPriority w:val="99"/>
    <w:semiHidden/>
    <w:unhideWhenUsed/>
    <w:rsid w:val="004B791A"/>
    <w:pPr>
      <w:spacing w:line="240" w:lineRule="auto"/>
    </w:pPr>
    <w:rPr>
      <w:sz w:val="20"/>
      <w:szCs w:val="20"/>
    </w:rPr>
  </w:style>
  <w:style w:type="character" w:customStyle="1" w:styleId="CommentTextChar">
    <w:name w:val="Comment Text Char"/>
    <w:basedOn w:val="DefaultParagraphFont"/>
    <w:link w:val="CommentText"/>
    <w:uiPriority w:val="99"/>
    <w:semiHidden/>
    <w:rsid w:val="004B791A"/>
    <w:rPr>
      <w:sz w:val="20"/>
      <w:szCs w:val="20"/>
    </w:rPr>
  </w:style>
  <w:style w:type="paragraph" w:styleId="CommentSubject">
    <w:name w:val="annotation subject"/>
    <w:basedOn w:val="CommentText"/>
    <w:next w:val="CommentText"/>
    <w:link w:val="CommentSubjectChar"/>
    <w:uiPriority w:val="99"/>
    <w:semiHidden/>
    <w:unhideWhenUsed/>
    <w:rsid w:val="004B791A"/>
    <w:rPr>
      <w:b/>
      <w:bCs/>
    </w:rPr>
  </w:style>
  <w:style w:type="character" w:customStyle="1" w:styleId="CommentSubjectChar">
    <w:name w:val="Comment Subject Char"/>
    <w:basedOn w:val="CommentTextChar"/>
    <w:link w:val="CommentSubject"/>
    <w:uiPriority w:val="99"/>
    <w:semiHidden/>
    <w:rsid w:val="004B791A"/>
    <w:rPr>
      <w:b/>
      <w:bCs/>
      <w:sz w:val="20"/>
      <w:szCs w:val="20"/>
    </w:rPr>
  </w:style>
  <w:style w:type="paragraph" w:styleId="BalloonText">
    <w:name w:val="Balloon Text"/>
    <w:basedOn w:val="Normal"/>
    <w:link w:val="BalloonTextChar"/>
    <w:uiPriority w:val="99"/>
    <w:semiHidden/>
    <w:unhideWhenUsed/>
    <w:rsid w:val="004B7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91A"/>
    <w:rPr>
      <w:rFonts w:ascii="Segoe UI" w:hAnsi="Segoe UI" w:cs="Segoe UI"/>
      <w:sz w:val="18"/>
      <w:szCs w:val="18"/>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locked/>
    <w:rsid w:val="00E45DDC"/>
    <w:rPr>
      <w:sz w:val="24"/>
    </w:rPr>
  </w:style>
  <w:style w:type="character" w:styleId="FollowedHyperlink">
    <w:name w:val="FollowedHyperlink"/>
    <w:basedOn w:val="DefaultParagraphFont"/>
    <w:uiPriority w:val="99"/>
    <w:semiHidden/>
    <w:unhideWhenUsed/>
    <w:rsid w:val="00870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8563">
      <w:bodyDiv w:val="1"/>
      <w:marLeft w:val="0"/>
      <w:marRight w:val="0"/>
      <w:marTop w:val="0"/>
      <w:marBottom w:val="0"/>
      <w:divBdr>
        <w:top w:val="none" w:sz="0" w:space="0" w:color="auto"/>
        <w:left w:val="none" w:sz="0" w:space="0" w:color="auto"/>
        <w:bottom w:val="none" w:sz="0" w:space="0" w:color="auto"/>
        <w:right w:val="none" w:sz="0" w:space="0" w:color="auto"/>
      </w:divBdr>
    </w:div>
    <w:div w:id="935556388">
      <w:bodyDiv w:val="1"/>
      <w:marLeft w:val="0"/>
      <w:marRight w:val="0"/>
      <w:marTop w:val="0"/>
      <w:marBottom w:val="0"/>
      <w:divBdr>
        <w:top w:val="none" w:sz="0" w:space="0" w:color="auto"/>
        <w:left w:val="none" w:sz="0" w:space="0" w:color="auto"/>
        <w:bottom w:val="none" w:sz="0" w:space="0" w:color="auto"/>
        <w:right w:val="none" w:sz="0" w:space="0" w:color="auto"/>
      </w:divBdr>
    </w:div>
    <w:div w:id="1115977236">
      <w:bodyDiv w:val="1"/>
      <w:marLeft w:val="0"/>
      <w:marRight w:val="0"/>
      <w:marTop w:val="0"/>
      <w:marBottom w:val="0"/>
      <w:divBdr>
        <w:top w:val="none" w:sz="0" w:space="0" w:color="auto"/>
        <w:left w:val="none" w:sz="0" w:space="0" w:color="auto"/>
        <w:bottom w:val="none" w:sz="0" w:space="0" w:color="auto"/>
        <w:right w:val="none" w:sz="0" w:space="0" w:color="auto"/>
      </w:divBdr>
    </w:div>
    <w:div w:id="1177842698">
      <w:bodyDiv w:val="1"/>
      <w:marLeft w:val="0"/>
      <w:marRight w:val="0"/>
      <w:marTop w:val="0"/>
      <w:marBottom w:val="0"/>
      <w:divBdr>
        <w:top w:val="none" w:sz="0" w:space="0" w:color="auto"/>
        <w:left w:val="none" w:sz="0" w:space="0" w:color="auto"/>
        <w:bottom w:val="none" w:sz="0" w:space="0" w:color="auto"/>
        <w:right w:val="none" w:sz="0" w:space="0" w:color="auto"/>
      </w:divBdr>
    </w:div>
    <w:div w:id="13013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erc.gov/docs-filing/forms.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forms/form-714/elec-subm-soft.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714</_x0031__x002e__x0020_Collection_x0020_Number>
    <Date xmlns="d6eefc7d-9817-4fa6-84d5-3bc009be21b8">2019-06-26T00:00:00-04:00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IC19-4</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EFCC-5B53-4DEF-A4EE-9479C4305969}">
  <ds:schemaRefs>
    <ds:schemaRef ds:uri="http://schemas.microsoft.com/sharepoint/v3/contenttype/forms"/>
  </ds:schemaRefs>
</ds:datastoreItem>
</file>

<file path=customXml/itemProps2.xml><?xml version="1.0" encoding="utf-8"?>
<ds:datastoreItem xmlns:ds="http://schemas.openxmlformats.org/officeDocument/2006/customXml" ds:itemID="{2D382F60-066E-49CB-9037-6CB7C5E0FC8A}">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E91CA97C-3A27-4928-B1E1-2F9B763F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47567-30CA-4E48-9F60-B28BB51F290A}">
  <ds:schemaRefs>
    <ds:schemaRef ds:uri="http://schemas.microsoft.com/office/2006/metadata/customXsn"/>
  </ds:schemaRefs>
</ds:datastoreItem>
</file>

<file path=customXml/itemProps5.xml><?xml version="1.0" encoding="utf-8"?>
<ds:datastoreItem xmlns:ds="http://schemas.openxmlformats.org/officeDocument/2006/customXml" ds:itemID="{D7592E9F-2D49-4294-9B06-7AAD79749B51}">
  <ds:schemaRefs>
    <ds:schemaRef ds:uri="Microsoft.SharePoint.Taxonomy.ContentTypeSync"/>
  </ds:schemaRefs>
</ds:datastoreItem>
</file>

<file path=customXml/itemProps6.xml><?xml version="1.0" encoding="utf-8"?>
<ds:datastoreItem xmlns:ds="http://schemas.openxmlformats.org/officeDocument/2006/customXml" ds:itemID="{7E589C1C-474D-4AA0-8891-85997BE9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Annual Electric Balancing Authority Area and Planning Area Report</vt:lpstr>
    </vt:vector>
  </TitlesOfParts>
  <Company>FERC</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Electric Balancing Authority Area and Planning Area Report</dc:title>
  <dc:subject/>
  <dc:creator>Michele Chambers</dc:creator>
  <cp:keywords/>
  <dc:description/>
  <cp:lastModifiedBy>SYSTEM</cp:lastModifiedBy>
  <cp:revision>2</cp:revision>
  <dcterms:created xsi:type="dcterms:W3CDTF">2019-06-26T19:03:00Z</dcterms:created>
  <dcterms:modified xsi:type="dcterms:W3CDTF">2019-06-26T19:03:00Z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