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538E827D" w14:textId="77777777" w:rsidR="00E006F8" w:rsidRDefault="00E006F8" w:rsidP="003E2856">
      <w:pPr>
        <w:pStyle w:val="Title"/>
        <w:tabs>
          <w:tab w:val="left" w:pos="8640"/>
        </w:tabs>
        <w:ind w:right="653"/>
        <w:rPr>
          <w:caps/>
          <w:color w:val="000000"/>
          <w:szCs w:val="24"/>
          <w:shd w:val="clear" w:color="auto" w:fill="FFFFFF"/>
        </w:rPr>
      </w:pPr>
      <w:r w:rsidRPr="00E006F8">
        <w:rPr>
          <w:caps/>
          <w:color w:val="000000"/>
          <w:szCs w:val="24"/>
          <w:shd w:val="clear" w:color="auto" w:fill="FFFFFF"/>
        </w:rPr>
        <w:t xml:space="preserve">Risk-Based Capital Standards: </w:t>
      </w:r>
    </w:p>
    <w:p w14:paraId="24E90F98" w14:textId="1D30E55B" w:rsidR="00E006F8" w:rsidRPr="00E006F8" w:rsidRDefault="00E006F8" w:rsidP="003E2856">
      <w:pPr>
        <w:pStyle w:val="Title"/>
        <w:tabs>
          <w:tab w:val="left" w:pos="8640"/>
        </w:tabs>
        <w:ind w:right="653"/>
        <w:rPr>
          <w:caps/>
          <w:color w:val="000000"/>
          <w:szCs w:val="24"/>
          <w:shd w:val="clear" w:color="auto" w:fill="FFFFFF"/>
        </w:rPr>
      </w:pPr>
      <w:r w:rsidRPr="00E006F8">
        <w:rPr>
          <w:caps/>
          <w:color w:val="000000"/>
          <w:szCs w:val="24"/>
          <w:shd w:val="clear" w:color="auto" w:fill="FFFFFF"/>
        </w:rPr>
        <w:t>Advanced Capital Adequacy Framework</w:t>
      </w:r>
    </w:p>
    <w:p w14:paraId="3DDB3BA4" w14:textId="1C07FEB5"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E8BDA9F" w14:textId="77777777" w:rsidR="00C54890" w:rsidRPr="00A6703F" w:rsidRDefault="00C54890" w:rsidP="003E2856">
      <w:pPr>
        <w:tabs>
          <w:tab w:val="left" w:pos="8640"/>
        </w:tabs>
        <w:ind w:right="653"/>
        <w:jc w:val="center"/>
        <w:rPr>
          <w:b/>
          <w:bCs/>
          <w:szCs w:val="24"/>
        </w:rPr>
      </w:pPr>
    </w:p>
    <w:p w14:paraId="764EC9A5" w14:textId="77777777" w:rsidR="00C54890" w:rsidRPr="00A6703F" w:rsidRDefault="00C54890" w:rsidP="003E2856">
      <w:pPr>
        <w:tabs>
          <w:tab w:val="left" w:pos="8640"/>
        </w:tabs>
        <w:ind w:right="653"/>
        <w:rPr>
          <w:b/>
          <w:bCs/>
          <w:szCs w:val="24"/>
        </w:rPr>
      </w:pPr>
    </w:p>
    <w:p w14:paraId="479AAE82" w14:textId="77777777" w:rsidR="00C54890" w:rsidRDefault="00C54890" w:rsidP="003E2856">
      <w:pPr>
        <w:tabs>
          <w:tab w:val="left" w:pos="8640"/>
          <w:tab w:val="left" w:pos="8820"/>
        </w:tabs>
        <w:ind w:right="653"/>
        <w:rPr>
          <w:b/>
          <w:bCs/>
          <w:szCs w:val="24"/>
        </w:rPr>
      </w:pPr>
      <w:r w:rsidRPr="00A6703F">
        <w:rPr>
          <w:b/>
          <w:bCs/>
          <w:szCs w:val="24"/>
        </w:rPr>
        <w:t>A.  Justification.</w:t>
      </w:r>
    </w:p>
    <w:p w14:paraId="14259CE7" w14:textId="77777777" w:rsidR="008C6C94" w:rsidRDefault="008C6C94" w:rsidP="003E2856">
      <w:pPr>
        <w:tabs>
          <w:tab w:val="left" w:pos="8640"/>
          <w:tab w:val="left" w:pos="8820"/>
        </w:tabs>
        <w:ind w:right="653"/>
        <w:rPr>
          <w:b/>
          <w:bCs/>
          <w:szCs w:val="24"/>
        </w:rPr>
      </w:pPr>
    </w:p>
    <w:p w14:paraId="775D98E2" w14:textId="13CD88EC" w:rsidR="00905717" w:rsidRPr="00C22CB9" w:rsidRDefault="008C6C94" w:rsidP="00905717">
      <w:pPr>
        <w:spacing w:before="120" w:after="120"/>
        <w:rPr>
          <w:szCs w:val="24"/>
        </w:rPr>
      </w:pPr>
      <w:r>
        <w:rPr>
          <w:b/>
          <w:bCs/>
          <w:szCs w:val="24"/>
        </w:rPr>
        <w:t xml:space="preserve">           </w:t>
      </w:r>
      <w:r w:rsidR="00905717">
        <w:rPr>
          <w:szCs w:val="24"/>
        </w:rPr>
        <w:t>This Supporting Statement is filed in connection with a notice of proposed rulemaking</w:t>
      </w:r>
      <w:r w:rsidR="00BE71FE">
        <w:rPr>
          <w:szCs w:val="24"/>
        </w:rPr>
        <w:t xml:space="preserve"> that</w:t>
      </w:r>
      <w:r w:rsidR="00905717" w:rsidRPr="00BF577D">
        <w:rPr>
          <w:szCs w:val="24"/>
        </w:rPr>
        <w:t xml:space="preserve"> would </w:t>
      </w:r>
      <w:r w:rsidR="00905717">
        <w:rPr>
          <w:szCs w:val="24"/>
        </w:rPr>
        <w:t xml:space="preserve">amend the regulatory capital rule to conform the definition of </w:t>
      </w:r>
      <w:r w:rsidR="00B9743F">
        <w:rPr>
          <w:szCs w:val="24"/>
        </w:rPr>
        <w:t>“</w:t>
      </w:r>
      <w:r w:rsidR="00905717">
        <w:rPr>
          <w:szCs w:val="24"/>
        </w:rPr>
        <w:t>HVCRE exposure</w:t>
      </w:r>
      <w:r w:rsidR="00B9743F">
        <w:rPr>
          <w:szCs w:val="24"/>
        </w:rPr>
        <w:t xml:space="preserve">” </w:t>
      </w:r>
      <w:r w:rsidR="00905717">
        <w:rPr>
          <w:szCs w:val="24"/>
        </w:rPr>
        <w:t>to the statutory definition of HVCRE ADC loan</w:t>
      </w:r>
      <w:r w:rsidR="00905717" w:rsidRPr="003A664D">
        <w:rPr>
          <w:szCs w:val="24"/>
        </w:rPr>
        <w:t xml:space="preserve">. </w:t>
      </w:r>
      <w:r w:rsidR="00905717">
        <w:rPr>
          <w:szCs w:val="24"/>
        </w:rPr>
        <w:t xml:space="preserve"> </w:t>
      </w:r>
      <w:r w:rsidR="00905717" w:rsidRPr="00C3269F">
        <w:rPr>
          <w:szCs w:val="24"/>
        </w:rPr>
        <w:t>Because the agencies’ regulatory capital rules require respondents to disclose and keep a record of their amount of HVCRE exposures, this definitional change revises respondents’ disclosure and recordkeeping requirements associated with the agencies’ regulatory capital rules.</w:t>
      </w:r>
      <w:r w:rsidR="00905717">
        <w:rPr>
          <w:szCs w:val="24"/>
        </w:rPr>
        <w:t xml:space="preserve">  This amendment, however, will not result in changes to the burden.  In an effort</w:t>
      </w:r>
      <w:r w:rsidR="00905717" w:rsidRPr="00870BE4">
        <w:rPr>
          <w:szCs w:val="24"/>
        </w:rPr>
        <w:t xml:space="preserve"> to be consistent across the agencies, the agencies are applying a conforming methodology for calculating the burden estimates.  </w:t>
      </w:r>
      <w:r w:rsidR="00905717">
        <w:rPr>
          <w:szCs w:val="24"/>
        </w:rPr>
        <w:t xml:space="preserve">The agencies are also updating the number of respondents based on the current number of supervised entities.  </w:t>
      </w:r>
      <w:r w:rsidR="00905717" w:rsidRPr="00870BE4">
        <w:rPr>
          <w:szCs w:val="24"/>
        </w:rPr>
        <w:t>The agencies believe that any changes to the information collections associated with the proposed rule are the result of the conforming methodology</w:t>
      </w:r>
      <w:r w:rsidR="00905717">
        <w:rPr>
          <w:szCs w:val="24"/>
        </w:rPr>
        <w:t xml:space="preserve"> </w:t>
      </w:r>
      <w:r w:rsidR="00905717" w:rsidRPr="00870BE4">
        <w:rPr>
          <w:szCs w:val="24"/>
        </w:rPr>
        <w:t>and</w:t>
      </w:r>
      <w:r w:rsidR="00905717">
        <w:rPr>
          <w:szCs w:val="24"/>
        </w:rPr>
        <w:t xml:space="preserve"> updates to the respondent count, and</w:t>
      </w:r>
      <w:r w:rsidR="00905717" w:rsidRPr="00870BE4">
        <w:rPr>
          <w:szCs w:val="24"/>
        </w:rPr>
        <w:t xml:space="preserve"> not the result of the proposed rule changes.  </w:t>
      </w:r>
    </w:p>
    <w:p w14:paraId="5A16FF79" w14:textId="4BE5D249" w:rsidR="00C54890" w:rsidRPr="00A6703F" w:rsidRDefault="00160B40" w:rsidP="00BE71FE">
      <w:pPr>
        <w:rPr>
          <w:szCs w:val="24"/>
        </w:rPr>
      </w:pPr>
      <w:r w:rsidRPr="00BD54ED">
        <w:t xml:space="preserve"> </w:t>
      </w:r>
    </w:p>
    <w:p w14:paraId="3F53BBA5"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18D216F4" w14:textId="77777777"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4EC753A6" w14:textId="77777777" w:rsidR="00564D31" w:rsidRPr="00A6703F" w:rsidRDefault="00564D31" w:rsidP="003E2856">
      <w:pPr>
        <w:tabs>
          <w:tab w:val="left" w:pos="8640"/>
          <w:tab w:val="left" w:pos="8820"/>
        </w:tabs>
        <w:ind w:firstLine="720"/>
        <w:rPr>
          <w:szCs w:val="24"/>
        </w:rPr>
      </w:pPr>
    </w:p>
    <w:p w14:paraId="4FE0EC4F" w14:textId="559B22CC"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w:t>
      </w:r>
      <w:r w:rsidR="0026035F">
        <w:rPr>
          <w:szCs w:val="24"/>
        </w:rPr>
        <w:t>s include</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26035F">
        <w:rPr>
          <w:szCs w:val="24"/>
        </w:rPr>
        <w:t>s</w:t>
      </w:r>
      <w:r w:rsidR="00564D31" w:rsidRPr="00A6703F">
        <w:rPr>
          <w:szCs w:val="24"/>
        </w:rPr>
        <w:t xml:space="preserve"> also introduce disclosure requirements that apply to top-tier banking organizations domiciled in the </w:t>
      </w:r>
      <w:r w:rsidR="00564D31" w:rsidRPr="00A6703F">
        <w:rPr>
          <w:szCs w:val="24"/>
        </w:rPr>
        <w:lastRenderedPageBreak/>
        <w:t xml:space="preserve">United States with $50 billion or more in total assets, including disclosures related to regulatory capital instruments. </w:t>
      </w:r>
    </w:p>
    <w:p w14:paraId="02D666D9"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763445A1" w14:textId="77777777" w:rsidR="00564D31" w:rsidRPr="00A6703F" w:rsidRDefault="0065411D" w:rsidP="003E2856">
      <w:pPr>
        <w:tabs>
          <w:tab w:val="left" w:pos="8640"/>
          <w:tab w:val="left" w:pos="8820"/>
        </w:tabs>
        <w:ind w:firstLine="720"/>
        <w:rPr>
          <w:szCs w:val="24"/>
        </w:rPr>
      </w:pPr>
      <w:r>
        <w:rPr>
          <w:szCs w:val="24"/>
        </w:rPr>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77777777"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 xml:space="preserve">ederal savings association to recognize for risk-based capital purposes, </w:t>
      </w:r>
      <w:r w:rsidRPr="00C43AAC">
        <w:rPr>
          <w:szCs w:val="24"/>
        </w:rPr>
        <w:lastRenderedPageBreak/>
        <w:t>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6F8CBF3C" w14:textId="0F7501B3"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14:paraId="05915397" w14:textId="77777777"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7E803EFD"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77777777"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68B44483" w14:textId="77777777" w:rsidR="00A433A0" w:rsidRDefault="00A433A0">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77777777" w:rsidR="00967E66" w:rsidRDefault="00967E66" w:rsidP="00B21471">
            <w:pPr>
              <w:rPr>
                <w:bCs/>
                <w:sz w:val="20"/>
              </w:rPr>
            </w:pPr>
            <w:r>
              <w:rPr>
                <w:bCs/>
                <w:sz w:val="20"/>
              </w:rPr>
              <w:t>3.41(c)(2)(i)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35DD35DF" w:rsidR="00967E66" w:rsidRPr="00C74E1C" w:rsidRDefault="008A6C8C" w:rsidP="00B21471">
            <w:pPr>
              <w:jc w:val="right"/>
              <w:rPr>
                <w:bCs/>
                <w:sz w:val="20"/>
              </w:rPr>
            </w:pPr>
            <w:r>
              <w:rPr>
                <w:bCs/>
                <w:sz w:val="20"/>
              </w:rPr>
              <w:t>280</w:t>
            </w:r>
          </w:p>
        </w:tc>
        <w:tc>
          <w:tcPr>
            <w:tcW w:w="1116" w:type="dxa"/>
          </w:tcPr>
          <w:p w14:paraId="2E218860" w14:textId="1E8C8928" w:rsidR="00967E66" w:rsidRPr="00C74E1C" w:rsidRDefault="008A6C8C" w:rsidP="00B21471">
            <w:pPr>
              <w:jc w:val="right"/>
              <w:rPr>
                <w:bCs/>
                <w:sz w:val="20"/>
              </w:rPr>
            </w:pPr>
            <w:r>
              <w:rPr>
                <w:bCs/>
                <w:sz w:val="20"/>
              </w:rPr>
              <w:t>280</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7ABC7276" w:rsidR="00967E66" w:rsidRDefault="003F5364" w:rsidP="00B21471">
            <w:pPr>
              <w:jc w:val="right"/>
              <w:rPr>
                <w:bCs/>
                <w:sz w:val="20"/>
              </w:rPr>
            </w:pPr>
            <w:r>
              <w:rPr>
                <w:bCs/>
                <w:sz w:val="20"/>
              </w:rPr>
              <w:t>4</w:t>
            </w:r>
            <w:r w:rsidR="00A94F01">
              <w:rPr>
                <w:bCs/>
                <w:sz w:val="20"/>
              </w:rPr>
              <w:t>0.78</w:t>
            </w:r>
          </w:p>
        </w:tc>
        <w:tc>
          <w:tcPr>
            <w:tcW w:w="1116" w:type="dxa"/>
          </w:tcPr>
          <w:p w14:paraId="3BD99094" w14:textId="7747E538" w:rsidR="00967E66" w:rsidRDefault="00A94F01" w:rsidP="00B21471">
            <w:pPr>
              <w:jc w:val="right"/>
              <w:rPr>
                <w:bCs/>
                <w:sz w:val="20"/>
              </w:rPr>
            </w:pPr>
            <w:r>
              <w:rPr>
                <w:bCs/>
                <w:sz w:val="20"/>
              </w:rPr>
              <w:t>2,936.16</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7D439E57" w:rsidR="00967E66" w:rsidRPr="00A82649" w:rsidRDefault="00EC7E24" w:rsidP="0071419F">
            <w:pPr>
              <w:jc w:val="right"/>
              <w:rPr>
                <w:b/>
                <w:bCs/>
                <w:sz w:val="20"/>
              </w:rPr>
            </w:pPr>
            <w:r>
              <w:rPr>
                <w:b/>
                <w:bCs/>
                <w:sz w:val="20"/>
              </w:rPr>
              <w:t>66</w:t>
            </w:r>
            <w:r w:rsidR="0071419F">
              <w:rPr>
                <w:b/>
                <w:bCs/>
                <w:sz w:val="20"/>
              </w:rPr>
              <w:t>,</w:t>
            </w:r>
            <w:r w:rsidR="00A94F01">
              <w:rPr>
                <w:b/>
                <w:bCs/>
                <w:sz w:val="20"/>
              </w:rPr>
              <w:t>017.67</w:t>
            </w:r>
          </w:p>
        </w:tc>
      </w:tr>
    </w:tbl>
    <w:p w14:paraId="1991FD3B" w14:textId="77777777" w:rsidR="00967E66" w:rsidRDefault="00967E66" w:rsidP="00967E66">
      <w:pPr>
        <w:rPr>
          <w:bCs/>
        </w:rPr>
      </w:pPr>
    </w:p>
    <w:p w14:paraId="10AC8333" w14:textId="77777777" w:rsidR="00967E66" w:rsidRDefault="00967E66" w:rsidP="00967E66"/>
    <w:p w14:paraId="4531E8EF"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02D596FF" w:rsidR="00392BB9" w:rsidRPr="00903E12" w:rsidRDefault="00A94F01">
      <w:pPr>
        <w:rPr>
          <w:bCs/>
        </w:rPr>
      </w:pPr>
      <w:r>
        <w:rPr>
          <w:b/>
          <w:bCs/>
          <w:sz w:val="20"/>
        </w:rPr>
        <w:t>66,017.67</w:t>
      </w:r>
      <w:r w:rsidR="00DB7131">
        <w:rPr>
          <w:b/>
          <w:bCs/>
          <w:iCs/>
          <w:szCs w:val="24"/>
        </w:rPr>
        <w:t xml:space="preserve"> x </w:t>
      </w:r>
      <w:r w:rsidR="009A2506">
        <w:rPr>
          <w:b/>
          <w:bCs/>
          <w:iCs/>
          <w:szCs w:val="24"/>
        </w:rPr>
        <w:t>117</w:t>
      </w:r>
      <w:r w:rsidR="0002412D">
        <w:rPr>
          <w:b/>
          <w:bCs/>
          <w:iCs/>
          <w:szCs w:val="24"/>
        </w:rPr>
        <w:t xml:space="preserve"> = </w:t>
      </w:r>
      <w:r w:rsidR="009A2506">
        <w:rPr>
          <w:b/>
          <w:bCs/>
          <w:iCs/>
          <w:szCs w:val="24"/>
        </w:rPr>
        <w:t>$7,7</w:t>
      </w:r>
      <w:r w:rsidR="005B553D">
        <w:rPr>
          <w:b/>
          <w:bCs/>
          <w:iCs/>
          <w:szCs w:val="24"/>
        </w:rPr>
        <w:t>24,067.39</w:t>
      </w:r>
    </w:p>
    <w:p w14:paraId="318D4E32" w14:textId="77777777" w:rsidR="00C54890" w:rsidRPr="00A6703F" w:rsidRDefault="00C54890">
      <w:pPr>
        <w:tabs>
          <w:tab w:val="left" w:pos="8640"/>
        </w:tabs>
        <w:ind w:right="653"/>
        <w:rPr>
          <w:b/>
          <w:bCs/>
          <w:szCs w:val="24"/>
        </w:rPr>
      </w:pPr>
    </w:p>
    <w:p w14:paraId="21F06256" w14:textId="77777777" w:rsidR="007D3DF1" w:rsidRDefault="007D3DF1" w:rsidP="007D3DF1">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4B7DE56C" w14:textId="77777777"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37D72BFD" w14:textId="5D9D7F24"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5B553D" w:rsidRPr="005B553D">
        <w:rPr>
          <w:bCs/>
          <w:szCs w:val="24"/>
        </w:rPr>
        <w:t>66,017.67</w:t>
      </w:r>
      <w:r w:rsidR="007A26BD">
        <w:rPr>
          <w:iCs/>
          <w:szCs w:val="24"/>
        </w:rPr>
        <w:t xml:space="preserve"> Burden Hours</w:t>
      </w:r>
      <w:r w:rsidR="004B5E23" w:rsidRPr="004B5E23">
        <w:rPr>
          <w:iCs/>
          <w:szCs w:val="24"/>
        </w:rPr>
        <w:t xml:space="preserve"> </w:t>
      </w:r>
    </w:p>
    <w:p w14:paraId="54BF54E3" w14:textId="70B7D4FB"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5B553D">
        <w:rPr>
          <w:iCs/>
          <w:szCs w:val="24"/>
        </w:rPr>
        <w:t>-174,693.33</w:t>
      </w:r>
      <w:r w:rsidR="00F918E8">
        <w:rPr>
          <w:iCs/>
          <w:szCs w:val="24"/>
        </w:rPr>
        <w:t xml:space="preserve"> Burden Hours</w:t>
      </w:r>
    </w:p>
    <w:p w14:paraId="4B286959" w14:textId="77777777" w:rsidR="00A078E7" w:rsidRDefault="00A078E7">
      <w:pPr>
        <w:tabs>
          <w:tab w:val="left" w:pos="8640"/>
        </w:tabs>
        <w:ind w:right="653" w:firstLine="720"/>
        <w:rPr>
          <w:iCs/>
          <w:szCs w:val="24"/>
        </w:rPr>
      </w:pPr>
    </w:p>
    <w:p w14:paraId="052A33D8" w14:textId="063ECDD9" w:rsidR="008E3647" w:rsidRDefault="00E63A46">
      <w:pPr>
        <w:tabs>
          <w:tab w:val="left" w:pos="8640"/>
        </w:tabs>
        <w:ind w:right="653"/>
        <w:rPr>
          <w:szCs w:val="24"/>
        </w:rPr>
      </w:pPr>
      <w:r>
        <w:rPr>
          <w:szCs w:val="24"/>
        </w:rPr>
        <w:t>The</w:t>
      </w:r>
      <w:r w:rsidR="006C4F12" w:rsidRPr="006C4F12">
        <w:rPr>
          <w:szCs w:val="24"/>
        </w:rPr>
        <w:t xml:space="preserve"> decrease in burden </w:t>
      </w:r>
      <w:r>
        <w:rPr>
          <w:szCs w:val="24"/>
        </w:rPr>
        <w:t xml:space="preserve">is </w:t>
      </w:r>
      <w:r w:rsidR="006C4F12" w:rsidRPr="006C4F12">
        <w:rPr>
          <w:szCs w:val="24"/>
        </w:rPr>
        <w:t>due to the change in the burden calculation methodology</w:t>
      </w:r>
      <w:r w:rsidR="000B6EA4">
        <w:rPr>
          <w:szCs w:val="24"/>
        </w:rPr>
        <w:t xml:space="preserve">, </w:t>
      </w:r>
      <w:r w:rsidR="006C4F12" w:rsidRPr="006C4F12">
        <w:rPr>
          <w:szCs w:val="24"/>
        </w:rPr>
        <w:t>consistent with the other banking agencies.</w:t>
      </w:r>
      <w:r w:rsidR="000B6EA4">
        <w:rPr>
          <w:szCs w:val="24"/>
        </w:rPr>
        <w:t xml:space="preserve">  </w:t>
      </w:r>
      <w:r w:rsidR="007626F0">
        <w:rPr>
          <w:szCs w:val="24"/>
        </w:rPr>
        <w:t>There is no change in burden due to the rule.</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16A1">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 w:id="1">
    <w:p w14:paraId="60EED3D5"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5418073" w14:textId="77777777" w:rsidR="00523E4C" w:rsidRDefault="00523E4C">
      <w:pPr>
        <w:pStyle w:val="FootnoteText"/>
      </w:pPr>
      <w:r>
        <w:rPr>
          <w:rStyle w:val="FootnoteReference"/>
        </w:rPr>
        <w:footnoteRef/>
      </w:r>
      <w:r>
        <w:t xml:space="preserve"> 12 U.S.C. 5371.</w:t>
      </w:r>
    </w:p>
  </w:footnote>
  <w:footnote w:id="3">
    <w:p w14:paraId="7CE98F18" w14:textId="77777777"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1769E"/>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16A1"/>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21F6"/>
    <w:rsid w:val="00574627"/>
    <w:rsid w:val="00584482"/>
    <w:rsid w:val="00590338"/>
    <w:rsid w:val="00591886"/>
    <w:rsid w:val="00593896"/>
    <w:rsid w:val="00596017"/>
    <w:rsid w:val="005B553D"/>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30C29"/>
    <w:rsid w:val="00731834"/>
    <w:rsid w:val="0073536B"/>
    <w:rsid w:val="00745D88"/>
    <w:rsid w:val="00746A20"/>
    <w:rsid w:val="00750F3B"/>
    <w:rsid w:val="007554A2"/>
    <w:rsid w:val="00760813"/>
    <w:rsid w:val="007626F0"/>
    <w:rsid w:val="007664D7"/>
    <w:rsid w:val="007670F6"/>
    <w:rsid w:val="0077167C"/>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A6C8C"/>
    <w:rsid w:val="008B1A5D"/>
    <w:rsid w:val="008B72AB"/>
    <w:rsid w:val="008C2849"/>
    <w:rsid w:val="008C6C94"/>
    <w:rsid w:val="008D248C"/>
    <w:rsid w:val="008D6098"/>
    <w:rsid w:val="008E01B0"/>
    <w:rsid w:val="008E01CD"/>
    <w:rsid w:val="008E3647"/>
    <w:rsid w:val="008E489E"/>
    <w:rsid w:val="008F1D85"/>
    <w:rsid w:val="009012C1"/>
    <w:rsid w:val="00903E12"/>
    <w:rsid w:val="00905717"/>
    <w:rsid w:val="009323AF"/>
    <w:rsid w:val="0093374A"/>
    <w:rsid w:val="009401FA"/>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4F01"/>
    <w:rsid w:val="00A95823"/>
    <w:rsid w:val="00A96CF7"/>
    <w:rsid w:val="00A971D2"/>
    <w:rsid w:val="00A97A95"/>
    <w:rsid w:val="00A97C10"/>
    <w:rsid w:val="00AB0185"/>
    <w:rsid w:val="00AB300B"/>
    <w:rsid w:val="00AB5F31"/>
    <w:rsid w:val="00AB7766"/>
    <w:rsid w:val="00AC568A"/>
    <w:rsid w:val="00AD0BE6"/>
    <w:rsid w:val="00AE0F67"/>
    <w:rsid w:val="00AE3263"/>
    <w:rsid w:val="00AF0FB1"/>
    <w:rsid w:val="00AF2E8C"/>
    <w:rsid w:val="00AF3F86"/>
    <w:rsid w:val="00AF6309"/>
    <w:rsid w:val="00AF6AD4"/>
    <w:rsid w:val="00B038E5"/>
    <w:rsid w:val="00B03A55"/>
    <w:rsid w:val="00B12F9F"/>
    <w:rsid w:val="00B205AC"/>
    <w:rsid w:val="00B34E7A"/>
    <w:rsid w:val="00B460BE"/>
    <w:rsid w:val="00B5599C"/>
    <w:rsid w:val="00B60422"/>
    <w:rsid w:val="00B608DA"/>
    <w:rsid w:val="00B61BF4"/>
    <w:rsid w:val="00B634D0"/>
    <w:rsid w:val="00B65214"/>
    <w:rsid w:val="00B70F5F"/>
    <w:rsid w:val="00B758EB"/>
    <w:rsid w:val="00B8060E"/>
    <w:rsid w:val="00B91B7C"/>
    <w:rsid w:val="00B93217"/>
    <w:rsid w:val="00B9743F"/>
    <w:rsid w:val="00BA1407"/>
    <w:rsid w:val="00BB071B"/>
    <w:rsid w:val="00BB1223"/>
    <w:rsid w:val="00BB35BD"/>
    <w:rsid w:val="00BC327B"/>
    <w:rsid w:val="00BC46DF"/>
    <w:rsid w:val="00BC7C37"/>
    <w:rsid w:val="00BE3EC1"/>
    <w:rsid w:val="00BE71FE"/>
    <w:rsid w:val="00BE7318"/>
    <w:rsid w:val="00BF04B4"/>
    <w:rsid w:val="00BF1E0D"/>
    <w:rsid w:val="00BF463C"/>
    <w:rsid w:val="00C0301C"/>
    <w:rsid w:val="00C03196"/>
    <w:rsid w:val="00C108A0"/>
    <w:rsid w:val="00C1202B"/>
    <w:rsid w:val="00C12183"/>
    <w:rsid w:val="00C17218"/>
    <w:rsid w:val="00C27CA6"/>
    <w:rsid w:val="00C30C6A"/>
    <w:rsid w:val="00C43A04"/>
    <w:rsid w:val="00C43AAC"/>
    <w:rsid w:val="00C5096C"/>
    <w:rsid w:val="00C540D4"/>
    <w:rsid w:val="00C54890"/>
    <w:rsid w:val="00C604EC"/>
    <w:rsid w:val="00C62BD8"/>
    <w:rsid w:val="00C67C50"/>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6F8"/>
    <w:rsid w:val="00E00DEA"/>
    <w:rsid w:val="00E067B3"/>
    <w:rsid w:val="00E12177"/>
    <w:rsid w:val="00E175EE"/>
    <w:rsid w:val="00E17FB8"/>
    <w:rsid w:val="00E23F7B"/>
    <w:rsid w:val="00E26908"/>
    <w:rsid w:val="00E400F7"/>
    <w:rsid w:val="00E43C36"/>
    <w:rsid w:val="00E43E8E"/>
    <w:rsid w:val="00E45F7F"/>
    <w:rsid w:val="00E60BCE"/>
    <w:rsid w:val="00E62C46"/>
    <w:rsid w:val="00E63A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E7955-26CB-48B7-BFE9-701C34F6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2018-09-24T14:29:00Z</cp:lastPrinted>
  <dcterms:created xsi:type="dcterms:W3CDTF">2018-09-24T14:31:00Z</dcterms:created>
  <dcterms:modified xsi:type="dcterms:W3CDTF">2018-09-24T14:31:00Z</dcterms:modified>
</cp:coreProperties>
</file>