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8E525" w14:textId="56C6D49D" w:rsidR="00B3421B" w:rsidRPr="00F30D36" w:rsidRDefault="00B3421B" w:rsidP="006E46D7">
      <w:pPr>
        <w:jc w:val="center"/>
        <w:rPr>
          <w:b/>
          <w:caps/>
        </w:rPr>
      </w:pPr>
      <w:bookmarkStart w:id="0" w:name="_GoBack"/>
      <w:bookmarkEnd w:id="0"/>
    </w:p>
    <w:p w14:paraId="0DDBCF7C" w14:textId="11884545" w:rsidR="002C245C" w:rsidRDefault="00B3421B" w:rsidP="006E46D7">
      <w:pPr>
        <w:jc w:val="center"/>
        <w:rPr>
          <w:b/>
        </w:rPr>
      </w:pPr>
      <w:r>
        <w:rPr>
          <w:b/>
        </w:rPr>
        <w:t xml:space="preserve">U.S. Department of Labor </w:t>
      </w:r>
    </w:p>
    <w:p w14:paraId="33D62030" w14:textId="50F74CB8" w:rsidR="00B3421B" w:rsidRDefault="00B3421B" w:rsidP="006E46D7">
      <w:pPr>
        <w:jc w:val="center"/>
        <w:rPr>
          <w:b/>
        </w:rPr>
      </w:pPr>
      <w:r>
        <w:rPr>
          <w:b/>
        </w:rPr>
        <w:t>Office of Federal Contract Compliance Programs</w:t>
      </w:r>
    </w:p>
    <w:p w14:paraId="3A470337" w14:textId="2D704E5E" w:rsidR="00B3421B" w:rsidRDefault="00B3421B" w:rsidP="006E46D7">
      <w:pPr>
        <w:jc w:val="center"/>
        <w:rPr>
          <w:b/>
        </w:rPr>
      </w:pPr>
      <w:r>
        <w:rPr>
          <w:b/>
        </w:rPr>
        <w:t>Agreement Approval Process for Use of Functional Affirmative Action Programs</w:t>
      </w:r>
    </w:p>
    <w:p w14:paraId="487B2EE9" w14:textId="77777777" w:rsidR="00B3421B" w:rsidRPr="00B3421B" w:rsidRDefault="00B3421B" w:rsidP="006E46D7">
      <w:pPr>
        <w:jc w:val="center"/>
        <w:rPr>
          <w:b/>
        </w:rPr>
      </w:pPr>
    </w:p>
    <w:p w14:paraId="44B36DE3" w14:textId="77777777" w:rsidR="002C245C" w:rsidRPr="002803B4" w:rsidRDefault="002C245C" w:rsidP="006E46D7">
      <w:pPr>
        <w:jc w:val="center"/>
        <w:rPr>
          <w:b/>
        </w:rPr>
      </w:pPr>
      <w:r w:rsidRPr="00BF04BA">
        <w:rPr>
          <w:b/>
        </w:rPr>
        <w:t xml:space="preserve">OMB </w:t>
      </w:r>
      <w:r w:rsidR="009A78D6" w:rsidRPr="00BF04BA">
        <w:rPr>
          <w:b/>
        </w:rPr>
        <w:t>Number</w:t>
      </w:r>
      <w:r w:rsidR="009A78D6" w:rsidRPr="002803B4">
        <w:rPr>
          <w:b/>
        </w:rPr>
        <w:t xml:space="preserve"> 1250</w:t>
      </w:r>
      <w:r w:rsidRPr="002803B4">
        <w:rPr>
          <w:b/>
        </w:rPr>
        <w:t>-</w:t>
      </w:r>
      <w:r w:rsidR="002810FC" w:rsidRPr="002803B4">
        <w:rPr>
          <w:b/>
        </w:rPr>
        <w:t>0006</w:t>
      </w:r>
    </w:p>
    <w:p w14:paraId="328B6CE4" w14:textId="468C5049" w:rsidR="002C245C" w:rsidRDefault="002C245C" w:rsidP="006E46D7">
      <w:pPr>
        <w:jc w:val="center"/>
      </w:pPr>
    </w:p>
    <w:p w14:paraId="0FF0DDBC" w14:textId="00C80607" w:rsidR="000D7CDE" w:rsidRDefault="000D7CDE" w:rsidP="006E46D7">
      <w:pPr>
        <w:jc w:val="center"/>
      </w:pPr>
    </w:p>
    <w:p w14:paraId="149BE973" w14:textId="2422686F" w:rsidR="000D7CDE" w:rsidRDefault="000D7CDE" w:rsidP="003643BD">
      <w:r>
        <w:t xml:space="preserve">This information collection request (ICR) seeks to revise the directive that establishes policies and procedures that contractors must follow to maintain a functional affirmative action program (FAAP).  In general, the proposed revisions reorganize the contents of the directive and provide some minor, clarifying edits.  Among other significant revisions, the U.S. Department of Labor’s Office of Federal Contract Compliance Programs (OFCCP) proposes to change the current requirement that contractors certify every three years that there have been no changes made to the functional units, business structure, or other circumstances that affect their existing FAAP agreements.  </w:t>
      </w:r>
      <w:r w:rsidR="008D305B">
        <w:t>Under this ICR</w:t>
      </w:r>
      <w:r>
        <w:t xml:space="preserve">, this certification would be required every five years.  </w:t>
      </w:r>
    </w:p>
    <w:p w14:paraId="47E34CB9" w14:textId="77777777" w:rsidR="000D7CDE" w:rsidRPr="00F30D36" w:rsidRDefault="000D7CDE" w:rsidP="003643BD"/>
    <w:p w14:paraId="29DD2EFC" w14:textId="77777777" w:rsidR="002C245C" w:rsidRPr="00F30D36" w:rsidRDefault="002C245C" w:rsidP="006E46D7">
      <w:pPr>
        <w:rPr>
          <w:b/>
          <w:u w:val="single"/>
        </w:rPr>
      </w:pPr>
      <w:r w:rsidRPr="00F30D36">
        <w:rPr>
          <w:b/>
        </w:rPr>
        <w:t xml:space="preserve">A.  </w:t>
      </w:r>
      <w:r w:rsidRPr="00F30D36">
        <w:rPr>
          <w:b/>
        </w:rPr>
        <w:tab/>
      </w:r>
      <w:r w:rsidRPr="00D7084A">
        <w:rPr>
          <w:b/>
        </w:rPr>
        <w:t>JUSTIFICATION</w:t>
      </w:r>
    </w:p>
    <w:p w14:paraId="489C2716" w14:textId="57FBA608" w:rsidR="002C245C" w:rsidRPr="00F30D36" w:rsidRDefault="002C245C" w:rsidP="006E46D7">
      <w:pPr>
        <w:rPr>
          <w:b/>
        </w:rPr>
      </w:pPr>
    </w:p>
    <w:p w14:paraId="27F795A8" w14:textId="7BE26A88" w:rsidR="0048770C" w:rsidRDefault="000D7CDE" w:rsidP="006E46D7">
      <w:r>
        <w:t>OFCCP</w:t>
      </w:r>
      <w:r w:rsidR="00987AD6" w:rsidRPr="008C62E7">
        <w:t xml:space="preserve"> </w:t>
      </w:r>
      <w:r w:rsidR="00987AD6">
        <w:t xml:space="preserve">is requesting </w:t>
      </w:r>
      <w:r w:rsidR="008C62E7">
        <w:t xml:space="preserve">Office of Management and Budget (OMB) approval of </w:t>
      </w:r>
      <w:r w:rsidR="008F75A0">
        <w:rPr>
          <w:b/>
        </w:rPr>
        <w:t>862</w:t>
      </w:r>
      <w:r w:rsidR="003E1E49">
        <w:rPr>
          <w:b/>
        </w:rPr>
        <w:t xml:space="preserve"> </w:t>
      </w:r>
      <w:r w:rsidR="008C62E7">
        <w:t>hours in r</w:t>
      </w:r>
      <w:r w:rsidR="00B0757E">
        <w:t>eporting burden for the</w:t>
      </w:r>
      <w:r w:rsidR="008C62E7">
        <w:t xml:space="preserve"> process that allows </w:t>
      </w:r>
      <w:r w:rsidR="00B0757E" w:rsidRPr="008C62E7">
        <w:t>federal contractors and subcontractors</w:t>
      </w:r>
      <w:r w:rsidR="00B0757E" w:rsidRPr="008C62E7">
        <w:rPr>
          <w:vertAlign w:val="superscript"/>
        </w:rPr>
        <w:footnoteReference w:id="2"/>
      </w:r>
      <w:r w:rsidR="00B0757E">
        <w:t xml:space="preserve"> to </w:t>
      </w:r>
      <w:r w:rsidR="008C62E7">
        <w:t xml:space="preserve">develop </w:t>
      </w:r>
      <w:r w:rsidR="00B0757E">
        <w:t>FAAP</w:t>
      </w:r>
      <w:r w:rsidR="00620859">
        <w:t>s</w:t>
      </w:r>
      <w:r w:rsidR="00987AD6">
        <w:t xml:space="preserve">.  </w:t>
      </w:r>
      <w:r w:rsidR="008C62E7">
        <w:t xml:space="preserve">The requested hours constitute a </w:t>
      </w:r>
      <w:r w:rsidR="008C62E7" w:rsidRPr="00F07E53">
        <w:t xml:space="preserve">decrease </w:t>
      </w:r>
      <w:r w:rsidR="008C62E7">
        <w:t xml:space="preserve">from the previous request of </w:t>
      </w:r>
      <w:r w:rsidR="00607576">
        <w:rPr>
          <w:b/>
        </w:rPr>
        <w:t>1,297</w:t>
      </w:r>
      <w:r w:rsidR="008C62E7">
        <w:t xml:space="preserve"> hours.  </w:t>
      </w:r>
      <w:r w:rsidR="00CC65AA">
        <w:t>S</w:t>
      </w:r>
      <w:r w:rsidR="0009497C">
        <w:t>upply and service contractor</w:t>
      </w:r>
      <w:r w:rsidR="00CC65AA">
        <w:t>s</w:t>
      </w:r>
      <w:r w:rsidR="0009497C">
        <w:t xml:space="preserve"> subject to affirmative action program (AAP) requirements may request a FAAP agreement</w:t>
      </w:r>
      <w:r w:rsidR="00CC65AA">
        <w:t>, which</w:t>
      </w:r>
      <w:r w:rsidR="0009497C">
        <w:t xml:space="preserve"> permits the development and use of AAPs based on functional or business units.</w:t>
      </w:r>
      <w:r w:rsidR="00B0757E">
        <w:t xml:space="preserve">  </w:t>
      </w:r>
      <w:r w:rsidR="00427FB2" w:rsidRPr="00427FB2">
        <w:t>A functional or business unit refers to a component within an organization that operates autonomously in the ordinary course</w:t>
      </w:r>
      <w:r w:rsidR="00987AD6">
        <w:t xml:space="preserve"> of the organization’s business.  Under OFCCP’s regulations, contractors must have an agreement approved by</w:t>
      </w:r>
      <w:r w:rsidR="00792CA2">
        <w:t xml:space="preserve"> the OFCCP Director in order to </w:t>
      </w:r>
      <w:r w:rsidR="00987AD6">
        <w:t xml:space="preserve">develop and operate under a FAAP. </w:t>
      </w:r>
    </w:p>
    <w:p w14:paraId="47F1D8F9" w14:textId="77777777" w:rsidR="00E4293A" w:rsidRDefault="00E4293A" w:rsidP="006E46D7"/>
    <w:p w14:paraId="08FB5994" w14:textId="77777777" w:rsidR="008C62E7" w:rsidRPr="008C62E7" w:rsidRDefault="008C62E7" w:rsidP="006A5256">
      <w:pPr>
        <w:numPr>
          <w:ilvl w:val="0"/>
          <w:numId w:val="41"/>
        </w:numPr>
        <w:ind w:left="360"/>
        <w:rPr>
          <w:b/>
        </w:rPr>
      </w:pPr>
      <w:r w:rsidRPr="008C62E7">
        <w:rPr>
          <w:b/>
        </w:rPr>
        <w:t xml:space="preserve">Legal and Administrative Requirements </w:t>
      </w:r>
    </w:p>
    <w:p w14:paraId="2DA8332C" w14:textId="77777777" w:rsidR="008C62E7" w:rsidRPr="008C62E7" w:rsidRDefault="008C62E7" w:rsidP="008C62E7"/>
    <w:p w14:paraId="28BFDF80" w14:textId="60472538" w:rsidR="008C62E7" w:rsidRPr="008C62E7" w:rsidRDefault="00987AD6" w:rsidP="008C62E7">
      <w:r>
        <w:t xml:space="preserve">OFCCP </w:t>
      </w:r>
      <w:r w:rsidR="008C62E7" w:rsidRPr="008C62E7">
        <w:t>administers and enforces the three equal employment opportunity laws</w:t>
      </w:r>
      <w:r w:rsidR="008C62E7" w:rsidRPr="008C62E7">
        <w:rPr>
          <w:vertAlign w:val="superscript"/>
        </w:rPr>
        <w:footnoteReference w:id="3"/>
      </w:r>
      <w:r w:rsidR="008C62E7" w:rsidRPr="008C62E7">
        <w:t xml:space="preserve"> listed below, which</w:t>
      </w:r>
      <w:r w:rsidR="008C62E7" w:rsidRPr="008C62E7">
        <w:rPr>
          <w:vertAlign w:val="superscript"/>
        </w:rPr>
        <w:t xml:space="preserve"> </w:t>
      </w:r>
      <w:r w:rsidR="008C62E7" w:rsidRPr="008C62E7">
        <w:t xml:space="preserve">prohibit employment discrimination </w:t>
      </w:r>
      <w:r w:rsidR="00E233A4">
        <w:t>and set affirmative action req</w:t>
      </w:r>
      <w:r w:rsidR="00EA17C4">
        <w:t>uirements by contractors</w:t>
      </w:r>
      <w:r w:rsidR="00E233A4">
        <w:t>.</w:t>
      </w:r>
    </w:p>
    <w:p w14:paraId="63EDF409" w14:textId="77777777" w:rsidR="008C62E7" w:rsidRPr="008C62E7" w:rsidRDefault="008C62E7" w:rsidP="008C62E7"/>
    <w:p w14:paraId="3AB7E280" w14:textId="77777777" w:rsidR="008C62E7" w:rsidRPr="008C62E7" w:rsidRDefault="008C62E7" w:rsidP="008C62E7">
      <w:pPr>
        <w:numPr>
          <w:ilvl w:val="0"/>
          <w:numId w:val="40"/>
        </w:numPr>
      </w:pPr>
      <w:r w:rsidRPr="008C62E7">
        <w:t>Executive Order 11246, as amended (</w:t>
      </w:r>
      <w:bookmarkStart w:id="1" w:name="OLE_LINK1"/>
      <w:bookmarkStart w:id="2" w:name="OLE_LINK2"/>
      <w:r w:rsidRPr="008C62E7">
        <w:t>EO 11246</w:t>
      </w:r>
      <w:bookmarkEnd w:id="1"/>
      <w:bookmarkEnd w:id="2"/>
      <w:r w:rsidRPr="008C62E7">
        <w:t>),</w:t>
      </w:r>
      <w:r w:rsidRPr="008C62E7">
        <w:rPr>
          <w:vertAlign w:val="superscript"/>
        </w:rPr>
        <w:t xml:space="preserve"> </w:t>
      </w:r>
    </w:p>
    <w:p w14:paraId="3B790B30" w14:textId="77777777" w:rsidR="008C62E7" w:rsidRPr="008C62E7" w:rsidRDefault="008C62E7" w:rsidP="008C62E7">
      <w:pPr>
        <w:numPr>
          <w:ilvl w:val="0"/>
          <w:numId w:val="40"/>
        </w:numPr>
      </w:pPr>
      <w:r w:rsidRPr="008C62E7">
        <w:lastRenderedPageBreak/>
        <w:t xml:space="preserve">Section 503 of the Rehabilitation Act of 1973, as amended (Section 503), and </w:t>
      </w:r>
    </w:p>
    <w:p w14:paraId="2DAEFD3E" w14:textId="77777777" w:rsidR="008C62E7" w:rsidRPr="008C62E7" w:rsidRDefault="008C62E7" w:rsidP="008C62E7">
      <w:pPr>
        <w:numPr>
          <w:ilvl w:val="0"/>
          <w:numId w:val="40"/>
        </w:numPr>
      </w:pPr>
      <w:r w:rsidRPr="008C62E7">
        <w:t xml:space="preserve">Vietnam Era Veterans’ Readjustment Assistance Act of 1974, as amended, (VEVRAA). </w:t>
      </w:r>
    </w:p>
    <w:p w14:paraId="2D35EDF8" w14:textId="77777777" w:rsidR="008C62E7" w:rsidRPr="008C62E7" w:rsidRDefault="008C62E7" w:rsidP="008C62E7"/>
    <w:p w14:paraId="08F710A6" w14:textId="04573C04" w:rsidR="008C62E7" w:rsidRPr="008C62E7" w:rsidRDefault="008C62E7" w:rsidP="008C62E7">
      <w:r w:rsidRPr="008C62E7">
        <w:t>EO 11246 prohibits contractors from discriminating against ap</w:t>
      </w:r>
      <w:r w:rsidR="003F28EC">
        <w:t xml:space="preserve">plicants and employees based on </w:t>
      </w:r>
      <w:r w:rsidRPr="008C62E7">
        <w:t>race, color, religion, sex, sexual orientation, gender identity, and national origin</w:t>
      </w:r>
      <w:r w:rsidR="00D77B23">
        <w:t xml:space="preserve">.  </w:t>
      </w:r>
      <w:r w:rsidR="006028FA">
        <w:t>EO 11246</w:t>
      </w:r>
      <w:r w:rsidR="00D77B23">
        <w:t xml:space="preserve"> also </w:t>
      </w:r>
      <w:r w:rsidR="00E233A4" w:rsidRPr="00E233A4">
        <w:t>requires contractors to take affirmative action to ensure that equal opportunity is provided in al</w:t>
      </w:r>
      <w:r w:rsidR="00E233A4">
        <w:t>l aspects of their employment.</w:t>
      </w:r>
      <w:r w:rsidRPr="008C62E7">
        <w:t xml:space="preserve">  Additionally, it prohibits contractors from taking adverse employment actions against applicants and employees for </w:t>
      </w:r>
      <w:r w:rsidR="00302E0E">
        <w:t>inquiring</w:t>
      </w:r>
      <w:r w:rsidRPr="008C62E7">
        <w:t xml:space="preserve"> about, discussing, or </w:t>
      </w:r>
      <w:r w:rsidR="00302E0E">
        <w:t>disclosing</w:t>
      </w:r>
      <w:r w:rsidRPr="008C62E7">
        <w:t xml:space="preserve"> information about their pay or the pay of their co-workers, subject to certain limitations.  EO 11246 applies to contractors, and to federally assisted construction contractors holding a government contract in excess of $10,000, or government contracts that have, or can reasonably expect to have, an aggregate total value exceeding $10,000 in a 12-month period.  EO 11246 also applies to government bills of lading, depositories of federal funds in any amount, and to financial institutions that are issuing and paying agents for U.S. savings bonds and notes in any amount. </w:t>
      </w:r>
    </w:p>
    <w:p w14:paraId="094663B6" w14:textId="77777777" w:rsidR="008C62E7" w:rsidRPr="008C62E7" w:rsidRDefault="008C62E7" w:rsidP="008C62E7"/>
    <w:p w14:paraId="6C6BE174" w14:textId="77777777" w:rsidR="008C62E7" w:rsidRPr="008C62E7" w:rsidRDefault="008C62E7" w:rsidP="008C62E7">
      <w:r w:rsidRPr="008C62E7">
        <w:t>Section 503 prohibits contractors from discriminating against applicants and employees on the basis of disability and requires contractors to take affirmative action to employ, and advance in employment, qualified individuals with disabilities.  Its requirements apply to contractors with a government contract in excess of $15,000.</w:t>
      </w:r>
      <w:r w:rsidRPr="008C62E7">
        <w:rPr>
          <w:vertAlign w:val="superscript"/>
        </w:rPr>
        <w:footnoteReference w:id="4"/>
      </w:r>
    </w:p>
    <w:p w14:paraId="01B52305" w14:textId="77777777" w:rsidR="008C62E7" w:rsidRPr="008C62E7" w:rsidRDefault="008C62E7" w:rsidP="008C62E7"/>
    <w:p w14:paraId="1D0D1E4E" w14:textId="77777777" w:rsidR="008C62E7" w:rsidRPr="008C62E7" w:rsidRDefault="008C62E7" w:rsidP="008C62E7">
      <w:r w:rsidRPr="008C62E7">
        <w:t>VEVRAA prohibits contractors from discriminating against protected veterans, namely, disabled veterans, recently separated veterans, active duty wartime or campaign badge veterans, and Armed Forces service medal veterans.  VEVRAA also requires contractors to take affirmative action to employ, and advance in employment, qualified protected veterans.  Its requirements apply to contractors with a government contract of $150,000 or more.</w:t>
      </w:r>
      <w:r w:rsidRPr="008C62E7">
        <w:rPr>
          <w:vertAlign w:val="superscript"/>
        </w:rPr>
        <w:footnoteReference w:id="5"/>
      </w:r>
    </w:p>
    <w:p w14:paraId="00EC2310" w14:textId="256BCE51" w:rsidR="00B27380" w:rsidRDefault="00B27380" w:rsidP="006E46D7"/>
    <w:p w14:paraId="3C3A6AAC" w14:textId="6B2E7066" w:rsidR="008C069C" w:rsidRDefault="00E42D2A" w:rsidP="00460240">
      <w:r>
        <w:t>This ICR</w:t>
      </w:r>
      <w:r w:rsidR="00FA36BC" w:rsidRPr="00FA36BC">
        <w:t xml:space="preserve"> outlines the</w:t>
      </w:r>
      <w:r w:rsidR="004B2060">
        <w:t xml:space="preserve"> legal authority,</w:t>
      </w:r>
      <w:r w:rsidR="00FA36BC" w:rsidRPr="00FA36BC">
        <w:t xml:space="preserve"> procedures, burden, and cost associated with </w:t>
      </w:r>
      <w:r w:rsidR="001F071B">
        <w:t>requesting</w:t>
      </w:r>
      <w:r w:rsidR="00FA36BC" w:rsidRPr="00FA36BC">
        <w:t xml:space="preserve"> a new FAAP agreement as well as modifying</w:t>
      </w:r>
      <w:r w:rsidR="0004514F">
        <w:t>,</w:t>
      </w:r>
      <w:r w:rsidR="00FA36BC" w:rsidRPr="00FA36BC">
        <w:t xml:space="preserve"> certifying</w:t>
      </w:r>
      <w:r w:rsidR="0004514F">
        <w:t>, and terminating</w:t>
      </w:r>
      <w:r w:rsidR="00FA36BC" w:rsidRPr="00FA36BC">
        <w:t xml:space="preserve"> an existing</w:t>
      </w:r>
      <w:r w:rsidR="00FA36BC" w:rsidRPr="00271B41">
        <w:t xml:space="preserve"> </w:t>
      </w:r>
      <w:r w:rsidR="00FA36BC" w:rsidRPr="00FA36BC">
        <w:t xml:space="preserve">agreement.  </w:t>
      </w:r>
      <w:r w:rsidR="00E3392C">
        <w:t>S</w:t>
      </w:r>
      <w:r w:rsidR="00C334EE" w:rsidRPr="00A4247E">
        <w:t>upply and service contractors that are subject to</w:t>
      </w:r>
      <w:r w:rsidR="00C334EE">
        <w:t xml:space="preserve"> the</w:t>
      </w:r>
      <w:r w:rsidR="00C334EE" w:rsidRPr="00A4247E">
        <w:t xml:space="preserve"> </w:t>
      </w:r>
      <w:r>
        <w:t xml:space="preserve">AAP </w:t>
      </w:r>
      <w:r w:rsidR="00C334EE" w:rsidRPr="00A4247E">
        <w:t>requirements</w:t>
      </w:r>
      <w:r w:rsidR="00C334EE">
        <w:t xml:space="preserve"> of EO 11246</w:t>
      </w:r>
      <w:r w:rsidR="00C334EE">
        <w:rPr>
          <w:rStyle w:val="FootnoteReference"/>
        </w:rPr>
        <w:footnoteReference w:id="6"/>
      </w:r>
      <w:r w:rsidR="00C334EE" w:rsidRPr="00A4247E">
        <w:t xml:space="preserve"> may request an agreement with OFCCP that allows them to </w:t>
      </w:r>
      <w:r w:rsidR="00C334EE">
        <w:t>develop, implement, and maintain an</w:t>
      </w:r>
      <w:r w:rsidR="00C334EE" w:rsidRPr="00A4247E">
        <w:t xml:space="preserve"> AAP</w:t>
      </w:r>
      <w:r w:rsidR="00C334EE">
        <w:t xml:space="preserve"> based o</w:t>
      </w:r>
      <w:r>
        <w:t>n functional or business units.</w:t>
      </w:r>
      <w:r>
        <w:rPr>
          <w:rStyle w:val="FootnoteReference"/>
        </w:rPr>
        <w:footnoteReference w:id="7"/>
      </w:r>
      <w:r>
        <w:t xml:space="preserve">  </w:t>
      </w:r>
      <w:r w:rsidR="00C334EE">
        <w:t xml:space="preserve">To develop a FAAP, </w:t>
      </w:r>
      <w:r w:rsidR="002C245C" w:rsidRPr="00A4247E">
        <w:t xml:space="preserve">contractors must have an agreement approved by the </w:t>
      </w:r>
      <w:r>
        <w:t>D</w:t>
      </w:r>
      <w:r w:rsidR="002C245C" w:rsidRPr="00A4247E">
        <w:t>irector of OFCCP.</w:t>
      </w:r>
      <w:r w:rsidR="002C41E2">
        <w:t xml:space="preserve">  All FAAPs must include the required AAP elements outlined in 41 CFR 60-2, and if </w:t>
      </w:r>
      <w:r w:rsidR="00EA17C4">
        <w:t xml:space="preserve">applicable, 41 CFR 60-300 and 41 </w:t>
      </w:r>
      <w:r w:rsidR="002C41E2">
        <w:t xml:space="preserve">CFR 60-741, Subparts C. </w:t>
      </w:r>
      <w:r w:rsidR="002C245C" w:rsidRPr="00A4247E">
        <w:t xml:space="preserve"> </w:t>
      </w:r>
      <w:r w:rsidR="008C069C">
        <w:t xml:space="preserve"> </w:t>
      </w:r>
    </w:p>
    <w:p w14:paraId="3E7DCFD7" w14:textId="14BCB6DB" w:rsidR="00C334EE" w:rsidRDefault="00C334EE" w:rsidP="006E46D7"/>
    <w:p w14:paraId="09E6D79A" w14:textId="40C595E2" w:rsidR="00F667C1" w:rsidRDefault="0048770C" w:rsidP="006E46D7">
      <w:r>
        <w:t xml:space="preserve">This </w:t>
      </w:r>
      <w:r w:rsidR="000D7CDE">
        <w:t>ICR</w:t>
      </w:r>
      <w:r>
        <w:t xml:space="preserve"> seeks to revise the directive that establishes policies and procedures that contractors must follow to maintain a FAAP.  In general, the proposed revisions reorganize the contents of the directive and provide some minor, clarifying edits.  More specifically, </w:t>
      </w:r>
      <w:r w:rsidR="00FA36BC">
        <w:t xml:space="preserve">OFCCP </w:t>
      </w:r>
      <w:r w:rsidR="000D7CDE">
        <w:t>proposes</w:t>
      </w:r>
      <w:r w:rsidR="00FA36BC">
        <w:t xml:space="preserve"> in this ICR to change the </w:t>
      </w:r>
      <w:r w:rsidR="006028FA">
        <w:t xml:space="preserve">current </w:t>
      </w:r>
      <w:r w:rsidR="00FA36BC">
        <w:t>re</w:t>
      </w:r>
      <w:r w:rsidR="00ED49C6">
        <w:t xml:space="preserve">quirement </w:t>
      </w:r>
      <w:r w:rsidR="006028FA">
        <w:t xml:space="preserve">that </w:t>
      </w:r>
      <w:r w:rsidR="00E42D2A">
        <w:t xml:space="preserve">contractors </w:t>
      </w:r>
      <w:r w:rsidR="00ED49C6">
        <w:t>certify</w:t>
      </w:r>
      <w:r w:rsidR="00070DB2">
        <w:t xml:space="preserve"> every three years</w:t>
      </w:r>
      <w:r w:rsidR="00ED49C6">
        <w:t xml:space="preserve"> </w:t>
      </w:r>
      <w:r w:rsidR="00070DB2">
        <w:t>that there have been no changes made to the functional units, business structure, or other circumstances that affect their existing FAAP agreement</w:t>
      </w:r>
      <w:r w:rsidR="00F667C1">
        <w:t>s</w:t>
      </w:r>
      <w:r w:rsidR="00070DB2">
        <w:t xml:space="preserve">.  </w:t>
      </w:r>
      <w:r w:rsidR="00CD663B">
        <w:t>Under this ICR, t</w:t>
      </w:r>
      <w:r w:rsidR="00A3709A">
        <w:t>his</w:t>
      </w:r>
      <w:r w:rsidR="00FA36BC">
        <w:t xml:space="preserve"> </w:t>
      </w:r>
      <w:r w:rsidR="00070DB2">
        <w:t xml:space="preserve">certification would be required </w:t>
      </w:r>
      <w:r w:rsidR="00A3709A">
        <w:t>every five years</w:t>
      </w:r>
      <w:r w:rsidR="00F667C1">
        <w:t>.</w:t>
      </w:r>
      <w:r w:rsidR="00A3709A">
        <w:t xml:space="preserve"> </w:t>
      </w:r>
      <w:r w:rsidR="00FA36BC">
        <w:t xml:space="preserve"> Lengthening the amoun</w:t>
      </w:r>
      <w:r w:rsidR="0018705C">
        <w:t>t of time contractors are able to</w:t>
      </w:r>
      <w:r w:rsidR="00FA36BC">
        <w:t xml:space="preserve"> maintain the same </w:t>
      </w:r>
      <w:r w:rsidR="00EA17C4">
        <w:t xml:space="preserve">FAAP agreement reduces </w:t>
      </w:r>
      <w:r w:rsidR="00070DB2">
        <w:t xml:space="preserve">their </w:t>
      </w:r>
      <w:r w:rsidR="00EA17C4">
        <w:t xml:space="preserve">burden. </w:t>
      </w:r>
      <w:r w:rsidR="00362150">
        <w:t xml:space="preserve"> </w:t>
      </w:r>
      <w:r w:rsidR="00070DB2">
        <w:t xml:space="preserve">Other </w:t>
      </w:r>
      <w:r w:rsidR="00225E56">
        <w:t xml:space="preserve">proposed </w:t>
      </w:r>
      <w:r w:rsidR="00F667C1">
        <w:t xml:space="preserve">significant </w:t>
      </w:r>
      <w:r w:rsidR="00070DB2">
        <w:t xml:space="preserve">changes in </w:t>
      </w:r>
      <w:r w:rsidR="00225E56">
        <w:t xml:space="preserve">the </w:t>
      </w:r>
      <w:r w:rsidR="00070DB2">
        <w:t xml:space="preserve">ICR </w:t>
      </w:r>
      <w:r w:rsidR="00F667C1">
        <w:t xml:space="preserve">include: </w:t>
      </w:r>
    </w:p>
    <w:p w14:paraId="0B67651F" w14:textId="653C3AA9" w:rsidR="00F667C1" w:rsidRDefault="00F667C1" w:rsidP="006E46D7"/>
    <w:p w14:paraId="07C56A78" w14:textId="5B048D57" w:rsidR="00F667C1" w:rsidRDefault="00F667C1" w:rsidP="00CF35C0">
      <w:pPr>
        <w:pStyle w:val="ListParagraph"/>
        <w:numPr>
          <w:ilvl w:val="0"/>
          <w:numId w:val="46"/>
        </w:numPr>
      </w:pPr>
      <w:r>
        <w:t>E</w:t>
      </w:r>
      <w:r w:rsidR="00362150">
        <w:t>liminat</w:t>
      </w:r>
      <w:r>
        <w:t>ing</w:t>
      </w:r>
      <w:r w:rsidR="00362150">
        <w:t xml:space="preserve"> the </w:t>
      </w:r>
      <w:r w:rsidR="00362150" w:rsidRPr="00362150">
        <w:t xml:space="preserve">requirement that </w:t>
      </w:r>
      <w:r w:rsidR="00362150">
        <w:t xml:space="preserve">FAAP </w:t>
      </w:r>
      <w:r w:rsidR="00362150" w:rsidRPr="00362150">
        <w:t>contractors undergo at least one compliance evaluation during the term of their agreement</w:t>
      </w:r>
      <w:r w:rsidR="00225E56">
        <w:t>s</w:t>
      </w:r>
      <w:r w:rsidR="00070DB2">
        <w:t xml:space="preserve">; </w:t>
      </w:r>
    </w:p>
    <w:p w14:paraId="3A32A823" w14:textId="0BDAB8D9" w:rsidR="00F667C1" w:rsidRDefault="00F667C1" w:rsidP="00CF35C0">
      <w:pPr>
        <w:pStyle w:val="ListParagraph"/>
        <w:numPr>
          <w:ilvl w:val="0"/>
          <w:numId w:val="46"/>
        </w:numPr>
      </w:pPr>
      <w:r>
        <w:t>E</w:t>
      </w:r>
      <w:r w:rsidR="00E00114">
        <w:t>xpan</w:t>
      </w:r>
      <w:r w:rsidR="00070DB2">
        <w:t>d</w:t>
      </w:r>
      <w:r>
        <w:t>ing</w:t>
      </w:r>
      <w:r w:rsidR="00070DB2">
        <w:t xml:space="preserve"> </w:t>
      </w:r>
      <w:r w:rsidR="00362150" w:rsidRPr="00362150">
        <w:t xml:space="preserve">the exemption period for FAAP units that have undergone a compliance evaluation from 24 months to 36 months from the date OFCCP closed the previous </w:t>
      </w:r>
      <w:r>
        <w:t>evaluation;</w:t>
      </w:r>
      <w:r w:rsidR="00070DB2">
        <w:t xml:space="preserve"> </w:t>
      </w:r>
    </w:p>
    <w:p w14:paraId="34A01D0A" w14:textId="09F5648E" w:rsidR="00BF5932" w:rsidRDefault="00F667C1" w:rsidP="00CF35C0">
      <w:pPr>
        <w:pStyle w:val="ListParagraph"/>
        <w:numPr>
          <w:ilvl w:val="0"/>
          <w:numId w:val="46"/>
        </w:numPr>
      </w:pPr>
      <w:r>
        <w:t>E</w:t>
      </w:r>
      <w:r w:rsidR="00070DB2">
        <w:t>liminat</w:t>
      </w:r>
      <w:r>
        <w:t>ing</w:t>
      </w:r>
      <w:r w:rsidR="00070DB2">
        <w:t xml:space="preserve"> consideration o</w:t>
      </w:r>
      <w:r>
        <w:t>f</w:t>
      </w:r>
      <w:r w:rsidR="00070DB2">
        <w:t xml:space="preserve"> a contractor’s </w:t>
      </w:r>
      <w:r>
        <w:t xml:space="preserve">equal employment </w:t>
      </w:r>
      <w:r w:rsidR="00BF2D17">
        <w:t>opportunity (</w:t>
      </w:r>
      <w:r w:rsidR="00070DB2">
        <w:t>EEO</w:t>
      </w:r>
      <w:r w:rsidR="00BF2D17">
        <w:t>)</w:t>
      </w:r>
      <w:r w:rsidR="00070DB2">
        <w:t xml:space="preserve"> compliance history when deciding whether to approve a FAAP request</w:t>
      </w:r>
      <w:r>
        <w:t>;</w:t>
      </w:r>
    </w:p>
    <w:p w14:paraId="5F787E47" w14:textId="79B2EFAD" w:rsidR="00081B65" w:rsidRDefault="00F667C1" w:rsidP="00CF35C0">
      <w:pPr>
        <w:pStyle w:val="ListParagraph"/>
        <w:numPr>
          <w:ilvl w:val="0"/>
          <w:numId w:val="46"/>
        </w:numPr>
      </w:pPr>
      <w:r>
        <w:t>Removing the three-year waiting period for reapplying for a FAAP following termination of an agreement</w:t>
      </w:r>
      <w:r w:rsidR="00081B65">
        <w:t>;</w:t>
      </w:r>
    </w:p>
    <w:p w14:paraId="16AA5C5E" w14:textId="7F002B5D" w:rsidR="00B711AC" w:rsidRDefault="00081B65" w:rsidP="00B711AC">
      <w:pPr>
        <w:pStyle w:val="ListParagraph"/>
        <w:numPr>
          <w:ilvl w:val="0"/>
          <w:numId w:val="46"/>
        </w:numPr>
      </w:pPr>
      <w:r>
        <w:t>Eliminating the annual requirement for contractors to modify their FAAP agreements</w:t>
      </w:r>
      <w:r w:rsidR="00B711AC">
        <w:t>; and</w:t>
      </w:r>
    </w:p>
    <w:p w14:paraId="397C797E" w14:textId="466E7630" w:rsidR="00225E56" w:rsidRDefault="00B711AC" w:rsidP="00B711AC">
      <w:pPr>
        <w:pStyle w:val="ListParagraph"/>
        <w:numPr>
          <w:ilvl w:val="0"/>
          <w:numId w:val="46"/>
        </w:numPr>
      </w:pPr>
      <w:r>
        <w:t xml:space="preserve">Implementing a 60-day window to approve </w:t>
      </w:r>
      <w:r w:rsidR="00BE363C">
        <w:t xml:space="preserve">a </w:t>
      </w:r>
      <w:r>
        <w:t>FAAP</w:t>
      </w:r>
      <w:r w:rsidR="00BE363C">
        <w:t xml:space="preserve"> agreement</w:t>
      </w:r>
      <w:r>
        <w:t xml:space="preserve"> upon receipt of a complete package.</w:t>
      </w:r>
      <w:r w:rsidR="00081B65">
        <w:t xml:space="preserve"> </w:t>
      </w:r>
      <w:r w:rsidR="00362150" w:rsidRPr="00362150">
        <w:t xml:space="preserve">  </w:t>
      </w:r>
    </w:p>
    <w:p w14:paraId="7CF03AF1" w14:textId="77777777" w:rsidR="00225E56" w:rsidRDefault="00225E56" w:rsidP="006E46D7"/>
    <w:p w14:paraId="37637764" w14:textId="273834F1" w:rsidR="004538E6" w:rsidRDefault="008A0497" w:rsidP="006E46D7">
      <w:r w:rsidRPr="00225E56">
        <w:t>In addition, OFCCP is proposing several minor revisions</w:t>
      </w:r>
      <w:r w:rsidR="00E627DE" w:rsidRPr="00225E56">
        <w:t xml:space="preserve"> to clarify the information in </w:t>
      </w:r>
      <w:r w:rsidRPr="00225E56">
        <w:t>the FAAP Directive</w:t>
      </w:r>
      <w:r w:rsidRPr="00A4247E">
        <w:t xml:space="preserve"> </w:t>
      </w:r>
      <w:r w:rsidR="00D51F73">
        <w:t>(</w:t>
      </w:r>
      <w:r w:rsidR="00D51F73" w:rsidRPr="00D51F73">
        <w:t>titled “Functional Affirmative Action Programs (FAAPs)”</w:t>
      </w:r>
      <w:r w:rsidR="00D51F73">
        <w:t>) that sets forth</w:t>
      </w:r>
      <w:r>
        <w:t xml:space="preserve"> the</w:t>
      </w:r>
      <w:r w:rsidR="00E627DE">
        <w:t xml:space="preserve"> </w:t>
      </w:r>
      <w:r>
        <w:t>program</w:t>
      </w:r>
      <w:r w:rsidR="00E627DE">
        <w:t>’s</w:t>
      </w:r>
      <w:r w:rsidR="00E627DE" w:rsidRPr="00E627DE">
        <w:t xml:space="preserve"> </w:t>
      </w:r>
      <w:r w:rsidR="00E627DE">
        <w:t>requirements</w:t>
      </w:r>
      <w:r w:rsidR="0048770C">
        <w:t>, such as procedures for requesting, modifying, certifying, and terminating a FAAP</w:t>
      </w:r>
      <w:r w:rsidR="004B2060">
        <w:t>.</w:t>
      </w:r>
      <w:r w:rsidR="00E627DE" w:rsidRPr="00E627DE">
        <w:rPr>
          <w:vertAlign w:val="superscript"/>
        </w:rPr>
        <w:footnoteReference w:id="8"/>
      </w:r>
      <w:r w:rsidR="00E627DE">
        <w:t xml:space="preserve"> </w:t>
      </w:r>
      <w:r w:rsidR="004B2060">
        <w:t xml:space="preserve"> The revised D</w:t>
      </w:r>
      <w:r>
        <w:t>irective</w:t>
      </w:r>
      <w:r w:rsidR="00EA17C4">
        <w:t>, which is published with this statement for public comment,</w:t>
      </w:r>
      <w:r>
        <w:t xml:space="preserve"> will be issued </w:t>
      </w:r>
      <w:r w:rsidRPr="00A4247E">
        <w:t xml:space="preserve">once the agency obtains </w:t>
      </w:r>
      <w:r>
        <w:t>approval from OMB</w:t>
      </w:r>
      <w:r w:rsidRPr="00A4247E">
        <w:t xml:space="preserve"> for th</w:t>
      </w:r>
      <w:r>
        <w:t>is</w:t>
      </w:r>
      <w:r w:rsidR="00D51F73">
        <w:t xml:space="preserve"> ICR.</w:t>
      </w:r>
      <w:r w:rsidR="00D51F73" w:rsidRPr="00D51F73">
        <w:t xml:space="preserve"> </w:t>
      </w:r>
    </w:p>
    <w:p w14:paraId="06F5617C" w14:textId="58829602" w:rsidR="004B2060" w:rsidRDefault="004B2060" w:rsidP="006E46D7"/>
    <w:p w14:paraId="19C6C3EA" w14:textId="4695A6ED" w:rsidR="006020A8" w:rsidRPr="004B2060" w:rsidRDefault="002C793A" w:rsidP="006E46D7">
      <w:pPr>
        <w:rPr>
          <w:u w:val="single"/>
        </w:rPr>
      </w:pPr>
      <w:r>
        <w:rPr>
          <w:u w:val="single"/>
        </w:rPr>
        <w:t>Guidance</w:t>
      </w:r>
      <w:r w:rsidRPr="004B2060">
        <w:rPr>
          <w:u w:val="single"/>
        </w:rPr>
        <w:t xml:space="preserve"> </w:t>
      </w:r>
      <w:r>
        <w:rPr>
          <w:u w:val="single"/>
        </w:rPr>
        <w:t xml:space="preserve">and </w:t>
      </w:r>
      <w:r w:rsidR="004B2060" w:rsidRPr="004B2060">
        <w:rPr>
          <w:u w:val="single"/>
        </w:rPr>
        <w:t>Regulatory Requirements</w:t>
      </w:r>
      <w:r w:rsidR="007B3DA1">
        <w:rPr>
          <w:u w:val="single"/>
        </w:rPr>
        <w:t xml:space="preserve"> </w:t>
      </w:r>
    </w:p>
    <w:p w14:paraId="3A6736B5" w14:textId="6546BD23" w:rsidR="00D51F73" w:rsidRPr="00D51F73" w:rsidRDefault="00E627DE" w:rsidP="00D51F73">
      <w:r>
        <w:t>Specifics on the FAAP process are</w:t>
      </w:r>
      <w:r w:rsidRPr="00D51F73">
        <w:t xml:space="preserve"> found in the Directive that se</w:t>
      </w:r>
      <w:r>
        <w:t>ts forth the criteria</w:t>
      </w:r>
      <w:r w:rsidRPr="00D51F73">
        <w:t xml:space="preserve"> OFCCP considers when determining whether a contractor q</w:t>
      </w:r>
      <w:r>
        <w:t>ualifies for a FAAP agreement.  At minimum, in</w:t>
      </w:r>
      <w:r w:rsidR="00D51F73" w:rsidRPr="00D51F73">
        <w:t xml:space="preserve"> order to be considered for a FAAP agreement, the contractor’s functional or business unit must:</w:t>
      </w:r>
      <w:r w:rsidR="002C793A">
        <w:t xml:space="preserve"> </w:t>
      </w:r>
    </w:p>
    <w:p w14:paraId="24AA9798" w14:textId="77777777" w:rsidR="00D51F73" w:rsidRPr="00D51F73" w:rsidRDefault="00D51F73" w:rsidP="00D51F73"/>
    <w:p w14:paraId="3F8673E4" w14:textId="77777777" w:rsidR="00D51F73" w:rsidRPr="00D51F73" w:rsidRDefault="00D51F73" w:rsidP="00D51F73">
      <w:pPr>
        <w:numPr>
          <w:ilvl w:val="0"/>
          <w:numId w:val="26"/>
        </w:numPr>
        <w:ind w:left="720"/>
      </w:pPr>
      <w:r w:rsidRPr="00D51F73">
        <w:t>Currently exist and operate autonomously;</w:t>
      </w:r>
    </w:p>
    <w:p w14:paraId="2418CB38" w14:textId="55DE6DFF" w:rsidR="00D51F73" w:rsidRPr="00D51F73" w:rsidRDefault="00460240" w:rsidP="00D51F73">
      <w:pPr>
        <w:numPr>
          <w:ilvl w:val="0"/>
          <w:numId w:val="26"/>
        </w:numPr>
        <w:ind w:left="720"/>
      </w:pPr>
      <w:r>
        <w:t>Have</w:t>
      </w:r>
      <w:r w:rsidR="00D51F73" w:rsidRPr="00D51F73">
        <w:t xml:space="preserve"> at least 50 employees;</w:t>
      </w:r>
    </w:p>
    <w:p w14:paraId="6638F191" w14:textId="77777777" w:rsidR="00D51F73" w:rsidRPr="00D51F73" w:rsidRDefault="00D51F73" w:rsidP="00D51F73">
      <w:pPr>
        <w:numPr>
          <w:ilvl w:val="0"/>
          <w:numId w:val="26"/>
        </w:numPr>
        <w:ind w:left="720"/>
      </w:pPr>
      <w:r w:rsidRPr="00D51F73">
        <w:t>Have its own managing official; and</w:t>
      </w:r>
    </w:p>
    <w:p w14:paraId="37EDECB9" w14:textId="501DA231" w:rsidR="00D51F73" w:rsidRPr="00D51F73" w:rsidRDefault="00D51F73" w:rsidP="00D51F73">
      <w:pPr>
        <w:numPr>
          <w:ilvl w:val="0"/>
          <w:numId w:val="26"/>
        </w:numPr>
        <w:ind w:left="720"/>
      </w:pPr>
      <w:r w:rsidRPr="00D51F73">
        <w:t>Have the ability to track and maintain its own personnel activity.</w:t>
      </w:r>
    </w:p>
    <w:p w14:paraId="66D80915" w14:textId="77777777" w:rsidR="00D51F73" w:rsidRDefault="00D51F73" w:rsidP="006020A8"/>
    <w:p w14:paraId="2E751B81" w14:textId="405DBAE7" w:rsidR="006020A8" w:rsidRDefault="006020A8" w:rsidP="006020A8">
      <w:r w:rsidRPr="004538E6">
        <w:t xml:space="preserve">41 CFR Part 60-2 </w:t>
      </w:r>
      <w:r w:rsidR="007B3DA1">
        <w:t>prescribes</w:t>
      </w:r>
      <w:r w:rsidRPr="00A4247E">
        <w:t xml:space="preserve"> the scope of the EO 11246 AAP requirements, including the purpose and contents of an AAP and coverage requirements.</w:t>
      </w:r>
      <w:r>
        <w:t xml:space="preserve">  </w:t>
      </w:r>
      <w:r w:rsidRPr="00A4247E">
        <w:t xml:space="preserve">The recordkeeping </w:t>
      </w:r>
      <w:r w:rsidR="007B3DA1">
        <w:t>burden</w:t>
      </w:r>
      <w:r w:rsidRPr="00A4247E">
        <w:t xml:space="preserve"> for developing, main</w:t>
      </w:r>
      <w:r w:rsidR="002C41E2">
        <w:t>taining, and updating an AAP is</w:t>
      </w:r>
      <w:r>
        <w:t xml:space="preserve"> covered by a separate information collection.</w:t>
      </w:r>
      <w:r>
        <w:rPr>
          <w:rStyle w:val="FootnoteReference"/>
        </w:rPr>
        <w:footnoteReference w:id="9"/>
      </w:r>
    </w:p>
    <w:p w14:paraId="4BF48C4E" w14:textId="75525EEA" w:rsidR="006020A8" w:rsidRDefault="006020A8" w:rsidP="0037532B"/>
    <w:p w14:paraId="27F12F4B" w14:textId="14A17354" w:rsidR="0055712C" w:rsidRPr="0055712C" w:rsidRDefault="002C245C" w:rsidP="00D51F73">
      <w:r w:rsidRPr="00A4247E">
        <w:t xml:space="preserve">Section 60-2.1(d)(4) allows for the development of AAPs based on functional or business units.  </w:t>
      </w:r>
    </w:p>
    <w:p w14:paraId="6E577E8D" w14:textId="53E45DB9" w:rsidR="006020A8" w:rsidRDefault="006020A8" w:rsidP="006020A8"/>
    <w:p w14:paraId="1614B51A" w14:textId="55089BF7" w:rsidR="0055712C" w:rsidRDefault="006020A8" w:rsidP="0037532B">
      <w:r>
        <w:t xml:space="preserve">Contractor </w:t>
      </w:r>
      <w:r w:rsidR="004B2060">
        <w:t>r</w:t>
      </w:r>
      <w:r>
        <w:t>ecordkeeping requirements (60-1.12), the requirement to develop and maintain an AAP (60-1.40), and the AAP scope, requirements, purpose, and contents (60-2.1 and 60-2.10 through 2.17)</w:t>
      </w:r>
      <w:r w:rsidR="004B2060">
        <w:t xml:space="preserve"> are approved under the information collection that contains</w:t>
      </w:r>
      <w:r>
        <w:t xml:space="preserve"> the recordkeeping and reporting requirements for supply and service contractors.</w:t>
      </w:r>
      <w:r>
        <w:rPr>
          <w:rStyle w:val="FootnoteReference"/>
        </w:rPr>
        <w:footnoteReference w:id="10"/>
      </w:r>
      <w:r>
        <w:t xml:space="preserve"> </w:t>
      </w:r>
    </w:p>
    <w:p w14:paraId="6CA305B0" w14:textId="77777777" w:rsidR="0055712C" w:rsidRDefault="0055712C" w:rsidP="0037532B"/>
    <w:p w14:paraId="5ACD14BF" w14:textId="3D5FE62D" w:rsidR="00516DF8" w:rsidRPr="00F40093" w:rsidRDefault="004E5B61" w:rsidP="0037532B">
      <w:pPr>
        <w:rPr>
          <w:u w:val="single"/>
        </w:rPr>
      </w:pPr>
      <w:r w:rsidRPr="004E5B61">
        <w:rPr>
          <w:u w:val="single"/>
        </w:rPr>
        <w:t>Requesting a FAAP</w:t>
      </w:r>
      <w:r w:rsidR="00127180">
        <w:rPr>
          <w:u w:val="single"/>
        </w:rPr>
        <w:t xml:space="preserve"> Agreement</w:t>
      </w:r>
    </w:p>
    <w:p w14:paraId="2D869E44" w14:textId="3790ED0F" w:rsidR="00AB57FE" w:rsidRDefault="00E627DE" w:rsidP="0037532B">
      <w:r>
        <w:t>Contractors that want</w:t>
      </w:r>
      <w:r w:rsidR="00AB57FE">
        <w:t xml:space="preserve"> to enter into a FAAP agreement with OFCCP must submit a written request to the Director </w:t>
      </w:r>
      <w:r w:rsidR="001F071B">
        <w:t xml:space="preserve">of OFCCP </w:t>
      </w:r>
      <w:r w:rsidR="00AB57FE">
        <w:t xml:space="preserve">no later than 120 </w:t>
      </w:r>
      <w:r w:rsidR="001F071B">
        <w:t xml:space="preserve">calendar </w:t>
      </w:r>
      <w:r w:rsidR="00AB57FE">
        <w:t xml:space="preserve">days prior to the expiration of the current </w:t>
      </w:r>
      <w:r w:rsidR="00DD6B95">
        <w:t xml:space="preserve">corporate headquarters </w:t>
      </w:r>
      <w:r w:rsidR="00AB57FE">
        <w:t>AAP</w:t>
      </w:r>
      <w:r w:rsidR="00047C13">
        <w:t xml:space="preserve">.  </w:t>
      </w:r>
      <w:r w:rsidR="008020B4">
        <w:t xml:space="preserve">A </w:t>
      </w:r>
      <w:r w:rsidR="00047C13">
        <w:t xml:space="preserve">first-time contractor </w:t>
      </w:r>
      <w:r w:rsidR="00225E56">
        <w:t xml:space="preserve">that </w:t>
      </w:r>
      <w:r w:rsidR="00047C13">
        <w:t>meet</w:t>
      </w:r>
      <w:r w:rsidR="008020B4">
        <w:t>s</w:t>
      </w:r>
      <w:r w:rsidR="00047C13">
        <w:t xml:space="preserve"> the </w:t>
      </w:r>
      <w:r w:rsidR="00225E56">
        <w:t xml:space="preserve">AAP </w:t>
      </w:r>
      <w:r w:rsidR="00047C13">
        <w:t>threshold</w:t>
      </w:r>
      <w:r w:rsidR="00AB57FE">
        <w:t xml:space="preserve"> </w:t>
      </w:r>
      <w:r w:rsidR="00194767">
        <w:t xml:space="preserve">must submit </w:t>
      </w:r>
      <w:r w:rsidR="008020B4">
        <w:t xml:space="preserve">a </w:t>
      </w:r>
      <w:r w:rsidR="00194767">
        <w:t xml:space="preserve">request </w:t>
      </w:r>
      <w:r w:rsidR="00AB57FE">
        <w:t xml:space="preserve">within 120 days from the award of the </w:t>
      </w:r>
      <w:r w:rsidR="00C15E7A">
        <w:t>f</w:t>
      </w:r>
      <w:r w:rsidR="00AB57FE">
        <w:t>ederal contract.</w:t>
      </w:r>
      <w:r w:rsidR="001F071B">
        <w:t xml:space="preserve">  The request must include the name and contact information for the corporate representative responsible for overseeing the contractor’s request for the FAAP agreement.  </w:t>
      </w:r>
      <w:r w:rsidR="00AB57FE">
        <w:t xml:space="preserve">  </w:t>
      </w:r>
    </w:p>
    <w:p w14:paraId="2D34D973" w14:textId="77777777" w:rsidR="002C41E2" w:rsidRDefault="002C41E2" w:rsidP="0037532B"/>
    <w:p w14:paraId="6249F076" w14:textId="79AAE3EB" w:rsidR="002C245C" w:rsidRPr="00A4247E" w:rsidRDefault="0077266D" w:rsidP="0037532B">
      <w:r>
        <w:t xml:space="preserve">The list below contains the documentation that must be </w:t>
      </w:r>
      <w:r w:rsidR="0009497C">
        <w:t>submitted</w:t>
      </w:r>
      <w:r>
        <w:t xml:space="preserve"> with the </w:t>
      </w:r>
      <w:r w:rsidR="0004514F">
        <w:t xml:space="preserve">written </w:t>
      </w:r>
      <w:r>
        <w:t>request for a FAAP agreement</w:t>
      </w:r>
      <w:r w:rsidR="00C15E7A">
        <w:t>.</w:t>
      </w:r>
      <w:r>
        <w:rPr>
          <w:rStyle w:val="FootnoteReference"/>
        </w:rPr>
        <w:footnoteReference w:id="11"/>
      </w:r>
    </w:p>
    <w:p w14:paraId="499AD57A" w14:textId="77777777" w:rsidR="002C245C" w:rsidRPr="00A4247E" w:rsidRDefault="002C245C" w:rsidP="006E46D7">
      <w:pPr>
        <w:ind w:left="720"/>
      </w:pPr>
    </w:p>
    <w:p w14:paraId="6FDF372B" w14:textId="1F39BD78" w:rsidR="009E7319" w:rsidRPr="00A4247E" w:rsidRDefault="0077266D" w:rsidP="00F40093">
      <w:pPr>
        <w:numPr>
          <w:ilvl w:val="0"/>
          <w:numId w:val="31"/>
        </w:numPr>
        <w:ind w:left="360"/>
      </w:pPr>
      <w:r>
        <w:t>The contractor must show proof tha</w:t>
      </w:r>
      <w:r w:rsidR="00F61FF2">
        <w:t>t they are a covered</w:t>
      </w:r>
      <w:r w:rsidR="004130FD">
        <w:t xml:space="preserve"> </w:t>
      </w:r>
      <w:r w:rsidR="00BA6B0E">
        <w:t>contractor</w:t>
      </w:r>
      <w:r>
        <w:t xml:space="preserve"> by providing specific contract information, as described in the Directive</w:t>
      </w:r>
      <w:r w:rsidR="00891F2F">
        <w:t>;</w:t>
      </w:r>
      <w:r w:rsidR="00AD4A0D">
        <w:t xml:space="preserve"> </w:t>
      </w:r>
    </w:p>
    <w:p w14:paraId="735AFDEE" w14:textId="74B0574F" w:rsidR="009E7319" w:rsidRPr="00A4247E" w:rsidRDefault="002C245C" w:rsidP="009E7319">
      <w:pPr>
        <w:numPr>
          <w:ilvl w:val="0"/>
          <w:numId w:val="31"/>
        </w:numPr>
        <w:ind w:left="360"/>
      </w:pPr>
      <w:r w:rsidRPr="00A4247E">
        <w:t>A copy of the contractor</w:t>
      </w:r>
      <w:r w:rsidR="002C41E2">
        <w:t>’</w:t>
      </w:r>
      <w:r w:rsidRPr="00A4247E">
        <w:t xml:space="preserve">s most recent </w:t>
      </w:r>
      <w:r w:rsidR="00C50FEC">
        <w:t xml:space="preserve">consolidated </w:t>
      </w:r>
      <w:r w:rsidR="003D3643" w:rsidRPr="003D3643">
        <w:t xml:space="preserve">Employer Information Report </w:t>
      </w:r>
      <w:r w:rsidR="003D3643">
        <w:t>(</w:t>
      </w:r>
      <w:r w:rsidRPr="00A4247E">
        <w:t>EEO-1 Report</w:t>
      </w:r>
      <w:r w:rsidR="003D3643">
        <w:t>)</w:t>
      </w:r>
      <w:r w:rsidR="007C061A" w:rsidRPr="00A4247E">
        <w:t>;</w:t>
      </w:r>
      <w:r w:rsidRPr="00A4247E">
        <w:t xml:space="preserve"> </w:t>
      </w:r>
    </w:p>
    <w:p w14:paraId="577093C1" w14:textId="4DE33968" w:rsidR="009E7319" w:rsidRDefault="002C245C" w:rsidP="009E7319">
      <w:pPr>
        <w:numPr>
          <w:ilvl w:val="0"/>
          <w:numId w:val="31"/>
        </w:numPr>
        <w:ind w:left="360"/>
      </w:pPr>
      <w:r w:rsidRPr="00A4247E">
        <w:t>An organizational chart</w:t>
      </w:r>
      <w:r w:rsidR="00AE5948">
        <w:t xml:space="preserve"> that identifies all of the proposed functional or business units to be covered by the </w:t>
      </w:r>
      <w:r w:rsidR="00DC2FC7">
        <w:t xml:space="preserve">requested </w:t>
      </w:r>
      <w:r w:rsidR="00AE5948">
        <w:t>FAAP and how they are related to each other within the corporation’s overall structure</w:t>
      </w:r>
      <w:r w:rsidRPr="00A4247E">
        <w:t>;</w:t>
      </w:r>
    </w:p>
    <w:p w14:paraId="33959FFD" w14:textId="2824118E" w:rsidR="009E7319" w:rsidRPr="00A4247E" w:rsidRDefault="00DB4FD0" w:rsidP="009E7319">
      <w:pPr>
        <w:numPr>
          <w:ilvl w:val="0"/>
          <w:numId w:val="31"/>
        </w:numPr>
        <w:ind w:left="360"/>
      </w:pPr>
      <w:r>
        <w:t xml:space="preserve">A narrative description of the </w:t>
      </w:r>
      <w:r w:rsidR="00C15E7A">
        <w:t>function or business</w:t>
      </w:r>
      <w:r w:rsidR="00DC2FC7">
        <w:t xml:space="preserve"> </w:t>
      </w:r>
      <w:r>
        <w:t xml:space="preserve">of each </w:t>
      </w:r>
      <w:r w:rsidR="00DC2FC7">
        <w:t xml:space="preserve">proposed </w:t>
      </w:r>
      <w:r>
        <w:t>FAAP unit an</w:t>
      </w:r>
      <w:r w:rsidR="00381156">
        <w:t xml:space="preserve">d how it </w:t>
      </w:r>
      <w:r w:rsidR="00DC2FC7">
        <w:t>meets the definition of</w:t>
      </w:r>
      <w:r>
        <w:t xml:space="preserve"> a functional or business unit</w:t>
      </w:r>
      <w:r w:rsidR="00C15E7A">
        <w:rPr>
          <w:rStyle w:val="FootnoteReference"/>
        </w:rPr>
        <w:footnoteReference w:id="12"/>
      </w:r>
      <w:r>
        <w:t>;</w:t>
      </w:r>
    </w:p>
    <w:p w14:paraId="0BE374F1" w14:textId="173AAFB2" w:rsidR="009E7319" w:rsidRDefault="00C15E7A" w:rsidP="009E7319">
      <w:pPr>
        <w:numPr>
          <w:ilvl w:val="0"/>
          <w:numId w:val="31"/>
        </w:numPr>
        <w:ind w:left="360"/>
      </w:pPr>
      <w:r>
        <w:t>T</w:t>
      </w:r>
      <w:r w:rsidR="002C245C" w:rsidRPr="00A4247E">
        <w:t xml:space="preserve">he </w:t>
      </w:r>
      <w:r w:rsidR="00FE60E8">
        <w:t xml:space="preserve">company </w:t>
      </w:r>
      <w:r w:rsidR="006C3463">
        <w:t>or</w:t>
      </w:r>
      <w:r w:rsidR="00FE60E8">
        <w:t xml:space="preserve"> subsidiary name</w:t>
      </w:r>
      <w:r w:rsidR="0009497C">
        <w:t>,</w:t>
      </w:r>
      <w:r w:rsidR="00C81B72">
        <w:t xml:space="preserve"> </w:t>
      </w:r>
      <w:r w:rsidR="0009497C">
        <w:t xml:space="preserve">street </w:t>
      </w:r>
      <w:r w:rsidR="00FE60E8">
        <w:t xml:space="preserve">address, </w:t>
      </w:r>
      <w:r w:rsidR="0009497C">
        <w:t xml:space="preserve">and </w:t>
      </w:r>
      <w:r w:rsidR="002C245C" w:rsidRPr="00A4247E">
        <w:t xml:space="preserve">total number of employees </w:t>
      </w:r>
      <w:r w:rsidR="006C3463">
        <w:t>at each location covered in the functional unit, and the name and address of the managing official</w:t>
      </w:r>
      <w:r>
        <w:t xml:space="preserve"> for each proposed functional or business unit</w:t>
      </w:r>
      <w:r w:rsidR="002C245C" w:rsidRPr="00A4247E">
        <w:t>;</w:t>
      </w:r>
    </w:p>
    <w:p w14:paraId="45A539A9" w14:textId="70972ACE" w:rsidR="009E7319" w:rsidRPr="00A4247E" w:rsidRDefault="006A08B1" w:rsidP="009E7319">
      <w:pPr>
        <w:numPr>
          <w:ilvl w:val="0"/>
          <w:numId w:val="31"/>
        </w:numPr>
        <w:ind w:left="360"/>
      </w:pPr>
      <w:r>
        <w:t>A statement</w:t>
      </w:r>
      <w:r w:rsidR="00C15E7A">
        <w:t xml:space="preserve"> explaining</w:t>
      </w:r>
      <w:r>
        <w:t xml:space="preserve"> where </w:t>
      </w:r>
      <w:r w:rsidR="00DC2FC7">
        <w:t>each proposed FAAP unit</w:t>
      </w:r>
      <w:r>
        <w:t xml:space="preserve"> will maintain </w:t>
      </w:r>
      <w:r w:rsidR="00DC2FC7">
        <w:t>its employee</w:t>
      </w:r>
      <w:r>
        <w:t xml:space="preserve"> personnel records </w:t>
      </w:r>
      <w:r w:rsidR="00DC2FC7">
        <w:t xml:space="preserve">and </w:t>
      </w:r>
      <w:r>
        <w:t>applicant processing activities</w:t>
      </w:r>
      <w:r w:rsidR="002C245C" w:rsidRPr="00A4247E">
        <w:t>;</w:t>
      </w:r>
    </w:p>
    <w:p w14:paraId="11A491BA" w14:textId="0567E218" w:rsidR="002C245C" w:rsidRDefault="002C245C" w:rsidP="009E7319">
      <w:pPr>
        <w:numPr>
          <w:ilvl w:val="0"/>
          <w:numId w:val="31"/>
        </w:numPr>
        <w:ind w:left="360"/>
      </w:pPr>
      <w:r w:rsidRPr="00A4247E">
        <w:t>If the cont</w:t>
      </w:r>
      <w:r w:rsidR="008106B0">
        <w:t xml:space="preserve">ractor </w:t>
      </w:r>
      <w:r w:rsidR="00DC2FC7">
        <w:t xml:space="preserve">proposes to </w:t>
      </w:r>
      <w:r w:rsidR="008106B0">
        <w:t xml:space="preserve">maintain </w:t>
      </w:r>
      <w:r w:rsidR="00DC2FC7">
        <w:t xml:space="preserve">some </w:t>
      </w:r>
      <w:r w:rsidRPr="00A4247E">
        <w:t>establishment</w:t>
      </w:r>
      <w:r w:rsidR="00DC2FC7">
        <w:t>-</w:t>
      </w:r>
      <w:r w:rsidRPr="00A4247E">
        <w:t xml:space="preserve">based AAPs, </w:t>
      </w:r>
      <w:r w:rsidR="002C41E2">
        <w:t xml:space="preserve">it must </w:t>
      </w:r>
      <w:r w:rsidR="008106B0">
        <w:t xml:space="preserve">provide </w:t>
      </w:r>
      <w:r w:rsidRPr="00A4247E">
        <w:t>a list</w:t>
      </w:r>
      <w:r w:rsidR="008106B0">
        <w:t xml:space="preserve"> of location</w:t>
      </w:r>
      <w:r w:rsidR="00F40093">
        <w:t>s</w:t>
      </w:r>
      <w:r w:rsidR="008106B0">
        <w:t xml:space="preserve"> with </w:t>
      </w:r>
      <w:r w:rsidR="00DC2FC7">
        <w:t>establishment-based</w:t>
      </w:r>
      <w:r w:rsidR="008106B0">
        <w:t xml:space="preserve"> AAPs, including </w:t>
      </w:r>
      <w:r w:rsidR="00DC2FC7">
        <w:t xml:space="preserve">for each: </w:t>
      </w:r>
      <w:r w:rsidR="008106B0">
        <w:t>the physical address, number of employees, ph</w:t>
      </w:r>
      <w:r w:rsidR="00F40093">
        <w:t>one number of the establishment</w:t>
      </w:r>
      <w:r w:rsidR="008106B0">
        <w:t>s</w:t>
      </w:r>
      <w:r w:rsidR="00F40093">
        <w:t>’</w:t>
      </w:r>
      <w:r w:rsidR="008106B0">
        <w:t xml:space="preserve"> managing official, </w:t>
      </w:r>
      <w:r w:rsidR="00D80A39">
        <w:t xml:space="preserve">and </w:t>
      </w:r>
      <w:r w:rsidR="008106B0">
        <w:t>AAP contact and the</w:t>
      </w:r>
      <w:r w:rsidRPr="00A4247E">
        <w:t xml:space="preserve"> EEO-1 unit number for each establishment;</w:t>
      </w:r>
    </w:p>
    <w:p w14:paraId="259838CC" w14:textId="7D59624B" w:rsidR="009E7319" w:rsidRPr="00A4247E" w:rsidRDefault="00DB4FD0" w:rsidP="009E7319">
      <w:pPr>
        <w:numPr>
          <w:ilvl w:val="0"/>
          <w:numId w:val="31"/>
        </w:numPr>
        <w:ind w:left="360"/>
      </w:pPr>
      <w:r>
        <w:t>A statement addressing how the contractor plans t</w:t>
      </w:r>
      <w:r w:rsidR="00F40093">
        <w:t>o transition from establishment</w:t>
      </w:r>
      <w:r w:rsidR="00DC2FC7">
        <w:t>-</w:t>
      </w:r>
      <w:r w:rsidR="00F40093">
        <w:t>based AAPs to F</w:t>
      </w:r>
      <w:r>
        <w:t>AAPs</w:t>
      </w:r>
      <w:r w:rsidR="00F40093">
        <w:t>,</w:t>
      </w:r>
      <w:r>
        <w:t xml:space="preserve"> including a timeline for completion;</w:t>
      </w:r>
    </w:p>
    <w:p w14:paraId="79A30910" w14:textId="71CC759C" w:rsidR="00F40093" w:rsidRPr="00A4247E" w:rsidRDefault="002C245C" w:rsidP="00F40093">
      <w:pPr>
        <w:numPr>
          <w:ilvl w:val="0"/>
          <w:numId w:val="31"/>
        </w:numPr>
        <w:ind w:left="360"/>
      </w:pPr>
      <w:r w:rsidRPr="00A4247E">
        <w:t xml:space="preserve">The dates of the proposed </w:t>
      </w:r>
      <w:r w:rsidR="00F40093">
        <w:t>FAAP year;</w:t>
      </w:r>
      <w:r w:rsidR="00891F2F">
        <w:t xml:space="preserve"> and</w:t>
      </w:r>
    </w:p>
    <w:p w14:paraId="45EA5E6F" w14:textId="2B314846" w:rsidR="002C245C" w:rsidRDefault="00C15E7A" w:rsidP="0037532B">
      <w:pPr>
        <w:numPr>
          <w:ilvl w:val="0"/>
          <w:numId w:val="31"/>
        </w:numPr>
        <w:ind w:left="360"/>
      </w:pPr>
      <w:r>
        <w:t>If different from corporate policies, c</w:t>
      </w:r>
      <w:r w:rsidR="002C245C" w:rsidRPr="00A4247E">
        <w:t xml:space="preserve">opies of </w:t>
      </w:r>
      <w:r w:rsidR="008106B0">
        <w:t xml:space="preserve">unit-specific </w:t>
      </w:r>
      <w:r w:rsidR="002C245C" w:rsidRPr="00A4247E">
        <w:t xml:space="preserve">personnel policies relevant to </w:t>
      </w:r>
      <w:r w:rsidR="00F36807">
        <w:t xml:space="preserve">evaluating </w:t>
      </w:r>
      <w:r w:rsidR="002C245C" w:rsidRPr="00A4247E">
        <w:t>the proposed functions or business units, including policies related to recruitment, hiring, promotion</w:t>
      </w:r>
      <w:r w:rsidR="008106B0">
        <w:t xml:space="preserve">, compensation, and termination. </w:t>
      </w:r>
    </w:p>
    <w:p w14:paraId="12EDEA75" w14:textId="01B2E2E9" w:rsidR="009E7319" w:rsidRDefault="009E7319" w:rsidP="009E7319"/>
    <w:p w14:paraId="128CD380" w14:textId="0FCB3A6F" w:rsidR="00F40093" w:rsidRPr="00A4247E" w:rsidRDefault="00F40093" w:rsidP="009E7319">
      <w:r>
        <w:t>In addition to the items outlined abo</w:t>
      </w:r>
      <w:r w:rsidR="00E627DE">
        <w:t>ve, OFCCP and the contractor will</w:t>
      </w:r>
      <w:r>
        <w:t xml:space="preserve"> discuss informatio</w:t>
      </w:r>
      <w:r w:rsidR="00CD5C8B">
        <w:t xml:space="preserve">n related to reporting </w:t>
      </w:r>
      <w:r w:rsidR="004130FD">
        <w:t>hierarchy</w:t>
      </w:r>
      <w:r>
        <w:t xml:space="preserve">, personnel procedures, how the contractor anticipates </w:t>
      </w:r>
      <w:r w:rsidR="004130FD">
        <w:t>complying with the AAP requirements of</w:t>
      </w:r>
      <w:r>
        <w:t xml:space="preserve"> Section 503 and VEVRAA, and how </w:t>
      </w:r>
      <w:r w:rsidR="004130FD">
        <w:t>each</w:t>
      </w:r>
      <w:r>
        <w:t xml:space="preserve"> functional or business unit manage</w:t>
      </w:r>
      <w:r w:rsidR="004130FD">
        <w:t>s</w:t>
      </w:r>
      <w:r>
        <w:t xml:space="preserve"> its human resources and equal employment opportunity responsibilities</w:t>
      </w:r>
      <w:r w:rsidR="004130FD">
        <w:t xml:space="preserve"> during the FAAP negotiation process</w:t>
      </w:r>
      <w:r>
        <w:t>.</w:t>
      </w:r>
      <w:r w:rsidR="002C793A">
        <w:rPr>
          <w:rStyle w:val="FootnoteReference"/>
        </w:rPr>
        <w:footnoteReference w:id="13"/>
      </w:r>
      <w:r>
        <w:t xml:space="preserve"> </w:t>
      </w:r>
    </w:p>
    <w:p w14:paraId="63085D86" w14:textId="28563AB9" w:rsidR="002C245C" w:rsidRDefault="002C245C" w:rsidP="006E46D7"/>
    <w:p w14:paraId="06D456E2" w14:textId="07283BBB" w:rsidR="00926014" w:rsidRDefault="004E5B61" w:rsidP="003458CD">
      <w:r w:rsidRPr="004E5B61">
        <w:rPr>
          <w:u w:val="single"/>
        </w:rPr>
        <w:t>Modifying a FAAP</w:t>
      </w:r>
      <w:r w:rsidR="00127180">
        <w:rPr>
          <w:u w:val="single"/>
        </w:rPr>
        <w:t xml:space="preserve"> Agreement</w:t>
      </w:r>
    </w:p>
    <w:p w14:paraId="0FD23C04" w14:textId="28863075" w:rsidR="00932665" w:rsidRDefault="00926014" w:rsidP="006E46D7">
      <w:r w:rsidRPr="00926014">
        <w:t xml:space="preserve">If the contractor undergoes a merger, acquisition, and/or downsizing, they must notify OFCCP within 60 days of the effective date of the change(s) with the name of the newly merged or acquired company and the contractor’s plan to incorporate the former company’s employees into its AAP structure.  Any resulting functional or business unit name </w:t>
      </w:r>
      <w:r w:rsidR="00D77B23" w:rsidRPr="00926014">
        <w:t>change</w:t>
      </w:r>
      <w:r w:rsidR="00D77B23">
        <w:t xml:space="preserve">, </w:t>
      </w:r>
      <w:r w:rsidRPr="00926014">
        <w:t>and changes in managing officials, employee counts, and addresses should be included in the modification notice.</w:t>
      </w:r>
      <w:r>
        <w:t xml:space="preserve"> </w:t>
      </w:r>
      <w:r w:rsidR="008020B4">
        <w:t xml:space="preserve"> </w:t>
      </w:r>
      <w:r w:rsidR="003458CD" w:rsidRPr="003458CD">
        <w:t xml:space="preserve">OFCCP </w:t>
      </w:r>
      <w:r w:rsidR="008020B4">
        <w:t>may</w:t>
      </w:r>
      <w:r w:rsidR="003458CD" w:rsidRPr="003458CD">
        <w:t xml:space="preserve"> schedule a contractor for a compliance evaluation should the contractor fail to submit a modification notice.  </w:t>
      </w:r>
      <w:r w:rsidR="00564659">
        <w:t>Alternatively, s</w:t>
      </w:r>
      <w:r w:rsidR="003458CD" w:rsidRPr="003458CD">
        <w:t xml:space="preserve">hould there be repeated failures to inform OFCCP of a modification, </w:t>
      </w:r>
      <w:r w:rsidR="00564659" w:rsidRPr="003458CD">
        <w:t>the contractor’s FAAP agreement</w:t>
      </w:r>
      <w:r w:rsidR="00564659">
        <w:t xml:space="preserve"> </w:t>
      </w:r>
      <w:r w:rsidR="003458CD" w:rsidRPr="003458CD">
        <w:t xml:space="preserve">could </w:t>
      </w:r>
      <w:r w:rsidR="00564659">
        <w:t xml:space="preserve">be </w:t>
      </w:r>
      <w:r w:rsidR="003458CD" w:rsidRPr="003458CD">
        <w:t>terminate</w:t>
      </w:r>
      <w:r w:rsidR="00564659">
        <w:t xml:space="preserve">d. </w:t>
      </w:r>
    </w:p>
    <w:p w14:paraId="1E0E10EA" w14:textId="77777777" w:rsidR="00671AA7" w:rsidRDefault="00671AA7" w:rsidP="006E46D7">
      <w:pPr>
        <w:rPr>
          <w:u w:val="single"/>
        </w:rPr>
      </w:pPr>
    </w:p>
    <w:p w14:paraId="1A640E81" w14:textId="7A9AC1E9" w:rsidR="004E5B61" w:rsidRDefault="004E5B61" w:rsidP="006E46D7">
      <w:pPr>
        <w:rPr>
          <w:u w:val="single"/>
        </w:rPr>
      </w:pPr>
      <w:r w:rsidRPr="004E5B61">
        <w:rPr>
          <w:u w:val="single"/>
        </w:rPr>
        <w:t>Certifying a FAAP</w:t>
      </w:r>
      <w:r w:rsidR="00127180">
        <w:rPr>
          <w:u w:val="single"/>
        </w:rPr>
        <w:t xml:space="preserve"> Agreement</w:t>
      </w:r>
    </w:p>
    <w:p w14:paraId="7370C268" w14:textId="219A972A" w:rsidR="003857EF" w:rsidRPr="00814B60" w:rsidRDefault="00C209D1" w:rsidP="006E46D7">
      <w:r>
        <w:t>T</w:t>
      </w:r>
      <w:r w:rsidR="00B630AB">
        <w:t xml:space="preserve">he contractor must certify </w:t>
      </w:r>
      <w:r w:rsidR="004130FD">
        <w:t xml:space="preserve">in writing </w:t>
      </w:r>
      <w:r w:rsidR="00B630AB">
        <w:t>every five years</w:t>
      </w:r>
      <w:r w:rsidR="002C793A">
        <w:t xml:space="preserve"> (currently every three years)</w:t>
      </w:r>
      <w:r w:rsidR="00B630AB">
        <w:t xml:space="preserve">, at least 120 </w:t>
      </w:r>
      <w:r w:rsidR="004130FD">
        <w:t xml:space="preserve">calendar </w:t>
      </w:r>
      <w:r w:rsidR="00B630AB">
        <w:t xml:space="preserve">days prior to the expiration of the existing FAAP agreement, that there have been no </w:t>
      </w:r>
      <w:r w:rsidRPr="00C209D1">
        <w:t>functional or business units, or structure or organization</w:t>
      </w:r>
      <w:r w:rsidR="00554960">
        <w:t xml:space="preserve">, or other </w:t>
      </w:r>
      <w:r w:rsidR="00B630AB">
        <w:t xml:space="preserve"> circumstances affect</w:t>
      </w:r>
      <w:r w:rsidR="002C41E2">
        <w:t xml:space="preserve">ing the existing FAAP agreement.  </w:t>
      </w:r>
      <w:r w:rsidR="00B630AB">
        <w:t>If circumstances have changed (e.</w:t>
      </w:r>
      <w:r w:rsidR="00AE3C23">
        <w:t>g., elimination of functional or business units) the contractor must provide written ratio</w:t>
      </w:r>
      <w:r w:rsidR="002C41E2">
        <w:t>nale for the changes.  T</w:t>
      </w:r>
      <w:r w:rsidR="00CD5C8B">
        <w:t xml:space="preserve">he contractor must also provide updated information on </w:t>
      </w:r>
      <w:r w:rsidR="002C41E2">
        <w:t xml:space="preserve">other elements </w:t>
      </w:r>
      <w:r w:rsidR="00B935E0">
        <w:t xml:space="preserve">during the certification </w:t>
      </w:r>
      <w:r w:rsidR="007E3C97">
        <w:t xml:space="preserve">as described in the </w:t>
      </w:r>
      <w:r w:rsidR="00CD5C8B">
        <w:t>Directive.  Certified FAAP agreements wi</w:t>
      </w:r>
      <w:r w:rsidR="002C41E2">
        <w:t>ll be reissued for another five-</w:t>
      </w:r>
      <w:r w:rsidR="00CD5C8B">
        <w:t xml:space="preserve">year term. </w:t>
      </w:r>
    </w:p>
    <w:p w14:paraId="3784A8CD" w14:textId="4E4B2896" w:rsidR="003857EF" w:rsidRDefault="003857EF" w:rsidP="006E46D7"/>
    <w:p w14:paraId="3937A883" w14:textId="5C2ADC6F" w:rsidR="004E5B61" w:rsidRDefault="003857EF" w:rsidP="006E46D7">
      <w:pPr>
        <w:rPr>
          <w:u w:val="single"/>
        </w:rPr>
      </w:pPr>
      <w:r w:rsidRPr="003857EF">
        <w:rPr>
          <w:u w:val="single"/>
        </w:rPr>
        <w:t>Terminating a FAAP</w:t>
      </w:r>
      <w:r w:rsidR="00127180">
        <w:rPr>
          <w:u w:val="single"/>
        </w:rPr>
        <w:t xml:space="preserve"> Agreement</w:t>
      </w:r>
    </w:p>
    <w:p w14:paraId="44BC1EFD" w14:textId="42A5E02D" w:rsidR="008020B4" w:rsidRDefault="003857EF" w:rsidP="006E46D7">
      <w:r>
        <w:t>OFCCP or the contractor may terminate a FAAP agreement.  Either party terminating the agreement must provide</w:t>
      </w:r>
      <w:r w:rsidR="002C41E2">
        <w:t xml:space="preserve"> 90 calendar days </w:t>
      </w:r>
      <w:r>
        <w:t>written notice in advance explaining the reason</w:t>
      </w:r>
      <w:r w:rsidR="00F90AB0">
        <w:t>(</w:t>
      </w:r>
      <w:r>
        <w:t>s</w:t>
      </w:r>
      <w:r w:rsidR="00F90AB0">
        <w:t>)</w:t>
      </w:r>
      <w:r>
        <w:t xml:space="preserve"> for the termination and its effective date.</w:t>
      </w:r>
      <w:r w:rsidR="00F90AB0">
        <w:t xml:space="preserve">  Upon termination of a FAAP agreement, all employees are required to be covered by establishment-based AAPs.  The establishment-based AAPs shall be in place no later than 120 days from either OFCCP’s or the contractor’s notification that the FAAP agreement has been terminated. </w:t>
      </w:r>
      <w:r>
        <w:t xml:space="preserve"> </w:t>
      </w:r>
    </w:p>
    <w:p w14:paraId="37D565AF" w14:textId="77777777" w:rsidR="008020B4" w:rsidRDefault="008020B4" w:rsidP="006E46D7"/>
    <w:p w14:paraId="3A9328EE" w14:textId="250A1FF7" w:rsidR="003857EF" w:rsidRPr="003857EF" w:rsidRDefault="00671AA7" w:rsidP="006E46D7">
      <w:r>
        <w:t xml:space="preserve">OFCCP is proposing in this ICR to </w:t>
      </w:r>
      <w:r w:rsidR="00DF688D">
        <w:t xml:space="preserve">no longer terminate </w:t>
      </w:r>
      <w:r>
        <w:t xml:space="preserve">FAAP </w:t>
      </w:r>
      <w:r w:rsidR="00DF688D">
        <w:t>agreement</w:t>
      </w:r>
      <w:r>
        <w:t xml:space="preserve">s because </w:t>
      </w:r>
      <w:r w:rsidR="00196E89">
        <w:t>contractor</w:t>
      </w:r>
      <w:r>
        <w:t xml:space="preserve">s </w:t>
      </w:r>
      <w:r w:rsidR="00196E89" w:rsidRPr="00196E89">
        <w:t>violat</w:t>
      </w:r>
      <w:r>
        <w:t xml:space="preserve">ed </w:t>
      </w:r>
      <w:r w:rsidR="00196E89" w:rsidRPr="00196E89">
        <w:t>the laws and regulations enforced by OFCCP</w:t>
      </w:r>
      <w:r w:rsidR="008020B4">
        <w:t xml:space="preserve">. </w:t>
      </w:r>
      <w:r w:rsidR="00DF688D">
        <w:t xml:space="preserve"> </w:t>
      </w:r>
    </w:p>
    <w:p w14:paraId="2D543C15" w14:textId="5B32041C" w:rsidR="002C245C" w:rsidRPr="00A4247E" w:rsidRDefault="002C245C" w:rsidP="00814B60"/>
    <w:p w14:paraId="1391B12C" w14:textId="3287D469" w:rsidR="002C245C" w:rsidRPr="0037532B" w:rsidRDefault="0037532B" w:rsidP="0037532B">
      <w:pPr>
        <w:pStyle w:val="ListParagraph"/>
        <w:numPr>
          <w:ilvl w:val="0"/>
          <w:numId w:val="41"/>
        </w:numPr>
        <w:ind w:left="360"/>
        <w:rPr>
          <w:b/>
        </w:rPr>
      </w:pPr>
      <w:r>
        <w:rPr>
          <w:b/>
        </w:rPr>
        <w:t>Use of Collected Material</w:t>
      </w:r>
    </w:p>
    <w:p w14:paraId="574699A8" w14:textId="77777777" w:rsidR="002C245C" w:rsidRPr="00A4247E" w:rsidRDefault="002C245C" w:rsidP="006E46D7">
      <w:pPr>
        <w:rPr>
          <w:b/>
        </w:rPr>
      </w:pPr>
    </w:p>
    <w:p w14:paraId="4A81B678" w14:textId="55B6B2EA" w:rsidR="00147118" w:rsidRDefault="00147118" w:rsidP="0037532B">
      <w:r>
        <w:t xml:space="preserve">OFCCP uses the information provided by contractors </w:t>
      </w:r>
      <w:r w:rsidR="00814B60">
        <w:t>during the FAAP</w:t>
      </w:r>
      <w:r w:rsidR="006D43F1">
        <w:t xml:space="preserve"> agreement process to assess whether they qualify for a FAAP and the information provided by contractors during the modification and certification stages to confirm that they are eligible to continue to maintain a FAAP.  While </w:t>
      </w:r>
      <w:r w:rsidR="00CD663B">
        <w:t xml:space="preserve">the regulations generally require </w:t>
      </w:r>
      <w:r w:rsidR="00A927C1">
        <w:t xml:space="preserve">establishment-based </w:t>
      </w:r>
      <w:r w:rsidR="006D43F1">
        <w:t xml:space="preserve">AAPs for contractors who meet the jurisdictional thresholds, </w:t>
      </w:r>
      <w:r w:rsidR="00CD663B">
        <w:t xml:space="preserve">under </w:t>
      </w:r>
      <w:r w:rsidR="006D43F1">
        <w:t xml:space="preserve">the FAAP program </w:t>
      </w:r>
      <w:r w:rsidR="00CD663B">
        <w:t xml:space="preserve">contractors may </w:t>
      </w:r>
      <w:r w:rsidR="006D43F1">
        <w:t>voluntar</w:t>
      </w:r>
      <w:r w:rsidR="00CD663B">
        <w:t>il</w:t>
      </w:r>
      <w:r w:rsidR="006D43F1">
        <w:t xml:space="preserve">y </w:t>
      </w:r>
      <w:r w:rsidR="00CD663B">
        <w:t xml:space="preserve">develop and maintain </w:t>
      </w:r>
      <w:r w:rsidR="00304047">
        <w:t>one or more</w:t>
      </w:r>
      <w:r w:rsidR="006D43F1">
        <w:t xml:space="preserve"> AAP</w:t>
      </w:r>
      <w:r w:rsidR="00304047">
        <w:t>s</w:t>
      </w:r>
      <w:r w:rsidR="00CD663B">
        <w:t xml:space="preserve"> based on functional units rather than physical </w:t>
      </w:r>
      <w:r w:rsidR="00304047">
        <w:t>locations which may better reflect the actual organization of the contrac</w:t>
      </w:r>
      <w:r w:rsidR="004516D0">
        <w:t>t</w:t>
      </w:r>
      <w:r w:rsidR="00304047">
        <w:t>or</w:t>
      </w:r>
      <w:r w:rsidR="006D43F1">
        <w:t xml:space="preserve">. </w:t>
      </w:r>
      <w:r>
        <w:t xml:space="preserve"> </w:t>
      </w:r>
    </w:p>
    <w:p w14:paraId="1E45F0C1" w14:textId="7252207E" w:rsidR="002C245C" w:rsidRPr="00A4247E" w:rsidRDefault="002C245C" w:rsidP="00E82E74">
      <w:pPr>
        <w:tabs>
          <w:tab w:val="left" w:pos="-720"/>
          <w:tab w:val="left" w:pos="0"/>
        </w:tabs>
      </w:pPr>
    </w:p>
    <w:p w14:paraId="7C31CE3D" w14:textId="734B3290" w:rsidR="002C245C" w:rsidRPr="0037532B" w:rsidRDefault="0037532B" w:rsidP="0037532B">
      <w:pPr>
        <w:pStyle w:val="ListParagraph"/>
        <w:numPr>
          <w:ilvl w:val="0"/>
          <w:numId w:val="41"/>
        </w:numPr>
        <w:tabs>
          <w:tab w:val="left" w:pos="-720"/>
          <w:tab w:val="left" w:pos="0"/>
        </w:tabs>
        <w:ind w:left="360"/>
        <w:rPr>
          <w:b/>
        </w:rPr>
      </w:pPr>
      <w:r>
        <w:rPr>
          <w:b/>
        </w:rPr>
        <w:t xml:space="preserve">Use of Information Technology </w:t>
      </w:r>
      <w:r w:rsidR="002C245C" w:rsidRPr="0037532B">
        <w:rPr>
          <w:b/>
        </w:rPr>
        <w:t xml:space="preserve"> </w:t>
      </w:r>
    </w:p>
    <w:p w14:paraId="1DC1E7DC" w14:textId="77777777" w:rsidR="002C245C" w:rsidRPr="00A4247E" w:rsidRDefault="002C245C" w:rsidP="006E46D7">
      <w:pPr>
        <w:tabs>
          <w:tab w:val="left" w:pos="-720"/>
          <w:tab w:val="left" w:pos="0"/>
        </w:tabs>
        <w:rPr>
          <w:b/>
        </w:rPr>
      </w:pPr>
      <w:r w:rsidRPr="00A4247E">
        <w:rPr>
          <w:b/>
        </w:rPr>
        <w:tab/>
      </w:r>
    </w:p>
    <w:p w14:paraId="32E89367" w14:textId="7A3BF66E" w:rsidR="002C245C" w:rsidRPr="00A4247E" w:rsidRDefault="00114EC2" w:rsidP="0037532B">
      <w:pPr>
        <w:tabs>
          <w:tab w:val="left" w:pos="-720"/>
          <w:tab w:val="left" w:pos="0"/>
        </w:tabs>
      </w:pPr>
      <w:r>
        <w:t xml:space="preserve">OFCCP prefers that FAAP agreement requests and documentation are submitted </w:t>
      </w:r>
      <w:r w:rsidR="009F7B2A">
        <w:t xml:space="preserve">in an </w:t>
      </w:r>
      <w:r>
        <w:t>electronic</w:t>
      </w:r>
      <w:r w:rsidR="009F7B2A">
        <w:t xml:space="preserve"> format,</w:t>
      </w:r>
      <w:r w:rsidR="0018705C">
        <w:t xml:space="preserve"> via email</w:t>
      </w:r>
      <w:r w:rsidR="009F7B2A">
        <w:t xml:space="preserve">. If not maintained in an electronic format, all documents must be submitted in the form and format in which they are maintained.  </w:t>
      </w:r>
    </w:p>
    <w:p w14:paraId="1F6B9DE7" w14:textId="77777777" w:rsidR="002C245C" w:rsidRPr="00A4247E" w:rsidRDefault="002C245C" w:rsidP="006E46D7">
      <w:pPr>
        <w:tabs>
          <w:tab w:val="left" w:pos="-720"/>
          <w:tab w:val="left" w:pos="0"/>
        </w:tabs>
        <w:ind w:left="720"/>
      </w:pPr>
    </w:p>
    <w:p w14:paraId="4F04F75D" w14:textId="6BEEF791" w:rsidR="00114EC2" w:rsidRPr="00502EAB" w:rsidRDefault="00114EC2" w:rsidP="00114EC2">
      <w:pPr>
        <w:contextualSpacing/>
      </w:pPr>
      <w:r w:rsidRPr="00502EAB">
        <w:t>Pursuant to the Government Paperwork Elimination Act</w:t>
      </w:r>
      <w:r w:rsidR="002C793A">
        <w:t xml:space="preserve"> (GPEA)</w:t>
      </w:r>
      <w:r w:rsidR="002C6D33">
        <w:t>, g</w:t>
      </w:r>
      <w:r>
        <w:t>overnment agencies must</w:t>
      </w:r>
      <w:r w:rsidRPr="00502EAB">
        <w:t xml:space="preserve"> provide the option of using and accepting electronic documents and signatures, and electronic recordkeeping, where practicable.</w:t>
      </w:r>
      <w:r w:rsidRPr="00731D4B">
        <w:rPr>
          <w:rStyle w:val="FootnoteReference"/>
        </w:rPr>
        <w:footnoteReference w:id="14"/>
      </w:r>
      <w:r w:rsidR="002C793A">
        <w:t xml:space="preserve">  OFCCP fulfills the</w:t>
      </w:r>
      <w:r w:rsidRPr="00502EAB">
        <w:t xml:space="preserve"> GPEA requirements by permitting electronic transmission</w:t>
      </w:r>
      <w:r>
        <w:t xml:space="preserve"> </w:t>
      </w:r>
      <w:r w:rsidRPr="00502EAB">
        <w:t>of contractors’ documentation.</w:t>
      </w:r>
    </w:p>
    <w:p w14:paraId="445D537B" w14:textId="77777777" w:rsidR="002C245C" w:rsidRPr="00A4247E" w:rsidRDefault="002C245C" w:rsidP="006E46D7">
      <w:pPr>
        <w:tabs>
          <w:tab w:val="left" w:pos="-720"/>
          <w:tab w:val="left" w:pos="0"/>
        </w:tabs>
        <w:ind w:left="720"/>
      </w:pPr>
    </w:p>
    <w:p w14:paraId="4B587B36" w14:textId="5FA0FFEB" w:rsidR="002C245C" w:rsidRPr="0037532B" w:rsidRDefault="0037532B" w:rsidP="0037532B">
      <w:pPr>
        <w:pStyle w:val="ListParagraph"/>
        <w:numPr>
          <w:ilvl w:val="0"/>
          <w:numId w:val="41"/>
        </w:numPr>
        <w:tabs>
          <w:tab w:val="left" w:pos="-720"/>
          <w:tab w:val="left" w:pos="0"/>
        </w:tabs>
        <w:ind w:left="360"/>
        <w:rPr>
          <w:b/>
        </w:rPr>
      </w:pPr>
      <w:r>
        <w:rPr>
          <w:b/>
        </w:rPr>
        <w:t>Description of Efforts to Identify Duplication</w:t>
      </w:r>
      <w:r w:rsidR="002C245C" w:rsidRPr="0037532B">
        <w:rPr>
          <w:b/>
        </w:rPr>
        <w:t xml:space="preserve"> </w:t>
      </w:r>
    </w:p>
    <w:p w14:paraId="1C7BA52E" w14:textId="77777777" w:rsidR="002C245C" w:rsidRPr="00A4247E" w:rsidRDefault="002C245C" w:rsidP="003C65D0">
      <w:pPr>
        <w:tabs>
          <w:tab w:val="left" w:pos="-720"/>
          <w:tab w:val="left" w:pos="0"/>
        </w:tabs>
      </w:pPr>
      <w:r w:rsidRPr="00A4247E">
        <w:rPr>
          <w:b/>
        </w:rPr>
        <w:tab/>
      </w:r>
      <w:r w:rsidR="00B629A3">
        <w:rPr>
          <w:b/>
        </w:rPr>
        <w:t xml:space="preserve"> </w:t>
      </w:r>
    </w:p>
    <w:p w14:paraId="1BFAF8DA" w14:textId="22138D79" w:rsidR="00B629A3" w:rsidRDefault="00B629A3" w:rsidP="0037532B">
      <w:pPr>
        <w:tabs>
          <w:tab w:val="left" w:pos="-720"/>
          <w:tab w:val="left" w:pos="0"/>
        </w:tabs>
      </w:pPr>
      <w:r>
        <w:t xml:space="preserve">The reporting requirements in this </w:t>
      </w:r>
      <w:r w:rsidR="002C41E2">
        <w:t xml:space="preserve">ICR result exclusively from </w:t>
      </w:r>
      <w:r>
        <w:t>EO 11246</w:t>
      </w:r>
      <w:r w:rsidR="002C41E2">
        <w:t>, Section 503, and VEVR</w:t>
      </w:r>
      <w:r w:rsidR="00441D08">
        <w:t xml:space="preserve">AA and their implementing </w:t>
      </w:r>
      <w:r w:rsidR="002C41E2">
        <w:t>regulations</w:t>
      </w:r>
      <w:r w:rsidR="00655E1B">
        <w:t xml:space="preserve">.  </w:t>
      </w:r>
      <w:r>
        <w:t>No duplication of effort exists</w:t>
      </w:r>
      <w:r w:rsidR="00EC7A2C">
        <w:t xml:space="preserve"> because no other federal agencies administer and enforce these regulations.</w:t>
      </w:r>
      <w:r w:rsidR="00EC7A2C">
        <w:rPr>
          <w:rStyle w:val="FootnoteReference"/>
        </w:rPr>
        <w:footnoteReference w:id="15"/>
      </w:r>
      <w:r w:rsidR="00EC7A2C">
        <w:t xml:space="preserve"> </w:t>
      </w:r>
    </w:p>
    <w:p w14:paraId="60747E5B" w14:textId="77777777" w:rsidR="00286E2F" w:rsidRPr="00A4247E" w:rsidRDefault="00286E2F" w:rsidP="00E679DE">
      <w:pPr>
        <w:tabs>
          <w:tab w:val="left" w:pos="-720"/>
          <w:tab w:val="left" w:pos="0"/>
        </w:tabs>
      </w:pPr>
    </w:p>
    <w:p w14:paraId="46F40BA9" w14:textId="173268A2" w:rsidR="002C245C" w:rsidRPr="0037532B" w:rsidRDefault="0037532B" w:rsidP="0037532B">
      <w:pPr>
        <w:pStyle w:val="ListParagraph"/>
        <w:numPr>
          <w:ilvl w:val="0"/>
          <w:numId w:val="41"/>
        </w:numPr>
        <w:tabs>
          <w:tab w:val="left" w:pos="-720"/>
          <w:tab w:val="left" w:pos="0"/>
        </w:tabs>
        <w:ind w:left="360"/>
        <w:rPr>
          <w:b/>
        </w:rPr>
      </w:pPr>
      <w:r>
        <w:rPr>
          <w:b/>
        </w:rPr>
        <w:t xml:space="preserve">Impact on Small Businesses </w:t>
      </w:r>
    </w:p>
    <w:p w14:paraId="1B702F75" w14:textId="77777777" w:rsidR="002C245C" w:rsidRPr="00A4247E" w:rsidRDefault="002C245C" w:rsidP="006E46D7">
      <w:pPr>
        <w:tabs>
          <w:tab w:val="left" w:pos="-720"/>
          <w:tab w:val="left" w:pos="0"/>
        </w:tabs>
        <w:rPr>
          <w:b/>
        </w:rPr>
      </w:pPr>
    </w:p>
    <w:p w14:paraId="39D965E9" w14:textId="3C19CEB0" w:rsidR="00D966DE" w:rsidRDefault="00682A5A" w:rsidP="0037532B">
      <w:pPr>
        <w:tabs>
          <w:tab w:val="left" w:pos="-720"/>
          <w:tab w:val="left" w:pos="0"/>
        </w:tabs>
      </w:pPr>
      <w:r>
        <w:t>T</w:t>
      </w:r>
      <w:r w:rsidR="005E02FA">
        <w:t>he impact of this information collection on s</w:t>
      </w:r>
      <w:r w:rsidR="00A30072">
        <w:t>mall businesses</w:t>
      </w:r>
      <w:r>
        <w:t xml:space="preserve"> is minimal for the following reasons:</w:t>
      </w:r>
      <w:r w:rsidR="00A30072">
        <w:t xml:space="preserve"> </w:t>
      </w:r>
    </w:p>
    <w:p w14:paraId="64275D48" w14:textId="77777777" w:rsidR="00D966DE" w:rsidRDefault="00D966DE" w:rsidP="006E46D7">
      <w:pPr>
        <w:tabs>
          <w:tab w:val="left" w:pos="-720"/>
          <w:tab w:val="left" w:pos="0"/>
        </w:tabs>
        <w:ind w:left="720"/>
      </w:pPr>
    </w:p>
    <w:p w14:paraId="0B38BC8D" w14:textId="2A97BCDB" w:rsidR="00D966DE" w:rsidRDefault="002C245C" w:rsidP="008F6302">
      <w:pPr>
        <w:pStyle w:val="ListParagraph"/>
        <w:numPr>
          <w:ilvl w:val="0"/>
          <w:numId w:val="36"/>
        </w:numPr>
        <w:tabs>
          <w:tab w:val="left" w:pos="-720"/>
          <w:tab w:val="left" w:pos="0"/>
        </w:tabs>
        <w:ind w:left="360"/>
      </w:pPr>
      <w:r w:rsidRPr="00A4247E">
        <w:t>Contractors with fewer than 50 employees are exempt from</w:t>
      </w:r>
      <w:r w:rsidR="00E51F0F">
        <w:t xml:space="preserve"> the AAP requirement</w:t>
      </w:r>
      <w:r w:rsidR="00441D08">
        <w:t>.</w:t>
      </w:r>
    </w:p>
    <w:p w14:paraId="0CB9C2E0" w14:textId="77777777" w:rsidR="00E51F0F" w:rsidRDefault="00D966DE" w:rsidP="00E51F0F">
      <w:pPr>
        <w:pStyle w:val="ListParagraph"/>
        <w:numPr>
          <w:ilvl w:val="0"/>
          <w:numId w:val="36"/>
        </w:numPr>
        <w:tabs>
          <w:tab w:val="left" w:pos="-720"/>
          <w:tab w:val="left" w:pos="0"/>
        </w:tabs>
        <w:ind w:left="360"/>
      </w:pPr>
      <w:r>
        <w:t>When</w:t>
      </w:r>
      <w:r w:rsidR="00E51F0F">
        <w:t xml:space="preserve"> preparing an EO 11246</w:t>
      </w:r>
      <w:r>
        <w:t xml:space="preserve"> AAP, contractors with </w:t>
      </w:r>
      <w:r w:rsidR="00EC29F1">
        <w:t xml:space="preserve">fewer than 150 employees are permitted to use their EEO-1 categories as job groups, thus reducing burden related to job group formulation.  </w:t>
      </w:r>
    </w:p>
    <w:p w14:paraId="188453FB" w14:textId="77777777" w:rsidR="00E51F0F" w:rsidRDefault="00E51F0F" w:rsidP="00E51F0F">
      <w:pPr>
        <w:pStyle w:val="ListParagraph"/>
        <w:numPr>
          <w:ilvl w:val="0"/>
          <w:numId w:val="36"/>
        </w:numPr>
        <w:tabs>
          <w:tab w:val="left" w:pos="-720"/>
          <w:tab w:val="left" w:pos="0"/>
        </w:tabs>
        <w:ind w:left="360"/>
      </w:pPr>
      <w:r>
        <w:t xml:space="preserve">The number of contractors who request a FAAP is a negligible portion of OFCCP’s contractor universe. </w:t>
      </w:r>
    </w:p>
    <w:p w14:paraId="50F749DA" w14:textId="77777777" w:rsidR="00E51F0F" w:rsidRDefault="00E51F0F" w:rsidP="00E51F0F">
      <w:pPr>
        <w:pStyle w:val="ListParagraph"/>
        <w:numPr>
          <w:ilvl w:val="0"/>
          <w:numId w:val="36"/>
        </w:numPr>
        <w:tabs>
          <w:tab w:val="left" w:pos="-720"/>
          <w:tab w:val="left" w:pos="0"/>
        </w:tabs>
        <w:ind w:left="360"/>
      </w:pPr>
      <w:r>
        <w:t xml:space="preserve">By the nature of the FAAP program, very small contractors would generally not request a FAAP agreement because the process entails grouping together employees from different groups, establishments, functional, and business units.  </w:t>
      </w:r>
    </w:p>
    <w:p w14:paraId="310CAB0B" w14:textId="77DE70AB" w:rsidR="00114EC2" w:rsidRDefault="00E51F0F" w:rsidP="0037532B">
      <w:pPr>
        <w:pStyle w:val="ListParagraph"/>
        <w:numPr>
          <w:ilvl w:val="0"/>
          <w:numId w:val="36"/>
        </w:numPr>
        <w:tabs>
          <w:tab w:val="left" w:pos="-720"/>
          <w:tab w:val="left" w:pos="0"/>
        </w:tabs>
        <w:ind w:left="360"/>
      </w:pPr>
      <w:r>
        <w:t>C</w:t>
      </w:r>
      <w:r w:rsidRPr="00A4247E">
        <w:t xml:space="preserve">ontractors that exercise </w:t>
      </w:r>
      <w:r>
        <w:t>the o</w:t>
      </w:r>
      <w:r w:rsidR="005E02FA">
        <w:t>ption to develop FAAP</w:t>
      </w:r>
      <w:r>
        <w:t xml:space="preserve">s </w:t>
      </w:r>
      <w:r w:rsidRPr="00A4247E">
        <w:t xml:space="preserve">benefit from </w:t>
      </w:r>
      <w:r w:rsidR="005E02FA">
        <w:t xml:space="preserve">the </w:t>
      </w:r>
      <w:r w:rsidRPr="00A4247E">
        <w:t xml:space="preserve">flexibility </w:t>
      </w:r>
      <w:r w:rsidR="005E02FA">
        <w:t xml:space="preserve">the program allows to tailor AAPs to specific organizational needs. </w:t>
      </w:r>
    </w:p>
    <w:p w14:paraId="493C2E26" w14:textId="30F875F6" w:rsidR="00EB62AC" w:rsidRPr="00A4247E" w:rsidRDefault="00EB62AC" w:rsidP="00E82358">
      <w:pPr>
        <w:tabs>
          <w:tab w:val="left" w:pos="-720"/>
          <w:tab w:val="left" w:pos="0"/>
        </w:tabs>
        <w:rPr>
          <w:b/>
        </w:rPr>
      </w:pPr>
    </w:p>
    <w:p w14:paraId="0D71A4DF" w14:textId="7E0A8A13" w:rsidR="002C245C" w:rsidRPr="0037532B" w:rsidRDefault="0037532B" w:rsidP="0037532B">
      <w:pPr>
        <w:pStyle w:val="ListParagraph"/>
        <w:numPr>
          <w:ilvl w:val="0"/>
          <w:numId w:val="41"/>
        </w:numPr>
        <w:tabs>
          <w:tab w:val="left" w:pos="-720"/>
          <w:tab w:val="left" w:pos="0"/>
        </w:tabs>
        <w:ind w:left="360"/>
        <w:rPr>
          <w:b/>
        </w:rPr>
      </w:pPr>
      <w:r>
        <w:rPr>
          <w:b/>
        </w:rPr>
        <w:t>Consequences of a Less Frequent Collection</w:t>
      </w:r>
    </w:p>
    <w:p w14:paraId="5BCEB914" w14:textId="77777777" w:rsidR="002C245C" w:rsidRPr="00A4247E" w:rsidRDefault="002C245C" w:rsidP="006E46D7">
      <w:pPr>
        <w:tabs>
          <w:tab w:val="left" w:pos="-720"/>
          <w:tab w:val="left" w:pos="0"/>
        </w:tabs>
        <w:ind w:left="720" w:hanging="720"/>
        <w:rPr>
          <w:b/>
        </w:rPr>
      </w:pPr>
    </w:p>
    <w:p w14:paraId="249F2BB4" w14:textId="1324A668" w:rsidR="002C245C" w:rsidRPr="00A4247E" w:rsidRDefault="002C245C" w:rsidP="0037532B">
      <w:pPr>
        <w:tabs>
          <w:tab w:val="left" w:pos="-720"/>
          <w:tab w:val="left" w:pos="0"/>
        </w:tabs>
      </w:pPr>
      <w:r w:rsidRPr="00A4247E">
        <w:t xml:space="preserve">The approval process for obtaining a FAAP agreement allows OFCCP to determine if contractors seeking permission to use </w:t>
      </w:r>
      <w:r w:rsidR="002673CA" w:rsidRPr="00A4247E">
        <w:t>function</w:t>
      </w:r>
      <w:r w:rsidR="002673CA">
        <w:t>al</w:t>
      </w:r>
      <w:r w:rsidR="005E02FA">
        <w:t xml:space="preserve"> or business unit AAPs can participate in the program</w:t>
      </w:r>
      <w:r w:rsidRPr="00A4247E">
        <w:t>.</w:t>
      </w:r>
      <w:r w:rsidR="005E02FA">
        <w:t xml:space="preserve">  </w:t>
      </w:r>
      <w:r w:rsidR="00081B65">
        <w:t>M</w:t>
      </w:r>
      <w:r w:rsidR="005E02FA">
        <w:t xml:space="preserve">odifications </w:t>
      </w:r>
      <w:r w:rsidR="005E02FA" w:rsidRPr="00A4247E">
        <w:t xml:space="preserve">and </w:t>
      </w:r>
      <w:r w:rsidR="00A927C1">
        <w:t xml:space="preserve">five-year </w:t>
      </w:r>
      <w:r w:rsidR="005E02FA">
        <w:t>certifications</w:t>
      </w:r>
      <w:r w:rsidR="005E02FA" w:rsidRPr="00A4247E">
        <w:t xml:space="preserve"> are needed to ensure that OFCCP has current information regarding</w:t>
      </w:r>
      <w:r w:rsidR="005E02FA">
        <w:t xml:space="preserve"> contract coverage and information on </w:t>
      </w:r>
      <w:r w:rsidR="005E02FA" w:rsidRPr="00A4247E">
        <w:t xml:space="preserve">each functional </w:t>
      </w:r>
      <w:r w:rsidR="005E02FA">
        <w:t xml:space="preserve">or business </w:t>
      </w:r>
      <w:r w:rsidR="005E02FA" w:rsidRPr="00A4247E">
        <w:t xml:space="preserve">unit’s structure, size, and managing official.  </w:t>
      </w:r>
      <w:r w:rsidR="005E02FA">
        <w:t xml:space="preserve">To carry out its mission, OFCCP must verify that contractors maintain annual AAPs, personnel records, and other related data. </w:t>
      </w:r>
      <w:r w:rsidRPr="00A4247E">
        <w:t xml:space="preserve"> </w:t>
      </w:r>
      <w:r w:rsidR="00304047">
        <w:t>Administering the FAAP program without this</w:t>
      </w:r>
      <w:r w:rsidR="002C6D33">
        <w:t xml:space="preserve"> data would lead to less efficiency in determining contractor compliance and increased burdens both for contractors and the Federal Government. </w:t>
      </w:r>
    </w:p>
    <w:p w14:paraId="4B4E5A38" w14:textId="211AF15C" w:rsidR="006C41C0" w:rsidRPr="00A4247E" w:rsidRDefault="006C41C0" w:rsidP="002C6D33">
      <w:pPr>
        <w:tabs>
          <w:tab w:val="left" w:pos="-720"/>
          <w:tab w:val="left" w:pos="0"/>
        </w:tabs>
      </w:pPr>
    </w:p>
    <w:p w14:paraId="17E7FE7F" w14:textId="7D4E2F8A" w:rsidR="002C245C" w:rsidRPr="0037532B" w:rsidRDefault="0037532B" w:rsidP="0037532B">
      <w:pPr>
        <w:pStyle w:val="ListParagraph"/>
        <w:numPr>
          <w:ilvl w:val="0"/>
          <w:numId w:val="41"/>
        </w:numPr>
        <w:tabs>
          <w:tab w:val="left" w:pos="-720"/>
          <w:tab w:val="left" w:pos="0"/>
        </w:tabs>
        <w:ind w:left="360"/>
        <w:rPr>
          <w:b/>
        </w:rPr>
      </w:pPr>
      <w:r>
        <w:rPr>
          <w:b/>
        </w:rPr>
        <w:t xml:space="preserve">Special Circumstances </w:t>
      </w:r>
    </w:p>
    <w:p w14:paraId="3A1B140C" w14:textId="77777777" w:rsidR="002C245C" w:rsidRPr="00A4247E" w:rsidRDefault="002C245C" w:rsidP="006E46D7">
      <w:pPr>
        <w:tabs>
          <w:tab w:val="left" w:pos="-720"/>
          <w:tab w:val="left" w:pos="0"/>
        </w:tabs>
        <w:ind w:left="720" w:hanging="720"/>
      </w:pPr>
    </w:p>
    <w:p w14:paraId="3BDCD5E5" w14:textId="77777777" w:rsidR="002C245C" w:rsidRPr="00A4247E" w:rsidRDefault="002C245C" w:rsidP="0037532B">
      <w:pPr>
        <w:tabs>
          <w:tab w:val="left" w:pos="-720"/>
          <w:tab w:val="left" w:pos="0"/>
        </w:tabs>
      </w:pPr>
      <w:r w:rsidRPr="00A4247E">
        <w:t>There are no special circumstances for the collection of this information.</w:t>
      </w:r>
    </w:p>
    <w:p w14:paraId="22067B40" w14:textId="77777777" w:rsidR="002C245C" w:rsidRPr="00A4247E" w:rsidRDefault="002C245C" w:rsidP="006E46D7">
      <w:pPr>
        <w:pStyle w:val="EndnoteText"/>
        <w:widowControl/>
        <w:tabs>
          <w:tab w:val="left" w:pos="-720"/>
        </w:tabs>
        <w:rPr>
          <w:rFonts w:ascii="Times New Roman" w:hAnsi="Times New Roman"/>
          <w:color w:val="000000"/>
        </w:rPr>
      </w:pPr>
    </w:p>
    <w:p w14:paraId="6DB2FD8B" w14:textId="326BB7B9" w:rsidR="002C245C" w:rsidRPr="00A4247E" w:rsidRDefault="0037532B" w:rsidP="0037532B">
      <w:pPr>
        <w:pStyle w:val="EndnoteText"/>
        <w:widowControl/>
        <w:numPr>
          <w:ilvl w:val="0"/>
          <w:numId w:val="41"/>
        </w:numPr>
        <w:tabs>
          <w:tab w:val="left" w:pos="-720"/>
        </w:tabs>
        <w:ind w:left="360"/>
        <w:rPr>
          <w:rFonts w:ascii="Times New Roman" w:hAnsi="Times New Roman"/>
          <w:b/>
          <w:color w:val="000000"/>
        </w:rPr>
      </w:pPr>
      <w:r>
        <w:rPr>
          <w:rFonts w:ascii="Times New Roman" w:hAnsi="Times New Roman"/>
          <w:b/>
          <w:color w:val="000000"/>
        </w:rPr>
        <w:t xml:space="preserve">Consultation Outside the Agency </w:t>
      </w:r>
    </w:p>
    <w:p w14:paraId="06B5BFA6" w14:textId="77777777" w:rsidR="00CA4CAD" w:rsidRPr="00CA4CAD" w:rsidRDefault="00CA4CAD" w:rsidP="00CA4CAD">
      <w:pPr>
        <w:pStyle w:val="ListParagraph"/>
      </w:pPr>
    </w:p>
    <w:p w14:paraId="0F6E9570" w14:textId="589DBCE9" w:rsidR="00B711AC" w:rsidRDefault="0037532B" w:rsidP="00E966E9">
      <w:pPr>
        <w:pStyle w:val="ListParagraph"/>
        <w:ind w:left="0"/>
      </w:pPr>
      <w:r w:rsidRPr="0037532B">
        <w:t>Pursuant to the Paperwork Reduction Act of 1995, as amended (PRA), OFCCP invite</w:t>
      </w:r>
      <w:r w:rsidR="00CB6D67">
        <w:t>d</w:t>
      </w:r>
      <w:r w:rsidRPr="0037532B">
        <w:t xml:space="preserve"> the public to submit comments on this proposed information collection. </w:t>
      </w:r>
      <w:r w:rsidR="009D1ABE">
        <w:t xml:space="preserve"> </w:t>
      </w:r>
      <w:r w:rsidR="00CB6D67">
        <w:t>The Federal Register notice was published on September 11, 2018</w:t>
      </w:r>
      <w:r w:rsidR="00E966E9">
        <w:t xml:space="preserve"> (</w:t>
      </w:r>
      <w:r w:rsidR="00CB6D67">
        <w:t>83 FR 45977</w:t>
      </w:r>
      <w:r w:rsidR="00E966E9">
        <w:t>)</w:t>
      </w:r>
      <w:r w:rsidR="00CB6D67">
        <w:t xml:space="preserve">. </w:t>
      </w:r>
      <w:r w:rsidRPr="0037532B">
        <w:t xml:space="preserve"> </w:t>
      </w:r>
      <w:r w:rsidR="005D67A5">
        <w:t>OFCCP</w:t>
      </w:r>
      <w:r w:rsidR="00E966E9">
        <w:t xml:space="preserve"> received four substantive comments on the ICR</w:t>
      </w:r>
      <w:r w:rsidR="00493F6B">
        <w:t>, collectively raising several issues</w:t>
      </w:r>
      <w:r w:rsidR="00E966E9">
        <w:t>.</w:t>
      </w:r>
      <w:r w:rsidR="005D67A5">
        <w:t xml:space="preserve"> </w:t>
      </w:r>
      <w:r w:rsidR="009D1ABE">
        <w:t xml:space="preserve"> </w:t>
      </w:r>
      <w:r w:rsidR="00B711AC">
        <w:t xml:space="preserve">A summary of the </w:t>
      </w:r>
      <w:r w:rsidR="00493F6B">
        <w:t xml:space="preserve">issues raised in the </w:t>
      </w:r>
      <w:r w:rsidR="00B711AC">
        <w:t>comments is listed below</w:t>
      </w:r>
      <w:r w:rsidR="00493F6B">
        <w:t>,</w:t>
      </w:r>
      <w:r w:rsidR="00B711AC">
        <w:t xml:space="preserve"> with OFCCP’s responses.</w:t>
      </w:r>
    </w:p>
    <w:p w14:paraId="4543073F" w14:textId="77777777" w:rsidR="00E966E9" w:rsidRPr="00E966E9" w:rsidRDefault="00E966E9" w:rsidP="00E966E9">
      <w:pPr>
        <w:pStyle w:val="ListParagraph"/>
        <w:ind w:left="0"/>
      </w:pPr>
    </w:p>
    <w:p w14:paraId="241A0408" w14:textId="3665202A" w:rsidR="00E41FD3" w:rsidRDefault="00B711AC" w:rsidP="005B68CC">
      <w:pPr>
        <w:pStyle w:val="ListParagraph"/>
        <w:numPr>
          <w:ilvl w:val="0"/>
          <w:numId w:val="47"/>
        </w:numPr>
        <w:spacing w:after="160" w:line="259" w:lineRule="auto"/>
      </w:pPr>
      <w:r w:rsidRPr="00E41FD3">
        <w:rPr>
          <w:b/>
        </w:rPr>
        <w:t xml:space="preserve">Submission of information regarding federal contracts when applying for a FAAP agreement. </w:t>
      </w:r>
      <w:r>
        <w:t xml:space="preserve"> Three commenters assert</w:t>
      </w:r>
      <w:r w:rsidR="00E966E9">
        <w:t>ed</w:t>
      </w:r>
      <w:r>
        <w:t xml:space="preserve"> that it is burdensome and time-consuming for contractors to be required to submit information concerning a federal contract and OFCCP should accept their application as evidence that they are a covered federal contractor.  The commenters further assert that the human resources and compliance personnel assigned to working with OFCCP do not have access to contract information.</w:t>
      </w:r>
    </w:p>
    <w:p w14:paraId="76A34893" w14:textId="77777777" w:rsidR="00E41FD3" w:rsidRDefault="00E41FD3" w:rsidP="005B68CC"/>
    <w:p w14:paraId="78526C3C" w14:textId="608FB3A3" w:rsidR="00E41FD3" w:rsidRDefault="00B711AC" w:rsidP="005B68CC">
      <w:pPr>
        <w:ind w:left="720"/>
      </w:pPr>
      <w:r>
        <w:t xml:space="preserve">In response to this concern, OFCCP </w:t>
      </w:r>
      <w:r w:rsidR="00E966E9">
        <w:t>reevaluated the request for this information but determined</w:t>
      </w:r>
      <w:r>
        <w:t xml:space="preserve"> that it is necessary that a contractor requesting a FAAP agreement provide information concerning at least one qualifying federal contract.  OFCCP stresses that its enforcement authority rests with contractors and the submission of information pertaining to a federal contract or subcontract substantiates the agency’s regulatory authority to negotiate a FAAP agreement. In addition, developing a FAAP agreement is voluntary for contractors and it is the agency’s position that a contractor requesting to enter into an agreement with OFCCP should submit information to confirm that they are a covered federal contractor.</w:t>
      </w:r>
    </w:p>
    <w:p w14:paraId="19DA4103" w14:textId="29F5E733" w:rsidR="00E41FD3" w:rsidRDefault="00C57A7D" w:rsidP="005B68CC">
      <w:r>
        <w:t xml:space="preserve"> </w:t>
      </w:r>
    </w:p>
    <w:p w14:paraId="0580570F" w14:textId="481207BB" w:rsidR="00E41FD3" w:rsidRDefault="00B711AC" w:rsidP="005B68CC">
      <w:pPr>
        <w:pStyle w:val="ListParagraph"/>
        <w:numPr>
          <w:ilvl w:val="0"/>
          <w:numId w:val="47"/>
        </w:numPr>
      </w:pPr>
      <w:r w:rsidRPr="00E9292A">
        <w:rPr>
          <w:b/>
        </w:rPr>
        <w:t>Modify or remove the pre-approval requirement.</w:t>
      </w:r>
      <w:r>
        <w:t xml:space="preserve">  Three commenters suggested options to address FAAP initial approval wait times. </w:t>
      </w:r>
      <w:r w:rsidR="00E966E9">
        <w:t xml:space="preserve"> </w:t>
      </w:r>
      <w:r>
        <w:t xml:space="preserve">One commenter recommended establishing an OFCCP review period of 90 days or granting conditional approval upon submission of a timely and complete FAAP package to OFCCP. </w:t>
      </w:r>
      <w:r w:rsidR="00E966E9">
        <w:t xml:space="preserve"> </w:t>
      </w:r>
    </w:p>
    <w:p w14:paraId="1B6D75D7" w14:textId="6590C777" w:rsidR="00E41FD3" w:rsidRDefault="00C57A7D" w:rsidP="005B68CC">
      <w:pPr>
        <w:pStyle w:val="ListParagraph"/>
      </w:pPr>
      <w:r>
        <w:t xml:space="preserve"> </w:t>
      </w:r>
    </w:p>
    <w:p w14:paraId="611E4BAB" w14:textId="4CC465AE" w:rsidR="00B711AC" w:rsidRDefault="00B711AC" w:rsidP="00C57A7D">
      <w:pPr>
        <w:ind w:left="720"/>
      </w:pPr>
      <w:r>
        <w:t xml:space="preserve">FAAP approval requests must be complete for OFCCP to begin the review process.  Once a contractor submits a FAAP package, OFCCP notifies the contractor that it received the package and if any documentation is missing.  OFCCP must </w:t>
      </w:r>
      <w:r w:rsidR="00DA434C">
        <w:t>conduct</w:t>
      </w:r>
      <w:r>
        <w:t xml:space="preserve"> a detailed review of the FAAP submission before approval so OFCCP will not grant conditional approval for contractors. </w:t>
      </w:r>
      <w:r w:rsidR="00DA434C">
        <w:t xml:space="preserve"> </w:t>
      </w:r>
      <w:r w:rsidRPr="00C07EE6">
        <w:t xml:space="preserve">OFCCP typically processes a new application for a FAAP agreement in 60 days or less </w:t>
      </w:r>
      <w:r>
        <w:t>once all documents are submitted</w:t>
      </w:r>
      <w:r w:rsidRPr="00C07EE6">
        <w:t>.</w:t>
      </w:r>
      <w:r>
        <w:t xml:space="preserve"> </w:t>
      </w:r>
      <w:r w:rsidR="00DA434C">
        <w:t xml:space="preserve"> </w:t>
      </w:r>
      <w:r>
        <w:t xml:space="preserve">However, commenters have suggested FAAP approval may take up to 12-18 months. </w:t>
      </w:r>
      <w:r w:rsidR="00DA434C">
        <w:t xml:space="preserve"> </w:t>
      </w:r>
      <w:r>
        <w:t xml:space="preserve">OFCCP respects contractors’ time commitment to the process and </w:t>
      </w:r>
      <w:r w:rsidR="00DA434C">
        <w:t>to address concerns is instituting</w:t>
      </w:r>
      <w:r>
        <w:t xml:space="preserve"> a 60-day window to approve FAAPs upon receipt of a complete package.</w:t>
      </w:r>
    </w:p>
    <w:p w14:paraId="156CC37C" w14:textId="2023BEC4" w:rsidR="00E41FD3" w:rsidRPr="00C57A7D" w:rsidRDefault="00C57A7D" w:rsidP="00C57A7D">
      <w:pPr>
        <w:ind w:left="720"/>
      </w:pPr>
      <w:r w:rsidRPr="00C57A7D">
        <w:t xml:space="preserve">  </w:t>
      </w:r>
    </w:p>
    <w:p w14:paraId="53F26CF6" w14:textId="2A1D9DD8" w:rsidR="00E41FD3" w:rsidRDefault="00B711AC" w:rsidP="005B68CC">
      <w:pPr>
        <w:pStyle w:val="ListParagraph"/>
        <w:numPr>
          <w:ilvl w:val="0"/>
          <w:numId w:val="47"/>
        </w:numPr>
        <w:spacing w:after="160" w:line="259" w:lineRule="auto"/>
      </w:pPr>
      <w:r w:rsidRPr="005B68CC">
        <w:rPr>
          <w:b/>
        </w:rPr>
        <w:t>Treat FAAPs equally with respect to awards.</w:t>
      </w:r>
      <w:r w:rsidRPr="00304047">
        <w:rPr>
          <w:b/>
        </w:rPr>
        <w:t xml:space="preserve">  </w:t>
      </w:r>
      <w:r w:rsidRPr="00304047">
        <w:t xml:space="preserve">A commenter requested that OFCCP </w:t>
      </w:r>
      <w:r>
        <w:t xml:space="preserve">consider FAAPs for </w:t>
      </w:r>
      <w:r w:rsidR="00E10FD4">
        <w:t xml:space="preserve">the proposed </w:t>
      </w:r>
      <w:r>
        <w:t xml:space="preserve">contractor recognition </w:t>
      </w:r>
      <w:r w:rsidR="00E10FD4">
        <w:t>awards</w:t>
      </w:r>
      <w:r>
        <w:t xml:space="preserve"> such as the “Excellence in Disability Inclusion Award” and the “Leadership in Equal Access and Diversity Award.” </w:t>
      </w:r>
    </w:p>
    <w:p w14:paraId="0526D3BA" w14:textId="174C1AC0" w:rsidR="005B68CC" w:rsidRDefault="00C57A7D" w:rsidP="00C57A7D">
      <w:pPr>
        <w:pStyle w:val="ListParagraph"/>
      </w:pPr>
      <w:r>
        <w:t xml:space="preserve">  </w:t>
      </w:r>
    </w:p>
    <w:p w14:paraId="6249CA44" w14:textId="55A8CAC1" w:rsidR="00B711AC" w:rsidRDefault="00B711AC" w:rsidP="00C57A7D">
      <w:pPr>
        <w:ind w:left="720"/>
      </w:pPr>
      <w:r>
        <w:t>The goal of these two awards is to recognize contractor establishments that go above and beyond in their non-discrimination and affirmative action practices</w:t>
      </w:r>
      <w:r w:rsidR="00493F6B">
        <w:t xml:space="preserve"> at the establishment level, and thus they do not easily conform to a FAAP structure</w:t>
      </w:r>
      <w:r w:rsidR="004A7151">
        <w:t xml:space="preserve"> which may include divisions and business units at various establishments</w:t>
      </w:r>
      <w:r>
        <w:t>.</w:t>
      </w:r>
      <w:r w:rsidRPr="00AF313D">
        <w:t xml:space="preserve"> </w:t>
      </w:r>
      <w:r>
        <w:t xml:space="preserve"> </w:t>
      </w:r>
      <w:r w:rsidRPr="00AF313D">
        <w:t>However, OFCCP is exploring future award</w:t>
      </w:r>
      <w:r>
        <w:t xml:space="preserve"> programs for FAAP participants.</w:t>
      </w:r>
    </w:p>
    <w:p w14:paraId="5B336B8F" w14:textId="1393F411" w:rsidR="005B68CC" w:rsidRPr="00C57A7D" w:rsidRDefault="00C57A7D" w:rsidP="00C57A7D">
      <w:pPr>
        <w:ind w:left="720"/>
      </w:pPr>
      <w:r w:rsidRPr="00C57A7D">
        <w:t xml:space="preserve">  </w:t>
      </w:r>
    </w:p>
    <w:p w14:paraId="12C1985C" w14:textId="35CE6A42" w:rsidR="005B68CC" w:rsidRDefault="00B711AC" w:rsidP="005B68CC">
      <w:pPr>
        <w:pStyle w:val="ListParagraph"/>
        <w:numPr>
          <w:ilvl w:val="0"/>
          <w:numId w:val="47"/>
        </w:numPr>
        <w:spacing w:after="160" w:line="259" w:lineRule="auto"/>
      </w:pPr>
      <w:r w:rsidRPr="005B68CC">
        <w:rPr>
          <w:b/>
        </w:rPr>
        <w:t xml:space="preserve">Extend notification window for business or functional unit, organizational, or structural changes.  </w:t>
      </w:r>
      <w:r>
        <w:t xml:space="preserve">A commenter asserted that major changes in any of the above categories requires meticulous attention from human resources and that a 60-day window to notify OFCCP about such changes is burdensome. </w:t>
      </w:r>
    </w:p>
    <w:p w14:paraId="32208829" w14:textId="77777777" w:rsidR="005B68CC" w:rsidRDefault="005B68CC" w:rsidP="00C57A7D">
      <w:pPr>
        <w:pStyle w:val="ListParagraph"/>
      </w:pPr>
    </w:p>
    <w:p w14:paraId="7C452D5D" w14:textId="6A164E28" w:rsidR="00C57A7D" w:rsidRDefault="00B711AC" w:rsidP="00C57A7D">
      <w:pPr>
        <w:ind w:left="720"/>
      </w:pPr>
      <w:r>
        <w:t xml:space="preserve">The 60-day window does not begin once the change is announced. Rather, the window begins once the change is fully implemented. An example of such a notification requirement is if Contractor ABC acquires ACME Corporation on February 1, 2018.  ABC has a current FAAP agreement.  At the time of the acquisition, ABC was already one month into their current AAP year and they were having internal discussions to determine how they would incorporate ACME employees into their current structure.  ABC determined that they would continue to maintain ACME’s establishment based AAPs until June 2018.  On June 1, 2018, ABC introduced its new organizational structure incorporating ACME employees into their FAAP structure.  This restructuring resulted in the addition of five new functional units and changes in the names and addresses of managing officials.  ABC is required to notify OFCCP of its new organizational structure by August 1, 2018 (60 days after the implementation of the new organizational structure).  </w:t>
      </w:r>
    </w:p>
    <w:p w14:paraId="5C331D8D" w14:textId="79EB4750" w:rsidR="00C57A7D" w:rsidRPr="00490F2F" w:rsidRDefault="00C57A7D" w:rsidP="00C57A7D">
      <w:pPr>
        <w:ind w:left="720"/>
      </w:pPr>
      <w:r>
        <w:t xml:space="preserve">  </w:t>
      </w:r>
    </w:p>
    <w:p w14:paraId="3E57F0C4" w14:textId="1E6A0094" w:rsidR="00B711AC" w:rsidRPr="00C57A7D" w:rsidRDefault="00B711AC" w:rsidP="00C57A7D">
      <w:pPr>
        <w:pStyle w:val="ListParagraph"/>
        <w:numPr>
          <w:ilvl w:val="0"/>
          <w:numId w:val="47"/>
        </w:numPr>
      </w:pPr>
      <w:r w:rsidRPr="005B68CC">
        <w:rPr>
          <w:b/>
        </w:rPr>
        <w:t>Collect data that would highlight the extent to which individuals with targeted and significant disabilities are being hired, retained, and promoted.</w:t>
      </w:r>
      <w:r w:rsidRPr="00E94B34">
        <w:t xml:space="preserve"> </w:t>
      </w:r>
      <w:r>
        <w:t xml:space="preserve"> OFCCP’s definition of “disability” in its regulations does not explicitly name “targeted” or “significant” disabilities.  On the contrary, the regulations state that the term must be construed in favor of broad coverage of individuals, to the maximum extent permitted by law” (41 CFR 60-741.2(g)). </w:t>
      </w:r>
      <w:r w:rsidR="00DA434C">
        <w:t xml:space="preserve"> </w:t>
      </w:r>
      <w:r w:rsidR="00F0338C">
        <w:t xml:space="preserve">Given this definition, OFCCP will not add the suggested data collection. </w:t>
      </w:r>
    </w:p>
    <w:p w14:paraId="23645841" w14:textId="7325F7F2" w:rsidR="005B68CC" w:rsidRPr="00C57A7D" w:rsidRDefault="00C57A7D" w:rsidP="00C57A7D">
      <w:pPr>
        <w:ind w:left="720"/>
      </w:pPr>
      <w:r w:rsidRPr="00C57A7D">
        <w:t xml:space="preserve">  </w:t>
      </w:r>
    </w:p>
    <w:p w14:paraId="4EBC673E" w14:textId="49CEBD43" w:rsidR="00B711AC" w:rsidRPr="00C57A7D" w:rsidRDefault="00B711AC" w:rsidP="00C57A7D">
      <w:pPr>
        <w:pStyle w:val="ListParagraph"/>
        <w:numPr>
          <w:ilvl w:val="0"/>
          <w:numId w:val="47"/>
        </w:numPr>
      </w:pPr>
      <w:r w:rsidRPr="00C57A7D">
        <w:rPr>
          <w:b/>
        </w:rPr>
        <w:t xml:space="preserve">Requiring a functional unit to track and maintain its own personnel activity ignores economies-of-scale with enterprise-wide HRIS and applicant tracking systems.  </w:t>
      </w:r>
      <w:r w:rsidRPr="00E94B34">
        <w:t xml:space="preserve">OFCCP </w:t>
      </w:r>
      <w:r w:rsidR="00DA434C">
        <w:t>respectfully dis</w:t>
      </w:r>
      <w:r w:rsidRPr="00E94B34">
        <w:t>agree</w:t>
      </w:r>
      <w:r w:rsidR="00DA434C">
        <w:t>s</w:t>
      </w:r>
      <w:r w:rsidRPr="00E94B34">
        <w:t xml:space="preserve"> with the comment that enterprise-wide HRIS and applicant tracking systems are not able to track and maintain group-specific personnel activity.  Contractors that maintain such systems are required to track the same information for each of their establishments in order to meet their AAP requirement</w:t>
      </w:r>
      <w:r>
        <w:t>s</w:t>
      </w:r>
      <w:r w:rsidRPr="00E94B34">
        <w:t xml:space="preserve">, which, in the absence of a FAAP, are establishment-based.  </w:t>
      </w:r>
      <w:r>
        <w:t>Since</w:t>
      </w:r>
      <w:r w:rsidRPr="00E94B34">
        <w:t xml:space="preserve"> </w:t>
      </w:r>
      <w:r>
        <w:t xml:space="preserve">most </w:t>
      </w:r>
      <w:r w:rsidRPr="00E94B34">
        <w:t>HRIS systems can track the required information by establishment</w:t>
      </w:r>
      <w:r>
        <w:t>,</w:t>
      </w:r>
      <w:r w:rsidRPr="00E94B34">
        <w:t xml:space="preserve"> </w:t>
      </w:r>
      <w:r w:rsidR="00262402">
        <w:t>this</w:t>
      </w:r>
      <w:r>
        <w:t xml:space="preserve"> </w:t>
      </w:r>
      <w:r w:rsidR="00DA434C">
        <w:t xml:space="preserve">same data </w:t>
      </w:r>
      <w:r w:rsidRPr="00E94B34">
        <w:t xml:space="preserve">can be manipulated to </w:t>
      </w:r>
      <w:r>
        <w:t xml:space="preserve">isolate </w:t>
      </w:r>
      <w:r w:rsidR="00DA434C">
        <w:t>the information</w:t>
      </w:r>
      <w:r>
        <w:t xml:space="preserve"> for a particular unit. </w:t>
      </w:r>
    </w:p>
    <w:p w14:paraId="7D053F23" w14:textId="37C32145" w:rsidR="005B68CC" w:rsidRPr="00C57A7D" w:rsidRDefault="00C57A7D" w:rsidP="00C57A7D">
      <w:pPr>
        <w:ind w:left="720"/>
      </w:pPr>
      <w:r w:rsidRPr="00C57A7D">
        <w:t xml:space="preserve">  </w:t>
      </w:r>
    </w:p>
    <w:p w14:paraId="34816ACE" w14:textId="71980054" w:rsidR="00B711AC" w:rsidRPr="00C57A7D" w:rsidRDefault="00B711AC" w:rsidP="00EB62AC">
      <w:pPr>
        <w:pStyle w:val="ListParagraph"/>
        <w:numPr>
          <w:ilvl w:val="0"/>
          <w:numId w:val="47"/>
        </w:numPr>
      </w:pPr>
      <w:r w:rsidRPr="005B68CC">
        <w:rPr>
          <w:b/>
        </w:rPr>
        <w:t xml:space="preserve">Make FAAP implementation and maintenance process a part of regulations enforced by OFCCP through formal rulemaking processes. </w:t>
      </w:r>
      <w:r w:rsidRPr="00E94B34">
        <w:t>OFCCP has created the FAAP program as a voluntary alternative to creating establishment-based AAP</w:t>
      </w:r>
      <w:r w:rsidR="00262402">
        <w:t>s</w:t>
      </w:r>
      <w:r w:rsidRPr="00E94B34">
        <w:t xml:space="preserve"> if contractors determine that a FAAP better serves their business needs.  </w:t>
      </w:r>
      <w:r w:rsidR="00493F6B">
        <w:t xml:space="preserve">This alternative is already recognized in OFCCP’s regulations at 41 CFR § 2.1(d)(4).  </w:t>
      </w:r>
      <w:r w:rsidRPr="00E94B34">
        <w:t xml:space="preserve">Other than minor changes to clarify parts of the program and </w:t>
      </w:r>
      <w:r>
        <w:t xml:space="preserve">efforts to </w:t>
      </w:r>
      <w:r w:rsidRPr="00E94B34">
        <w:t>reduce burden</w:t>
      </w:r>
      <w:r>
        <w:t>, such as changing the requirement to certify existing FAAP</w:t>
      </w:r>
      <w:r w:rsidR="00BE363C">
        <w:t xml:space="preserve"> agreements</w:t>
      </w:r>
      <w:r>
        <w:t xml:space="preserve"> from every three years to every five years</w:t>
      </w:r>
      <w:r w:rsidRPr="00E94B34">
        <w:t xml:space="preserve">, the Directive has not undergone major revisions since its previous OMB approval.  OFCCP will not at this time be issuing any new regulations related to the FAAP program. </w:t>
      </w:r>
    </w:p>
    <w:p w14:paraId="0A5642CD" w14:textId="3CCB9316" w:rsidR="007966BD" w:rsidRDefault="007966BD" w:rsidP="00EB62AC">
      <w:pPr>
        <w:pStyle w:val="ListParagraph"/>
      </w:pPr>
    </w:p>
    <w:p w14:paraId="68D69260" w14:textId="77777777" w:rsidR="00E82358" w:rsidRPr="007C38F7" w:rsidRDefault="00E82358" w:rsidP="00EB62AC">
      <w:pPr>
        <w:pStyle w:val="ListParagraph"/>
      </w:pPr>
    </w:p>
    <w:p w14:paraId="2A4D6BCB" w14:textId="38018701" w:rsidR="002C245C" w:rsidRPr="00A4247E" w:rsidRDefault="002C245C" w:rsidP="00285CC3">
      <w:pPr>
        <w:pStyle w:val="EndnoteText"/>
        <w:widowControl/>
        <w:numPr>
          <w:ilvl w:val="0"/>
          <w:numId w:val="41"/>
        </w:numPr>
        <w:tabs>
          <w:tab w:val="left" w:pos="-720"/>
        </w:tabs>
        <w:ind w:left="360"/>
        <w:rPr>
          <w:rFonts w:ascii="Times New Roman" w:hAnsi="Times New Roman"/>
          <w:b/>
          <w:color w:val="000000"/>
        </w:rPr>
      </w:pPr>
      <w:r w:rsidRPr="00A4247E">
        <w:rPr>
          <w:rFonts w:ascii="Times New Roman" w:hAnsi="Times New Roman"/>
          <w:b/>
          <w:color w:val="000000"/>
        </w:rPr>
        <w:t xml:space="preserve">Gift Giving </w:t>
      </w:r>
    </w:p>
    <w:p w14:paraId="772D22DC" w14:textId="77777777" w:rsidR="002C245C" w:rsidRPr="00A62D76" w:rsidRDefault="002C245C" w:rsidP="006E46D7">
      <w:pPr>
        <w:pStyle w:val="EndnoteText"/>
        <w:widowControl/>
        <w:tabs>
          <w:tab w:val="left" w:pos="-720"/>
        </w:tabs>
        <w:rPr>
          <w:rFonts w:ascii="Times New Roman" w:hAnsi="Times New Roman"/>
          <w:color w:val="000000"/>
        </w:rPr>
      </w:pPr>
    </w:p>
    <w:p w14:paraId="543EC03F" w14:textId="3E0F6C34" w:rsidR="002C6D33" w:rsidRDefault="0037532B" w:rsidP="006E46D7">
      <w:pPr>
        <w:pStyle w:val="EndnoteText"/>
        <w:widowControl/>
        <w:tabs>
          <w:tab w:val="left" w:pos="-720"/>
        </w:tabs>
        <w:rPr>
          <w:rFonts w:ascii="Times New Roman" w:hAnsi="Times New Roman"/>
          <w:color w:val="000000"/>
        </w:rPr>
      </w:pPr>
      <w:r>
        <w:rPr>
          <w:rFonts w:ascii="Times New Roman" w:hAnsi="Times New Roman"/>
          <w:color w:val="000000"/>
        </w:rPr>
        <w:t>OFCCP does not provide gifts or payments</w:t>
      </w:r>
      <w:r w:rsidR="002C245C" w:rsidRPr="00A4247E">
        <w:rPr>
          <w:rFonts w:ascii="Times New Roman" w:hAnsi="Times New Roman"/>
          <w:color w:val="000000"/>
        </w:rPr>
        <w:t xml:space="preserve"> to respondents.</w:t>
      </w:r>
    </w:p>
    <w:p w14:paraId="70204DAF" w14:textId="1F55FFFA" w:rsidR="00286E2F" w:rsidRPr="00A4247E" w:rsidRDefault="00286E2F" w:rsidP="006E46D7">
      <w:pPr>
        <w:pStyle w:val="EndnoteText"/>
        <w:widowControl/>
        <w:tabs>
          <w:tab w:val="left" w:pos="-720"/>
        </w:tabs>
        <w:rPr>
          <w:rFonts w:ascii="Times New Roman" w:hAnsi="Times New Roman"/>
          <w:color w:val="000000"/>
        </w:rPr>
      </w:pPr>
    </w:p>
    <w:p w14:paraId="526DCDBC" w14:textId="7D8A3005" w:rsidR="002C245C" w:rsidRPr="00A4247E" w:rsidRDefault="00285CC3" w:rsidP="00285CC3">
      <w:pPr>
        <w:pStyle w:val="EndnoteText"/>
        <w:widowControl/>
        <w:numPr>
          <w:ilvl w:val="0"/>
          <w:numId w:val="41"/>
        </w:numPr>
        <w:tabs>
          <w:tab w:val="left" w:pos="-720"/>
        </w:tabs>
        <w:ind w:left="360"/>
        <w:rPr>
          <w:rFonts w:ascii="Times New Roman" w:hAnsi="Times New Roman"/>
          <w:b/>
          <w:color w:val="000000"/>
        </w:rPr>
      </w:pPr>
      <w:r>
        <w:rPr>
          <w:rFonts w:ascii="Times New Roman" w:hAnsi="Times New Roman"/>
          <w:b/>
          <w:color w:val="000000"/>
        </w:rPr>
        <w:t xml:space="preserve"> </w:t>
      </w:r>
      <w:r w:rsidR="0037532B">
        <w:rPr>
          <w:rFonts w:ascii="Times New Roman" w:hAnsi="Times New Roman"/>
          <w:b/>
          <w:color w:val="000000"/>
        </w:rPr>
        <w:t xml:space="preserve">Confidentiality of Information </w:t>
      </w:r>
    </w:p>
    <w:p w14:paraId="597A9790" w14:textId="77777777" w:rsidR="002C245C" w:rsidRPr="00A62D76" w:rsidRDefault="002C245C" w:rsidP="006E46D7">
      <w:pPr>
        <w:pStyle w:val="EndnoteText"/>
        <w:widowControl/>
        <w:tabs>
          <w:tab w:val="left" w:pos="-720"/>
        </w:tabs>
        <w:rPr>
          <w:rFonts w:ascii="Times New Roman" w:hAnsi="Times New Roman"/>
          <w:color w:val="000000"/>
        </w:rPr>
      </w:pPr>
      <w:r w:rsidRPr="00A4247E">
        <w:rPr>
          <w:rFonts w:ascii="Times New Roman" w:hAnsi="Times New Roman"/>
          <w:b/>
          <w:color w:val="000000"/>
        </w:rPr>
        <w:tab/>
      </w:r>
    </w:p>
    <w:p w14:paraId="4F15493A" w14:textId="1B3F84F0" w:rsidR="002C245C" w:rsidRPr="00A4247E" w:rsidRDefault="002C245C" w:rsidP="00A633B2">
      <w:pPr>
        <w:pStyle w:val="EndnoteText"/>
        <w:widowControl/>
        <w:tabs>
          <w:tab w:val="left" w:pos="-720"/>
        </w:tabs>
        <w:rPr>
          <w:rFonts w:ascii="Times New Roman" w:hAnsi="Times New Roman"/>
          <w:color w:val="000000"/>
        </w:rPr>
      </w:pPr>
      <w:r w:rsidRPr="00A4247E">
        <w:rPr>
          <w:rFonts w:ascii="Times New Roman" w:hAnsi="Times New Roman"/>
          <w:color w:val="000000"/>
        </w:rPr>
        <w:t xml:space="preserve">The information obtained from a contractor will be evaluated pursuant to the public inspection and </w:t>
      </w:r>
      <w:r w:rsidR="00E54309">
        <w:rPr>
          <w:rFonts w:ascii="Times New Roman" w:hAnsi="Times New Roman"/>
          <w:color w:val="000000"/>
        </w:rPr>
        <w:t>disclosure</w:t>
      </w:r>
      <w:r w:rsidRPr="00A4247E">
        <w:rPr>
          <w:rFonts w:ascii="Times New Roman" w:hAnsi="Times New Roman"/>
          <w:color w:val="000000"/>
        </w:rPr>
        <w:t xml:space="preserve"> provisions of the Freedom of Information Act (FOIA), 5 U.S.C. 552, and the Department of Labor’s implementing regulations at</w:t>
      </w:r>
      <w:r w:rsidR="00285CC3">
        <w:rPr>
          <w:rFonts w:ascii="Times New Roman" w:hAnsi="Times New Roman"/>
          <w:color w:val="000000"/>
        </w:rPr>
        <w:t xml:space="preserve"> 29 CFR Part 70.  It is required</w:t>
      </w:r>
      <w:r w:rsidRPr="00A4247E">
        <w:rPr>
          <w:rFonts w:ascii="Times New Roman" w:hAnsi="Times New Roman"/>
          <w:color w:val="000000"/>
        </w:rPr>
        <w:t xml:space="preserve"> that impacted contractors be notified in writing when a FOIA request has been made for contractor data.  OFCCP makes no dec</w:t>
      </w:r>
      <w:r w:rsidR="00441D08">
        <w:rPr>
          <w:rFonts w:ascii="Times New Roman" w:hAnsi="Times New Roman"/>
          <w:color w:val="000000"/>
        </w:rPr>
        <w:t>ision to disclose such data,</w:t>
      </w:r>
      <w:r w:rsidRPr="00A4247E">
        <w:rPr>
          <w:rFonts w:ascii="Times New Roman" w:hAnsi="Times New Roman"/>
          <w:color w:val="000000"/>
        </w:rPr>
        <w:t xml:space="preserve"> until the contractor has had an opportunity to submit objection</w:t>
      </w:r>
      <w:r w:rsidR="00285CC3">
        <w:rPr>
          <w:rFonts w:ascii="Times New Roman" w:hAnsi="Times New Roman"/>
          <w:color w:val="000000"/>
        </w:rPr>
        <w:t>s to the release of the information</w:t>
      </w:r>
      <w:r w:rsidRPr="00A4247E">
        <w:rPr>
          <w:rFonts w:ascii="Times New Roman" w:hAnsi="Times New Roman"/>
          <w:color w:val="000000"/>
        </w:rPr>
        <w:t>.</w:t>
      </w:r>
    </w:p>
    <w:p w14:paraId="6469BAB8" w14:textId="43B4F9B8" w:rsidR="00EB62AC" w:rsidRPr="00A4247E" w:rsidRDefault="00EB62AC" w:rsidP="00A62D76">
      <w:pPr>
        <w:pStyle w:val="EndnoteText"/>
        <w:widowControl/>
        <w:tabs>
          <w:tab w:val="left" w:pos="-720"/>
        </w:tabs>
        <w:rPr>
          <w:rFonts w:ascii="Times New Roman" w:hAnsi="Times New Roman"/>
          <w:color w:val="000000"/>
        </w:rPr>
      </w:pPr>
    </w:p>
    <w:p w14:paraId="69EC3162" w14:textId="550E65FE" w:rsidR="002C245C" w:rsidRPr="00A4247E" w:rsidRDefault="00285CC3" w:rsidP="00285CC3">
      <w:pPr>
        <w:pStyle w:val="EndnoteText"/>
        <w:widowControl/>
        <w:numPr>
          <w:ilvl w:val="0"/>
          <w:numId w:val="41"/>
        </w:numPr>
        <w:tabs>
          <w:tab w:val="left" w:pos="-720"/>
          <w:tab w:val="left" w:pos="1170"/>
        </w:tabs>
        <w:ind w:left="360"/>
        <w:rPr>
          <w:rFonts w:ascii="Times New Roman" w:hAnsi="Times New Roman"/>
          <w:b/>
          <w:color w:val="000000"/>
        </w:rPr>
      </w:pPr>
      <w:r>
        <w:rPr>
          <w:rFonts w:ascii="Times New Roman" w:hAnsi="Times New Roman"/>
          <w:color w:val="000000"/>
        </w:rPr>
        <w:t xml:space="preserve"> </w:t>
      </w:r>
      <w:r>
        <w:rPr>
          <w:rFonts w:ascii="Times New Roman" w:hAnsi="Times New Roman"/>
          <w:b/>
          <w:color w:val="000000"/>
        </w:rPr>
        <w:t xml:space="preserve">Questions of Sensitive Nature </w:t>
      </w:r>
    </w:p>
    <w:p w14:paraId="252F7191" w14:textId="77777777" w:rsidR="002C245C" w:rsidRPr="00A4247E" w:rsidRDefault="002C245C" w:rsidP="00285CC3">
      <w:pPr>
        <w:pStyle w:val="EndnoteText"/>
        <w:widowControl/>
        <w:tabs>
          <w:tab w:val="left" w:pos="-720"/>
        </w:tabs>
        <w:ind w:left="360" w:hanging="360"/>
        <w:rPr>
          <w:rFonts w:ascii="Times New Roman" w:hAnsi="Times New Roman"/>
          <w:b/>
          <w:color w:val="000000"/>
        </w:rPr>
      </w:pPr>
    </w:p>
    <w:p w14:paraId="28248FE9" w14:textId="33BC91AE" w:rsidR="002C245C" w:rsidRPr="00A4247E" w:rsidRDefault="008106B0" w:rsidP="00A633B2">
      <w:pPr>
        <w:pStyle w:val="EndnoteText"/>
        <w:widowControl/>
        <w:tabs>
          <w:tab w:val="left" w:pos="-720"/>
        </w:tabs>
        <w:rPr>
          <w:rFonts w:ascii="Times New Roman" w:hAnsi="Times New Roman"/>
          <w:color w:val="000000"/>
        </w:rPr>
      </w:pPr>
      <w:r>
        <w:rPr>
          <w:rFonts w:ascii="Times New Roman" w:hAnsi="Times New Roman"/>
          <w:color w:val="000000"/>
        </w:rPr>
        <w:t>This informa</w:t>
      </w:r>
      <w:r w:rsidR="004538E6">
        <w:rPr>
          <w:rFonts w:ascii="Times New Roman" w:hAnsi="Times New Roman"/>
          <w:color w:val="000000"/>
        </w:rPr>
        <w:t xml:space="preserve">tion collection does not contain any questions of a sensitive nature.  </w:t>
      </w:r>
      <w:r>
        <w:rPr>
          <w:rFonts w:ascii="Times New Roman" w:hAnsi="Times New Roman"/>
          <w:color w:val="000000"/>
        </w:rPr>
        <w:t xml:space="preserve">The </w:t>
      </w:r>
      <w:r w:rsidR="004538E6">
        <w:rPr>
          <w:rFonts w:ascii="Times New Roman" w:hAnsi="Times New Roman"/>
          <w:color w:val="000000"/>
        </w:rPr>
        <w:t>respondents of the information collection will provide information that correlates with the criteria of requesting a FAAP agreement and all required documentation</w:t>
      </w:r>
      <w:r w:rsidR="007C2749">
        <w:rPr>
          <w:rFonts w:ascii="Times New Roman" w:hAnsi="Times New Roman"/>
          <w:color w:val="000000"/>
        </w:rPr>
        <w:t>.</w:t>
      </w:r>
      <w:r w:rsidR="004538E6" w:rsidRPr="004538E6">
        <w:rPr>
          <w:rFonts w:ascii="Times New Roman" w:hAnsi="Times New Roman"/>
          <w:color w:val="000000"/>
        </w:rPr>
        <w:t xml:space="preserve"> </w:t>
      </w:r>
      <w:r w:rsidR="007C2749">
        <w:rPr>
          <w:rFonts w:ascii="Times New Roman" w:hAnsi="Times New Roman"/>
          <w:color w:val="000000"/>
        </w:rPr>
        <w:t xml:space="preserve">It </w:t>
      </w:r>
      <w:r w:rsidR="004538E6">
        <w:rPr>
          <w:rFonts w:ascii="Times New Roman" w:hAnsi="Times New Roman"/>
          <w:color w:val="000000"/>
        </w:rPr>
        <w:t>is intended to verify contractor eligibility and determine whether the contractor has met the requirements of the FAAP criteria</w:t>
      </w:r>
      <w:r w:rsidR="00441D08">
        <w:rPr>
          <w:rFonts w:ascii="Times New Roman" w:hAnsi="Times New Roman"/>
          <w:color w:val="000000"/>
        </w:rPr>
        <w:t xml:space="preserve">, as outlined in 41 CFR Part </w:t>
      </w:r>
      <w:r w:rsidR="00A12E66">
        <w:rPr>
          <w:rFonts w:ascii="Times New Roman" w:hAnsi="Times New Roman"/>
          <w:color w:val="000000"/>
        </w:rPr>
        <w:t>60-2 and FAAP</w:t>
      </w:r>
      <w:r w:rsidR="00441D08">
        <w:rPr>
          <w:rFonts w:ascii="Times New Roman" w:hAnsi="Times New Roman"/>
          <w:color w:val="000000"/>
        </w:rPr>
        <w:t xml:space="preserve"> Directive. </w:t>
      </w:r>
      <w:r>
        <w:rPr>
          <w:rFonts w:ascii="Times New Roman" w:hAnsi="Times New Roman"/>
          <w:color w:val="000000"/>
        </w:rPr>
        <w:t xml:space="preserve"> </w:t>
      </w:r>
    </w:p>
    <w:p w14:paraId="1DB19505" w14:textId="77777777" w:rsidR="002C245C" w:rsidRPr="00A4247E" w:rsidRDefault="002C245C" w:rsidP="006E46D7">
      <w:pPr>
        <w:pStyle w:val="EndnoteText"/>
        <w:widowControl/>
        <w:tabs>
          <w:tab w:val="left" w:pos="-720"/>
        </w:tabs>
        <w:ind w:left="720"/>
        <w:rPr>
          <w:rFonts w:ascii="Times New Roman" w:hAnsi="Times New Roman"/>
          <w:color w:val="000000"/>
        </w:rPr>
      </w:pPr>
    </w:p>
    <w:p w14:paraId="40AE9D35" w14:textId="089106D0" w:rsidR="002C245C" w:rsidRPr="00A4247E" w:rsidRDefault="00285CC3" w:rsidP="00285CC3">
      <w:pPr>
        <w:pStyle w:val="EndnoteText"/>
        <w:widowControl/>
        <w:numPr>
          <w:ilvl w:val="0"/>
          <w:numId w:val="41"/>
        </w:numPr>
        <w:tabs>
          <w:tab w:val="left" w:pos="-720"/>
        </w:tabs>
        <w:ind w:left="360"/>
        <w:rPr>
          <w:rFonts w:ascii="Times New Roman" w:hAnsi="Times New Roman"/>
          <w:color w:val="000000"/>
        </w:rPr>
      </w:pPr>
      <w:r>
        <w:rPr>
          <w:rFonts w:ascii="Times New Roman" w:hAnsi="Times New Roman"/>
          <w:color w:val="000000"/>
        </w:rPr>
        <w:t xml:space="preserve"> </w:t>
      </w:r>
      <w:r>
        <w:rPr>
          <w:rFonts w:ascii="Times New Roman" w:hAnsi="Times New Roman"/>
          <w:b/>
          <w:color w:val="000000"/>
        </w:rPr>
        <w:t xml:space="preserve">Information Collection Hour Burden </w:t>
      </w:r>
      <w:r w:rsidR="002C245C" w:rsidRPr="00A4247E">
        <w:rPr>
          <w:rFonts w:ascii="Times New Roman" w:hAnsi="Times New Roman"/>
          <w:color w:val="000000"/>
        </w:rPr>
        <w:t xml:space="preserve"> </w:t>
      </w:r>
    </w:p>
    <w:p w14:paraId="05D1E388" w14:textId="18B29EDA" w:rsidR="002C245C" w:rsidRDefault="002C245C" w:rsidP="006E46D7">
      <w:pPr>
        <w:pStyle w:val="EndnoteText"/>
        <w:widowControl/>
        <w:tabs>
          <w:tab w:val="left" w:pos="-720"/>
        </w:tabs>
        <w:rPr>
          <w:rFonts w:ascii="Times New Roman" w:hAnsi="Times New Roman"/>
          <w:color w:val="000000"/>
        </w:rPr>
      </w:pPr>
    </w:p>
    <w:p w14:paraId="77BA12ED" w14:textId="2251309B" w:rsidR="00851A86" w:rsidRDefault="00851A86" w:rsidP="00851A86">
      <w:pPr>
        <w:tabs>
          <w:tab w:val="left" w:pos="-720"/>
        </w:tabs>
        <w:rPr>
          <w:rFonts w:eastAsia="Times New Roman"/>
          <w:szCs w:val="20"/>
        </w:rPr>
      </w:pPr>
      <w:r w:rsidRPr="00851A86">
        <w:rPr>
          <w:rFonts w:eastAsia="Times New Roman"/>
          <w:szCs w:val="20"/>
        </w:rPr>
        <w:t xml:space="preserve">The burden associated with this information collection </w:t>
      </w:r>
      <w:r w:rsidR="00951C96">
        <w:rPr>
          <w:rFonts w:eastAsia="Times New Roman"/>
          <w:szCs w:val="20"/>
        </w:rPr>
        <w:t>is</w:t>
      </w:r>
      <w:r w:rsidRPr="00851A86">
        <w:rPr>
          <w:rFonts w:eastAsia="Times New Roman"/>
          <w:szCs w:val="20"/>
        </w:rPr>
        <w:t xml:space="preserve"> related to reporting.  The recordkeeping burden related to developing, updating</w:t>
      </w:r>
      <w:r w:rsidR="001F7044">
        <w:rPr>
          <w:rFonts w:eastAsia="Times New Roman"/>
          <w:szCs w:val="20"/>
        </w:rPr>
        <w:t>,</w:t>
      </w:r>
      <w:r w:rsidRPr="00851A86">
        <w:rPr>
          <w:rFonts w:eastAsia="Times New Roman"/>
          <w:szCs w:val="20"/>
        </w:rPr>
        <w:t xml:space="preserve"> and maintaining AAPs </w:t>
      </w:r>
      <w:r w:rsidR="00D37632">
        <w:rPr>
          <w:rFonts w:eastAsia="Times New Roman"/>
          <w:szCs w:val="20"/>
        </w:rPr>
        <w:t>is</w:t>
      </w:r>
      <w:r w:rsidRPr="00851A86">
        <w:rPr>
          <w:rFonts w:eastAsia="Times New Roman"/>
          <w:szCs w:val="20"/>
        </w:rPr>
        <w:t xml:space="preserve"> included in OFCCP’s ICR for supply and service contractors,</w:t>
      </w:r>
      <w:r w:rsidR="00951C96">
        <w:rPr>
          <w:rFonts w:eastAsia="Times New Roman"/>
          <w:szCs w:val="20"/>
        </w:rPr>
        <w:t xml:space="preserve"> as mentioned above</w:t>
      </w:r>
      <w:r w:rsidRPr="00851A86">
        <w:rPr>
          <w:rFonts w:eastAsia="Times New Roman"/>
          <w:szCs w:val="20"/>
        </w:rPr>
        <w:t xml:space="preserve">.  </w:t>
      </w:r>
    </w:p>
    <w:p w14:paraId="1FC271B8" w14:textId="77777777" w:rsidR="00286E2F" w:rsidRPr="00851A86" w:rsidRDefault="00286E2F" w:rsidP="00851A86">
      <w:pPr>
        <w:tabs>
          <w:tab w:val="left" w:pos="-720"/>
        </w:tabs>
        <w:rPr>
          <w:rFonts w:eastAsia="Times New Roman"/>
          <w:color w:val="auto"/>
          <w:szCs w:val="20"/>
        </w:rPr>
      </w:pPr>
    </w:p>
    <w:p w14:paraId="7BC407F6" w14:textId="1A932EC4" w:rsidR="00851A86" w:rsidRPr="00851A86" w:rsidRDefault="00951C96" w:rsidP="001F7044">
      <w:pPr>
        <w:tabs>
          <w:tab w:val="left" w:pos="-720"/>
        </w:tabs>
        <w:rPr>
          <w:rFonts w:eastAsia="Times New Roman"/>
          <w:color w:val="auto"/>
          <w:szCs w:val="20"/>
        </w:rPr>
      </w:pPr>
      <w:r>
        <w:rPr>
          <w:rFonts w:eastAsia="Times New Roman"/>
          <w:color w:val="auto"/>
          <w:szCs w:val="20"/>
        </w:rPr>
        <w:t xml:space="preserve">To obtain approval to create an AAP based on </w:t>
      </w:r>
      <w:r w:rsidR="00607576">
        <w:rPr>
          <w:rFonts w:eastAsia="Times New Roman"/>
          <w:color w:val="auto"/>
          <w:szCs w:val="20"/>
        </w:rPr>
        <w:t xml:space="preserve">a </w:t>
      </w:r>
      <w:r>
        <w:rPr>
          <w:rFonts w:eastAsia="Times New Roman"/>
          <w:color w:val="auto"/>
          <w:szCs w:val="20"/>
        </w:rPr>
        <w:t>functional or business unit, a contractor must send a written request to the OFCCP Director that</w:t>
      </w:r>
      <w:r w:rsidR="00851A86" w:rsidRPr="00851A86">
        <w:rPr>
          <w:rFonts w:eastAsia="Times New Roman"/>
          <w:color w:val="auto"/>
          <w:szCs w:val="20"/>
        </w:rPr>
        <w:t xml:space="preserve"> </w:t>
      </w:r>
      <w:r w:rsidR="00607576">
        <w:rPr>
          <w:rFonts w:eastAsia="Times New Roman"/>
          <w:color w:val="auto"/>
          <w:szCs w:val="20"/>
        </w:rPr>
        <w:t xml:space="preserve">includes the </w:t>
      </w:r>
      <w:r w:rsidR="002C6D33">
        <w:rPr>
          <w:rFonts w:eastAsia="Times New Roman"/>
          <w:color w:val="auto"/>
          <w:szCs w:val="20"/>
        </w:rPr>
        <w:t>support</w:t>
      </w:r>
      <w:r w:rsidR="00607576">
        <w:rPr>
          <w:rFonts w:eastAsia="Times New Roman"/>
          <w:color w:val="auto"/>
          <w:szCs w:val="20"/>
        </w:rPr>
        <w:t>ing</w:t>
      </w:r>
      <w:r w:rsidR="002C6D33">
        <w:rPr>
          <w:rFonts w:eastAsia="Times New Roman"/>
          <w:color w:val="auto"/>
          <w:szCs w:val="20"/>
        </w:rPr>
        <w:t xml:space="preserve"> documentation</w:t>
      </w:r>
      <w:r w:rsidR="00682A5A">
        <w:rPr>
          <w:rFonts w:eastAsia="Times New Roman"/>
          <w:color w:val="auto"/>
          <w:szCs w:val="20"/>
        </w:rPr>
        <w:t>, for which the burden is assessed</w:t>
      </w:r>
      <w:r w:rsidR="00607576">
        <w:rPr>
          <w:rFonts w:eastAsia="Times New Roman"/>
          <w:color w:val="auto"/>
          <w:szCs w:val="20"/>
        </w:rPr>
        <w:t xml:space="preserve"> below</w:t>
      </w:r>
      <w:r w:rsidR="00851A86" w:rsidRPr="00851A86">
        <w:rPr>
          <w:rFonts w:eastAsia="Times New Roman"/>
          <w:color w:val="auto"/>
          <w:szCs w:val="20"/>
        </w:rPr>
        <w:t xml:space="preserve">.  </w:t>
      </w:r>
      <w:r w:rsidR="002C6D33">
        <w:rPr>
          <w:rFonts w:eastAsia="Times New Roman"/>
          <w:color w:val="auto"/>
          <w:szCs w:val="20"/>
        </w:rPr>
        <w:t>The</w:t>
      </w:r>
      <w:r w:rsidR="00851A86" w:rsidRPr="00851A86">
        <w:rPr>
          <w:rFonts w:eastAsia="Times New Roman"/>
          <w:color w:val="auto"/>
          <w:szCs w:val="20"/>
        </w:rPr>
        <w:t xml:space="preserve"> reporting bur</w:t>
      </w:r>
      <w:r w:rsidR="00F61FF2">
        <w:rPr>
          <w:rFonts w:eastAsia="Times New Roman"/>
          <w:color w:val="auto"/>
          <w:szCs w:val="20"/>
        </w:rPr>
        <w:t xml:space="preserve">den </w:t>
      </w:r>
      <w:r w:rsidR="001F7044">
        <w:rPr>
          <w:rFonts w:eastAsia="Times New Roman"/>
          <w:color w:val="auto"/>
          <w:szCs w:val="20"/>
        </w:rPr>
        <w:t>in this section accounts for</w:t>
      </w:r>
      <w:r w:rsidR="00A30072">
        <w:rPr>
          <w:rFonts w:eastAsia="Times New Roman"/>
          <w:color w:val="auto"/>
          <w:szCs w:val="20"/>
        </w:rPr>
        <w:t xml:space="preserve"> the</w:t>
      </w:r>
      <w:r w:rsidR="00851A86" w:rsidRPr="00851A86">
        <w:rPr>
          <w:rFonts w:eastAsia="Times New Roman"/>
          <w:color w:val="auto"/>
          <w:szCs w:val="20"/>
        </w:rPr>
        <w:t xml:space="preserve"> </w:t>
      </w:r>
      <w:r w:rsidR="002C6D33">
        <w:rPr>
          <w:rFonts w:eastAsia="Times New Roman"/>
          <w:color w:val="auto"/>
          <w:szCs w:val="20"/>
        </w:rPr>
        <w:t xml:space="preserve">request for </w:t>
      </w:r>
      <w:r w:rsidR="001F7044">
        <w:rPr>
          <w:rFonts w:eastAsia="Times New Roman"/>
          <w:color w:val="auto"/>
          <w:szCs w:val="20"/>
        </w:rPr>
        <w:t>approval</w:t>
      </w:r>
      <w:r w:rsidR="00851A86" w:rsidRPr="00851A86">
        <w:rPr>
          <w:rFonts w:eastAsia="Times New Roman"/>
          <w:color w:val="auto"/>
          <w:szCs w:val="20"/>
        </w:rPr>
        <w:t xml:space="preserve"> and the retrieval of </w:t>
      </w:r>
      <w:r w:rsidR="001F7044">
        <w:rPr>
          <w:rFonts w:eastAsia="Times New Roman"/>
          <w:color w:val="auto"/>
          <w:szCs w:val="20"/>
        </w:rPr>
        <w:t>the</w:t>
      </w:r>
      <w:r w:rsidR="00A30072">
        <w:rPr>
          <w:rFonts w:eastAsia="Times New Roman"/>
          <w:color w:val="auto"/>
          <w:szCs w:val="20"/>
        </w:rPr>
        <w:t xml:space="preserve"> </w:t>
      </w:r>
      <w:r w:rsidR="00851A86" w:rsidRPr="00851A86">
        <w:rPr>
          <w:rFonts w:eastAsia="Times New Roman"/>
          <w:color w:val="auto"/>
          <w:szCs w:val="20"/>
        </w:rPr>
        <w:t>information needed by OFCCP to make its determinatio</w:t>
      </w:r>
      <w:r w:rsidR="001F7044">
        <w:rPr>
          <w:rFonts w:eastAsia="Times New Roman"/>
          <w:color w:val="auto"/>
          <w:szCs w:val="20"/>
        </w:rPr>
        <w:t>n.  The estimates of time necessary</w:t>
      </w:r>
      <w:r w:rsidR="00851A86" w:rsidRPr="00851A86">
        <w:rPr>
          <w:rFonts w:eastAsia="Times New Roman"/>
          <w:color w:val="auto"/>
          <w:szCs w:val="20"/>
        </w:rPr>
        <w:t xml:space="preserve"> to </w:t>
      </w:r>
      <w:r w:rsidR="001F7044">
        <w:rPr>
          <w:rFonts w:eastAsia="Times New Roman"/>
          <w:color w:val="auto"/>
          <w:szCs w:val="20"/>
        </w:rPr>
        <w:t>complete each step of the process are based on</w:t>
      </w:r>
      <w:r w:rsidR="00851A86" w:rsidRPr="00851A86">
        <w:rPr>
          <w:rFonts w:eastAsia="Times New Roman"/>
          <w:color w:val="auto"/>
          <w:szCs w:val="20"/>
        </w:rPr>
        <w:t xml:space="preserve"> OFCCP</w:t>
      </w:r>
      <w:r w:rsidR="00482DD9">
        <w:rPr>
          <w:rFonts w:eastAsia="Times New Roman"/>
          <w:color w:val="auto"/>
          <w:szCs w:val="20"/>
        </w:rPr>
        <w:t xml:space="preserve">’s </w:t>
      </w:r>
      <w:r w:rsidR="001F7044">
        <w:rPr>
          <w:rFonts w:eastAsia="Times New Roman"/>
          <w:color w:val="auto"/>
          <w:szCs w:val="20"/>
        </w:rPr>
        <w:t>experience with the FAAP program</w:t>
      </w:r>
      <w:r w:rsidR="00482DD9">
        <w:rPr>
          <w:rFonts w:eastAsia="Times New Roman"/>
          <w:color w:val="auto"/>
          <w:szCs w:val="20"/>
        </w:rPr>
        <w:t>.</w:t>
      </w:r>
    </w:p>
    <w:p w14:paraId="24AA792D" w14:textId="77777777" w:rsidR="001F7044" w:rsidRDefault="001F7044" w:rsidP="00851A86">
      <w:pPr>
        <w:tabs>
          <w:tab w:val="left" w:pos="-720"/>
        </w:tabs>
        <w:rPr>
          <w:rFonts w:eastAsia="Times New Roman"/>
          <w:color w:val="auto"/>
          <w:szCs w:val="20"/>
        </w:rPr>
      </w:pPr>
    </w:p>
    <w:p w14:paraId="2581C006" w14:textId="36F89BBA" w:rsidR="00E54309" w:rsidRPr="00EB62AC" w:rsidRDefault="00851A86" w:rsidP="00E54309">
      <w:pPr>
        <w:tabs>
          <w:tab w:val="left" w:pos="-720"/>
        </w:tabs>
        <w:rPr>
          <w:b/>
          <w:color w:val="auto"/>
          <w:u w:val="single"/>
        </w:rPr>
      </w:pPr>
      <w:r w:rsidRPr="00851A86">
        <w:rPr>
          <w:rFonts w:eastAsia="Times New Roman"/>
          <w:color w:val="auto"/>
          <w:szCs w:val="20"/>
        </w:rPr>
        <w:t>OFCCP</w:t>
      </w:r>
      <w:r w:rsidR="00A30072">
        <w:rPr>
          <w:rFonts w:eastAsia="Times New Roman"/>
          <w:color w:val="auto"/>
          <w:szCs w:val="20"/>
        </w:rPr>
        <w:t xml:space="preserve"> currently</w:t>
      </w:r>
      <w:r w:rsidRPr="00851A86">
        <w:rPr>
          <w:rFonts w:eastAsia="Times New Roman"/>
          <w:color w:val="auto"/>
          <w:szCs w:val="20"/>
        </w:rPr>
        <w:t xml:space="preserve"> has FAAP agreements</w:t>
      </w:r>
      <w:r w:rsidR="001F7044">
        <w:rPr>
          <w:rFonts w:eastAsia="Times New Roman"/>
          <w:color w:val="auto"/>
          <w:szCs w:val="20"/>
        </w:rPr>
        <w:t xml:space="preserve"> with 71 contractors that cover 1,932</w:t>
      </w:r>
      <w:r w:rsidRPr="00851A86">
        <w:rPr>
          <w:rFonts w:eastAsia="Times New Roman"/>
          <w:color w:val="auto"/>
          <w:szCs w:val="20"/>
        </w:rPr>
        <w:t xml:space="preserve"> functional units.  OFCCP estimates th</w:t>
      </w:r>
      <w:r w:rsidR="007274CF">
        <w:rPr>
          <w:rFonts w:eastAsia="Times New Roman"/>
          <w:color w:val="auto"/>
          <w:szCs w:val="20"/>
        </w:rPr>
        <w:t>at there will be approximately five</w:t>
      </w:r>
      <w:r w:rsidRPr="00851A86">
        <w:rPr>
          <w:rFonts w:eastAsia="Times New Roman"/>
          <w:color w:val="auto"/>
          <w:szCs w:val="20"/>
        </w:rPr>
        <w:t xml:space="preserve"> requests for new FAAP agreements each year</w:t>
      </w:r>
      <w:r w:rsidR="00682A5A">
        <w:rPr>
          <w:rFonts w:eastAsia="Times New Roman"/>
          <w:color w:val="auto"/>
          <w:szCs w:val="20"/>
        </w:rPr>
        <w:t>, an</w:t>
      </w:r>
      <w:r w:rsidRPr="00851A86">
        <w:rPr>
          <w:rFonts w:eastAsia="Times New Roman"/>
          <w:color w:val="auto"/>
          <w:szCs w:val="20"/>
        </w:rPr>
        <w:t xml:space="preserve"> estimate </w:t>
      </w:r>
      <w:r w:rsidR="00682A5A">
        <w:rPr>
          <w:rFonts w:eastAsia="Times New Roman"/>
          <w:color w:val="auto"/>
          <w:szCs w:val="20"/>
        </w:rPr>
        <w:t xml:space="preserve">that </w:t>
      </w:r>
      <w:r w:rsidR="00F61FF2">
        <w:rPr>
          <w:rFonts w:eastAsia="Times New Roman"/>
          <w:color w:val="auto"/>
          <w:szCs w:val="20"/>
        </w:rPr>
        <w:t xml:space="preserve">is based on the number of </w:t>
      </w:r>
      <w:r w:rsidRPr="00851A86">
        <w:rPr>
          <w:rFonts w:eastAsia="Times New Roman"/>
          <w:color w:val="auto"/>
          <w:szCs w:val="20"/>
        </w:rPr>
        <w:t xml:space="preserve">agreements requested in the previous </w:t>
      </w:r>
      <w:r w:rsidR="00E25784">
        <w:rPr>
          <w:rFonts w:eastAsia="Times New Roman"/>
          <w:color w:val="auto"/>
          <w:szCs w:val="20"/>
        </w:rPr>
        <w:t xml:space="preserve">three </w:t>
      </w:r>
      <w:r w:rsidRPr="00851A86">
        <w:rPr>
          <w:rFonts w:eastAsia="Times New Roman"/>
          <w:color w:val="auto"/>
          <w:szCs w:val="20"/>
        </w:rPr>
        <w:t>years.</w:t>
      </w:r>
      <w:r w:rsidRPr="00851A86">
        <w:rPr>
          <w:rFonts w:eastAsia="Times New Roman"/>
          <w:szCs w:val="20"/>
        </w:rPr>
        <w:t xml:space="preserve">  </w:t>
      </w:r>
    </w:p>
    <w:p w14:paraId="7A7B0EB3" w14:textId="77777777" w:rsidR="00E54309" w:rsidRPr="00EB62AC" w:rsidRDefault="00E54309" w:rsidP="00EB62AC">
      <w:pPr>
        <w:tabs>
          <w:tab w:val="left" w:pos="-720"/>
        </w:tabs>
        <w:rPr>
          <w:b/>
          <w:color w:val="auto"/>
          <w:u w:val="single"/>
        </w:rPr>
      </w:pPr>
    </w:p>
    <w:p w14:paraId="0807530B" w14:textId="4BF8DEA2" w:rsidR="00851A86" w:rsidRPr="00851A86" w:rsidRDefault="00851A86" w:rsidP="00964502">
      <w:pPr>
        <w:tabs>
          <w:tab w:val="left" w:pos="-720"/>
        </w:tabs>
        <w:spacing w:after="160" w:line="259" w:lineRule="auto"/>
        <w:rPr>
          <w:rFonts w:eastAsia="Times New Roman"/>
          <w:b/>
          <w:color w:val="auto"/>
          <w:szCs w:val="20"/>
          <w:u w:val="single"/>
        </w:rPr>
      </w:pPr>
      <w:r w:rsidRPr="00851A86">
        <w:rPr>
          <w:rFonts w:eastAsia="Times New Roman"/>
          <w:b/>
          <w:color w:val="auto"/>
          <w:szCs w:val="20"/>
          <w:u w:val="single"/>
        </w:rPr>
        <w:t xml:space="preserve">Requesting a FAAP Agreement </w:t>
      </w:r>
    </w:p>
    <w:p w14:paraId="7C5B52BE" w14:textId="5D52FAA0" w:rsidR="00A46B52" w:rsidRDefault="00A46B52" w:rsidP="00A46B52">
      <w:pPr>
        <w:tabs>
          <w:tab w:val="left" w:pos="-720"/>
        </w:tabs>
        <w:rPr>
          <w:szCs w:val="20"/>
        </w:rPr>
      </w:pPr>
      <w:r>
        <w:rPr>
          <w:szCs w:val="20"/>
        </w:rPr>
        <w:t xml:space="preserve">Contractors that want to request a FAAP agreement are required to </w:t>
      </w:r>
      <w:r>
        <w:t xml:space="preserve">submit a written request to the OFCCP Director, as mentioned above. </w:t>
      </w:r>
      <w:r w:rsidR="00A12E66">
        <w:t xml:space="preserve"> </w:t>
      </w:r>
      <w:r w:rsidR="007C2749">
        <w:t xml:space="preserve">The request must include the name and contact information for the corporate representative responsible for overseeing the contractor’s request for the FAAP agreement.  </w:t>
      </w:r>
      <w:r>
        <w:t>OFCCP estimates that it take</w:t>
      </w:r>
      <w:r w:rsidR="00B84DDA">
        <w:t>s</w:t>
      </w:r>
      <w:r>
        <w:t xml:space="preserve"> </w:t>
      </w:r>
      <w:r w:rsidR="00A12E66">
        <w:t>0</w:t>
      </w:r>
      <w:r>
        <w:t>.75 hour</w:t>
      </w:r>
      <w:r w:rsidR="00A12E66">
        <w:t xml:space="preserve"> per contractor to prepare a</w:t>
      </w:r>
      <w:r>
        <w:t xml:space="preserve"> written request</w:t>
      </w:r>
      <w:r w:rsidR="00A12E66">
        <w:t xml:space="preserve"> of one page</w:t>
      </w:r>
      <w:r>
        <w:t>.</w:t>
      </w:r>
    </w:p>
    <w:p w14:paraId="1C8621AE" w14:textId="77777777" w:rsidR="00A46B52" w:rsidRDefault="00A46B52" w:rsidP="00851A86">
      <w:pPr>
        <w:tabs>
          <w:tab w:val="left" w:pos="-720"/>
        </w:tabs>
        <w:rPr>
          <w:szCs w:val="20"/>
        </w:rPr>
      </w:pPr>
    </w:p>
    <w:p w14:paraId="31EED4E3" w14:textId="4246A066" w:rsidR="00851A86" w:rsidRPr="00851A86" w:rsidRDefault="00303295" w:rsidP="00851A86">
      <w:pPr>
        <w:tabs>
          <w:tab w:val="left" w:pos="-720"/>
        </w:tabs>
        <w:rPr>
          <w:szCs w:val="20"/>
        </w:rPr>
      </w:pPr>
      <w:r>
        <w:rPr>
          <w:szCs w:val="20"/>
        </w:rPr>
        <w:t>Accompanying</w:t>
      </w:r>
      <w:r w:rsidR="00A30072">
        <w:rPr>
          <w:szCs w:val="20"/>
        </w:rPr>
        <w:t xml:space="preserve"> the request for approval, contractors must submit the </w:t>
      </w:r>
      <w:r w:rsidR="001B0FFF">
        <w:rPr>
          <w:szCs w:val="20"/>
        </w:rPr>
        <w:t xml:space="preserve">following </w:t>
      </w:r>
      <w:r w:rsidR="00A30072">
        <w:rPr>
          <w:szCs w:val="20"/>
        </w:rPr>
        <w:t>items</w:t>
      </w:r>
      <w:r w:rsidR="001B0FFF">
        <w:rPr>
          <w:szCs w:val="20"/>
        </w:rPr>
        <w:t xml:space="preserve">, found in </w:t>
      </w:r>
      <w:r w:rsidR="001B0FFF" w:rsidRPr="00757E09">
        <w:rPr>
          <w:b/>
          <w:szCs w:val="20"/>
        </w:rPr>
        <w:t xml:space="preserve">Attachment </w:t>
      </w:r>
      <w:r w:rsidR="00047C13">
        <w:rPr>
          <w:b/>
          <w:szCs w:val="20"/>
        </w:rPr>
        <w:t>A</w:t>
      </w:r>
      <w:r w:rsidR="00A12E66">
        <w:rPr>
          <w:szCs w:val="20"/>
        </w:rPr>
        <w:t xml:space="preserve"> of the Directive</w:t>
      </w:r>
      <w:r w:rsidR="00A30072">
        <w:rPr>
          <w:szCs w:val="20"/>
        </w:rPr>
        <w:t xml:space="preserve">. </w:t>
      </w:r>
    </w:p>
    <w:p w14:paraId="03FD76D1" w14:textId="77777777" w:rsidR="00303295" w:rsidRDefault="00303295" w:rsidP="00851A86">
      <w:pPr>
        <w:tabs>
          <w:tab w:val="left" w:pos="-720"/>
        </w:tabs>
        <w:rPr>
          <w:szCs w:val="20"/>
          <w:u w:val="single"/>
        </w:rPr>
      </w:pPr>
    </w:p>
    <w:p w14:paraId="3269E809" w14:textId="6B284C21" w:rsidR="00851A86" w:rsidRPr="00851A86" w:rsidRDefault="00851A86" w:rsidP="00851A86">
      <w:pPr>
        <w:tabs>
          <w:tab w:val="left" w:pos="-720"/>
        </w:tabs>
        <w:rPr>
          <w:szCs w:val="20"/>
          <w:u w:val="single"/>
        </w:rPr>
      </w:pPr>
      <w:r w:rsidRPr="00851A86">
        <w:rPr>
          <w:szCs w:val="20"/>
          <w:u w:val="single"/>
        </w:rPr>
        <w:t>A Statement of Proof</w:t>
      </w:r>
    </w:p>
    <w:p w14:paraId="75A38EA2" w14:textId="5365A9EF" w:rsidR="00851A86" w:rsidRDefault="001B0FFF" w:rsidP="00851A86">
      <w:pPr>
        <w:rPr>
          <w:szCs w:val="20"/>
        </w:rPr>
      </w:pPr>
      <w:r>
        <w:t>The contractor must show proof that the</w:t>
      </w:r>
      <w:r w:rsidR="00B935E0">
        <w:t xml:space="preserve">y are a covered </w:t>
      </w:r>
      <w:r w:rsidR="007C2749">
        <w:t xml:space="preserve">federal </w:t>
      </w:r>
      <w:r w:rsidR="00B935E0">
        <w:t xml:space="preserve">contractor </w:t>
      </w:r>
      <w:r>
        <w:t>by providing a</w:t>
      </w:r>
      <w:r w:rsidRPr="00A4247E">
        <w:t xml:space="preserve"> statement </w:t>
      </w:r>
      <w:r>
        <w:t>that includes specific contract information,</w:t>
      </w:r>
      <w:r w:rsidR="00B935E0">
        <w:t xml:space="preserve"> as described in the Directive.  </w:t>
      </w:r>
      <w:r w:rsidR="00851A86" w:rsidRPr="00851A86">
        <w:rPr>
          <w:szCs w:val="20"/>
        </w:rPr>
        <w:t>OFCCP estimates that it take</w:t>
      </w:r>
      <w:r w:rsidR="00B84DDA">
        <w:rPr>
          <w:szCs w:val="20"/>
        </w:rPr>
        <w:t>s</w:t>
      </w:r>
      <w:r w:rsidR="00851A86" w:rsidRPr="00851A86">
        <w:rPr>
          <w:szCs w:val="20"/>
        </w:rPr>
        <w:t xml:space="preserve"> 1 hour per contractor to prepare this statement.  </w:t>
      </w:r>
    </w:p>
    <w:p w14:paraId="20AEE634" w14:textId="77777777" w:rsidR="00B935E0" w:rsidRPr="00851A86" w:rsidRDefault="00B935E0" w:rsidP="00851A86">
      <w:pPr>
        <w:rPr>
          <w:szCs w:val="20"/>
        </w:rPr>
      </w:pPr>
    </w:p>
    <w:p w14:paraId="1EA3CE25" w14:textId="77777777" w:rsidR="00851A86" w:rsidRPr="00851A86" w:rsidRDefault="00851A86" w:rsidP="00851A86">
      <w:pPr>
        <w:rPr>
          <w:szCs w:val="20"/>
          <w:u w:val="single"/>
        </w:rPr>
      </w:pPr>
      <w:r w:rsidRPr="00851A86">
        <w:rPr>
          <w:szCs w:val="20"/>
          <w:u w:val="single"/>
        </w:rPr>
        <w:t>Most Recent Consolidated EEO-1 Report</w:t>
      </w:r>
    </w:p>
    <w:p w14:paraId="0D282D7F" w14:textId="6E340C51" w:rsidR="00851A86" w:rsidRPr="00851A86" w:rsidRDefault="00851A86" w:rsidP="00851A86">
      <w:pPr>
        <w:rPr>
          <w:szCs w:val="20"/>
        </w:rPr>
      </w:pPr>
      <w:r w:rsidRPr="00851A86">
        <w:rPr>
          <w:szCs w:val="20"/>
        </w:rPr>
        <w:t xml:space="preserve">The contractor is required to provide a copy of its most recent </w:t>
      </w:r>
      <w:r w:rsidR="007C2749">
        <w:rPr>
          <w:szCs w:val="20"/>
        </w:rPr>
        <w:t xml:space="preserve">consolidated </w:t>
      </w:r>
      <w:r w:rsidRPr="00851A86">
        <w:rPr>
          <w:szCs w:val="20"/>
        </w:rPr>
        <w:t>EEO-1 Report.  The burden for developing a consolidated EEO-1 Report is covered under OMB Control Number 3046-0007.  Therefore, there is no burden associated with collecting the records or completing this report.  However, OFCCP estimates</w:t>
      </w:r>
      <w:r w:rsidR="00B935E0">
        <w:rPr>
          <w:szCs w:val="20"/>
        </w:rPr>
        <w:t xml:space="preserve"> that</w:t>
      </w:r>
      <w:r w:rsidRPr="00851A86">
        <w:rPr>
          <w:szCs w:val="20"/>
        </w:rPr>
        <w:t xml:space="preserve"> it take</w:t>
      </w:r>
      <w:r w:rsidR="00B84DDA">
        <w:rPr>
          <w:szCs w:val="20"/>
        </w:rPr>
        <w:t>s</w:t>
      </w:r>
      <w:r w:rsidR="00B935E0">
        <w:rPr>
          <w:szCs w:val="20"/>
        </w:rPr>
        <w:t xml:space="preserve"> 0.5 hour</w:t>
      </w:r>
      <w:r w:rsidR="00937F39">
        <w:rPr>
          <w:szCs w:val="20"/>
        </w:rPr>
        <w:t xml:space="preserve"> per contractor</w:t>
      </w:r>
      <w:r w:rsidR="00B935E0">
        <w:rPr>
          <w:szCs w:val="20"/>
        </w:rPr>
        <w:t xml:space="preserve"> to produce </w:t>
      </w:r>
      <w:r w:rsidR="00937F39">
        <w:rPr>
          <w:szCs w:val="20"/>
        </w:rPr>
        <w:t>the</w:t>
      </w:r>
      <w:r w:rsidR="00B935E0">
        <w:rPr>
          <w:szCs w:val="20"/>
        </w:rPr>
        <w:t xml:space="preserve"> </w:t>
      </w:r>
      <w:r w:rsidRPr="00851A86">
        <w:rPr>
          <w:szCs w:val="20"/>
        </w:rPr>
        <w:t>report.</w:t>
      </w:r>
    </w:p>
    <w:p w14:paraId="5966229F" w14:textId="77777777" w:rsidR="00851A86" w:rsidRPr="00851A86" w:rsidRDefault="00851A86" w:rsidP="00851A86">
      <w:pPr>
        <w:ind w:left="1440"/>
        <w:rPr>
          <w:szCs w:val="20"/>
        </w:rPr>
      </w:pPr>
    </w:p>
    <w:p w14:paraId="3E4B2486" w14:textId="77777777" w:rsidR="00851A86" w:rsidRPr="00851A86" w:rsidRDefault="00851A86" w:rsidP="00851A86">
      <w:pPr>
        <w:rPr>
          <w:szCs w:val="20"/>
          <w:u w:val="single"/>
        </w:rPr>
      </w:pPr>
      <w:r w:rsidRPr="00851A86">
        <w:rPr>
          <w:szCs w:val="20"/>
          <w:u w:val="single"/>
        </w:rPr>
        <w:t xml:space="preserve">Organizational Chart </w:t>
      </w:r>
    </w:p>
    <w:p w14:paraId="63C4FEB2" w14:textId="16F2ACA6" w:rsidR="00851A86" w:rsidRPr="00851A86" w:rsidRDefault="00851A86" w:rsidP="00851A86">
      <w:pPr>
        <w:rPr>
          <w:szCs w:val="20"/>
        </w:rPr>
      </w:pPr>
      <w:r w:rsidRPr="00851A86">
        <w:rPr>
          <w:szCs w:val="20"/>
        </w:rPr>
        <w:t>The contractor is required to provide a copy of its organizational chart that clearly identifies all of the proposed functional or business units to be covered by the requested FAAP and how they are related to each other within the corporation’s overall structure.  OFCCP estimates that it take</w:t>
      </w:r>
      <w:r w:rsidR="00B84DDA">
        <w:rPr>
          <w:szCs w:val="20"/>
        </w:rPr>
        <w:t>s</w:t>
      </w:r>
      <w:r w:rsidRPr="00851A86">
        <w:rPr>
          <w:szCs w:val="20"/>
        </w:rPr>
        <w:t xml:space="preserve"> 1 hour </w:t>
      </w:r>
      <w:r w:rsidR="00937F39">
        <w:rPr>
          <w:szCs w:val="20"/>
        </w:rPr>
        <w:t>per</w:t>
      </w:r>
      <w:r w:rsidRPr="00851A86">
        <w:rPr>
          <w:szCs w:val="20"/>
        </w:rPr>
        <w:t xml:space="preserve"> contractor to develop and provide this item.</w:t>
      </w:r>
    </w:p>
    <w:p w14:paraId="176BE096" w14:textId="77777777" w:rsidR="00851A86" w:rsidRPr="00851A86" w:rsidRDefault="00851A86" w:rsidP="00851A86">
      <w:pPr>
        <w:ind w:left="1440"/>
        <w:rPr>
          <w:szCs w:val="20"/>
        </w:rPr>
      </w:pPr>
    </w:p>
    <w:p w14:paraId="20939FE1" w14:textId="0C29ADA3" w:rsidR="00851A86" w:rsidRPr="00851A86" w:rsidRDefault="00851A86" w:rsidP="00851A86">
      <w:pPr>
        <w:rPr>
          <w:szCs w:val="20"/>
          <w:u w:val="single"/>
        </w:rPr>
      </w:pPr>
      <w:r w:rsidRPr="00851A86">
        <w:rPr>
          <w:szCs w:val="20"/>
          <w:u w:val="single"/>
        </w:rPr>
        <w:t xml:space="preserve">Description of the </w:t>
      </w:r>
      <w:r w:rsidR="00A30072">
        <w:rPr>
          <w:szCs w:val="20"/>
          <w:u w:val="single"/>
        </w:rPr>
        <w:t>Function or Business</w:t>
      </w:r>
    </w:p>
    <w:p w14:paraId="4499E24D" w14:textId="63804657" w:rsidR="00E4293A" w:rsidRPr="007274CF" w:rsidRDefault="00851A86" w:rsidP="00851A86">
      <w:pPr>
        <w:rPr>
          <w:szCs w:val="20"/>
        </w:rPr>
      </w:pPr>
      <w:r w:rsidRPr="00851A86">
        <w:rPr>
          <w:szCs w:val="20"/>
        </w:rPr>
        <w:t xml:space="preserve">The contractor is required to provide a narrative description of the </w:t>
      </w:r>
      <w:r w:rsidR="00B84DDA">
        <w:rPr>
          <w:szCs w:val="20"/>
        </w:rPr>
        <w:t>function or business</w:t>
      </w:r>
      <w:r w:rsidRPr="00851A86">
        <w:rPr>
          <w:szCs w:val="20"/>
        </w:rPr>
        <w:t xml:space="preserve"> of each proposed FAAP </w:t>
      </w:r>
      <w:r w:rsidR="007C2749">
        <w:rPr>
          <w:szCs w:val="20"/>
        </w:rPr>
        <w:t xml:space="preserve">unit </w:t>
      </w:r>
      <w:r w:rsidRPr="00851A86">
        <w:rPr>
          <w:szCs w:val="20"/>
        </w:rPr>
        <w:t>and how it meets the definition of a functional or business unit.  OFCCP estimates that it</w:t>
      </w:r>
      <w:r w:rsidR="00B84DDA">
        <w:rPr>
          <w:szCs w:val="20"/>
        </w:rPr>
        <w:t xml:space="preserve"> </w:t>
      </w:r>
      <w:r w:rsidRPr="00851A86">
        <w:rPr>
          <w:szCs w:val="20"/>
        </w:rPr>
        <w:t>take</w:t>
      </w:r>
      <w:r w:rsidR="00B84DDA">
        <w:rPr>
          <w:szCs w:val="20"/>
        </w:rPr>
        <w:t>s</w:t>
      </w:r>
      <w:r w:rsidRPr="00851A86">
        <w:rPr>
          <w:szCs w:val="20"/>
        </w:rPr>
        <w:t xml:space="preserve"> 11 hours </w:t>
      </w:r>
      <w:r w:rsidR="00937F39">
        <w:rPr>
          <w:szCs w:val="20"/>
        </w:rPr>
        <w:t>per</w:t>
      </w:r>
      <w:r w:rsidRPr="00851A86">
        <w:rPr>
          <w:szCs w:val="20"/>
        </w:rPr>
        <w:t xml:space="preserve"> contractor to develop and provide this item.</w:t>
      </w:r>
    </w:p>
    <w:p w14:paraId="637CFCD4" w14:textId="77777777" w:rsidR="00E4293A" w:rsidRDefault="00E4293A" w:rsidP="00851A86">
      <w:pPr>
        <w:rPr>
          <w:szCs w:val="20"/>
          <w:u w:val="single"/>
        </w:rPr>
      </w:pPr>
    </w:p>
    <w:p w14:paraId="779FA1E7" w14:textId="1FA3FCD3" w:rsidR="00851A86" w:rsidRPr="00851A86" w:rsidRDefault="00B935E0" w:rsidP="00851A86">
      <w:pPr>
        <w:rPr>
          <w:szCs w:val="20"/>
          <w:u w:val="single"/>
        </w:rPr>
      </w:pPr>
      <w:r>
        <w:rPr>
          <w:szCs w:val="20"/>
          <w:u w:val="single"/>
        </w:rPr>
        <w:t>Unit Information and</w:t>
      </w:r>
      <w:r w:rsidR="00851A86" w:rsidRPr="00851A86">
        <w:rPr>
          <w:szCs w:val="20"/>
          <w:u w:val="single"/>
        </w:rPr>
        <w:t xml:space="preserve"> Total Number of Employees</w:t>
      </w:r>
    </w:p>
    <w:p w14:paraId="42130F5B" w14:textId="71EA66F8" w:rsidR="00851A86" w:rsidRPr="00851A86" w:rsidRDefault="00B84DDA" w:rsidP="00851A86">
      <w:pPr>
        <w:rPr>
          <w:szCs w:val="20"/>
        </w:rPr>
      </w:pPr>
      <w:r>
        <w:rPr>
          <w:szCs w:val="20"/>
        </w:rPr>
        <w:t>T</w:t>
      </w:r>
      <w:r w:rsidR="00851A86" w:rsidRPr="00851A86">
        <w:rPr>
          <w:szCs w:val="20"/>
        </w:rPr>
        <w:t xml:space="preserve">he contractor is required to provide the company or subsidiary name, street address, </w:t>
      </w:r>
      <w:r w:rsidR="007C2749">
        <w:rPr>
          <w:szCs w:val="20"/>
        </w:rPr>
        <w:t>and</w:t>
      </w:r>
      <w:r w:rsidR="00851A86" w:rsidRPr="00851A86">
        <w:rPr>
          <w:szCs w:val="20"/>
        </w:rPr>
        <w:t xml:space="preserve"> total number of employees at each location</w:t>
      </w:r>
      <w:r w:rsidR="007C2749">
        <w:rPr>
          <w:szCs w:val="20"/>
        </w:rPr>
        <w:t xml:space="preserve"> covered in the functional unit</w:t>
      </w:r>
      <w:r w:rsidR="00851A86" w:rsidRPr="00851A86">
        <w:rPr>
          <w:szCs w:val="20"/>
          <w:vertAlign w:val="superscript"/>
        </w:rPr>
        <w:footnoteReference w:id="16"/>
      </w:r>
      <w:r w:rsidR="00851A86" w:rsidRPr="00851A86">
        <w:rPr>
          <w:szCs w:val="20"/>
        </w:rPr>
        <w:t>, and the name and address of the managing official</w:t>
      </w:r>
      <w:r w:rsidRPr="00B84DDA">
        <w:rPr>
          <w:szCs w:val="20"/>
        </w:rPr>
        <w:t xml:space="preserve"> </w:t>
      </w:r>
      <w:r>
        <w:rPr>
          <w:szCs w:val="20"/>
        </w:rPr>
        <w:t>for each proposed functional or business unit</w:t>
      </w:r>
      <w:r w:rsidR="00286E2F">
        <w:rPr>
          <w:szCs w:val="20"/>
        </w:rPr>
        <w:t>.</w:t>
      </w:r>
      <w:r w:rsidR="00851A86" w:rsidRPr="00851A86">
        <w:rPr>
          <w:szCs w:val="20"/>
          <w:vertAlign w:val="superscript"/>
        </w:rPr>
        <w:footnoteReference w:id="17"/>
      </w:r>
      <w:r w:rsidR="00851A86" w:rsidRPr="00851A86">
        <w:rPr>
          <w:szCs w:val="20"/>
        </w:rPr>
        <w:t xml:space="preserve">  OFC</w:t>
      </w:r>
      <w:r w:rsidR="00A945F2">
        <w:rPr>
          <w:szCs w:val="20"/>
        </w:rPr>
        <w:t>CP estimates that it take</w:t>
      </w:r>
      <w:r>
        <w:rPr>
          <w:szCs w:val="20"/>
        </w:rPr>
        <w:t>s</w:t>
      </w:r>
      <w:r w:rsidR="00A945F2">
        <w:rPr>
          <w:szCs w:val="20"/>
        </w:rPr>
        <w:t xml:space="preserve"> 4</w:t>
      </w:r>
      <w:r w:rsidR="00851A86" w:rsidRPr="00851A86">
        <w:rPr>
          <w:szCs w:val="20"/>
        </w:rPr>
        <w:t xml:space="preserve"> hours </w:t>
      </w:r>
      <w:r w:rsidR="00937F39">
        <w:rPr>
          <w:szCs w:val="20"/>
        </w:rPr>
        <w:t>per</w:t>
      </w:r>
      <w:r w:rsidR="00851A86" w:rsidRPr="00851A86">
        <w:rPr>
          <w:szCs w:val="20"/>
        </w:rPr>
        <w:t xml:space="preserve"> contractor to provide this information.</w:t>
      </w:r>
    </w:p>
    <w:p w14:paraId="63DF05C1" w14:textId="5BEB1F3B" w:rsidR="00F61FF2" w:rsidRDefault="00F61FF2" w:rsidP="00851A86">
      <w:pPr>
        <w:rPr>
          <w:szCs w:val="20"/>
          <w:u w:val="single"/>
        </w:rPr>
      </w:pPr>
    </w:p>
    <w:p w14:paraId="07D28A20" w14:textId="18FAAD82" w:rsidR="00851A86" w:rsidRPr="00851A86" w:rsidRDefault="00851A86" w:rsidP="00851A86">
      <w:pPr>
        <w:rPr>
          <w:szCs w:val="20"/>
          <w:u w:val="single"/>
        </w:rPr>
      </w:pPr>
      <w:r w:rsidRPr="00851A86">
        <w:rPr>
          <w:szCs w:val="20"/>
          <w:u w:val="single"/>
        </w:rPr>
        <w:t>Statement Identifying the Location of Personnel Records</w:t>
      </w:r>
    </w:p>
    <w:p w14:paraId="33099F4E" w14:textId="069AD0B9" w:rsidR="00851A86" w:rsidRPr="00851A86" w:rsidRDefault="00B935E0" w:rsidP="00851A86">
      <w:pPr>
        <w:rPr>
          <w:szCs w:val="20"/>
        </w:rPr>
      </w:pPr>
      <w:r>
        <w:rPr>
          <w:szCs w:val="20"/>
        </w:rPr>
        <w:t>T</w:t>
      </w:r>
      <w:r w:rsidR="00851A86" w:rsidRPr="00851A86">
        <w:rPr>
          <w:szCs w:val="20"/>
        </w:rPr>
        <w:t xml:space="preserve">he contractor </w:t>
      </w:r>
      <w:r>
        <w:rPr>
          <w:szCs w:val="20"/>
        </w:rPr>
        <w:t xml:space="preserve">is required to provide </w:t>
      </w:r>
      <w:r w:rsidR="007C2749">
        <w:rPr>
          <w:szCs w:val="20"/>
        </w:rPr>
        <w:t xml:space="preserve">a statement addressing </w:t>
      </w:r>
      <w:r w:rsidR="00851A86" w:rsidRPr="00851A86">
        <w:rPr>
          <w:szCs w:val="20"/>
        </w:rPr>
        <w:t>the loca</w:t>
      </w:r>
      <w:r>
        <w:rPr>
          <w:szCs w:val="20"/>
        </w:rPr>
        <w:t>tion</w:t>
      </w:r>
      <w:r w:rsidR="007C2749">
        <w:rPr>
          <w:szCs w:val="20"/>
        </w:rPr>
        <w:t>, to include city and state,</w:t>
      </w:r>
      <w:r w:rsidR="00851A86" w:rsidRPr="00851A86">
        <w:rPr>
          <w:szCs w:val="20"/>
        </w:rPr>
        <w:t xml:space="preserve"> where each proposed FAAP </w:t>
      </w:r>
      <w:r w:rsidR="007C2749">
        <w:rPr>
          <w:szCs w:val="20"/>
        </w:rPr>
        <w:t xml:space="preserve">unit </w:t>
      </w:r>
      <w:r w:rsidR="00851A86" w:rsidRPr="00851A86">
        <w:rPr>
          <w:szCs w:val="20"/>
        </w:rPr>
        <w:t xml:space="preserve">will maintain its employee personnel records and applicant processing activities. </w:t>
      </w:r>
      <w:r>
        <w:rPr>
          <w:szCs w:val="20"/>
        </w:rPr>
        <w:t xml:space="preserve"> </w:t>
      </w:r>
      <w:r w:rsidR="00851A86" w:rsidRPr="00851A86">
        <w:rPr>
          <w:szCs w:val="20"/>
        </w:rPr>
        <w:t>OFCCP estimates that it take</w:t>
      </w:r>
      <w:r w:rsidR="00B84DDA">
        <w:rPr>
          <w:szCs w:val="20"/>
        </w:rPr>
        <w:t>s</w:t>
      </w:r>
      <w:r w:rsidR="00851A86" w:rsidRPr="00851A86">
        <w:rPr>
          <w:szCs w:val="20"/>
        </w:rPr>
        <w:t xml:space="preserve"> 1 hour </w:t>
      </w:r>
      <w:r w:rsidR="00937F39">
        <w:rPr>
          <w:szCs w:val="20"/>
        </w:rPr>
        <w:t>per</w:t>
      </w:r>
      <w:r w:rsidR="00851A86" w:rsidRPr="00851A86">
        <w:rPr>
          <w:szCs w:val="20"/>
        </w:rPr>
        <w:t xml:space="preserve"> contractor to provide this information.</w:t>
      </w:r>
    </w:p>
    <w:p w14:paraId="13313739" w14:textId="77777777" w:rsidR="00851A86" w:rsidRPr="00851A86" w:rsidRDefault="00851A86" w:rsidP="00851A86">
      <w:pPr>
        <w:ind w:left="1440"/>
        <w:rPr>
          <w:szCs w:val="20"/>
        </w:rPr>
      </w:pPr>
    </w:p>
    <w:p w14:paraId="62204EE9" w14:textId="77777777" w:rsidR="00851A86" w:rsidRPr="00851A86" w:rsidRDefault="00851A86" w:rsidP="00851A86">
      <w:pPr>
        <w:rPr>
          <w:szCs w:val="20"/>
          <w:u w:val="single"/>
        </w:rPr>
      </w:pPr>
      <w:r w:rsidRPr="00851A86">
        <w:rPr>
          <w:szCs w:val="20"/>
          <w:u w:val="single"/>
        </w:rPr>
        <w:t>List of Establishment Based AAPs</w:t>
      </w:r>
    </w:p>
    <w:p w14:paraId="0C802C3F" w14:textId="7C45FB41" w:rsidR="00851A86" w:rsidRDefault="00851A86" w:rsidP="00851A86">
      <w:pPr>
        <w:rPr>
          <w:szCs w:val="20"/>
        </w:rPr>
      </w:pPr>
      <w:r w:rsidRPr="00851A86">
        <w:rPr>
          <w:szCs w:val="20"/>
        </w:rPr>
        <w:t>If the contractor proposes to maintain some</w:t>
      </w:r>
      <w:r w:rsidR="00B935E0">
        <w:rPr>
          <w:szCs w:val="20"/>
        </w:rPr>
        <w:t xml:space="preserve"> establishment-based AAPs, it </w:t>
      </w:r>
      <w:r w:rsidRPr="00851A86">
        <w:rPr>
          <w:szCs w:val="20"/>
        </w:rPr>
        <w:t>must provide a list of the locations with establishment</w:t>
      </w:r>
      <w:r w:rsidR="00D80A39">
        <w:rPr>
          <w:szCs w:val="20"/>
        </w:rPr>
        <w:t>-</w:t>
      </w:r>
      <w:r w:rsidRPr="00851A86">
        <w:rPr>
          <w:szCs w:val="20"/>
        </w:rPr>
        <w:t>based AAPs, including for each: the physical address, number of employ</w:t>
      </w:r>
      <w:r w:rsidR="00E4293A">
        <w:rPr>
          <w:szCs w:val="20"/>
        </w:rPr>
        <w:t xml:space="preserve">ees, phone number </w:t>
      </w:r>
      <w:r w:rsidRPr="00851A86">
        <w:rPr>
          <w:szCs w:val="20"/>
        </w:rPr>
        <w:t>of the establishment’s managing official</w:t>
      </w:r>
      <w:r w:rsidR="00D80A39">
        <w:rPr>
          <w:szCs w:val="20"/>
        </w:rPr>
        <w:t xml:space="preserve"> and AAP contact</w:t>
      </w:r>
      <w:r w:rsidR="00B84DDA">
        <w:rPr>
          <w:szCs w:val="20"/>
        </w:rPr>
        <w:t xml:space="preserve">, </w:t>
      </w:r>
      <w:r w:rsidRPr="00851A86">
        <w:rPr>
          <w:szCs w:val="20"/>
        </w:rPr>
        <w:t>and the EEO-1 unit number for each establishment.  OFCCP estimates that it take</w:t>
      </w:r>
      <w:r w:rsidR="00B84DDA">
        <w:rPr>
          <w:szCs w:val="20"/>
        </w:rPr>
        <w:t>s</w:t>
      </w:r>
      <w:r w:rsidRPr="00851A86">
        <w:rPr>
          <w:szCs w:val="20"/>
        </w:rPr>
        <w:t xml:space="preserve"> 1.5 hours per contractor to provide this item.</w:t>
      </w:r>
    </w:p>
    <w:p w14:paraId="5D1B6BC5" w14:textId="77777777" w:rsidR="00E679DE" w:rsidRPr="00851A86" w:rsidRDefault="00E679DE" w:rsidP="00851A86">
      <w:pPr>
        <w:rPr>
          <w:szCs w:val="20"/>
        </w:rPr>
      </w:pPr>
    </w:p>
    <w:p w14:paraId="7FAAEC51" w14:textId="77777777" w:rsidR="00851A86" w:rsidRPr="00851A86" w:rsidRDefault="00851A86" w:rsidP="00851A86">
      <w:pPr>
        <w:rPr>
          <w:szCs w:val="20"/>
          <w:u w:val="single"/>
        </w:rPr>
      </w:pPr>
      <w:r w:rsidRPr="00851A86">
        <w:rPr>
          <w:szCs w:val="20"/>
          <w:u w:val="single"/>
        </w:rPr>
        <w:t>Transition Plan</w:t>
      </w:r>
    </w:p>
    <w:p w14:paraId="2FF93476" w14:textId="1935D566" w:rsidR="00851A86" w:rsidRPr="00E82358" w:rsidRDefault="00851A86" w:rsidP="00851A86">
      <w:pPr>
        <w:rPr>
          <w:b/>
          <w:szCs w:val="20"/>
        </w:rPr>
      </w:pPr>
      <w:r w:rsidRPr="00851A86">
        <w:rPr>
          <w:szCs w:val="20"/>
        </w:rPr>
        <w:t>A requesting contractor is required to provide</w:t>
      </w:r>
      <w:r w:rsidR="00B935E0">
        <w:rPr>
          <w:szCs w:val="20"/>
        </w:rPr>
        <w:t xml:space="preserve"> a statement addressing how it</w:t>
      </w:r>
      <w:r w:rsidRPr="00851A86">
        <w:rPr>
          <w:szCs w:val="20"/>
        </w:rPr>
        <w:t xml:space="preserve"> plan</w:t>
      </w:r>
      <w:r w:rsidR="00B935E0">
        <w:rPr>
          <w:szCs w:val="20"/>
        </w:rPr>
        <w:t>s</w:t>
      </w:r>
      <w:r w:rsidRPr="00851A86">
        <w:rPr>
          <w:szCs w:val="20"/>
        </w:rPr>
        <w:t xml:space="preserve"> to transition from establishment-based AAPs to FAAPs and include a timeline for completion.  OFCCP estimates that it take</w:t>
      </w:r>
      <w:r w:rsidR="00B84DDA">
        <w:rPr>
          <w:szCs w:val="20"/>
        </w:rPr>
        <w:t>s</w:t>
      </w:r>
      <w:r w:rsidRPr="00851A86">
        <w:rPr>
          <w:szCs w:val="20"/>
        </w:rPr>
        <w:t xml:space="preserve"> 2.5 hours per co</w:t>
      </w:r>
      <w:r w:rsidR="00B935E0">
        <w:rPr>
          <w:szCs w:val="20"/>
        </w:rPr>
        <w:t>ntractor to develop this plan</w:t>
      </w:r>
      <w:r w:rsidRPr="00851A86">
        <w:rPr>
          <w:szCs w:val="20"/>
        </w:rPr>
        <w:t>.</w:t>
      </w:r>
    </w:p>
    <w:p w14:paraId="2FD1C8C0" w14:textId="77777777" w:rsidR="00EB62AC" w:rsidRPr="00851A86" w:rsidRDefault="00EB62AC" w:rsidP="00851A86"/>
    <w:p w14:paraId="065E5A81" w14:textId="77777777" w:rsidR="00851A86" w:rsidRPr="00851A86" w:rsidRDefault="00851A86" w:rsidP="00851A86">
      <w:pPr>
        <w:rPr>
          <w:szCs w:val="20"/>
          <w:u w:val="single"/>
        </w:rPr>
      </w:pPr>
      <w:r w:rsidRPr="00851A86">
        <w:rPr>
          <w:szCs w:val="20"/>
          <w:u w:val="single"/>
        </w:rPr>
        <w:t>Dates of the Proposed AAP Year</w:t>
      </w:r>
    </w:p>
    <w:p w14:paraId="6CC2ACD9" w14:textId="2A89CF0A" w:rsidR="00851A86" w:rsidRPr="00851A86" w:rsidRDefault="00757E09" w:rsidP="00851A86">
      <w:pPr>
        <w:rPr>
          <w:szCs w:val="20"/>
        </w:rPr>
      </w:pPr>
      <w:r>
        <w:rPr>
          <w:szCs w:val="20"/>
        </w:rPr>
        <w:t>Th</w:t>
      </w:r>
      <w:r w:rsidR="00851A86" w:rsidRPr="00851A86">
        <w:rPr>
          <w:szCs w:val="20"/>
        </w:rPr>
        <w:t>e contractor</w:t>
      </w:r>
      <w:r>
        <w:rPr>
          <w:szCs w:val="20"/>
        </w:rPr>
        <w:t xml:space="preserve"> is required to</w:t>
      </w:r>
      <w:r w:rsidR="00851A86" w:rsidRPr="00851A86">
        <w:rPr>
          <w:szCs w:val="20"/>
        </w:rPr>
        <w:t xml:space="preserve"> pro</w:t>
      </w:r>
      <w:r>
        <w:rPr>
          <w:szCs w:val="20"/>
        </w:rPr>
        <w:t>vide the dates of the proposed</w:t>
      </w:r>
      <w:r w:rsidR="00851A86" w:rsidRPr="00851A86">
        <w:rPr>
          <w:szCs w:val="20"/>
        </w:rPr>
        <w:t xml:space="preserve"> FAAP</w:t>
      </w:r>
      <w:r>
        <w:rPr>
          <w:szCs w:val="20"/>
        </w:rPr>
        <w:t xml:space="preserve"> year</w:t>
      </w:r>
      <w:r w:rsidR="00851A86" w:rsidRPr="00851A86">
        <w:rPr>
          <w:szCs w:val="20"/>
        </w:rPr>
        <w:t>.  OFCCP estimates that it take</w:t>
      </w:r>
      <w:r w:rsidR="00B84DDA">
        <w:rPr>
          <w:szCs w:val="20"/>
        </w:rPr>
        <w:t>s</w:t>
      </w:r>
      <w:r w:rsidR="00851A86" w:rsidRPr="00851A86">
        <w:rPr>
          <w:szCs w:val="20"/>
        </w:rPr>
        <w:t xml:space="preserve"> 0.5 hour per contractor to provide this information.</w:t>
      </w:r>
    </w:p>
    <w:p w14:paraId="036E048F" w14:textId="77777777" w:rsidR="00851A86" w:rsidRPr="00851A86" w:rsidRDefault="00851A86" w:rsidP="00851A86">
      <w:pPr>
        <w:ind w:left="1440"/>
        <w:rPr>
          <w:szCs w:val="20"/>
        </w:rPr>
      </w:pPr>
    </w:p>
    <w:p w14:paraId="2EB1A204" w14:textId="77777777" w:rsidR="00851A86" w:rsidRPr="00851A86" w:rsidRDefault="00851A86" w:rsidP="00851A86">
      <w:pPr>
        <w:rPr>
          <w:szCs w:val="20"/>
          <w:u w:val="single"/>
        </w:rPr>
      </w:pPr>
      <w:r w:rsidRPr="00851A86">
        <w:rPr>
          <w:szCs w:val="20"/>
          <w:u w:val="single"/>
        </w:rPr>
        <w:t>Copies of Personnel Policies</w:t>
      </w:r>
    </w:p>
    <w:p w14:paraId="6FA1328A" w14:textId="215EC000" w:rsidR="00851A86" w:rsidRPr="00851A86" w:rsidRDefault="00851A86" w:rsidP="00851A86">
      <w:pPr>
        <w:rPr>
          <w:szCs w:val="20"/>
        </w:rPr>
      </w:pPr>
      <w:r w:rsidRPr="00851A86">
        <w:rPr>
          <w:szCs w:val="20"/>
        </w:rPr>
        <w:t>To evaluate if the FAAP meets the criteria detailed in the directive, OFCCP requests copies of unit-specific personnel policies relevant to evaluating the proposed functions or business units, including policies related to recruitment, hiring, promotion, compensation, and termination</w:t>
      </w:r>
      <w:r w:rsidR="00D80A39">
        <w:rPr>
          <w:szCs w:val="20"/>
        </w:rPr>
        <w:t>, where different from corporate policies</w:t>
      </w:r>
      <w:r w:rsidRPr="00851A86">
        <w:rPr>
          <w:szCs w:val="20"/>
        </w:rPr>
        <w:t>.  OFCCP estimates that it take</w:t>
      </w:r>
      <w:r w:rsidR="00B84DDA">
        <w:rPr>
          <w:szCs w:val="20"/>
        </w:rPr>
        <w:t>s</w:t>
      </w:r>
      <w:r w:rsidRPr="00851A86">
        <w:rPr>
          <w:szCs w:val="20"/>
        </w:rPr>
        <w:t xml:space="preserve"> 1 hour per contractor to produce this information.</w:t>
      </w:r>
    </w:p>
    <w:p w14:paraId="161CD617" w14:textId="77777777" w:rsidR="00851A86" w:rsidRPr="00851A86" w:rsidRDefault="00851A86" w:rsidP="00851A86">
      <w:pPr>
        <w:rPr>
          <w:szCs w:val="20"/>
        </w:rPr>
      </w:pPr>
    </w:p>
    <w:p w14:paraId="2FF7A917" w14:textId="2A84369B" w:rsidR="00851A86" w:rsidRDefault="00851A86" w:rsidP="00A30072">
      <w:pPr>
        <w:tabs>
          <w:tab w:val="left" w:pos="-720"/>
        </w:tabs>
        <w:rPr>
          <w:szCs w:val="20"/>
        </w:rPr>
      </w:pPr>
      <w:r w:rsidRPr="00851A86">
        <w:rPr>
          <w:szCs w:val="20"/>
        </w:rPr>
        <w:t>In addition to the written request, contractors are also re</w:t>
      </w:r>
      <w:r>
        <w:rPr>
          <w:szCs w:val="20"/>
        </w:rPr>
        <w:t xml:space="preserve">quired to discuss the </w:t>
      </w:r>
      <w:r w:rsidRPr="00851A86">
        <w:rPr>
          <w:szCs w:val="20"/>
        </w:rPr>
        <w:t xml:space="preserve">following items, found in </w:t>
      </w:r>
      <w:r w:rsidRPr="00757E09">
        <w:rPr>
          <w:b/>
          <w:szCs w:val="20"/>
        </w:rPr>
        <w:t xml:space="preserve">Attachment </w:t>
      </w:r>
      <w:r w:rsidR="00047C13">
        <w:rPr>
          <w:b/>
          <w:szCs w:val="20"/>
        </w:rPr>
        <w:t>B</w:t>
      </w:r>
      <w:r w:rsidRPr="00851A86">
        <w:rPr>
          <w:szCs w:val="20"/>
        </w:rPr>
        <w:t>, when negotiating the agreement.</w:t>
      </w:r>
    </w:p>
    <w:p w14:paraId="74F1E8B7" w14:textId="77777777" w:rsidR="00E4293A" w:rsidRPr="00851A86" w:rsidRDefault="00E4293A" w:rsidP="00851A86">
      <w:pPr>
        <w:rPr>
          <w:szCs w:val="20"/>
        </w:rPr>
      </w:pPr>
    </w:p>
    <w:p w14:paraId="4B1E9A0B" w14:textId="77777777" w:rsidR="00851A86" w:rsidRPr="00851A86" w:rsidRDefault="00851A86" w:rsidP="00851A86">
      <w:pPr>
        <w:rPr>
          <w:szCs w:val="20"/>
          <w:u w:val="single"/>
        </w:rPr>
      </w:pPr>
      <w:r w:rsidRPr="00851A86">
        <w:rPr>
          <w:szCs w:val="20"/>
          <w:u w:val="single"/>
        </w:rPr>
        <w:t>Reporting Hierarchy</w:t>
      </w:r>
    </w:p>
    <w:p w14:paraId="700864CC" w14:textId="4AF879C5" w:rsidR="00851A86" w:rsidRPr="00851A86" w:rsidRDefault="00851A86" w:rsidP="00666287">
      <w:pPr>
        <w:rPr>
          <w:szCs w:val="20"/>
        </w:rPr>
      </w:pPr>
      <w:r w:rsidRPr="00851A86">
        <w:rPr>
          <w:szCs w:val="20"/>
        </w:rPr>
        <w:t>OFCCP requires that the contractor be prepared to explain the reporting hierarchy of the FAAP.  This includes reporting within the unit and, as appropriate, reporting to the parent entity.  OFCCP estimates that it take</w:t>
      </w:r>
      <w:r w:rsidR="00B84DDA">
        <w:rPr>
          <w:szCs w:val="20"/>
        </w:rPr>
        <w:t>s</w:t>
      </w:r>
      <w:r w:rsidRPr="00851A86">
        <w:rPr>
          <w:szCs w:val="20"/>
        </w:rPr>
        <w:t xml:space="preserve"> 1 hour per contractor to provide this information.</w:t>
      </w:r>
    </w:p>
    <w:p w14:paraId="0D0FC6EC" w14:textId="77777777" w:rsidR="00851A86" w:rsidRPr="00851A86" w:rsidRDefault="00851A86" w:rsidP="00851A86">
      <w:pPr>
        <w:ind w:left="1440"/>
        <w:rPr>
          <w:szCs w:val="20"/>
        </w:rPr>
      </w:pPr>
    </w:p>
    <w:p w14:paraId="314EF2EC" w14:textId="77777777" w:rsidR="00851A86" w:rsidRPr="00851A86" w:rsidRDefault="00851A86" w:rsidP="00666287">
      <w:pPr>
        <w:rPr>
          <w:szCs w:val="20"/>
          <w:u w:val="single"/>
        </w:rPr>
      </w:pPr>
      <w:r w:rsidRPr="00851A86">
        <w:rPr>
          <w:szCs w:val="20"/>
          <w:u w:val="single"/>
        </w:rPr>
        <w:t>Personnel Procedures</w:t>
      </w:r>
    </w:p>
    <w:p w14:paraId="3CCA2180" w14:textId="40E110D2" w:rsidR="00851A86" w:rsidRPr="00851A86" w:rsidRDefault="00851A86" w:rsidP="00666287">
      <w:pPr>
        <w:rPr>
          <w:szCs w:val="20"/>
        </w:rPr>
      </w:pPr>
      <w:r w:rsidRPr="00851A86">
        <w:rPr>
          <w:szCs w:val="20"/>
        </w:rPr>
        <w:t>To assess whether the proposed FAAP meets the criteria of operating autonomously, OFCCP requests that contractors be prepared to discuss their personnel procedures for recruitment, hiring, promotion, compensation, termination, record retention, and data analysis as they apply to each functional or business unit.  If functional</w:t>
      </w:r>
      <w:r w:rsidR="00A21B81">
        <w:rPr>
          <w:szCs w:val="20"/>
        </w:rPr>
        <w:t xml:space="preserve"> or business</w:t>
      </w:r>
      <w:r w:rsidRPr="00851A86">
        <w:rPr>
          <w:szCs w:val="20"/>
        </w:rPr>
        <w:t xml:space="preserve"> units have different personnel or compensation practices, OFCCP requires </w:t>
      </w:r>
      <w:r w:rsidR="007E4DD1">
        <w:rPr>
          <w:szCs w:val="20"/>
        </w:rPr>
        <w:t xml:space="preserve">the contractor </w:t>
      </w:r>
      <w:r w:rsidR="00256765">
        <w:rPr>
          <w:szCs w:val="20"/>
        </w:rPr>
        <w:t xml:space="preserve">to </w:t>
      </w:r>
      <w:r w:rsidR="007E4DD1">
        <w:rPr>
          <w:szCs w:val="20"/>
        </w:rPr>
        <w:t>identif</w:t>
      </w:r>
      <w:r w:rsidR="00256765">
        <w:rPr>
          <w:szCs w:val="20"/>
        </w:rPr>
        <w:t xml:space="preserve">y </w:t>
      </w:r>
      <w:r w:rsidR="007E4DD1">
        <w:rPr>
          <w:szCs w:val="20"/>
        </w:rPr>
        <w:t>them</w:t>
      </w:r>
      <w:r w:rsidRPr="00851A86">
        <w:rPr>
          <w:szCs w:val="20"/>
        </w:rPr>
        <w:t>.  OFCCP estimates that it take</w:t>
      </w:r>
      <w:r w:rsidR="00B84DDA">
        <w:rPr>
          <w:szCs w:val="20"/>
        </w:rPr>
        <w:t>s</w:t>
      </w:r>
      <w:r w:rsidRPr="00851A86">
        <w:rPr>
          <w:szCs w:val="20"/>
        </w:rPr>
        <w:t xml:space="preserve"> 2.5 hours per contractor to provide this information.</w:t>
      </w:r>
    </w:p>
    <w:p w14:paraId="3173F634" w14:textId="77777777" w:rsidR="00851A86" w:rsidRPr="00851A86" w:rsidRDefault="00851A86" w:rsidP="00851A86">
      <w:pPr>
        <w:ind w:left="1440"/>
        <w:rPr>
          <w:szCs w:val="20"/>
        </w:rPr>
      </w:pPr>
    </w:p>
    <w:p w14:paraId="48B90667" w14:textId="77777777" w:rsidR="00851A86" w:rsidRPr="00851A86" w:rsidRDefault="00851A86" w:rsidP="00666287">
      <w:pPr>
        <w:rPr>
          <w:szCs w:val="20"/>
          <w:u w:val="single"/>
        </w:rPr>
      </w:pPr>
      <w:r w:rsidRPr="00851A86">
        <w:rPr>
          <w:szCs w:val="20"/>
          <w:u w:val="single"/>
        </w:rPr>
        <w:t xml:space="preserve">Compliance with Section 503 and VEVRAA Requirements </w:t>
      </w:r>
    </w:p>
    <w:p w14:paraId="7D376B44" w14:textId="154F1624" w:rsidR="00851A86" w:rsidRPr="00851A86" w:rsidRDefault="007E4DD1" w:rsidP="00666287">
      <w:pPr>
        <w:rPr>
          <w:szCs w:val="20"/>
        </w:rPr>
      </w:pPr>
      <w:r>
        <w:rPr>
          <w:szCs w:val="20"/>
        </w:rPr>
        <w:t xml:space="preserve">During the FAAP negotiation process, </w:t>
      </w:r>
      <w:r w:rsidR="00851A86" w:rsidRPr="00851A86">
        <w:rPr>
          <w:szCs w:val="20"/>
        </w:rPr>
        <w:t>OFCCP discuss</w:t>
      </w:r>
      <w:r w:rsidR="00A14F80">
        <w:rPr>
          <w:szCs w:val="20"/>
        </w:rPr>
        <w:t>es with the contractor</w:t>
      </w:r>
      <w:r w:rsidR="00851A86" w:rsidRPr="00851A86">
        <w:rPr>
          <w:szCs w:val="20"/>
        </w:rPr>
        <w:t xml:space="preserve"> its plan for complying with the </w:t>
      </w:r>
      <w:r w:rsidR="00A14F80">
        <w:rPr>
          <w:szCs w:val="20"/>
        </w:rPr>
        <w:t xml:space="preserve">AAP requirements </w:t>
      </w:r>
      <w:r w:rsidR="007274CF">
        <w:rPr>
          <w:szCs w:val="20"/>
        </w:rPr>
        <w:t>of Section 503</w:t>
      </w:r>
      <w:r w:rsidR="00851A86" w:rsidRPr="00851A86">
        <w:rPr>
          <w:szCs w:val="20"/>
        </w:rPr>
        <w:t xml:space="preserve"> and VEVRAA</w:t>
      </w:r>
      <w:r w:rsidR="00A21B81">
        <w:rPr>
          <w:szCs w:val="20"/>
        </w:rPr>
        <w:t>.</w:t>
      </w:r>
      <w:r w:rsidR="00851A86" w:rsidRPr="00851A86">
        <w:rPr>
          <w:szCs w:val="20"/>
        </w:rPr>
        <w:t xml:space="preserve">  OFCCP estimates that it</w:t>
      </w:r>
      <w:r w:rsidR="00B84DDA">
        <w:rPr>
          <w:szCs w:val="20"/>
        </w:rPr>
        <w:t xml:space="preserve"> </w:t>
      </w:r>
      <w:r w:rsidR="00851A86" w:rsidRPr="00851A86">
        <w:rPr>
          <w:szCs w:val="20"/>
        </w:rPr>
        <w:t>take</w:t>
      </w:r>
      <w:r w:rsidR="00B84DDA">
        <w:rPr>
          <w:szCs w:val="20"/>
        </w:rPr>
        <w:t>s</w:t>
      </w:r>
      <w:r w:rsidR="00851A86" w:rsidRPr="00851A86">
        <w:rPr>
          <w:szCs w:val="20"/>
        </w:rPr>
        <w:t xml:space="preserve"> 3 hours per contractor to prepare to discuss this item.</w:t>
      </w:r>
    </w:p>
    <w:p w14:paraId="521B0557" w14:textId="77777777" w:rsidR="00851A86" w:rsidRPr="00851A86" w:rsidRDefault="00851A86" w:rsidP="00666287">
      <w:pPr>
        <w:rPr>
          <w:szCs w:val="20"/>
        </w:rPr>
      </w:pPr>
    </w:p>
    <w:p w14:paraId="71A8BB56" w14:textId="77777777" w:rsidR="00851A86" w:rsidRPr="00851A86" w:rsidRDefault="00851A86" w:rsidP="00666287">
      <w:pPr>
        <w:rPr>
          <w:szCs w:val="20"/>
          <w:u w:val="single"/>
        </w:rPr>
      </w:pPr>
      <w:r w:rsidRPr="00851A86">
        <w:rPr>
          <w:szCs w:val="20"/>
          <w:u w:val="single"/>
        </w:rPr>
        <w:t>Human Resources and Equal Employment Opportunity</w:t>
      </w:r>
    </w:p>
    <w:p w14:paraId="7127BF2F" w14:textId="3F3766F4" w:rsidR="00851A86" w:rsidRPr="00851A86" w:rsidRDefault="00851A86" w:rsidP="00666287">
      <w:pPr>
        <w:rPr>
          <w:szCs w:val="20"/>
        </w:rPr>
      </w:pPr>
      <w:r w:rsidRPr="00851A86">
        <w:rPr>
          <w:szCs w:val="20"/>
        </w:rPr>
        <w:t>OFCCP requires the contractor to provide information during the negotiation process regarding how each functional unit manages its human resources and equal employment opportunity responsibilities.  OFCCP estimates that it take</w:t>
      </w:r>
      <w:r w:rsidR="00B84DDA">
        <w:rPr>
          <w:szCs w:val="20"/>
        </w:rPr>
        <w:t>s</w:t>
      </w:r>
      <w:r w:rsidRPr="00851A86">
        <w:rPr>
          <w:szCs w:val="20"/>
        </w:rPr>
        <w:t xml:space="preserve"> 1.5 hours per contractor to provide this information.</w:t>
      </w:r>
    </w:p>
    <w:p w14:paraId="1CDE727A" w14:textId="77777777" w:rsidR="00851A86" w:rsidRPr="00851A86" w:rsidRDefault="00851A86" w:rsidP="00851A86">
      <w:pPr>
        <w:rPr>
          <w:szCs w:val="20"/>
        </w:rPr>
      </w:pPr>
    </w:p>
    <w:p w14:paraId="1CDA644D" w14:textId="6060CBD1" w:rsidR="00851A86" w:rsidRDefault="00851A86" w:rsidP="00666287">
      <w:pPr>
        <w:rPr>
          <w:szCs w:val="20"/>
        </w:rPr>
      </w:pPr>
      <w:r w:rsidRPr="00851A86">
        <w:rPr>
          <w:szCs w:val="20"/>
        </w:rPr>
        <w:t xml:space="preserve">OFCCP estimates the </w:t>
      </w:r>
      <w:r w:rsidR="00396A0A">
        <w:rPr>
          <w:szCs w:val="20"/>
        </w:rPr>
        <w:t>total</w:t>
      </w:r>
      <w:r w:rsidR="00757E09">
        <w:rPr>
          <w:szCs w:val="20"/>
        </w:rPr>
        <w:t xml:space="preserve"> annual</w:t>
      </w:r>
      <w:r w:rsidR="00396A0A">
        <w:rPr>
          <w:szCs w:val="20"/>
        </w:rPr>
        <w:t xml:space="preserve"> </w:t>
      </w:r>
      <w:r w:rsidRPr="00851A86">
        <w:rPr>
          <w:szCs w:val="20"/>
        </w:rPr>
        <w:t>burden for requesting ap</w:t>
      </w:r>
      <w:r w:rsidR="00A945F2">
        <w:rPr>
          <w:szCs w:val="20"/>
        </w:rPr>
        <w:t>proval of a FAAP agreement</w:t>
      </w:r>
      <w:r w:rsidR="00757E09">
        <w:rPr>
          <w:szCs w:val="20"/>
        </w:rPr>
        <w:t>, which includes submitting the written request, collecting and submitting the support documentation, and holding subsequent discussions with OFCCP</w:t>
      </w:r>
      <w:r w:rsidR="00A945F2">
        <w:rPr>
          <w:szCs w:val="20"/>
        </w:rPr>
        <w:t xml:space="preserve"> at 16</w:t>
      </w:r>
      <w:r w:rsidR="007E06FD">
        <w:rPr>
          <w:szCs w:val="20"/>
        </w:rPr>
        <w:t>4</w:t>
      </w:r>
      <w:r w:rsidR="00A945F2">
        <w:rPr>
          <w:szCs w:val="20"/>
        </w:rPr>
        <w:t xml:space="preserve"> hours (32</w:t>
      </w:r>
      <w:r w:rsidR="001B0FFF">
        <w:rPr>
          <w:szCs w:val="20"/>
        </w:rPr>
        <w:t>.75</w:t>
      </w:r>
      <w:r w:rsidRPr="00851A86">
        <w:rPr>
          <w:szCs w:val="20"/>
        </w:rPr>
        <w:t xml:space="preserve"> ho</w:t>
      </w:r>
      <w:r w:rsidR="00A945F2">
        <w:rPr>
          <w:szCs w:val="20"/>
        </w:rPr>
        <w:t>urs x 5 contractor requests</w:t>
      </w:r>
      <w:r w:rsidRPr="00851A86">
        <w:rPr>
          <w:szCs w:val="20"/>
        </w:rPr>
        <w:t>).</w:t>
      </w:r>
    </w:p>
    <w:p w14:paraId="7D617812" w14:textId="28309339" w:rsidR="00757E09" w:rsidRPr="00851A86" w:rsidRDefault="00757E09" w:rsidP="00666287">
      <w:pPr>
        <w:rPr>
          <w:szCs w:val="20"/>
        </w:rPr>
      </w:pPr>
    </w:p>
    <w:p w14:paraId="3B265488" w14:textId="4957C5CA" w:rsidR="00851A86" w:rsidRPr="00757E09" w:rsidRDefault="00890DDE" w:rsidP="00757E09">
      <w:pPr>
        <w:rPr>
          <w:szCs w:val="20"/>
        </w:rPr>
      </w:pPr>
      <w:r>
        <w:rPr>
          <w:rFonts w:eastAsia="Times New Roman"/>
          <w:b/>
          <w:color w:val="auto"/>
          <w:szCs w:val="20"/>
          <w:u w:val="single"/>
        </w:rPr>
        <w:t>Modifying</w:t>
      </w:r>
      <w:r w:rsidR="00E679DE">
        <w:rPr>
          <w:rFonts w:eastAsia="Times New Roman"/>
          <w:b/>
          <w:color w:val="auto"/>
          <w:szCs w:val="20"/>
          <w:u w:val="single"/>
        </w:rPr>
        <w:t>,</w:t>
      </w:r>
      <w:r w:rsidR="00851A86" w:rsidRPr="00851A86">
        <w:rPr>
          <w:rFonts w:eastAsia="Times New Roman"/>
          <w:b/>
          <w:color w:val="auto"/>
          <w:szCs w:val="20"/>
          <w:u w:val="single"/>
        </w:rPr>
        <w:t xml:space="preserve"> Certifying</w:t>
      </w:r>
      <w:r w:rsidR="00E679DE">
        <w:rPr>
          <w:rFonts w:eastAsia="Times New Roman"/>
          <w:b/>
          <w:color w:val="auto"/>
          <w:szCs w:val="20"/>
          <w:u w:val="single"/>
        </w:rPr>
        <w:t>, and Terminating</w:t>
      </w:r>
      <w:r w:rsidR="00851A86" w:rsidRPr="00851A86">
        <w:rPr>
          <w:rFonts w:eastAsia="Times New Roman"/>
          <w:b/>
          <w:color w:val="auto"/>
          <w:szCs w:val="20"/>
          <w:u w:val="single"/>
        </w:rPr>
        <w:t xml:space="preserve"> FAAP Agreements</w:t>
      </w:r>
    </w:p>
    <w:p w14:paraId="602112C3" w14:textId="77777777" w:rsidR="00757E09" w:rsidRDefault="00757E09" w:rsidP="00666287">
      <w:pPr>
        <w:tabs>
          <w:tab w:val="left" w:pos="-720"/>
        </w:tabs>
        <w:rPr>
          <w:rFonts w:eastAsia="Times New Roman"/>
          <w:color w:val="auto"/>
          <w:szCs w:val="20"/>
          <w:u w:val="single"/>
        </w:rPr>
      </w:pPr>
    </w:p>
    <w:p w14:paraId="4885B65E" w14:textId="791FF318" w:rsidR="00851A86" w:rsidRPr="00851A86" w:rsidRDefault="00851A86" w:rsidP="00666287">
      <w:pPr>
        <w:tabs>
          <w:tab w:val="left" w:pos="-720"/>
        </w:tabs>
        <w:rPr>
          <w:rFonts w:eastAsia="Times New Roman"/>
          <w:color w:val="auto"/>
          <w:szCs w:val="20"/>
          <w:u w:val="single"/>
        </w:rPr>
      </w:pPr>
      <w:r w:rsidRPr="00851A86">
        <w:rPr>
          <w:rFonts w:eastAsia="Times New Roman"/>
          <w:color w:val="auto"/>
          <w:szCs w:val="20"/>
          <w:u w:val="single"/>
        </w:rPr>
        <w:t xml:space="preserve">Modifying a </w:t>
      </w:r>
      <w:r w:rsidR="0072040B">
        <w:rPr>
          <w:rFonts w:eastAsia="Times New Roman"/>
          <w:color w:val="auto"/>
          <w:szCs w:val="20"/>
          <w:u w:val="single"/>
        </w:rPr>
        <w:t xml:space="preserve">FAAP </w:t>
      </w:r>
      <w:r w:rsidRPr="00851A86">
        <w:rPr>
          <w:rFonts w:eastAsia="Times New Roman"/>
          <w:color w:val="auto"/>
          <w:szCs w:val="20"/>
          <w:u w:val="single"/>
        </w:rPr>
        <w:t>Agreement</w:t>
      </w:r>
    </w:p>
    <w:p w14:paraId="0D069D7B" w14:textId="30E38DCE" w:rsidR="00A407F8" w:rsidRDefault="00851A86" w:rsidP="00666287">
      <w:pPr>
        <w:rPr>
          <w:szCs w:val="20"/>
        </w:rPr>
      </w:pPr>
      <w:r w:rsidRPr="00851A86">
        <w:rPr>
          <w:szCs w:val="20"/>
        </w:rPr>
        <w:t xml:space="preserve">Contractors with existing FAAP agreements are </w:t>
      </w:r>
      <w:r w:rsidR="00343CF1">
        <w:rPr>
          <w:szCs w:val="20"/>
        </w:rPr>
        <w:t xml:space="preserve">no longer </w:t>
      </w:r>
      <w:r w:rsidRPr="00851A86">
        <w:rPr>
          <w:szCs w:val="20"/>
        </w:rPr>
        <w:t xml:space="preserve">required to </w:t>
      </w:r>
      <w:r w:rsidR="00671AA7">
        <w:rPr>
          <w:szCs w:val="20"/>
        </w:rPr>
        <w:t xml:space="preserve">annually </w:t>
      </w:r>
      <w:r w:rsidR="00A407F8">
        <w:rPr>
          <w:szCs w:val="20"/>
        </w:rPr>
        <w:t xml:space="preserve">update </w:t>
      </w:r>
      <w:r w:rsidRPr="00851A86">
        <w:rPr>
          <w:szCs w:val="20"/>
        </w:rPr>
        <w:t>their agreements to provide current names of functional</w:t>
      </w:r>
      <w:r w:rsidR="001960E9">
        <w:rPr>
          <w:szCs w:val="20"/>
        </w:rPr>
        <w:t xml:space="preserve"> or business</w:t>
      </w:r>
      <w:r w:rsidRPr="00851A86">
        <w:rPr>
          <w:szCs w:val="20"/>
        </w:rPr>
        <w:t xml:space="preserve"> units, managing officials, employee counts, addresses, and updated contract information. </w:t>
      </w:r>
      <w:r w:rsidR="001960E9">
        <w:rPr>
          <w:szCs w:val="20"/>
        </w:rPr>
        <w:t xml:space="preserve"> </w:t>
      </w:r>
    </w:p>
    <w:p w14:paraId="356414AB" w14:textId="77777777" w:rsidR="00A407F8" w:rsidRDefault="00A407F8" w:rsidP="00666287">
      <w:pPr>
        <w:rPr>
          <w:szCs w:val="20"/>
        </w:rPr>
      </w:pPr>
    </w:p>
    <w:p w14:paraId="4CB204EC" w14:textId="0483FB35" w:rsidR="00851A86" w:rsidRDefault="00A407F8" w:rsidP="00666287">
      <w:pPr>
        <w:rPr>
          <w:szCs w:val="20"/>
        </w:rPr>
      </w:pPr>
      <w:r>
        <w:rPr>
          <w:szCs w:val="20"/>
        </w:rPr>
        <w:t xml:space="preserve">However, the current </w:t>
      </w:r>
      <w:r w:rsidR="009D5DA9">
        <w:rPr>
          <w:szCs w:val="20"/>
        </w:rPr>
        <w:t xml:space="preserve">obligation </w:t>
      </w:r>
      <w:r>
        <w:rPr>
          <w:szCs w:val="20"/>
        </w:rPr>
        <w:t xml:space="preserve">to notify OFCCP of modifications to </w:t>
      </w:r>
      <w:r w:rsidRPr="00A407F8">
        <w:rPr>
          <w:szCs w:val="20"/>
        </w:rPr>
        <w:t xml:space="preserve">the functional or business units, or structure or organization of a contractor that affect an existing FAAP agreement </w:t>
      </w:r>
      <w:r>
        <w:rPr>
          <w:szCs w:val="20"/>
        </w:rPr>
        <w:t xml:space="preserve">is retained.  </w:t>
      </w:r>
      <w:r w:rsidR="00851A86" w:rsidRPr="00851A86">
        <w:rPr>
          <w:szCs w:val="20"/>
        </w:rPr>
        <w:t>If the contractor undergoes a merger, acquisition, and/or downsizing, they must notify OFCCP within 60 days of the effective date of the change(s) with the name of the newly merged or acquired company and the contractor’s plan to incorporate the former company’s employees into its AAP structure</w:t>
      </w:r>
      <w:r w:rsidR="00232A56">
        <w:rPr>
          <w:szCs w:val="20"/>
        </w:rPr>
        <w:t>.</w:t>
      </w:r>
      <w:r w:rsidR="001960E9">
        <w:rPr>
          <w:szCs w:val="20"/>
        </w:rPr>
        <w:t xml:space="preserve"> </w:t>
      </w:r>
      <w:r w:rsidR="00787123">
        <w:rPr>
          <w:szCs w:val="20"/>
        </w:rPr>
        <w:t xml:space="preserve"> </w:t>
      </w:r>
      <w:r w:rsidR="00787123" w:rsidRPr="00A407F8">
        <w:rPr>
          <w:szCs w:val="20"/>
        </w:rPr>
        <w:t xml:space="preserve">Any resulting functional or business unit name change, and changes in managing officials, employee counts, and addresses should be included in the modification notice.  </w:t>
      </w:r>
      <w:r w:rsidR="00232A56">
        <w:rPr>
          <w:szCs w:val="20"/>
        </w:rPr>
        <w:t>T</w:t>
      </w:r>
      <w:r w:rsidR="001960E9">
        <w:rPr>
          <w:szCs w:val="20"/>
        </w:rPr>
        <w:t xml:space="preserve">he </w:t>
      </w:r>
      <w:r w:rsidR="009D5DA9">
        <w:rPr>
          <w:szCs w:val="20"/>
        </w:rPr>
        <w:t xml:space="preserve">FAAP </w:t>
      </w:r>
      <w:r w:rsidR="001960E9">
        <w:rPr>
          <w:szCs w:val="20"/>
        </w:rPr>
        <w:t>agreement will be modified to reflect the changes</w:t>
      </w:r>
      <w:r w:rsidR="00851A86" w:rsidRPr="00851A86">
        <w:rPr>
          <w:szCs w:val="20"/>
        </w:rPr>
        <w:t xml:space="preserve">. </w:t>
      </w:r>
      <w:r w:rsidR="001960E9">
        <w:rPr>
          <w:szCs w:val="20"/>
        </w:rPr>
        <w:t xml:space="preserve"> </w:t>
      </w:r>
      <w:r w:rsidR="00851A86" w:rsidRPr="00851A86">
        <w:rPr>
          <w:szCs w:val="20"/>
        </w:rPr>
        <w:t>OFCCP estimates that it take</w:t>
      </w:r>
      <w:r w:rsidR="00A21B81">
        <w:rPr>
          <w:szCs w:val="20"/>
        </w:rPr>
        <w:t>s</w:t>
      </w:r>
      <w:r w:rsidR="00851A86" w:rsidRPr="00851A86">
        <w:rPr>
          <w:szCs w:val="20"/>
        </w:rPr>
        <w:t xml:space="preserve"> </w:t>
      </w:r>
      <w:r w:rsidR="00937F39" w:rsidRPr="00851A86">
        <w:rPr>
          <w:szCs w:val="20"/>
        </w:rPr>
        <w:t xml:space="preserve">10 hours </w:t>
      </w:r>
      <w:r w:rsidR="00937F39">
        <w:rPr>
          <w:szCs w:val="20"/>
        </w:rPr>
        <w:t>per</w:t>
      </w:r>
      <w:r w:rsidR="00851A86" w:rsidRPr="00851A86">
        <w:rPr>
          <w:szCs w:val="20"/>
        </w:rPr>
        <w:t xml:space="preserve"> contractor to provide the required information.</w:t>
      </w:r>
    </w:p>
    <w:p w14:paraId="12BBB07B" w14:textId="2A59148D" w:rsidR="00A407F8" w:rsidRDefault="00A407F8" w:rsidP="00666287">
      <w:pPr>
        <w:rPr>
          <w:szCs w:val="20"/>
        </w:rPr>
      </w:pPr>
    </w:p>
    <w:p w14:paraId="437044C0" w14:textId="49D6D36C" w:rsidR="00851A86" w:rsidRPr="00851A86" w:rsidRDefault="00851A86" w:rsidP="00666287">
      <w:pPr>
        <w:tabs>
          <w:tab w:val="left" w:pos="-720"/>
        </w:tabs>
        <w:rPr>
          <w:rFonts w:eastAsia="Times New Roman"/>
          <w:color w:val="auto"/>
          <w:szCs w:val="20"/>
        </w:rPr>
      </w:pPr>
      <w:r w:rsidRPr="00851A86">
        <w:rPr>
          <w:rFonts w:eastAsia="Times New Roman"/>
          <w:color w:val="auto"/>
          <w:szCs w:val="20"/>
        </w:rPr>
        <w:t xml:space="preserve">OFCCP </w:t>
      </w:r>
      <w:r w:rsidR="00396A0A">
        <w:rPr>
          <w:rFonts w:eastAsia="Times New Roman"/>
          <w:color w:val="auto"/>
          <w:szCs w:val="20"/>
        </w:rPr>
        <w:t xml:space="preserve">currently </w:t>
      </w:r>
      <w:r w:rsidRPr="00851A86">
        <w:rPr>
          <w:rFonts w:eastAsia="Times New Roman"/>
          <w:color w:val="auto"/>
          <w:szCs w:val="20"/>
        </w:rPr>
        <w:t>has 71 FAAP agreements</w:t>
      </w:r>
      <w:r w:rsidR="00396A0A">
        <w:rPr>
          <w:rFonts w:eastAsia="Times New Roman"/>
          <w:color w:val="auto"/>
          <w:szCs w:val="20"/>
        </w:rPr>
        <w:t>, which has been a consistent number over the last three years</w:t>
      </w:r>
      <w:r w:rsidRPr="00851A86">
        <w:rPr>
          <w:rFonts w:eastAsia="Times New Roman"/>
          <w:color w:val="auto"/>
          <w:szCs w:val="20"/>
        </w:rPr>
        <w:t xml:space="preserve">.  </w:t>
      </w:r>
      <w:r w:rsidR="00081B65">
        <w:rPr>
          <w:rFonts w:eastAsia="Times New Roman"/>
          <w:color w:val="auto"/>
          <w:szCs w:val="20"/>
        </w:rPr>
        <w:t xml:space="preserve">Even though the requirement to modify on an annual basis </w:t>
      </w:r>
      <w:r w:rsidR="00231AF2">
        <w:rPr>
          <w:rFonts w:eastAsia="Times New Roman"/>
          <w:color w:val="auto"/>
          <w:szCs w:val="20"/>
        </w:rPr>
        <w:t xml:space="preserve">is proposed for removal, </w:t>
      </w:r>
      <w:r w:rsidR="00081B65">
        <w:rPr>
          <w:rFonts w:eastAsia="Times New Roman"/>
          <w:color w:val="auto"/>
          <w:szCs w:val="20"/>
        </w:rPr>
        <w:t xml:space="preserve">OFCCP estimates that 90% of contractors with FAAP agreements will </w:t>
      </w:r>
      <w:r w:rsidR="00231AF2">
        <w:rPr>
          <w:rFonts w:eastAsia="Times New Roman"/>
          <w:color w:val="auto"/>
          <w:szCs w:val="20"/>
        </w:rPr>
        <w:t xml:space="preserve">modify the agreement during the course of a year. </w:t>
      </w:r>
      <w:r w:rsidR="008F75A0">
        <w:rPr>
          <w:rFonts w:eastAsia="Times New Roman"/>
          <w:color w:val="auto"/>
          <w:szCs w:val="20"/>
        </w:rPr>
        <w:t>T</w:t>
      </w:r>
      <w:r w:rsidRPr="00851A86">
        <w:rPr>
          <w:rFonts w:eastAsia="Times New Roman"/>
          <w:color w:val="auto"/>
          <w:szCs w:val="20"/>
        </w:rPr>
        <w:t xml:space="preserve">he annual burden to contractors is estimated as </w:t>
      </w:r>
      <w:r w:rsidR="008F75A0">
        <w:rPr>
          <w:rFonts w:eastAsia="Times New Roman"/>
          <w:color w:val="auto"/>
          <w:szCs w:val="20"/>
        </w:rPr>
        <w:t>64</w:t>
      </w:r>
      <w:r w:rsidRPr="00851A86">
        <w:rPr>
          <w:rFonts w:eastAsia="Times New Roman"/>
          <w:color w:val="auto"/>
          <w:szCs w:val="20"/>
        </w:rPr>
        <w:t>0 hours (</w:t>
      </w:r>
      <w:r w:rsidR="004B10EB">
        <w:rPr>
          <w:rFonts w:eastAsia="Times New Roman"/>
          <w:color w:val="auto"/>
          <w:szCs w:val="20"/>
        </w:rPr>
        <w:t xml:space="preserve">10 hours x </w:t>
      </w:r>
      <w:r w:rsidR="008F75A0">
        <w:rPr>
          <w:rFonts w:eastAsia="Times New Roman"/>
          <w:color w:val="auto"/>
          <w:szCs w:val="20"/>
        </w:rPr>
        <w:t>64</w:t>
      </w:r>
      <w:r w:rsidR="004B10EB">
        <w:rPr>
          <w:rFonts w:eastAsia="Times New Roman"/>
          <w:color w:val="auto"/>
          <w:szCs w:val="20"/>
        </w:rPr>
        <w:t xml:space="preserve"> contractors</w:t>
      </w:r>
      <w:r w:rsidRPr="00851A86">
        <w:rPr>
          <w:rFonts w:eastAsia="Times New Roman"/>
          <w:color w:val="auto"/>
          <w:szCs w:val="20"/>
        </w:rPr>
        <w:t>).</w:t>
      </w:r>
    </w:p>
    <w:p w14:paraId="450A4102" w14:textId="77777777" w:rsidR="00851A86" w:rsidRPr="00851A86" w:rsidRDefault="00851A86" w:rsidP="00851A86">
      <w:pPr>
        <w:tabs>
          <w:tab w:val="left" w:pos="-720"/>
        </w:tabs>
        <w:rPr>
          <w:rFonts w:eastAsia="Times New Roman"/>
          <w:color w:val="auto"/>
          <w:szCs w:val="20"/>
          <w:u w:val="single"/>
        </w:rPr>
      </w:pPr>
    </w:p>
    <w:p w14:paraId="356CB99A" w14:textId="77777777" w:rsidR="00851A86" w:rsidRPr="00851A86" w:rsidRDefault="00851A86" w:rsidP="00666287">
      <w:pPr>
        <w:tabs>
          <w:tab w:val="left" w:pos="-720"/>
        </w:tabs>
        <w:rPr>
          <w:rFonts w:eastAsia="Times New Roman"/>
          <w:color w:val="auto"/>
          <w:szCs w:val="20"/>
        </w:rPr>
      </w:pPr>
      <w:r w:rsidRPr="00851A86">
        <w:rPr>
          <w:rFonts w:eastAsia="Times New Roman"/>
          <w:color w:val="auto"/>
          <w:szCs w:val="20"/>
          <w:u w:val="single"/>
        </w:rPr>
        <w:t>Certifying</w:t>
      </w:r>
      <w:r w:rsidRPr="00851A86">
        <w:rPr>
          <w:rFonts w:eastAsia="Times New Roman"/>
          <w:color w:val="auto"/>
          <w:szCs w:val="20"/>
        </w:rPr>
        <w:t xml:space="preserve"> </w:t>
      </w:r>
      <w:r w:rsidRPr="00851A86">
        <w:rPr>
          <w:rFonts w:eastAsia="Times New Roman"/>
          <w:color w:val="auto"/>
          <w:szCs w:val="20"/>
          <w:u w:val="single"/>
        </w:rPr>
        <w:t>a FAAP Agreement</w:t>
      </w:r>
    </w:p>
    <w:p w14:paraId="2719148D" w14:textId="5648D873" w:rsidR="00851A86" w:rsidRPr="00851A86" w:rsidRDefault="00757E09" w:rsidP="00666287">
      <w:pPr>
        <w:tabs>
          <w:tab w:val="left" w:pos="-720"/>
        </w:tabs>
        <w:rPr>
          <w:rFonts w:eastAsia="Times New Roman"/>
          <w:color w:val="auto"/>
          <w:szCs w:val="20"/>
        </w:rPr>
      </w:pPr>
      <w:r>
        <w:rPr>
          <w:rFonts w:eastAsia="Times New Roman"/>
          <w:color w:val="auto"/>
          <w:szCs w:val="20"/>
        </w:rPr>
        <w:t>Once approved</w:t>
      </w:r>
      <w:r w:rsidR="00787123">
        <w:rPr>
          <w:rFonts w:eastAsia="Times New Roman"/>
          <w:color w:val="auto"/>
          <w:szCs w:val="20"/>
        </w:rPr>
        <w:t xml:space="preserve">, </w:t>
      </w:r>
      <w:r>
        <w:rPr>
          <w:rFonts w:eastAsia="Times New Roman"/>
          <w:color w:val="auto"/>
          <w:szCs w:val="20"/>
        </w:rPr>
        <w:t>FAAP agreements are valid</w:t>
      </w:r>
      <w:r w:rsidR="00851A86" w:rsidRPr="00851A86">
        <w:rPr>
          <w:rFonts w:eastAsia="Times New Roman"/>
          <w:color w:val="auto"/>
          <w:szCs w:val="20"/>
        </w:rPr>
        <w:t xml:space="preserve"> for five-year terms. </w:t>
      </w:r>
      <w:r>
        <w:rPr>
          <w:rFonts w:eastAsia="Times New Roman"/>
          <w:color w:val="auto"/>
          <w:szCs w:val="20"/>
        </w:rPr>
        <w:t xml:space="preserve"> Prior to the end of the </w:t>
      </w:r>
      <w:r w:rsidR="002A224D">
        <w:rPr>
          <w:rFonts w:eastAsia="Times New Roman"/>
          <w:color w:val="auto"/>
          <w:szCs w:val="20"/>
        </w:rPr>
        <w:t>five-year</w:t>
      </w:r>
      <w:r w:rsidR="00851A86" w:rsidRPr="00851A86">
        <w:rPr>
          <w:rFonts w:eastAsia="Times New Roman"/>
          <w:color w:val="auto"/>
          <w:szCs w:val="20"/>
        </w:rPr>
        <w:t xml:space="preserve"> term, contractors must certify in writing (at least 120 calendar days prior to the expiration of the existing agreement) that there have been no changed circumstances to the business structure affecting the existing agreement.  As a part of this certification, a contractor is required to include updated information on a federal contract of $50,000 or more, identifying the name of the federal contracting agency, the contract number, the contract period, and the name of the prime contractor if the contractor is a subcontractor. </w:t>
      </w:r>
      <w:r w:rsidR="001960E9">
        <w:rPr>
          <w:rFonts w:eastAsia="Times New Roman"/>
          <w:color w:val="auto"/>
          <w:szCs w:val="20"/>
        </w:rPr>
        <w:t xml:space="preserve"> </w:t>
      </w:r>
      <w:r w:rsidR="00851A86" w:rsidRPr="00851A86">
        <w:rPr>
          <w:rFonts w:eastAsia="Times New Roman"/>
          <w:color w:val="auto"/>
          <w:szCs w:val="20"/>
        </w:rPr>
        <w:t xml:space="preserve">In addition, the contractor must provide </w:t>
      </w:r>
      <w:r w:rsidR="00232A56">
        <w:rPr>
          <w:rFonts w:eastAsia="Times New Roman"/>
          <w:color w:val="auto"/>
          <w:szCs w:val="20"/>
        </w:rPr>
        <w:t xml:space="preserve">updated information regarding </w:t>
      </w:r>
      <w:r w:rsidR="00851A86" w:rsidRPr="00851A86">
        <w:rPr>
          <w:rFonts w:eastAsia="Times New Roman"/>
          <w:color w:val="auto"/>
          <w:szCs w:val="20"/>
        </w:rPr>
        <w:t>employee counts,</w:t>
      </w:r>
      <w:r w:rsidR="001960E9">
        <w:rPr>
          <w:rFonts w:eastAsia="Times New Roman"/>
          <w:color w:val="auto"/>
          <w:szCs w:val="20"/>
        </w:rPr>
        <w:t xml:space="preserve"> </w:t>
      </w:r>
      <w:r w:rsidR="00851A86" w:rsidRPr="00851A86">
        <w:rPr>
          <w:rFonts w:eastAsia="Times New Roman"/>
          <w:color w:val="auto"/>
          <w:szCs w:val="20"/>
        </w:rPr>
        <w:t>facility names</w:t>
      </w:r>
      <w:r w:rsidR="00232A56">
        <w:rPr>
          <w:rFonts w:eastAsia="Times New Roman"/>
          <w:color w:val="auto"/>
          <w:szCs w:val="20"/>
        </w:rPr>
        <w:t>,</w:t>
      </w:r>
      <w:r w:rsidR="00851A86" w:rsidRPr="00851A86">
        <w:rPr>
          <w:rFonts w:eastAsia="Times New Roman"/>
          <w:color w:val="auto"/>
          <w:szCs w:val="20"/>
        </w:rPr>
        <w:t xml:space="preserve"> and facility addresses included in each functional</w:t>
      </w:r>
      <w:r w:rsidR="001960E9">
        <w:rPr>
          <w:rFonts w:eastAsia="Times New Roman"/>
          <w:color w:val="auto"/>
          <w:szCs w:val="20"/>
        </w:rPr>
        <w:t xml:space="preserve"> or business</w:t>
      </w:r>
      <w:r w:rsidR="00851A86" w:rsidRPr="00851A86">
        <w:rPr>
          <w:rFonts w:eastAsia="Times New Roman"/>
          <w:color w:val="auto"/>
          <w:szCs w:val="20"/>
        </w:rPr>
        <w:t xml:space="preserve"> unit.  If the contractor has undergone changes resulting in the addition or elimination of functional</w:t>
      </w:r>
      <w:r w:rsidR="001960E9">
        <w:rPr>
          <w:rFonts w:eastAsia="Times New Roman"/>
          <w:color w:val="auto"/>
          <w:szCs w:val="20"/>
        </w:rPr>
        <w:t xml:space="preserve"> or business</w:t>
      </w:r>
      <w:r w:rsidR="00851A86" w:rsidRPr="00851A86">
        <w:rPr>
          <w:rFonts w:eastAsia="Times New Roman"/>
          <w:color w:val="auto"/>
          <w:szCs w:val="20"/>
        </w:rPr>
        <w:t xml:space="preserve"> units or</w:t>
      </w:r>
      <w:r w:rsidR="00B7267B">
        <w:rPr>
          <w:rFonts w:eastAsia="Times New Roman"/>
          <w:color w:val="auto"/>
          <w:szCs w:val="20"/>
        </w:rPr>
        <w:t xml:space="preserve"> establishment-based AAPs, </w:t>
      </w:r>
      <w:r w:rsidR="00232A56">
        <w:rPr>
          <w:rFonts w:eastAsia="Times New Roman"/>
          <w:color w:val="auto"/>
          <w:szCs w:val="20"/>
        </w:rPr>
        <w:t>they will be</w:t>
      </w:r>
      <w:r w:rsidR="00851A86" w:rsidRPr="00851A86">
        <w:rPr>
          <w:rFonts w:eastAsia="Times New Roman"/>
          <w:color w:val="auto"/>
          <w:szCs w:val="20"/>
        </w:rPr>
        <w:t xml:space="preserve"> required to submit a written rationale explaining the changes. </w:t>
      </w:r>
      <w:r w:rsidR="001960E9">
        <w:rPr>
          <w:rFonts w:eastAsia="Times New Roman"/>
          <w:color w:val="auto"/>
          <w:szCs w:val="20"/>
        </w:rPr>
        <w:t xml:space="preserve"> </w:t>
      </w:r>
      <w:r w:rsidR="00B7267B">
        <w:rPr>
          <w:rFonts w:eastAsia="Times New Roman"/>
          <w:color w:val="auto"/>
          <w:szCs w:val="20"/>
        </w:rPr>
        <w:t>OFCCP estimates that it</w:t>
      </w:r>
      <w:r w:rsidR="00851A86" w:rsidRPr="00851A86">
        <w:rPr>
          <w:rFonts w:eastAsia="Times New Roman"/>
          <w:color w:val="auto"/>
          <w:szCs w:val="20"/>
        </w:rPr>
        <w:t xml:space="preserve"> take</w:t>
      </w:r>
      <w:r w:rsidR="00A21B81">
        <w:rPr>
          <w:rFonts w:eastAsia="Times New Roman"/>
          <w:color w:val="auto"/>
          <w:szCs w:val="20"/>
        </w:rPr>
        <w:t>s</w:t>
      </w:r>
      <w:r w:rsidR="00851A86" w:rsidRPr="00851A86">
        <w:rPr>
          <w:rFonts w:eastAsia="Times New Roman"/>
          <w:color w:val="auto"/>
          <w:szCs w:val="20"/>
        </w:rPr>
        <w:t xml:space="preserve"> </w:t>
      </w:r>
      <w:r w:rsidR="00937F39" w:rsidRPr="00851A86">
        <w:rPr>
          <w:rFonts w:eastAsia="Times New Roman"/>
          <w:color w:val="auto"/>
          <w:szCs w:val="20"/>
        </w:rPr>
        <w:t xml:space="preserve">4 hours </w:t>
      </w:r>
      <w:r w:rsidR="00937F39">
        <w:rPr>
          <w:rFonts w:eastAsia="Times New Roman"/>
          <w:color w:val="auto"/>
          <w:szCs w:val="20"/>
        </w:rPr>
        <w:t>per</w:t>
      </w:r>
      <w:r w:rsidR="00851A86" w:rsidRPr="00851A86">
        <w:rPr>
          <w:rFonts w:eastAsia="Times New Roman"/>
          <w:color w:val="auto"/>
          <w:szCs w:val="20"/>
        </w:rPr>
        <w:t xml:space="preserve"> contractor to prepare this request.  </w:t>
      </w:r>
    </w:p>
    <w:p w14:paraId="08362344" w14:textId="77777777" w:rsidR="00851A86" w:rsidRPr="00851A86" w:rsidRDefault="00851A86" w:rsidP="00851A86">
      <w:pPr>
        <w:ind w:left="1080"/>
        <w:rPr>
          <w:szCs w:val="20"/>
        </w:rPr>
      </w:pPr>
    </w:p>
    <w:p w14:paraId="1FF3AA77" w14:textId="2932BF21" w:rsidR="00851A86" w:rsidRPr="00851A86" w:rsidRDefault="00851A86" w:rsidP="00666287">
      <w:pPr>
        <w:rPr>
          <w:szCs w:val="20"/>
        </w:rPr>
      </w:pPr>
      <w:r w:rsidRPr="00851A86">
        <w:rPr>
          <w:szCs w:val="20"/>
        </w:rPr>
        <w:t xml:space="preserve">OFCCP estimates that </w:t>
      </w:r>
      <w:r w:rsidR="00A945F2">
        <w:rPr>
          <w:szCs w:val="20"/>
        </w:rPr>
        <w:t xml:space="preserve">approximately 14 contractors will certify their FAAP agreement each year.  </w:t>
      </w:r>
      <w:r w:rsidRPr="00851A86">
        <w:rPr>
          <w:szCs w:val="20"/>
        </w:rPr>
        <w:t xml:space="preserve">Therefore, </w:t>
      </w:r>
      <w:r w:rsidR="00286E2F">
        <w:rPr>
          <w:szCs w:val="20"/>
        </w:rPr>
        <w:t xml:space="preserve">the annual burden </w:t>
      </w:r>
      <w:r w:rsidR="00A945F2">
        <w:rPr>
          <w:szCs w:val="20"/>
        </w:rPr>
        <w:t>is estimated as 56</w:t>
      </w:r>
      <w:r w:rsidR="00286E2F">
        <w:rPr>
          <w:szCs w:val="20"/>
        </w:rPr>
        <w:t xml:space="preserve"> hours </w:t>
      </w:r>
      <w:r w:rsidRPr="00851A86">
        <w:rPr>
          <w:szCs w:val="20"/>
        </w:rPr>
        <w:t>(</w:t>
      </w:r>
      <w:r w:rsidR="00B7267B">
        <w:rPr>
          <w:szCs w:val="20"/>
        </w:rPr>
        <w:t xml:space="preserve">71 FAAP agreements / 5 years = 14.2 contractors per year average; </w:t>
      </w:r>
      <w:r w:rsidR="00A945F2">
        <w:rPr>
          <w:szCs w:val="20"/>
        </w:rPr>
        <w:t>4 hours x 14 contractors = 56</w:t>
      </w:r>
      <w:r w:rsidR="00286E2F">
        <w:rPr>
          <w:szCs w:val="20"/>
        </w:rPr>
        <w:t xml:space="preserve"> hours)</w:t>
      </w:r>
      <w:r w:rsidRPr="00851A86">
        <w:rPr>
          <w:szCs w:val="20"/>
        </w:rPr>
        <w:t>.</w:t>
      </w:r>
    </w:p>
    <w:p w14:paraId="61DF6B00" w14:textId="77777777" w:rsidR="00851A86" w:rsidRPr="00851A86" w:rsidRDefault="00851A86" w:rsidP="00851A86">
      <w:pPr>
        <w:ind w:left="1080"/>
      </w:pPr>
    </w:p>
    <w:p w14:paraId="4E311BE7" w14:textId="25221929" w:rsidR="00E679DE" w:rsidRDefault="00E679DE" w:rsidP="004E28AF">
      <w:pPr>
        <w:tabs>
          <w:tab w:val="left" w:pos="-720"/>
        </w:tabs>
        <w:rPr>
          <w:rFonts w:eastAsia="Times New Roman"/>
          <w:szCs w:val="20"/>
          <w:u w:val="single"/>
        </w:rPr>
      </w:pPr>
      <w:r>
        <w:rPr>
          <w:rFonts w:eastAsia="Times New Roman"/>
          <w:szCs w:val="20"/>
          <w:u w:val="single"/>
        </w:rPr>
        <w:t>Terminating a FAAP Agreement</w:t>
      </w:r>
    </w:p>
    <w:p w14:paraId="282C0B7E" w14:textId="0211A502" w:rsidR="00E679DE" w:rsidRPr="00E679DE" w:rsidRDefault="00E679DE" w:rsidP="004E28AF">
      <w:pPr>
        <w:tabs>
          <w:tab w:val="left" w:pos="-720"/>
        </w:tabs>
        <w:rPr>
          <w:bCs/>
          <w:color w:val="FF0000"/>
        </w:rPr>
      </w:pPr>
      <w:r>
        <w:rPr>
          <w:rFonts w:eastAsia="Times New Roman"/>
          <w:szCs w:val="20"/>
        </w:rPr>
        <w:t>Contractors may choose to terminate a FAAP agreement because</w:t>
      </w:r>
      <w:r w:rsidRPr="00E679DE">
        <w:rPr>
          <w:rFonts w:eastAsia="Times New Roman"/>
          <w:szCs w:val="20"/>
        </w:rPr>
        <w:t xml:space="preserve"> </w:t>
      </w:r>
      <w:r>
        <w:rPr>
          <w:rFonts w:eastAsia="Times New Roman"/>
          <w:szCs w:val="20"/>
        </w:rPr>
        <w:t xml:space="preserve">of </w:t>
      </w:r>
      <w:r w:rsidRPr="003E1E49">
        <w:rPr>
          <w:bCs/>
          <w:color w:val="auto"/>
        </w:rPr>
        <w:t xml:space="preserve">losing a federal contract, restructuring, merging, or other reasons.  The contractor must submit </w:t>
      </w:r>
      <w:r w:rsidR="00232A56">
        <w:rPr>
          <w:bCs/>
          <w:color w:val="auto"/>
        </w:rPr>
        <w:t xml:space="preserve">90 calendar days written </w:t>
      </w:r>
      <w:r w:rsidRPr="003E1E49">
        <w:rPr>
          <w:bCs/>
          <w:color w:val="auto"/>
        </w:rPr>
        <w:t xml:space="preserve">notice that they are terminating the agreement along with </w:t>
      </w:r>
      <w:r w:rsidR="00232A56">
        <w:rPr>
          <w:bCs/>
          <w:color w:val="auto"/>
        </w:rPr>
        <w:t xml:space="preserve">a brief explanation of the reason(s) for the termination and </w:t>
      </w:r>
      <w:r w:rsidRPr="003E1E49">
        <w:rPr>
          <w:bCs/>
          <w:color w:val="auto"/>
        </w:rPr>
        <w:t>the effective date of the termination.</w:t>
      </w:r>
      <w:r w:rsidR="00E477FF">
        <w:rPr>
          <w:rStyle w:val="FootnoteReference"/>
          <w:bCs/>
          <w:color w:val="auto"/>
        </w:rPr>
        <w:footnoteReference w:id="18"/>
      </w:r>
      <w:r w:rsidRPr="003E1E49">
        <w:rPr>
          <w:bCs/>
          <w:color w:val="auto"/>
        </w:rPr>
        <w:t xml:space="preserve">  OFCCP estimates that it take</w:t>
      </w:r>
      <w:r w:rsidR="00A21B81">
        <w:rPr>
          <w:bCs/>
          <w:color w:val="auto"/>
        </w:rPr>
        <w:t>s</w:t>
      </w:r>
      <w:r w:rsidRPr="003E1E49">
        <w:rPr>
          <w:bCs/>
          <w:color w:val="auto"/>
        </w:rPr>
        <w:t xml:space="preserve"> </w:t>
      </w:r>
      <w:r w:rsidR="00937F39">
        <w:rPr>
          <w:bCs/>
          <w:color w:val="auto"/>
        </w:rPr>
        <w:t>0</w:t>
      </w:r>
      <w:r w:rsidR="00937F39" w:rsidRPr="003E1E49">
        <w:rPr>
          <w:bCs/>
          <w:color w:val="auto"/>
        </w:rPr>
        <w:t xml:space="preserve">.75 hours </w:t>
      </w:r>
      <w:r w:rsidR="00937F39">
        <w:rPr>
          <w:bCs/>
          <w:color w:val="auto"/>
        </w:rPr>
        <w:t>per</w:t>
      </w:r>
      <w:r w:rsidRPr="003E1E49">
        <w:rPr>
          <w:bCs/>
          <w:color w:val="auto"/>
        </w:rPr>
        <w:t xml:space="preserve"> contractor to prepare the notice. </w:t>
      </w:r>
    </w:p>
    <w:p w14:paraId="6967BDF1" w14:textId="7F4755D2" w:rsidR="00E679DE" w:rsidRDefault="00E679DE" w:rsidP="004E28AF">
      <w:pPr>
        <w:tabs>
          <w:tab w:val="left" w:pos="-720"/>
        </w:tabs>
        <w:rPr>
          <w:bCs/>
          <w:color w:val="FF0000"/>
        </w:rPr>
      </w:pPr>
    </w:p>
    <w:p w14:paraId="3689DCA4" w14:textId="5D4BA9A3" w:rsidR="00E679DE" w:rsidRPr="00E679DE" w:rsidRDefault="006E19CC" w:rsidP="004E28AF">
      <w:pPr>
        <w:tabs>
          <w:tab w:val="left" w:pos="-720"/>
        </w:tabs>
        <w:rPr>
          <w:rFonts w:eastAsia="Times New Roman"/>
          <w:szCs w:val="20"/>
        </w:rPr>
      </w:pPr>
      <w:r w:rsidRPr="00851A86">
        <w:rPr>
          <w:rFonts w:eastAsia="Times New Roman"/>
          <w:color w:val="auto"/>
          <w:szCs w:val="20"/>
        </w:rPr>
        <w:t>OFCCP estimates th</w:t>
      </w:r>
      <w:r>
        <w:rPr>
          <w:rFonts w:eastAsia="Times New Roman"/>
          <w:color w:val="auto"/>
          <w:szCs w:val="20"/>
        </w:rPr>
        <w:t xml:space="preserve">at there </w:t>
      </w:r>
      <w:r w:rsidR="00A21B81">
        <w:rPr>
          <w:rFonts w:eastAsia="Times New Roman"/>
          <w:color w:val="auto"/>
          <w:szCs w:val="20"/>
        </w:rPr>
        <w:t>are</w:t>
      </w:r>
      <w:r>
        <w:rPr>
          <w:rFonts w:eastAsia="Times New Roman"/>
          <w:color w:val="auto"/>
          <w:szCs w:val="20"/>
        </w:rPr>
        <w:t xml:space="preserve"> approximately two</w:t>
      </w:r>
      <w:r w:rsidRPr="00851A86">
        <w:rPr>
          <w:rFonts w:eastAsia="Times New Roman"/>
          <w:color w:val="auto"/>
          <w:szCs w:val="20"/>
        </w:rPr>
        <w:t xml:space="preserve"> </w:t>
      </w:r>
      <w:r w:rsidR="00A21B81" w:rsidRPr="00851A86">
        <w:rPr>
          <w:rFonts w:eastAsia="Times New Roman"/>
          <w:color w:val="auto"/>
          <w:szCs w:val="20"/>
        </w:rPr>
        <w:t>FAAP agreements</w:t>
      </w:r>
      <w:r w:rsidR="00A21B81">
        <w:rPr>
          <w:rFonts w:eastAsia="Times New Roman"/>
          <w:color w:val="auto"/>
          <w:szCs w:val="20"/>
        </w:rPr>
        <w:t xml:space="preserve"> </w:t>
      </w:r>
      <w:r>
        <w:rPr>
          <w:rFonts w:eastAsia="Times New Roman"/>
          <w:color w:val="auto"/>
          <w:szCs w:val="20"/>
        </w:rPr>
        <w:t>terminations</w:t>
      </w:r>
      <w:r w:rsidRPr="00851A86">
        <w:rPr>
          <w:rFonts w:eastAsia="Times New Roman"/>
          <w:color w:val="auto"/>
          <w:szCs w:val="20"/>
        </w:rPr>
        <w:t xml:space="preserve"> each year</w:t>
      </w:r>
      <w:r w:rsidR="00A21B81">
        <w:rPr>
          <w:rFonts w:eastAsia="Times New Roman"/>
          <w:color w:val="auto"/>
          <w:szCs w:val="20"/>
        </w:rPr>
        <w:t>, an</w:t>
      </w:r>
      <w:r w:rsidRPr="00851A86">
        <w:rPr>
          <w:rFonts w:eastAsia="Times New Roman"/>
          <w:color w:val="auto"/>
          <w:szCs w:val="20"/>
        </w:rPr>
        <w:t xml:space="preserve"> estimate </w:t>
      </w:r>
      <w:r w:rsidR="00A21B81">
        <w:rPr>
          <w:rFonts w:eastAsia="Times New Roman"/>
          <w:color w:val="auto"/>
          <w:szCs w:val="20"/>
        </w:rPr>
        <w:t xml:space="preserve">that </w:t>
      </w:r>
      <w:r w:rsidRPr="00851A86">
        <w:rPr>
          <w:rFonts w:eastAsia="Times New Roman"/>
          <w:color w:val="auto"/>
          <w:szCs w:val="20"/>
        </w:rPr>
        <w:t xml:space="preserve">is based on the </w:t>
      </w:r>
      <w:r w:rsidR="00A21B81">
        <w:rPr>
          <w:rFonts w:eastAsia="Times New Roman"/>
          <w:color w:val="auto"/>
          <w:szCs w:val="20"/>
        </w:rPr>
        <w:t>number</w:t>
      </w:r>
      <w:r w:rsidRPr="00851A86">
        <w:rPr>
          <w:rFonts w:eastAsia="Times New Roman"/>
          <w:color w:val="auto"/>
          <w:szCs w:val="20"/>
        </w:rPr>
        <w:t xml:space="preserve"> agreements </w:t>
      </w:r>
      <w:r w:rsidR="00A21B81">
        <w:rPr>
          <w:rFonts w:eastAsia="Times New Roman"/>
          <w:color w:val="auto"/>
          <w:szCs w:val="20"/>
        </w:rPr>
        <w:t xml:space="preserve">that were </w:t>
      </w:r>
      <w:r>
        <w:rPr>
          <w:rFonts w:eastAsia="Times New Roman"/>
          <w:color w:val="auto"/>
          <w:szCs w:val="20"/>
        </w:rPr>
        <w:t>terminated</w:t>
      </w:r>
      <w:r w:rsidRPr="00851A86">
        <w:rPr>
          <w:rFonts w:eastAsia="Times New Roman"/>
          <w:color w:val="auto"/>
          <w:szCs w:val="20"/>
        </w:rPr>
        <w:t xml:space="preserve"> in the previous </w:t>
      </w:r>
      <w:r>
        <w:rPr>
          <w:rFonts w:eastAsia="Times New Roman"/>
          <w:color w:val="auto"/>
          <w:szCs w:val="20"/>
        </w:rPr>
        <w:t xml:space="preserve">three </w:t>
      </w:r>
      <w:r w:rsidRPr="00851A86">
        <w:rPr>
          <w:rFonts w:eastAsia="Times New Roman"/>
          <w:color w:val="auto"/>
          <w:szCs w:val="20"/>
        </w:rPr>
        <w:t>years.</w:t>
      </w:r>
      <w:r w:rsidRPr="00851A86">
        <w:rPr>
          <w:rFonts w:eastAsia="Times New Roman"/>
          <w:szCs w:val="20"/>
        </w:rPr>
        <w:t xml:space="preserve"> </w:t>
      </w:r>
      <w:r w:rsidR="00A21B81">
        <w:rPr>
          <w:rFonts w:eastAsia="Times New Roman"/>
          <w:szCs w:val="20"/>
        </w:rPr>
        <w:t xml:space="preserve"> OFCCP estimates that it takes </w:t>
      </w:r>
      <w:r w:rsidR="00937F39">
        <w:rPr>
          <w:rFonts w:eastAsia="Times New Roman"/>
          <w:szCs w:val="20"/>
        </w:rPr>
        <w:t xml:space="preserve">0.75 hour per contractor to terminate an agreement.  </w:t>
      </w:r>
      <w:r>
        <w:rPr>
          <w:rFonts w:eastAsia="Times New Roman"/>
          <w:szCs w:val="20"/>
        </w:rPr>
        <w:t>The a</w:t>
      </w:r>
      <w:r w:rsidR="00B7267B">
        <w:rPr>
          <w:rFonts w:eastAsia="Times New Roman"/>
          <w:szCs w:val="20"/>
        </w:rPr>
        <w:t>nnual burden is estimated at</w:t>
      </w:r>
      <w:r w:rsidR="007E06FD">
        <w:rPr>
          <w:rFonts w:eastAsia="Times New Roman"/>
          <w:szCs w:val="20"/>
        </w:rPr>
        <w:t xml:space="preserve"> </w:t>
      </w:r>
      <w:r w:rsidR="00B7267B">
        <w:rPr>
          <w:rFonts w:eastAsia="Times New Roman"/>
          <w:szCs w:val="20"/>
        </w:rPr>
        <w:t xml:space="preserve">approximately </w:t>
      </w:r>
      <w:r w:rsidR="007E06FD">
        <w:rPr>
          <w:rFonts w:eastAsia="Times New Roman"/>
          <w:szCs w:val="20"/>
        </w:rPr>
        <w:t>2</w:t>
      </w:r>
      <w:r>
        <w:rPr>
          <w:rFonts w:eastAsia="Times New Roman"/>
          <w:szCs w:val="20"/>
        </w:rPr>
        <w:t xml:space="preserve"> hours (</w:t>
      </w:r>
      <w:r w:rsidR="004B10EB">
        <w:rPr>
          <w:rFonts w:eastAsia="Times New Roman"/>
          <w:szCs w:val="20"/>
        </w:rPr>
        <w:t>0</w:t>
      </w:r>
      <w:r>
        <w:rPr>
          <w:rFonts w:eastAsia="Times New Roman"/>
          <w:szCs w:val="20"/>
        </w:rPr>
        <w:t>.75 hour x 2 contractors).</w:t>
      </w:r>
    </w:p>
    <w:p w14:paraId="04C3B56B" w14:textId="77777777" w:rsidR="00286E2F" w:rsidRPr="00851A86" w:rsidRDefault="00286E2F" w:rsidP="00851A86">
      <w:pPr>
        <w:tabs>
          <w:tab w:val="left" w:pos="-720"/>
        </w:tabs>
        <w:ind w:left="720"/>
        <w:rPr>
          <w:rFonts w:eastAsia="Times New Roman"/>
          <w:szCs w:val="20"/>
        </w:rPr>
      </w:pPr>
    </w:p>
    <w:p w14:paraId="3099B795" w14:textId="2F336DAA" w:rsidR="00851A86" w:rsidRDefault="00851A86" w:rsidP="00286E2F">
      <w:pPr>
        <w:rPr>
          <w:b/>
          <w:color w:val="auto"/>
        </w:rPr>
      </w:pPr>
      <w:r w:rsidRPr="00851A86">
        <w:rPr>
          <w:b/>
          <w:color w:val="auto"/>
        </w:rPr>
        <w:t>Total Reporting Burden by Contractor Activity</w:t>
      </w:r>
    </w:p>
    <w:p w14:paraId="6302E2B4" w14:textId="77777777" w:rsidR="00792CA2" w:rsidRPr="00851A86" w:rsidRDefault="00792CA2" w:rsidP="00286E2F">
      <w:pPr>
        <w:rPr>
          <w:b/>
          <w:color w:val="auto"/>
        </w:rPr>
      </w:pPr>
    </w:p>
    <w:tbl>
      <w:tblPr>
        <w:tblpPr w:leftFromText="180" w:rightFromText="180" w:vertAnchor="text" w:horzAnchor="margin" w:tblpXSpec="center" w:tblpY="69"/>
        <w:tblW w:w="8953" w:type="dxa"/>
        <w:tblLook w:val="00A0" w:firstRow="1" w:lastRow="0" w:firstColumn="1" w:lastColumn="0" w:noHBand="0" w:noVBand="0"/>
      </w:tblPr>
      <w:tblGrid>
        <w:gridCol w:w="1975"/>
        <w:gridCol w:w="1466"/>
        <w:gridCol w:w="1669"/>
        <w:gridCol w:w="1285"/>
        <w:gridCol w:w="1442"/>
        <w:gridCol w:w="1116"/>
      </w:tblGrid>
      <w:tr w:rsidR="00851A86" w:rsidRPr="00851A86" w14:paraId="78B09837" w14:textId="77777777" w:rsidTr="00931FD0">
        <w:trPr>
          <w:trHeight w:val="249"/>
        </w:trPr>
        <w:tc>
          <w:tcPr>
            <w:tcW w:w="1975" w:type="dxa"/>
            <w:tcBorders>
              <w:top w:val="single" w:sz="4" w:space="0" w:color="auto"/>
              <w:left w:val="single" w:sz="4" w:space="0" w:color="auto"/>
              <w:bottom w:val="single" w:sz="4" w:space="0" w:color="auto"/>
              <w:right w:val="single" w:sz="4" w:space="0" w:color="auto"/>
            </w:tcBorders>
            <w:noWrap/>
            <w:vAlign w:val="bottom"/>
            <w:hideMark/>
          </w:tcPr>
          <w:p w14:paraId="14248F1F" w14:textId="77777777" w:rsidR="00851A86" w:rsidRPr="00851A86" w:rsidRDefault="00851A86" w:rsidP="00851A86">
            <w:pPr>
              <w:rPr>
                <w:szCs w:val="24"/>
              </w:rPr>
            </w:pPr>
            <w:r w:rsidRPr="00851A86">
              <w:rPr>
                <w:szCs w:val="24"/>
              </w:rPr>
              <w:t> </w:t>
            </w:r>
          </w:p>
        </w:tc>
        <w:tc>
          <w:tcPr>
            <w:tcW w:w="1466" w:type="dxa"/>
            <w:tcBorders>
              <w:top w:val="single" w:sz="4" w:space="0" w:color="auto"/>
              <w:left w:val="nil"/>
              <w:bottom w:val="single" w:sz="4" w:space="0" w:color="auto"/>
              <w:right w:val="single" w:sz="4" w:space="0" w:color="auto"/>
            </w:tcBorders>
            <w:noWrap/>
            <w:vAlign w:val="bottom"/>
            <w:hideMark/>
          </w:tcPr>
          <w:p w14:paraId="59935062" w14:textId="77777777" w:rsidR="00851A86" w:rsidRPr="00851A86" w:rsidRDefault="00851A86" w:rsidP="00851A86">
            <w:pPr>
              <w:rPr>
                <w:szCs w:val="24"/>
              </w:rPr>
            </w:pPr>
            <w:r w:rsidRPr="00851A86">
              <w:rPr>
                <w:szCs w:val="24"/>
              </w:rPr>
              <w:t>Total Number of Respondents</w:t>
            </w:r>
          </w:p>
        </w:tc>
        <w:tc>
          <w:tcPr>
            <w:tcW w:w="1669" w:type="dxa"/>
            <w:tcBorders>
              <w:top w:val="single" w:sz="4" w:space="0" w:color="auto"/>
              <w:left w:val="nil"/>
              <w:bottom w:val="single" w:sz="4" w:space="0" w:color="auto"/>
              <w:right w:val="single" w:sz="4" w:space="0" w:color="auto"/>
            </w:tcBorders>
            <w:noWrap/>
            <w:vAlign w:val="bottom"/>
            <w:hideMark/>
          </w:tcPr>
          <w:p w14:paraId="037F9B51" w14:textId="77777777" w:rsidR="00851A86" w:rsidRPr="00851A86" w:rsidRDefault="00851A86" w:rsidP="00851A86">
            <w:pPr>
              <w:rPr>
                <w:szCs w:val="24"/>
              </w:rPr>
            </w:pPr>
            <w:r w:rsidRPr="00851A86">
              <w:rPr>
                <w:szCs w:val="24"/>
              </w:rPr>
              <w:t>Recordkeeping</w:t>
            </w:r>
          </w:p>
          <w:p w14:paraId="5176327D" w14:textId="77777777" w:rsidR="00851A86" w:rsidRPr="00851A86" w:rsidRDefault="00851A86" w:rsidP="00851A86">
            <w:pPr>
              <w:rPr>
                <w:szCs w:val="24"/>
              </w:rPr>
            </w:pPr>
            <w:r w:rsidRPr="00851A86">
              <w:rPr>
                <w:szCs w:val="24"/>
              </w:rPr>
              <w:t>Hours</w:t>
            </w:r>
          </w:p>
        </w:tc>
        <w:tc>
          <w:tcPr>
            <w:tcW w:w="1285" w:type="dxa"/>
            <w:tcBorders>
              <w:top w:val="single" w:sz="4" w:space="0" w:color="auto"/>
              <w:left w:val="nil"/>
              <w:bottom w:val="single" w:sz="4" w:space="0" w:color="auto"/>
              <w:right w:val="single" w:sz="4" w:space="0" w:color="auto"/>
            </w:tcBorders>
            <w:noWrap/>
            <w:vAlign w:val="bottom"/>
            <w:hideMark/>
          </w:tcPr>
          <w:p w14:paraId="3E7BCADD" w14:textId="77777777" w:rsidR="00851A86" w:rsidRPr="00851A86" w:rsidRDefault="00851A86" w:rsidP="00851A86">
            <w:pPr>
              <w:rPr>
                <w:szCs w:val="24"/>
              </w:rPr>
            </w:pPr>
            <w:r w:rsidRPr="00851A86">
              <w:rPr>
                <w:szCs w:val="24"/>
              </w:rPr>
              <w:t>Reporting</w:t>
            </w:r>
          </w:p>
          <w:p w14:paraId="2E2257E1" w14:textId="77777777" w:rsidR="00851A86" w:rsidRPr="00851A86" w:rsidRDefault="00851A86" w:rsidP="00851A86">
            <w:pPr>
              <w:rPr>
                <w:szCs w:val="24"/>
              </w:rPr>
            </w:pPr>
            <w:r w:rsidRPr="00851A86">
              <w:rPr>
                <w:szCs w:val="24"/>
              </w:rPr>
              <w:t xml:space="preserve">Hours </w:t>
            </w:r>
          </w:p>
        </w:tc>
        <w:tc>
          <w:tcPr>
            <w:tcW w:w="1442" w:type="dxa"/>
            <w:tcBorders>
              <w:top w:val="single" w:sz="4" w:space="0" w:color="auto"/>
              <w:left w:val="nil"/>
              <w:bottom w:val="single" w:sz="4" w:space="0" w:color="auto"/>
              <w:right w:val="single" w:sz="4" w:space="0" w:color="auto"/>
            </w:tcBorders>
            <w:noWrap/>
            <w:vAlign w:val="bottom"/>
            <w:hideMark/>
          </w:tcPr>
          <w:p w14:paraId="7692132C" w14:textId="77777777" w:rsidR="00851A86" w:rsidRPr="00851A86" w:rsidRDefault="00851A86" w:rsidP="00851A86">
            <w:pPr>
              <w:rPr>
                <w:szCs w:val="24"/>
              </w:rPr>
            </w:pPr>
            <w:r w:rsidRPr="00851A86">
              <w:rPr>
                <w:szCs w:val="24"/>
              </w:rPr>
              <w:t>Third Party Disclosure</w:t>
            </w:r>
          </w:p>
        </w:tc>
        <w:tc>
          <w:tcPr>
            <w:tcW w:w="1116" w:type="dxa"/>
            <w:tcBorders>
              <w:top w:val="single" w:sz="4" w:space="0" w:color="auto"/>
              <w:left w:val="nil"/>
              <w:bottom w:val="single" w:sz="4" w:space="0" w:color="auto"/>
              <w:right w:val="single" w:sz="4" w:space="0" w:color="auto"/>
            </w:tcBorders>
            <w:noWrap/>
            <w:vAlign w:val="bottom"/>
            <w:hideMark/>
          </w:tcPr>
          <w:p w14:paraId="5CF68747" w14:textId="77777777" w:rsidR="00851A86" w:rsidRPr="00851A86" w:rsidRDefault="00851A86" w:rsidP="00851A86">
            <w:pPr>
              <w:rPr>
                <w:szCs w:val="24"/>
              </w:rPr>
            </w:pPr>
            <w:r w:rsidRPr="00851A86">
              <w:rPr>
                <w:szCs w:val="24"/>
              </w:rPr>
              <w:t>Total Hours</w:t>
            </w:r>
          </w:p>
        </w:tc>
      </w:tr>
      <w:tr w:rsidR="00851A86" w:rsidRPr="00851A86" w14:paraId="7964D067" w14:textId="77777777" w:rsidTr="00931FD0">
        <w:trPr>
          <w:trHeight w:val="450"/>
        </w:trPr>
        <w:tc>
          <w:tcPr>
            <w:tcW w:w="1975" w:type="dxa"/>
            <w:tcBorders>
              <w:top w:val="nil"/>
              <w:left w:val="single" w:sz="4" w:space="0" w:color="auto"/>
              <w:bottom w:val="single" w:sz="4" w:space="0" w:color="000000"/>
              <w:right w:val="single" w:sz="4" w:space="0" w:color="auto"/>
            </w:tcBorders>
            <w:vAlign w:val="center"/>
            <w:hideMark/>
          </w:tcPr>
          <w:p w14:paraId="29CC65A0" w14:textId="77777777" w:rsidR="00851A86" w:rsidRPr="00851A86" w:rsidRDefault="00851A86" w:rsidP="00851A86">
            <w:pPr>
              <w:rPr>
                <w:szCs w:val="24"/>
              </w:rPr>
            </w:pPr>
            <w:r w:rsidRPr="00851A86">
              <w:rPr>
                <w:szCs w:val="24"/>
              </w:rPr>
              <w:t>Requesting a FAAP Agreement</w:t>
            </w:r>
          </w:p>
        </w:tc>
        <w:tc>
          <w:tcPr>
            <w:tcW w:w="1466" w:type="dxa"/>
            <w:tcBorders>
              <w:top w:val="nil"/>
              <w:left w:val="nil"/>
              <w:bottom w:val="single" w:sz="4" w:space="0" w:color="auto"/>
              <w:right w:val="single" w:sz="4" w:space="0" w:color="auto"/>
            </w:tcBorders>
            <w:noWrap/>
            <w:vAlign w:val="bottom"/>
            <w:hideMark/>
          </w:tcPr>
          <w:p w14:paraId="2163777B" w14:textId="77777777" w:rsidR="00851A86" w:rsidRPr="00851A86" w:rsidRDefault="00851A86" w:rsidP="00851A86">
            <w:pPr>
              <w:jc w:val="right"/>
              <w:rPr>
                <w:szCs w:val="24"/>
              </w:rPr>
            </w:pPr>
            <w:r w:rsidRPr="00851A86">
              <w:rPr>
                <w:szCs w:val="24"/>
              </w:rPr>
              <w:t>5</w:t>
            </w:r>
          </w:p>
        </w:tc>
        <w:tc>
          <w:tcPr>
            <w:tcW w:w="1669" w:type="dxa"/>
            <w:tcBorders>
              <w:top w:val="nil"/>
              <w:left w:val="nil"/>
              <w:bottom w:val="single" w:sz="4" w:space="0" w:color="auto"/>
              <w:right w:val="single" w:sz="4" w:space="0" w:color="auto"/>
            </w:tcBorders>
            <w:noWrap/>
            <w:vAlign w:val="bottom"/>
            <w:hideMark/>
          </w:tcPr>
          <w:p w14:paraId="7FEB60AD" w14:textId="77777777" w:rsidR="00851A86" w:rsidRPr="00851A86" w:rsidRDefault="00851A86" w:rsidP="00851A86">
            <w:pPr>
              <w:jc w:val="right"/>
              <w:rPr>
                <w:szCs w:val="24"/>
              </w:rPr>
            </w:pPr>
            <w:r w:rsidRPr="00851A86">
              <w:rPr>
                <w:szCs w:val="24"/>
              </w:rPr>
              <w:t>0</w:t>
            </w:r>
          </w:p>
        </w:tc>
        <w:tc>
          <w:tcPr>
            <w:tcW w:w="1285" w:type="dxa"/>
            <w:tcBorders>
              <w:top w:val="nil"/>
              <w:left w:val="nil"/>
              <w:bottom w:val="single" w:sz="4" w:space="0" w:color="auto"/>
              <w:right w:val="single" w:sz="4" w:space="0" w:color="auto"/>
            </w:tcBorders>
            <w:noWrap/>
            <w:vAlign w:val="bottom"/>
            <w:hideMark/>
          </w:tcPr>
          <w:p w14:paraId="03E8D97E" w14:textId="03003465" w:rsidR="00851A86" w:rsidRPr="00851A86" w:rsidRDefault="00A945F2" w:rsidP="00851A86">
            <w:pPr>
              <w:jc w:val="right"/>
              <w:rPr>
                <w:szCs w:val="24"/>
              </w:rPr>
            </w:pPr>
            <w:r>
              <w:rPr>
                <w:szCs w:val="24"/>
              </w:rPr>
              <w:t>32</w:t>
            </w:r>
            <w:r w:rsidR="00127180">
              <w:rPr>
                <w:szCs w:val="24"/>
              </w:rPr>
              <w:t>.75</w:t>
            </w:r>
          </w:p>
        </w:tc>
        <w:tc>
          <w:tcPr>
            <w:tcW w:w="1442" w:type="dxa"/>
            <w:tcBorders>
              <w:top w:val="nil"/>
              <w:left w:val="nil"/>
              <w:bottom w:val="single" w:sz="4" w:space="0" w:color="auto"/>
              <w:right w:val="single" w:sz="4" w:space="0" w:color="auto"/>
            </w:tcBorders>
            <w:noWrap/>
            <w:vAlign w:val="bottom"/>
            <w:hideMark/>
          </w:tcPr>
          <w:p w14:paraId="16EC6801" w14:textId="77777777" w:rsidR="00851A86" w:rsidRPr="00851A86" w:rsidRDefault="00851A86" w:rsidP="00851A86">
            <w:pPr>
              <w:jc w:val="right"/>
              <w:rPr>
                <w:szCs w:val="24"/>
              </w:rPr>
            </w:pPr>
            <w:r w:rsidRPr="00851A86">
              <w:rPr>
                <w:szCs w:val="24"/>
              </w:rPr>
              <w:t>0</w:t>
            </w:r>
          </w:p>
        </w:tc>
        <w:tc>
          <w:tcPr>
            <w:tcW w:w="1116" w:type="dxa"/>
            <w:tcBorders>
              <w:top w:val="nil"/>
              <w:left w:val="nil"/>
              <w:bottom w:val="single" w:sz="4" w:space="0" w:color="auto"/>
              <w:right w:val="single" w:sz="4" w:space="0" w:color="auto"/>
            </w:tcBorders>
            <w:noWrap/>
            <w:vAlign w:val="bottom"/>
            <w:hideMark/>
          </w:tcPr>
          <w:p w14:paraId="065EAECE" w14:textId="11DD0B8A" w:rsidR="00851A86" w:rsidRPr="00851A86" w:rsidRDefault="00A945F2" w:rsidP="00851A86">
            <w:pPr>
              <w:jc w:val="right"/>
              <w:rPr>
                <w:b/>
                <w:bCs/>
                <w:szCs w:val="24"/>
              </w:rPr>
            </w:pPr>
            <w:r>
              <w:rPr>
                <w:b/>
                <w:bCs/>
                <w:szCs w:val="24"/>
              </w:rPr>
              <w:t>16</w:t>
            </w:r>
            <w:r w:rsidR="007E06FD">
              <w:rPr>
                <w:b/>
                <w:bCs/>
                <w:szCs w:val="24"/>
              </w:rPr>
              <w:t>4</w:t>
            </w:r>
          </w:p>
        </w:tc>
      </w:tr>
      <w:tr w:rsidR="00851A86" w:rsidRPr="00851A86" w14:paraId="1C6EC57B" w14:textId="77777777" w:rsidTr="00931FD0">
        <w:trPr>
          <w:trHeight w:val="450"/>
        </w:trPr>
        <w:tc>
          <w:tcPr>
            <w:tcW w:w="1975" w:type="dxa"/>
            <w:tcBorders>
              <w:top w:val="nil"/>
              <w:left w:val="single" w:sz="4" w:space="0" w:color="auto"/>
              <w:bottom w:val="single" w:sz="4" w:space="0" w:color="000000"/>
              <w:right w:val="single" w:sz="4" w:space="0" w:color="auto"/>
            </w:tcBorders>
            <w:vAlign w:val="bottom"/>
            <w:hideMark/>
          </w:tcPr>
          <w:p w14:paraId="2B9BE8C5" w14:textId="77777777" w:rsidR="00851A86" w:rsidRPr="00851A86" w:rsidRDefault="00851A86" w:rsidP="00851A86">
            <w:pPr>
              <w:rPr>
                <w:szCs w:val="24"/>
              </w:rPr>
            </w:pPr>
            <w:r w:rsidRPr="00851A86">
              <w:rPr>
                <w:szCs w:val="24"/>
              </w:rPr>
              <w:t xml:space="preserve">Modifying a FAAP Agreement </w:t>
            </w:r>
          </w:p>
        </w:tc>
        <w:tc>
          <w:tcPr>
            <w:tcW w:w="1466" w:type="dxa"/>
            <w:tcBorders>
              <w:top w:val="nil"/>
              <w:left w:val="nil"/>
              <w:bottom w:val="single" w:sz="4" w:space="0" w:color="auto"/>
              <w:right w:val="single" w:sz="4" w:space="0" w:color="auto"/>
            </w:tcBorders>
            <w:noWrap/>
            <w:vAlign w:val="bottom"/>
            <w:hideMark/>
          </w:tcPr>
          <w:p w14:paraId="173D9008" w14:textId="4447F8C1" w:rsidR="00851A86" w:rsidRPr="00851A86" w:rsidRDefault="008F75A0" w:rsidP="00851A86">
            <w:pPr>
              <w:jc w:val="right"/>
              <w:rPr>
                <w:szCs w:val="24"/>
              </w:rPr>
            </w:pPr>
            <w:r>
              <w:rPr>
                <w:szCs w:val="24"/>
              </w:rPr>
              <w:t>64</w:t>
            </w:r>
          </w:p>
        </w:tc>
        <w:tc>
          <w:tcPr>
            <w:tcW w:w="1669" w:type="dxa"/>
            <w:tcBorders>
              <w:top w:val="nil"/>
              <w:left w:val="nil"/>
              <w:bottom w:val="single" w:sz="4" w:space="0" w:color="auto"/>
              <w:right w:val="single" w:sz="4" w:space="0" w:color="auto"/>
            </w:tcBorders>
            <w:noWrap/>
            <w:vAlign w:val="bottom"/>
            <w:hideMark/>
          </w:tcPr>
          <w:p w14:paraId="2FCB3ACE" w14:textId="77777777" w:rsidR="00851A86" w:rsidRPr="00851A86" w:rsidRDefault="00851A86" w:rsidP="00851A86">
            <w:pPr>
              <w:jc w:val="right"/>
              <w:rPr>
                <w:szCs w:val="24"/>
              </w:rPr>
            </w:pPr>
            <w:r w:rsidRPr="00851A86">
              <w:rPr>
                <w:szCs w:val="24"/>
              </w:rPr>
              <w:t>0</w:t>
            </w:r>
          </w:p>
        </w:tc>
        <w:tc>
          <w:tcPr>
            <w:tcW w:w="1285" w:type="dxa"/>
            <w:tcBorders>
              <w:top w:val="nil"/>
              <w:left w:val="nil"/>
              <w:bottom w:val="single" w:sz="4" w:space="0" w:color="auto"/>
              <w:right w:val="single" w:sz="4" w:space="0" w:color="auto"/>
            </w:tcBorders>
            <w:noWrap/>
            <w:vAlign w:val="bottom"/>
            <w:hideMark/>
          </w:tcPr>
          <w:p w14:paraId="229BB7A5" w14:textId="77777777" w:rsidR="00851A86" w:rsidRPr="00851A86" w:rsidRDefault="00851A86" w:rsidP="00851A86">
            <w:pPr>
              <w:jc w:val="right"/>
              <w:rPr>
                <w:szCs w:val="24"/>
              </w:rPr>
            </w:pPr>
            <w:r w:rsidRPr="00851A86">
              <w:rPr>
                <w:szCs w:val="24"/>
              </w:rPr>
              <w:t>10</w:t>
            </w:r>
          </w:p>
        </w:tc>
        <w:tc>
          <w:tcPr>
            <w:tcW w:w="1442" w:type="dxa"/>
            <w:tcBorders>
              <w:top w:val="nil"/>
              <w:left w:val="nil"/>
              <w:bottom w:val="single" w:sz="4" w:space="0" w:color="auto"/>
              <w:right w:val="single" w:sz="4" w:space="0" w:color="auto"/>
            </w:tcBorders>
            <w:noWrap/>
            <w:vAlign w:val="bottom"/>
          </w:tcPr>
          <w:p w14:paraId="4AE1015E" w14:textId="77777777" w:rsidR="00851A86" w:rsidRPr="00851A86" w:rsidRDefault="00851A86" w:rsidP="00851A86">
            <w:pPr>
              <w:jc w:val="right"/>
              <w:rPr>
                <w:szCs w:val="24"/>
              </w:rPr>
            </w:pPr>
            <w:r w:rsidRPr="00851A86">
              <w:rPr>
                <w:szCs w:val="24"/>
              </w:rPr>
              <w:t>0</w:t>
            </w:r>
          </w:p>
        </w:tc>
        <w:tc>
          <w:tcPr>
            <w:tcW w:w="1116" w:type="dxa"/>
            <w:tcBorders>
              <w:top w:val="nil"/>
              <w:left w:val="nil"/>
              <w:bottom w:val="single" w:sz="4" w:space="0" w:color="auto"/>
              <w:right w:val="single" w:sz="4" w:space="0" w:color="auto"/>
            </w:tcBorders>
            <w:noWrap/>
            <w:vAlign w:val="bottom"/>
            <w:hideMark/>
          </w:tcPr>
          <w:p w14:paraId="34FE577A" w14:textId="3E6C4C01" w:rsidR="00851A86" w:rsidRPr="00851A86" w:rsidRDefault="008F75A0" w:rsidP="00851A86">
            <w:pPr>
              <w:jc w:val="right"/>
              <w:rPr>
                <w:b/>
                <w:bCs/>
                <w:szCs w:val="24"/>
              </w:rPr>
            </w:pPr>
            <w:r>
              <w:rPr>
                <w:b/>
                <w:bCs/>
                <w:szCs w:val="24"/>
              </w:rPr>
              <w:t>640</w:t>
            </w:r>
          </w:p>
        </w:tc>
      </w:tr>
      <w:tr w:rsidR="00851A86" w:rsidRPr="00851A86" w14:paraId="0CB1533D" w14:textId="77777777" w:rsidTr="00931FD0">
        <w:trPr>
          <w:trHeight w:val="450"/>
        </w:trPr>
        <w:tc>
          <w:tcPr>
            <w:tcW w:w="1975" w:type="dxa"/>
            <w:tcBorders>
              <w:top w:val="nil"/>
              <w:left w:val="single" w:sz="4" w:space="0" w:color="auto"/>
              <w:bottom w:val="single" w:sz="4" w:space="0" w:color="000000"/>
              <w:right w:val="single" w:sz="4" w:space="0" w:color="auto"/>
            </w:tcBorders>
            <w:vAlign w:val="bottom"/>
            <w:hideMark/>
          </w:tcPr>
          <w:p w14:paraId="609AB136" w14:textId="77777777" w:rsidR="00851A86" w:rsidRPr="00851A86" w:rsidRDefault="00851A86" w:rsidP="00851A86">
            <w:pPr>
              <w:rPr>
                <w:szCs w:val="24"/>
              </w:rPr>
            </w:pPr>
            <w:r w:rsidRPr="00851A86">
              <w:rPr>
                <w:szCs w:val="24"/>
              </w:rPr>
              <w:t>Certifying a FAAP Agreement</w:t>
            </w:r>
          </w:p>
        </w:tc>
        <w:tc>
          <w:tcPr>
            <w:tcW w:w="1466" w:type="dxa"/>
            <w:tcBorders>
              <w:top w:val="nil"/>
              <w:left w:val="nil"/>
              <w:bottom w:val="single" w:sz="4" w:space="0" w:color="auto"/>
              <w:right w:val="single" w:sz="4" w:space="0" w:color="auto"/>
            </w:tcBorders>
            <w:noWrap/>
            <w:vAlign w:val="bottom"/>
            <w:hideMark/>
          </w:tcPr>
          <w:p w14:paraId="298D40EE" w14:textId="2EB395C0" w:rsidR="00851A86" w:rsidRPr="00851A86" w:rsidRDefault="00A945F2" w:rsidP="00851A86">
            <w:pPr>
              <w:jc w:val="right"/>
              <w:rPr>
                <w:szCs w:val="24"/>
              </w:rPr>
            </w:pPr>
            <w:r>
              <w:rPr>
                <w:szCs w:val="24"/>
              </w:rPr>
              <w:t>14</w:t>
            </w:r>
          </w:p>
        </w:tc>
        <w:tc>
          <w:tcPr>
            <w:tcW w:w="1669" w:type="dxa"/>
            <w:tcBorders>
              <w:top w:val="nil"/>
              <w:left w:val="nil"/>
              <w:bottom w:val="single" w:sz="4" w:space="0" w:color="auto"/>
              <w:right w:val="single" w:sz="4" w:space="0" w:color="auto"/>
            </w:tcBorders>
            <w:noWrap/>
            <w:vAlign w:val="bottom"/>
            <w:hideMark/>
          </w:tcPr>
          <w:p w14:paraId="2B00BBE9" w14:textId="77777777" w:rsidR="00851A86" w:rsidRPr="00851A86" w:rsidRDefault="00851A86" w:rsidP="00851A86">
            <w:pPr>
              <w:jc w:val="right"/>
              <w:rPr>
                <w:szCs w:val="24"/>
              </w:rPr>
            </w:pPr>
            <w:r w:rsidRPr="00851A86">
              <w:rPr>
                <w:szCs w:val="24"/>
              </w:rPr>
              <w:t>0</w:t>
            </w:r>
          </w:p>
        </w:tc>
        <w:tc>
          <w:tcPr>
            <w:tcW w:w="1285" w:type="dxa"/>
            <w:tcBorders>
              <w:top w:val="nil"/>
              <w:left w:val="nil"/>
              <w:bottom w:val="single" w:sz="4" w:space="0" w:color="auto"/>
              <w:right w:val="single" w:sz="4" w:space="0" w:color="auto"/>
            </w:tcBorders>
            <w:noWrap/>
            <w:vAlign w:val="bottom"/>
            <w:hideMark/>
          </w:tcPr>
          <w:p w14:paraId="56359E21" w14:textId="77777777" w:rsidR="00851A86" w:rsidRPr="00851A86" w:rsidRDefault="00851A86" w:rsidP="00851A86">
            <w:pPr>
              <w:jc w:val="right"/>
              <w:rPr>
                <w:szCs w:val="24"/>
              </w:rPr>
            </w:pPr>
            <w:r w:rsidRPr="00851A86">
              <w:rPr>
                <w:szCs w:val="24"/>
              </w:rPr>
              <w:t>4</w:t>
            </w:r>
          </w:p>
        </w:tc>
        <w:tc>
          <w:tcPr>
            <w:tcW w:w="1442" w:type="dxa"/>
            <w:tcBorders>
              <w:top w:val="nil"/>
              <w:left w:val="nil"/>
              <w:bottom w:val="single" w:sz="4" w:space="0" w:color="auto"/>
              <w:right w:val="single" w:sz="4" w:space="0" w:color="auto"/>
            </w:tcBorders>
            <w:noWrap/>
            <w:vAlign w:val="bottom"/>
          </w:tcPr>
          <w:p w14:paraId="62003293" w14:textId="77777777" w:rsidR="00851A86" w:rsidRPr="00851A86" w:rsidRDefault="00851A86" w:rsidP="00851A86">
            <w:pPr>
              <w:jc w:val="right"/>
              <w:rPr>
                <w:szCs w:val="24"/>
              </w:rPr>
            </w:pPr>
            <w:r w:rsidRPr="00851A86">
              <w:rPr>
                <w:szCs w:val="24"/>
              </w:rPr>
              <w:t>0</w:t>
            </w:r>
          </w:p>
        </w:tc>
        <w:tc>
          <w:tcPr>
            <w:tcW w:w="1116" w:type="dxa"/>
            <w:tcBorders>
              <w:top w:val="nil"/>
              <w:left w:val="nil"/>
              <w:bottom w:val="single" w:sz="4" w:space="0" w:color="auto"/>
              <w:right w:val="single" w:sz="4" w:space="0" w:color="auto"/>
            </w:tcBorders>
            <w:noWrap/>
            <w:vAlign w:val="bottom"/>
            <w:hideMark/>
          </w:tcPr>
          <w:p w14:paraId="3CA12265" w14:textId="4F86A563" w:rsidR="00851A86" w:rsidRPr="00851A86" w:rsidRDefault="00A945F2" w:rsidP="00851A86">
            <w:pPr>
              <w:jc w:val="right"/>
              <w:rPr>
                <w:b/>
                <w:bCs/>
                <w:szCs w:val="24"/>
              </w:rPr>
            </w:pPr>
            <w:r>
              <w:rPr>
                <w:b/>
                <w:bCs/>
                <w:szCs w:val="24"/>
              </w:rPr>
              <w:t>56</w:t>
            </w:r>
          </w:p>
        </w:tc>
      </w:tr>
      <w:tr w:rsidR="006E19CC" w:rsidRPr="00851A86" w14:paraId="58441502" w14:textId="77777777" w:rsidTr="00931FD0">
        <w:trPr>
          <w:trHeight w:val="249"/>
        </w:trPr>
        <w:tc>
          <w:tcPr>
            <w:tcW w:w="1975" w:type="dxa"/>
            <w:tcBorders>
              <w:top w:val="nil"/>
              <w:left w:val="single" w:sz="4" w:space="0" w:color="auto"/>
              <w:bottom w:val="single" w:sz="4" w:space="0" w:color="auto"/>
              <w:right w:val="single" w:sz="4" w:space="0" w:color="auto"/>
            </w:tcBorders>
            <w:noWrap/>
            <w:vAlign w:val="bottom"/>
          </w:tcPr>
          <w:p w14:paraId="2804430A" w14:textId="473A02D1" w:rsidR="006E19CC" w:rsidRPr="004E28AF" w:rsidRDefault="006E19CC" w:rsidP="00851A86">
            <w:pPr>
              <w:rPr>
                <w:szCs w:val="24"/>
              </w:rPr>
            </w:pPr>
            <w:r w:rsidRPr="004E28AF">
              <w:rPr>
                <w:szCs w:val="24"/>
              </w:rPr>
              <w:t>Terminating a FAAP Agreement</w:t>
            </w:r>
          </w:p>
        </w:tc>
        <w:tc>
          <w:tcPr>
            <w:tcW w:w="1466" w:type="dxa"/>
            <w:tcBorders>
              <w:top w:val="nil"/>
              <w:left w:val="nil"/>
              <w:bottom w:val="single" w:sz="4" w:space="0" w:color="auto"/>
              <w:right w:val="single" w:sz="4" w:space="0" w:color="auto"/>
            </w:tcBorders>
            <w:noWrap/>
            <w:vAlign w:val="bottom"/>
          </w:tcPr>
          <w:p w14:paraId="468C920D" w14:textId="2E6C8454" w:rsidR="006E19CC" w:rsidRPr="00851A86" w:rsidRDefault="006E19CC" w:rsidP="00851A86">
            <w:pPr>
              <w:jc w:val="right"/>
              <w:rPr>
                <w:szCs w:val="24"/>
              </w:rPr>
            </w:pPr>
            <w:r>
              <w:rPr>
                <w:szCs w:val="24"/>
              </w:rPr>
              <w:t>2</w:t>
            </w:r>
          </w:p>
        </w:tc>
        <w:tc>
          <w:tcPr>
            <w:tcW w:w="1669" w:type="dxa"/>
            <w:tcBorders>
              <w:top w:val="nil"/>
              <w:left w:val="nil"/>
              <w:bottom w:val="single" w:sz="4" w:space="0" w:color="auto"/>
              <w:right w:val="single" w:sz="4" w:space="0" w:color="auto"/>
            </w:tcBorders>
            <w:noWrap/>
            <w:vAlign w:val="bottom"/>
          </w:tcPr>
          <w:p w14:paraId="19CBD823" w14:textId="46F20558" w:rsidR="006E19CC" w:rsidRPr="00851A86" w:rsidRDefault="006E19CC" w:rsidP="00851A86">
            <w:pPr>
              <w:jc w:val="right"/>
              <w:rPr>
                <w:szCs w:val="24"/>
              </w:rPr>
            </w:pPr>
            <w:r>
              <w:rPr>
                <w:szCs w:val="24"/>
              </w:rPr>
              <w:t>0</w:t>
            </w:r>
          </w:p>
        </w:tc>
        <w:tc>
          <w:tcPr>
            <w:tcW w:w="1285" w:type="dxa"/>
            <w:tcBorders>
              <w:top w:val="nil"/>
              <w:left w:val="nil"/>
              <w:bottom w:val="single" w:sz="4" w:space="0" w:color="auto"/>
              <w:right w:val="single" w:sz="4" w:space="0" w:color="auto"/>
            </w:tcBorders>
            <w:noWrap/>
            <w:vAlign w:val="bottom"/>
          </w:tcPr>
          <w:p w14:paraId="3C2F8145" w14:textId="18E15F33" w:rsidR="006E19CC" w:rsidRPr="00851A86" w:rsidRDefault="00314340" w:rsidP="00851A86">
            <w:pPr>
              <w:jc w:val="right"/>
              <w:rPr>
                <w:szCs w:val="24"/>
              </w:rPr>
            </w:pPr>
            <w:r>
              <w:rPr>
                <w:szCs w:val="24"/>
              </w:rPr>
              <w:t>0</w:t>
            </w:r>
            <w:r w:rsidR="006E19CC">
              <w:rPr>
                <w:szCs w:val="24"/>
              </w:rPr>
              <w:t>.75</w:t>
            </w:r>
          </w:p>
        </w:tc>
        <w:tc>
          <w:tcPr>
            <w:tcW w:w="1442" w:type="dxa"/>
            <w:tcBorders>
              <w:top w:val="nil"/>
              <w:left w:val="nil"/>
              <w:bottom w:val="single" w:sz="4" w:space="0" w:color="auto"/>
              <w:right w:val="single" w:sz="4" w:space="0" w:color="auto"/>
            </w:tcBorders>
            <w:noWrap/>
            <w:vAlign w:val="bottom"/>
          </w:tcPr>
          <w:p w14:paraId="057F03A5" w14:textId="2AEF00FF" w:rsidR="006E19CC" w:rsidRPr="00851A86" w:rsidRDefault="006E19CC" w:rsidP="00851A86">
            <w:pPr>
              <w:jc w:val="right"/>
              <w:rPr>
                <w:szCs w:val="24"/>
              </w:rPr>
            </w:pPr>
            <w:r>
              <w:rPr>
                <w:szCs w:val="24"/>
              </w:rPr>
              <w:t>0</w:t>
            </w:r>
          </w:p>
        </w:tc>
        <w:tc>
          <w:tcPr>
            <w:tcW w:w="1116" w:type="dxa"/>
            <w:tcBorders>
              <w:top w:val="nil"/>
              <w:left w:val="nil"/>
              <w:bottom w:val="single" w:sz="4" w:space="0" w:color="auto"/>
              <w:right w:val="single" w:sz="4" w:space="0" w:color="auto"/>
            </w:tcBorders>
            <w:noWrap/>
            <w:vAlign w:val="bottom"/>
          </w:tcPr>
          <w:p w14:paraId="74BB80AB" w14:textId="7E5D8ECD" w:rsidR="006E19CC" w:rsidRPr="00851A86" w:rsidRDefault="007E06FD" w:rsidP="00851A86">
            <w:pPr>
              <w:jc w:val="right"/>
              <w:rPr>
                <w:b/>
                <w:bCs/>
                <w:szCs w:val="24"/>
              </w:rPr>
            </w:pPr>
            <w:r>
              <w:rPr>
                <w:b/>
                <w:bCs/>
                <w:szCs w:val="24"/>
              </w:rPr>
              <w:t>2</w:t>
            </w:r>
          </w:p>
        </w:tc>
      </w:tr>
      <w:tr w:rsidR="00851A86" w:rsidRPr="00851A86" w14:paraId="437E85F2" w14:textId="77777777" w:rsidTr="00931FD0">
        <w:trPr>
          <w:trHeight w:val="249"/>
        </w:trPr>
        <w:tc>
          <w:tcPr>
            <w:tcW w:w="1975" w:type="dxa"/>
            <w:tcBorders>
              <w:top w:val="nil"/>
              <w:left w:val="single" w:sz="4" w:space="0" w:color="auto"/>
              <w:bottom w:val="single" w:sz="4" w:space="0" w:color="auto"/>
              <w:right w:val="single" w:sz="4" w:space="0" w:color="auto"/>
            </w:tcBorders>
            <w:noWrap/>
            <w:vAlign w:val="bottom"/>
            <w:hideMark/>
          </w:tcPr>
          <w:p w14:paraId="09D2F6C6" w14:textId="77777777" w:rsidR="00851A86" w:rsidRPr="00851A86" w:rsidRDefault="00851A86" w:rsidP="00851A86">
            <w:pPr>
              <w:rPr>
                <w:b/>
                <w:szCs w:val="24"/>
              </w:rPr>
            </w:pPr>
            <w:r w:rsidRPr="00851A86">
              <w:rPr>
                <w:b/>
                <w:szCs w:val="24"/>
              </w:rPr>
              <w:t> Total</w:t>
            </w:r>
          </w:p>
        </w:tc>
        <w:tc>
          <w:tcPr>
            <w:tcW w:w="1466" w:type="dxa"/>
            <w:tcBorders>
              <w:top w:val="nil"/>
              <w:left w:val="nil"/>
              <w:bottom w:val="single" w:sz="4" w:space="0" w:color="auto"/>
              <w:right w:val="single" w:sz="4" w:space="0" w:color="auto"/>
            </w:tcBorders>
            <w:noWrap/>
            <w:vAlign w:val="bottom"/>
            <w:hideMark/>
          </w:tcPr>
          <w:p w14:paraId="7D51B276" w14:textId="7F0F403D" w:rsidR="00851A86" w:rsidRPr="00851A86" w:rsidRDefault="00EF63FC" w:rsidP="000D1D7F">
            <w:pPr>
              <w:jc w:val="right"/>
              <w:rPr>
                <w:szCs w:val="24"/>
              </w:rPr>
            </w:pPr>
            <w:r>
              <w:rPr>
                <w:szCs w:val="24"/>
              </w:rPr>
              <w:t>85</w:t>
            </w:r>
            <w:r w:rsidR="000D1D7F">
              <w:rPr>
                <w:szCs w:val="24"/>
              </w:rPr>
              <w:t xml:space="preserve"> </w:t>
            </w:r>
          </w:p>
        </w:tc>
        <w:tc>
          <w:tcPr>
            <w:tcW w:w="1669" w:type="dxa"/>
            <w:tcBorders>
              <w:top w:val="nil"/>
              <w:left w:val="nil"/>
              <w:bottom w:val="single" w:sz="4" w:space="0" w:color="auto"/>
              <w:right w:val="single" w:sz="4" w:space="0" w:color="auto"/>
            </w:tcBorders>
            <w:noWrap/>
            <w:vAlign w:val="bottom"/>
          </w:tcPr>
          <w:p w14:paraId="42386356" w14:textId="77777777" w:rsidR="00851A86" w:rsidRPr="00851A86" w:rsidRDefault="00851A86" w:rsidP="00851A86">
            <w:pPr>
              <w:jc w:val="right"/>
              <w:rPr>
                <w:szCs w:val="24"/>
              </w:rPr>
            </w:pPr>
          </w:p>
        </w:tc>
        <w:tc>
          <w:tcPr>
            <w:tcW w:w="1285" w:type="dxa"/>
            <w:tcBorders>
              <w:top w:val="nil"/>
              <w:left w:val="nil"/>
              <w:bottom w:val="single" w:sz="4" w:space="0" w:color="auto"/>
              <w:right w:val="single" w:sz="4" w:space="0" w:color="auto"/>
            </w:tcBorders>
            <w:noWrap/>
            <w:vAlign w:val="bottom"/>
          </w:tcPr>
          <w:p w14:paraId="0847A77F" w14:textId="77777777" w:rsidR="00851A86" w:rsidRPr="00851A86" w:rsidRDefault="00851A86" w:rsidP="00851A86">
            <w:pPr>
              <w:jc w:val="right"/>
              <w:rPr>
                <w:szCs w:val="24"/>
              </w:rPr>
            </w:pPr>
          </w:p>
        </w:tc>
        <w:tc>
          <w:tcPr>
            <w:tcW w:w="1442" w:type="dxa"/>
            <w:tcBorders>
              <w:top w:val="nil"/>
              <w:left w:val="nil"/>
              <w:bottom w:val="single" w:sz="4" w:space="0" w:color="auto"/>
              <w:right w:val="single" w:sz="4" w:space="0" w:color="auto"/>
            </w:tcBorders>
            <w:noWrap/>
            <w:vAlign w:val="bottom"/>
            <w:hideMark/>
          </w:tcPr>
          <w:p w14:paraId="3FF17107" w14:textId="77777777" w:rsidR="00851A86" w:rsidRPr="00851A86" w:rsidRDefault="00851A86" w:rsidP="00851A86">
            <w:pPr>
              <w:jc w:val="right"/>
              <w:rPr>
                <w:szCs w:val="24"/>
              </w:rPr>
            </w:pPr>
            <w:r w:rsidRPr="00851A86">
              <w:rPr>
                <w:szCs w:val="24"/>
              </w:rPr>
              <w:t> </w:t>
            </w:r>
          </w:p>
        </w:tc>
        <w:tc>
          <w:tcPr>
            <w:tcW w:w="1116" w:type="dxa"/>
            <w:tcBorders>
              <w:top w:val="nil"/>
              <w:left w:val="nil"/>
              <w:bottom w:val="single" w:sz="4" w:space="0" w:color="auto"/>
              <w:right w:val="single" w:sz="4" w:space="0" w:color="auto"/>
            </w:tcBorders>
            <w:noWrap/>
            <w:vAlign w:val="bottom"/>
            <w:hideMark/>
          </w:tcPr>
          <w:p w14:paraId="2C89F4BB" w14:textId="67D963F9" w:rsidR="00851A86" w:rsidRPr="00851A86" w:rsidRDefault="008F75A0" w:rsidP="00851A86">
            <w:pPr>
              <w:jc w:val="right"/>
              <w:rPr>
                <w:b/>
                <w:bCs/>
                <w:szCs w:val="24"/>
              </w:rPr>
            </w:pPr>
            <w:r>
              <w:rPr>
                <w:b/>
                <w:bCs/>
                <w:szCs w:val="24"/>
              </w:rPr>
              <w:t>862</w:t>
            </w:r>
          </w:p>
        </w:tc>
      </w:tr>
    </w:tbl>
    <w:p w14:paraId="67E570D9" w14:textId="77777777" w:rsidR="00851A86" w:rsidRPr="00851A86" w:rsidRDefault="00851A86" w:rsidP="00EB62AC">
      <w:pPr>
        <w:tabs>
          <w:tab w:val="left" w:pos="-720"/>
        </w:tabs>
        <w:rPr>
          <w:rFonts w:eastAsia="Times New Roman"/>
          <w:szCs w:val="20"/>
          <w:highlight w:val="yellow"/>
        </w:rPr>
      </w:pPr>
    </w:p>
    <w:p w14:paraId="29D51F8D" w14:textId="77777777" w:rsidR="00F61FF2" w:rsidRDefault="00F61FF2" w:rsidP="00286E2F">
      <w:pPr>
        <w:tabs>
          <w:tab w:val="left" w:pos="-720"/>
        </w:tabs>
        <w:spacing w:after="160" w:line="259" w:lineRule="auto"/>
        <w:jc w:val="both"/>
        <w:rPr>
          <w:rFonts w:eastAsia="Times New Roman"/>
          <w:b/>
          <w:szCs w:val="20"/>
        </w:rPr>
      </w:pPr>
    </w:p>
    <w:p w14:paraId="68273029" w14:textId="0FDE874A" w:rsidR="00851A86" w:rsidRPr="00851A86" w:rsidRDefault="00851A86" w:rsidP="00286E2F">
      <w:pPr>
        <w:tabs>
          <w:tab w:val="left" w:pos="-720"/>
        </w:tabs>
        <w:spacing w:after="160" w:line="259" w:lineRule="auto"/>
        <w:jc w:val="both"/>
        <w:rPr>
          <w:rFonts w:eastAsia="Times New Roman"/>
          <w:b/>
          <w:szCs w:val="20"/>
        </w:rPr>
      </w:pPr>
      <w:r w:rsidRPr="00851A86">
        <w:rPr>
          <w:rFonts w:eastAsia="Times New Roman"/>
          <w:b/>
          <w:szCs w:val="20"/>
        </w:rPr>
        <w:t>Annualized Cost of the Burden of Hours to Respondents</w:t>
      </w:r>
      <w:r w:rsidR="00B32432">
        <w:rPr>
          <w:rStyle w:val="FootnoteReference"/>
          <w:rFonts w:eastAsia="Times New Roman"/>
          <w:b/>
          <w:szCs w:val="20"/>
        </w:rPr>
        <w:footnoteReference w:id="19"/>
      </w:r>
    </w:p>
    <w:p w14:paraId="426F9459" w14:textId="6EDBBD9B" w:rsidR="00851A86" w:rsidRPr="00851A86" w:rsidRDefault="00851A86" w:rsidP="00666287">
      <w:pPr>
        <w:tabs>
          <w:tab w:val="left" w:pos="-720"/>
        </w:tabs>
      </w:pPr>
      <w:r w:rsidRPr="00851A86">
        <w:t>The estimated annuali</w:t>
      </w:r>
      <w:r w:rsidR="00CF5DF6">
        <w:t>zed cost to contractors is calculated using employee compensation data from the Bureau of Labor Statistics</w:t>
      </w:r>
      <w:r w:rsidRPr="00851A86">
        <w:t>.</w:t>
      </w:r>
      <w:r w:rsidR="00303295">
        <w:rPr>
          <w:rStyle w:val="FootnoteReference"/>
        </w:rPr>
        <w:footnoteReference w:id="20"/>
      </w:r>
      <w:r w:rsidR="00303295" w:rsidRPr="00851A86">
        <w:t xml:space="preserve"> </w:t>
      </w:r>
      <w:r w:rsidRPr="00851A86">
        <w:t xml:space="preserve"> </w:t>
      </w:r>
      <w:r w:rsidR="00A14F80">
        <w:t xml:space="preserve">OFCCP </w:t>
      </w:r>
      <w:r w:rsidRPr="00851A86">
        <w:t>calculate</w:t>
      </w:r>
      <w:r w:rsidR="00A14F80">
        <w:t>s</w:t>
      </w:r>
      <w:r w:rsidRPr="00851A86">
        <w:t xml:space="preserve"> the total estimated annualized cost as follows:</w:t>
      </w:r>
    </w:p>
    <w:p w14:paraId="1C2BBD93" w14:textId="69D041C6" w:rsidR="001F2558" w:rsidRPr="00851A86" w:rsidRDefault="001F2558" w:rsidP="004E28AF">
      <w:pPr>
        <w:tabs>
          <w:tab w:val="left" w:pos="-720"/>
        </w:tabs>
        <w:rPr>
          <w:rFonts w:eastAsia="Times New Roman"/>
          <w:b/>
          <w:szCs w:val="24"/>
        </w:rPr>
      </w:pPr>
    </w:p>
    <w:tbl>
      <w:tblPr>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8"/>
        <w:gridCol w:w="1980"/>
        <w:gridCol w:w="2275"/>
      </w:tblGrid>
      <w:tr w:rsidR="00851A86" w:rsidRPr="00851A86" w14:paraId="445DFD21" w14:textId="77777777" w:rsidTr="00286E2F">
        <w:tc>
          <w:tcPr>
            <w:tcW w:w="3528" w:type="dxa"/>
            <w:tcBorders>
              <w:top w:val="single" w:sz="4" w:space="0" w:color="000000"/>
              <w:left w:val="single" w:sz="4" w:space="0" w:color="000000"/>
              <w:bottom w:val="single" w:sz="4" w:space="0" w:color="000000"/>
              <w:right w:val="single" w:sz="4" w:space="0" w:color="000000"/>
            </w:tcBorders>
          </w:tcPr>
          <w:p w14:paraId="650A6624" w14:textId="77777777" w:rsidR="00851A86" w:rsidRPr="00851A86" w:rsidRDefault="00851A86" w:rsidP="00851A86">
            <w:pPr>
              <w:tabs>
                <w:tab w:val="left" w:pos="-720"/>
              </w:tabs>
              <w:rPr>
                <w:rFonts w:eastAsia="Times New Roman"/>
                <w:szCs w:val="24"/>
              </w:rPr>
            </w:pPr>
          </w:p>
        </w:tc>
        <w:tc>
          <w:tcPr>
            <w:tcW w:w="1980" w:type="dxa"/>
            <w:tcBorders>
              <w:top w:val="single" w:sz="4" w:space="0" w:color="000000"/>
              <w:left w:val="single" w:sz="4" w:space="0" w:color="000000"/>
              <w:bottom w:val="single" w:sz="4" w:space="0" w:color="000000"/>
              <w:right w:val="single" w:sz="4" w:space="0" w:color="000000"/>
            </w:tcBorders>
            <w:hideMark/>
          </w:tcPr>
          <w:p w14:paraId="5AFD5E39" w14:textId="77777777" w:rsidR="00851A86" w:rsidRPr="004E28AF" w:rsidRDefault="00851A86" w:rsidP="00851A86">
            <w:pPr>
              <w:tabs>
                <w:tab w:val="left" w:pos="-720"/>
              </w:tabs>
              <w:jc w:val="center"/>
              <w:rPr>
                <w:rFonts w:eastAsia="Times New Roman"/>
                <w:szCs w:val="24"/>
              </w:rPr>
            </w:pPr>
            <w:r w:rsidRPr="004E28AF">
              <w:rPr>
                <w:rFonts w:eastAsia="Times New Roman"/>
                <w:szCs w:val="24"/>
              </w:rPr>
              <w:t>Hours</w:t>
            </w:r>
          </w:p>
        </w:tc>
        <w:tc>
          <w:tcPr>
            <w:tcW w:w="2275" w:type="dxa"/>
            <w:tcBorders>
              <w:top w:val="single" w:sz="4" w:space="0" w:color="000000"/>
              <w:left w:val="single" w:sz="4" w:space="0" w:color="000000"/>
              <w:bottom w:val="single" w:sz="4" w:space="0" w:color="000000"/>
              <w:right w:val="single" w:sz="4" w:space="0" w:color="000000"/>
            </w:tcBorders>
            <w:hideMark/>
          </w:tcPr>
          <w:p w14:paraId="4514A72B" w14:textId="77777777" w:rsidR="00851A86" w:rsidRPr="004E28AF" w:rsidRDefault="00851A86" w:rsidP="00851A86">
            <w:pPr>
              <w:tabs>
                <w:tab w:val="left" w:pos="-720"/>
              </w:tabs>
              <w:jc w:val="center"/>
              <w:rPr>
                <w:rFonts w:eastAsia="Times New Roman"/>
                <w:szCs w:val="24"/>
              </w:rPr>
            </w:pPr>
            <w:r w:rsidRPr="004E28AF">
              <w:rPr>
                <w:rFonts w:eastAsia="Times New Roman"/>
                <w:szCs w:val="24"/>
              </w:rPr>
              <w:t>Monetization</w:t>
            </w:r>
          </w:p>
        </w:tc>
      </w:tr>
      <w:tr w:rsidR="00851A86" w:rsidRPr="00851A86" w14:paraId="26DEDEE0" w14:textId="77777777" w:rsidTr="00286E2F">
        <w:tc>
          <w:tcPr>
            <w:tcW w:w="3528" w:type="dxa"/>
            <w:tcBorders>
              <w:top w:val="single" w:sz="4" w:space="0" w:color="000000"/>
              <w:left w:val="single" w:sz="4" w:space="0" w:color="000000"/>
              <w:bottom w:val="single" w:sz="4" w:space="0" w:color="000000"/>
              <w:right w:val="single" w:sz="4" w:space="0" w:color="000000"/>
            </w:tcBorders>
            <w:hideMark/>
          </w:tcPr>
          <w:p w14:paraId="64C4B307" w14:textId="77777777" w:rsidR="00851A86" w:rsidRPr="00851A86" w:rsidRDefault="00851A86" w:rsidP="00851A86">
            <w:pPr>
              <w:tabs>
                <w:tab w:val="left" w:pos="-720"/>
              </w:tabs>
              <w:rPr>
                <w:rFonts w:eastAsia="Times New Roman"/>
                <w:szCs w:val="24"/>
              </w:rPr>
            </w:pPr>
            <w:r w:rsidRPr="00851A86">
              <w:rPr>
                <w:rFonts w:eastAsia="Times New Roman"/>
                <w:szCs w:val="24"/>
              </w:rPr>
              <w:t>Requesting a FAAP Agreement</w:t>
            </w:r>
          </w:p>
        </w:tc>
        <w:tc>
          <w:tcPr>
            <w:tcW w:w="1980" w:type="dxa"/>
            <w:tcBorders>
              <w:top w:val="single" w:sz="4" w:space="0" w:color="000000"/>
              <w:left w:val="single" w:sz="4" w:space="0" w:color="000000"/>
              <w:bottom w:val="single" w:sz="4" w:space="0" w:color="000000"/>
              <w:right w:val="single" w:sz="4" w:space="0" w:color="000000"/>
            </w:tcBorders>
            <w:hideMark/>
          </w:tcPr>
          <w:p w14:paraId="6914FDCA" w14:textId="426F173C" w:rsidR="00851A86" w:rsidRPr="00851A86" w:rsidRDefault="00A945F2" w:rsidP="00851A86">
            <w:pPr>
              <w:tabs>
                <w:tab w:val="left" w:pos="-720"/>
              </w:tabs>
              <w:jc w:val="right"/>
              <w:rPr>
                <w:rFonts w:eastAsia="Times New Roman"/>
                <w:szCs w:val="24"/>
              </w:rPr>
            </w:pPr>
            <w:r>
              <w:rPr>
                <w:rFonts w:eastAsia="Times New Roman"/>
                <w:szCs w:val="24"/>
              </w:rPr>
              <w:t>16</w:t>
            </w:r>
            <w:r w:rsidR="007E06FD">
              <w:rPr>
                <w:rFonts w:eastAsia="Times New Roman"/>
                <w:szCs w:val="24"/>
              </w:rPr>
              <w:t>4</w:t>
            </w:r>
          </w:p>
        </w:tc>
        <w:tc>
          <w:tcPr>
            <w:tcW w:w="2275" w:type="dxa"/>
            <w:tcBorders>
              <w:top w:val="single" w:sz="4" w:space="0" w:color="000000"/>
              <w:left w:val="single" w:sz="4" w:space="0" w:color="000000"/>
              <w:bottom w:val="single" w:sz="4" w:space="0" w:color="000000"/>
              <w:right w:val="single" w:sz="4" w:space="0" w:color="000000"/>
            </w:tcBorders>
            <w:hideMark/>
          </w:tcPr>
          <w:p w14:paraId="65591DF3" w14:textId="7F05DC04" w:rsidR="00851A86" w:rsidRPr="00851A86" w:rsidRDefault="00851A86" w:rsidP="00253EC3">
            <w:pPr>
              <w:tabs>
                <w:tab w:val="left" w:pos="-720"/>
              </w:tabs>
              <w:jc w:val="right"/>
              <w:rPr>
                <w:rFonts w:eastAsia="Times New Roman"/>
                <w:szCs w:val="24"/>
              </w:rPr>
            </w:pPr>
            <w:r w:rsidRPr="00851A86">
              <w:rPr>
                <w:rFonts w:eastAsia="Times New Roman"/>
                <w:color w:val="auto"/>
                <w:szCs w:val="24"/>
              </w:rPr>
              <w:t>$</w:t>
            </w:r>
            <w:r w:rsidR="00253EC3">
              <w:rPr>
                <w:rFonts w:eastAsia="Times New Roman"/>
                <w:color w:val="auto"/>
                <w:szCs w:val="24"/>
              </w:rPr>
              <w:t>11,450</w:t>
            </w:r>
            <w:r w:rsidRPr="00851A86">
              <w:rPr>
                <w:rFonts w:eastAsia="Times New Roman"/>
                <w:color w:val="auto"/>
                <w:szCs w:val="24"/>
              </w:rPr>
              <w:t xml:space="preserve"> </w:t>
            </w:r>
          </w:p>
        </w:tc>
      </w:tr>
      <w:tr w:rsidR="00851A86" w:rsidRPr="00851A86" w14:paraId="266838A5" w14:textId="77777777" w:rsidTr="00286E2F">
        <w:tc>
          <w:tcPr>
            <w:tcW w:w="3528" w:type="dxa"/>
            <w:tcBorders>
              <w:top w:val="single" w:sz="4" w:space="0" w:color="000000"/>
              <w:left w:val="single" w:sz="4" w:space="0" w:color="000000"/>
              <w:bottom w:val="single" w:sz="4" w:space="0" w:color="000000"/>
              <w:right w:val="single" w:sz="4" w:space="0" w:color="000000"/>
            </w:tcBorders>
            <w:hideMark/>
          </w:tcPr>
          <w:p w14:paraId="4F190AEB" w14:textId="77777777" w:rsidR="00851A86" w:rsidRPr="00851A86" w:rsidRDefault="00851A86" w:rsidP="00851A86">
            <w:pPr>
              <w:tabs>
                <w:tab w:val="left" w:pos="-720"/>
              </w:tabs>
              <w:rPr>
                <w:rFonts w:eastAsia="Times New Roman"/>
                <w:szCs w:val="24"/>
              </w:rPr>
            </w:pPr>
            <w:r w:rsidRPr="00851A86">
              <w:rPr>
                <w:rFonts w:eastAsia="Times New Roman"/>
                <w:szCs w:val="24"/>
              </w:rPr>
              <w:t>Modifying a FAAP Agreement</w:t>
            </w:r>
          </w:p>
        </w:tc>
        <w:tc>
          <w:tcPr>
            <w:tcW w:w="1980" w:type="dxa"/>
            <w:tcBorders>
              <w:top w:val="single" w:sz="4" w:space="0" w:color="000000"/>
              <w:left w:val="single" w:sz="4" w:space="0" w:color="000000"/>
              <w:bottom w:val="single" w:sz="4" w:space="0" w:color="000000"/>
              <w:right w:val="single" w:sz="4" w:space="0" w:color="000000"/>
            </w:tcBorders>
            <w:hideMark/>
          </w:tcPr>
          <w:p w14:paraId="0EC4C785" w14:textId="273DDAC3" w:rsidR="00851A86" w:rsidRPr="00851A86" w:rsidRDefault="008F75A0" w:rsidP="00851A86">
            <w:pPr>
              <w:tabs>
                <w:tab w:val="left" w:pos="-720"/>
              </w:tabs>
              <w:jc w:val="right"/>
              <w:rPr>
                <w:rFonts w:eastAsia="Times New Roman"/>
                <w:szCs w:val="24"/>
              </w:rPr>
            </w:pPr>
            <w:r>
              <w:rPr>
                <w:rFonts w:eastAsia="Times New Roman"/>
                <w:szCs w:val="24"/>
              </w:rPr>
              <w:t>640</w:t>
            </w:r>
          </w:p>
        </w:tc>
        <w:tc>
          <w:tcPr>
            <w:tcW w:w="2275" w:type="dxa"/>
            <w:tcBorders>
              <w:top w:val="single" w:sz="4" w:space="0" w:color="000000"/>
              <w:left w:val="single" w:sz="4" w:space="0" w:color="000000"/>
              <w:bottom w:val="single" w:sz="4" w:space="0" w:color="000000"/>
              <w:right w:val="single" w:sz="4" w:space="0" w:color="000000"/>
            </w:tcBorders>
            <w:hideMark/>
          </w:tcPr>
          <w:p w14:paraId="2E26ED3E" w14:textId="1ED67746" w:rsidR="00851A86" w:rsidRPr="00851A86" w:rsidRDefault="00B7267B" w:rsidP="00253EC3">
            <w:pPr>
              <w:tabs>
                <w:tab w:val="left" w:pos="-720"/>
              </w:tabs>
              <w:jc w:val="right"/>
              <w:rPr>
                <w:rFonts w:eastAsia="Times New Roman"/>
                <w:color w:val="auto"/>
                <w:szCs w:val="24"/>
              </w:rPr>
            </w:pPr>
            <w:r>
              <w:rPr>
                <w:rFonts w:eastAsia="Times New Roman"/>
                <w:color w:val="auto"/>
                <w:szCs w:val="24"/>
              </w:rPr>
              <w:t>$</w:t>
            </w:r>
            <w:r w:rsidR="00253EC3">
              <w:rPr>
                <w:rFonts w:eastAsia="Times New Roman"/>
                <w:color w:val="auto"/>
                <w:szCs w:val="24"/>
              </w:rPr>
              <w:t>44,685</w:t>
            </w:r>
          </w:p>
        </w:tc>
      </w:tr>
      <w:tr w:rsidR="00851A86" w:rsidRPr="00851A86" w14:paraId="5CA9D260" w14:textId="77777777" w:rsidTr="00286E2F">
        <w:tc>
          <w:tcPr>
            <w:tcW w:w="3528" w:type="dxa"/>
            <w:tcBorders>
              <w:top w:val="single" w:sz="4" w:space="0" w:color="000000"/>
              <w:left w:val="single" w:sz="4" w:space="0" w:color="000000"/>
              <w:bottom w:val="single" w:sz="4" w:space="0" w:color="000000"/>
              <w:right w:val="single" w:sz="4" w:space="0" w:color="000000"/>
            </w:tcBorders>
            <w:hideMark/>
          </w:tcPr>
          <w:p w14:paraId="0751D29C" w14:textId="77777777" w:rsidR="00851A86" w:rsidRPr="00851A86" w:rsidRDefault="00851A86" w:rsidP="00851A86">
            <w:pPr>
              <w:tabs>
                <w:tab w:val="left" w:pos="-720"/>
              </w:tabs>
              <w:rPr>
                <w:rFonts w:eastAsia="Times New Roman"/>
                <w:szCs w:val="24"/>
              </w:rPr>
            </w:pPr>
            <w:r w:rsidRPr="00851A86">
              <w:rPr>
                <w:rFonts w:eastAsia="Times New Roman"/>
                <w:szCs w:val="24"/>
              </w:rPr>
              <w:t>Certifying a FAAP Agreement</w:t>
            </w:r>
          </w:p>
        </w:tc>
        <w:tc>
          <w:tcPr>
            <w:tcW w:w="1980" w:type="dxa"/>
            <w:tcBorders>
              <w:top w:val="single" w:sz="4" w:space="0" w:color="000000"/>
              <w:left w:val="single" w:sz="4" w:space="0" w:color="000000"/>
              <w:bottom w:val="single" w:sz="4" w:space="0" w:color="000000"/>
              <w:right w:val="single" w:sz="4" w:space="0" w:color="000000"/>
            </w:tcBorders>
            <w:hideMark/>
          </w:tcPr>
          <w:p w14:paraId="690954C8" w14:textId="56A34165" w:rsidR="00851A86" w:rsidRPr="00851A86" w:rsidRDefault="00A945F2" w:rsidP="00851A86">
            <w:pPr>
              <w:tabs>
                <w:tab w:val="left" w:pos="-720"/>
              </w:tabs>
              <w:jc w:val="right"/>
              <w:rPr>
                <w:rFonts w:eastAsia="Times New Roman"/>
                <w:szCs w:val="24"/>
              </w:rPr>
            </w:pPr>
            <w:r>
              <w:rPr>
                <w:rFonts w:eastAsia="Times New Roman"/>
                <w:szCs w:val="24"/>
              </w:rPr>
              <w:t>56</w:t>
            </w:r>
          </w:p>
        </w:tc>
        <w:tc>
          <w:tcPr>
            <w:tcW w:w="2275" w:type="dxa"/>
            <w:tcBorders>
              <w:top w:val="single" w:sz="4" w:space="0" w:color="000000"/>
              <w:left w:val="single" w:sz="4" w:space="0" w:color="000000"/>
              <w:bottom w:val="single" w:sz="4" w:space="0" w:color="000000"/>
              <w:right w:val="single" w:sz="4" w:space="0" w:color="000000"/>
            </w:tcBorders>
            <w:hideMark/>
          </w:tcPr>
          <w:p w14:paraId="260659A5" w14:textId="24AA689C" w:rsidR="00851A86" w:rsidRPr="00851A86" w:rsidRDefault="00851A86" w:rsidP="00253EC3">
            <w:pPr>
              <w:tabs>
                <w:tab w:val="left" w:pos="-720"/>
              </w:tabs>
              <w:jc w:val="right"/>
              <w:rPr>
                <w:rFonts w:eastAsia="Times New Roman"/>
                <w:color w:val="auto"/>
                <w:szCs w:val="24"/>
              </w:rPr>
            </w:pPr>
            <w:r w:rsidRPr="00851A86">
              <w:rPr>
                <w:rFonts w:eastAsia="Times New Roman"/>
                <w:color w:val="auto"/>
                <w:szCs w:val="24"/>
              </w:rPr>
              <w:t>$</w:t>
            </w:r>
            <w:r w:rsidR="00253EC3">
              <w:rPr>
                <w:rFonts w:eastAsia="Times New Roman"/>
                <w:color w:val="auto"/>
                <w:szCs w:val="24"/>
              </w:rPr>
              <w:t>3,910</w:t>
            </w:r>
          </w:p>
        </w:tc>
      </w:tr>
      <w:tr w:rsidR="006E19CC" w:rsidRPr="00851A86" w14:paraId="1E22CC84" w14:textId="77777777" w:rsidTr="00286E2F">
        <w:tc>
          <w:tcPr>
            <w:tcW w:w="3528" w:type="dxa"/>
            <w:tcBorders>
              <w:top w:val="single" w:sz="4" w:space="0" w:color="000000"/>
              <w:left w:val="single" w:sz="4" w:space="0" w:color="000000"/>
              <w:bottom w:val="single" w:sz="4" w:space="0" w:color="000000"/>
              <w:right w:val="single" w:sz="4" w:space="0" w:color="000000"/>
            </w:tcBorders>
          </w:tcPr>
          <w:p w14:paraId="6ECFEBD6" w14:textId="3D11BFCF" w:rsidR="006E19CC" w:rsidRPr="00851A86" w:rsidRDefault="006E19CC" w:rsidP="00851A86">
            <w:pPr>
              <w:tabs>
                <w:tab w:val="left" w:pos="-720"/>
              </w:tabs>
              <w:rPr>
                <w:rFonts w:eastAsia="Times New Roman"/>
                <w:szCs w:val="24"/>
              </w:rPr>
            </w:pPr>
            <w:r>
              <w:rPr>
                <w:rFonts w:eastAsia="Times New Roman"/>
                <w:szCs w:val="24"/>
              </w:rPr>
              <w:t>Terminating a FAAP Agreement</w:t>
            </w:r>
          </w:p>
        </w:tc>
        <w:tc>
          <w:tcPr>
            <w:tcW w:w="1980" w:type="dxa"/>
            <w:tcBorders>
              <w:top w:val="single" w:sz="4" w:space="0" w:color="000000"/>
              <w:left w:val="single" w:sz="4" w:space="0" w:color="000000"/>
              <w:bottom w:val="single" w:sz="4" w:space="0" w:color="000000"/>
              <w:right w:val="single" w:sz="4" w:space="0" w:color="000000"/>
            </w:tcBorders>
          </w:tcPr>
          <w:p w14:paraId="39975CA4" w14:textId="1E175046" w:rsidR="006E19CC" w:rsidRPr="00851A86" w:rsidRDefault="007E06FD" w:rsidP="00851A86">
            <w:pPr>
              <w:tabs>
                <w:tab w:val="left" w:pos="-720"/>
              </w:tabs>
              <w:jc w:val="right"/>
              <w:rPr>
                <w:rFonts w:eastAsia="Times New Roman"/>
                <w:szCs w:val="24"/>
              </w:rPr>
            </w:pPr>
            <w:r>
              <w:rPr>
                <w:rFonts w:eastAsia="Times New Roman"/>
                <w:szCs w:val="24"/>
              </w:rPr>
              <w:t>2</w:t>
            </w:r>
          </w:p>
        </w:tc>
        <w:tc>
          <w:tcPr>
            <w:tcW w:w="2275" w:type="dxa"/>
            <w:tcBorders>
              <w:top w:val="single" w:sz="4" w:space="0" w:color="000000"/>
              <w:left w:val="single" w:sz="4" w:space="0" w:color="000000"/>
              <w:bottom w:val="single" w:sz="4" w:space="0" w:color="000000"/>
              <w:right w:val="single" w:sz="4" w:space="0" w:color="000000"/>
            </w:tcBorders>
          </w:tcPr>
          <w:p w14:paraId="7EC9C8A1" w14:textId="387BFAA5" w:rsidR="006E19CC" w:rsidRPr="00851A86" w:rsidRDefault="00B7267B" w:rsidP="00851A86">
            <w:pPr>
              <w:tabs>
                <w:tab w:val="left" w:pos="-720"/>
              </w:tabs>
              <w:jc w:val="right"/>
              <w:rPr>
                <w:rFonts w:eastAsia="Times New Roman"/>
                <w:color w:val="auto"/>
                <w:szCs w:val="24"/>
              </w:rPr>
            </w:pPr>
            <w:r>
              <w:rPr>
                <w:rFonts w:eastAsia="Times New Roman"/>
                <w:color w:val="auto"/>
                <w:szCs w:val="24"/>
              </w:rPr>
              <w:t>$</w:t>
            </w:r>
            <w:r w:rsidR="00253EC3">
              <w:rPr>
                <w:rFonts w:eastAsia="Times New Roman"/>
                <w:color w:val="auto"/>
                <w:szCs w:val="24"/>
              </w:rPr>
              <w:t>140</w:t>
            </w:r>
          </w:p>
        </w:tc>
      </w:tr>
      <w:tr w:rsidR="00851A86" w:rsidRPr="00851A86" w14:paraId="22DE0665" w14:textId="77777777" w:rsidTr="00286E2F">
        <w:tc>
          <w:tcPr>
            <w:tcW w:w="3528" w:type="dxa"/>
            <w:tcBorders>
              <w:top w:val="single" w:sz="4" w:space="0" w:color="000000"/>
              <w:left w:val="single" w:sz="4" w:space="0" w:color="000000"/>
              <w:bottom w:val="single" w:sz="4" w:space="0" w:color="000000"/>
              <w:right w:val="single" w:sz="4" w:space="0" w:color="000000"/>
            </w:tcBorders>
            <w:hideMark/>
          </w:tcPr>
          <w:p w14:paraId="79F898FE" w14:textId="77777777" w:rsidR="00851A86" w:rsidRPr="004E28AF" w:rsidRDefault="00851A86" w:rsidP="00851A86">
            <w:pPr>
              <w:tabs>
                <w:tab w:val="left" w:pos="-720"/>
              </w:tabs>
              <w:rPr>
                <w:rFonts w:eastAsia="Times New Roman"/>
                <w:b/>
                <w:szCs w:val="24"/>
              </w:rPr>
            </w:pPr>
            <w:r w:rsidRPr="004E28AF">
              <w:rPr>
                <w:rFonts w:eastAsia="Times New Roman"/>
                <w:b/>
                <w:szCs w:val="24"/>
              </w:rPr>
              <w:t>Total</w:t>
            </w:r>
          </w:p>
        </w:tc>
        <w:tc>
          <w:tcPr>
            <w:tcW w:w="1980" w:type="dxa"/>
            <w:tcBorders>
              <w:top w:val="single" w:sz="4" w:space="0" w:color="000000"/>
              <w:left w:val="single" w:sz="4" w:space="0" w:color="000000"/>
              <w:bottom w:val="single" w:sz="4" w:space="0" w:color="000000"/>
              <w:right w:val="single" w:sz="4" w:space="0" w:color="000000"/>
            </w:tcBorders>
            <w:hideMark/>
          </w:tcPr>
          <w:p w14:paraId="51124C99" w14:textId="1A952ADD" w:rsidR="00851A86" w:rsidRPr="004E28AF" w:rsidRDefault="008F75A0" w:rsidP="00851A86">
            <w:pPr>
              <w:tabs>
                <w:tab w:val="left" w:pos="-720"/>
              </w:tabs>
              <w:jc w:val="right"/>
              <w:rPr>
                <w:rFonts w:eastAsia="Times New Roman"/>
                <w:b/>
                <w:szCs w:val="24"/>
              </w:rPr>
            </w:pPr>
            <w:r>
              <w:rPr>
                <w:rFonts w:eastAsia="Times New Roman"/>
                <w:b/>
                <w:szCs w:val="24"/>
              </w:rPr>
              <w:t>862</w:t>
            </w:r>
          </w:p>
        </w:tc>
        <w:tc>
          <w:tcPr>
            <w:tcW w:w="2275" w:type="dxa"/>
            <w:tcBorders>
              <w:top w:val="single" w:sz="4" w:space="0" w:color="000000"/>
              <w:left w:val="single" w:sz="4" w:space="0" w:color="000000"/>
              <w:bottom w:val="single" w:sz="4" w:space="0" w:color="000000"/>
              <w:right w:val="single" w:sz="4" w:space="0" w:color="000000"/>
            </w:tcBorders>
            <w:hideMark/>
          </w:tcPr>
          <w:p w14:paraId="46115B07" w14:textId="074B5AD8" w:rsidR="00851A86" w:rsidRPr="004E28AF" w:rsidRDefault="00B7267B" w:rsidP="00C57A7D">
            <w:pPr>
              <w:tabs>
                <w:tab w:val="left" w:pos="-720"/>
              </w:tabs>
              <w:jc w:val="right"/>
              <w:rPr>
                <w:rFonts w:eastAsia="Times New Roman"/>
                <w:b/>
                <w:color w:val="auto"/>
                <w:szCs w:val="24"/>
              </w:rPr>
            </w:pPr>
            <w:r>
              <w:rPr>
                <w:rFonts w:eastAsia="Times New Roman"/>
                <w:b/>
                <w:color w:val="auto"/>
                <w:szCs w:val="24"/>
              </w:rPr>
              <w:t>$</w:t>
            </w:r>
            <w:r w:rsidR="00253EC3">
              <w:rPr>
                <w:rFonts w:eastAsia="Times New Roman"/>
                <w:b/>
                <w:color w:val="auto"/>
                <w:szCs w:val="24"/>
              </w:rPr>
              <w:t>60,185</w:t>
            </w:r>
          </w:p>
        </w:tc>
      </w:tr>
    </w:tbl>
    <w:p w14:paraId="1784DE00" w14:textId="38BB6A63" w:rsidR="00851A86" w:rsidRDefault="00851A86" w:rsidP="006E46D7">
      <w:pPr>
        <w:pStyle w:val="EndnoteText"/>
        <w:widowControl/>
        <w:tabs>
          <w:tab w:val="left" w:pos="-720"/>
        </w:tabs>
        <w:rPr>
          <w:rFonts w:ascii="Times New Roman" w:hAnsi="Times New Roman"/>
          <w:color w:val="000000"/>
        </w:rPr>
      </w:pPr>
    </w:p>
    <w:p w14:paraId="14D1BE5B" w14:textId="31C1912F" w:rsidR="002E044E" w:rsidRDefault="002E044E" w:rsidP="00A633B2">
      <w:pPr>
        <w:pStyle w:val="EndnoteText"/>
        <w:widowControl/>
        <w:tabs>
          <w:tab w:val="left" w:pos="-720"/>
        </w:tabs>
        <w:rPr>
          <w:rFonts w:ascii="Times New Roman" w:hAnsi="Times New Roman"/>
        </w:rPr>
      </w:pPr>
    </w:p>
    <w:p w14:paraId="24323509" w14:textId="02A139AD" w:rsidR="002C245C" w:rsidRPr="00285CC3" w:rsidRDefault="00285CC3" w:rsidP="00285CC3">
      <w:pPr>
        <w:pStyle w:val="EndnoteText"/>
        <w:widowControl/>
        <w:numPr>
          <w:ilvl w:val="0"/>
          <w:numId w:val="41"/>
        </w:numPr>
        <w:tabs>
          <w:tab w:val="left" w:pos="-720"/>
        </w:tabs>
        <w:ind w:left="360"/>
        <w:rPr>
          <w:rFonts w:ascii="Times New Roman" w:hAnsi="Times New Roman"/>
          <w:b/>
        </w:rPr>
      </w:pPr>
      <w:r w:rsidRPr="00285CC3">
        <w:rPr>
          <w:rFonts w:ascii="Times New Roman" w:hAnsi="Times New Roman"/>
          <w:b/>
        </w:rPr>
        <w:t>Information Collection Cost Burden</w:t>
      </w:r>
      <w:r w:rsidR="002C245C" w:rsidRPr="00285CC3">
        <w:rPr>
          <w:rFonts w:ascii="Times New Roman" w:hAnsi="Times New Roman"/>
          <w:b/>
        </w:rPr>
        <w:t xml:space="preserve"> </w:t>
      </w:r>
    </w:p>
    <w:p w14:paraId="35296593" w14:textId="77777777" w:rsidR="002C245C" w:rsidRPr="00A4247E" w:rsidRDefault="002C245C" w:rsidP="006E46D7">
      <w:pPr>
        <w:pStyle w:val="EndnoteText"/>
        <w:widowControl/>
        <w:tabs>
          <w:tab w:val="left" w:pos="-720"/>
        </w:tabs>
        <w:ind w:left="720" w:hanging="720"/>
        <w:rPr>
          <w:rFonts w:ascii="Times New Roman" w:hAnsi="Times New Roman"/>
        </w:rPr>
      </w:pPr>
    </w:p>
    <w:p w14:paraId="7C4345EE" w14:textId="3AB7BE7D" w:rsidR="00666287" w:rsidRPr="00666287" w:rsidRDefault="00931FD0" w:rsidP="00E6260B">
      <w:pPr>
        <w:tabs>
          <w:tab w:val="left" w:pos="-720"/>
        </w:tabs>
      </w:pPr>
      <w:r>
        <w:t>T</w:t>
      </w:r>
      <w:r w:rsidR="00666287" w:rsidRPr="00666287">
        <w:t xml:space="preserve">he information contractors provide </w:t>
      </w:r>
      <w:r>
        <w:t xml:space="preserve">to </w:t>
      </w:r>
      <w:r w:rsidR="00666287" w:rsidRPr="00666287">
        <w:t>OFCCP</w:t>
      </w:r>
      <w:r>
        <w:t xml:space="preserve"> related to the FAAP process</w:t>
      </w:r>
      <w:r w:rsidR="00666287" w:rsidRPr="00666287">
        <w:t xml:space="preserve"> is maintained in the normal course of business</w:t>
      </w:r>
      <w:r>
        <w:t xml:space="preserve"> or covered by</w:t>
      </w:r>
      <w:r w:rsidR="007E4DD1">
        <w:t xml:space="preserve"> a different</w:t>
      </w:r>
      <w:r>
        <w:t xml:space="preserve"> ICR, as explained above</w:t>
      </w:r>
      <w:r w:rsidR="00666287" w:rsidRPr="00666287">
        <w:t>.</w:t>
      </w:r>
    </w:p>
    <w:p w14:paraId="3BDEA436" w14:textId="77777777" w:rsidR="00666287" w:rsidRPr="00666287" w:rsidRDefault="00666287" w:rsidP="00E6260B">
      <w:pPr>
        <w:tabs>
          <w:tab w:val="left" w:pos="-720"/>
        </w:tabs>
        <w:ind w:hanging="720"/>
        <w:rPr>
          <w:rFonts w:eastAsia="Times New Roman"/>
          <w:b/>
          <w:szCs w:val="20"/>
        </w:rPr>
      </w:pPr>
    </w:p>
    <w:p w14:paraId="17CAE9C0" w14:textId="43A49675" w:rsidR="00357A38" w:rsidRDefault="00666287" w:rsidP="00E6260B">
      <w:pPr>
        <w:tabs>
          <w:tab w:val="left" w:pos="-720"/>
        </w:tabs>
        <w:rPr>
          <w:rFonts w:eastAsia="Times New Roman"/>
          <w:szCs w:val="20"/>
        </w:rPr>
      </w:pPr>
      <w:r w:rsidRPr="00666287">
        <w:rPr>
          <w:rFonts w:eastAsia="Times New Roman"/>
          <w:szCs w:val="20"/>
        </w:rPr>
        <w:t>OFCCP estimates that contractors will have some operating and maintenance costs as</w:t>
      </w:r>
      <w:r w:rsidR="009B4D87">
        <w:rPr>
          <w:rFonts w:eastAsia="Times New Roman"/>
          <w:szCs w:val="20"/>
        </w:rPr>
        <w:t>sociated with this collection.  The agency</w:t>
      </w:r>
      <w:r w:rsidRPr="00666287">
        <w:rPr>
          <w:rFonts w:eastAsia="Times New Roman"/>
          <w:szCs w:val="20"/>
        </w:rPr>
        <w:t xml:space="preserve"> prefers that contractors submit</w:t>
      </w:r>
      <w:r w:rsidR="009B4D87">
        <w:rPr>
          <w:rFonts w:eastAsia="Times New Roman"/>
          <w:szCs w:val="20"/>
        </w:rPr>
        <w:t xml:space="preserve"> required documentation</w:t>
      </w:r>
      <w:r w:rsidRPr="00666287">
        <w:rPr>
          <w:rFonts w:eastAsia="Times New Roman"/>
          <w:szCs w:val="20"/>
        </w:rPr>
        <w:t xml:space="preserve"> electronically</w:t>
      </w:r>
      <w:r w:rsidR="007E4DD1">
        <w:rPr>
          <w:rFonts w:eastAsia="Times New Roman"/>
          <w:szCs w:val="20"/>
        </w:rPr>
        <w:t xml:space="preserve"> but </w:t>
      </w:r>
      <w:r w:rsidRPr="00666287">
        <w:rPr>
          <w:rFonts w:eastAsia="Times New Roman"/>
          <w:szCs w:val="20"/>
        </w:rPr>
        <w:t>approximately 50 percent of contractors that request initial FAAP approval still send paper copies through the mail</w:t>
      </w:r>
      <w:r w:rsidR="007E4DD1">
        <w:rPr>
          <w:rFonts w:eastAsia="Times New Roman"/>
          <w:szCs w:val="20"/>
        </w:rPr>
        <w:t xml:space="preserve"> and the other 50 percent send it electronically</w:t>
      </w:r>
      <w:r w:rsidR="002A224D" w:rsidRPr="00666287">
        <w:rPr>
          <w:rFonts w:eastAsia="Times New Roman"/>
          <w:szCs w:val="20"/>
        </w:rPr>
        <w:t xml:space="preserve">.  </w:t>
      </w:r>
      <w:r w:rsidRPr="00666287">
        <w:rPr>
          <w:rFonts w:eastAsia="Times New Roman"/>
          <w:szCs w:val="20"/>
        </w:rPr>
        <w:t xml:space="preserve">Contractors </w:t>
      </w:r>
      <w:r w:rsidR="007E4DD1">
        <w:rPr>
          <w:rFonts w:eastAsia="Times New Roman"/>
          <w:szCs w:val="20"/>
        </w:rPr>
        <w:t xml:space="preserve">generally </w:t>
      </w:r>
      <w:r w:rsidR="007E4DD1" w:rsidRPr="00666287">
        <w:rPr>
          <w:rFonts w:eastAsia="Times New Roman"/>
          <w:szCs w:val="20"/>
        </w:rPr>
        <w:t xml:space="preserve">send the documents electronically </w:t>
      </w:r>
      <w:r w:rsidR="007E4DD1">
        <w:rPr>
          <w:rFonts w:eastAsia="Times New Roman"/>
          <w:szCs w:val="20"/>
        </w:rPr>
        <w:t xml:space="preserve">when they </w:t>
      </w:r>
      <w:r w:rsidRPr="00666287">
        <w:rPr>
          <w:rFonts w:eastAsia="Times New Roman"/>
          <w:szCs w:val="20"/>
        </w:rPr>
        <w:t xml:space="preserve">modify or certify an existing agreement.   </w:t>
      </w:r>
    </w:p>
    <w:p w14:paraId="56571EEB" w14:textId="77777777" w:rsidR="00357A38" w:rsidRDefault="00357A38" w:rsidP="00E6260B">
      <w:pPr>
        <w:tabs>
          <w:tab w:val="left" w:pos="-720"/>
        </w:tabs>
        <w:rPr>
          <w:rFonts w:eastAsia="Times New Roman"/>
          <w:szCs w:val="20"/>
        </w:rPr>
      </w:pPr>
    </w:p>
    <w:p w14:paraId="1C266A69" w14:textId="1C2CE8D0" w:rsidR="00666287" w:rsidRPr="00666287" w:rsidRDefault="00666287" w:rsidP="00E6260B">
      <w:pPr>
        <w:tabs>
          <w:tab w:val="left" w:pos="-720"/>
        </w:tabs>
        <w:rPr>
          <w:rFonts w:eastAsia="Times New Roman"/>
          <w:szCs w:val="20"/>
        </w:rPr>
      </w:pPr>
      <w:r w:rsidRPr="00666287">
        <w:rPr>
          <w:rFonts w:eastAsia="Times New Roman"/>
          <w:szCs w:val="20"/>
        </w:rPr>
        <w:t xml:space="preserve">OFCCP assesses </w:t>
      </w:r>
      <w:r w:rsidR="00357A38">
        <w:rPr>
          <w:rFonts w:eastAsia="Times New Roman"/>
          <w:szCs w:val="20"/>
        </w:rPr>
        <w:t xml:space="preserve">a cost </w:t>
      </w:r>
      <w:r w:rsidR="00357A38" w:rsidRPr="00666287">
        <w:rPr>
          <w:rFonts w:eastAsia="Times New Roman"/>
          <w:szCs w:val="20"/>
        </w:rPr>
        <w:t xml:space="preserve">for the 50 percent </w:t>
      </w:r>
      <w:r w:rsidRPr="00666287">
        <w:rPr>
          <w:rFonts w:eastAsia="Times New Roman"/>
          <w:szCs w:val="20"/>
        </w:rPr>
        <w:t>of contractors that send paper copies of the documents</w:t>
      </w:r>
      <w:r w:rsidR="002A224D" w:rsidRPr="00666287">
        <w:rPr>
          <w:rFonts w:eastAsia="Times New Roman"/>
          <w:szCs w:val="20"/>
        </w:rPr>
        <w:t xml:space="preserve">.  </w:t>
      </w:r>
      <w:r w:rsidRPr="00666287">
        <w:rPr>
          <w:rFonts w:eastAsia="Times New Roman"/>
          <w:szCs w:val="20"/>
        </w:rPr>
        <w:t>OFCCP estimates the supporting documentation for the initial reques</w:t>
      </w:r>
      <w:r w:rsidR="009B4D87">
        <w:rPr>
          <w:rFonts w:eastAsia="Times New Roman"/>
          <w:szCs w:val="20"/>
        </w:rPr>
        <w:t>t to be approximately 20 pages</w:t>
      </w:r>
      <w:r w:rsidR="00357A38">
        <w:rPr>
          <w:rFonts w:eastAsia="Times New Roman"/>
          <w:szCs w:val="20"/>
        </w:rPr>
        <w:t xml:space="preserve">, and using a </w:t>
      </w:r>
      <w:r w:rsidRPr="00666287">
        <w:rPr>
          <w:rFonts w:eastAsia="Times New Roman"/>
          <w:szCs w:val="20"/>
        </w:rPr>
        <w:t>cost of $</w:t>
      </w:r>
      <w:r w:rsidR="00B6638F">
        <w:rPr>
          <w:rFonts w:eastAsia="Times New Roman"/>
          <w:szCs w:val="20"/>
        </w:rPr>
        <w:t>0.09</w:t>
      </w:r>
      <w:r w:rsidRPr="00666287">
        <w:rPr>
          <w:rFonts w:eastAsia="Times New Roman"/>
          <w:szCs w:val="20"/>
        </w:rPr>
        <w:t xml:space="preserve"> per page</w:t>
      </w:r>
      <w:r w:rsidR="00390929">
        <w:rPr>
          <w:rFonts w:eastAsia="Times New Roman"/>
          <w:szCs w:val="20"/>
        </w:rPr>
        <w:t>,</w:t>
      </w:r>
      <w:r w:rsidRPr="00666287">
        <w:rPr>
          <w:rFonts w:eastAsia="Times New Roman"/>
          <w:szCs w:val="20"/>
          <w:vertAlign w:val="superscript"/>
        </w:rPr>
        <w:footnoteReference w:id="21"/>
      </w:r>
      <w:r w:rsidR="00390929">
        <w:rPr>
          <w:rFonts w:eastAsia="Times New Roman"/>
          <w:szCs w:val="20"/>
        </w:rPr>
        <w:t xml:space="preserve"> </w:t>
      </w:r>
      <w:r w:rsidRPr="00666287">
        <w:rPr>
          <w:rFonts w:eastAsia="Times New Roman"/>
          <w:szCs w:val="20"/>
        </w:rPr>
        <w:t>the</w:t>
      </w:r>
      <w:r w:rsidR="00357A38">
        <w:rPr>
          <w:rFonts w:eastAsia="Times New Roman"/>
          <w:szCs w:val="20"/>
        </w:rPr>
        <w:t xml:space="preserve"> agency</w:t>
      </w:r>
      <w:r w:rsidRPr="00666287">
        <w:rPr>
          <w:rFonts w:eastAsia="Times New Roman"/>
          <w:szCs w:val="20"/>
        </w:rPr>
        <w:t xml:space="preserve"> </w:t>
      </w:r>
      <w:r w:rsidR="00357A38">
        <w:rPr>
          <w:rFonts w:eastAsia="Times New Roman"/>
          <w:szCs w:val="20"/>
        </w:rPr>
        <w:t>calculates that the</w:t>
      </w:r>
      <w:r w:rsidRPr="00666287">
        <w:rPr>
          <w:rFonts w:eastAsia="Times New Roman"/>
          <w:szCs w:val="20"/>
        </w:rPr>
        <w:t xml:space="preserve"> copying cost for the initial FAAP agreement request is $</w:t>
      </w:r>
      <w:r w:rsidR="00B6638F">
        <w:rPr>
          <w:rFonts w:eastAsia="Times New Roman"/>
          <w:szCs w:val="20"/>
        </w:rPr>
        <w:t>4.50</w:t>
      </w:r>
      <w:r w:rsidRPr="00666287">
        <w:rPr>
          <w:rFonts w:eastAsia="Times New Roman"/>
          <w:szCs w:val="20"/>
        </w:rPr>
        <w:t xml:space="preserve"> (20 pages x 2.5 contractors x $</w:t>
      </w:r>
      <w:r w:rsidR="00B6638F">
        <w:rPr>
          <w:rFonts w:eastAsia="Times New Roman"/>
          <w:szCs w:val="20"/>
        </w:rPr>
        <w:t>0.09</w:t>
      </w:r>
      <w:r w:rsidR="001422FA">
        <w:rPr>
          <w:rFonts w:eastAsia="Times New Roman"/>
          <w:szCs w:val="20"/>
        </w:rPr>
        <w:t xml:space="preserve"> per page</w:t>
      </w:r>
      <w:r w:rsidRPr="00666287">
        <w:rPr>
          <w:rFonts w:eastAsia="Times New Roman"/>
          <w:szCs w:val="20"/>
        </w:rPr>
        <w:t>).</w:t>
      </w:r>
    </w:p>
    <w:p w14:paraId="6736EA7F" w14:textId="77777777" w:rsidR="001422FA" w:rsidRDefault="001422FA" w:rsidP="00E6260B">
      <w:pPr>
        <w:tabs>
          <w:tab w:val="left" w:pos="-720"/>
        </w:tabs>
      </w:pPr>
    </w:p>
    <w:p w14:paraId="3E1E1BBB" w14:textId="2E1E9B41" w:rsidR="00666287" w:rsidRPr="00666287" w:rsidRDefault="00666287" w:rsidP="00E6260B">
      <w:pPr>
        <w:tabs>
          <w:tab w:val="left" w:pos="-720"/>
        </w:tabs>
      </w:pPr>
      <w:r w:rsidRPr="00666287">
        <w:t>In addition, OFCCP estimates an average mailing cost of $6.70 per contractor</w:t>
      </w:r>
      <w:r w:rsidR="003536CD">
        <w:t>,</w:t>
      </w:r>
      <w:r w:rsidRPr="00666287">
        <w:t xml:space="preserve"> using USPS Priority Mail, flat rate envelope.</w:t>
      </w:r>
      <w:r w:rsidR="000D1D74">
        <w:rPr>
          <w:rStyle w:val="FootnoteReference"/>
        </w:rPr>
        <w:footnoteReference w:id="22"/>
      </w:r>
      <w:r w:rsidRPr="00666287">
        <w:t xml:space="preserve">  Therefore OFCCP estimates</w:t>
      </w:r>
      <w:r w:rsidR="003536CD">
        <w:t xml:space="preserve"> that</w:t>
      </w:r>
      <w:r w:rsidRPr="00666287">
        <w:t xml:space="preserve"> the cost of mailing the FAAP agreement to OFCCP is $16.75 (</w:t>
      </w:r>
      <w:r w:rsidR="001422FA">
        <w:t>2.5 contractors x $6.70</w:t>
      </w:r>
      <w:r w:rsidRPr="00666287">
        <w:t>).</w:t>
      </w:r>
    </w:p>
    <w:p w14:paraId="241A9D77" w14:textId="77777777" w:rsidR="00666287" w:rsidRPr="00666287" w:rsidRDefault="00666287" w:rsidP="00666287">
      <w:pPr>
        <w:tabs>
          <w:tab w:val="left" w:pos="-720"/>
        </w:tabs>
        <w:ind w:left="720"/>
      </w:pPr>
    </w:p>
    <w:p w14:paraId="2C17B17A" w14:textId="79DBC996" w:rsidR="00666287" w:rsidRPr="00666287" w:rsidRDefault="00666287" w:rsidP="00E6260B">
      <w:pPr>
        <w:tabs>
          <w:tab w:val="left" w:pos="-720"/>
        </w:tabs>
      </w:pPr>
      <w:r w:rsidRPr="00666287">
        <w:t>The total estimated operating and maintenance cost for all contractors related to FAAP is an estimated $</w:t>
      </w:r>
      <w:r w:rsidR="00B6638F">
        <w:t>21.25</w:t>
      </w:r>
      <w:r w:rsidRPr="00666287">
        <w:t xml:space="preserve"> ($</w:t>
      </w:r>
      <w:r w:rsidR="00B6638F">
        <w:t>4.50</w:t>
      </w:r>
      <w:r w:rsidRPr="00666287">
        <w:t xml:space="preserve"> copying costs + $16.75 mailing costs). </w:t>
      </w:r>
    </w:p>
    <w:p w14:paraId="6C869005" w14:textId="77777777" w:rsidR="00DC2A92" w:rsidRPr="00A4247E" w:rsidRDefault="00DC2A92" w:rsidP="006E46D7">
      <w:pPr>
        <w:tabs>
          <w:tab w:val="left" w:pos="-720"/>
        </w:tabs>
        <w:ind w:left="720"/>
      </w:pPr>
    </w:p>
    <w:p w14:paraId="01500801" w14:textId="174D1C33" w:rsidR="002C245C" w:rsidRPr="00A4247E" w:rsidRDefault="00285CC3" w:rsidP="00285CC3">
      <w:pPr>
        <w:pStyle w:val="EndnoteText"/>
        <w:widowControl/>
        <w:numPr>
          <w:ilvl w:val="0"/>
          <w:numId w:val="41"/>
        </w:numPr>
        <w:tabs>
          <w:tab w:val="left" w:pos="-720"/>
        </w:tabs>
        <w:ind w:left="360"/>
        <w:rPr>
          <w:rFonts w:ascii="Times New Roman" w:hAnsi="Times New Roman"/>
          <w:b/>
          <w:color w:val="000000"/>
        </w:rPr>
      </w:pPr>
      <w:r>
        <w:rPr>
          <w:rFonts w:ascii="Times New Roman" w:hAnsi="Times New Roman"/>
          <w:b/>
          <w:color w:val="000000"/>
        </w:rPr>
        <w:t xml:space="preserve"> Cost to the Federal Government</w:t>
      </w:r>
    </w:p>
    <w:p w14:paraId="764FCF53" w14:textId="77777777" w:rsidR="002C245C" w:rsidRPr="00A4247E" w:rsidRDefault="002C245C" w:rsidP="006E46D7">
      <w:pPr>
        <w:pStyle w:val="EndnoteText"/>
        <w:widowControl/>
        <w:tabs>
          <w:tab w:val="left" w:pos="-720"/>
        </w:tabs>
        <w:ind w:left="720" w:hanging="720"/>
        <w:rPr>
          <w:rFonts w:ascii="Times New Roman" w:hAnsi="Times New Roman"/>
          <w:b/>
          <w:color w:val="000000"/>
        </w:rPr>
      </w:pPr>
    </w:p>
    <w:p w14:paraId="70157B10" w14:textId="508413C2" w:rsidR="00666287" w:rsidRPr="00E6260B" w:rsidRDefault="001960E9" w:rsidP="000D1D74">
      <w:pPr>
        <w:pStyle w:val="EndnoteText"/>
        <w:rPr>
          <w:rFonts w:ascii="Times New Roman" w:hAnsi="Times New Roman"/>
        </w:rPr>
      </w:pPr>
      <w:r>
        <w:rPr>
          <w:rFonts w:ascii="Times New Roman" w:hAnsi="Times New Roman"/>
        </w:rPr>
        <w:t>OFCCP</w:t>
      </w:r>
      <w:r w:rsidR="00666287" w:rsidRPr="00E6260B">
        <w:rPr>
          <w:rFonts w:ascii="Times New Roman" w:hAnsi="Times New Roman"/>
        </w:rPr>
        <w:t xml:space="preserve"> estimate</w:t>
      </w:r>
      <w:r>
        <w:rPr>
          <w:rFonts w:ascii="Times New Roman" w:hAnsi="Times New Roman"/>
        </w:rPr>
        <w:t>s</w:t>
      </w:r>
      <w:r w:rsidR="00666287" w:rsidRPr="00E6260B">
        <w:rPr>
          <w:rFonts w:ascii="Times New Roman" w:hAnsi="Times New Roman"/>
        </w:rPr>
        <w:t xml:space="preserve"> the </w:t>
      </w:r>
      <w:r w:rsidR="000A009D">
        <w:rPr>
          <w:rFonts w:ascii="Times New Roman" w:hAnsi="Times New Roman"/>
        </w:rPr>
        <w:t xml:space="preserve">annual </w:t>
      </w:r>
      <w:r w:rsidR="00666287" w:rsidRPr="00E6260B">
        <w:rPr>
          <w:rFonts w:ascii="Times New Roman" w:hAnsi="Times New Roman"/>
        </w:rPr>
        <w:t xml:space="preserve">cost to the </w:t>
      </w:r>
      <w:r>
        <w:rPr>
          <w:rFonts w:ascii="Times New Roman" w:hAnsi="Times New Roman"/>
        </w:rPr>
        <w:t xml:space="preserve">Federal </w:t>
      </w:r>
      <w:r w:rsidR="00666287" w:rsidRPr="00E6260B">
        <w:rPr>
          <w:rFonts w:ascii="Times New Roman" w:hAnsi="Times New Roman"/>
        </w:rPr>
        <w:t>Government as follows:</w:t>
      </w:r>
    </w:p>
    <w:p w14:paraId="031F0A9B" w14:textId="30EE25DE" w:rsidR="00666287" w:rsidRDefault="00666287" w:rsidP="00E6260B">
      <w:pPr>
        <w:pStyle w:val="EndnoteText"/>
        <w:rPr>
          <w:rFonts w:ascii="Times New Roman" w:hAnsi="Times New Roman"/>
        </w:rPr>
      </w:pPr>
    </w:p>
    <w:p w14:paraId="3B2F9350" w14:textId="79C142D9" w:rsidR="000A009D" w:rsidRPr="000D1D74" w:rsidRDefault="000A009D" w:rsidP="000D1D74">
      <w:pPr>
        <w:pStyle w:val="EndnoteText"/>
        <w:numPr>
          <w:ilvl w:val="0"/>
          <w:numId w:val="44"/>
        </w:numPr>
        <w:rPr>
          <w:rFonts w:ascii="Times New Roman" w:hAnsi="Times New Roman"/>
        </w:rPr>
      </w:pPr>
      <w:r>
        <w:rPr>
          <w:rFonts w:ascii="Times New Roman" w:hAnsi="Times New Roman"/>
        </w:rPr>
        <w:t xml:space="preserve">OFCCP staff will </w:t>
      </w:r>
      <w:r w:rsidR="000D1D74">
        <w:rPr>
          <w:rFonts w:ascii="Times New Roman" w:hAnsi="Times New Roman"/>
        </w:rPr>
        <w:t>spend approximately 40 hours processing</w:t>
      </w:r>
      <w:r>
        <w:rPr>
          <w:rFonts w:ascii="Times New Roman" w:hAnsi="Times New Roman"/>
        </w:rPr>
        <w:t xml:space="preserve"> each FAAP agreement request. </w:t>
      </w:r>
      <w:r w:rsidR="000D1D74">
        <w:rPr>
          <w:rFonts w:ascii="Times New Roman" w:hAnsi="Times New Roman"/>
        </w:rPr>
        <w:t xml:space="preserve"> </w:t>
      </w:r>
      <w:r w:rsidRPr="000D1D74">
        <w:rPr>
          <w:rFonts w:ascii="Times New Roman" w:hAnsi="Times New Roman"/>
        </w:rPr>
        <w:t xml:space="preserve">40 hours x 5 new agreement requests = 200 hours. </w:t>
      </w:r>
    </w:p>
    <w:p w14:paraId="1DBE9059" w14:textId="77777777" w:rsidR="000A009D" w:rsidRDefault="000A009D" w:rsidP="00286E2F">
      <w:pPr>
        <w:pStyle w:val="EndnoteText"/>
        <w:rPr>
          <w:rFonts w:ascii="Times New Roman" w:hAnsi="Times New Roman"/>
        </w:rPr>
      </w:pPr>
    </w:p>
    <w:p w14:paraId="14D1B8DE" w14:textId="013B4C11" w:rsidR="000A009D" w:rsidRPr="000D1D74" w:rsidRDefault="000A009D" w:rsidP="000D1D74">
      <w:pPr>
        <w:pStyle w:val="EndnoteText"/>
        <w:numPr>
          <w:ilvl w:val="0"/>
          <w:numId w:val="44"/>
        </w:numPr>
        <w:rPr>
          <w:rFonts w:ascii="Times New Roman" w:hAnsi="Times New Roman"/>
        </w:rPr>
      </w:pPr>
      <w:r>
        <w:rPr>
          <w:rFonts w:ascii="Times New Roman" w:hAnsi="Times New Roman"/>
        </w:rPr>
        <w:t>OFCCP staff will spen</w:t>
      </w:r>
      <w:r w:rsidR="000D1D74">
        <w:rPr>
          <w:rFonts w:ascii="Times New Roman" w:hAnsi="Times New Roman"/>
        </w:rPr>
        <w:t>d approximately 8 hours processing</w:t>
      </w:r>
      <w:r>
        <w:rPr>
          <w:rFonts w:ascii="Times New Roman" w:hAnsi="Times New Roman"/>
        </w:rPr>
        <w:t xml:space="preserve"> each FAAP modification.  </w:t>
      </w:r>
      <w:r w:rsidR="007E06FD" w:rsidRPr="000D1D74">
        <w:rPr>
          <w:rFonts w:ascii="Times New Roman" w:hAnsi="Times New Roman"/>
        </w:rPr>
        <w:t>8</w:t>
      </w:r>
      <w:r w:rsidRPr="000D1D74">
        <w:rPr>
          <w:rFonts w:ascii="Times New Roman" w:hAnsi="Times New Roman"/>
        </w:rPr>
        <w:t xml:space="preserve"> hours x </w:t>
      </w:r>
      <w:r w:rsidR="00EF63FC">
        <w:rPr>
          <w:rFonts w:ascii="Times New Roman" w:hAnsi="Times New Roman"/>
        </w:rPr>
        <w:t>64</w:t>
      </w:r>
      <w:r w:rsidRPr="000D1D74">
        <w:rPr>
          <w:rFonts w:ascii="Times New Roman" w:hAnsi="Times New Roman"/>
        </w:rPr>
        <w:t xml:space="preserve"> agreements = </w:t>
      </w:r>
      <w:r w:rsidR="00EF63FC">
        <w:rPr>
          <w:rFonts w:ascii="Times New Roman" w:hAnsi="Times New Roman"/>
        </w:rPr>
        <w:t>512</w:t>
      </w:r>
      <w:r w:rsidRPr="000D1D74">
        <w:rPr>
          <w:rFonts w:ascii="Times New Roman" w:hAnsi="Times New Roman"/>
        </w:rPr>
        <w:t xml:space="preserve"> hours. </w:t>
      </w:r>
    </w:p>
    <w:p w14:paraId="29CB9CB8" w14:textId="77777777" w:rsidR="000A009D" w:rsidRDefault="000A009D" w:rsidP="00286E2F">
      <w:pPr>
        <w:pStyle w:val="EndnoteText"/>
        <w:rPr>
          <w:rFonts w:ascii="Times New Roman" w:hAnsi="Times New Roman"/>
        </w:rPr>
      </w:pPr>
    </w:p>
    <w:p w14:paraId="043B4FDD" w14:textId="01EC3308" w:rsidR="000A009D" w:rsidRPr="000D1D74" w:rsidRDefault="000A009D" w:rsidP="000D1D74">
      <w:pPr>
        <w:pStyle w:val="EndnoteText"/>
        <w:numPr>
          <w:ilvl w:val="0"/>
          <w:numId w:val="44"/>
        </w:numPr>
        <w:rPr>
          <w:rFonts w:ascii="Times New Roman" w:hAnsi="Times New Roman"/>
        </w:rPr>
      </w:pPr>
      <w:r>
        <w:rPr>
          <w:rFonts w:ascii="Times New Roman" w:hAnsi="Times New Roman"/>
        </w:rPr>
        <w:t>OF</w:t>
      </w:r>
      <w:r w:rsidR="000D1D74">
        <w:rPr>
          <w:rFonts w:ascii="Times New Roman" w:hAnsi="Times New Roman"/>
        </w:rPr>
        <w:t>CCP staff will spend 8 hours processing each FAAP certification</w:t>
      </w:r>
      <w:r w:rsidR="002A224D">
        <w:rPr>
          <w:rFonts w:ascii="Times New Roman" w:hAnsi="Times New Roman"/>
        </w:rPr>
        <w:t xml:space="preserve">.  </w:t>
      </w:r>
      <w:r w:rsidR="006C0DDA" w:rsidRPr="000D1D74">
        <w:rPr>
          <w:rFonts w:ascii="Times New Roman" w:hAnsi="Times New Roman"/>
        </w:rPr>
        <w:t>8 hours x 14</w:t>
      </w:r>
      <w:r w:rsidRPr="000D1D74">
        <w:rPr>
          <w:rFonts w:ascii="Times New Roman" w:hAnsi="Times New Roman"/>
        </w:rPr>
        <w:t xml:space="preserve"> agreements</w:t>
      </w:r>
      <w:r w:rsidR="006C0DDA" w:rsidRPr="000D1D74">
        <w:rPr>
          <w:rFonts w:ascii="Times New Roman" w:hAnsi="Times New Roman"/>
        </w:rPr>
        <w:t xml:space="preserve"> = 112 hours</w:t>
      </w:r>
      <w:r w:rsidRPr="000D1D74">
        <w:rPr>
          <w:rFonts w:ascii="Times New Roman" w:hAnsi="Times New Roman"/>
        </w:rPr>
        <w:t xml:space="preserve">.  </w:t>
      </w:r>
    </w:p>
    <w:p w14:paraId="17D81D86" w14:textId="77777777" w:rsidR="00403BE4" w:rsidRDefault="00403BE4" w:rsidP="00286E2F">
      <w:pPr>
        <w:pStyle w:val="EndnoteText"/>
        <w:ind w:left="720"/>
        <w:rPr>
          <w:rFonts w:ascii="Times New Roman" w:hAnsi="Times New Roman"/>
        </w:rPr>
      </w:pPr>
    </w:p>
    <w:p w14:paraId="15035945" w14:textId="0BE01D4D" w:rsidR="000A009D" w:rsidRDefault="000D1D74" w:rsidP="000D1D74">
      <w:pPr>
        <w:pStyle w:val="EndnoteText"/>
        <w:rPr>
          <w:rFonts w:ascii="Times New Roman" w:hAnsi="Times New Roman"/>
        </w:rPr>
      </w:pPr>
      <w:r>
        <w:rPr>
          <w:rFonts w:ascii="Times New Roman" w:hAnsi="Times New Roman"/>
        </w:rPr>
        <w:t>As there have been no FAAP agreement terminations by OFCCP is the past three years, this ICR does not claim a federal burden for</w:t>
      </w:r>
      <w:r w:rsidR="00403BE4">
        <w:rPr>
          <w:rFonts w:ascii="Times New Roman" w:hAnsi="Times New Roman"/>
        </w:rPr>
        <w:t xml:space="preserve"> termination</w:t>
      </w:r>
      <w:r>
        <w:rPr>
          <w:rFonts w:ascii="Times New Roman" w:hAnsi="Times New Roman"/>
        </w:rPr>
        <w:t>s</w:t>
      </w:r>
      <w:r w:rsidR="00403BE4">
        <w:rPr>
          <w:rFonts w:ascii="Times New Roman" w:hAnsi="Times New Roman"/>
        </w:rPr>
        <w:t xml:space="preserve">. </w:t>
      </w:r>
    </w:p>
    <w:p w14:paraId="2FD0D1FD" w14:textId="0454CAF5" w:rsidR="000D1D74" w:rsidRDefault="000D1D74" w:rsidP="000D1D74">
      <w:pPr>
        <w:pStyle w:val="EndnoteText"/>
        <w:rPr>
          <w:rFonts w:ascii="Times New Roman" w:hAnsi="Times New Roman"/>
        </w:rPr>
      </w:pPr>
    </w:p>
    <w:p w14:paraId="43FAC18A" w14:textId="7B984B88" w:rsidR="000D1D74" w:rsidRDefault="000D1D74" w:rsidP="000D1D74">
      <w:pPr>
        <w:pStyle w:val="EndnoteText"/>
        <w:rPr>
          <w:rFonts w:ascii="Times New Roman" w:hAnsi="Times New Roman"/>
        </w:rPr>
      </w:pPr>
      <w:r>
        <w:rPr>
          <w:rFonts w:ascii="Times New Roman" w:hAnsi="Times New Roman"/>
        </w:rPr>
        <w:t xml:space="preserve">OFCCP estimates the total annual burden to the Federal Government related to the FAAP process at </w:t>
      </w:r>
      <w:r w:rsidR="00EF63FC">
        <w:rPr>
          <w:rFonts w:ascii="Times New Roman" w:hAnsi="Times New Roman"/>
        </w:rPr>
        <w:t>824</w:t>
      </w:r>
      <w:r>
        <w:rPr>
          <w:rFonts w:ascii="Times New Roman" w:hAnsi="Times New Roman"/>
        </w:rPr>
        <w:t xml:space="preserve"> hours. </w:t>
      </w:r>
    </w:p>
    <w:p w14:paraId="76432E6A" w14:textId="08C31C3F" w:rsidR="00666287" w:rsidRPr="00E6260B" w:rsidRDefault="00666287" w:rsidP="00E6260B">
      <w:pPr>
        <w:pStyle w:val="EndnoteText"/>
        <w:rPr>
          <w:rFonts w:ascii="Times New Roman" w:hAnsi="Times New Roman"/>
        </w:rPr>
      </w:pPr>
    </w:p>
    <w:p w14:paraId="0A5884B5" w14:textId="001DEAFB" w:rsidR="00666287" w:rsidRPr="00E6260B" w:rsidRDefault="005F6411" w:rsidP="00E6260B">
      <w:pPr>
        <w:pStyle w:val="EndnoteText"/>
        <w:rPr>
          <w:rFonts w:ascii="Times New Roman" w:hAnsi="Times New Roman"/>
        </w:rPr>
      </w:pPr>
      <w:r>
        <w:rPr>
          <w:rFonts w:ascii="Times New Roman" w:hAnsi="Times New Roman"/>
        </w:rPr>
        <w:t>Using the General Schedule (GS) scale, OFCCP estimates a</w:t>
      </w:r>
      <w:r w:rsidR="00666287" w:rsidRPr="00E6260B">
        <w:rPr>
          <w:rFonts w:ascii="Times New Roman" w:hAnsi="Times New Roman"/>
        </w:rPr>
        <w:t xml:space="preserve"> </w:t>
      </w:r>
      <w:r w:rsidR="00253EC3">
        <w:rPr>
          <w:rFonts w:ascii="Times New Roman" w:hAnsi="Times New Roman"/>
        </w:rPr>
        <w:t xml:space="preserve">fully loaded </w:t>
      </w:r>
      <w:r>
        <w:rPr>
          <w:rFonts w:ascii="Times New Roman" w:hAnsi="Times New Roman"/>
        </w:rPr>
        <w:t xml:space="preserve">average </w:t>
      </w:r>
      <w:r w:rsidR="00666287" w:rsidRPr="00E6260B">
        <w:rPr>
          <w:rFonts w:ascii="Times New Roman" w:hAnsi="Times New Roman"/>
        </w:rPr>
        <w:t xml:space="preserve">hourly rate </w:t>
      </w:r>
      <w:r>
        <w:rPr>
          <w:rFonts w:ascii="Times New Roman" w:hAnsi="Times New Roman"/>
        </w:rPr>
        <w:t>of</w:t>
      </w:r>
      <w:r w:rsidR="00666287" w:rsidRPr="00E6260B">
        <w:rPr>
          <w:rFonts w:ascii="Times New Roman" w:hAnsi="Times New Roman"/>
        </w:rPr>
        <w:t xml:space="preserve"> $</w:t>
      </w:r>
      <w:r w:rsidR="00B77BEA">
        <w:rPr>
          <w:rFonts w:ascii="Times New Roman" w:hAnsi="Times New Roman"/>
        </w:rPr>
        <w:t>74.62</w:t>
      </w:r>
      <w:r w:rsidR="00CF5F4B">
        <w:rPr>
          <w:rStyle w:val="FootnoteReference"/>
          <w:rFonts w:ascii="Times New Roman" w:hAnsi="Times New Roman"/>
        </w:rPr>
        <w:footnoteReference w:id="23"/>
      </w:r>
      <w:r>
        <w:rPr>
          <w:rFonts w:ascii="Times New Roman" w:hAnsi="Times New Roman"/>
        </w:rPr>
        <w:t xml:space="preserve"> for the federal staff involved in the FAAP process</w:t>
      </w:r>
      <w:r w:rsidR="00666287" w:rsidRPr="00E6260B">
        <w:rPr>
          <w:rFonts w:ascii="Times New Roman" w:hAnsi="Times New Roman"/>
        </w:rPr>
        <w:t>.</w:t>
      </w:r>
      <w:r w:rsidR="00666287" w:rsidRPr="00E6260B">
        <w:rPr>
          <w:rFonts w:ascii="Times New Roman" w:hAnsi="Times New Roman"/>
          <w:vertAlign w:val="superscript"/>
        </w:rPr>
        <w:footnoteReference w:id="24"/>
      </w:r>
      <w:r w:rsidR="00666287" w:rsidRPr="00E6260B">
        <w:rPr>
          <w:rFonts w:ascii="Times New Roman" w:hAnsi="Times New Roman"/>
        </w:rPr>
        <w:t xml:space="preserve">  The cost</w:t>
      </w:r>
      <w:r>
        <w:rPr>
          <w:rFonts w:ascii="Times New Roman" w:hAnsi="Times New Roman"/>
        </w:rPr>
        <w:t xml:space="preserve"> is calculated as follows: </w:t>
      </w:r>
      <w:r w:rsidR="00666287" w:rsidRPr="00E6260B">
        <w:rPr>
          <w:rFonts w:ascii="Times New Roman" w:hAnsi="Times New Roman"/>
        </w:rPr>
        <w:t xml:space="preserve"> $</w:t>
      </w:r>
      <w:r w:rsidR="00B77BEA">
        <w:rPr>
          <w:rFonts w:ascii="Times New Roman" w:hAnsi="Times New Roman"/>
        </w:rPr>
        <w:t>74.62</w:t>
      </w:r>
      <w:r w:rsidR="006C0DDA">
        <w:rPr>
          <w:rFonts w:ascii="Times New Roman" w:hAnsi="Times New Roman"/>
        </w:rPr>
        <w:t xml:space="preserve"> x </w:t>
      </w:r>
      <w:r w:rsidR="00EF63FC">
        <w:rPr>
          <w:rFonts w:ascii="Times New Roman" w:hAnsi="Times New Roman"/>
        </w:rPr>
        <w:t>824</w:t>
      </w:r>
      <w:r w:rsidR="00666287" w:rsidRPr="00E6260B">
        <w:rPr>
          <w:rFonts w:ascii="Times New Roman" w:hAnsi="Times New Roman"/>
        </w:rPr>
        <w:t xml:space="preserve"> hours = $</w:t>
      </w:r>
      <w:r w:rsidR="00B77BEA">
        <w:rPr>
          <w:rFonts w:ascii="Times New Roman" w:hAnsi="Times New Roman"/>
        </w:rPr>
        <w:t>61,487</w:t>
      </w:r>
      <w:r w:rsidR="00666287" w:rsidRPr="00E6260B">
        <w:rPr>
          <w:rFonts w:ascii="Times New Roman" w:hAnsi="Times New Roman"/>
        </w:rPr>
        <w:t xml:space="preserve">.  </w:t>
      </w:r>
    </w:p>
    <w:p w14:paraId="7FB850A4" w14:textId="77777777" w:rsidR="002C245C" w:rsidRPr="00A4247E" w:rsidRDefault="002C245C" w:rsidP="006E46D7">
      <w:pPr>
        <w:pStyle w:val="EndnoteText"/>
        <w:widowControl/>
        <w:tabs>
          <w:tab w:val="left" w:pos="-720"/>
        </w:tabs>
        <w:ind w:left="720" w:hanging="720"/>
        <w:rPr>
          <w:rFonts w:ascii="Times New Roman" w:hAnsi="Times New Roman"/>
          <w:color w:val="000000"/>
        </w:rPr>
      </w:pPr>
    </w:p>
    <w:p w14:paraId="5CFAB1CA" w14:textId="427A1A0F" w:rsidR="002C245C" w:rsidRDefault="00285CC3" w:rsidP="00285CC3">
      <w:pPr>
        <w:pStyle w:val="EndnoteText"/>
        <w:widowControl/>
        <w:numPr>
          <w:ilvl w:val="0"/>
          <w:numId w:val="41"/>
        </w:numPr>
        <w:tabs>
          <w:tab w:val="left" w:pos="-720"/>
        </w:tabs>
        <w:ind w:left="360"/>
        <w:rPr>
          <w:rFonts w:ascii="Times New Roman" w:hAnsi="Times New Roman"/>
          <w:b/>
          <w:color w:val="000000"/>
        </w:rPr>
      </w:pPr>
      <w:r>
        <w:rPr>
          <w:rFonts w:ascii="Times New Roman" w:hAnsi="Times New Roman"/>
          <w:color w:val="000000"/>
        </w:rPr>
        <w:t xml:space="preserve"> </w:t>
      </w:r>
      <w:r w:rsidRPr="00285CC3">
        <w:rPr>
          <w:rFonts w:ascii="Times New Roman" w:hAnsi="Times New Roman"/>
          <w:b/>
          <w:color w:val="000000"/>
        </w:rPr>
        <w:t xml:space="preserve">Program Changes or Burden Adjustments </w:t>
      </w:r>
      <w:r w:rsidR="002C245C" w:rsidRPr="00285CC3">
        <w:rPr>
          <w:rFonts w:ascii="Times New Roman" w:hAnsi="Times New Roman"/>
          <w:b/>
          <w:color w:val="000000"/>
        </w:rPr>
        <w:t xml:space="preserve"> </w:t>
      </w:r>
    </w:p>
    <w:p w14:paraId="61469999" w14:textId="77777777" w:rsidR="00E6260B" w:rsidRPr="00285CC3" w:rsidRDefault="00E6260B" w:rsidP="00E6260B">
      <w:pPr>
        <w:pStyle w:val="EndnoteText"/>
        <w:widowControl/>
        <w:tabs>
          <w:tab w:val="left" w:pos="-720"/>
        </w:tabs>
        <w:ind w:left="360"/>
        <w:rPr>
          <w:rFonts w:ascii="Times New Roman" w:hAnsi="Times New Roman"/>
          <w:b/>
          <w:color w:val="000000"/>
        </w:rPr>
      </w:pPr>
    </w:p>
    <w:p w14:paraId="62B668DD" w14:textId="78246BCF" w:rsidR="00E6260B" w:rsidRDefault="00931FD0" w:rsidP="00E6260B">
      <w:pPr>
        <w:pStyle w:val="EndnoteText"/>
        <w:widowControl/>
        <w:tabs>
          <w:tab w:val="left" w:pos="-720"/>
        </w:tabs>
        <w:rPr>
          <w:rFonts w:ascii="Times New Roman" w:hAnsi="Times New Roman"/>
          <w:color w:val="000000"/>
        </w:rPr>
      </w:pPr>
      <w:r>
        <w:rPr>
          <w:rFonts w:ascii="Times New Roman" w:hAnsi="Times New Roman"/>
          <w:color w:val="000000"/>
        </w:rPr>
        <w:t xml:space="preserve">OFCCP is </w:t>
      </w:r>
      <w:r w:rsidR="007E06FD">
        <w:rPr>
          <w:rFonts w:ascii="Times New Roman" w:hAnsi="Times New Roman"/>
          <w:color w:val="000000"/>
        </w:rPr>
        <w:t xml:space="preserve">requesting OMB approval of </w:t>
      </w:r>
      <w:r w:rsidR="00EF63FC">
        <w:rPr>
          <w:rFonts w:ascii="Times New Roman" w:hAnsi="Times New Roman"/>
          <w:color w:val="000000"/>
        </w:rPr>
        <w:t>862</w:t>
      </w:r>
      <w:r w:rsidR="001311BB">
        <w:rPr>
          <w:rFonts w:ascii="Times New Roman" w:hAnsi="Times New Roman"/>
          <w:color w:val="000000"/>
        </w:rPr>
        <w:t xml:space="preserve"> burden hours and $</w:t>
      </w:r>
      <w:r w:rsidR="00B6638F">
        <w:rPr>
          <w:rFonts w:ascii="Times New Roman" w:hAnsi="Times New Roman"/>
          <w:color w:val="000000"/>
        </w:rPr>
        <w:t>21.25</w:t>
      </w:r>
      <w:r w:rsidR="00E6260B">
        <w:rPr>
          <w:rFonts w:ascii="Times New Roman" w:hAnsi="Times New Roman"/>
          <w:color w:val="000000"/>
        </w:rPr>
        <w:t xml:space="preserve"> in costs.</w:t>
      </w:r>
      <w:r w:rsidR="00E6260B">
        <w:rPr>
          <w:rFonts w:ascii="Times New Roman" w:hAnsi="Times New Roman"/>
          <w:b/>
          <w:color w:val="000000"/>
        </w:rPr>
        <w:t xml:space="preserve">  </w:t>
      </w:r>
      <w:r w:rsidR="00286E2F">
        <w:rPr>
          <w:rFonts w:ascii="Times New Roman" w:hAnsi="Times New Roman"/>
          <w:color w:val="000000"/>
        </w:rPr>
        <w:t xml:space="preserve">This </w:t>
      </w:r>
      <w:r w:rsidR="00E6260B">
        <w:rPr>
          <w:rFonts w:ascii="Times New Roman" w:hAnsi="Times New Roman"/>
          <w:color w:val="000000"/>
        </w:rPr>
        <w:t>is a decrease in burden hours and costs from the previous approval</w:t>
      </w:r>
      <w:r w:rsidR="00286E2F">
        <w:rPr>
          <w:rFonts w:ascii="Times New Roman" w:hAnsi="Times New Roman"/>
          <w:color w:val="000000"/>
        </w:rPr>
        <w:t xml:space="preserve"> of this information collection</w:t>
      </w:r>
      <w:r w:rsidR="00E6260B">
        <w:rPr>
          <w:rFonts w:ascii="Times New Roman" w:hAnsi="Times New Roman"/>
          <w:color w:val="000000"/>
        </w:rPr>
        <w:t xml:space="preserve"> of 1,297 hours and $89.  </w:t>
      </w:r>
      <w:r w:rsidR="001311BB">
        <w:rPr>
          <w:rFonts w:ascii="Times New Roman" w:hAnsi="Times New Roman"/>
          <w:color w:val="000000"/>
        </w:rPr>
        <w:t xml:space="preserve">The table below outlines the specific changes to this ICR compared to its previous approval in April 2016. </w:t>
      </w:r>
    </w:p>
    <w:p w14:paraId="0AE1DE79" w14:textId="77777777" w:rsidR="00E6260B" w:rsidRDefault="00E6260B" w:rsidP="00E6260B">
      <w:pPr>
        <w:pStyle w:val="EndnoteText"/>
        <w:widowControl/>
        <w:tabs>
          <w:tab w:val="left" w:pos="-720"/>
        </w:tabs>
        <w:ind w:left="720"/>
        <w:rPr>
          <w:rFonts w:ascii="Times New Roman" w:hAnsi="Times New Roman"/>
          <w:color w:val="000000"/>
        </w:rPr>
      </w:pPr>
    </w:p>
    <w:tbl>
      <w:tblPr>
        <w:tblStyle w:val="TableGrid"/>
        <w:tblW w:w="0" w:type="auto"/>
        <w:tblInd w:w="720" w:type="dxa"/>
        <w:tblLook w:val="04A0" w:firstRow="1" w:lastRow="0" w:firstColumn="1" w:lastColumn="0" w:noHBand="0" w:noVBand="1"/>
      </w:tblPr>
      <w:tblGrid>
        <w:gridCol w:w="2335"/>
        <w:gridCol w:w="1530"/>
        <w:gridCol w:w="4765"/>
      </w:tblGrid>
      <w:tr w:rsidR="00E6260B" w14:paraId="6763C157" w14:textId="77777777" w:rsidTr="00931FD0">
        <w:tc>
          <w:tcPr>
            <w:tcW w:w="2335" w:type="dxa"/>
          </w:tcPr>
          <w:p w14:paraId="162088EC" w14:textId="77777777" w:rsidR="00E6260B" w:rsidRPr="00A04BAE" w:rsidRDefault="00E6260B" w:rsidP="00E6260B">
            <w:pPr>
              <w:pStyle w:val="EndnoteText"/>
              <w:widowControl/>
              <w:tabs>
                <w:tab w:val="left" w:pos="-720"/>
              </w:tabs>
              <w:rPr>
                <w:rFonts w:ascii="Times New Roman" w:hAnsi="Times New Roman"/>
                <w:b/>
                <w:color w:val="000000"/>
              </w:rPr>
            </w:pPr>
            <w:r>
              <w:rPr>
                <w:rFonts w:ascii="Times New Roman" w:hAnsi="Times New Roman"/>
                <w:b/>
                <w:color w:val="000000"/>
              </w:rPr>
              <w:t>Activity</w:t>
            </w:r>
          </w:p>
        </w:tc>
        <w:tc>
          <w:tcPr>
            <w:tcW w:w="1530" w:type="dxa"/>
          </w:tcPr>
          <w:p w14:paraId="79318BB7" w14:textId="77777777" w:rsidR="00E6260B" w:rsidRPr="00A04BAE" w:rsidRDefault="00E6260B" w:rsidP="00E6260B">
            <w:pPr>
              <w:pStyle w:val="EndnoteText"/>
              <w:widowControl/>
              <w:tabs>
                <w:tab w:val="left" w:pos="-720"/>
              </w:tabs>
              <w:rPr>
                <w:rFonts w:ascii="Times New Roman" w:hAnsi="Times New Roman"/>
                <w:b/>
                <w:color w:val="000000"/>
              </w:rPr>
            </w:pPr>
            <w:r>
              <w:rPr>
                <w:rFonts w:ascii="Times New Roman" w:hAnsi="Times New Roman"/>
                <w:b/>
                <w:color w:val="000000"/>
              </w:rPr>
              <w:t>Change</w:t>
            </w:r>
          </w:p>
        </w:tc>
        <w:tc>
          <w:tcPr>
            <w:tcW w:w="4765" w:type="dxa"/>
          </w:tcPr>
          <w:p w14:paraId="7CC9DE58" w14:textId="77777777" w:rsidR="00E6260B" w:rsidRPr="00A04BAE" w:rsidRDefault="00E6260B" w:rsidP="00E6260B">
            <w:pPr>
              <w:pStyle w:val="EndnoteText"/>
              <w:widowControl/>
              <w:tabs>
                <w:tab w:val="left" w:pos="-720"/>
              </w:tabs>
              <w:rPr>
                <w:rFonts w:ascii="Times New Roman" w:hAnsi="Times New Roman"/>
                <w:b/>
                <w:color w:val="000000"/>
              </w:rPr>
            </w:pPr>
            <w:r>
              <w:rPr>
                <w:rFonts w:ascii="Times New Roman" w:hAnsi="Times New Roman"/>
                <w:b/>
                <w:color w:val="000000"/>
              </w:rPr>
              <w:t>Explanation</w:t>
            </w:r>
          </w:p>
        </w:tc>
      </w:tr>
      <w:tr w:rsidR="00E6260B" w14:paraId="00244C3F" w14:textId="77777777" w:rsidTr="00931FD0">
        <w:tc>
          <w:tcPr>
            <w:tcW w:w="2335" w:type="dxa"/>
          </w:tcPr>
          <w:p w14:paraId="78FD0BAE" w14:textId="77777777" w:rsidR="00E6260B" w:rsidRDefault="00E6260B" w:rsidP="00E6260B">
            <w:pPr>
              <w:pStyle w:val="EndnoteText"/>
              <w:widowControl/>
              <w:tabs>
                <w:tab w:val="left" w:pos="-720"/>
              </w:tabs>
              <w:rPr>
                <w:rFonts w:ascii="Times New Roman" w:hAnsi="Times New Roman"/>
                <w:color w:val="000000"/>
              </w:rPr>
            </w:pPr>
            <w:r>
              <w:rPr>
                <w:rFonts w:ascii="Times New Roman" w:hAnsi="Times New Roman"/>
                <w:color w:val="000000"/>
              </w:rPr>
              <w:t>Requesting a FAAP Agreement</w:t>
            </w:r>
          </w:p>
        </w:tc>
        <w:tc>
          <w:tcPr>
            <w:tcW w:w="1530" w:type="dxa"/>
          </w:tcPr>
          <w:p w14:paraId="1EB613B0" w14:textId="0DF2CE0C" w:rsidR="00E6260B" w:rsidRDefault="00E6260B" w:rsidP="00E6260B">
            <w:pPr>
              <w:pStyle w:val="EndnoteText"/>
              <w:widowControl/>
              <w:tabs>
                <w:tab w:val="left" w:pos="-720"/>
              </w:tabs>
              <w:rPr>
                <w:rFonts w:ascii="Times New Roman" w:hAnsi="Times New Roman"/>
                <w:color w:val="000000"/>
              </w:rPr>
            </w:pPr>
            <w:r>
              <w:rPr>
                <w:rFonts w:ascii="Times New Roman" w:hAnsi="Times New Roman"/>
                <w:color w:val="000000"/>
              </w:rPr>
              <w:t xml:space="preserve">Decreased by </w:t>
            </w:r>
            <w:r w:rsidR="00504DAC">
              <w:rPr>
                <w:rFonts w:ascii="Times New Roman" w:hAnsi="Times New Roman"/>
                <w:color w:val="000000"/>
              </w:rPr>
              <w:t>216</w:t>
            </w:r>
            <w:r>
              <w:rPr>
                <w:rFonts w:ascii="Times New Roman" w:hAnsi="Times New Roman"/>
                <w:color w:val="000000"/>
              </w:rPr>
              <w:t xml:space="preserve"> hours</w:t>
            </w:r>
          </w:p>
        </w:tc>
        <w:tc>
          <w:tcPr>
            <w:tcW w:w="4765" w:type="dxa"/>
          </w:tcPr>
          <w:p w14:paraId="4A1E1BFB" w14:textId="18AD4426" w:rsidR="00E6260B" w:rsidRDefault="00E6260B" w:rsidP="00E6260B">
            <w:pPr>
              <w:pStyle w:val="EndnoteText"/>
              <w:widowControl/>
              <w:tabs>
                <w:tab w:val="left" w:pos="-720"/>
              </w:tabs>
              <w:rPr>
                <w:rFonts w:ascii="Times New Roman" w:hAnsi="Times New Roman"/>
                <w:color w:val="000000"/>
              </w:rPr>
            </w:pPr>
            <w:r>
              <w:rPr>
                <w:rFonts w:ascii="Times New Roman" w:hAnsi="Times New Roman"/>
                <w:color w:val="000000"/>
              </w:rPr>
              <w:t>The burden per contract</w:t>
            </w:r>
            <w:r w:rsidR="00504DAC">
              <w:rPr>
                <w:rFonts w:ascii="Times New Roman" w:hAnsi="Times New Roman"/>
                <w:color w:val="000000"/>
              </w:rPr>
              <w:t>or decreased from 38 hours to 32</w:t>
            </w:r>
            <w:r w:rsidR="00127180">
              <w:rPr>
                <w:rFonts w:ascii="Times New Roman" w:hAnsi="Times New Roman"/>
                <w:color w:val="000000"/>
              </w:rPr>
              <w:t>.75</w:t>
            </w:r>
            <w:r>
              <w:rPr>
                <w:rFonts w:ascii="Times New Roman" w:hAnsi="Times New Roman"/>
                <w:color w:val="000000"/>
              </w:rPr>
              <w:t xml:space="preserve"> hours and the number of contractors requesting FAAP agreements decreased from 10 to 5. </w:t>
            </w:r>
          </w:p>
        </w:tc>
      </w:tr>
      <w:tr w:rsidR="00E6260B" w14:paraId="522B4261" w14:textId="77777777" w:rsidTr="00931FD0">
        <w:tc>
          <w:tcPr>
            <w:tcW w:w="2335" w:type="dxa"/>
          </w:tcPr>
          <w:p w14:paraId="0B8DBB1F" w14:textId="77777777" w:rsidR="00E6260B" w:rsidRDefault="00E6260B" w:rsidP="00E6260B">
            <w:pPr>
              <w:pStyle w:val="EndnoteText"/>
              <w:widowControl/>
              <w:tabs>
                <w:tab w:val="left" w:pos="-720"/>
              </w:tabs>
              <w:rPr>
                <w:rFonts w:ascii="Times New Roman" w:hAnsi="Times New Roman"/>
                <w:color w:val="000000"/>
              </w:rPr>
            </w:pPr>
            <w:r>
              <w:rPr>
                <w:rFonts w:ascii="Times New Roman" w:hAnsi="Times New Roman"/>
                <w:color w:val="000000"/>
              </w:rPr>
              <w:t>Modifying a FAAP Agreement</w:t>
            </w:r>
          </w:p>
        </w:tc>
        <w:tc>
          <w:tcPr>
            <w:tcW w:w="1530" w:type="dxa"/>
          </w:tcPr>
          <w:p w14:paraId="57504A83" w14:textId="0AE30561" w:rsidR="00E6260B" w:rsidRDefault="00E6260B" w:rsidP="00E6260B">
            <w:pPr>
              <w:pStyle w:val="EndnoteText"/>
              <w:widowControl/>
              <w:tabs>
                <w:tab w:val="left" w:pos="-720"/>
              </w:tabs>
              <w:rPr>
                <w:rFonts w:ascii="Times New Roman" w:hAnsi="Times New Roman"/>
                <w:color w:val="000000"/>
              </w:rPr>
            </w:pPr>
            <w:r>
              <w:rPr>
                <w:rFonts w:ascii="Times New Roman" w:hAnsi="Times New Roman"/>
                <w:color w:val="000000"/>
              </w:rPr>
              <w:t xml:space="preserve">Increased by </w:t>
            </w:r>
            <w:r w:rsidR="00EF63FC">
              <w:rPr>
                <w:rFonts w:ascii="Times New Roman" w:hAnsi="Times New Roman"/>
                <w:color w:val="000000"/>
              </w:rPr>
              <w:t>23</w:t>
            </w:r>
            <w:r>
              <w:rPr>
                <w:rFonts w:ascii="Times New Roman" w:hAnsi="Times New Roman"/>
                <w:color w:val="000000"/>
              </w:rPr>
              <w:t xml:space="preserve"> hours</w:t>
            </w:r>
          </w:p>
        </w:tc>
        <w:tc>
          <w:tcPr>
            <w:tcW w:w="4765" w:type="dxa"/>
          </w:tcPr>
          <w:p w14:paraId="3E4758ED" w14:textId="7DD5926A" w:rsidR="00E6260B" w:rsidRDefault="00E6260B" w:rsidP="00E6260B">
            <w:pPr>
              <w:pStyle w:val="EndnoteText"/>
              <w:widowControl/>
              <w:tabs>
                <w:tab w:val="left" w:pos="-720"/>
              </w:tabs>
              <w:rPr>
                <w:rFonts w:ascii="Times New Roman" w:hAnsi="Times New Roman"/>
                <w:color w:val="000000"/>
              </w:rPr>
            </w:pPr>
            <w:r>
              <w:rPr>
                <w:rFonts w:ascii="Times New Roman" w:hAnsi="Times New Roman"/>
                <w:color w:val="000000"/>
              </w:rPr>
              <w:t xml:space="preserve">The burden per contractor increased from 617 to </w:t>
            </w:r>
            <w:r w:rsidR="00EF63FC">
              <w:rPr>
                <w:rFonts w:ascii="Times New Roman" w:hAnsi="Times New Roman"/>
                <w:color w:val="000000"/>
              </w:rPr>
              <w:t>640</w:t>
            </w:r>
            <w:r>
              <w:rPr>
                <w:rFonts w:ascii="Times New Roman" w:hAnsi="Times New Roman"/>
                <w:color w:val="000000"/>
              </w:rPr>
              <w:t xml:space="preserve"> hours because modifying and updating a FAAP agreement were combined into one activity</w:t>
            </w:r>
            <w:r w:rsidR="002A224D">
              <w:rPr>
                <w:rFonts w:ascii="Times New Roman" w:hAnsi="Times New Roman"/>
                <w:color w:val="000000"/>
              </w:rPr>
              <w:t xml:space="preserve">.  </w:t>
            </w:r>
          </w:p>
        </w:tc>
      </w:tr>
      <w:tr w:rsidR="00E6260B" w14:paraId="194D7455" w14:textId="77777777" w:rsidTr="00931FD0">
        <w:tc>
          <w:tcPr>
            <w:tcW w:w="2335" w:type="dxa"/>
          </w:tcPr>
          <w:p w14:paraId="609E6B9D" w14:textId="77777777" w:rsidR="00E6260B" w:rsidRDefault="00E6260B" w:rsidP="00E6260B">
            <w:pPr>
              <w:pStyle w:val="EndnoteText"/>
              <w:widowControl/>
              <w:tabs>
                <w:tab w:val="left" w:pos="-720"/>
              </w:tabs>
              <w:rPr>
                <w:rFonts w:ascii="Times New Roman" w:hAnsi="Times New Roman"/>
                <w:color w:val="000000"/>
              </w:rPr>
            </w:pPr>
            <w:r>
              <w:rPr>
                <w:rFonts w:ascii="Times New Roman" w:hAnsi="Times New Roman"/>
                <w:color w:val="000000"/>
              </w:rPr>
              <w:t>Certifying a FAAP Agreement</w:t>
            </w:r>
          </w:p>
        </w:tc>
        <w:tc>
          <w:tcPr>
            <w:tcW w:w="1530" w:type="dxa"/>
          </w:tcPr>
          <w:p w14:paraId="389340D9" w14:textId="16CC50B7" w:rsidR="00E6260B" w:rsidRDefault="00E6260B" w:rsidP="00E6260B">
            <w:pPr>
              <w:pStyle w:val="EndnoteText"/>
              <w:widowControl/>
              <w:tabs>
                <w:tab w:val="left" w:pos="-720"/>
              </w:tabs>
              <w:rPr>
                <w:rFonts w:ascii="Times New Roman" w:hAnsi="Times New Roman"/>
                <w:color w:val="000000"/>
              </w:rPr>
            </w:pPr>
            <w:r>
              <w:rPr>
                <w:rFonts w:ascii="Times New Roman" w:hAnsi="Times New Roman"/>
                <w:color w:val="000000"/>
              </w:rPr>
              <w:t xml:space="preserve">Decreased by </w:t>
            </w:r>
            <w:r w:rsidR="00DA3FC7">
              <w:rPr>
                <w:rFonts w:ascii="Times New Roman" w:hAnsi="Times New Roman"/>
                <w:color w:val="000000"/>
              </w:rPr>
              <w:t>244</w:t>
            </w:r>
            <w:r>
              <w:rPr>
                <w:rFonts w:ascii="Times New Roman" w:hAnsi="Times New Roman"/>
                <w:color w:val="000000"/>
              </w:rPr>
              <w:t xml:space="preserve"> hours</w:t>
            </w:r>
          </w:p>
        </w:tc>
        <w:tc>
          <w:tcPr>
            <w:tcW w:w="4765" w:type="dxa"/>
          </w:tcPr>
          <w:p w14:paraId="042BA45F" w14:textId="3741326E" w:rsidR="00E6260B" w:rsidRDefault="00E6260B" w:rsidP="00DA3FC7">
            <w:pPr>
              <w:pStyle w:val="EndnoteText"/>
              <w:widowControl/>
              <w:tabs>
                <w:tab w:val="left" w:pos="-720"/>
              </w:tabs>
              <w:rPr>
                <w:rFonts w:ascii="Times New Roman" w:hAnsi="Times New Roman"/>
                <w:color w:val="000000"/>
              </w:rPr>
            </w:pPr>
            <w:r>
              <w:rPr>
                <w:rFonts w:ascii="Times New Roman" w:hAnsi="Times New Roman"/>
                <w:color w:val="000000"/>
              </w:rPr>
              <w:t>The burden per contractor increased from 3.7 to 4 hours and the number of contractors certifying FAAP agreements</w:t>
            </w:r>
            <w:r w:rsidR="00DA3FC7">
              <w:rPr>
                <w:rFonts w:ascii="Times New Roman" w:hAnsi="Times New Roman"/>
                <w:color w:val="000000"/>
              </w:rPr>
              <w:t xml:space="preserve"> each year</w:t>
            </w:r>
            <w:r>
              <w:rPr>
                <w:rFonts w:ascii="Times New Roman" w:hAnsi="Times New Roman"/>
                <w:color w:val="000000"/>
              </w:rPr>
              <w:t xml:space="preserve"> decreased from 81 to </w:t>
            </w:r>
            <w:r w:rsidR="00DA3FC7">
              <w:rPr>
                <w:rFonts w:ascii="Times New Roman" w:hAnsi="Times New Roman"/>
                <w:color w:val="000000"/>
              </w:rPr>
              <w:t>14</w:t>
            </w:r>
            <w:r>
              <w:rPr>
                <w:rFonts w:ascii="Times New Roman" w:hAnsi="Times New Roman"/>
                <w:color w:val="000000"/>
              </w:rPr>
              <w:t>.</w:t>
            </w:r>
          </w:p>
        </w:tc>
      </w:tr>
      <w:tr w:rsidR="00403BE4" w14:paraId="6E82E8C2" w14:textId="77777777" w:rsidTr="00931FD0">
        <w:tc>
          <w:tcPr>
            <w:tcW w:w="2335" w:type="dxa"/>
          </w:tcPr>
          <w:p w14:paraId="7F10C92C" w14:textId="5E1C10D1" w:rsidR="00403BE4" w:rsidRDefault="00403BE4" w:rsidP="00E6260B">
            <w:pPr>
              <w:pStyle w:val="EndnoteText"/>
              <w:widowControl/>
              <w:tabs>
                <w:tab w:val="left" w:pos="-720"/>
              </w:tabs>
              <w:rPr>
                <w:rFonts w:ascii="Times New Roman" w:hAnsi="Times New Roman"/>
                <w:color w:val="000000"/>
              </w:rPr>
            </w:pPr>
            <w:r>
              <w:rPr>
                <w:rFonts w:ascii="Times New Roman" w:hAnsi="Times New Roman"/>
                <w:color w:val="000000"/>
              </w:rPr>
              <w:t>Terminating a FAAP Agreement</w:t>
            </w:r>
          </w:p>
        </w:tc>
        <w:tc>
          <w:tcPr>
            <w:tcW w:w="1530" w:type="dxa"/>
          </w:tcPr>
          <w:p w14:paraId="420292C6" w14:textId="1AC0D005" w:rsidR="00403BE4" w:rsidRDefault="00504DAC" w:rsidP="00E6260B">
            <w:pPr>
              <w:pStyle w:val="EndnoteText"/>
              <w:widowControl/>
              <w:tabs>
                <w:tab w:val="left" w:pos="-720"/>
              </w:tabs>
              <w:rPr>
                <w:rFonts w:ascii="Times New Roman" w:hAnsi="Times New Roman"/>
                <w:color w:val="000000"/>
              </w:rPr>
            </w:pPr>
            <w:r>
              <w:rPr>
                <w:rFonts w:ascii="Times New Roman" w:hAnsi="Times New Roman"/>
                <w:color w:val="000000"/>
              </w:rPr>
              <w:t>Increased by 2</w:t>
            </w:r>
            <w:r w:rsidR="00403BE4">
              <w:rPr>
                <w:rFonts w:ascii="Times New Roman" w:hAnsi="Times New Roman"/>
                <w:color w:val="000000"/>
              </w:rPr>
              <w:t xml:space="preserve"> hours </w:t>
            </w:r>
          </w:p>
        </w:tc>
        <w:tc>
          <w:tcPr>
            <w:tcW w:w="4765" w:type="dxa"/>
          </w:tcPr>
          <w:p w14:paraId="77C57E15" w14:textId="6F89C43B" w:rsidR="00403BE4" w:rsidRDefault="00403BE4" w:rsidP="00E6260B">
            <w:pPr>
              <w:pStyle w:val="EndnoteText"/>
              <w:widowControl/>
              <w:tabs>
                <w:tab w:val="left" w:pos="-720"/>
              </w:tabs>
              <w:rPr>
                <w:rFonts w:ascii="Times New Roman" w:hAnsi="Times New Roman"/>
                <w:color w:val="000000"/>
              </w:rPr>
            </w:pPr>
            <w:r>
              <w:rPr>
                <w:rFonts w:ascii="Times New Roman" w:hAnsi="Times New Roman"/>
                <w:color w:val="000000"/>
              </w:rPr>
              <w:t>Terminating a FAAP agreement was not accounted for in the previous ICR</w:t>
            </w:r>
            <w:r w:rsidR="002A224D">
              <w:rPr>
                <w:rFonts w:ascii="Times New Roman" w:hAnsi="Times New Roman"/>
                <w:color w:val="000000"/>
              </w:rPr>
              <w:t xml:space="preserve">.  </w:t>
            </w:r>
          </w:p>
        </w:tc>
      </w:tr>
      <w:tr w:rsidR="00792CA2" w14:paraId="680C01A9" w14:textId="77777777" w:rsidTr="00931FD0">
        <w:tc>
          <w:tcPr>
            <w:tcW w:w="2335" w:type="dxa"/>
          </w:tcPr>
          <w:p w14:paraId="00DB722B" w14:textId="67136EF3" w:rsidR="00792CA2" w:rsidRDefault="00792CA2" w:rsidP="00E6260B">
            <w:pPr>
              <w:pStyle w:val="EndnoteText"/>
              <w:widowControl/>
              <w:tabs>
                <w:tab w:val="left" w:pos="-720"/>
              </w:tabs>
              <w:rPr>
                <w:rFonts w:ascii="Times New Roman" w:hAnsi="Times New Roman"/>
                <w:color w:val="000000"/>
              </w:rPr>
            </w:pPr>
            <w:r w:rsidRPr="00967640">
              <w:rPr>
                <w:rFonts w:ascii="Times New Roman" w:hAnsi="Times New Roman"/>
                <w:szCs w:val="24"/>
              </w:rPr>
              <w:t>Annual Operations and Maintenance Costs</w:t>
            </w:r>
          </w:p>
        </w:tc>
        <w:tc>
          <w:tcPr>
            <w:tcW w:w="1530" w:type="dxa"/>
          </w:tcPr>
          <w:p w14:paraId="7DB78880" w14:textId="00E30973" w:rsidR="00792CA2" w:rsidRDefault="00792CA2" w:rsidP="00E6260B">
            <w:pPr>
              <w:pStyle w:val="EndnoteText"/>
              <w:widowControl/>
              <w:tabs>
                <w:tab w:val="left" w:pos="-720"/>
              </w:tabs>
              <w:rPr>
                <w:rFonts w:ascii="Times New Roman" w:hAnsi="Times New Roman"/>
                <w:color w:val="000000"/>
              </w:rPr>
            </w:pPr>
            <w:r w:rsidRPr="00967640">
              <w:rPr>
                <w:rFonts w:ascii="Times New Roman" w:hAnsi="Times New Roman"/>
                <w:szCs w:val="24"/>
              </w:rPr>
              <w:t>Decreased by $</w:t>
            </w:r>
            <w:r w:rsidR="009E29A9">
              <w:rPr>
                <w:rFonts w:ascii="Times New Roman" w:hAnsi="Times New Roman"/>
                <w:szCs w:val="24"/>
              </w:rPr>
              <w:t>67.75</w:t>
            </w:r>
          </w:p>
        </w:tc>
        <w:tc>
          <w:tcPr>
            <w:tcW w:w="4765" w:type="dxa"/>
          </w:tcPr>
          <w:p w14:paraId="04FC8F24" w14:textId="5212AF94" w:rsidR="00792CA2" w:rsidRDefault="00792CA2" w:rsidP="00E6260B">
            <w:pPr>
              <w:pStyle w:val="EndnoteText"/>
              <w:widowControl/>
              <w:tabs>
                <w:tab w:val="left" w:pos="-720"/>
              </w:tabs>
              <w:rPr>
                <w:rFonts w:ascii="Times New Roman" w:hAnsi="Times New Roman"/>
                <w:color w:val="000000"/>
              </w:rPr>
            </w:pPr>
            <w:r w:rsidRPr="00967640">
              <w:rPr>
                <w:rFonts w:ascii="Times New Roman" w:hAnsi="Times New Roman"/>
                <w:szCs w:val="24"/>
              </w:rPr>
              <w:t>More contractors are submitting requests and information via email, thus reducing costs</w:t>
            </w:r>
            <w:r w:rsidRPr="00792CA2">
              <w:rPr>
                <w:rFonts w:ascii="Times New Roman" w:hAnsi="Times New Roman"/>
              </w:rPr>
              <w:t>.</w:t>
            </w:r>
          </w:p>
        </w:tc>
      </w:tr>
    </w:tbl>
    <w:p w14:paraId="4B748D9C" w14:textId="3F42A8F9" w:rsidR="00E6260B" w:rsidRDefault="00E6260B" w:rsidP="00E6260B">
      <w:pPr>
        <w:pStyle w:val="EndnoteText"/>
        <w:widowControl/>
        <w:tabs>
          <w:tab w:val="left" w:pos="-720"/>
        </w:tabs>
        <w:rPr>
          <w:rFonts w:ascii="Times New Roman" w:hAnsi="Times New Roman"/>
          <w:color w:val="000000"/>
        </w:rPr>
      </w:pPr>
    </w:p>
    <w:p w14:paraId="411F8D3A" w14:textId="22AF6B9D" w:rsidR="002C245C" w:rsidRPr="00A4247E" w:rsidRDefault="002C245C" w:rsidP="00F07E53">
      <w:pPr>
        <w:pStyle w:val="EndnoteText"/>
        <w:widowControl/>
        <w:tabs>
          <w:tab w:val="left" w:pos="-720"/>
        </w:tabs>
        <w:rPr>
          <w:rFonts w:ascii="Times New Roman" w:hAnsi="Times New Roman"/>
          <w:b/>
          <w:color w:val="000000"/>
        </w:rPr>
      </w:pPr>
    </w:p>
    <w:p w14:paraId="7279B31F" w14:textId="1AF00D35" w:rsidR="002C245C" w:rsidRPr="00A4247E" w:rsidRDefault="002C245C" w:rsidP="00285CC3">
      <w:pPr>
        <w:pStyle w:val="EndnoteText"/>
        <w:widowControl/>
        <w:tabs>
          <w:tab w:val="left" w:pos="-720"/>
        </w:tabs>
        <w:ind w:left="360" w:hanging="360"/>
        <w:rPr>
          <w:rFonts w:ascii="Times New Roman" w:hAnsi="Times New Roman"/>
          <w:b/>
          <w:color w:val="000000"/>
        </w:rPr>
      </w:pPr>
      <w:r w:rsidRPr="00A4247E">
        <w:rPr>
          <w:rFonts w:ascii="Times New Roman" w:hAnsi="Times New Roman"/>
          <w:b/>
          <w:color w:val="000000"/>
        </w:rPr>
        <w:t>16.</w:t>
      </w:r>
      <w:r w:rsidRPr="00A4247E">
        <w:rPr>
          <w:rFonts w:ascii="Times New Roman" w:hAnsi="Times New Roman"/>
          <w:b/>
          <w:color w:val="000000"/>
        </w:rPr>
        <w:tab/>
      </w:r>
      <w:r w:rsidR="00285CC3" w:rsidRPr="00285CC3">
        <w:rPr>
          <w:rFonts w:ascii="Times New Roman" w:hAnsi="Times New Roman"/>
          <w:b/>
          <w:color w:val="000000"/>
        </w:rPr>
        <w:t>Publication of Data for Statistical Use</w:t>
      </w:r>
    </w:p>
    <w:p w14:paraId="41D9B049" w14:textId="77777777" w:rsidR="002C245C" w:rsidRPr="00A4247E" w:rsidRDefault="002C245C" w:rsidP="006E46D7">
      <w:pPr>
        <w:pStyle w:val="EndnoteText"/>
        <w:widowControl/>
        <w:tabs>
          <w:tab w:val="left" w:pos="-720"/>
        </w:tabs>
        <w:ind w:left="720" w:hanging="720"/>
        <w:rPr>
          <w:rFonts w:ascii="Times New Roman" w:hAnsi="Times New Roman"/>
          <w:b/>
          <w:color w:val="000000"/>
        </w:rPr>
      </w:pPr>
    </w:p>
    <w:p w14:paraId="574CBC4E" w14:textId="3D56FF38" w:rsidR="002C245C" w:rsidRPr="00A4247E" w:rsidRDefault="002C245C" w:rsidP="00A633B2">
      <w:pPr>
        <w:pStyle w:val="EndnoteText"/>
        <w:widowControl/>
        <w:tabs>
          <w:tab w:val="left" w:pos="-720"/>
        </w:tabs>
        <w:ind w:left="90" w:hanging="90"/>
        <w:rPr>
          <w:rFonts w:ascii="Times New Roman" w:hAnsi="Times New Roman"/>
          <w:color w:val="000000"/>
        </w:rPr>
      </w:pPr>
      <w:r w:rsidRPr="00A4247E">
        <w:rPr>
          <w:rFonts w:ascii="Times New Roman" w:hAnsi="Times New Roman"/>
          <w:b/>
          <w:color w:val="000000"/>
        </w:rPr>
        <w:tab/>
      </w:r>
      <w:r w:rsidRPr="00A4247E">
        <w:rPr>
          <w:rFonts w:ascii="Times New Roman" w:hAnsi="Times New Roman"/>
          <w:color w:val="000000"/>
        </w:rPr>
        <w:t xml:space="preserve">OFCCP </w:t>
      </w:r>
      <w:r w:rsidR="00A633B2">
        <w:rPr>
          <w:rFonts w:ascii="Times New Roman" w:hAnsi="Times New Roman"/>
          <w:color w:val="000000"/>
        </w:rPr>
        <w:t xml:space="preserve">does not publish the date it collects under this information request clearance. </w:t>
      </w:r>
    </w:p>
    <w:p w14:paraId="35E0E9BB" w14:textId="77777777" w:rsidR="002C245C" w:rsidRPr="00A4247E" w:rsidRDefault="002C245C" w:rsidP="006E46D7">
      <w:pPr>
        <w:pStyle w:val="EndnoteText"/>
        <w:widowControl/>
        <w:tabs>
          <w:tab w:val="left" w:pos="-720"/>
        </w:tabs>
        <w:rPr>
          <w:rFonts w:ascii="Times New Roman" w:hAnsi="Times New Roman"/>
          <w:b/>
          <w:color w:val="000000"/>
        </w:rPr>
      </w:pPr>
    </w:p>
    <w:p w14:paraId="10738C45" w14:textId="06F3B6F9" w:rsidR="002C245C" w:rsidRPr="00285CC3" w:rsidRDefault="002C245C" w:rsidP="00285CC3">
      <w:pPr>
        <w:pStyle w:val="EndnoteText"/>
        <w:widowControl/>
        <w:tabs>
          <w:tab w:val="left" w:pos="-720"/>
        </w:tabs>
        <w:ind w:left="360" w:hanging="360"/>
        <w:rPr>
          <w:rFonts w:ascii="Times New Roman" w:hAnsi="Times New Roman"/>
          <w:b/>
          <w:color w:val="000000"/>
        </w:rPr>
      </w:pPr>
      <w:r w:rsidRPr="00A4247E">
        <w:rPr>
          <w:rFonts w:ascii="Times New Roman" w:hAnsi="Times New Roman"/>
          <w:b/>
          <w:color w:val="000000"/>
        </w:rPr>
        <w:t>17.</w:t>
      </w:r>
      <w:r w:rsidRPr="00A4247E">
        <w:rPr>
          <w:rFonts w:ascii="Times New Roman" w:hAnsi="Times New Roman"/>
          <w:b/>
          <w:color w:val="000000"/>
        </w:rPr>
        <w:tab/>
      </w:r>
      <w:r w:rsidR="00285CC3" w:rsidRPr="00285CC3">
        <w:rPr>
          <w:rFonts w:ascii="Times New Roman" w:hAnsi="Times New Roman"/>
          <w:b/>
          <w:color w:val="000000"/>
        </w:rPr>
        <w:t>Approval Not to Display the Expiration Date</w:t>
      </w:r>
    </w:p>
    <w:p w14:paraId="3BD8E4AB" w14:textId="77777777" w:rsidR="002C245C" w:rsidRPr="00A4247E" w:rsidRDefault="002C245C" w:rsidP="006E46D7">
      <w:pPr>
        <w:pStyle w:val="EndnoteText"/>
        <w:widowControl/>
        <w:tabs>
          <w:tab w:val="left" w:pos="-720"/>
        </w:tabs>
        <w:rPr>
          <w:rFonts w:ascii="Times New Roman" w:hAnsi="Times New Roman"/>
          <w:b/>
          <w:color w:val="000000"/>
        </w:rPr>
      </w:pPr>
    </w:p>
    <w:p w14:paraId="0AC95768" w14:textId="23D24E31" w:rsidR="00BF04BA" w:rsidRPr="00BF04BA" w:rsidRDefault="00BF04BA" w:rsidP="00A633B2">
      <w:pPr>
        <w:rPr>
          <w:color w:val="auto"/>
        </w:rPr>
      </w:pPr>
      <w:r w:rsidRPr="00BF04BA">
        <w:rPr>
          <w:color w:val="auto"/>
        </w:rPr>
        <w:t>OFC</w:t>
      </w:r>
      <w:r w:rsidR="00A633B2">
        <w:rPr>
          <w:color w:val="auto"/>
        </w:rPr>
        <w:t xml:space="preserve">CP is not seeking approval to not display the expiration date. </w:t>
      </w:r>
    </w:p>
    <w:p w14:paraId="692AD7BE" w14:textId="77777777" w:rsidR="002C245C" w:rsidRPr="00A4247E" w:rsidRDefault="002C245C" w:rsidP="006E46D7">
      <w:pPr>
        <w:pStyle w:val="EndnoteText"/>
        <w:widowControl/>
        <w:tabs>
          <w:tab w:val="left" w:pos="-720"/>
        </w:tabs>
        <w:rPr>
          <w:rFonts w:ascii="Times New Roman" w:hAnsi="Times New Roman"/>
          <w:b/>
          <w:color w:val="000000"/>
        </w:rPr>
      </w:pPr>
    </w:p>
    <w:p w14:paraId="2BA37F3F" w14:textId="3D5E138D" w:rsidR="002C245C" w:rsidRPr="00A4247E" w:rsidRDefault="002C245C" w:rsidP="00285CC3">
      <w:pPr>
        <w:pStyle w:val="EndnoteText"/>
        <w:widowControl/>
        <w:tabs>
          <w:tab w:val="left" w:pos="-720"/>
        </w:tabs>
        <w:ind w:left="360" w:hanging="360"/>
        <w:rPr>
          <w:rFonts w:ascii="Times New Roman" w:hAnsi="Times New Roman"/>
          <w:b/>
          <w:color w:val="000000"/>
        </w:rPr>
      </w:pPr>
      <w:r w:rsidRPr="00A4247E">
        <w:rPr>
          <w:rFonts w:ascii="Times New Roman" w:hAnsi="Times New Roman"/>
          <w:b/>
          <w:color w:val="000000"/>
        </w:rPr>
        <w:t>18.</w:t>
      </w:r>
      <w:r w:rsidRPr="00A4247E">
        <w:rPr>
          <w:rFonts w:ascii="Times New Roman" w:hAnsi="Times New Roman"/>
          <w:b/>
          <w:color w:val="000000"/>
        </w:rPr>
        <w:tab/>
      </w:r>
      <w:r w:rsidR="00285CC3" w:rsidRPr="00285CC3">
        <w:rPr>
          <w:rFonts w:ascii="Times New Roman" w:hAnsi="Times New Roman"/>
          <w:b/>
          <w:color w:val="000000"/>
        </w:rPr>
        <w:t>Exception to the Certification Statement</w:t>
      </w:r>
    </w:p>
    <w:p w14:paraId="3A556AF4" w14:textId="77777777" w:rsidR="002C245C" w:rsidRPr="00A4247E" w:rsidRDefault="002C245C" w:rsidP="006E46D7">
      <w:pPr>
        <w:pStyle w:val="EndnoteText"/>
        <w:widowControl/>
        <w:tabs>
          <w:tab w:val="left" w:pos="-720"/>
        </w:tabs>
        <w:rPr>
          <w:rFonts w:ascii="Times New Roman" w:hAnsi="Times New Roman"/>
          <w:b/>
          <w:color w:val="000000"/>
        </w:rPr>
      </w:pPr>
    </w:p>
    <w:p w14:paraId="79F4EF06" w14:textId="49417861" w:rsidR="002C245C" w:rsidRDefault="00A633B2" w:rsidP="00A633B2">
      <w:pPr>
        <w:tabs>
          <w:tab w:val="left" w:pos="-720"/>
          <w:tab w:val="center" w:pos="5680"/>
        </w:tabs>
        <w:ind w:right="994"/>
      </w:pPr>
      <w:r>
        <w:t xml:space="preserve">OFCCP is not seeking exemptions to the certification statement. </w:t>
      </w:r>
    </w:p>
    <w:p w14:paraId="6FB3FA7A" w14:textId="77777777" w:rsidR="00A633B2" w:rsidRPr="00A4247E" w:rsidRDefault="00A633B2" w:rsidP="00A633B2">
      <w:pPr>
        <w:tabs>
          <w:tab w:val="left" w:pos="-720"/>
          <w:tab w:val="center" w:pos="5680"/>
        </w:tabs>
        <w:ind w:right="994"/>
      </w:pPr>
    </w:p>
    <w:p w14:paraId="4482B7F5" w14:textId="77777777" w:rsidR="00754E9F" w:rsidRPr="00A4247E" w:rsidRDefault="00754E9F" w:rsidP="00754E9F">
      <w:pPr>
        <w:tabs>
          <w:tab w:val="left" w:pos="-720"/>
          <w:tab w:val="center" w:pos="5680"/>
        </w:tabs>
        <w:ind w:right="994"/>
      </w:pPr>
    </w:p>
    <w:p w14:paraId="65D818BB" w14:textId="26DFB67A" w:rsidR="00754E9F" w:rsidRPr="00A4247E" w:rsidRDefault="00A633B2" w:rsidP="00754E9F">
      <w:pPr>
        <w:tabs>
          <w:tab w:val="left" w:pos="-720"/>
          <w:tab w:val="center" w:pos="5680"/>
        </w:tabs>
        <w:ind w:right="994"/>
        <w:rPr>
          <w:b/>
        </w:rPr>
      </w:pPr>
      <w:r>
        <w:rPr>
          <w:b/>
        </w:rPr>
        <w:t xml:space="preserve">B.      </w:t>
      </w:r>
      <w:r w:rsidR="00754E9F" w:rsidRPr="00A4247E">
        <w:rPr>
          <w:b/>
        </w:rPr>
        <w:t>STATISTICAL METHODS</w:t>
      </w:r>
    </w:p>
    <w:p w14:paraId="2E3998E6" w14:textId="77777777" w:rsidR="00754E9F" w:rsidRPr="00A4247E" w:rsidRDefault="00754E9F" w:rsidP="00754E9F">
      <w:pPr>
        <w:tabs>
          <w:tab w:val="left" w:pos="-720"/>
          <w:tab w:val="center" w:pos="5680"/>
        </w:tabs>
        <w:ind w:right="994"/>
      </w:pPr>
    </w:p>
    <w:p w14:paraId="72AB76A9" w14:textId="237CDA06" w:rsidR="00754E9F" w:rsidRPr="00A4247E" w:rsidRDefault="00754E9F" w:rsidP="00754E9F">
      <w:pPr>
        <w:tabs>
          <w:tab w:val="left" w:pos="-720"/>
          <w:tab w:val="center" w:pos="5680"/>
        </w:tabs>
        <w:ind w:right="994"/>
      </w:pPr>
      <w:r w:rsidRPr="00A4247E">
        <w:t>This information collection</w:t>
      </w:r>
      <w:r w:rsidR="00285CC3">
        <w:t xml:space="preserve"> does not use</w:t>
      </w:r>
      <w:r w:rsidRPr="00A4247E">
        <w:t xml:space="preserve"> statistical methods.</w:t>
      </w:r>
    </w:p>
    <w:sectPr w:rsidR="00754E9F" w:rsidRPr="00A4247E" w:rsidSect="009441AF">
      <w:headerReference w:type="default" r:id="rId9"/>
      <w:footerReference w:type="default" r:id="rId10"/>
      <w:headerReference w:type="first" r:id="rId11"/>
      <w:pgSz w:w="12240" w:h="15840"/>
      <w:pgMar w:top="214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23121" w14:textId="77777777" w:rsidR="00C41CA7" w:rsidRDefault="00C41CA7" w:rsidP="00B35F76">
      <w:r>
        <w:separator/>
      </w:r>
    </w:p>
  </w:endnote>
  <w:endnote w:type="continuationSeparator" w:id="0">
    <w:p w14:paraId="71CE373D" w14:textId="77777777" w:rsidR="00C41CA7" w:rsidRDefault="00C41CA7" w:rsidP="00B35F76">
      <w:r>
        <w:continuationSeparator/>
      </w:r>
    </w:p>
  </w:endnote>
  <w:endnote w:type="continuationNotice" w:id="1">
    <w:p w14:paraId="59B515FD" w14:textId="77777777" w:rsidR="00C41CA7" w:rsidRDefault="00C41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288733"/>
      <w:docPartObj>
        <w:docPartGallery w:val="Page Numbers (Bottom of Page)"/>
        <w:docPartUnique/>
      </w:docPartObj>
    </w:sdtPr>
    <w:sdtEndPr>
      <w:rPr>
        <w:noProof/>
      </w:rPr>
    </w:sdtEndPr>
    <w:sdtContent>
      <w:p w14:paraId="4E84F895" w14:textId="15EF6E3B" w:rsidR="00671AA7" w:rsidRDefault="00671AA7">
        <w:pPr>
          <w:pStyle w:val="Footer"/>
          <w:jc w:val="center"/>
        </w:pPr>
        <w:r>
          <w:fldChar w:fldCharType="begin"/>
        </w:r>
        <w:r>
          <w:instrText xml:space="preserve"> PAGE   \* MERGEFORMAT </w:instrText>
        </w:r>
        <w:r>
          <w:fldChar w:fldCharType="separate"/>
        </w:r>
        <w:r w:rsidR="00E82358">
          <w:rPr>
            <w:noProof/>
          </w:rPr>
          <w:t>17</w:t>
        </w:r>
        <w:r>
          <w:rPr>
            <w:noProof/>
          </w:rPr>
          <w:fldChar w:fldCharType="end"/>
        </w:r>
      </w:p>
    </w:sdtContent>
  </w:sdt>
  <w:p w14:paraId="2B5C1743" w14:textId="77777777" w:rsidR="00671AA7" w:rsidRDefault="00671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5EA0E" w14:textId="77777777" w:rsidR="00C41CA7" w:rsidRDefault="00C41CA7" w:rsidP="00B35F76">
      <w:r>
        <w:separator/>
      </w:r>
    </w:p>
  </w:footnote>
  <w:footnote w:type="continuationSeparator" w:id="0">
    <w:p w14:paraId="3368B56E" w14:textId="77777777" w:rsidR="00C41CA7" w:rsidRDefault="00C41CA7" w:rsidP="00B35F76">
      <w:r>
        <w:continuationSeparator/>
      </w:r>
    </w:p>
  </w:footnote>
  <w:footnote w:type="continuationNotice" w:id="1">
    <w:p w14:paraId="04263536" w14:textId="77777777" w:rsidR="00C41CA7" w:rsidRDefault="00C41CA7"/>
  </w:footnote>
  <w:footnote w:id="2">
    <w:p w14:paraId="560F378F" w14:textId="36AE7940" w:rsidR="00671AA7" w:rsidRPr="00EB0F65" w:rsidRDefault="00671AA7" w:rsidP="00B0757E">
      <w:r w:rsidRPr="008C62E7">
        <w:rPr>
          <w:rStyle w:val="FootnoteReference"/>
          <w:sz w:val="20"/>
          <w:szCs w:val="20"/>
        </w:rPr>
        <w:footnoteRef/>
      </w:r>
      <w:r w:rsidRPr="008C62E7">
        <w:rPr>
          <w:rStyle w:val="FootnoteReference"/>
          <w:sz w:val="20"/>
          <w:szCs w:val="20"/>
        </w:rPr>
        <w:t xml:space="preserve"> </w:t>
      </w:r>
      <w:r w:rsidRPr="008C62E7">
        <w:rPr>
          <w:color w:val="auto"/>
          <w:sz w:val="20"/>
          <w:szCs w:val="20"/>
        </w:rPr>
        <w:t>Here</w:t>
      </w:r>
      <w:r w:rsidR="00B527D9">
        <w:rPr>
          <w:color w:val="auto"/>
          <w:sz w:val="20"/>
          <w:szCs w:val="20"/>
        </w:rPr>
        <w:t>in</w:t>
      </w:r>
      <w:r w:rsidRPr="008C62E7">
        <w:rPr>
          <w:color w:val="auto"/>
          <w:sz w:val="20"/>
          <w:szCs w:val="20"/>
        </w:rPr>
        <w:t>after all references to “contractors” will include federal contractors and subcontractors unless otherwise stated.</w:t>
      </w:r>
      <w:r w:rsidRPr="00892132">
        <w:rPr>
          <w:color w:val="auto"/>
        </w:rPr>
        <w:t xml:space="preserve"> </w:t>
      </w:r>
    </w:p>
  </w:footnote>
  <w:footnote w:id="3">
    <w:p w14:paraId="1B50659D" w14:textId="77777777" w:rsidR="00671AA7" w:rsidRPr="008C62E7" w:rsidRDefault="00671AA7" w:rsidP="008C62E7">
      <w:pPr>
        <w:rPr>
          <w:sz w:val="20"/>
          <w:szCs w:val="20"/>
        </w:rPr>
      </w:pPr>
      <w:r w:rsidRPr="008C62E7">
        <w:rPr>
          <w:rStyle w:val="FootnoteReference"/>
          <w:sz w:val="20"/>
          <w:szCs w:val="20"/>
        </w:rPr>
        <w:footnoteRef/>
      </w:r>
      <w:r w:rsidRPr="008C62E7">
        <w:rPr>
          <w:sz w:val="20"/>
          <w:szCs w:val="20"/>
          <w:vertAlign w:val="superscript"/>
        </w:rPr>
        <w:t xml:space="preserve"> </w:t>
      </w:r>
      <w:r w:rsidRPr="008C62E7">
        <w:rPr>
          <w:sz w:val="20"/>
          <w:szCs w:val="20"/>
        </w:rPr>
        <w:t xml:space="preserve">OFCCP promulgated regulations implementing these programs consistent with the Administrative Procedure Act.  These regulations are found at Title 41 of the Code of Federal Regulations (CFR) in Chapter 60.  </w:t>
      </w:r>
    </w:p>
    <w:p w14:paraId="76570941" w14:textId="677F804F" w:rsidR="00671AA7" w:rsidRPr="008C62E7" w:rsidRDefault="00671AA7" w:rsidP="008C62E7">
      <w:pPr>
        <w:rPr>
          <w:sz w:val="20"/>
          <w:szCs w:val="20"/>
        </w:rPr>
      </w:pPr>
      <w:r w:rsidRPr="008C62E7">
        <w:rPr>
          <w:sz w:val="20"/>
          <w:szCs w:val="20"/>
        </w:rPr>
        <w:t xml:space="preserve">41 CFR 60, </w:t>
      </w:r>
      <w:hyperlink r:id="rId1" w:history="1">
        <w:r w:rsidRPr="008C62E7">
          <w:rPr>
            <w:color w:val="auto"/>
            <w:sz w:val="20"/>
            <w:szCs w:val="20"/>
          </w:rPr>
          <w:t>https://www.ecfr.gov/cgi-bin/text-idx?gp=&amp;SID=b686ff45080d69713c00bf18b651cc37&amp;mc=true&amp;tpl=/ecfrbrowse/Title41/41chapter60.tpl</w:t>
        </w:r>
      </w:hyperlink>
      <w:r>
        <w:rPr>
          <w:sz w:val="20"/>
          <w:szCs w:val="20"/>
        </w:rPr>
        <w:t xml:space="preserve"> (last accessed </w:t>
      </w:r>
      <w:r w:rsidR="00E116E3">
        <w:rPr>
          <w:sz w:val="20"/>
          <w:szCs w:val="20"/>
        </w:rPr>
        <w:t>April 1</w:t>
      </w:r>
      <w:r>
        <w:rPr>
          <w:sz w:val="20"/>
          <w:szCs w:val="20"/>
        </w:rPr>
        <w:t>, 201</w:t>
      </w:r>
      <w:r w:rsidR="00E116E3">
        <w:rPr>
          <w:sz w:val="20"/>
          <w:szCs w:val="20"/>
        </w:rPr>
        <w:t>9</w:t>
      </w:r>
      <w:r w:rsidRPr="008C62E7">
        <w:rPr>
          <w:sz w:val="20"/>
          <w:szCs w:val="20"/>
        </w:rPr>
        <w:t>).</w:t>
      </w:r>
    </w:p>
  </w:footnote>
  <w:footnote w:id="4">
    <w:p w14:paraId="34E26466" w14:textId="77777777" w:rsidR="00671AA7" w:rsidRPr="008C62E7" w:rsidRDefault="00671AA7" w:rsidP="008C62E7">
      <w:pPr>
        <w:rPr>
          <w:sz w:val="20"/>
          <w:szCs w:val="20"/>
        </w:rPr>
      </w:pPr>
      <w:r w:rsidRPr="008C62E7">
        <w:rPr>
          <w:rStyle w:val="FootnoteReference"/>
          <w:sz w:val="20"/>
          <w:szCs w:val="20"/>
        </w:rPr>
        <w:footnoteRef/>
      </w:r>
      <w:r w:rsidRPr="008C62E7">
        <w:rPr>
          <w:sz w:val="20"/>
          <w:szCs w:val="20"/>
        </w:rPr>
        <w:t xml:space="preserve"> Effective October 1, 2010, the coverage threshold under Section 503 increased from $10,000 to $15,000, in accordance with the inflationary adjustment requirements in 41 U.S.C. 1908.  </w:t>
      </w:r>
      <w:r w:rsidRPr="008C62E7">
        <w:rPr>
          <w:i/>
          <w:sz w:val="20"/>
          <w:szCs w:val="20"/>
        </w:rPr>
        <w:t>See</w:t>
      </w:r>
      <w:r w:rsidRPr="008C62E7">
        <w:rPr>
          <w:sz w:val="20"/>
          <w:szCs w:val="20"/>
        </w:rPr>
        <w:t>, Federal Acquisition Regulation; Inflation Adjustment of Acquisition-Related Thresholds, 75 FR 53129 (Aug. 30, 2010).</w:t>
      </w:r>
    </w:p>
  </w:footnote>
  <w:footnote w:id="5">
    <w:p w14:paraId="6C326D86" w14:textId="6F6FB004" w:rsidR="00671AA7" w:rsidRPr="00EB0F65" w:rsidRDefault="00671AA7" w:rsidP="008C62E7">
      <w:r w:rsidRPr="008C62E7">
        <w:rPr>
          <w:rStyle w:val="FootnoteReference"/>
          <w:sz w:val="20"/>
          <w:szCs w:val="20"/>
        </w:rPr>
        <w:footnoteRef/>
      </w:r>
      <w:r w:rsidRPr="008C62E7">
        <w:rPr>
          <w:sz w:val="20"/>
          <w:szCs w:val="20"/>
        </w:rPr>
        <w:t xml:space="preserve"> Effective October 1, 2015, the coverage threshold under VEVRAA increased from $100,000 to $150,000, in accordance with the inflationary adjustment requirements in 41 U.S.C. 1908</w:t>
      </w:r>
      <w:r w:rsidR="002A224D" w:rsidRPr="008C62E7">
        <w:rPr>
          <w:sz w:val="20"/>
          <w:szCs w:val="20"/>
        </w:rPr>
        <w:t xml:space="preserve">.  </w:t>
      </w:r>
      <w:r w:rsidRPr="008C62E7">
        <w:rPr>
          <w:i/>
          <w:sz w:val="20"/>
          <w:szCs w:val="20"/>
        </w:rPr>
        <w:t>See</w:t>
      </w:r>
      <w:r w:rsidRPr="008C62E7">
        <w:rPr>
          <w:sz w:val="20"/>
          <w:szCs w:val="20"/>
        </w:rPr>
        <w:t>, Federal Acquisition Regulation; Inflation Adjustment of Acquisition-Related Thresholds, 80 FR 38293 (July 2, 2015).</w:t>
      </w:r>
      <w:r w:rsidRPr="00EB0F65">
        <w:t xml:space="preserve">  </w:t>
      </w:r>
    </w:p>
  </w:footnote>
  <w:footnote w:id="6">
    <w:p w14:paraId="36547CE8" w14:textId="77777777" w:rsidR="00671AA7" w:rsidRDefault="00671AA7" w:rsidP="00C334EE">
      <w:pPr>
        <w:pStyle w:val="FootnoteText"/>
      </w:pPr>
      <w:r>
        <w:rPr>
          <w:rStyle w:val="FootnoteReference"/>
        </w:rPr>
        <w:footnoteRef/>
      </w:r>
      <w:r>
        <w:t xml:space="preserve"> 41 CFR Part 60-2, Affirmative Action Programs </w:t>
      </w:r>
    </w:p>
  </w:footnote>
  <w:footnote w:id="7">
    <w:p w14:paraId="710449B1" w14:textId="7C8A1375" w:rsidR="00671AA7" w:rsidRPr="00E42D2A" w:rsidRDefault="00671AA7" w:rsidP="00E42D2A">
      <w:pPr>
        <w:pStyle w:val="FootnoteText"/>
      </w:pPr>
      <w:r>
        <w:rPr>
          <w:rStyle w:val="FootnoteReference"/>
        </w:rPr>
        <w:footnoteRef/>
      </w:r>
      <w:r>
        <w:t xml:space="preserve"> </w:t>
      </w:r>
      <w:r w:rsidRPr="00E42D2A">
        <w:t xml:space="preserve">FAAP agreements are only available to supply and service contractors.  </w:t>
      </w:r>
    </w:p>
  </w:footnote>
  <w:footnote w:id="8">
    <w:p w14:paraId="68C90AEE" w14:textId="52F5A023" w:rsidR="00671AA7" w:rsidRPr="00C334EE" w:rsidRDefault="00671AA7" w:rsidP="00E627DE">
      <w:pPr>
        <w:pStyle w:val="FootnoteText"/>
      </w:pPr>
      <w:r>
        <w:rPr>
          <w:rStyle w:val="FootnoteReference"/>
        </w:rPr>
        <w:footnoteRef/>
      </w:r>
      <w:r>
        <w:t xml:space="preserve"> </w:t>
      </w:r>
      <w:r w:rsidRPr="00D51F73">
        <w:t>A version of this Directive is currently in effect under t</w:t>
      </w:r>
      <w:r>
        <w:t>he existing approval of this information collection</w:t>
      </w:r>
      <w:r w:rsidR="002A224D" w:rsidRPr="00D51F73">
        <w:t>.</w:t>
      </w:r>
      <w:r w:rsidR="002A224D">
        <w:t xml:space="preserve">  </w:t>
      </w:r>
      <w:r w:rsidRPr="00C334EE">
        <w:t xml:space="preserve">Directive (DIR) 2013-01 </w:t>
      </w:r>
      <w:r>
        <w:t xml:space="preserve">Revision 1, Functional Affirmative Action Programs (FAAPs), </w:t>
      </w:r>
      <w:hyperlink r:id="rId2" w:history="1">
        <w:r w:rsidRPr="00C334EE">
          <w:rPr>
            <w:rStyle w:val="Hyperlink"/>
            <w:color w:val="auto"/>
            <w:u w:val="none"/>
          </w:rPr>
          <w:t>https://www.dol.gov/ofccp/regs/compliance/directives/Dir2013_01_Revision1.pdf</w:t>
        </w:r>
      </w:hyperlink>
      <w:r w:rsidRPr="00C334EE">
        <w:rPr>
          <w:color w:val="auto"/>
        </w:rPr>
        <w:t xml:space="preserve"> </w:t>
      </w:r>
      <w:r>
        <w:t xml:space="preserve">(last accessed </w:t>
      </w:r>
      <w:r w:rsidR="00E116E3">
        <w:t>April 1</w:t>
      </w:r>
      <w:r>
        <w:t>, 201</w:t>
      </w:r>
      <w:r w:rsidR="00E116E3">
        <w:t>9</w:t>
      </w:r>
      <w:r>
        <w:t xml:space="preserve">). </w:t>
      </w:r>
    </w:p>
  </w:footnote>
  <w:footnote w:id="9">
    <w:p w14:paraId="3A9107AC" w14:textId="383E44F2" w:rsidR="00671AA7" w:rsidRDefault="00671AA7" w:rsidP="006020A8">
      <w:pPr>
        <w:pStyle w:val="FootnoteText"/>
      </w:pPr>
      <w:r>
        <w:rPr>
          <w:rStyle w:val="FootnoteReference"/>
        </w:rPr>
        <w:footnoteRef/>
      </w:r>
      <w:r>
        <w:t xml:space="preserve"> </w:t>
      </w:r>
      <w:r w:rsidRPr="002C41E2">
        <w:t>OMB Control Number 1250-0003, Supply and Service Recordkeeping and Reporting Requirements, expires June 30, 2019.</w:t>
      </w:r>
    </w:p>
  </w:footnote>
  <w:footnote w:id="10">
    <w:p w14:paraId="46A6956C" w14:textId="5B3A5765" w:rsidR="00671AA7" w:rsidRDefault="00671AA7" w:rsidP="006020A8">
      <w:pPr>
        <w:pStyle w:val="FootnoteText"/>
      </w:pPr>
      <w:r>
        <w:rPr>
          <w:rStyle w:val="FootnoteReference"/>
        </w:rPr>
        <w:footnoteRef/>
      </w:r>
      <w:r>
        <w:t xml:space="preserve"> </w:t>
      </w:r>
      <w:r w:rsidRPr="00EE30AA">
        <w:rPr>
          <w:i/>
        </w:rPr>
        <w:t>I</w:t>
      </w:r>
      <w:r>
        <w:rPr>
          <w:i/>
        </w:rPr>
        <w:t>bid.</w:t>
      </w:r>
    </w:p>
  </w:footnote>
  <w:footnote w:id="11">
    <w:p w14:paraId="350FC74B" w14:textId="0CF6F27B" w:rsidR="00671AA7" w:rsidRDefault="00671AA7">
      <w:pPr>
        <w:pStyle w:val="FootnoteText"/>
      </w:pPr>
      <w:r>
        <w:rPr>
          <w:rStyle w:val="FootnoteReference"/>
        </w:rPr>
        <w:footnoteRef/>
      </w:r>
      <w:r>
        <w:t xml:space="preserve"> See Directive, Attachment A</w:t>
      </w:r>
    </w:p>
  </w:footnote>
  <w:footnote w:id="12">
    <w:p w14:paraId="2FAE7423" w14:textId="09F3727A" w:rsidR="00671AA7" w:rsidRDefault="00671AA7">
      <w:pPr>
        <w:pStyle w:val="FootnoteText"/>
      </w:pPr>
      <w:r>
        <w:rPr>
          <w:rStyle w:val="FootnoteReference"/>
        </w:rPr>
        <w:footnoteRef/>
      </w:r>
      <w:r>
        <w:t xml:space="preserve"> The definitions are provided in the Directive.</w:t>
      </w:r>
    </w:p>
  </w:footnote>
  <w:footnote w:id="13">
    <w:p w14:paraId="0043A3F8" w14:textId="78C113A6" w:rsidR="00671AA7" w:rsidRDefault="00671AA7">
      <w:pPr>
        <w:pStyle w:val="FootnoteText"/>
      </w:pPr>
      <w:r>
        <w:rPr>
          <w:rStyle w:val="FootnoteReference"/>
        </w:rPr>
        <w:footnoteRef/>
      </w:r>
      <w:r>
        <w:t xml:space="preserve"> See Directive, Attachment B</w:t>
      </w:r>
    </w:p>
  </w:footnote>
  <w:footnote w:id="14">
    <w:p w14:paraId="0C9285D4" w14:textId="573C4DDA" w:rsidR="00671AA7" w:rsidRPr="00AA6D7A" w:rsidRDefault="00671AA7" w:rsidP="00114EC2">
      <w:pPr>
        <w:pStyle w:val="FootnoteText"/>
      </w:pPr>
      <w:r w:rsidRPr="00AA6D7A">
        <w:rPr>
          <w:rStyle w:val="FootnoteReference"/>
        </w:rPr>
        <w:footnoteRef/>
      </w:r>
      <w:r w:rsidRPr="00AA6D7A">
        <w:t xml:space="preserve"> Government Paperwork Elimination Act (Public Law 105-277, 1998)</w:t>
      </w:r>
      <w:r>
        <w:t>,</w:t>
      </w:r>
      <w:r w:rsidRPr="00AA6D7A">
        <w:t xml:space="preserve"> </w:t>
      </w:r>
      <w:hyperlink r:id="rId3" w:history="1">
        <w:r w:rsidRPr="00114EC2">
          <w:rPr>
            <w:rStyle w:val="Hyperlink"/>
            <w:color w:val="auto"/>
            <w:u w:val="none"/>
          </w:rPr>
          <w:t>https://www.gpo.gov/fdsys/pkg/PLAW-105publ277/pdf/PLAW-105publ277.pdf</w:t>
        </w:r>
      </w:hyperlink>
      <w:r>
        <w:t xml:space="preserve"> (last accessed </w:t>
      </w:r>
      <w:r w:rsidR="00E116E3">
        <w:t>April 1</w:t>
      </w:r>
      <w:r>
        <w:t>, 201</w:t>
      </w:r>
      <w:r w:rsidR="00E116E3">
        <w:t>9</w:t>
      </w:r>
      <w:r w:rsidRPr="00AA6D7A">
        <w:t>).</w:t>
      </w:r>
    </w:p>
  </w:footnote>
  <w:footnote w:id="15">
    <w:p w14:paraId="32FACE32" w14:textId="5166FD0C" w:rsidR="00671AA7" w:rsidRDefault="00671AA7">
      <w:pPr>
        <w:pStyle w:val="FootnoteText"/>
      </w:pPr>
      <w:r>
        <w:rPr>
          <w:rStyle w:val="FootnoteReference"/>
        </w:rPr>
        <w:footnoteRef/>
      </w:r>
      <w:r>
        <w:t xml:space="preserve"> The Employer Information Report (EEO-1) is promulgated jointly by OFCCP and the Equal Employment Opportunity Commission (EEOC), see 41 CFR 60-1.7(a).  That report is certified under OMB Control No. 3046-0007 through a collection that is sponsored by the EEOC. </w:t>
      </w:r>
    </w:p>
  </w:footnote>
  <w:footnote w:id="16">
    <w:p w14:paraId="30A8B48B" w14:textId="77777777" w:rsidR="00671AA7" w:rsidRDefault="00671AA7" w:rsidP="00851A86">
      <w:pPr>
        <w:pStyle w:val="FootnoteText"/>
      </w:pPr>
      <w:r>
        <w:rPr>
          <w:rStyle w:val="FootnoteReference"/>
        </w:rPr>
        <w:footnoteRef/>
      </w:r>
      <w:r>
        <w:t xml:space="preserve"> Employees who are based remotely should be included in the facility to which they report. </w:t>
      </w:r>
    </w:p>
  </w:footnote>
  <w:footnote w:id="17">
    <w:p w14:paraId="53230A78" w14:textId="77777777" w:rsidR="00671AA7" w:rsidRDefault="00671AA7" w:rsidP="00851A86">
      <w:pPr>
        <w:pStyle w:val="FootnoteText"/>
      </w:pPr>
      <w:r>
        <w:rPr>
          <w:rStyle w:val="FootnoteReference"/>
        </w:rPr>
        <w:footnoteRef/>
      </w:r>
      <w:r>
        <w:t xml:space="preserve"> Information for each proposed FAAP including the description, addresses, and names of managing officials and contact persons should be provided as a flat file or database. </w:t>
      </w:r>
    </w:p>
  </w:footnote>
  <w:footnote w:id="18">
    <w:p w14:paraId="75C72C0A" w14:textId="00EBB4A6" w:rsidR="00671AA7" w:rsidRDefault="00671AA7">
      <w:pPr>
        <w:pStyle w:val="FootnoteText"/>
      </w:pPr>
      <w:r>
        <w:rPr>
          <w:rStyle w:val="FootnoteReference"/>
        </w:rPr>
        <w:footnoteRef/>
      </w:r>
      <w:r>
        <w:t xml:space="preserve"> Upon termination of a FAAP agreement, all employees are required to be covered by establishment-based AAPs.  The burden for establishing a traditional AAP is covered under OMB Control No. 1250-0003, Supply and Service Recordkeeping and Reporting Requirements.</w:t>
      </w:r>
    </w:p>
  </w:footnote>
  <w:footnote w:id="19">
    <w:p w14:paraId="66F8EADC" w14:textId="06FFABF4" w:rsidR="00B32432" w:rsidRDefault="00B32432">
      <w:pPr>
        <w:pStyle w:val="FootnoteText"/>
      </w:pPr>
      <w:r>
        <w:rPr>
          <w:rStyle w:val="FootnoteReference"/>
        </w:rPr>
        <w:footnoteRef/>
      </w:r>
      <w:r>
        <w:t xml:space="preserve"> Burden calculation was modified to reflect and 80/20 wage split between analysts and managers. Calculation also included a 46% increase for overhead and fringe benefits that were not included in</w:t>
      </w:r>
      <w:r w:rsidR="00CF5F4B">
        <w:t xml:space="preserve"> the</w:t>
      </w:r>
      <w:r>
        <w:t xml:space="preserve"> </w:t>
      </w:r>
      <w:r w:rsidR="00CF5F4B">
        <w:t>60-day</w:t>
      </w:r>
      <w:r>
        <w:t xml:space="preserve"> publication</w:t>
      </w:r>
      <w:r w:rsidR="00CF5F4B">
        <w:t xml:space="preserve"> of this ICR</w:t>
      </w:r>
      <w:r>
        <w:t>.</w:t>
      </w:r>
    </w:p>
  </w:footnote>
  <w:footnote w:id="20">
    <w:p w14:paraId="0E078C0B" w14:textId="57EFA62C" w:rsidR="00671AA7" w:rsidRDefault="00671AA7" w:rsidP="00303295">
      <w:pPr>
        <w:pStyle w:val="FootnoteText"/>
      </w:pPr>
      <w:r>
        <w:rPr>
          <w:rStyle w:val="FootnoteReference"/>
        </w:rPr>
        <w:footnoteRef/>
      </w:r>
      <w:r>
        <w:t xml:space="preserve"> </w:t>
      </w:r>
      <w:r w:rsidR="00874D01">
        <w:t>B</w:t>
      </w:r>
      <w:r w:rsidR="00CF5F4B">
        <w:t>ureau of Labor Statistics</w:t>
      </w:r>
      <w:r w:rsidR="00874D01">
        <w:t xml:space="preserve">, Occupational Employment Statistics, Occupational Employment and Wages, May 2017, </w:t>
      </w:r>
      <w:r w:rsidR="0044011B">
        <w:t xml:space="preserve">available at </w:t>
      </w:r>
      <w:hyperlink r:id="rId4" w:history="1">
        <w:r w:rsidR="00E116E3" w:rsidRPr="00112670">
          <w:rPr>
            <w:rStyle w:val="Hyperlink"/>
          </w:rPr>
          <w:t>https://www.bls.gov/oes/current/oes_nat.htm</w:t>
        </w:r>
      </w:hyperlink>
      <w:r w:rsidR="00E116E3">
        <w:rPr>
          <w:rStyle w:val="Hyperlink"/>
          <w:color w:val="auto"/>
        </w:rPr>
        <w:t xml:space="preserve"> (last accessed April 1, 2019).</w:t>
      </w:r>
      <w:r w:rsidR="00874D01" w:rsidRPr="0044011B">
        <w:rPr>
          <w:color w:val="auto"/>
        </w:rPr>
        <w:t xml:space="preserve"> </w:t>
      </w:r>
      <w:r w:rsidR="00E116E3">
        <w:rPr>
          <w:color w:val="auto"/>
        </w:rPr>
        <w:t xml:space="preserve"> Management Analyst </w:t>
      </w:r>
      <w:r w:rsidR="00874D01">
        <w:t>$44.92/hr</w:t>
      </w:r>
      <w:r w:rsidR="00E116E3">
        <w:t xml:space="preserve">, Human Resource Managers </w:t>
      </w:r>
      <w:r w:rsidR="00874D01">
        <w:t>$59.38/hr</w:t>
      </w:r>
      <w:r w:rsidR="00E116E3">
        <w:t>.</w:t>
      </w:r>
      <w:r w:rsidR="00874D01">
        <w:t xml:space="preserve"> </w:t>
      </w:r>
      <w:r w:rsidR="00E116E3">
        <w:t>This c</w:t>
      </w:r>
      <w:r w:rsidR="00874D01">
        <w:t xml:space="preserve">alculation uses an 80/20 split between </w:t>
      </w:r>
      <w:r w:rsidR="00E116E3">
        <w:t xml:space="preserve">Management </w:t>
      </w:r>
      <w:r w:rsidR="00874D01">
        <w:t xml:space="preserve">Analyst and </w:t>
      </w:r>
      <w:r w:rsidR="00E116E3">
        <w:t xml:space="preserve">Human Resource </w:t>
      </w:r>
      <w:r w:rsidR="00874D01">
        <w:t>Manager ($47.82)</w:t>
      </w:r>
      <w:r w:rsidR="00E116E3">
        <w:t xml:space="preserve"> wages</w:t>
      </w:r>
      <w:r w:rsidR="00874D01">
        <w:t xml:space="preserve">. </w:t>
      </w:r>
      <w:r w:rsidR="00FD27F6">
        <w:t xml:space="preserve"> </w:t>
      </w:r>
      <w:r w:rsidR="00874D01">
        <w:t>BL</w:t>
      </w:r>
      <w:r w:rsidR="00CF5F4B">
        <w:t>S</w:t>
      </w:r>
      <w:r w:rsidR="00874D01">
        <w:t xml:space="preserve">, </w:t>
      </w:r>
      <w:r w:rsidR="00874D01" w:rsidRPr="00946EFB">
        <w:t>Employer Costs for Employee Compensation</w:t>
      </w:r>
      <w:r w:rsidR="00874D01">
        <w:t xml:space="preserve">, </w:t>
      </w:r>
      <w:r w:rsidR="0044011B">
        <w:t xml:space="preserve">available at </w:t>
      </w:r>
      <w:hyperlink r:id="rId5" w:history="1">
        <w:r w:rsidR="00FD27F6" w:rsidRPr="00EB62AC">
          <w:rPr>
            <w:rStyle w:val="Hyperlink"/>
          </w:rPr>
          <w:t>https://www.bls.gov/news.release/ecec.</w:t>
        </w:r>
        <w:r w:rsidR="00FD27F6" w:rsidRPr="00112670">
          <w:rPr>
            <w:rStyle w:val="Hyperlink"/>
          </w:rPr>
          <w:t>toc.htm</w:t>
        </w:r>
      </w:hyperlink>
      <w:r w:rsidR="00FD27F6">
        <w:t xml:space="preserve"> (last accessed April 1, 2019).</w:t>
      </w:r>
      <w:r w:rsidR="00874D01">
        <w:t xml:space="preserve"> </w:t>
      </w:r>
      <w:r w:rsidR="00FD27F6">
        <w:t>F</w:t>
      </w:r>
      <w:r w:rsidR="00874D01">
        <w:t>ringe benefit and overhead costs are 46% of wages</w:t>
      </w:r>
      <w:r w:rsidR="00253EC3">
        <w:t>,</w:t>
      </w:r>
      <w:r w:rsidR="00874D01">
        <w:t xml:space="preserve"> </w:t>
      </w:r>
      <w:r w:rsidR="0044011B">
        <w:t>(</w:t>
      </w:r>
      <w:r w:rsidR="00874D01">
        <w:t>$4</w:t>
      </w:r>
      <w:r w:rsidR="00C0793F">
        <w:t>7</w:t>
      </w:r>
      <w:r w:rsidR="00874D01">
        <w:t>.</w:t>
      </w:r>
      <w:r w:rsidR="00C0793F">
        <w:t>8</w:t>
      </w:r>
      <w:r w:rsidR="00874D01">
        <w:t>2*1.46 = $69.82</w:t>
      </w:r>
      <w:r w:rsidR="0044011B">
        <w:t>)</w:t>
      </w:r>
      <w:r w:rsidR="00253EC3">
        <w:t>.</w:t>
      </w:r>
      <w:r w:rsidR="00874D01" w:rsidRPr="00EB0F65">
        <w:t xml:space="preserve">  </w:t>
      </w:r>
    </w:p>
  </w:footnote>
  <w:footnote w:id="21">
    <w:p w14:paraId="24006798" w14:textId="245FE940" w:rsidR="00671AA7" w:rsidRDefault="00671AA7" w:rsidP="00666287">
      <w:pPr>
        <w:pStyle w:val="FootnoteText"/>
      </w:pPr>
      <w:r>
        <w:rPr>
          <w:vertAlign w:val="superscript"/>
        </w:rPr>
        <w:footnoteRef/>
      </w:r>
      <w:r>
        <w:t xml:space="preserve"> Based on the average copying cost for 20 pages at major paper supply stores as of August 7, 2018.</w:t>
      </w:r>
    </w:p>
  </w:footnote>
  <w:footnote w:id="22">
    <w:p w14:paraId="78DBD94D" w14:textId="7CEB7B60" w:rsidR="00671AA7" w:rsidRDefault="00671AA7">
      <w:pPr>
        <w:pStyle w:val="FootnoteText"/>
      </w:pPr>
      <w:r>
        <w:rPr>
          <w:rStyle w:val="FootnoteReference"/>
        </w:rPr>
        <w:footnoteRef/>
      </w:r>
      <w:r>
        <w:t xml:space="preserve"> </w:t>
      </w:r>
      <w:hyperlink r:id="rId6" w:history="1">
        <w:r w:rsidRPr="000D1D74">
          <w:rPr>
            <w:rStyle w:val="Hyperlink"/>
            <w:color w:val="auto"/>
            <w:u w:val="none"/>
          </w:rPr>
          <w:t>https://www.usps.com/ship/mail-shipping-services.htm</w:t>
        </w:r>
      </w:hyperlink>
      <w:r>
        <w:t xml:space="preserve"> (last accessed </w:t>
      </w:r>
      <w:r w:rsidR="00FD27F6">
        <w:t>April 1</w:t>
      </w:r>
      <w:r>
        <w:t>, 201</w:t>
      </w:r>
      <w:r w:rsidR="00FD27F6">
        <w:t>9</w:t>
      </w:r>
      <w:r>
        <w:t>)</w:t>
      </w:r>
    </w:p>
  </w:footnote>
  <w:footnote w:id="23">
    <w:p w14:paraId="0AB696AD" w14:textId="2F662AB5" w:rsidR="00CF5F4B" w:rsidRDefault="00CF5F4B">
      <w:pPr>
        <w:pStyle w:val="FootnoteText"/>
      </w:pPr>
      <w:r>
        <w:rPr>
          <w:rStyle w:val="FootnoteReference"/>
        </w:rPr>
        <w:footnoteRef/>
      </w:r>
      <w:r>
        <w:t xml:space="preserve"> </w:t>
      </w:r>
      <w:r w:rsidR="00FD27F6">
        <w:t>The c</w:t>
      </w:r>
      <w:r w:rsidRPr="00CF5F4B">
        <w:t xml:space="preserve">alculations include 46% </w:t>
      </w:r>
      <w:r w:rsidR="00FD27F6">
        <w:t xml:space="preserve">of hourly wages to account </w:t>
      </w:r>
      <w:r w:rsidRPr="00CF5F4B">
        <w:t>for overhead and fringe benefits th</w:t>
      </w:r>
      <w:r>
        <w:t>at were not included in the 60-day publication of this ICR.</w:t>
      </w:r>
    </w:p>
  </w:footnote>
  <w:footnote w:id="24">
    <w:p w14:paraId="00E7D253" w14:textId="1ACEDB04" w:rsidR="00671AA7" w:rsidRDefault="00671AA7" w:rsidP="00666287">
      <w:pPr>
        <w:pStyle w:val="FootnoteText"/>
      </w:pPr>
      <w:r>
        <w:rPr>
          <w:vertAlign w:val="superscript"/>
        </w:rPr>
        <w:footnoteRef/>
      </w:r>
      <w:r>
        <w:rPr>
          <w:vertAlign w:val="superscript"/>
        </w:rPr>
        <w:t xml:space="preserve"> </w:t>
      </w:r>
      <w:r w:rsidRPr="0072040B">
        <w:rPr>
          <w:color w:val="auto"/>
          <w:szCs w:val="22"/>
        </w:rPr>
        <w:t>See, “Salary Table 2018-DCB Incorporating The 1.4% General Schedule Increase And A Locality Payment Of 28.22% For The Locality Pay Area Of Washington-Baltimore-Arlington, DC-MD-VA-WV-PA,” available at https://www.opm.gov/policy-data-oversight/pay-leave/salaries-wages/salary-tables/pdf/2018/D</w:t>
      </w:r>
      <w:r w:rsidRPr="005F6411">
        <w:rPr>
          <w:color w:val="auto"/>
          <w:szCs w:val="22"/>
        </w:rPr>
        <w:t xml:space="preserve">CB_h.pdf (last accessed </w:t>
      </w:r>
      <w:r>
        <w:rPr>
          <w:color w:val="auto"/>
          <w:szCs w:val="22"/>
        </w:rPr>
        <w:t>August 7, 2018</w:t>
      </w:r>
      <w:r w:rsidRPr="0072040B">
        <w:rPr>
          <w:color w:val="auto"/>
          <w:szCs w:val="22"/>
        </w:rPr>
        <w:t>)</w:t>
      </w:r>
      <w:r w:rsidR="00125BF6">
        <w:rPr>
          <w:color w:val="auto"/>
          <w:szCs w:val="22"/>
        </w:rPr>
        <w:t>,</w:t>
      </w:r>
      <w:r>
        <w:rPr>
          <w:color w:val="auto"/>
          <w:szCs w:val="22"/>
        </w:rPr>
        <w:t xml:space="preserve"> </w:t>
      </w:r>
      <w:r w:rsidR="00125BF6">
        <w:rPr>
          <w:color w:val="auto"/>
          <w:szCs w:val="22"/>
        </w:rPr>
        <w:t>e</w:t>
      </w:r>
      <w:r>
        <w:rPr>
          <w:color w:val="auto"/>
          <w:szCs w:val="22"/>
        </w:rPr>
        <w:t xml:space="preserve">stimate based on GS-13 grade, step </w:t>
      </w:r>
      <w:r w:rsidR="00B77BEA">
        <w:rPr>
          <w:color w:val="auto"/>
          <w:szCs w:val="22"/>
        </w:rPr>
        <w:t>four</w:t>
      </w:r>
      <w:r w:rsidR="00253EC3">
        <w:rPr>
          <w:color w:val="auto"/>
          <w:szCs w:val="22"/>
        </w:rPr>
        <w:t>,</w:t>
      </w:r>
      <w:r>
        <w:rPr>
          <w:color w:val="auto"/>
          <w:szCs w:val="22"/>
        </w:rPr>
        <w:t xml:space="preserve"> </w:t>
      </w:r>
      <w:r w:rsidR="00253EC3">
        <w:rPr>
          <w:color w:val="auto"/>
          <w:szCs w:val="22"/>
        </w:rPr>
        <w:t>$</w:t>
      </w:r>
      <w:r w:rsidR="00C0793F">
        <w:rPr>
          <w:color w:val="auto"/>
          <w:szCs w:val="22"/>
        </w:rPr>
        <w:t>51.11</w:t>
      </w:r>
      <w:r w:rsidR="00125BF6">
        <w:rPr>
          <w:color w:val="auto"/>
          <w:szCs w:val="22"/>
        </w:rPr>
        <w:t xml:space="preserve"> </w:t>
      </w:r>
      <w:r w:rsidR="0044011B">
        <w:t>(</w:t>
      </w:r>
      <w:r w:rsidR="00253EC3">
        <w:t>$</w:t>
      </w:r>
      <w:r w:rsidR="00B77BEA">
        <w:t>51.11</w:t>
      </w:r>
      <w:r w:rsidR="00253EC3">
        <w:t>*1.46=$</w:t>
      </w:r>
      <w:r w:rsidR="00B77BEA">
        <w:t>74.62</w:t>
      </w:r>
      <w:r w:rsidR="0044011B">
        <w:t>)</w:t>
      </w:r>
      <w:r w:rsidR="00253EC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79B95" w14:textId="53D2292D" w:rsidR="00671AA7" w:rsidRDefault="00671AA7">
    <w:pPr>
      <w:pStyle w:val="Header"/>
    </w:pPr>
    <w:r>
      <w:t>DOL OFCCP – Functional Affirmative Action Programs</w:t>
    </w:r>
  </w:p>
  <w:p w14:paraId="1F4763E9" w14:textId="0FAA0DBA" w:rsidR="00671AA7" w:rsidRDefault="00671AA7">
    <w:pPr>
      <w:pStyle w:val="Header"/>
    </w:pPr>
    <w:r>
      <w:t>OMB Number 1250-0006</w:t>
    </w:r>
  </w:p>
  <w:p w14:paraId="09DD59C3" w14:textId="2270EADA" w:rsidR="00671AA7" w:rsidRDefault="00E116E3">
    <w:pPr>
      <w:pStyle w:val="Header"/>
    </w:pPr>
    <w:r>
      <w:t>April</w:t>
    </w:r>
    <w:r w:rsidR="007A3858">
      <w:t xml:space="preserve"> </w:t>
    </w:r>
    <w:r w:rsidR="00671AA7">
      <w:t>201</w:t>
    </w:r>
    <w:r w:rsidR="007A3858">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633B6" w14:textId="0BC77CBB" w:rsidR="00CC3926" w:rsidRDefault="00CC3926" w:rsidP="00CC3926">
    <w:pPr>
      <w:pStyle w:val="Header"/>
    </w:pPr>
    <w:r>
      <w:t>DOL OFCCP – Functional Affirmative Action Programs</w:t>
    </w:r>
  </w:p>
  <w:p w14:paraId="0A8ABD70" w14:textId="77777777" w:rsidR="00CC3926" w:rsidRDefault="00CC3926" w:rsidP="00CC3926">
    <w:pPr>
      <w:pStyle w:val="Header"/>
    </w:pPr>
    <w:r>
      <w:t>OMB Number 1250-0006</w:t>
    </w:r>
  </w:p>
  <w:p w14:paraId="6AE38622" w14:textId="60EE7294" w:rsidR="00CC3926" w:rsidRDefault="00E116E3" w:rsidP="00CC3926">
    <w:pPr>
      <w:pStyle w:val="Header"/>
    </w:pPr>
    <w:r>
      <w:t>April</w:t>
    </w:r>
    <w:r w:rsidR="00CC3926">
      <w:t xml:space="preserve"> 2019</w:t>
    </w:r>
  </w:p>
  <w:p w14:paraId="5BA84231" w14:textId="77777777" w:rsidR="00CC3926" w:rsidRDefault="00CC39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6657"/>
    <w:multiLevelType w:val="hybridMultilevel"/>
    <w:tmpl w:val="05A4D8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906863"/>
    <w:multiLevelType w:val="hybridMultilevel"/>
    <w:tmpl w:val="366054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A424F9"/>
    <w:multiLevelType w:val="hybridMultilevel"/>
    <w:tmpl w:val="7B980DB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E327B2"/>
    <w:multiLevelType w:val="hybridMultilevel"/>
    <w:tmpl w:val="CBA634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96531A"/>
    <w:multiLevelType w:val="hybridMultilevel"/>
    <w:tmpl w:val="4BDEEA9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01E7FBC"/>
    <w:multiLevelType w:val="hybridMultilevel"/>
    <w:tmpl w:val="D2E0662E"/>
    <w:lvl w:ilvl="0" w:tplc="66FC35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C7CC2"/>
    <w:multiLevelType w:val="hybridMultilevel"/>
    <w:tmpl w:val="CEB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F7D5F"/>
    <w:multiLevelType w:val="hybridMultilevel"/>
    <w:tmpl w:val="93688F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9">
    <w:nsid w:val="16C54077"/>
    <w:multiLevelType w:val="hybridMultilevel"/>
    <w:tmpl w:val="BF44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FA276D"/>
    <w:multiLevelType w:val="hybridMultilevel"/>
    <w:tmpl w:val="0C00CCE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D590EE3"/>
    <w:multiLevelType w:val="hybridMultilevel"/>
    <w:tmpl w:val="922C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80818"/>
    <w:multiLevelType w:val="hybridMultilevel"/>
    <w:tmpl w:val="CD724B72"/>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5026F07"/>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14">
    <w:nsid w:val="27521E47"/>
    <w:multiLevelType w:val="hybridMultilevel"/>
    <w:tmpl w:val="CE5E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EA5E8C"/>
    <w:multiLevelType w:val="hybridMultilevel"/>
    <w:tmpl w:val="69625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93331D"/>
    <w:multiLevelType w:val="hybridMultilevel"/>
    <w:tmpl w:val="54CA4F4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421596"/>
    <w:multiLevelType w:val="hybridMultilevel"/>
    <w:tmpl w:val="94343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412C0F"/>
    <w:multiLevelType w:val="hybridMultilevel"/>
    <w:tmpl w:val="CA129328"/>
    <w:lvl w:ilvl="0" w:tplc="4EEAE24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68714E6"/>
    <w:multiLevelType w:val="hybridMultilevel"/>
    <w:tmpl w:val="545CA74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8BC3B0F"/>
    <w:multiLevelType w:val="hybridMultilevel"/>
    <w:tmpl w:val="8DE02B9A"/>
    <w:lvl w:ilvl="0" w:tplc="FB6627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633732"/>
    <w:multiLevelType w:val="hybridMultilevel"/>
    <w:tmpl w:val="6C4A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6B1577"/>
    <w:multiLevelType w:val="hybridMultilevel"/>
    <w:tmpl w:val="4738C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284817"/>
    <w:multiLevelType w:val="hybridMultilevel"/>
    <w:tmpl w:val="F47E2E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CA93631"/>
    <w:multiLevelType w:val="hybridMultilevel"/>
    <w:tmpl w:val="39A6DD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E513778"/>
    <w:multiLevelType w:val="hybridMultilevel"/>
    <w:tmpl w:val="D9EE41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01759F5"/>
    <w:multiLevelType w:val="hybridMultilevel"/>
    <w:tmpl w:val="4072B1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526F31F4"/>
    <w:multiLevelType w:val="hybridMultilevel"/>
    <w:tmpl w:val="31BC779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4324C28"/>
    <w:multiLevelType w:val="hybridMultilevel"/>
    <w:tmpl w:val="AE268CC6"/>
    <w:lvl w:ilvl="0" w:tplc="4EEAE24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5A9F5BD1"/>
    <w:multiLevelType w:val="hybridMultilevel"/>
    <w:tmpl w:val="842ADBE0"/>
    <w:lvl w:ilvl="0" w:tplc="04090017">
      <w:start w:val="1"/>
      <w:numFmt w:val="lowerLetter"/>
      <w:lvlText w:val="%1)"/>
      <w:lvlJc w:val="left"/>
      <w:pPr>
        <w:ind w:left="1080" w:hanging="360"/>
      </w:pPr>
      <w:rPr>
        <w:rFonts w:cs="Times New Roman" w:hint="default"/>
      </w:rPr>
    </w:lvl>
    <w:lvl w:ilvl="1" w:tplc="04090011">
      <w:start w:val="1"/>
      <w:numFmt w:val="decimal"/>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C074B80"/>
    <w:multiLevelType w:val="hybridMultilevel"/>
    <w:tmpl w:val="6BD0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7829AE"/>
    <w:multiLevelType w:val="hybridMultilevel"/>
    <w:tmpl w:val="6762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BF45F9"/>
    <w:multiLevelType w:val="hybridMultilevel"/>
    <w:tmpl w:val="44F0202C"/>
    <w:lvl w:ilvl="0" w:tplc="4EEAE24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CCA0C58"/>
    <w:multiLevelType w:val="hybridMultilevel"/>
    <w:tmpl w:val="888AA56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3934C34"/>
    <w:multiLevelType w:val="hybridMultilevel"/>
    <w:tmpl w:val="9110812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4527887"/>
    <w:multiLevelType w:val="hybridMultilevel"/>
    <w:tmpl w:val="CF66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B545D8"/>
    <w:multiLevelType w:val="hybridMultilevel"/>
    <w:tmpl w:val="12281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14142F"/>
    <w:multiLevelType w:val="hybridMultilevel"/>
    <w:tmpl w:val="001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E92046"/>
    <w:multiLevelType w:val="hybridMultilevel"/>
    <w:tmpl w:val="8E26A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EE5D83"/>
    <w:multiLevelType w:val="hybridMultilevel"/>
    <w:tmpl w:val="6E08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555AA5"/>
    <w:multiLevelType w:val="hybridMultilevel"/>
    <w:tmpl w:val="52C8506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nsid w:val="79905B4A"/>
    <w:multiLevelType w:val="hybridMultilevel"/>
    <w:tmpl w:val="C1D8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4152CD"/>
    <w:multiLevelType w:val="hybridMultilevel"/>
    <w:tmpl w:val="DF8A6F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BB22AA6"/>
    <w:multiLevelType w:val="hybridMultilevel"/>
    <w:tmpl w:val="B5AC3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CAC3165"/>
    <w:multiLevelType w:val="hybridMultilevel"/>
    <w:tmpl w:val="D6728C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D713C36"/>
    <w:multiLevelType w:val="hybridMultilevel"/>
    <w:tmpl w:val="A54A7FD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D796120"/>
    <w:multiLevelType w:val="hybridMultilevel"/>
    <w:tmpl w:val="35822D8C"/>
    <w:lvl w:ilvl="0" w:tplc="490E0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0"/>
  </w:num>
  <w:num w:numId="3">
    <w:abstractNumId w:val="34"/>
  </w:num>
  <w:num w:numId="4">
    <w:abstractNumId w:val="2"/>
  </w:num>
  <w:num w:numId="5">
    <w:abstractNumId w:val="45"/>
  </w:num>
  <w:num w:numId="6">
    <w:abstractNumId w:val="19"/>
  </w:num>
  <w:num w:numId="7">
    <w:abstractNumId w:val="3"/>
  </w:num>
  <w:num w:numId="8">
    <w:abstractNumId w:val="4"/>
  </w:num>
  <w:num w:numId="9">
    <w:abstractNumId w:val="21"/>
  </w:num>
  <w:num w:numId="10">
    <w:abstractNumId w:val="23"/>
  </w:num>
  <w:num w:numId="11">
    <w:abstractNumId w:val="44"/>
  </w:num>
  <w:num w:numId="12">
    <w:abstractNumId w:val="0"/>
  </w:num>
  <w:num w:numId="13">
    <w:abstractNumId w:val="1"/>
  </w:num>
  <w:num w:numId="14">
    <w:abstractNumId w:val="24"/>
  </w:num>
  <w:num w:numId="15">
    <w:abstractNumId w:val="25"/>
  </w:num>
  <w:num w:numId="16">
    <w:abstractNumId w:val="9"/>
  </w:num>
  <w:num w:numId="17">
    <w:abstractNumId w:val="35"/>
  </w:num>
  <w:num w:numId="18">
    <w:abstractNumId w:val="37"/>
  </w:num>
  <w:num w:numId="19">
    <w:abstractNumId w:val="41"/>
  </w:num>
  <w:num w:numId="20">
    <w:abstractNumId w:val="14"/>
  </w:num>
  <w:num w:numId="21">
    <w:abstractNumId w:val="6"/>
  </w:num>
  <w:num w:numId="22">
    <w:abstractNumId w:val="17"/>
  </w:num>
  <w:num w:numId="23">
    <w:abstractNumId w:val="13"/>
  </w:num>
  <w:num w:numId="24">
    <w:abstractNumId w:val="27"/>
  </w:num>
  <w:num w:numId="25">
    <w:abstractNumId w:val="18"/>
  </w:num>
  <w:num w:numId="26">
    <w:abstractNumId w:val="28"/>
  </w:num>
  <w:num w:numId="27">
    <w:abstractNumId w:val="32"/>
  </w:num>
  <w:num w:numId="28">
    <w:abstractNumId w:val="31"/>
  </w:num>
  <w:num w:numId="29">
    <w:abstractNumId w:val="33"/>
  </w:num>
  <w:num w:numId="30">
    <w:abstractNumId w:val="12"/>
  </w:num>
  <w:num w:numId="31">
    <w:abstractNumId w:val="43"/>
  </w:num>
  <w:num w:numId="32">
    <w:abstractNumId w:val="42"/>
  </w:num>
  <w:num w:numId="33">
    <w:abstractNumId w:val="40"/>
  </w:num>
  <w:num w:numId="34">
    <w:abstractNumId w:val="26"/>
  </w:num>
  <w:num w:numId="35">
    <w:abstractNumId w:val="29"/>
  </w:num>
  <w:num w:numId="36">
    <w:abstractNumId w:val="15"/>
  </w:num>
  <w:num w:numId="37">
    <w:abstractNumId w:val="16"/>
  </w:num>
  <w:num w:numId="38">
    <w:abstractNumId w:val="38"/>
  </w:num>
  <w:num w:numId="39">
    <w:abstractNumId w:val="36"/>
  </w:num>
  <w:num w:numId="40">
    <w:abstractNumId w:val="8"/>
  </w:num>
  <w:num w:numId="41">
    <w:abstractNumId w:val="20"/>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22"/>
  </w:num>
  <w:num w:numId="45">
    <w:abstractNumId w:val="11"/>
  </w:num>
  <w:num w:numId="46">
    <w:abstractNumId w:val="30"/>
  </w:num>
  <w:num w:numId="47">
    <w:abstractNumId w:val="5"/>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13"/>
    <w:rsid w:val="00001008"/>
    <w:rsid w:val="00003031"/>
    <w:rsid w:val="00010C05"/>
    <w:rsid w:val="00011433"/>
    <w:rsid w:val="00011D8E"/>
    <w:rsid w:val="00013D61"/>
    <w:rsid w:val="00014BF3"/>
    <w:rsid w:val="00014D4B"/>
    <w:rsid w:val="00020EF1"/>
    <w:rsid w:val="00022294"/>
    <w:rsid w:val="000224CD"/>
    <w:rsid w:val="00023989"/>
    <w:rsid w:val="000245BE"/>
    <w:rsid w:val="00025812"/>
    <w:rsid w:val="00027011"/>
    <w:rsid w:val="00032D21"/>
    <w:rsid w:val="00034DEC"/>
    <w:rsid w:val="00034E1D"/>
    <w:rsid w:val="000375A0"/>
    <w:rsid w:val="00041976"/>
    <w:rsid w:val="00043AB4"/>
    <w:rsid w:val="0004514F"/>
    <w:rsid w:val="00045B10"/>
    <w:rsid w:val="00045C0B"/>
    <w:rsid w:val="00047C13"/>
    <w:rsid w:val="00050811"/>
    <w:rsid w:val="00052D4D"/>
    <w:rsid w:val="00054153"/>
    <w:rsid w:val="00056C45"/>
    <w:rsid w:val="0006075C"/>
    <w:rsid w:val="000642CB"/>
    <w:rsid w:val="00064FA8"/>
    <w:rsid w:val="00066FDC"/>
    <w:rsid w:val="000704F6"/>
    <w:rsid w:val="00070DB2"/>
    <w:rsid w:val="0007254B"/>
    <w:rsid w:val="00076A67"/>
    <w:rsid w:val="00081B65"/>
    <w:rsid w:val="000842B9"/>
    <w:rsid w:val="0008788B"/>
    <w:rsid w:val="00092BE6"/>
    <w:rsid w:val="0009497C"/>
    <w:rsid w:val="000A009D"/>
    <w:rsid w:val="000A06AA"/>
    <w:rsid w:val="000A3838"/>
    <w:rsid w:val="000A3B36"/>
    <w:rsid w:val="000A3CB8"/>
    <w:rsid w:val="000A46DB"/>
    <w:rsid w:val="000A5545"/>
    <w:rsid w:val="000A681C"/>
    <w:rsid w:val="000B3148"/>
    <w:rsid w:val="000B62E6"/>
    <w:rsid w:val="000B6AF7"/>
    <w:rsid w:val="000B6EAA"/>
    <w:rsid w:val="000C08A2"/>
    <w:rsid w:val="000C7571"/>
    <w:rsid w:val="000C7F96"/>
    <w:rsid w:val="000D0F4F"/>
    <w:rsid w:val="000D1D74"/>
    <w:rsid w:val="000D1D7F"/>
    <w:rsid w:val="000D2801"/>
    <w:rsid w:val="000D5579"/>
    <w:rsid w:val="000D701B"/>
    <w:rsid w:val="000D7CDE"/>
    <w:rsid w:val="000E5A1D"/>
    <w:rsid w:val="000E5A5B"/>
    <w:rsid w:val="000E6718"/>
    <w:rsid w:val="000E6815"/>
    <w:rsid w:val="000F22C1"/>
    <w:rsid w:val="000F2322"/>
    <w:rsid w:val="000F3403"/>
    <w:rsid w:val="000F3D96"/>
    <w:rsid w:val="0010235C"/>
    <w:rsid w:val="0010463C"/>
    <w:rsid w:val="00104978"/>
    <w:rsid w:val="00105BCC"/>
    <w:rsid w:val="00105D8D"/>
    <w:rsid w:val="00106389"/>
    <w:rsid w:val="001064CC"/>
    <w:rsid w:val="00111F15"/>
    <w:rsid w:val="00114EC2"/>
    <w:rsid w:val="00115815"/>
    <w:rsid w:val="00116410"/>
    <w:rsid w:val="001175A8"/>
    <w:rsid w:val="00117801"/>
    <w:rsid w:val="001223A1"/>
    <w:rsid w:val="001246EB"/>
    <w:rsid w:val="001250AF"/>
    <w:rsid w:val="00125BF6"/>
    <w:rsid w:val="00127180"/>
    <w:rsid w:val="001306AD"/>
    <w:rsid w:val="00130FB9"/>
    <w:rsid w:val="001311BB"/>
    <w:rsid w:val="00133B02"/>
    <w:rsid w:val="00135DEB"/>
    <w:rsid w:val="001422FA"/>
    <w:rsid w:val="00144522"/>
    <w:rsid w:val="00144974"/>
    <w:rsid w:val="00144DD3"/>
    <w:rsid w:val="00145B8E"/>
    <w:rsid w:val="00146DD4"/>
    <w:rsid w:val="00147118"/>
    <w:rsid w:val="0015318C"/>
    <w:rsid w:val="001561A8"/>
    <w:rsid w:val="001578F5"/>
    <w:rsid w:val="00160C66"/>
    <w:rsid w:val="00170F70"/>
    <w:rsid w:val="00173233"/>
    <w:rsid w:val="00176A51"/>
    <w:rsid w:val="00177E45"/>
    <w:rsid w:val="0018705C"/>
    <w:rsid w:val="001915CA"/>
    <w:rsid w:val="00194767"/>
    <w:rsid w:val="001960E9"/>
    <w:rsid w:val="00196E89"/>
    <w:rsid w:val="001B0FFF"/>
    <w:rsid w:val="001B3C73"/>
    <w:rsid w:val="001B4436"/>
    <w:rsid w:val="001C01D6"/>
    <w:rsid w:val="001C2566"/>
    <w:rsid w:val="001C46C5"/>
    <w:rsid w:val="001C4FFE"/>
    <w:rsid w:val="001C5F49"/>
    <w:rsid w:val="001D1B4A"/>
    <w:rsid w:val="001D1D0C"/>
    <w:rsid w:val="001D33EA"/>
    <w:rsid w:val="001D3C2B"/>
    <w:rsid w:val="001E50E5"/>
    <w:rsid w:val="001E5AD5"/>
    <w:rsid w:val="001E658C"/>
    <w:rsid w:val="001F071B"/>
    <w:rsid w:val="001F2558"/>
    <w:rsid w:val="001F3A63"/>
    <w:rsid w:val="001F7044"/>
    <w:rsid w:val="00202CE6"/>
    <w:rsid w:val="00204414"/>
    <w:rsid w:val="00204FA1"/>
    <w:rsid w:val="002067F6"/>
    <w:rsid w:val="0020730A"/>
    <w:rsid w:val="00210E78"/>
    <w:rsid w:val="00211C26"/>
    <w:rsid w:val="00211F54"/>
    <w:rsid w:val="0021666F"/>
    <w:rsid w:val="00216FD2"/>
    <w:rsid w:val="00221651"/>
    <w:rsid w:val="00221902"/>
    <w:rsid w:val="00225E56"/>
    <w:rsid w:val="002264C0"/>
    <w:rsid w:val="00227C7C"/>
    <w:rsid w:val="0023193A"/>
    <w:rsid w:val="00231AF2"/>
    <w:rsid w:val="00232A56"/>
    <w:rsid w:val="00233341"/>
    <w:rsid w:val="00236A26"/>
    <w:rsid w:val="00236F4C"/>
    <w:rsid w:val="00241C82"/>
    <w:rsid w:val="00242766"/>
    <w:rsid w:val="002429A9"/>
    <w:rsid w:val="002449AA"/>
    <w:rsid w:val="00246DEE"/>
    <w:rsid w:val="002515EB"/>
    <w:rsid w:val="00253EC3"/>
    <w:rsid w:val="00254722"/>
    <w:rsid w:val="00256765"/>
    <w:rsid w:val="0025700E"/>
    <w:rsid w:val="00261B50"/>
    <w:rsid w:val="00262402"/>
    <w:rsid w:val="00262AB1"/>
    <w:rsid w:val="00265973"/>
    <w:rsid w:val="00266A49"/>
    <w:rsid w:val="002673CA"/>
    <w:rsid w:val="00267400"/>
    <w:rsid w:val="00267617"/>
    <w:rsid w:val="00267F8B"/>
    <w:rsid w:val="002715C1"/>
    <w:rsid w:val="00271B41"/>
    <w:rsid w:val="002775C7"/>
    <w:rsid w:val="00277C0E"/>
    <w:rsid w:val="002803B4"/>
    <w:rsid w:val="002810FC"/>
    <w:rsid w:val="00283799"/>
    <w:rsid w:val="00284B52"/>
    <w:rsid w:val="00285CC3"/>
    <w:rsid w:val="00286543"/>
    <w:rsid w:val="00286E2F"/>
    <w:rsid w:val="00294EC4"/>
    <w:rsid w:val="00295E45"/>
    <w:rsid w:val="002A0CE1"/>
    <w:rsid w:val="002A0ED5"/>
    <w:rsid w:val="002A0FF1"/>
    <w:rsid w:val="002A224D"/>
    <w:rsid w:val="002B1A6C"/>
    <w:rsid w:val="002B2CB9"/>
    <w:rsid w:val="002C1965"/>
    <w:rsid w:val="002C245C"/>
    <w:rsid w:val="002C41E2"/>
    <w:rsid w:val="002C530A"/>
    <w:rsid w:val="002C6829"/>
    <w:rsid w:val="002C6D33"/>
    <w:rsid w:val="002C793A"/>
    <w:rsid w:val="002D2A76"/>
    <w:rsid w:val="002E044E"/>
    <w:rsid w:val="002E1DC0"/>
    <w:rsid w:val="002E4862"/>
    <w:rsid w:val="002F12F8"/>
    <w:rsid w:val="002F1FA8"/>
    <w:rsid w:val="00301436"/>
    <w:rsid w:val="003026B5"/>
    <w:rsid w:val="00302E0E"/>
    <w:rsid w:val="00303295"/>
    <w:rsid w:val="00304047"/>
    <w:rsid w:val="00305D21"/>
    <w:rsid w:val="003063DE"/>
    <w:rsid w:val="003100BD"/>
    <w:rsid w:val="00314340"/>
    <w:rsid w:val="003159D2"/>
    <w:rsid w:val="00322253"/>
    <w:rsid w:val="00325F1A"/>
    <w:rsid w:val="00326EDF"/>
    <w:rsid w:val="00331032"/>
    <w:rsid w:val="00331667"/>
    <w:rsid w:val="0033273B"/>
    <w:rsid w:val="00343CF1"/>
    <w:rsid w:val="003458CD"/>
    <w:rsid w:val="00346DBA"/>
    <w:rsid w:val="003536CD"/>
    <w:rsid w:val="00355818"/>
    <w:rsid w:val="00357A38"/>
    <w:rsid w:val="00360330"/>
    <w:rsid w:val="00362150"/>
    <w:rsid w:val="003643BD"/>
    <w:rsid w:val="003648D9"/>
    <w:rsid w:val="00364BC8"/>
    <w:rsid w:val="0037532B"/>
    <w:rsid w:val="003775B9"/>
    <w:rsid w:val="00380CB3"/>
    <w:rsid w:val="00381156"/>
    <w:rsid w:val="00381240"/>
    <w:rsid w:val="003823DA"/>
    <w:rsid w:val="00383A77"/>
    <w:rsid w:val="003857EF"/>
    <w:rsid w:val="003858E9"/>
    <w:rsid w:val="00385A04"/>
    <w:rsid w:val="0038705D"/>
    <w:rsid w:val="00390929"/>
    <w:rsid w:val="00395BDB"/>
    <w:rsid w:val="00396A0A"/>
    <w:rsid w:val="00397967"/>
    <w:rsid w:val="003A114C"/>
    <w:rsid w:val="003A20FD"/>
    <w:rsid w:val="003A22B3"/>
    <w:rsid w:val="003A3E87"/>
    <w:rsid w:val="003A56EB"/>
    <w:rsid w:val="003C0883"/>
    <w:rsid w:val="003C0ADC"/>
    <w:rsid w:val="003C3C10"/>
    <w:rsid w:val="003C473B"/>
    <w:rsid w:val="003C65D0"/>
    <w:rsid w:val="003D116D"/>
    <w:rsid w:val="003D1449"/>
    <w:rsid w:val="003D3643"/>
    <w:rsid w:val="003D4616"/>
    <w:rsid w:val="003E1E49"/>
    <w:rsid w:val="003E213C"/>
    <w:rsid w:val="003E35E2"/>
    <w:rsid w:val="003E3841"/>
    <w:rsid w:val="003E3A96"/>
    <w:rsid w:val="003E504D"/>
    <w:rsid w:val="003E55E8"/>
    <w:rsid w:val="003F28EC"/>
    <w:rsid w:val="003F48B5"/>
    <w:rsid w:val="003F7414"/>
    <w:rsid w:val="003F79B3"/>
    <w:rsid w:val="00400DBD"/>
    <w:rsid w:val="0040287E"/>
    <w:rsid w:val="00403BE4"/>
    <w:rsid w:val="00404F06"/>
    <w:rsid w:val="00407413"/>
    <w:rsid w:val="00411EA8"/>
    <w:rsid w:val="00412B99"/>
    <w:rsid w:val="00412C97"/>
    <w:rsid w:val="004130FD"/>
    <w:rsid w:val="00413980"/>
    <w:rsid w:val="00413AC0"/>
    <w:rsid w:val="00416130"/>
    <w:rsid w:val="00420FD3"/>
    <w:rsid w:val="00422137"/>
    <w:rsid w:val="0042345C"/>
    <w:rsid w:val="00424363"/>
    <w:rsid w:val="00424723"/>
    <w:rsid w:val="00425C19"/>
    <w:rsid w:val="00427FB2"/>
    <w:rsid w:val="004331C9"/>
    <w:rsid w:val="00434F76"/>
    <w:rsid w:val="00436B55"/>
    <w:rsid w:val="004377F0"/>
    <w:rsid w:val="00437808"/>
    <w:rsid w:val="0044011B"/>
    <w:rsid w:val="00441BB1"/>
    <w:rsid w:val="00441D08"/>
    <w:rsid w:val="00445DC1"/>
    <w:rsid w:val="004516D0"/>
    <w:rsid w:val="004533EF"/>
    <w:rsid w:val="004538E6"/>
    <w:rsid w:val="00456133"/>
    <w:rsid w:val="00456DB6"/>
    <w:rsid w:val="00457190"/>
    <w:rsid w:val="00460240"/>
    <w:rsid w:val="00462BD0"/>
    <w:rsid w:val="00463B16"/>
    <w:rsid w:val="00464AC2"/>
    <w:rsid w:val="0046519E"/>
    <w:rsid w:val="00470B95"/>
    <w:rsid w:val="0047127D"/>
    <w:rsid w:val="004763A9"/>
    <w:rsid w:val="00481A2E"/>
    <w:rsid w:val="0048287C"/>
    <w:rsid w:val="00482DD9"/>
    <w:rsid w:val="0048645F"/>
    <w:rsid w:val="00487668"/>
    <w:rsid w:val="0048770C"/>
    <w:rsid w:val="00493F6B"/>
    <w:rsid w:val="004944C9"/>
    <w:rsid w:val="00494A06"/>
    <w:rsid w:val="004A22FB"/>
    <w:rsid w:val="004A3EBF"/>
    <w:rsid w:val="004A7084"/>
    <w:rsid w:val="004A7151"/>
    <w:rsid w:val="004A76B1"/>
    <w:rsid w:val="004B0B75"/>
    <w:rsid w:val="004B0CD8"/>
    <w:rsid w:val="004B10EB"/>
    <w:rsid w:val="004B2060"/>
    <w:rsid w:val="004B439A"/>
    <w:rsid w:val="004B6593"/>
    <w:rsid w:val="004B66D0"/>
    <w:rsid w:val="004C2CD1"/>
    <w:rsid w:val="004C3D60"/>
    <w:rsid w:val="004C4285"/>
    <w:rsid w:val="004C57F4"/>
    <w:rsid w:val="004C65FC"/>
    <w:rsid w:val="004D0FF9"/>
    <w:rsid w:val="004D2BC9"/>
    <w:rsid w:val="004D62A7"/>
    <w:rsid w:val="004E147D"/>
    <w:rsid w:val="004E2582"/>
    <w:rsid w:val="004E28AF"/>
    <w:rsid w:val="004E4F15"/>
    <w:rsid w:val="004E5B61"/>
    <w:rsid w:val="004E6B37"/>
    <w:rsid w:val="004F44C6"/>
    <w:rsid w:val="004F79D6"/>
    <w:rsid w:val="005008C1"/>
    <w:rsid w:val="00502BD0"/>
    <w:rsid w:val="00504DAC"/>
    <w:rsid w:val="00504EC6"/>
    <w:rsid w:val="0050648B"/>
    <w:rsid w:val="005067A4"/>
    <w:rsid w:val="00506B4E"/>
    <w:rsid w:val="0050727F"/>
    <w:rsid w:val="00507DF2"/>
    <w:rsid w:val="005114A7"/>
    <w:rsid w:val="00516DF8"/>
    <w:rsid w:val="00521AE2"/>
    <w:rsid w:val="0052231E"/>
    <w:rsid w:val="00522F5C"/>
    <w:rsid w:val="00537677"/>
    <w:rsid w:val="005427E7"/>
    <w:rsid w:val="00545471"/>
    <w:rsid w:val="00551089"/>
    <w:rsid w:val="005535ED"/>
    <w:rsid w:val="00554583"/>
    <w:rsid w:val="00554960"/>
    <w:rsid w:val="0055712C"/>
    <w:rsid w:val="00560C14"/>
    <w:rsid w:val="00564659"/>
    <w:rsid w:val="005674AC"/>
    <w:rsid w:val="00571230"/>
    <w:rsid w:val="00574946"/>
    <w:rsid w:val="0057527E"/>
    <w:rsid w:val="00585F4E"/>
    <w:rsid w:val="005862DB"/>
    <w:rsid w:val="00586432"/>
    <w:rsid w:val="005865A3"/>
    <w:rsid w:val="0058699E"/>
    <w:rsid w:val="0058785B"/>
    <w:rsid w:val="005921CF"/>
    <w:rsid w:val="005926AD"/>
    <w:rsid w:val="00593D5F"/>
    <w:rsid w:val="005956E4"/>
    <w:rsid w:val="005957CA"/>
    <w:rsid w:val="005966AE"/>
    <w:rsid w:val="00596C34"/>
    <w:rsid w:val="00597AB2"/>
    <w:rsid w:val="00597C15"/>
    <w:rsid w:val="005A0981"/>
    <w:rsid w:val="005A117E"/>
    <w:rsid w:val="005A2477"/>
    <w:rsid w:val="005A48A0"/>
    <w:rsid w:val="005A4A44"/>
    <w:rsid w:val="005B31DE"/>
    <w:rsid w:val="005B64C7"/>
    <w:rsid w:val="005B68CC"/>
    <w:rsid w:val="005B77F9"/>
    <w:rsid w:val="005C0F42"/>
    <w:rsid w:val="005C477C"/>
    <w:rsid w:val="005C5CD9"/>
    <w:rsid w:val="005D02A0"/>
    <w:rsid w:val="005D193D"/>
    <w:rsid w:val="005D1B80"/>
    <w:rsid w:val="005D2233"/>
    <w:rsid w:val="005D67A5"/>
    <w:rsid w:val="005E02FA"/>
    <w:rsid w:val="005E0886"/>
    <w:rsid w:val="005E1EC2"/>
    <w:rsid w:val="005E2118"/>
    <w:rsid w:val="005E46E3"/>
    <w:rsid w:val="005E5396"/>
    <w:rsid w:val="005E74DD"/>
    <w:rsid w:val="005E77C4"/>
    <w:rsid w:val="005F2250"/>
    <w:rsid w:val="005F4B6E"/>
    <w:rsid w:val="005F529E"/>
    <w:rsid w:val="005F6411"/>
    <w:rsid w:val="005F7709"/>
    <w:rsid w:val="00600E44"/>
    <w:rsid w:val="00601906"/>
    <w:rsid w:val="006020A8"/>
    <w:rsid w:val="006028FA"/>
    <w:rsid w:val="00607576"/>
    <w:rsid w:val="00607970"/>
    <w:rsid w:val="0061168A"/>
    <w:rsid w:val="00611912"/>
    <w:rsid w:val="00612C67"/>
    <w:rsid w:val="006176BB"/>
    <w:rsid w:val="00620859"/>
    <w:rsid w:val="00623C9B"/>
    <w:rsid w:val="00626137"/>
    <w:rsid w:val="00632CAE"/>
    <w:rsid w:val="006340C1"/>
    <w:rsid w:val="00634F72"/>
    <w:rsid w:val="006369A0"/>
    <w:rsid w:val="00641554"/>
    <w:rsid w:val="006553B2"/>
    <w:rsid w:val="00655E1B"/>
    <w:rsid w:val="00662B7F"/>
    <w:rsid w:val="0066608B"/>
    <w:rsid w:val="00666287"/>
    <w:rsid w:val="00671AA7"/>
    <w:rsid w:val="00674BA2"/>
    <w:rsid w:val="00674D47"/>
    <w:rsid w:val="00682A5A"/>
    <w:rsid w:val="0068522B"/>
    <w:rsid w:val="0068523E"/>
    <w:rsid w:val="00690170"/>
    <w:rsid w:val="00691B0A"/>
    <w:rsid w:val="00692A23"/>
    <w:rsid w:val="0069400F"/>
    <w:rsid w:val="00697041"/>
    <w:rsid w:val="006A07DC"/>
    <w:rsid w:val="006A08B1"/>
    <w:rsid w:val="006A46A6"/>
    <w:rsid w:val="006A5256"/>
    <w:rsid w:val="006A661C"/>
    <w:rsid w:val="006B26AB"/>
    <w:rsid w:val="006B6FEA"/>
    <w:rsid w:val="006C0DDA"/>
    <w:rsid w:val="006C19FE"/>
    <w:rsid w:val="006C25B3"/>
    <w:rsid w:val="006C3463"/>
    <w:rsid w:val="006C41C0"/>
    <w:rsid w:val="006D0F46"/>
    <w:rsid w:val="006D209B"/>
    <w:rsid w:val="006D25B7"/>
    <w:rsid w:val="006D43F1"/>
    <w:rsid w:val="006D4C29"/>
    <w:rsid w:val="006E0B48"/>
    <w:rsid w:val="006E19CC"/>
    <w:rsid w:val="006E29E6"/>
    <w:rsid w:val="006E46D7"/>
    <w:rsid w:val="006E7F1E"/>
    <w:rsid w:val="006F1C44"/>
    <w:rsid w:val="006F43B4"/>
    <w:rsid w:val="006F550B"/>
    <w:rsid w:val="006F6630"/>
    <w:rsid w:val="00702326"/>
    <w:rsid w:val="00713243"/>
    <w:rsid w:val="00714721"/>
    <w:rsid w:val="00714A7B"/>
    <w:rsid w:val="0071549D"/>
    <w:rsid w:val="00717144"/>
    <w:rsid w:val="0072040B"/>
    <w:rsid w:val="007221F1"/>
    <w:rsid w:val="00722481"/>
    <w:rsid w:val="00722709"/>
    <w:rsid w:val="00722B97"/>
    <w:rsid w:val="00724282"/>
    <w:rsid w:val="007252B9"/>
    <w:rsid w:val="007274CF"/>
    <w:rsid w:val="007303E3"/>
    <w:rsid w:val="00730868"/>
    <w:rsid w:val="00735F20"/>
    <w:rsid w:val="007379DE"/>
    <w:rsid w:val="0074598C"/>
    <w:rsid w:val="007459D2"/>
    <w:rsid w:val="00745D86"/>
    <w:rsid w:val="00745F8D"/>
    <w:rsid w:val="00746BD0"/>
    <w:rsid w:val="00752C46"/>
    <w:rsid w:val="00753115"/>
    <w:rsid w:val="00753CB6"/>
    <w:rsid w:val="00754BAE"/>
    <w:rsid w:val="00754E9F"/>
    <w:rsid w:val="00757E09"/>
    <w:rsid w:val="00757EE7"/>
    <w:rsid w:val="00761566"/>
    <w:rsid w:val="00762686"/>
    <w:rsid w:val="00766963"/>
    <w:rsid w:val="00766CBB"/>
    <w:rsid w:val="0077115C"/>
    <w:rsid w:val="0077266D"/>
    <w:rsid w:val="00774922"/>
    <w:rsid w:val="00777374"/>
    <w:rsid w:val="00783887"/>
    <w:rsid w:val="00786C9F"/>
    <w:rsid w:val="00787123"/>
    <w:rsid w:val="007874AF"/>
    <w:rsid w:val="0078764B"/>
    <w:rsid w:val="00790B5E"/>
    <w:rsid w:val="00792CA2"/>
    <w:rsid w:val="00792FDB"/>
    <w:rsid w:val="007966BD"/>
    <w:rsid w:val="007A12E7"/>
    <w:rsid w:val="007A2828"/>
    <w:rsid w:val="007A2E09"/>
    <w:rsid w:val="007A3858"/>
    <w:rsid w:val="007A4BCF"/>
    <w:rsid w:val="007A629C"/>
    <w:rsid w:val="007A79D8"/>
    <w:rsid w:val="007B3DA1"/>
    <w:rsid w:val="007B4146"/>
    <w:rsid w:val="007C061A"/>
    <w:rsid w:val="007C2749"/>
    <w:rsid w:val="007C38F7"/>
    <w:rsid w:val="007C4A16"/>
    <w:rsid w:val="007C6C00"/>
    <w:rsid w:val="007C7556"/>
    <w:rsid w:val="007D0F30"/>
    <w:rsid w:val="007D22A9"/>
    <w:rsid w:val="007D7963"/>
    <w:rsid w:val="007E06FD"/>
    <w:rsid w:val="007E14F6"/>
    <w:rsid w:val="007E3C4D"/>
    <w:rsid w:val="007E3C97"/>
    <w:rsid w:val="007E4DD1"/>
    <w:rsid w:val="007E7390"/>
    <w:rsid w:val="007E7F39"/>
    <w:rsid w:val="007F3E23"/>
    <w:rsid w:val="007F7FC8"/>
    <w:rsid w:val="00801294"/>
    <w:rsid w:val="008020B4"/>
    <w:rsid w:val="00803D2C"/>
    <w:rsid w:val="008067F9"/>
    <w:rsid w:val="008106B0"/>
    <w:rsid w:val="008132CB"/>
    <w:rsid w:val="00814B60"/>
    <w:rsid w:val="00816CB4"/>
    <w:rsid w:val="00816D60"/>
    <w:rsid w:val="008200F6"/>
    <w:rsid w:val="00821BF2"/>
    <w:rsid w:val="00821FDA"/>
    <w:rsid w:val="00825131"/>
    <w:rsid w:val="0082524A"/>
    <w:rsid w:val="00831379"/>
    <w:rsid w:val="008335AD"/>
    <w:rsid w:val="008439E4"/>
    <w:rsid w:val="00845089"/>
    <w:rsid w:val="00846EF3"/>
    <w:rsid w:val="008474AD"/>
    <w:rsid w:val="00850D36"/>
    <w:rsid w:val="0085148C"/>
    <w:rsid w:val="00851A86"/>
    <w:rsid w:val="00853D37"/>
    <w:rsid w:val="00855631"/>
    <w:rsid w:val="0085604C"/>
    <w:rsid w:val="0085629F"/>
    <w:rsid w:val="00857FA5"/>
    <w:rsid w:val="00861004"/>
    <w:rsid w:val="00864D0B"/>
    <w:rsid w:val="00865E78"/>
    <w:rsid w:val="00872702"/>
    <w:rsid w:val="00874D01"/>
    <w:rsid w:val="008814E8"/>
    <w:rsid w:val="00884713"/>
    <w:rsid w:val="00890DDE"/>
    <w:rsid w:val="00891E36"/>
    <w:rsid w:val="00891F2F"/>
    <w:rsid w:val="008929A0"/>
    <w:rsid w:val="00897B63"/>
    <w:rsid w:val="008A0497"/>
    <w:rsid w:val="008A0897"/>
    <w:rsid w:val="008A27E1"/>
    <w:rsid w:val="008A2C49"/>
    <w:rsid w:val="008A3564"/>
    <w:rsid w:val="008A38B1"/>
    <w:rsid w:val="008A523B"/>
    <w:rsid w:val="008A5FEE"/>
    <w:rsid w:val="008A7886"/>
    <w:rsid w:val="008B0C23"/>
    <w:rsid w:val="008B5C33"/>
    <w:rsid w:val="008C069C"/>
    <w:rsid w:val="008C62E7"/>
    <w:rsid w:val="008C7658"/>
    <w:rsid w:val="008D305B"/>
    <w:rsid w:val="008D68C0"/>
    <w:rsid w:val="008D76C7"/>
    <w:rsid w:val="008E482E"/>
    <w:rsid w:val="008E4FC6"/>
    <w:rsid w:val="008E5105"/>
    <w:rsid w:val="008E5131"/>
    <w:rsid w:val="008F3B46"/>
    <w:rsid w:val="008F5B63"/>
    <w:rsid w:val="008F6302"/>
    <w:rsid w:val="008F637A"/>
    <w:rsid w:val="008F75A0"/>
    <w:rsid w:val="00904371"/>
    <w:rsid w:val="00905B28"/>
    <w:rsid w:val="00906145"/>
    <w:rsid w:val="009122F8"/>
    <w:rsid w:val="009145FB"/>
    <w:rsid w:val="0091473F"/>
    <w:rsid w:val="009153C4"/>
    <w:rsid w:val="0091550B"/>
    <w:rsid w:val="00915AE9"/>
    <w:rsid w:val="009172A3"/>
    <w:rsid w:val="00923626"/>
    <w:rsid w:val="00924558"/>
    <w:rsid w:val="009259F0"/>
    <w:rsid w:val="00926014"/>
    <w:rsid w:val="00931168"/>
    <w:rsid w:val="00931FD0"/>
    <w:rsid w:val="00932665"/>
    <w:rsid w:val="0093277A"/>
    <w:rsid w:val="00937AE9"/>
    <w:rsid w:val="00937F39"/>
    <w:rsid w:val="00940141"/>
    <w:rsid w:val="00940B96"/>
    <w:rsid w:val="009427CB"/>
    <w:rsid w:val="00943965"/>
    <w:rsid w:val="009441AF"/>
    <w:rsid w:val="0094631A"/>
    <w:rsid w:val="00951C96"/>
    <w:rsid w:val="00955733"/>
    <w:rsid w:val="009624D2"/>
    <w:rsid w:val="00964502"/>
    <w:rsid w:val="0097454A"/>
    <w:rsid w:val="00974A39"/>
    <w:rsid w:val="0098405B"/>
    <w:rsid w:val="009856C4"/>
    <w:rsid w:val="009873D3"/>
    <w:rsid w:val="00987AD6"/>
    <w:rsid w:val="00991343"/>
    <w:rsid w:val="009915E4"/>
    <w:rsid w:val="009947B0"/>
    <w:rsid w:val="00996143"/>
    <w:rsid w:val="009A2278"/>
    <w:rsid w:val="009A2A15"/>
    <w:rsid w:val="009A78D6"/>
    <w:rsid w:val="009B055D"/>
    <w:rsid w:val="009B2B1E"/>
    <w:rsid w:val="009B3983"/>
    <w:rsid w:val="009B4D87"/>
    <w:rsid w:val="009B77D8"/>
    <w:rsid w:val="009C28A7"/>
    <w:rsid w:val="009C3373"/>
    <w:rsid w:val="009C6C40"/>
    <w:rsid w:val="009D1411"/>
    <w:rsid w:val="009D1898"/>
    <w:rsid w:val="009D1ABE"/>
    <w:rsid w:val="009D20DE"/>
    <w:rsid w:val="009D2AE2"/>
    <w:rsid w:val="009D3D60"/>
    <w:rsid w:val="009D5363"/>
    <w:rsid w:val="009D5DA9"/>
    <w:rsid w:val="009D6193"/>
    <w:rsid w:val="009E01DA"/>
    <w:rsid w:val="009E0FBF"/>
    <w:rsid w:val="009E29A9"/>
    <w:rsid w:val="009E45FB"/>
    <w:rsid w:val="009E7319"/>
    <w:rsid w:val="009F25CE"/>
    <w:rsid w:val="009F4437"/>
    <w:rsid w:val="009F5427"/>
    <w:rsid w:val="009F7B2A"/>
    <w:rsid w:val="00A00A2E"/>
    <w:rsid w:val="00A01EF9"/>
    <w:rsid w:val="00A073A9"/>
    <w:rsid w:val="00A07AD4"/>
    <w:rsid w:val="00A07E47"/>
    <w:rsid w:val="00A10605"/>
    <w:rsid w:val="00A10CAF"/>
    <w:rsid w:val="00A12E66"/>
    <w:rsid w:val="00A14F80"/>
    <w:rsid w:val="00A1520F"/>
    <w:rsid w:val="00A15605"/>
    <w:rsid w:val="00A2111E"/>
    <w:rsid w:val="00A21B81"/>
    <w:rsid w:val="00A22E57"/>
    <w:rsid w:val="00A25D9E"/>
    <w:rsid w:val="00A30072"/>
    <w:rsid w:val="00A3169B"/>
    <w:rsid w:val="00A3200B"/>
    <w:rsid w:val="00A333A8"/>
    <w:rsid w:val="00A3709A"/>
    <w:rsid w:val="00A407F8"/>
    <w:rsid w:val="00A4247E"/>
    <w:rsid w:val="00A436A5"/>
    <w:rsid w:val="00A43773"/>
    <w:rsid w:val="00A45831"/>
    <w:rsid w:val="00A4585D"/>
    <w:rsid w:val="00A46B52"/>
    <w:rsid w:val="00A50665"/>
    <w:rsid w:val="00A50B6C"/>
    <w:rsid w:val="00A544E1"/>
    <w:rsid w:val="00A56544"/>
    <w:rsid w:val="00A56EA0"/>
    <w:rsid w:val="00A622D3"/>
    <w:rsid w:val="00A62395"/>
    <w:rsid w:val="00A62D76"/>
    <w:rsid w:val="00A633B2"/>
    <w:rsid w:val="00A670A2"/>
    <w:rsid w:val="00A7217E"/>
    <w:rsid w:val="00A76A26"/>
    <w:rsid w:val="00A77D41"/>
    <w:rsid w:val="00A808A4"/>
    <w:rsid w:val="00A85C65"/>
    <w:rsid w:val="00A85EF8"/>
    <w:rsid w:val="00A87EDE"/>
    <w:rsid w:val="00A927C1"/>
    <w:rsid w:val="00A945F2"/>
    <w:rsid w:val="00AA4FAE"/>
    <w:rsid w:val="00AB2CDB"/>
    <w:rsid w:val="00AB5167"/>
    <w:rsid w:val="00AB5488"/>
    <w:rsid w:val="00AB57FE"/>
    <w:rsid w:val="00AB682F"/>
    <w:rsid w:val="00AB74B3"/>
    <w:rsid w:val="00AB7585"/>
    <w:rsid w:val="00AB785F"/>
    <w:rsid w:val="00AC35BC"/>
    <w:rsid w:val="00AC375C"/>
    <w:rsid w:val="00AC55E5"/>
    <w:rsid w:val="00AC7620"/>
    <w:rsid w:val="00AC7625"/>
    <w:rsid w:val="00AC7A64"/>
    <w:rsid w:val="00AC7B7E"/>
    <w:rsid w:val="00AD0C74"/>
    <w:rsid w:val="00AD4A0D"/>
    <w:rsid w:val="00AE0655"/>
    <w:rsid w:val="00AE16A3"/>
    <w:rsid w:val="00AE3C23"/>
    <w:rsid w:val="00AE4AAE"/>
    <w:rsid w:val="00AE5948"/>
    <w:rsid w:val="00AE6DAB"/>
    <w:rsid w:val="00AF2AD5"/>
    <w:rsid w:val="00AF30FE"/>
    <w:rsid w:val="00AF5720"/>
    <w:rsid w:val="00AF6D76"/>
    <w:rsid w:val="00B01C79"/>
    <w:rsid w:val="00B02F1F"/>
    <w:rsid w:val="00B03A12"/>
    <w:rsid w:val="00B03D75"/>
    <w:rsid w:val="00B0757E"/>
    <w:rsid w:val="00B1142F"/>
    <w:rsid w:val="00B20ACD"/>
    <w:rsid w:val="00B2121F"/>
    <w:rsid w:val="00B23358"/>
    <w:rsid w:val="00B23F65"/>
    <w:rsid w:val="00B23F6E"/>
    <w:rsid w:val="00B24A02"/>
    <w:rsid w:val="00B24AA5"/>
    <w:rsid w:val="00B27380"/>
    <w:rsid w:val="00B32432"/>
    <w:rsid w:val="00B3421B"/>
    <w:rsid w:val="00B3423A"/>
    <w:rsid w:val="00B358A3"/>
    <w:rsid w:val="00B35F76"/>
    <w:rsid w:val="00B43E7E"/>
    <w:rsid w:val="00B527D9"/>
    <w:rsid w:val="00B55946"/>
    <w:rsid w:val="00B56CB6"/>
    <w:rsid w:val="00B5765F"/>
    <w:rsid w:val="00B629A3"/>
    <w:rsid w:val="00B630AB"/>
    <w:rsid w:val="00B632A8"/>
    <w:rsid w:val="00B638CF"/>
    <w:rsid w:val="00B63F55"/>
    <w:rsid w:val="00B6638F"/>
    <w:rsid w:val="00B7042C"/>
    <w:rsid w:val="00B711AC"/>
    <w:rsid w:val="00B7267B"/>
    <w:rsid w:val="00B766D4"/>
    <w:rsid w:val="00B76C3A"/>
    <w:rsid w:val="00B77BEA"/>
    <w:rsid w:val="00B81BD6"/>
    <w:rsid w:val="00B8202A"/>
    <w:rsid w:val="00B831C5"/>
    <w:rsid w:val="00B8417C"/>
    <w:rsid w:val="00B84DDA"/>
    <w:rsid w:val="00B85128"/>
    <w:rsid w:val="00B873DC"/>
    <w:rsid w:val="00B87AA2"/>
    <w:rsid w:val="00B90205"/>
    <w:rsid w:val="00B91F0E"/>
    <w:rsid w:val="00B9210B"/>
    <w:rsid w:val="00B92BC9"/>
    <w:rsid w:val="00B935E0"/>
    <w:rsid w:val="00BA04A3"/>
    <w:rsid w:val="00BA1F82"/>
    <w:rsid w:val="00BA6B0E"/>
    <w:rsid w:val="00BB1864"/>
    <w:rsid w:val="00BB59D5"/>
    <w:rsid w:val="00BB7370"/>
    <w:rsid w:val="00BB799E"/>
    <w:rsid w:val="00BB7BCE"/>
    <w:rsid w:val="00BC52D9"/>
    <w:rsid w:val="00BC797C"/>
    <w:rsid w:val="00BC7FA3"/>
    <w:rsid w:val="00BD01F4"/>
    <w:rsid w:val="00BD11C8"/>
    <w:rsid w:val="00BD1FB1"/>
    <w:rsid w:val="00BE363C"/>
    <w:rsid w:val="00BE4604"/>
    <w:rsid w:val="00BF04BA"/>
    <w:rsid w:val="00BF2D17"/>
    <w:rsid w:val="00BF5932"/>
    <w:rsid w:val="00BF6C55"/>
    <w:rsid w:val="00C01777"/>
    <w:rsid w:val="00C02AB6"/>
    <w:rsid w:val="00C0533E"/>
    <w:rsid w:val="00C05B3E"/>
    <w:rsid w:val="00C0781B"/>
    <w:rsid w:val="00C0793F"/>
    <w:rsid w:val="00C12795"/>
    <w:rsid w:val="00C13336"/>
    <w:rsid w:val="00C142B0"/>
    <w:rsid w:val="00C150C2"/>
    <w:rsid w:val="00C15E7A"/>
    <w:rsid w:val="00C17E37"/>
    <w:rsid w:val="00C209D1"/>
    <w:rsid w:val="00C209FF"/>
    <w:rsid w:val="00C227D6"/>
    <w:rsid w:val="00C229D7"/>
    <w:rsid w:val="00C2562D"/>
    <w:rsid w:val="00C25EEB"/>
    <w:rsid w:val="00C26877"/>
    <w:rsid w:val="00C334EE"/>
    <w:rsid w:val="00C4017B"/>
    <w:rsid w:val="00C41CA7"/>
    <w:rsid w:val="00C4221E"/>
    <w:rsid w:val="00C42335"/>
    <w:rsid w:val="00C4385C"/>
    <w:rsid w:val="00C4693E"/>
    <w:rsid w:val="00C50483"/>
    <w:rsid w:val="00C50FEC"/>
    <w:rsid w:val="00C57A7D"/>
    <w:rsid w:val="00C57E73"/>
    <w:rsid w:val="00C63AB3"/>
    <w:rsid w:val="00C6423F"/>
    <w:rsid w:val="00C6680B"/>
    <w:rsid w:val="00C70351"/>
    <w:rsid w:val="00C7118F"/>
    <w:rsid w:val="00C7604F"/>
    <w:rsid w:val="00C771BB"/>
    <w:rsid w:val="00C816DA"/>
    <w:rsid w:val="00C81B72"/>
    <w:rsid w:val="00C8684D"/>
    <w:rsid w:val="00C87ACE"/>
    <w:rsid w:val="00C87D6C"/>
    <w:rsid w:val="00C90FDD"/>
    <w:rsid w:val="00C91719"/>
    <w:rsid w:val="00C95EE3"/>
    <w:rsid w:val="00C9649B"/>
    <w:rsid w:val="00C978BE"/>
    <w:rsid w:val="00CA0459"/>
    <w:rsid w:val="00CA3711"/>
    <w:rsid w:val="00CA4CAD"/>
    <w:rsid w:val="00CA51FE"/>
    <w:rsid w:val="00CA67E6"/>
    <w:rsid w:val="00CA758E"/>
    <w:rsid w:val="00CB0B96"/>
    <w:rsid w:val="00CB6D67"/>
    <w:rsid w:val="00CC144D"/>
    <w:rsid w:val="00CC3926"/>
    <w:rsid w:val="00CC65AA"/>
    <w:rsid w:val="00CD1B47"/>
    <w:rsid w:val="00CD3D52"/>
    <w:rsid w:val="00CD5C8B"/>
    <w:rsid w:val="00CD663B"/>
    <w:rsid w:val="00CE2A69"/>
    <w:rsid w:val="00CE4F29"/>
    <w:rsid w:val="00CF09AC"/>
    <w:rsid w:val="00CF17A3"/>
    <w:rsid w:val="00CF25A3"/>
    <w:rsid w:val="00CF35C0"/>
    <w:rsid w:val="00CF43C0"/>
    <w:rsid w:val="00CF45F3"/>
    <w:rsid w:val="00CF5DF6"/>
    <w:rsid w:val="00CF5F4B"/>
    <w:rsid w:val="00CF77FD"/>
    <w:rsid w:val="00D01A08"/>
    <w:rsid w:val="00D02E32"/>
    <w:rsid w:val="00D033B8"/>
    <w:rsid w:val="00D0350D"/>
    <w:rsid w:val="00D057A9"/>
    <w:rsid w:val="00D13096"/>
    <w:rsid w:val="00D21816"/>
    <w:rsid w:val="00D231C0"/>
    <w:rsid w:val="00D23C11"/>
    <w:rsid w:val="00D2533F"/>
    <w:rsid w:val="00D35928"/>
    <w:rsid w:val="00D37632"/>
    <w:rsid w:val="00D42381"/>
    <w:rsid w:val="00D4640E"/>
    <w:rsid w:val="00D517B1"/>
    <w:rsid w:val="00D51F73"/>
    <w:rsid w:val="00D54EFA"/>
    <w:rsid w:val="00D56478"/>
    <w:rsid w:val="00D56F0D"/>
    <w:rsid w:val="00D601D0"/>
    <w:rsid w:val="00D60286"/>
    <w:rsid w:val="00D640CA"/>
    <w:rsid w:val="00D64178"/>
    <w:rsid w:val="00D7084A"/>
    <w:rsid w:val="00D77587"/>
    <w:rsid w:val="00D77B23"/>
    <w:rsid w:val="00D77CF4"/>
    <w:rsid w:val="00D80A39"/>
    <w:rsid w:val="00D830BD"/>
    <w:rsid w:val="00D85028"/>
    <w:rsid w:val="00D91938"/>
    <w:rsid w:val="00D938EE"/>
    <w:rsid w:val="00D93DAF"/>
    <w:rsid w:val="00D966DE"/>
    <w:rsid w:val="00DA223F"/>
    <w:rsid w:val="00DA2391"/>
    <w:rsid w:val="00DA3FC7"/>
    <w:rsid w:val="00DA434C"/>
    <w:rsid w:val="00DB4EB1"/>
    <w:rsid w:val="00DB4FD0"/>
    <w:rsid w:val="00DB52FC"/>
    <w:rsid w:val="00DB5A63"/>
    <w:rsid w:val="00DC0542"/>
    <w:rsid w:val="00DC234D"/>
    <w:rsid w:val="00DC2A92"/>
    <w:rsid w:val="00DC2FC7"/>
    <w:rsid w:val="00DC30DF"/>
    <w:rsid w:val="00DC36AE"/>
    <w:rsid w:val="00DC38C1"/>
    <w:rsid w:val="00DC55B2"/>
    <w:rsid w:val="00DC66DB"/>
    <w:rsid w:val="00DC6AEB"/>
    <w:rsid w:val="00DD1C75"/>
    <w:rsid w:val="00DD483F"/>
    <w:rsid w:val="00DD57D0"/>
    <w:rsid w:val="00DD5F44"/>
    <w:rsid w:val="00DD6B95"/>
    <w:rsid w:val="00DE1B0B"/>
    <w:rsid w:val="00DE3FB0"/>
    <w:rsid w:val="00DE5E88"/>
    <w:rsid w:val="00DF09E7"/>
    <w:rsid w:val="00DF65B1"/>
    <w:rsid w:val="00DF688D"/>
    <w:rsid w:val="00E00114"/>
    <w:rsid w:val="00E007A2"/>
    <w:rsid w:val="00E02248"/>
    <w:rsid w:val="00E03891"/>
    <w:rsid w:val="00E05EA8"/>
    <w:rsid w:val="00E079BC"/>
    <w:rsid w:val="00E10FD4"/>
    <w:rsid w:val="00E116E3"/>
    <w:rsid w:val="00E126AF"/>
    <w:rsid w:val="00E12FC6"/>
    <w:rsid w:val="00E15EAA"/>
    <w:rsid w:val="00E16073"/>
    <w:rsid w:val="00E16229"/>
    <w:rsid w:val="00E171DF"/>
    <w:rsid w:val="00E17236"/>
    <w:rsid w:val="00E17E07"/>
    <w:rsid w:val="00E233A4"/>
    <w:rsid w:val="00E25784"/>
    <w:rsid w:val="00E25E98"/>
    <w:rsid w:val="00E31F4F"/>
    <w:rsid w:val="00E32600"/>
    <w:rsid w:val="00E3392C"/>
    <w:rsid w:val="00E36AB2"/>
    <w:rsid w:val="00E4097F"/>
    <w:rsid w:val="00E41FD3"/>
    <w:rsid w:val="00E4293A"/>
    <w:rsid w:val="00E42D2A"/>
    <w:rsid w:val="00E43A4B"/>
    <w:rsid w:val="00E449BF"/>
    <w:rsid w:val="00E46B36"/>
    <w:rsid w:val="00E477FF"/>
    <w:rsid w:val="00E50E75"/>
    <w:rsid w:val="00E51F0F"/>
    <w:rsid w:val="00E54309"/>
    <w:rsid w:val="00E545C9"/>
    <w:rsid w:val="00E56802"/>
    <w:rsid w:val="00E56C84"/>
    <w:rsid w:val="00E6260B"/>
    <w:rsid w:val="00E627DE"/>
    <w:rsid w:val="00E64D08"/>
    <w:rsid w:val="00E64E9A"/>
    <w:rsid w:val="00E66A07"/>
    <w:rsid w:val="00E67672"/>
    <w:rsid w:val="00E679DE"/>
    <w:rsid w:val="00E71880"/>
    <w:rsid w:val="00E7516A"/>
    <w:rsid w:val="00E77A7E"/>
    <w:rsid w:val="00E801AE"/>
    <w:rsid w:val="00E81B0C"/>
    <w:rsid w:val="00E82358"/>
    <w:rsid w:val="00E82C63"/>
    <w:rsid w:val="00E82E74"/>
    <w:rsid w:val="00E82F2F"/>
    <w:rsid w:val="00E84026"/>
    <w:rsid w:val="00E8538F"/>
    <w:rsid w:val="00E85B1A"/>
    <w:rsid w:val="00E85E84"/>
    <w:rsid w:val="00E911AA"/>
    <w:rsid w:val="00E91752"/>
    <w:rsid w:val="00E966E9"/>
    <w:rsid w:val="00EA17C4"/>
    <w:rsid w:val="00EA3D2B"/>
    <w:rsid w:val="00EB1A48"/>
    <w:rsid w:val="00EB230C"/>
    <w:rsid w:val="00EB4DA3"/>
    <w:rsid w:val="00EB56C9"/>
    <w:rsid w:val="00EB62AC"/>
    <w:rsid w:val="00EC0197"/>
    <w:rsid w:val="00EC0A94"/>
    <w:rsid w:val="00EC197E"/>
    <w:rsid w:val="00EC29F1"/>
    <w:rsid w:val="00EC2C74"/>
    <w:rsid w:val="00EC3C1C"/>
    <w:rsid w:val="00EC7A2C"/>
    <w:rsid w:val="00ED3360"/>
    <w:rsid w:val="00ED435E"/>
    <w:rsid w:val="00ED49C6"/>
    <w:rsid w:val="00ED5ADF"/>
    <w:rsid w:val="00ED5CC7"/>
    <w:rsid w:val="00ED72F5"/>
    <w:rsid w:val="00EE19D4"/>
    <w:rsid w:val="00EE30AA"/>
    <w:rsid w:val="00EE5D4A"/>
    <w:rsid w:val="00EF1FBA"/>
    <w:rsid w:val="00EF63FC"/>
    <w:rsid w:val="00F0338C"/>
    <w:rsid w:val="00F03631"/>
    <w:rsid w:val="00F06FD2"/>
    <w:rsid w:val="00F07E53"/>
    <w:rsid w:val="00F1429A"/>
    <w:rsid w:val="00F14BCC"/>
    <w:rsid w:val="00F171BD"/>
    <w:rsid w:val="00F172A5"/>
    <w:rsid w:val="00F22665"/>
    <w:rsid w:val="00F23E57"/>
    <w:rsid w:val="00F30D36"/>
    <w:rsid w:val="00F31A91"/>
    <w:rsid w:val="00F329D6"/>
    <w:rsid w:val="00F36807"/>
    <w:rsid w:val="00F40093"/>
    <w:rsid w:val="00F428E7"/>
    <w:rsid w:val="00F43DD4"/>
    <w:rsid w:val="00F54F19"/>
    <w:rsid w:val="00F55672"/>
    <w:rsid w:val="00F61FF2"/>
    <w:rsid w:val="00F63359"/>
    <w:rsid w:val="00F64823"/>
    <w:rsid w:val="00F667C1"/>
    <w:rsid w:val="00F67162"/>
    <w:rsid w:val="00F73788"/>
    <w:rsid w:val="00F77BAF"/>
    <w:rsid w:val="00F81A9B"/>
    <w:rsid w:val="00F9005F"/>
    <w:rsid w:val="00F90AB0"/>
    <w:rsid w:val="00F90AD0"/>
    <w:rsid w:val="00F924B1"/>
    <w:rsid w:val="00F94D06"/>
    <w:rsid w:val="00FA36BC"/>
    <w:rsid w:val="00FA63ED"/>
    <w:rsid w:val="00FB0DA7"/>
    <w:rsid w:val="00FB46A5"/>
    <w:rsid w:val="00FB4790"/>
    <w:rsid w:val="00FB6331"/>
    <w:rsid w:val="00FC1A5F"/>
    <w:rsid w:val="00FC5844"/>
    <w:rsid w:val="00FC6C54"/>
    <w:rsid w:val="00FC6DBC"/>
    <w:rsid w:val="00FD27F6"/>
    <w:rsid w:val="00FD4012"/>
    <w:rsid w:val="00FD742A"/>
    <w:rsid w:val="00FE1791"/>
    <w:rsid w:val="00FE316B"/>
    <w:rsid w:val="00FE60E8"/>
    <w:rsid w:val="00FF303A"/>
    <w:rsid w:val="00FF639A"/>
    <w:rsid w:val="00FF6ED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26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877"/>
    <w:rPr>
      <w:color w:val="000000"/>
      <w:sz w:val="24"/>
    </w:rPr>
  </w:style>
  <w:style w:type="paragraph" w:styleId="Heading9">
    <w:name w:val="heading 9"/>
    <w:basedOn w:val="Normal"/>
    <w:next w:val="Normal"/>
    <w:link w:val="Heading9Char"/>
    <w:uiPriority w:val="99"/>
    <w:qFormat/>
    <w:rsid w:val="00C26877"/>
    <w:pPr>
      <w:spacing w:before="240" w:after="60"/>
      <w:outlineLvl w:val="8"/>
    </w:pPr>
    <w:rPr>
      <w:rFonts w:ascii="Arial" w:eastAsia="Times New Roman" w:hAnsi="Arial" w:cs="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C26877"/>
    <w:rPr>
      <w:rFonts w:ascii="Arial" w:hAnsi="Arial" w:cs="Arial"/>
      <w:sz w:val="22"/>
      <w:szCs w:val="22"/>
    </w:rPr>
  </w:style>
  <w:style w:type="paragraph" w:styleId="BalloonText">
    <w:name w:val="Balloon Text"/>
    <w:basedOn w:val="Normal"/>
    <w:link w:val="BalloonTextChar"/>
    <w:uiPriority w:val="99"/>
    <w:semiHidden/>
    <w:rsid w:val="00C268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6877"/>
    <w:rPr>
      <w:rFonts w:ascii="Tahoma" w:hAnsi="Tahoma" w:cs="Tahoma"/>
      <w:sz w:val="16"/>
      <w:szCs w:val="16"/>
    </w:rPr>
  </w:style>
  <w:style w:type="paragraph" w:styleId="ListParagraph">
    <w:name w:val="List Paragraph"/>
    <w:basedOn w:val="Normal"/>
    <w:uiPriority w:val="34"/>
    <w:qFormat/>
    <w:rsid w:val="00C26877"/>
    <w:pPr>
      <w:ind w:left="720"/>
      <w:contextualSpacing/>
    </w:pPr>
  </w:style>
  <w:style w:type="paragraph" w:styleId="NormalWeb">
    <w:name w:val="Normal (Web)"/>
    <w:basedOn w:val="Normal"/>
    <w:uiPriority w:val="99"/>
    <w:semiHidden/>
    <w:rsid w:val="00C26877"/>
    <w:pPr>
      <w:spacing w:before="100" w:beforeAutospacing="1" w:after="100" w:afterAutospacing="1"/>
    </w:pPr>
    <w:rPr>
      <w:rFonts w:eastAsia="Times New Roman"/>
      <w:color w:val="auto"/>
      <w:szCs w:val="24"/>
    </w:rPr>
  </w:style>
  <w:style w:type="character" w:styleId="Hyperlink">
    <w:name w:val="Hyperlink"/>
    <w:basedOn w:val="DefaultParagraphFont"/>
    <w:uiPriority w:val="99"/>
    <w:rsid w:val="00C26877"/>
    <w:rPr>
      <w:rFonts w:cs="Times New Roman"/>
      <w:color w:val="0000FF"/>
      <w:u w:val="single"/>
    </w:rPr>
  </w:style>
  <w:style w:type="paragraph" w:styleId="EndnoteText">
    <w:name w:val="endnote text"/>
    <w:basedOn w:val="Normal"/>
    <w:link w:val="EndnoteTextChar"/>
    <w:uiPriority w:val="99"/>
    <w:rsid w:val="00C26877"/>
    <w:pPr>
      <w:widowControl w:val="0"/>
    </w:pPr>
    <w:rPr>
      <w:rFonts w:ascii="Courier New" w:eastAsia="Times New Roman" w:hAnsi="Courier New"/>
      <w:color w:val="auto"/>
      <w:szCs w:val="20"/>
    </w:rPr>
  </w:style>
  <w:style w:type="character" w:customStyle="1" w:styleId="EndnoteTextChar">
    <w:name w:val="Endnote Text Char"/>
    <w:basedOn w:val="DefaultParagraphFont"/>
    <w:link w:val="EndnoteText"/>
    <w:uiPriority w:val="99"/>
    <w:locked/>
    <w:rsid w:val="00C26877"/>
    <w:rPr>
      <w:rFonts w:ascii="Courier New" w:hAnsi="Courier New" w:cs="Times New Roman"/>
      <w:color w:val="auto"/>
      <w:sz w:val="20"/>
      <w:szCs w:val="20"/>
    </w:rPr>
  </w:style>
  <w:style w:type="paragraph" w:styleId="Header">
    <w:name w:val="header"/>
    <w:basedOn w:val="Normal"/>
    <w:link w:val="HeaderChar"/>
    <w:uiPriority w:val="99"/>
    <w:rsid w:val="00C26877"/>
    <w:pPr>
      <w:tabs>
        <w:tab w:val="center" w:pos="4680"/>
        <w:tab w:val="right" w:pos="9360"/>
      </w:tabs>
    </w:pPr>
  </w:style>
  <w:style w:type="character" w:customStyle="1" w:styleId="HeaderChar">
    <w:name w:val="Header Char"/>
    <w:basedOn w:val="DefaultParagraphFont"/>
    <w:link w:val="Header"/>
    <w:uiPriority w:val="99"/>
    <w:locked/>
    <w:rsid w:val="00C26877"/>
    <w:rPr>
      <w:rFonts w:cs="Times New Roman"/>
    </w:rPr>
  </w:style>
  <w:style w:type="paragraph" w:styleId="Footer">
    <w:name w:val="footer"/>
    <w:basedOn w:val="Normal"/>
    <w:link w:val="FooterChar"/>
    <w:uiPriority w:val="99"/>
    <w:rsid w:val="00C26877"/>
    <w:pPr>
      <w:tabs>
        <w:tab w:val="center" w:pos="4680"/>
        <w:tab w:val="right" w:pos="9360"/>
      </w:tabs>
    </w:pPr>
  </w:style>
  <w:style w:type="character" w:customStyle="1" w:styleId="FooterChar">
    <w:name w:val="Footer Char"/>
    <w:basedOn w:val="DefaultParagraphFont"/>
    <w:link w:val="Footer"/>
    <w:uiPriority w:val="99"/>
    <w:locked/>
    <w:rsid w:val="00C26877"/>
    <w:rPr>
      <w:rFonts w:cs="Times New Roman"/>
    </w:rPr>
  </w:style>
  <w:style w:type="table" w:styleId="TableGrid">
    <w:name w:val="Table Grid"/>
    <w:basedOn w:val="TableNormal"/>
    <w:uiPriority w:val="39"/>
    <w:rsid w:val="00C26877"/>
    <w:rPr>
      <w:rFonts w:ascii="Calibri" w:eastAsia="Times New Roman"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C26877"/>
    <w:rPr>
      <w:rFonts w:cs="Times New Roman"/>
      <w:sz w:val="16"/>
      <w:szCs w:val="16"/>
    </w:rPr>
  </w:style>
  <w:style w:type="paragraph" w:styleId="CommentText">
    <w:name w:val="annotation text"/>
    <w:basedOn w:val="Normal"/>
    <w:link w:val="CommentTextChar"/>
    <w:uiPriority w:val="99"/>
    <w:semiHidden/>
    <w:rsid w:val="00C26877"/>
    <w:rPr>
      <w:sz w:val="20"/>
      <w:szCs w:val="20"/>
    </w:rPr>
  </w:style>
  <w:style w:type="character" w:customStyle="1" w:styleId="CommentTextChar">
    <w:name w:val="Comment Text Char"/>
    <w:basedOn w:val="DefaultParagraphFont"/>
    <w:link w:val="CommentText"/>
    <w:uiPriority w:val="99"/>
    <w:semiHidden/>
    <w:locked/>
    <w:rsid w:val="00C26877"/>
    <w:rPr>
      <w:rFonts w:cs="Times New Roman"/>
      <w:sz w:val="20"/>
      <w:szCs w:val="20"/>
    </w:rPr>
  </w:style>
  <w:style w:type="paragraph" w:styleId="CommentSubject">
    <w:name w:val="annotation subject"/>
    <w:basedOn w:val="CommentText"/>
    <w:next w:val="CommentText"/>
    <w:link w:val="CommentSubjectChar"/>
    <w:uiPriority w:val="99"/>
    <w:semiHidden/>
    <w:rsid w:val="00C26877"/>
    <w:rPr>
      <w:b/>
      <w:bCs/>
    </w:rPr>
  </w:style>
  <w:style w:type="character" w:customStyle="1" w:styleId="CommentSubjectChar">
    <w:name w:val="Comment Subject Char"/>
    <w:basedOn w:val="CommentTextChar"/>
    <w:link w:val="CommentSubject"/>
    <w:uiPriority w:val="99"/>
    <w:semiHidden/>
    <w:locked/>
    <w:rsid w:val="00C26877"/>
    <w:rPr>
      <w:rFonts w:cs="Times New Roman"/>
      <w:b/>
      <w:bCs/>
      <w:sz w:val="20"/>
      <w:szCs w:val="20"/>
    </w:rPr>
  </w:style>
  <w:style w:type="paragraph" w:styleId="FootnoteText">
    <w:name w:val="footnote text"/>
    <w:basedOn w:val="Normal"/>
    <w:link w:val="FootnoteTextChar"/>
    <w:uiPriority w:val="99"/>
    <w:semiHidden/>
    <w:rsid w:val="00C26877"/>
    <w:rPr>
      <w:sz w:val="20"/>
      <w:szCs w:val="20"/>
    </w:rPr>
  </w:style>
  <w:style w:type="character" w:customStyle="1" w:styleId="FootnoteTextChar">
    <w:name w:val="Footnote Text Char"/>
    <w:basedOn w:val="DefaultParagraphFont"/>
    <w:link w:val="FootnoteText"/>
    <w:uiPriority w:val="99"/>
    <w:semiHidden/>
    <w:locked/>
    <w:rsid w:val="00C26877"/>
    <w:rPr>
      <w:rFonts w:cs="Times New Roman"/>
      <w:sz w:val="20"/>
      <w:szCs w:val="20"/>
    </w:rPr>
  </w:style>
  <w:style w:type="character" w:styleId="FootnoteReference">
    <w:name w:val="footnote reference"/>
    <w:basedOn w:val="DefaultParagraphFont"/>
    <w:uiPriority w:val="99"/>
    <w:rsid w:val="00C26877"/>
    <w:rPr>
      <w:rFonts w:cs="Times New Roman"/>
      <w:vertAlign w:val="superscript"/>
    </w:rPr>
  </w:style>
  <w:style w:type="paragraph" w:styleId="NoSpacing">
    <w:name w:val="No Spacing"/>
    <w:uiPriority w:val="99"/>
    <w:qFormat/>
    <w:rsid w:val="00C26877"/>
    <w:rPr>
      <w:sz w:val="24"/>
    </w:rPr>
  </w:style>
  <w:style w:type="paragraph" w:styleId="Revision">
    <w:name w:val="Revision"/>
    <w:hidden/>
    <w:uiPriority w:val="99"/>
    <w:semiHidden/>
    <w:rsid w:val="00C26877"/>
    <w:rPr>
      <w:color w:val="000000"/>
      <w:sz w:val="24"/>
    </w:rPr>
  </w:style>
  <w:style w:type="paragraph" w:customStyle="1" w:styleId="Char">
    <w:name w:val="Char"/>
    <w:basedOn w:val="Normal"/>
    <w:uiPriority w:val="99"/>
    <w:rsid w:val="00C26877"/>
    <w:pPr>
      <w:spacing w:after="160" w:line="240" w:lineRule="exact"/>
    </w:pPr>
    <w:rPr>
      <w:rFonts w:ascii="Tahoma" w:eastAsia="Times New Roman" w:hAnsi="Tahoma"/>
      <w:color w:val="auto"/>
      <w:sz w:val="20"/>
      <w:szCs w:val="20"/>
    </w:rPr>
  </w:style>
  <w:style w:type="character" w:styleId="FollowedHyperlink">
    <w:name w:val="FollowedHyperlink"/>
    <w:basedOn w:val="DefaultParagraphFont"/>
    <w:uiPriority w:val="99"/>
    <w:semiHidden/>
    <w:unhideWhenUsed/>
    <w:rsid w:val="00F63359"/>
    <w:rPr>
      <w:color w:val="800080" w:themeColor="followedHyperlink"/>
      <w:u w:val="single"/>
    </w:rPr>
  </w:style>
  <w:style w:type="character" w:customStyle="1" w:styleId="FootnoteTextChar1">
    <w:name w:val="Footnote Text Char1"/>
    <w:basedOn w:val="DefaultParagraphFont"/>
    <w:uiPriority w:val="99"/>
    <w:semiHidden/>
    <w:rsid w:val="00114EC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877"/>
    <w:rPr>
      <w:color w:val="000000"/>
      <w:sz w:val="24"/>
    </w:rPr>
  </w:style>
  <w:style w:type="paragraph" w:styleId="Heading9">
    <w:name w:val="heading 9"/>
    <w:basedOn w:val="Normal"/>
    <w:next w:val="Normal"/>
    <w:link w:val="Heading9Char"/>
    <w:uiPriority w:val="99"/>
    <w:qFormat/>
    <w:rsid w:val="00C26877"/>
    <w:pPr>
      <w:spacing w:before="240" w:after="60"/>
      <w:outlineLvl w:val="8"/>
    </w:pPr>
    <w:rPr>
      <w:rFonts w:ascii="Arial" w:eastAsia="Times New Roman" w:hAnsi="Arial" w:cs="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C26877"/>
    <w:rPr>
      <w:rFonts w:ascii="Arial" w:hAnsi="Arial" w:cs="Arial"/>
      <w:sz w:val="22"/>
      <w:szCs w:val="22"/>
    </w:rPr>
  </w:style>
  <w:style w:type="paragraph" w:styleId="BalloonText">
    <w:name w:val="Balloon Text"/>
    <w:basedOn w:val="Normal"/>
    <w:link w:val="BalloonTextChar"/>
    <w:uiPriority w:val="99"/>
    <w:semiHidden/>
    <w:rsid w:val="00C268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6877"/>
    <w:rPr>
      <w:rFonts w:ascii="Tahoma" w:hAnsi="Tahoma" w:cs="Tahoma"/>
      <w:sz w:val="16"/>
      <w:szCs w:val="16"/>
    </w:rPr>
  </w:style>
  <w:style w:type="paragraph" w:styleId="ListParagraph">
    <w:name w:val="List Paragraph"/>
    <w:basedOn w:val="Normal"/>
    <w:uiPriority w:val="34"/>
    <w:qFormat/>
    <w:rsid w:val="00C26877"/>
    <w:pPr>
      <w:ind w:left="720"/>
      <w:contextualSpacing/>
    </w:pPr>
  </w:style>
  <w:style w:type="paragraph" w:styleId="NormalWeb">
    <w:name w:val="Normal (Web)"/>
    <w:basedOn w:val="Normal"/>
    <w:uiPriority w:val="99"/>
    <w:semiHidden/>
    <w:rsid w:val="00C26877"/>
    <w:pPr>
      <w:spacing w:before="100" w:beforeAutospacing="1" w:after="100" w:afterAutospacing="1"/>
    </w:pPr>
    <w:rPr>
      <w:rFonts w:eastAsia="Times New Roman"/>
      <w:color w:val="auto"/>
      <w:szCs w:val="24"/>
    </w:rPr>
  </w:style>
  <w:style w:type="character" w:styleId="Hyperlink">
    <w:name w:val="Hyperlink"/>
    <w:basedOn w:val="DefaultParagraphFont"/>
    <w:uiPriority w:val="99"/>
    <w:rsid w:val="00C26877"/>
    <w:rPr>
      <w:rFonts w:cs="Times New Roman"/>
      <w:color w:val="0000FF"/>
      <w:u w:val="single"/>
    </w:rPr>
  </w:style>
  <w:style w:type="paragraph" w:styleId="EndnoteText">
    <w:name w:val="endnote text"/>
    <w:basedOn w:val="Normal"/>
    <w:link w:val="EndnoteTextChar"/>
    <w:uiPriority w:val="99"/>
    <w:rsid w:val="00C26877"/>
    <w:pPr>
      <w:widowControl w:val="0"/>
    </w:pPr>
    <w:rPr>
      <w:rFonts w:ascii="Courier New" w:eastAsia="Times New Roman" w:hAnsi="Courier New"/>
      <w:color w:val="auto"/>
      <w:szCs w:val="20"/>
    </w:rPr>
  </w:style>
  <w:style w:type="character" w:customStyle="1" w:styleId="EndnoteTextChar">
    <w:name w:val="Endnote Text Char"/>
    <w:basedOn w:val="DefaultParagraphFont"/>
    <w:link w:val="EndnoteText"/>
    <w:uiPriority w:val="99"/>
    <w:locked/>
    <w:rsid w:val="00C26877"/>
    <w:rPr>
      <w:rFonts w:ascii="Courier New" w:hAnsi="Courier New" w:cs="Times New Roman"/>
      <w:color w:val="auto"/>
      <w:sz w:val="20"/>
      <w:szCs w:val="20"/>
    </w:rPr>
  </w:style>
  <w:style w:type="paragraph" w:styleId="Header">
    <w:name w:val="header"/>
    <w:basedOn w:val="Normal"/>
    <w:link w:val="HeaderChar"/>
    <w:uiPriority w:val="99"/>
    <w:rsid w:val="00C26877"/>
    <w:pPr>
      <w:tabs>
        <w:tab w:val="center" w:pos="4680"/>
        <w:tab w:val="right" w:pos="9360"/>
      </w:tabs>
    </w:pPr>
  </w:style>
  <w:style w:type="character" w:customStyle="1" w:styleId="HeaderChar">
    <w:name w:val="Header Char"/>
    <w:basedOn w:val="DefaultParagraphFont"/>
    <w:link w:val="Header"/>
    <w:uiPriority w:val="99"/>
    <w:locked/>
    <w:rsid w:val="00C26877"/>
    <w:rPr>
      <w:rFonts w:cs="Times New Roman"/>
    </w:rPr>
  </w:style>
  <w:style w:type="paragraph" w:styleId="Footer">
    <w:name w:val="footer"/>
    <w:basedOn w:val="Normal"/>
    <w:link w:val="FooterChar"/>
    <w:uiPriority w:val="99"/>
    <w:rsid w:val="00C26877"/>
    <w:pPr>
      <w:tabs>
        <w:tab w:val="center" w:pos="4680"/>
        <w:tab w:val="right" w:pos="9360"/>
      </w:tabs>
    </w:pPr>
  </w:style>
  <w:style w:type="character" w:customStyle="1" w:styleId="FooterChar">
    <w:name w:val="Footer Char"/>
    <w:basedOn w:val="DefaultParagraphFont"/>
    <w:link w:val="Footer"/>
    <w:uiPriority w:val="99"/>
    <w:locked/>
    <w:rsid w:val="00C26877"/>
    <w:rPr>
      <w:rFonts w:cs="Times New Roman"/>
    </w:rPr>
  </w:style>
  <w:style w:type="table" w:styleId="TableGrid">
    <w:name w:val="Table Grid"/>
    <w:basedOn w:val="TableNormal"/>
    <w:uiPriority w:val="39"/>
    <w:rsid w:val="00C26877"/>
    <w:rPr>
      <w:rFonts w:ascii="Calibri" w:eastAsia="Times New Roman"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C26877"/>
    <w:rPr>
      <w:rFonts w:cs="Times New Roman"/>
      <w:sz w:val="16"/>
      <w:szCs w:val="16"/>
    </w:rPr>
  </w:style>
  <w:style w:type="paragraph" w:styleId="CommentText">
    <w:name w:val="annotation text"/>
    <w:basedOn w:val="Normal"/>
    <w:link w:val="CommentTextChar"/>
    <w:uiPriority w:val="99"/>
    <w:semiHidden/>
    <w:rsid w:val="00C26877"/>
    <w:rPr>
      <w:sz w:val="20"/>
      <w:szCs w:val="20"/>
    </w:rPr>
  </w:style>
  <w:style w:type="character" w:customStyle="1" w:styleId="CommentTextChar">
    <w:name w:val="Comment Text Char"/>
    <w:basedOn w:val="DefaultParagraphFont"/>
    <w:link w:val="CommentText"/>
    <w:uiPriority w:val="99"/>
    <w:semiHidden/>
    <w:locked/>
    <w:rsid w:val="00C26877"/>
    <w:rPr>
      <w:rFonts w:cs="Times New Roman"/>
      <w:sz w:val="20"/>
      <w:szCs w:val="20"/>
    </w:rPr>
  </w:style>
  <w:style w:type="paragraph" w:styleId="CommentSubject">
    <w:name w:val="annotation subject"/>
    <w:basedOn w:val="CommentText"/>
    <w:next w:val="CommentText"/>
    <w:link w:val="CommentSubjectChar"/>
    <w:uiPriority w:val="99"/>
    <w:semiHidden/>
    <w:rsid w:val="00C26877"/>
    <w:rPr>
      <w:b/>
      <w:bCs/>
    </w:rPr>
  </w:style>
  <w:style w:type="character" w:customStyle="1" w:styleId="CommentSubjectChar">
    <w:name w:val="Comment Subject Char"/>
    <w:basedOn w:val="CommentTextChar"/>
    <w:link w:val="CommentSubject"/>
    <w:uiPriority w:val="99"/>
    <w:semiHidden/>
    <w:locked/>
    <w:rsid w:val="00C26877"/>
    <w:rPr>
      <w:rFonts w:cs="Times New Roman"/>
      <w:b/>
      <w:bCs/>
      <w:sz w:val="20"/>
      <w:szCs w:val="20"/>
    </w:rPr>
  </w:style>
  <w:style w:type="paragraph" w:styleId="FootnoteText">
    <w:name w:val="footnote text"/>
    <w:basedOn w:val="Normal"/>
    <w:link w:val="FootnoteTextChar"/>
    <w:uiPriority w:val="99"/>
    <w:semiHidden/>
    <w:rsid w:val="00C26877"/>
    <w:rPr>
      <w:sz w:val="20"/>
      <w:szCs w:val="20"/>
    </w:rPr>
  </w:style>
  <w:style w:type="character" w:customStyle="1" w:styleId="FootnoteTextChar">
    <w:name w:val="Footnote Text Char"/>
    <w:basedOn w:val="DefaultParagraphFont"/>
    <w:link w:val="FootnoteText"/>
    <w:uiPriority w:val="99"/>
    <w:semiHidden/>
    <w:locked/>
    <w:rsid w:val="00C26877"/>
    <w:rPr>
      <w:rFonts w:cs="Times New Roman"/>
      <w:sz w:val="20"/>
      <w:szCs w:val="20"/>
    </w:rPr>
  </w:style>
  <w:style w:type="character" w:styleId="FootnoteReference">
    <w:name w:val="footnote reference"/>
    <w:basedOn w:val="DefaultParagraphFont"/>
    <w:uiPriority w:val="99"/>
    <w:rsid w:val="00C26877"/>
    <w:rPr>
      <w:rFonts w:cs="Times New Roman"/>
      <w:vertAlign w:val="superscript"/>
    </w:rPr>
  </w:style>
  <w:style w:type="paragraph" w:styleId="NoSpacing">
    <w:name w:val="No Spacing"/>
    <w:uiPriority w:val="99"/>
    <w:qFormat/>
    <w:rsid w:val="00C26877"/>
    <w:rPr>
      <w:sz w:val="24"/>
    </w:rPr>
  </w:style>
  <w:style w:type="paragraph" w:styleId="Revision">
    <w:name w:val="Revision"/>
    <w:hidden/>
    <w:uiPriority w:val="99"/>
    <w:semiHidden/>
    <w:rsid w:val="00C26877"/>
    <w:rPr>
      <w:color w:val="000000"/>
      <w:sz w:val="24"/>
    </w:rPr>
  </w:style>
  <w:style w:type="paragraph" w:customStyle="1" w:styleId="Char">
    <w:name w:val="Char"/>
    <w:basedOn w:val="Normal"/>
    <w:uiPriority w:val="99"/>
    <w:rsid w:val="00C26877"/>
    <w:pPr>
      <w:spacing w:after="160" w:line="240" w:lineRule="exact"/>
    </w:pPr>
    <w:rPr>
      <w:rFonts w:ascii="Tahoma" w:eastAsia="Times New Roman" w:hAnsi="Tahoma"/>
      <w:color w:val="auto"/>
      <w:sz w:val="20"/>
      <w:szCs w:val="20"/>
    </w:rPr>
  </w:style>
  <w:style w:type="character" w:styleId="FollowedHyperlink">
    <w:name w:val="FollowedHyperlink"/>
    <w:basedOn w:val="DefaultParagraphFont"/>
    <w:uiPriority w:val="99"/>
    <w:semiHidden/>
    <w:unhideWhenUsed/>
    <w:rsid w:val="00F63359"/>
    <w:rPr>
      <w:color w:val="800080" w:themeColor="followedHyperlink"/>
      <w:u w:val="single"/>
    </w:rPr>
  </w:style>
  <w:style w:type="character" w:customStyle="1" w:styleId="FootnoteTextChar1">
    <w:name w:val="Footnote Text Char1"/>
    <w:basedOn w:val="DefaultParagraphFont"/>
    <w:uiPriority w:val="99"/>
    <w:semiHidden/>
    <w:rsid w:val="00114EC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14340">
      <w:marLeft w:val="0"/>
      <w:marRight w:val="0"/>
      <w:marTop w:val="0"/>
      <w:marBottom w:val="0"/>
      <w:divBdr>
        <w:top w:val="none" w:sz="0" w:space="0" w:color="auto"/>
        <w:left w:val="none" w:sz="0" w:space="0" w:color="auto"/>
        <w:bottom w:val="none" w:sz="0" w:space="0" w:color="auto"/>
        <w:right w:val="none" w:sz="0" w:space="0" w:color="auto"/>
      </w:divBdr>
      <w:divsChild>
        <w:div w:id="1337614338">
          <w:marLeft w:val="0"/>
          <w:marRight w:val="0"/>
          <w:marTop w:val="0"/>
          <w:marBottom w:val="0"/>
          <w:divBdr>
            <w:top w:val="none" w:sz="0" w:space="0" w:color="auto"/>
            <w:left w:val="none" w:sz="0" w:space="0" w:color="auto"/>
            <w:bottom w:val="none" w:sz="0" w:space="0" w:color="auto"/>
            <w:right w:val="none" w:sz="0" w:space="0" w:color="auto"/>
          </w:divBdr>
          <w:divsChild>
            <w:div w:id="1337614339">
              <w:marLeft w:val="0"/>
              <w:marRight w:val="0"/>
              <w:marTop w:val="0"/>
              <w:marBottom w:val="0"/>
              <w:divBdr>
                <w:top w:val="none" w:sz="0" w:space="0" w:color="auto"/>
                <w:left w:val="none" w:sz="0" w:space="0" w:color="auto"/>
                <w:bottom w:val="none" w:sz="0" w:space="0" w:color="auto"/>
                <w:right w:val="none" w:sz="0" w:space="0" w:color="auto"/>
              </w:divBdr>
              <w:divsChild>
                <w:div w:id="1337614337">
                  <w:marLeft w:val="1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pkg/PLAW-105publ277/pdf/PLAW-105publ277.pdf" TargetMode="External"/><Relationship Id="rId2" Type="http://schemas.openxmlformats.org/officeDocument/2006/relationships/hyperlink" Target="https://www.dol.gov/ofccp/regs/compliance/directives/Dir2013_01_Revision1.pdf" TargetMode="External"/><Relationship Id="rId1" Type="http://schemas.openxmlformats.org/officeDocument/2006/relationships/hyperlink" Target="https://www.ecfr.gov/cgi-bin/text-idx?gp=&amp;SID=b686ff45080d69713c00bf18b651cc37&amp;mc=true&amp;tpl=/ecfrbrowse/Title41/41chapter60.tpl" TargetMode="External"/><Relationship Id="rId6" Type="http://schemas.openxmlformats.org/officeDocument/2006/relationships/hyperlink" Target="https://www.usps.com/ship/mail-shipping-services.htm" TargetMode="External"/><Relationship Id="rId5" Type="http://schemas.openxmlformats.org/officeDocument/2006/relationships/hyperlink" Target="https://www.bls.gov/news.release/ecec.toc.htm" TargetMode="External"/><Relationship Id="rId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FFC85-EE10-4F75-8E56-88F41085A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5877</Words>
  <Characters>33504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2019-04-19T16:15:00Z</dcterms:created>
  <dcterms:modified xsi:type="dcterms:W3CDTF">2019-04-19T16:15:00Z</dcterms:modified>
</cp:coreProperties>
</file>