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D38E0" w14:textId="77777777" w:rsidR="000F5D39" w:rsidRPr="00DD61C4" w:rsidRDefault="000F5D39" w:rsidP="000F5D39">
      <w:pPr>
        <w:jc w:val="center"/>
        <w:rPr>
          <w:b/>
        </w:rPr>
      </w:pPr>
      <w:bookmarkStart w:id="0" w:name="_GoBack"/>
      <w:bookmarkEnd w:id="0"/>
    </w:p>
    <w:p w14:paraId="578D38E1" w14:textId="77777777" w:rsidR="000F5D39" w:rsidRPr="00DD61C4" w:rsidRDefault="000F5D39" w:rsidP="000F5D39">
      <w:pPr>
        <w:jc w:val="center"/>
        <w:rPr>
          <w:b/>
        </w:rPr>
      </w:pPr>
    </w:p>
    <w:p w14:paraId="578D38E2" w14:textId="77777777" w:rsidR="000F5D39" w:rsidRPr="00DD61C4" w:rsidRDefault="000F5D39" w:rsidP="000F5D39">
      <w:pPr>
        <w:jc w:val="center"/>
        <w:rPr>
          <w:b/>
        </w:rPr>
      </w:pPr>
    </w:p>
    <w:p w14:paraId="578D38E3" w14:textId="77777777" w:rsidR="000F5D39" w:rsidRPr="00DD61C4" w:rsidRDefault="000F5D39" w:rsidP="000F5D39">
      <w:pPr>
        <w:pStyle w:val="ReportCover-Title"/>
        <w:rPr>
          <w:rFonts w:ascii="Times New Roman" w:hAnsi="Times New Roman"/>
          <w:color w:val="auto"/>
          <w:sz w:val="24"/>
          <w:szCs w:val="24"/>
        </w:rPr>
      </w:pPr>
    </w:p>
    <w:p w14:paraId="578D38E4" w14:textId="6DB115E4" w:rsidR="00857390" w:rsidRPr="00DD61C4" w:rsidRDefault="00857390" w:rsidP="00857390">
      <w:pPr>
        <w:pStyle w:val="ReportCover-Title"/>
        <w:jc w:val="center"/>
        <w:rPr>
          <w:rFonts w:ascii="Times New Roman" w:hAnsi="Times New Roman"/>
          <w:color w:val="auto"/>
          <w:sz w:val="24"/>
          <w:szCs w:val="24"/>
        </w:rPr>
      </w:pPr>
      <w:r w:rsidRPr="00DD61C4">
        <w:rPr>
          <w:rFonts w:ascii="Times New Roman" w:eastAsia="Arial Unicode MS" w:hAnsi="Times New Roman"/>
          <w:noProof/>
          <w:color w:val="auto"/>
          <w:sz w:val="24"/>
          <w:szCs w:val="24"/>
        </w:rPr>
        <w:t>Temporary Assistance for Needy Families (TANF) Data Innovation Project</w:t>
      </w:r>
    </w:p>
    <w:p w14:paraId="578D38E5" w14:textId="77777777" w:rsidR="000F5D39" w:rsidRPr="00DD61C4" w:rsidRDefault="000F5D39" w:rsidP="000F5D39">
      <w:pPr>
        <w:pStyle w:val="ReportCover-Title"/>
        <w:rPr>
          <w:rFonts w:ascii="Times New Roman" w:hAnsi="Times New Roman"/>
          <w:color w:val="auto"/>
          <w:sz w:val="24"/>
          <w:szCs w:val="24"/>
        </w:rPr>
      </w:pPr>
    </w:p>
    <w:p w14:paraId="578D38E6" w14:textId="77777777" w:rsidR="000F5D39" w:rsidRPr="00DD61C4" w:rsidRDefault="000F5D39" w:rsidP="000F5D39">
      <w:pPr>
        <w:pStyle w:val="ReportCover-Title"/>
        <w:rPr>
          <w:rFonts w:ascii="Times New Roman" w:hAnsi="Times New Roman"/>
          <w:color w:val="auto"/>
          <w:sz w:val="24"/>
          <w:szCs w:val="24"/>
        </w:rPr>
      </w:pPr>
    </w:p>
    <w:p w14:paraId="578D38E7" w14:textId="77777777" w:rsidR="000F5D39" w:rsidRPr="00DD61C4" w:rsidRDefault="000F5D39" w:rsidP="000F5D39">
      <w:pPr>
        <w:pStyle w:val="ReportCover-Title"/>
        <w:jc w:val="center"/>
        <w:rPr>
          <w:rFonts w:ascii="Times New Roman" w:hAnsi="Times New Roman"/>
          <w:color w:val="auto"/>
          <w:sz w:val="24"/>
          <w:szCs w:val="24"/>
        </w:rPr>
      </w:pPr>
      <w:r w:rsidRPr="00DD61C4">
        <w:rPr>
          <w:rFonts w:ascii="Times New Roman" w:hAnsi="Times New Roman"/>
          <w:color w:val="auto"/>
          <w:sz w:val="24"/>
          <w:szCs w:val="24"/>
        </w:rPr>
        <w:t>OMB Information Collection Request</w:t>
      </w:r>
    </w:p>
    <w:p w14:paraId="578D38E8" w14:textId="0C79889D" w:rsidR="000F5D39" w:rsidRPr="00DD61C4" w:rsidRDefault="00DC2A12" w:rsidP="000F5D39">
      <w:pPr>
        <w:pStyle w:val="ReportCover-Title"/>
        <w:jc w:val="center"/>
        <w:rPr>
          <w:rFonts w:ascii="Times New Roman" w:hAnsi="Times New Roman"/>
          <w:color w:val="auto"/>
          <w:sz w:val="24"/>
          <w:szCs w:val="24"/>
        </w:rPr>
      </w:pPr>
      <w:r>
        <w:rPr>
          <w:rFonts w:ascii="Times New Roman" w:hAnsi="Times New Roman"/>
          <w:color w:val="auto"/>
          <w:sz w:val="24"/>
          <w:szCs w:val="24"/>
        </w:rPr>
        <w:t>New Collection</w:t>
      </w:r>
    </w:p>
    <w:p w14:paraId="578D38E9" w14:textId="77777777" w:rsidR="000F5D39" w:rsidRPr="00DD61C4" w:rsidRDefault="000F5D39" w:rsidP="000F5D39"/>
    <w:p w14:paraId="578D38EA" w14:textId="77777777" w:rsidR="000F5D39" w:rsidRPr="00DD61C4" w:rsidRDefault="000F5D39" w:rsidP="000F5D39">
      <w:pPr>
        <w:pStyle w:val="ReportCover-Date"/>
        <w:jc w:val="center"/>
        <w:rPr>
          <w:rFonts w:ascii="Times New Roman" w:hAnsi="Times New Roman"/>
          <w:color w:val="auto"/>
          <w:szCs w:val="24"/>
        </w:rPr>
      </w:pPr>
    </w:p>
    <w:p w14:paraId="578D38EB" w14:textId="77777777" w:rsidR="000F5D39" w:rsidRPr="00DD61C4" w:rsidRDefault="000F5D39" w:rsidP="000F5D39">
      <w:pPr>
        <w:pStyle w:val="ReportCover-Date"/>
        <w:spacing w:after="360" w:line="240" w:lineRule="auto"/>
        <w:jc w:val="center"/>
        <w:rPr>
          <w:rFonts w:ascii="Times New Roman" w:hAnsi="Times New Roman"/>
          <w:color w:val="auto"/>
          <w:szCs w:val="24"/>
        </w:rPr>
      </w:pPr>
      <w:r w:rsidRPr="00DD61C4">
        <w:rPr>
          <w:rFonts w:ascii="Times New Roman" w:hAnsi="Times New Roman"/>
          <w:color w:val="auto"/>
          <w:szCs w:val="24"/>
        </w:rPr>
        <w:t>Supporting Statement</w:t>
      </w:r>
    </w:p>
    <w:p w14:paraId="578D38EC" w14:textId="77777777" w:rsidR="000F5D39" w:rsidRPr="00DD61C4" w:rsidRDefault="000F5D39" w:rsidP="000F5D39">
      <w:pPr>
        <w:pStyle w:val="ReportCover-Date"/>
        <w:spacing w:after="360" w:line="240" w:lineRule="auto"/>
        <w:jc w:val="center"/>
        <w:rPr>
          <w:rFonts w:ascii="Times New Roman" w:hAnsi="Times New Roman"/>
          <w:color w:val="auto"/>
          <w:szCs w:val="24"/>
        </w:rPr>
      </w:pPr>
      <w:r w:rsidRPr="00DD61C4">
        <w:rPr>
          <w:rFonts w:ascii="Times New Roman" w:hAnsi="Times New Roman"/>
          <w:color w:val="auto"/>
          <w:szCs w:val="24"/>
        </w:rPr>
        <w:t xml:space="preserve">Part </w:t>
      </w:r>
      <w:r w:rsidR="006F30E0" w:rsidRPr="00DD61C4">
        <w:rPr>
          <w:rFonts w:ascii="Times New Roman" w:hAnsi="Times New Roman"/>
          <w:color w:val="auto"/>
          <w:szCs w:val="24"/>
        </w:rPr>
        <w:t>B</w:t>
      </w:r>
    </w:p>
    <w:p w14:paraId="578D38ED" w14:textId="19A330DD" w:rsidR="0030356A" w:rsidRPr="00DD61C4" w:rsidRDefault="00290717" w:rsidP="0030356A">
      <w:pPr>
        <w:pStyle w:val="ReportCover-Date"/>
        <w:jc w:val="center"/>
        <w:rPr>
          <w:rFonts w:ascii="Times New Roman" w:hAnsi="Times New Roman"/>
          <w:color w:val="auto"/>
          <w:szCs w:val="24"/>
        </w:rPr>
      </w:pPr>
      <w:r w:rsidRPr="00290717">
        <w:rPr>
          <w:rFonts w:ascii="Times New Roman" w:hAnsi="Times New Roman"/>
          <w:color w:val="auto"/>
          <w:szCs w:val="24"/>
        </w:rPr>
        <w:t>September</w:t>
      </w:r>
      <w:r w:rsidR="008F1314" w:rsidRPr="00DD61C4">
        <w:rPr>
          <w:rFonts w:ascii="Times New Roman" w:hAnsi="Times New Roman"/>
          <w:color w:val="auto"/>
          <w:szCs w:val="24"/>
        </w:rPr>
        <w:t xml:space="preserve"> </w:t>
      </w:r>
      <w:r w:rsidR="007B3109" w:rsidRPr="00DD61C4">
        <w:rPr>
          <w:rFonts w:ascii="Times New Roman" w:hAnsi="Times New Roman"/>
          <w:color w:val="auto"/>
          <w:szCs w:val="24"/>
        </w:rPr>
        <w:t>2018</w:t>
      </w:r>
    </w:p>
    <w:p w14:paraId="578D38EE" w14:textId="77777777" w:rsidR="000F5D39" w:rsidRPr="00DD61C4" w:rsidRDefault="000F5D39" w:rsidP="000F5D39">
      <w:pPr>
        <w:jc w:val="center"/>
      </w:pPr>
    </w:p>
    <w:p w14:paraId="578D38EF" w14:textId="77777777" w:rsidR="000F5D39" w:rsidRPr="00DD61C4" w:rsidRDefault="000F5D39" w:rsidP="000F5D39">
      <w:pPr>
        <w:jc w:val="center"/>
      </w:pPr>
      <w:r w:rsidRPr="00DD61C4">
        <w:t>Submitted By:</w:t>
      </w:r>
    </w:p>
    <w:p w14:paraId="578D38F0" w14:textId="77777777" w:rsidR="000F5D39" w:rsidRPr="00DD61C4" w:rsidRDefault="000F5D39" w:rsidP="000F5D39">
      <w:pPr>
        <w:jc w:val="center"/>
      </w:pPr>
      <w:r w:rsidRPr="00DD61C4">
        <w:t>Office of Planning, Research</w:t>
      </w:r>
      <w:r w:rsidR="00316D23" w:rsidRPr="00DD61C4">
        <w:t>,</w:t>
      </w:r>
      <w:r w:rsidRPr="00DD61C4">
        <w:t xml:space="preserve"> and Evaluation</w:t>
      </w:r>
    </w:p>
    <w:p w14:paraId="578D38F1" w14:textId="77777777" w:rsidR="000F5D39" w:rsidRPr="00DD61C4" w:rsidRDefault="000F5D39" w:rsidP="000F5D39">
      <w:pPr>
        <w:jc w:val="center"/>
      </w:pPr>
      <w:r w:rsidRPr="00DD61C4">
        <w:t xml:space="preserve">Administration for Children and Families </w:t>
      </w:r>
    </w:p>
    <w:p w14:paraId="578D38F2" w14:textId="77777777" w:rsidR="000F5D39" w:rsidRPr="00DD61C4" w:rsidRDefault="000F5D39" w:rsidP="000F5D39">
      <w:pPr>
        <w:jc w:val="center"/>
      </w:pPr>
      <w:r w:rsidRPr="00DD61C4">
        <w:t>U.S. Department of Health and Human Services</w:t>
      </w:r>
    </w:p>
    <w:p w14:paraId="578D38F3" w14:textId="77777777" w:rsidR="000F5D39" w:rsidRPr="00DD61C4" w:rsidRDefault="000F5D39" w:rsidP="000F5D39">
      <w:pPr>
        <w:jc w:val="center"/>
      </w:pPr>
    </w:p>
    <w:p w14:paraId="578D38F4" w14:textId="77777777" w:rsidR="007A6EEC" w:rsidRPr="00DD61C4" w:rsidRDefault="007A6EEC" w:rsidP="007A6EEC">
      <w:pPr>
        <w:jc w:val="center"/>
      </w:pPr>
      <w:r w:rsidRPr="00DD61C4">
        <w:t>4</w:t>
      </w:r>
      <w:r w:rsidRPr="00DD61C4">
        <w:rPr>
          <w:vertAlign w:val="superscript"/>
        </w:rPr>
        <w:t>th</w:t>
      </w:r>
      <w:r w:rsidRPr="00DD61C4">
        <w:t xml:space="preserve"> Floor, Mary E. Switzer Building</w:t>
      </w:r>
    </w:p>
    <w:p w14:paraId="578D38F5" w14:textId="77777777" w:rsidR="007A6EEC" w:rsidRPr="00DD61C4" w:rsidRDefault="007A6EEC" w:rsidP="007A6EEC">
      <w:pPr>
        <w:jc w:val="center"/>
      </w:pPr>
      <w:r w:rsidRPr="00DD61C4">
        <w:t>330 C Street, SW</w:t>
      </w:r>
    </w:p>
    <w:p w14:paraId="578D38F6" w14:textId="77777777" w:rsidR="007A6EEC" w:rsidRPr="00DD61C4" w:rsidRDefault="007A6EEC" w:rsidP="007A6EEC">
      <w:pPr>
        <w:jc w:val="center"/>
      </w:pPr>
      <w:r w:rsidRPr="00DD61C4">
        <w:t>Washington, D.C. 20201</w:t>
      </w:r>
    </w:p>
    <w:p w14:paraId="578D38F7" w14:textId="77777777" w:rsidR="000F5D39" w:rsidRPr="00DD61C4" w:rsidRDefault="000F5D39" w:rsidP="000F5D39">
      <w:pPr>
        <w:jc w:val="center"/>
      </w:pPr>
    </w:p>
    <w:p w14:paraId="578D38F8" w14:textId="77777777" w:rsidR="000F5D39" w:rsidRPr="00DD61C4" w:rsidRDefault="000F5D39" w:rsidP="006A4C0D">
      <w:pPr>
        <w:jc w:val="center"/>
      </w:pPr>
      <w:r w:rsidRPr="00DD61C4">
        <w:t>Project Officer:</w:t>
      </w:r>
    </w:p>
    <w:p w14:paraId="578D38F9" w14:textId="77777777" w:rsidR="00546B95" w:rsidRPr="00DD61C4" w:rsidRDefault="00403869" w:rsidP="00546B95">
      <w:pPr>
        <w:jc w:val="center"/>
      </w:pPr>
      <w:r w:rsidRPr="00DD61C4">
        <w:t xml:space="preserve">Girley Wright </w:t>
      </w:r>
    </w:p>
    <w:p w14:paraId="578D38FA" w14:textId="77777777" w:rsidR="00546B95" w:rsidRPr="00DD61C4" w:rsidRDefault="00546B95" w:rsidP="006A4C0D">
      <w:pPr>
        <w:jc w:val="center"/>
      </w:pPr>
    </w:p>
    <w:p w14:paraId="578D38FC" w14:textId="3B5947A8" w:rsidR="00244AC0" w:rsidRPr="00CF3FC5" w:rsidRDefault="000F5D39" w:rsidP="00244AC0">
      <w:pPr>
        <w:rPr>
          <w:highlight w:val="yellow"/>
        </w:rPr>
      </w:pPr>
      <w:r w:rsidRPr="00DD61C4">
        <w:rPr>
          <w:b/>
        </w:rPr>
        <w:br w:type="page"/>
      </w:r>
      <w:r w:rsidR="00E05A0A" w:rsidRPr="00CF3FC5">
        <w:rPr>
          <w:b/>
        </w:rPr>
        <w:lastRenderedPageBreak/>
        <w:t>B1. Respondent Universe and Sampling Methods</w:t>
      </w:r>
    </w:p>
    <w:p w14:paraId="35DC768E" w14:textId="078D68A0" w:rsidR="00EB3E3A" w:rsidRPr="009556AB" w:rsidRDefault="00CF3FC5" w:rsidP="009556AB">
      <w:pPr>
        <w:pStyle w:val="Default"/>
        <w:rPr>
          <w:rFonts w:ascii="Times New Roman" w:hAnsi="Times New Roman" w:cs="Times New Roman"/>
          <w:color w:val="auto"/>
        </w:rPr>
      </w:pPr>
      <w:r w:rsidRPr="00D6700C">
        <w:rPr>
          <w:rFonts w:ascii="Times New Roman" w:hAnsi="Times New Roman" w:cs="Times New Roman"/>
          <w:color w:val="auto"/>
        </w:rPr>
        <w:t xml:space="preserve">The </w:t>
      </w:r>
      <w:r w:rsidR="008F1314" w:rsidRPr="008F1314">
        <w:rPr>
          <w:rFonts w:ascii="Times New Roman" w:hAnsi="Times New Roman" w:cs="Times New Roman"/>
          <w:color w:val="auto"/>
        </w:rPr>
        <w:t>TANF Data Innovation (TDI) project</w:t>
      </w:r>
      <w:r w:rsidRPr="00D6700C">
        <w:rPr>
          <w:rFonts w:ascii="Times New Roman" w:hAnsi="Times New Roman" w:cs="Times New Roman"/>
          <w:color w:val="auto"/>
        </w:rPr>
        <w:t xml:space="preserve"> online needs assessment survey will be targeted towards TANF agency administrators and staff from US states and territories. </w:t>
      </w:r>
      <w:r w:rsidR="00975CC5">
        <w:rPr>
          <w:rFonts w:ascii="Times New Roman" w:hAnsi="Times New Roman" w:cs="Times New Roman"/>
          <w:color w:val="auto"/>
        </w:rPr>
        <w:t>Because this data collection is intended to inform technical assistance and training outreach</w:t>
      </w:r>
      <w:r w:rsidR="006E5358">
        <w:rPr>
          <w:rFonts w:ascii="Times New Roman" w:hAnsi="Times New Roman" w:cs="Times New Roman"/>
          <w:color w:val="auto"/>
        </w:rPr>
        <w:t xml:space="preserve"> to states</w:t>
      </w:r>
      <w:r w:rsidR="00975CC5">
        <w:rPr>
          <w:rFonts w:ascii="Times New Roman" w:hAnsi="Times New Roman" w:cs="Times New Roman"/>
          <w:color w:val="auto"/>
        </w:rPr>
        <w:t>—including ACF follow-up—we do not plan to sample states</w:t>
      </w:r>
      <w:r w:rsidR="00781631">
        <w:rPr>
          <w:rFonts w:ascii="Times New Roman" w:hAnsi="Times New Roman" w:cs="Times New Roman"/>
          <w:color w:val="auto"/>
        </w:rPr>
        <w:t xml:space="preserve"> and therefore the study design does not include sampling methods</w:t>
      </w:r>
      <w:r w:rsidR="00975CC5">
        <w:rPr>
          <w:rFonts w:ascii="Times New Roman" w:hAnsi="Times New Roman" w:cs="Times New Roman"/>
          <w:color w:val="auto"/>
        </w:rPr>
        <w:t xml:space="preserve">.  Instead, we will </w:t>
      </w:r>
      <w:r w:rsidR="002D7B8D">
        <w:rPr>
          <w:rFonts w:ascii="Times New Roman" w:hAnsi="Times New Roman" w:cs="Times New Roman"/>
          <w:color w:val="auto"/>
        </w:rPr>
        <w:t>a</w:t>
      </w:r>
      <w:r w:rsidR="006E5358">
        <w:rPr>
          <w:rFonts w:ascii="Times New Roman" w:hAnsi="Times New Roman" w:cs="Times New Roman"/>
          <w:color w:val="auto"/>
        </w:rPr>
        <w:t>im to</w:t>
      </w:r>
      <w:r w:rsidR="002D7B8D">
        <w:rPr>
          <w:rFonts w:ascii="Times New Roman" w:hAnsi="Times New Roman" w:cs="Times New Roman"/>
          <w:color w:val="auto"/>
        </w:rPr>
        <w:t xml:space="preserve"> </w:t>
      </w:r>
      <w:r w:rsidR="00994006">
        <w:rPr>
          <w:rFonts w:ascii="Times New Roman" w:hAnsi="Times New Roman" w:cs="Times New Roman"/>
          <w:color w:val="auto"/>
        </w:rPr>
        <w:t>receive response</w:t>
      </w:r>
      <w:r w:rsidR="002D7B8D">
        <w:rPr>
          <w:rFonts w:ascii="Times New Roman" w:hAnsi="Times New Roman" w:cs="Times New Roman"/>
          <w:color w:val="auto"/>
        </w:rPr>
        <w:t>s</w:t>
      </w:r>
      <w:r w:rsidR="00994006">
        <w:rPr>
          <w:rFonts w:ascii="Times New Roman" w:hAnsi="Times New Roman" w:cs="Times New Roman"/>
          <w:color w:val="auto"/>
        </w:rPr>
        <w:t xml:space="preserve"> from the universe of</w:t>
      </w:r>
      <w:r w:rsidRPr="00D6700C">
        <w:rPr>
          <w:rFonts w:ascii="Times New Roman" w:hAnsi="Times New Roman" w:cs="Times New Roman"/>
          <w:color w:val="auto"/>
        </w:rPr>
        <w:t xml:space="preserve"> 54 states and territories</w:t>
      </w:r>
      <w:r w:rsidR="00FD3531">
        <w:rPr>
          <w:rFonts w:ascii="Times New Roman" w:hAnsi="Times New Roman" w:cs="Times New Roman"/>
          <w:color w:val="auto"/>
        </w:rPr>
        <w:t xml:space="preserve"> that operate the TANF program, including Washington, DC</w:t>
      </w:r>
      <w:r w:rsidRPr="00D6700C">
        <w:rPr>
          <w:rFonts w:ascii="Times New Roman" w:hAnsi="Times New Roman" w:cs="Times New Roman"/>
          <w:color w:val="auto"/>
        </w:rPr>
        <w:t>.</w:t>
      </w:r>
      <w:r w:rsidR="00F4696D">
        <w:rPr>
          <w:rFonts w:ascii="Times New Roman" w:hAnsi="Times New Roman" w:cs="Times New Roman"/>
          <w:color w:val="auto"/>
        </w:rPr>
        <w:t xml:space="preserve"> </w:t>
      </w:r>
      <w:r w:rsidR="001672E1" w:rsidRPr="001672E1">
        <w:rPr>
          <w:rFonts w:ascii="Times New Roman" w:hAnsi="Times New Roman" w:cs="Times New Roman"/>
          <w:color w:val="auto"/>
        </w:rPr>
        <w:t xml:space="preserve">In order to accomplish the goal of the needs assessment--which is to provide the right </w:t>
      </w:r>
      <w:r w:rsidR="001672E1">
        <w:rPr>
          <w:rFonts w:ascii="Times New Roman" w:hAnsi="Times New Roman" w:cs="Times New Roman"/>
          <w:color w:val="auto"/>
        </w:rPr>
        <w:t xml:space="preserve">technical assistance and training </w:t>
      </w:r>
      <w:r w:rsidR="001672E1" w:rsidRPr="001672E1">
        <w:rPr>
          <w:rFonts w:ascii="Times New Roman" w:hAnsi="Times New Roman" w:cs="Times New Roman"/>
          <w:color w:val="auto"/>
        </w:rPr>
        <w:t>to states, we need specifi</w:t>
      </w:r>
      <w:r w:rsidR="001672E1">
        <w:rPr>
          <w:rFonts w:ascii="Times New Roman" w:hAnsi="Times New Roman" w:cs="Times New Roman"/>
          <w:color w:val="auto"/>
        </w:rPr>
        <w:t xml:space="preserve">c information on the universe. </w:t>
      </w:r>
      <w:r w:rsidR="00E43870">
        <w:rPr>
          <w:rFonts w:ascii="Times New Roman" w:hAnsi="Times New Roman" w:cs="Times New Roman"/>
          <w:color w:val="auto"/>
        </w:rPr>
        <w:t xml:space="preserve">The study will seek to engage the maximum possible response rate from the 54 TANF agencies by employing a targeted outreach and follow-up strategy, described in B3. We anticipate a </w:t>
      </w:r>
      <w:r w:rsidR="001A35D8">
        <w:rPr>
          <w:rFonts w:ascii="Times New Roman" w:hAnsi="Times New Roman" w:cs="Times New Roman"/>
          <w:color w:val="auto"/>
        </w:rPr>
        <w:t xml:space="preserve">near </w:t>
      </w:r>
      <w:r w:rsidR="00E43870">
        <w:rPr>
          <w:rFonts w:ascii="Times New Roman" w:hAnsi="Times New Roman" w:cs="Times New Roman"/>
          <w:color w:val="auto"/>
        </w:rPr>
        <w:t xml:space="preserve">100% response rate. </w:t>
      </w:r>
    </w:p>
    <w:p w14:paraId="578D3908" w14:textId="7A3C6260" w:rsidR="00244AC0" w:rsidRPr="00CF3FC5" w:rsidRDefault="00244AC0" w:rsidP="00AF3BF5">
      <w:pPr>
        <w:rPr>
          <w:b/>
          <w:highlight w:val="yellow"/>
        </w:rPr>
      </w:pPr>
    </w:p>
    <w:p w14:paraId="578D3909" w14:textId="4D2CA409" w:rsidR="00E05A0A" w:rsidRPr="00FF5874" w:rsidRDefault="00244AC0" w:rsidP="00AF3BF5">
      <w:pPr>
        <w:rPr>
          <w:b/>
        </w:rPr>
      </w:pPr>
      <w:r w:rsidRPr="00FF5874">
        <w:rPr>
          <w:b/>
        </w:rPr>
        <w:t>B</w:t>
      </w:r>
      <w:r w:rsidR="00E05A0A" w:rsidRPr="00FF5874">
        <w:rPr>
          <w:b/>
        </w:rPr>
        <w:t>2. Procedures for Collection of Information</w:t>
      </w:r>
    </w:p>
    <w:p w14:paraId="08C86251" w14:textId="0CDF0652" w:rsidR="0056419F" w:rsidRDefault="0056419F" w:rsidP="0056419F">
      <w:bookmarkStart w:id="1" w:name="_Hlk515886204"/>
      <w:r w:rsidRPr="00EF6EEA">
        <w:t xml:space="preserve">After gaining OMB approval, the project team </w:t>
      </w:r>
      <w:r>
        <w:t xml:space="preserve">will contact TANF agencies </w:t>
      </w:r>
      <w:r w:rsidRPr="000E569C">
        <w:t xml:space="preserve">in </w:t>
      </w:r>
      <w:r>
        <w:t>54</w:t>
      </w:r>
      <w:r w:rsidRPr="000E569C">
        <w:t xml:space="preserve"> states </w:t>
      </w:r>
      <w:r>
        <w:t xml:space="preserve">and territories </w:t>
      </w:r>
      <w:r w:rsidRPr="000E569C">
        <w:t>to collect firsthand information about state capacities, capabilities, and</w:t>
      </w:r>
      <w:r>
        <w:t xml:space="preserve"> their</w:t>
      </w:r>
      <w:r w:rsidRPr="000E569C">
        <w:t xml:space="preserve"> current use of data</w:t>
      </w:r>
      <w:r>
        <w:t xml:space="preserve"> in order to determine each TANF agency’s data readiness and to identify the TTA needs that would most benefit these agencies (see </w:t>
      </w:r>
      <w:r w:rsidRPr="00226DF2">
        <w:t xml:space="preserve">Appendix </w:t>
      </w:r>
      <w:r w:rsidR="004D7D96">
        <w:t>B</w:t>
      </w:r>
      <w:r w:rsidRPr="00226DF2">
        <w:t xml:space="preserve"> – Survey Communication Materials </w:t>
      </w:r>
      <w:r>
        <w:t>for e-mail and phone scripts to be used during outreach). To collect detailed, comprehensive data while respecting the time and attention of staff in each state, we propose</w:t>
      </w:r>
      <w:r w:rsidRPr="000E569C">
        <w:t xml:space="preserve"> </w:t>
      </w:r>
      <w:r>
        <w:t>to use</w:t>
      </w:r>
      <w:r w:rsidRPr="000E569C">
        <w:t xml:space="preserve"> an online survey tool comprised of a series of </w:t>
      </w:r>
      <w:r>
        <w:t>eight</w:t>
      </w:r>
      <w:r w:rsidRPr="000E569C">
        <w:t xml:space="preserve"> modules</w:t>
      </w:r>
      <w:r>
        <w:t xml:space="preserve"> (Attachment</w:t>
      </w:r>
      <w:r w:rsidRPr="000E569C">
        <w:t xml:space="preserve"> </w:t>
      </w:r>
      <w:r>
        <w:t xml:space="preserve">1 - </w:t>
      </w:r>
      <w:r w:rsidRPr="00EF6EEA">
        <w:t>TANF Data Innovation (TDI) Needs Assessment Survey)</w:t>
      </w:r>
      <w:r>
        <w:t xml:space="preserve">. The first survey module assists the TANF administrator in distributing the seven content modules to appropriate staff. </w:t>
      </w:r>
      <w:r w:rsidRPr="00EF6EEA">
        <w:t xml:space="preserve"> </w:t>
      </w:r>
      <w:r w:rsidRPr="000E569C">
        <w:t>Each</w:t>
      </w:r>
      <w:r>
        <w:t xml:space="preserve"> of the seven content</w:t>
      </w:r>
      <w:r w:rsidRPr="000E569C">
        <w:t xml:space="preserve"> module</w:t>
      </w:r>
      <w:r>
        <w:t>s</w:t>
      </w:r>
      <w:r w:rsidRPr="000E569C">
        <w:t xml:space="preserve"> </w:t>
      </w:r>
      <w:r>
        <w:t>targets an agency subject matter expert for specific areas of data practice, such as analysis, data sharing, or data infrastructure</w:t>
      </w:r>
      <w:r w:rsidRPr="000E569C">
        <w:t>.</w:t>
      </w:r>
      <w:r>
        <w:t xml:space="preserve">  Depending on the structure of agency staffing, some staff may be assigned multiple modules.</w:t>
      </w:r>
    </w:p>
    <w:p w14:paraId="0A707BD8" w14:textId="77777777" w:rsidR="0056419F" w:rsidRDefault="0056419F" w:rsidP="0056419F">
      <w:pPr>
        <w:rPr>
          <w:bCs/>
          <w:highlight w:val="yellow"/>
        </w:rPr>
      </w:pPr>
    </w:p>
    <w:p w14:paraId="184BCCB6" w14:textId="63022485" w:rsidR="0056419F" w:rsidRPr="00634AEF" w:rsidRDefault="0056419F" w:rsidP="0056419F">
      <w:pPr>
        <w:rPr>
          <w:bCs/>
        </w:rPr>
      </w:pPr>
      <w:bookmarkStart w:id="2" w:name="_Hlk515887959"/>
      <w:r>
        <w:t xml:space="preserve">Contractors will keep individually-identifiable primary data collected as part of the needs assessment </w:t>
      </w:r>
      <w:r>
        <w:rPr>
          <w:bCs/>
        </w:rPr>
        <w:t xml:space="preserve">private to the extent permitted by law.  </w:t>
      </w:r>
      <w:r>
        <w:t xml:space="preserve">State-identified responses to individual survey items will not be shared directly with HHS or with the general public. </w:t>
      </w:r>
      <w:r w:rsidR="00AD1839" w:rsidRPr="00A956E0">
        <w:t>Data collection pertaining to the federal reporting survey module will only be shared with HHS in a form that does not identify individual respondents or states.</w:t>
      </w:r>
      <w:r w:rsidR="00AD1839" w:rsidRPr="00A956E0" w:rsidDel="00AD1839">
        <w:rPr>
          <w:rStyle w:val="CommentReference"/>
        </w:rPr>
        <w:t xml:space="preserve"> </w:t>
      </w:r>
      <w:r>
        <w:t>This is important in order to collect honest assessments of state experiences, and it will be made explicit in our survey instruments. We believe this will also increase the response rate and reduce non-response.</w:t>
      </w:r>
      <w:bookmarkEnd w:id="1"/>
    </w:p>
    <w:bookmarkEnd w:id="2"/>
    <w:p w14:paraId="2EF92148" w14:textId="77777777" w:rsidR="0056419F" w:rsidRPr="00375786" w:rsidRDefault="0056419F" w:rsidP="0056419F">
      <w:pPr>
        <w:rPr>
          <w:bCs/>
          <w:highlight w:val="yellow"/>
        </w:rPr>
      </w:pPr>
    </w:p>
    <w:p w14:paraId="267EA5B8" w14:textId="77777777" w:rsidR="0056419F" w:rsidRDefault="0056419F" w:rsidP="0056419F">
      <w:r>
        <w:t xml:space="preserve">The team </w:t>
      </w:r>
      <w:r w:rsidRPr="000E569C">
        <w:t xml:space="preserve">will use a combination of qualitative and quantitative research methods to analyze the data </w:t>
      </w:r>
      <w:r>
        <w:t xml:space="preserve">from the needs assessment survey, with the goals of </w:t>
      </w:r>
      <w:r w:rsidRPr="000E569C">
        <w:t>identifying themes, challenges, and opportunities across states</w:t>
      </w:r>
      <w:r>
        <w:t xml:space="preserve"> and </w:t>
      </w:r>
      <w:r w:rsidRPr="000E569C">
        <w:t>identify</w:t>
      </w:r>
      <w:r>
        <w:t>ing</w:t>
      </w:r>
      <w:r w:rsidRPr="000E569C">
        <w:t xml:space="preserve"> clusters of states that share similar strengths and challenges in the use of TANF data. </w:t>
      </w:r>
      <w:r>
        <w:t>The analysis will categorize</w:t>
      </w:r>
      <w:r w:rsidRPr="000E569C">
        <w:t xml:space="preserve"> </w:t>
      </w:r>
      <w:r>
        <w:t>states’ readiness to effectively use data</w:t>
      </w:r>
      <w:r w:rsidRPr="000E569C">
        <w:t xml:space="preserve"> </w:t>
      </w:r>
      <w:r>
        <w:t>and</w:t>
      </w:r>
      <w:r w:rsidRPr="000E569C">
        <w:t xml:space="preserve"> identify gaps in </w:t>
      </w:r>
      <w:r>
        <w:t>states’</w:t>
      </w:r>
      <w:r w:rsidRPr="000E569C">
        <w:t xml:space="preserve"> </w:t>
      </w:r>
      <w:r>
        <w:t>capacity</w:t>
      </w:r>
      <w:r w:rsidRPr="000E569C">
        <w:t xml:space="preserve"> to work with data</w:t>
      </w:r>
      <w:r>
        <w:t xml:space="preserve"> maximize the efficacy of </w:t>
      </w:r>
      <w:r w:rsidRPr="000E569C">
        <w:t xml:space="preserve">technical assistance </w:t>
      </w:r>
      <w:r>
        <w:t>we provide</w:t>
      </w:r>
      <w:r w:rsidRPr="000E569C">
        <w:t xml:space="preserve">. </w:t>
      </w:r>
    </w:p>
    <w:p w14:paraId="63A84029" w14:textId="77777777" w:rsidR="0056419F" w:rsidRPr="00D13312" w:rsidRDefault="0056419F" w:rsidP="0056419F">
      <w:pPr>
        <w:rPr>
          <w:highlight w:val="yellow"/>
        </w:rPr>
      </w:pPr>
    </w:p>
    <w:p w14:paraId="4A5FBF77" w14:textId="643FED03" w:rsidR="00DC2A12" w:rsidRDefault="00994006" w:rsidP="00FF5874">
      <w:r>
        <w:t xml:space="preserve">The team will make initial </w:t>
      </w:r>
      <w:r w:rsidR="00FF5874">
        <w:t xml:space="preserve">contact </w:t>
      </w:r>
      <w:r>
        <w:t>with</w:t>
      </w:r>
      <w:r w:rsidR="00FF5874">
        <w:t xml:space="preserve"> state- and territory-level TANF administrators via email using information acquired from HHS. </w:t>
      </w:r>
      <w:r w:rsidR="00DC2A12">
        <w:t xml:space="preserve">(See </w:t>
      </w:r>
      <w:r w:rsidR="00DC2A12" w:rsidRPr="00615EF0">
        <w:t xml:space="preserve">Appendix </w:t>
      </w:r>
      <w:r w:rsidR="00D13312">
        <w:t>B</w:t>
      </w:r>
      <w:r w:rsidR="00DC2A12" w:rsidRPr="00615EF0">
        <w:t xml:space="preserve"> Survey Communication Materials</w:t>
      </w:r>
      <w:r w:rsidR="00DC2A12">
        <w:t xml:space="preserve"> for e-mail and phone scripts to be used during outreach.) </w:t>
      </w:r>
      <w:r w:rsidR="00FF5874">
        <w:t xml:space="preserve">Introductory emails will be sent to all TANF administrators, requesting participation in the survey and providing instructions for accessing </w:t>
      </w:r>
      <w:r w:rsidR="00E83BA0">
        <w:t xml:space="preserve">a </w:t>
      </w:r>
      <w:r w:rsidR="00E83BA0">
        <w:lastRenderedPageBreak/>
        <w:t>webpage where the TANF administrator can assign the seven</w:t>
      </w:r>
      <w:r w:rsidR="008E34BE">
        <w:t xml:space="preserve"> content modules to </w:t>
      </w:r>
      <w:r w:rsidR="003E6DF9">
        <w:t xml:space="preserve">appropriate </w:t>
      </w:r>
      <w:r w:rsidR="008E34BE">
        <w:t>staff</w:t>
      </w:r>
      <w:r w:rsidR="00E83BA0">
        <w:t xml:space="preserve"> within the agency</w:t>
      </w:r>
      <w:r w:rsidR="008E34BE">
        <w:t>.</w:t>
      </w:r>
      <w:r w:rsidR="00FF5874">
        <w:t xml:space="preserve"> </w:t>
      </w:r>
    </w:p>
    <w:p w14:paraId="09B9DCE0" w14:textId="77777777" w:rsidR="00DC2A12" w:rsidRDefault="00DC2A12" w:rsidP="00FF5874"/>
    <w:p w14:paraId="1E4DD995" w14:textId="77777777" w:rsidR="00DC2A12" w:rsidRPr="00D13312" w:rsidRDefault="00DC2A12" w:rsidP="00FF5874">
      <w:pPr>
        <w:rPr>
          <w:i/>
        </w:rPr>
      </w:pPr>
      <w:r w:rsidRPr="00D13312">
        <w:rPr>
          <w:i/>
        </w:rPr>
        <w:t>Administrator Assignment of Modules</w:t>
      </w:r>
    </w:p>
    <w:p w14:paraId="686E2208" w14:textId="40372331" w:rsidR="00FF5874" w:rsidRDefault="00FF5874" w:rsidP="00FF5874">
      <w:r>
        <w:t xml:space="preserve">Administrators will be asked to complete </w:t>
      </w:r>
      <w:r w:rsidR="00E83BA0">
        <w:t xml:space="preserve">assignments </w:t>
      </w:r>
      <w:r>
        <w:t xml:space="preserve">within ten business days. Reminder emails </w:t>
      </w:r>
      <w:r w:rsidR="00D07A8C">
        <w:t xml:space="preserve">will be sent </w:t>
      </w:r>
      <w:r w:rsidR="00783A2F">
        <w:t xml:space="preserve">at various intervals as long as </w:t>
      </w:r>
      <w:r w:rsidR="00E83BA0">
        <w:t>assignments have</w:t>
      </w:r>
      <w:r>
        <w:t xml:space="preserve"> not yet been submitted. An overdue notification will be sent one business day after the deadline to administrators with outstanding modules. Subsequent communication, if necessary, will be handled over the phone, with a call being placed three business days after the completion deadline. </w:t>
      </w:r>
      <w:r w:rsidR="00CC1F78">
        <w:t xml:space="preserve">Links to the </w:t>
      </w:r>
      <w:r w:rsidR="008003C5">
        <w:t xml:space="preserve">content </w:t>
      </w:r>
      <w:r>
        <w:t xml:space="preserve">survey modules </w:t>
      </w:r>
      <w:r w:rsidR="00CC1F78">
        <w:t xml:space="preserve">will be sent to </w:t>
      </w:r>
      <w:r w:rsidR="00783A2F">
        <w:t>assigned staff members</w:t>
      </w:r>
      <w:r>
        <w:t xml:space="preserve"> within two days of receiving the completed </w:t>
      </w:r>
      <w:r w:rsidR="007B15B0">
        <w:t>staff assignments</w:t>
      </w:r>
      <w:r w:rsidR="00615EF0">
        <w:t>.</w:t>
      </w:r>
    </w:p>
    <w:p w14:paraId="7572FA6E" w14:textId="77777777" w:rsidR="00FF5874" w:rsidRDefault="00FF5874" w:rsidP="00FF5874"/>
    <w:p w14:paraId="66681E15" w14:textId="02BDF4D0" w:rsidR="00DC2A12" w:rsidRPr="00D13312" w:rsidRDefault="00DC2A12" w:rsidP="00FF5874">
      <w:pPr>
        <w:rPr>
          <w:i/>
        </w:rPr>
      </w:pPr>
      <w:r>
        <w:rPr>
          <w:i/>
        </w:rPr>
        <w:t>Staff Completion of Modules</w:t>
      </w:r>
    </w:p>
    <w:p w14:paraId="7C4397B2" w14:textId="08DB76C5" w:rsidR="00FF5874" w:rsidRDefault="00783A2F" w:rsidP="00FF5874">
      <w:r>
        <w:t xml:space="preserve">TANF agency staff who </w:t>
      </w:r>
      <w:r w:rsidR="00FF0583">
        <w:t xml:space="preserve">are </w:t>
      </w:r>
      <w:r>
        <w:t xml:space="preserve">assigned </w:t>
      </w:r>
      <w:r w:rsidR="00220789">
        <w:t xml:space="preserve">content </w:t>
      </w:r>
      <w:r>
        <w:t xml:space="preserve">modules will be asked to complete one or more of </w:t>
      </w:r>
      <w:r w:rsidR="00FF5874">
        <w:t xml:space="preserve">the seven survey modules meant to gather information about the TANF agency’s data needs and current capacities. Invitations to complete the topical modules will be sent </w:t>
      </w:r>
      <w:r>
        <w:t>by e-mail</w:t>
      </w:r>
      <w:r w:rsidR="00FF5874">
        <w:t xml:space="preserve">. Respondents will be asked to complete their assigned module(s) within 15 business days. </w:t>
      </w:r>
      <w:r w:rsidR="00D07A8C">
        <w:t xml:space="preserve">Reminder emails will be sent at various intervals as long as the assigned modules have not been submitted. </w:t>
      </w:r>
      <w:r w:rsidR="00FF5874">
        <w:t>A summary reminder will also be sent to the relevant TANF Administrator when five days remain in the module completion window. An overdue notification will be sent one business day after the deadline to staff with outstanding modules. Subsequent communication, if necessary, will be handled over the phone, with a call being placed three business days after the module completion deadline.</w:t>
      </w:r>
      <w:r w:rsidR="00FF5874" w:rsidRPr="00CD4F86">
        <w:t xml:space="preserve"> </w:t>
      </w:r>
    </w:p>
    <w:p w14:paraId="1723666C" w14:textId="7A8BFD00" w:rsidR="00FF5874" w:rsidRDefault="00FF5874" w:rsidP="00FF5874"/>
    <w:p w14:paraId="441D047E" w14:textId="362E91C5" w:rsidR="00FF5874" w:rsidRDefault="00D07A8C" w:rsidP="00FF5874">
      <w:pPr>
        <w:rPr>
          <w:bCs/>
          <w:highlight w:val="yellow"/>
        </w:rPr>
      </w:pPr>
      <w:r>
        <w:t xml:space="preserve">A final communication will be sent via email to all respondents with outstanding modules and the TANF </w:t>
      </w:r>
      <w:r w:rsidR="00214500">
        <w:t>a</w:t>
      </w:r>
      <w:r>
        <w:t>dministrators of states with outstanding modules when there are five days until the close of the survey data collection period.  We anticipate survey data collection will close approximately eight weeks from the launch of the survey.</w:t>
      </w:r>
    </w:p>
    <w:p w14:paraId="578D390D" w14:textId="77777777" w:rsidR="00031B49" w:rsidRPr="00CF3FC5" w:rsidRDefault="00031B49" w:rsidP="00546B95">
      <w:pPr>
        <w:rPr>
          <w:b/>
          <w:highlight w:val="yellow"/>
        </w:rPr>
      </w:pPr>
    </w:p>
    <w:p w14:paraId="578D390E" w14:textId="77777777" w:rsidR="00E05A0A" w:rsidRPr="00D07A8C" w:rsidRDefault="00E05A0A" w:rsidP="006A4C0D">
      <w:pPr>
        <w:rPr>
          <w:b/>
        </w:rPr>
      </w:pPr>
      <w:r w:rsidRPr="00D07A8C">
        <w:rPr>
          <w:b/>
        </w:rPr>
        <w:t>B3. Methods to Maximize Response Rates and Deal with Nonresponse</w:t>
      </w:r>
    </w:p>
    <w:p w14:paraId="578D3910" w14:textId="33ED1AEA" w:rsidR="004E2697" w:rsidRPr="00D07A8C" w:rsidRDefault="00A76559" w:rsidP="004E2697">
      <w:pPr>
        <w:rPr>
          <w:bCs/>
        </w:rPr>
      </w:pPr>
      <w:r w:rsidRPr="00D07A8C">
        <w:rPr>
          <w:bCs/>
        </w:rPr>
        <w:t xml:space="preserve">The analysis from this data collection will be purely descriptive. As such, nonresponse </w:t>
      </w:r>
      <w:r w:rsidR="004E2697" w:rsidRPr="00D07A8C">
        <w:rPr>
          <w:bCs/>
        </w:rPr>
        <w:t>bias is not as serious an issue</w:t>
      </w:r>
      <w:r w:rsidR="000352E0" w:rsidRPr="00D07A8C">
        <w:rPr>
          <w:bCs/>
        </w:rPr>
        <w:t xml:space="preserve"> as</w:t>
      </w:r>
      <w:r w:rsidR="004E2697" w:rsidRPr="00D07A8C">
        <w:rPr>
          <w:bCs/>
        </w:rPr>
        <w:t xml:space="preserve"> compared to </w:t>
      </w:r>
      <w:r w:rsidR="000352E0" w:rsidRPr="00D07A8C">
        <w:rPr>
          <w:bCs/>
        </w:rPr>
        <w:t xml:space="preserve">in </w:t>
      </w:r>
      <w:r w:rsidR="004E2697" w:rsidRPr="00D07A8C">
        <w:rPr>
          <w:bCs/>
        </w:rPr>
        <w:t xml:space="preserve">a causal inference study. Still, </w:t>
      </w:r>
      <w:r w:rsidRPr="00D07A8C">
        <w:rPr>
          <w:bCs/>
        </w:rPr>
        <w:t xml:space="preserve">our goal is to </w:t>
      </w:r>
      <w:r w:rsidR="004E2697" w:rsidRPr="00D07A8C">
        <w:rPr>
          <w:bCs/>
        </w:rPr>
        <w:t xml:space="preserve">minimize nonresponse </w:t>
      </w:r>
      <w:r w:rsidRPr="00D07A8C">
        <w:rPr>
          <w:bCs/>
        </w:rPr>
        <w:t xml:space="preserve">to provide quality information for internal planning purposes. </w:t>
      </w:r>
      <w:r w:rsidR="004E2697" w:rsidRPr="00D07A8C">
        <w:rPr>
          <w:bCs/>
        </w:rPr>
        <w:t>Therefore, we will use several strategies to increase response rates (described below).</w:t>
      </w:r>
    </w:p>
    <w:p w14:paraId="578D3911" w14:textId="77777777" w:rsidR="004C1FCC" w:rsidRPr="00D07A8C" w:rsidRDefault="004C1FCC" w:rsidP="00AF3BF5"/>
    <w:p w14:paraId="578D3912" w14:textId="77777777" w:rsidR="00EC6101" w:rsidRPr="00D07A8C" w:rsidRDefault="00EC6101" w:rsidP="006A4C0D">
      <w:pPr>
        <w:autoSpaceDE w:val="0"/>
        <w:autoSpaceDN w:val="0"/>
        <w:adjustRightInd w:val="0"/>
        <w:rPr>
          <w:b/>
          <w:i/>
        </w:rPr>
      </w:pPr>
      <w:r w:rsidRPr="00D07A8C">
        <w:rPr>
          <w:b/>
          <w:i/>
        </w:rPr>
        <w:t>Maximizing Response Rates</w:t>
      </w:r>
    </w:p>
    <w:p w14:paraId="578D3913" w14:textId="77777777" w:rsidR="004E2697" w:rsidRPr="00D07A8C" w:rsidRDefault="004E2697" w:rsidP="004E2697">
      <w:pPr>
        <w:autoSpaceDE w:val="0"/>
        <w:autoSpaceDN w:val="0"/>
        <w:adjustRightInd w:val="0"/>
        <w:rPr>
          <w:bCs/>
        </w:rPr>
      </w:pPr>
      <w:r w:rsidRPr="00D07A8C">
        <w:rPr>
          <w:bCs/>
        </w:rPr>
        <w:t xml:space="preserve">We plan to use several strategies to maximize response rates: </w:t>
      </w:r>
    </w:p>
    <w:p w14:paraId="2CAD952C" w14:textId="6C1B0BE2" w:rsidR="00D52B7B" w:rsidRDefault="00D52B7B" w:rsidP="00D52B7B">
      <w:pPr>
        <w:pStyle w:val="CommentText"/>
        <w:numPr>
          <w:ilvl w:val="0"/>
          <w:numId w:val="21"/>
        </w:numPr>
        <w:rPr>
          <w:bCs/>
          <w:sz w:val="24"/>
          <w:szCs w:val="24"/>
        </w:rPr>
      </w:pPr>
      <w:r w:rsidRPr="00D07A8C">
        <w:rPr>
          <w:bCs/>
          <w:sz w:val="24"/>
          <w:szCs w:val="24"/>
        </w:rPr>
        <w:t xml:space="preserve">If individuals do not respond to the initial email outreach, we will send reminder e-mails at regular intervals and follow-up with them by phone, if necessary. </w:t>
      </w:r>
    </w:p>
    <w:p w14:paraId="64A3D5E2" w14:textId="662D4CF3" w:rsidR="007D13F9" w:rsidRPr="00D07A8C" w:rsidRDefault="007D13F9" w:rsidP="00D52B7B">
      <w:pPr>
        <w:pStyle w:val="CommentText"/>
        <w:numPr>
          <w:ilvl w:val="0"/>
          <w:numId w:val="21"/>
        </w:numPr>
        <w:rPr>
          <w:bCs/>
          <w:sz w:val="24"/>
          <w:szCs w:val="24"/>
        </w:rPr>
      </w:pPr>
      <w:r>
        <w:rPr>
          <w:bCs/>
          <w:sz w:val="24"/>
          <w:szCs w:val="24"/>
        </w:rPr>
        <w:t>The project team will communicate with TANF agency administrators about whether survey modules have been completed or not.</w:t>
      </w:r>
    </w:p>
    <w:p w14:paraId="5A4F9BB9" w14:textId="240A055C" w:rsidR="00D07A8C" w:rsidRDefault="00D07A8C" w:rsidP="00D07A8C">
      <w:pPr>
        <w:pStyle w:val="ListParagraph"/>
        <w:numPr>
          <w:ilvl w:val="0"/>
          <w:numId w:val="21"/>
        </w:numPr>
      </w:pPr>
      <w:r>
        <w:t xml:space="preserve">Contractors will keep individually identifiable primary data collected as part of the needs assessment </w:t>
      </w:r>
      <w:r w:rsidR="002D7B8D">
        <w:t>private</w:t>
      </w:r>
      <w:r>
        <w:t xml:space="preserve">. </w:t>
      </w:r>
      <w:r w:rsidR="00994006">
        <w:t xml:space="preserve">State-identified responses to individual survey items will not be shared </w:t>
      </w:r>
      <w:r>
        <w:t>directly with HHS or with the general public</w:t>
      </w:r>
      <w:r w:rsidRPr="00290717">
        <w:t xml:space="preserve">. </w:t>
      </w:r>
      <w:r w:rsidR="00AD1839" w:rsidRPr="00290717">
        <w:t>Data collection pertaining to the federal reporting survey module will only be shared with HHS in a form that does not identify individual respondents or states.</w:t>
      </w:r>
      <w:r w:rsidR="00AD1839">
        <w:rPr>
          <w:color w:val="4F81BD"/>
        </w:rPr>
        <w:t xml:space="preserve"> </w:t>
      </w:r>
      <w:r>
        <w:t xml:space="preserve">This is important </w:t>
      </w:r>
      <w:r w:rsidR="00D52B7B">
        <w:t xml:space="preserve">to </w:t>
      </w:r>
      <w:r>
        <w:t>increase the response rate.</w:t>
      </w:r>
    </w:p>
    <w:p w14:paraId="0BBC5214" w14:textId="65135E1E" w:rsidR="007D13F9" w:rsidRDefault="00691476" w:rsidP="007D13F9">
      <w:pPr>
        <w:numPr>
          <w:ilvl w:val="0"/>
          <w:numId w:val="21"/>
        </w:numPr>
        <w:autoSpaceDE w:val="0"/>
        <w:autoSpaceDN w:val="0"/>
        <w:adjustRightInd w:val="0"/>
        <w:rPr>
          <w:bCs/>
        </w:rPr>
      </w:pPr>
      <w:r w:rsidRPr="007D13F9">
        <w:rPr>
          <w:bCs/>
        </w:rPr>
        <w:t>HHS</w:t>
      </w:r>
      <w:r w:rsidR="004E2697" w:rsidRPr="007D13F9">
        <w:rPr>
          <w:bCs/>
        </w:rPr>
        <w:t xml:space="preserve"> staff that are involved with the project have helped the project team identify individuals to contact. </w:t>
      </w:r>
    </w:p>
    <w:p w14:paraId="578D3917" w14:textId="2AE7549F" w:rsidR="004E2697" w:rsidRPr="007D13F9" w:rsidRDefault="004E2697" w:rsidP="007D13F9">
      <w:pPr>
        <w:numPr>
          <w:ilvl w:val="0"/>
          <w:numId w:val="21"/>
        </w:numPr>
        <w:autoSpaceDE w:val="0"/>
        <w:autoSpaceDN w:val="0"/>
        <w:adjustRightInd w:val="0"/>
        <w:rPr>
          <w:bCs/>
        </w:rPr>
      </w:pPr>
      <w:r w:rsidRPr="007D13F9">
        <w:rPr>
          <w:bCs/>
        </w:rPr>
        <w:t xml:space="preserve">The </w:t>
      </w:r>
      <w:r w:rsidR="007D13F9" w:rsidRPr="007D13F9">
        <w:rPr>
          <w:bCs/>
        </w:rPr>
        <w:t>project</w:t>
      </w:r>
      <w:r w:rsidRPr="007D13F9">
        <w:rPr>
          <w:bCs/>
        </w:rPr>
        <w:t xml:space="preserve"> team will </w:t>
      </w:r>
      <w:r w:rsidR="007D13F9" w:rsidRPr="007D13F9">
        <w:rPr>
          <w:bCs/>
        </w:rPr>
        <w:t xml:space="preserve">market the </w:t>
      </w:r>
      <w:r w:rsidR="00214500">
        <w:rPr>
          <w:bCs/>
        </w:rPr>
        <w:t>TTA</w:t>
      </w:r>
      <w:r w:rsidR="007D13F9" w:rsidRPr="007D13F9">
        <w:rPr>
          <w:bCs/>
        </w:rPr>
        <w:t xml:space="preserve"> opportunities available through TDI at </w:t>
      </w:r>
      <w:r w:rsidRPr="007D13F9">
        <w:rPr>
          <w:bCs/>
        </w:rPr>
        <w:t xml:space="preserve">conferences – such as the </w:t>
      </w:r>
      <w:r w:rsidR="00403869" w:rsidRPr="007D13F9">
        <w:rPr>
          <w:bCs/>
        </w:rPr>
        <w:t>Association of Public Data Users (APDU)</w:t>
      </w:r>
      <w:r w:rsidRPr="007D13F9">
        <w:rPr>
          <w:bCs/>
        </w:rPr>
        <w:t xml:space="preserve"> and </w:t>
      </w:r>
      <w:r w:rsidR="00403869" w:rsidRPr="007D13F9">
        <w:rPr>
          <w:bCs/>
        </w:rPr>
        <w:t>TANF State Regional Administrator</w:t>
      </w:r>
      <w:r w:rsidRPr="007D13F9">
        <w:rPr>
          <w:bCs/>
        </w:rPr>
        <w:t xml:space="preserve"> conferences</w:t>
      </w:r>
      <w:r w:rsidR="008C3825">
        <w:rPr>
          <w:bCs/>
        </w:rPr>
        <w:t xml:space="preserve">. We expect this will motivate </w:t>
      </w:r>
      <w:r w:rsidR="007D13F9" w:rsidRPr="007D13F9">
        <w:rPr>
          <w:bCs/>
        </w:rPr>
        <w:t>administrators and staff to complete the needs assessment to inform the TTA activities</w:t>
      </w:r>
      <w:r w:rsidRPr="007D13F9">
        <w:rPr>
          <w:bCs/>
        </w:rPr>
        <w:t xml:space="preserve">. </w:t>
      </w:r>
    </w:p>
    <w:p w14:paraId="578D3918" w14:textId="507EC65E" w:rsidR="00F20419" w:rsidRDefault="00F20419" w:rsidP="004E2697">
      <w:pPr>
        <w:autoSpaceDE w:val="0"/>
        <w:autoSpaceDN w:val="0"/>
        <w:adjustRightInd w:val="0"/>
        <w:rPr>
          <w:highlight w:val="yellow"/>
        </w:rPr>
      </w:pPr>
    </w:p>
    <w:p w14:paraId="2A8CE1E3" w14:textId="2FD2632E" w:rsidR="00A50373" w:rsidRPr="0076453A" w:rsidRDefault="00A50373" w:rsidP="004E2697">
      <w:pPr>
        <w:autoSpaceDE w:val="0"/>
        <w:autoSpaceDN w:val="0"/>
        <w:adjustRightInd w:val="0"/>
      </w:pPr>
      <w:r w:rsidRPr="0076453A">
        <w:t>Based on the previous experience from a similar survey, the team anticipates a response rate close to 100%. In 2016, the Office of the Assistant Secretary for Planning and Evaluation (ASPE) and the Administration for Children and Families (ACF) sponsored an online survey focused on data interoperability and systems integration targeted to state human service commissioners from the 50 states and Washington DC. This survey achieved a 90% response rate in a five-week survey period (</w:t>
      </w:r>
      <w:r w:rsidRPr="00760DDD">
        <w:t xml:space="preserve">collected under </w:t>
      </w:r>
      <w:r w:rsidRPr="0076453A">
        <w:t>OMB #0990-0421). Further, the TDI needs assessment survey questions have been pilot tested with subject matter experts and the team does not anticipate that any of the needs assessment questions will be particularly problematic, producing higher item non-response rates.</w:t>
      </w:r>
      <w:r w:rsidR="001A35D8">
        <w:t xml:space="preserve"> Although we anticipate a near 100% response rate, </w:t>
      </w:r>
      <w:r w:rsidR="009D2722">
        <w:t xml:space="preserve">a response rate as low as </w:t>
      </w:r>
      <w:r w:rsidR="003F2301">
        <w:t>80 percent or</w:t>
      </w:r>
      <w:r w:rsidR="008402F1">
        <w:t xml:space="preserve"> 43 states</w:t>
      </w:r>
      <w:r w:rsidR="009D2722">
        <w:t xml:space="preserve"> would</w:t>
      </w:r>
      <w:r w:rsidR="008402F1">
        <w:t xml:space="preserve"> nicely</w:t>
      </w:r>
      <w:r w:rsidR="009D2722">
        <w:t xml:space="preserve"> satisfy the purposes of this data collection. </w:t>
      </w:r>
      <w:r w:rsidR="00461A5D">
        <w:rPr>
          <w:color w:val="333333"/>
          <w:shd w:val="clear" w:color="auto" w:fill="FFFFFF"/>
        </w:rPr>
        <w:t>An 80% response rate should give us sufficient information to provide useful TA to most states and territories, but we would have to take the non-response into consideration as we analyze the data in order to get a better picture of needs for the full set of states and territories. Getting closer to a 100% response rate will require less adjustment for the missing data.</w:t>
      </w:r>
      <w:r w:rsidR="00461A5D">
        <w:t xml:space="preserve"> </w:t>
      </w:r>
      <w:r w:rsidR="009D2722">
        <w:t xml:space="preserve">The study team </w:t>
      </w:r>
      <w:r w:rsidR="008B0BFF">
        <w:t xml:space="preserve">would describe </w:t>
      </w:r>
      <w:r w:rsidR="00AD1806">
        <w:t xml:space="preserve">those states that did not respond so that it would be clear </w:t>
      </w:r>
      <w:r w:rsidR="003A0FFC">
        <w:t>which type of states were missing</w:t>
      </w:r>
      <w:r w:rsidR="009D2722">
        <w:t>. T</w:t>
      </w:r>
      <w:r w:rsidR="00FD0F72">
        <w:t xml:space="preserve">he study team will </w:t>
      </w:r>
      <w:r w:rsidR="008F6D6C">
        <w:t xml:space="preserve">use </w:t>
      </w:r>
      <w:r w:rsidR="009D2722">
        <w:t>publicly available information gathered from government and re</w:t>
      </w:r>
      <w:r w:rsidR="001F5B30">
        <w:t>lated</w:t>
      </w:r>
      <w:r w:rsidR="009D2722">
        <w:t xml:space="preserve"> websites </w:t>
      </w:r>
      <w:r w:rsidR="008F6D6C">
        <w:t>to describe both respondents and non-respondents</w:t>
      </w:r>
      <w:r w:rsidR="009D2722">
        <w:t>.</w:t>
      </w:r>
      <w:r w:rsidR="008F6D6C">
        <w:t xml:space="preserve"> With an 80 percent response rate, we would have sufficient demographic, geographic, and political variation to inform the activities of this project.</w:t>
      </w:r>
      <w:r w:rsidR="009D2722">
        <w:t xml:space="preserve"> </w:t>
      </w:r>
    </w:p>
    <w:p w14:paraId="072A94A0" w14:textId="77777777" w:rsidR="004D7D96" w:rsidRPr="00CF3FC5" w:rsidRDefault="004D7D96" w:rsidP="004E2697">
      <w:pPr>
        <w:autoSpaceDE w:val="0"/>
        <w:autoSpaceDN w:val="0"/>
        <w:adjustRightInd w:val="0"/>
        <w:rPr>
          <w:highlight w:val="yellow"/>
        </w:rPr>
      </w:pPr>
    </w:p>
    <w:p w14:paraId="578D3919" w14:textId="77777777" w:rsidR="00E05A0A" w:rsidRPr="007C7467" w:rsidRDefault="00E05A0A" w:rsidP="006A4C0D">
      <w:pPr>
        <w:rPr>
          <w:b/>
        </w:rPr>
      </w:pPr>
      <w:r w:rsidRPr="007C7467">
        <w:rPr>
          <w:b/>
        </w:rPr>
        <w:t>B4. Tests of Procedures or Methods to be Undertaken</w:t>
      </w:r>
    </w:p>
    <w:p w14:paraId="0053EB65" w14:textId="7DCCB504" w:rsidR="00877F8B" w:rsidRDefault="00877F8B" w:rsidP="00877F8B">
      <w:pPr>
        <w:pStyle w:val="BodyText"/>
      </w:pPr>
      <w:r w:rsidRPr="007C7467">
        <w:rPr>
          <w:rFonts w:ascii="Times New Roman" w:hAnsi="Times New Roman"/>
          <w:sz w:val="24"/>
          <w:szCs w:val="24"/>
          <w:lang w:val="en-US" w:eastAsia="en-US"/>
        </w:rPr>
        <w:t xml:space="preserve">The study team used pretesting with </w:t>
      </w:r>
      <w:r w:rsidR="002E5008">
        <w:rPr>
          <w:rFonts w:ascii="Times New Roman" w:hAnsi="Times New Roman"/>
          <w:sz w:val="24"/>
          <w:szCs w:val="24"/>
          <w:lang w:val="en-US" w:eastAsia="en-US"/>
        </w:rPr>
        <w:t xml:space="preserve">fewer than 9 </w:t>
      </w:r>
      <w:r w:rsidRPr="007C7467">
        <w:rPr>
          <w:rFonts w:ascii="Times New Roman" w:hAnsi="Times New Roman"/>
          <w:sz w:val="24"/>
          <w:szCs w:val="24"/>
          <w:lang w:val="en-US" w:eastAsia="en-US"/>
        </w:rPr>
        <w:t xml:space="preserve">respondents to identify </w:t>
      </w:r>
      <w:r w:rsidR="00994006">
        <w:rPr>
          <w:rFonts w:ascii="Times New Roman" w:hAnsi="Times New Roman"/>
          <w:sz w:val="24"/>
          <w:szCs w:val="24"/>
          <w:lang w:val="en-US" w:eastAsia="en-US"/>
        </w:rPr>
        <w:t xml:space="preserve">necessary </w:t>
      </w:r>
      <w:r w:rsidRPr="007C7467">
        <w:rPr>
          <w:rFonts w:ascii="Times New Roman" w:hAnsi="Times New Roman"/>
          <w:sz w:val="24"/>
          <w:szCs w:val="24"/>
          <w:lang w:val="en-US" w:eastAsia="en-US"/>
        </w:rPr>
        <w:t xml:space="preserve">revisions to procedures and  the </w:t>
      </w:r>
      <w:r w:rsidR="007C7467" w:rsidRPr="007C7467">
        <w:rPr>
          <w:rFonts w:ascii="Times New Roman" w:hAnsi="Times New Roman"/>
          <w:sz w:val="24"/>
          <w:szCs w:val="24"/>
          <w:lang w:val="en-US" w:eastAsia="en-US"/>
        </w:rPr>
        <w:t xml:space="preserve">survey </w:t>
      </w:r>
      <w:r w:rsidRPr="007C7467">
        <w:rPr>
          <w:rFonts w:ascii="Times New Roman" w:hAnsi="Times New Roman"/>
          <w:sz w:val="24"/>
          <w:szCs w:val="24"/>
          <w:lang w:val="en-US" w:eastAsia="en-US"/>
        </w:rPr>
        <w:t>(Attachment</w:t>
      </w:r>
      <w:r w:rsidR="007C7467" w:rsidRPr="007C7467">
        <w:rPr>
          <w:rFonts w:ascii="Times New Roman" w:hAnsi="Times New Roman"/>
          <w:sz w:val="24"/>
          <w:szCs w:val="24"/>
          <w:lang w:val="en-US" w:eastAsia="en-US"/>
        </w:rPr>
        <w:t xml:space="preserve"> 1</w:t>
      </w:r>
      <w:r w:rsidRPr="007C7467">
        <w:rPr>
          <w:rFonts w:ascii="Times New Roman" w:hAnsi="Times New Roman"/>
          <w:sz w:val="24"/>
          <w:szCs w:val="24"/>
          <w:lang w:val="en-US" w:eastAsia="en-US"/>
        </w:rPr>
        <w:t xml:space="preserve">). </w:t>
      </w:r>
      <w:r w:rsidR="007C7467" w:rsidRPr="007C7467">
        <w:rPr>
          <w:rFonts w:ascii="Times New Roman" w:hAnsi="Times New Roman"/>
          <w:sz w:val="24"/>
          <w:szCs w:val="24"/>
          <w:lang w:val="en-US" w:eastAsia="en-US"/>
        </w:rPr>
        <w:t>Expert pilot testers were sourced from the</w:t>
      </w:r>
      <w:r w:rsidR="00994006">
        <w:rPr>
          <w:rFonts w:ascii="Times New Roman" w:hAnsi="Times New Roman"/>
          <w:sz w:val="24"/>
          <w:szCs w:val="24"/>
          <w:lang w:val="en-US" w:eastAsia="en-US"/>
        </w:rPr>
        <w:t xml:space="preserve"> professional</w:t>
      </w:r>
      <w:r w:rsidR="007C7467" w:rsidRPr="007C7467">
        <w:rPr>
          <w:rFonts w:ascii="Times New Roman" w:hAnsi="Times New Roman"/>
          <w:sz w:val="24"/>
          <w:szCs w:val="24"/>
          <w:lang w:val="en-US" w:eastAsia="en-US"/>
        </w:rPr>
        <w:t xml:space="preserve"> networks of the TDI team. We sought pilot testers with government TANF and human services expertise specific to the survey topics. We used former state agency staff whenever possible to avoid pilot testing with the expected survey respondents.</w:t>
      </w:r>
      <w:r w:rsidR="007C7467">
        <w:t xml:space="preserve"> </w:t>
      </w:r>
    </w:p>
    <w:p w14:paraId="6D75BAD3" w14:textId="47F9DF4F" w:rsidR="007C7467" w:rsidRPr="007C7467" w:rsidRDefault="007C7467" w:rsidP="00877F8B">
      <w:pPr>
        <w:pStyle w:val="BodyText"/>
        <w:rPr>
          <w:rFonts w:ascii="Times New Roman" w:hAnsi="Times New Roman"/>
          <w:sz w:val="24"/>
          <w:szCs w:val="24"/>
          <w:lang w:val="en-US" w:eastAsia="en-US"/>
        </w:rPr>
      </w:pPr>
    </w:p>
    <w:p w14:paraId="578D391C" w14:textId="3413DA08" w:rsidR="00E05A0A" w:rsidRPr="000F434A" w:rsidRDefault="00E05A0A" w:rsidP="006A4C0D">
      <w:pPr>
        <w:rPr>
          <w:b/>
        </w:rPr>
      </w:pPr>
      <w:r w:rsidRPr="000F434A">
        <w:rPr>
          <w:b/>
        </w:rPr>
        <w:t xml:space="preserve">B5. </w:t>
      </w:r>
      <w:r w:rsidR="0008315A" w:rsidRPr="000F434A">
        <w:rPr>
          <w:b/>
        </w:rPr>
        <w:t>Individual(s)</w:t>
      </w:r>
      <w:r w:rsidRPr="000F434A">
        <w:rPr>
          <w:b/>
        </w:rPr>
        <w:t xml:space="preserve"> Consulted on Statistical Aspects and Individuals Collecting and/or Analyzing Data</w:t>
      </w:r>
    </w:p>
    <w:p w14:paraId="578D391D" w14:textId="5C9BCF30" w:rsidR="00E61CA4" w:rsidRPr="000F434A" w:rsidRDefault="00E61CA4" w:rsidP="00E61CA4">
      <w:pPr>
        <w:pStyle w:val="NormalSS"/>
        <w:ind w:firstLine="0"/>
        <w:jc w:val="left"/>
        <w:rPr>
          <w:bCs/>
          <w:sz w:val="24"/>
        </w:rPr>
      </w:pPr>
      <w:r w:rsidRPr="000F434A">
        <w:rPr>
          <w:bCs/>
          <w:sz w:val="24"/>
        </w:rPr>
        <w:t xml:space="preserve">The following </w:t>
      </w:r>
      <w:r w:rsidR="00410901" w:rsidRPr="000F434A">
        <w:rPr>
          <w:bCs/>
          <w:sz w:val="24"/>
        </w:rPr>
        <w:t xml:space="preserve">key </w:t>
      </w:r>
      <w:r w:rsidRPr="000F434A">
        <w:rPr>
          <w:bCs/>
          <w:sz w:val="24"/>
        </w:rPr>
        <w:t xml:space="preserve">people from the study team will </w:t>
      </w:r>
      <w:r w:rsidR="00C20FC8" w:rsidRPr="000F434A">
        <w:rPr>
          <w:bCs/>
          <w:sz w:val="24"/>
        </w:rPr>
        <w:t xml:space="preserve">lead </w:t>
      </w:r>
      <w:r w:rsidR="003D6260" w:rsidRPr="000F434A">
        <w:rPr>
          <w:bCs/>
          <w:sz w:val="24"/>
        </w:rPr>
        <w:t xml:space="preserve">the </w:t>
      </w:r>
      <w:r w:rsidR="00C20FC8" w:rsidRPr="000F434A">
        <w:rPr>
          <w:bCs/>
          <w:sz w:val="24"/>
        </w:rPr>
        <w:t xml:space="preserve">data collection </w:t>
      </w:r>
      <w:r w:rsidRPr="000F434A">
        <w:rPr>
          <w:bCs/>
          <w:sz w:val="24"/>
        </w:rPr>
        <w:t>and analy</w:t>
      </w:r>
      <w:r w:rsidR="00C20FC8" w:rsidRPr="000F434A">
        <w:rPr>
          <w:bCs/>
          <w:sz w:val="24"/>
        </w:rPr>
        <w:t>sis of</w:t>
      </w:r>
      <w:r w:rsidRPr="000F434A">
        <w:rPr>
          <w:bCs/>
          <w:sz w:val="24"/>
        </w:rPr>
        <w:t xml:space="preserve"> data</w:t>
      </w:r>
      <w:r w:rsidR="00A76559" w:rsidRPr="000F434A">
        <w:rPr>
          <w:bCs/>
          <w:sz w:val="24"/>
        </w:rPr>
        <w:t>.  They will be supported by a team of junior staff analysts.</w:t>
      </w:r>
      <w:r w:rsidR="00C20FC8" w:rsidRPr="000F434A">
        <w:rPr>
          <w:bCs/>
          <w:sz w:val="24"/>
        </w:rPr>
        <w:t xml:space="preserve"> </w:t>
      </w:r>
    </w:p>
    <w:p w14:paraId="578D391E" w14:textId="77777777" w:rsidR="000D53DF" w:rsidRPr="00CF3FC5" w:rsidRDefault="000D53DF" w:rsidP="006A4C0D">
      <w:pPr>
        <w:pStyle w:val="NormalSS"/>
        <w:ind w:firstLine="0"/>
        <w:rPr>
          <w:bCs/>
          <w:sz w:val="24"/>
          <w:highlight w:val="yellow"/>
        </w:rPr>
      </w:pPr>
    </w:p>
    <w:tbl>
      <w:tblPr>
        <w:tblStyle w:val="TableGrid"/>
        <w:tblW w:w="0" w:type="auto"/>
        <w:tblInd w:w="720" w:type="dxa"/>
        <w:tblLook w:val="04A0" w:firstRow="1" w:lastRow="0" w:firstColumn="1" w:lastColumn="0" w:noHBand="0" w:noVBand="1"/>
      </w:tblPr>
      <w:tblGrid>
        <w:gridCol w:w="2858"/>
        <w:gridCol w:w="2889"/>
        <w:gridCol w:w="2883"/>
      </w:tblGrid>
      <w:tr w:rsidR="00410901" w:rsidRPr="00CF3FC5" w14:paraId="578D3922" w14:textId="77777777" w:rsidTr="00BB1A86">
        <w:tc>
          <w:tcPr>
            <w:tcW w:w="2858" w:type="dxa"/>
          </w:tcPr>
          <w:p w14:paraId="578D391F" w14:textId="77777777" w:rsidR="00410901" w:rsidRPr="00BB1A86" w:rsidRDefault="00410901" w:rsidP="001F5B30">
            <w:pPr>
              <w:pStyle w:val="ListParagraph"/>
              <w:ind w:left="0"/>
              <w:rPr>
                <w:rFonts w:ascii="Times New Roman" w:hAnsi="Times New Roman" w:cs="Times New Roman"/>
                <w:b/>
              </w:rPr>
            </w:pPr>
            <w:r w:rsidRPr="00BB1A86">
              <w:rPr>
                <w:rFonts w:ascii="Times New Roman" w:hAnsi="Times New Roman" w:cs="Times New Roman"/>
                <w:b/>
              </w:rPr>
              <w:t>Individual</w:t>
            </w:r>
          </w:p>
        </w:tc>
        <w:tc>
          <w:tcPr>
            <w:tcW w:w="2889" w:type="dxa"/>
          </w:tcPr>
          <w:p w14:paraId="578D3920" w14:textId="77777777" w:rsidR="00410901" w:rsidRPr="00BB1A86" w:rsidRDefault="00410901" w:rsidP="001F5B30">
            <w:pPr>
              <w:pStyle w:val="ListParagraph"/>
              <w:ind w:left="0"/>
              <w:rPr>
                <w:rFonts w:ascii="Times New Roman" w:hAnsi="Times New Roman" w:cs="Times New Roman"/>
                <w:b/>
              </w:rPr>
            </w:pPr>
            <w:r w:rsidRPr="00BB1A86">
              <w:rPr>
                <w:rFonts w:ascii="Times New Roman" w:hAnsi="Times New Roman" w:cs="Times New Roman"/>
                <w:b/>
              </w:rPr>
              <w:t>Affiliation and Position</w:t>
            </w:r>
          </w:p>
        </w:tc>
        <w:tc>
          <w:tcPr>
            <w:tcW w:w="2883" w:type="dxa"/>
          </w:tcPr>
          <w:p w14:paraId="578D3921" w14:textId="77777777" w:rsidR="00410901" w:rsidRPr="00BB1A86" w:rsidRDefault="00410901" w:rsidP="001F5B30">
            <w:pPr>
              <w:pStyle w:val="ListParagraph"/>
              <w:ind w:left="0"/>
              <w:rPr>
                <w:rFonts w:ascii="Times New Roman" w:hAnsi="Times New Roman" w:cs="Times New Roman"/>
                <w:b/>
              </w:rPr>
            </w:pPr>
            <w:r w:rsidRPr="00BB1A86">
              <w:rPr>
                <w:rFonts w:ascii="Times New Roman" w:hAnsi="Times New Roman" w:cs="Times New Roman"/>
                <w:b/>
              </w:rPr>
              <w:t>Role</w:t>
            </w:r>
          </w:p>
        </w:tc>
      </w:tr>
      <w:tr w:rsidR="00BB1A86" w:rsidRPr="00DD61C4" w14:paraId="34BDC090" w14:textId="77777777" w:rsidTr="00BB1A86">
        <w:tc>
          <w:tcPr>
            <w:tcW w:w="2858" w:type="dxa"/>
          </w:tcPr>
          <w:p w14:paraId="4DF68AA3" w14:textId="19EF01A1" w:rsidR="00BB1A86" w:rsidRPr="007064A4" w:rsidRDefault="00A7797C" w:rsidP="001F5B30">
            <w:pPr>
              <w:pStyle w:val="ListParagraph"/>
              <w:ind w:left="0"/>
              <w:rPr>
                <w:rFonts w:ascii="Times New Roman" w:hAnsi="Times New Roman" w:cs="Times New Roman"/>
              </w:rPr>
            </w:pPr>
            <w:r w:rsidRPr="007064A4">
              <w:rPr>
                <w:rFonts w:ascii="Times New Roman" w:hAnsi="Times New Roman" w:cs="Times New Roman"/>
              </w:rPr>
              <w:t>Robert Goerge</w:t>
            </w:r>
          </w:p>
        </w:tc>
        <w:tc>
          <w:tcPr>
            <w:tcW w:w="2889" w:type="dxa"/>
          </w:tcPr>
          <w:p w14:paraId="06317858" w14:textId="34D9C64C" w:rsidR="00BB1A86" w:rsidRPr="007064A4" w:rsidRDefault="00A7797C" w:rsidP="001F5B30">
            <w:pPr>
              <w:pStyle w:val="ListParagraph"/>
              <w:ind w:left="0"/>
              <w:rPr>
                <w:rFonts w:ascii="Times New Roman" w:hAnsi="Times New Roman" w:cs="Times New Roman"/>
              </w:rPr>
            </w:pPr>
            <w:r w:rsidRPr="007064A4">
              <w:rPr>
                <w:rFonts w:ascii="Times New Roman" w:hAnsi="Times New Roman" w:cs="Times New Roman"/>
              </w:rPr>
              <w:t>Senior Research Fellow, Chapin Hall at the University of Chicago</w:t>
            </w:r>
          </w:p>
        </w:tc>
        <w:tc>
          <w:tcPr>
            <w:tcW w:w="2883" w:type="dxa"/>
          </w:tcPr>
          <w:p w14:paraId="32E27560" w14:textId="032523AA" w:rsidR="00BB1A86" w:rsidRPr="007064A4" w:rsidRDefault="001407C6" w:rsidP="001407C6">
            <w:pPr>
              <w:pStyle w:val="ListParagraph"/>
              <w:ind w:left="0"/>
              <w:rPr>
                <w:rFonts w:ascii="Times New Roman" w:hAnsi="Times New Roman" w:cs="Times New Roman"/>
              </w:rPr>
            </w:pPr>
            <w:r w:rsidRPr="007064A4">
              <w:rPr>
                <w:rFonts w:ascii="Times New Roman" w:hAnsi="Times New Roman" w:cs="Times New Roman"/>
              </w:rPr>
              <w:t xml:space="preserve">Lead survey data collection, Lead data analysis </w:t>
            </w:r>
          </w:p>
        </w:tc>
      </w:tr>
      <w:tr w:rsidR="00BB1A86" w:rsidRPr="00CF3FC5" w14:paraId="2EA288E2" w14:textId="77777777" w:rsidTr="00BB1A86">
        <w:tc>
          <w:tcPr>
            <w:tcW w:w="2858" w:type="dxa"/>
          </w:tcPr>
          <w:p w14:paraId="1A2785D6" w14:textId="70325C10" w:rsidR="00BB1A86" w:rsidRPr="007064A4" w:rsidRDefault="00A7797C" w:rsidP="001F5B30">
            <w:pPr>
              <w:pStyle w:val="ListParagraph"/>
              <w:ind w:left="0"/>
              <w:rPr>
                <w:rFonts w:ascii="Times New Roman" w:hAnsi="Times New Roman" w:cs="Times New Roman"/>
              </w:rPr>
            </w:pPr>
            <w:r w:rsidRPr="007064A4">
              <w:rPr>
                <w:rFonts w:ascii="Times New Roman" w:hAnsi="Times New Roman" w:cs="Times New Roman"/>
              </w:rPr>
              <w:t>Emily Wiegand</w:t>
            </w:r>
          </w:p>
        </w:tc>
        <w:tc>
          <w:tcPr>
            <w:tcW w:w="2889" w:type="dxa"/>
          </w:tcPr>
          <w:p w14:paraId="79462C2B" w14:textId="641A3266" w:rsidR="00BB1A86" w:rsidRPr="007064A4" w:rsidRDefault="00A7797C" w:rsidP="001F5B30">
            <w:pPr>
              <w:pStyle w:val="ListParagraph"/>
              <w:ind w:left="0"/>
              <w:rPr>
                <w:rFonts w:ascii="Times New Roman" w:hAnsi="Times New Roman" w:cs="Times New Roman"/>
              </w:rPr>
            </w:pPr>
            <w:r w:rsidRPr="007064A4">
              <w:rPr>
                <w:rFonts w:ascii="Times New Roman" w:hAnsi="Times New Roman" w:cs="Times New Roman"/>
              </w:rPr>
              <w:t>Researcher, Chapin Hall at the University of Chicago</w:t>
            </w:r>
          </w:p>
        </w:tc>
        <w:tc>
          <w:tcPr>
            <w:tcW w:w="2883" w:type="dxa"/>
          </w:tcPr>
          <w:p w14:paraId="14196E20" w14:textId="4BD9C426" w:rsidR="00BB1A86" w:rsidRPr="007064A4" w:rsidRDefault="002022E7" w:rsidP="001407C6">
            <w:pPr>
              <w:pStyle w:val="ListParagraph"/>
              <w:ind w:left="0"/>
              <w:rPr>
                <w:rFonts w:ascii="Times New Roman" w:hAnsi="Times New Roman" w:cs="Times New Roman"/>
              </w:rPr>
            </w:pPr>
            <w:r w:rsidRPr="007064A4">
              <w:rPr>
                <w:rFonts w:ascii="Times New Roman" w:hAnsi="Times New Roman" w:cs="Times New Roman"/>
              </w:rPr>
              <w:t>Coordinate</w:t>
            </w:r>
            <w:r w:rsidR="001407C6" w:rsidRPr="007064A4">
              <w:rPr>
                <w:rFonts w:ascii="Times New Roman" w:hAnsi="Times New Roman" w:cs="Times New Roman"/>
              </w:rPr>
              <w:t xml:space="preserve"> survey data collection, Conduct data analysis </w:t>
            </w:r>
          </w:p>
        </w:tc>
      </w:tr>
      <w:tr w:rsidR="00A7797C" w:rsidRPr="00CF3FC5" w14:paraId="71425972" w14:textId="77777777" w:rsidTr="00BB1A86">
        <w:tc>
          <w:tcPr>
            <w:tcW w:w="2858" w:type="dxa"/>
          </w:tcPr>
          <w:p w14:paraId="533A37BF" w14:textId="3C7A9015" w:rsidR="00A7797C" w:rsidRPr="007064A4" w:rsidRDefault="00A7797C" w:rsidP="001F5B30">
            <w:pPr>
              <w:pStyle w:val="ListParagraph"/>
              <w:ind w:left="0"/>
              <w:rPr>
                <w:rFonts w:ascii="Times New Roman" w:hAnsi="Times New Roman" w:cs="Times New Roman"/>
              </w:rPr>
            </w:pPr>
            <w:r w:rsidRPr="007064A4">
              <w:rPr>
                <w:rFonts w:ascii="Times New Roman" w:hAnsi="Times New Roman" w:cs="Times New Roman"/>
              </w:rPr>
              <w:t>Leah Gjertson</w:t>
            </w:r>
          </w:p>
        </w:tc>
        <w:tc>
          <w:tcPr>
            <w:tcW w:w="2889" w:type="dxa"/>
          </w:tcPr>
          <w:p w14:paraId="7B798562" w14:textId="78B91F70" w:rsidR="00A7797C" w:rsidRPr="007064A4" w:rsidRDefault="00A7797C" w:rsidP="001F5B30">
            <w:pPr>
              <w:pStyle w:val="ListParagraph"/>
              <w:ind w:left="0"/>
              <w:rPr>
                <w:rFonts w:ascii="Times New Roman" w:hAnsi="Times New Roman" w:cs="Times New Roman"/>
              </w:rPr>
            </w:pPr>
            <w:r w:rsidRPr="007064A4">
              <w:rPr>
                <w:rFonts w:ascii="Times New Roman" w:hAnsi="Times New Roman" w:cs="Times New Roman"/>
              </w:rPr>
              <w:t>Researcher, Chapin Hall at the University of Chicago</w:t>
            </w:r>
          </w:p>
        </w:tc>
        <w:tc>
          <w:tcPr>
            <w:tcW w:w="2883" w:type="dxa"/>
          </w:tcPr>
          <w:p w14:paraId="7FFEE91F" w14:textId="422383C7" w:rsidR="00A7797C" w:rsidRPr="007064A4" w:rsidRDefault="002022E7" w:rsidP="001F5B30">
            <w:pPr>
              <w:pStyle w:val="ListParagraph"/>
              <w:ind w:left="0"/>
              <w:rPr>
                <w:rFonts w:ascii="Times New Roman" w:hAnsi="Times New Roman" w:cs="Times New Roman"/>
              </w:rPr>
            </w:pPr>
            <w:r w:rsidRPr="007064A4">
              <w:rPr>
                <w:rFonts w:ascii="Times New Roman" w:hAnsi="Times New Roman" w:cs="Times New Roman"/>
              </w:rPr>
              <w:t>Coordinate</w:t>
            </w:r>
            <w:r w:rsidR="001407C6" w:rsidRPr="007064A4">
              <w:rPr>
                <w:rFonts w:ascii="Times New Roman" w:hAnsi="Times New Roman" w:cs="Times New Roman"/>
              </w:rPr>
              <w:t xml:space="preserve"> survey data collection, Conduct data analysis</w:t>
            </w:r>
          </w:p>
        </w:tc>
      </w:tr>
      <w:tr w:rsidR="00BB1A86" w:rsidRPr="00CF3FC5" w14:paraId="578D3926" w14:textId="77777777" w:rsidTr="00BB1A86">
        <w:tc>
          <w:tcPr>
            <w:tcW w:w="2858" w:type="dxa"/>
          </w:tcPr>
          <w:p w14:paraId="578D3923" w14:textId="77777777" w:rsidR="00BB1A86" w:rsidRPr="007064A4" w:rsidRDefault="00BB1A86" w:rsidP="00BB1A86">
            <w:pPr>
              <w:pStyle w:val="ListParagraph"/>
              <w:ind w:left="0"/>
              <w:rPr>
                <w:rFonts w:ascii="Times New Roman" w:hAnsi="Times New Roman" w:cs="Times New Roman"/>
              </w:rPr>
            </w:pPr>
            <w:r w:rsidRPr="007064A4">
              <w:rPr>
                <w:rFonts w:ascii="Times New Roman" w:hAnsi="Times New Roman" w:cs="Times New Roman"/>
              </w:rPr>
              <w:t>Adelia Jenkins</w:t>
            </w:r>
          </w:p>
        </w:tc>
        <w:tc>
          <w:tcPr>
            <w:tcW w:w="2889" w:type="dxa"/>
          </w:tcPr>
          <w:p w14:paraId="578D3924" w14:textId="77777777" w:rsidR="00BB1A86" w:rsidRPr="007064A4" w:rsidRDefault="00BB1A86" w:rsidP="00BB1A86">
            <w:pPr>
              <w:pStyle w:val="ListParagraph"/>
              <w:ind w:left="0"/>
              <w:rPr>
                <w:rFonts w:ascii="Times New Roman" w:hAnsi="Times New Roman" w:cs="Times New Roman"/>
              </w:rPr>
            </w:pPr>
            <w:r w:rsidRPr="007064A4">
              <w:rPr>
                <w:rFonts w:ascii="Times New Roman" w:hAnsi="Times New Roman" w:cs="Times New Roman"/>
              </w:rPr>
              <w:t>Executive Director, Actionable Intelligence for Social Policy (AISP) at University of Pennsylvania</w:t>
            </w:r>
          </w:p>
        </w:tc>
        <w:tc>
          <w:tcPr>
            <w:tcW w:w="2883" w:type="dxa"/>
          </w:tcPr>
          <w:p w14:paraId="578D3925" w14:textId="2635CF20" w:rsidR="00BB1A86" w:rsidRPr="007064A4" w:rsidRDefault="00BB1A86" w:rsidP="00BB1A86">
            <w:pPr>
              <w:pStyle w:val="ListParagraph"/>
              <w:ind w:left="0"/>
              <w:rPr>
                <w:rFonts w:ascii="Times New Roman" w:hAnsi="Times New Roman" w:cs="Times New Roman"/>
              </w:rPr>
            </w:pPr>
            <w:r w:rsidRPr="007064A4">
              <w:rPr>
                <w:rFonts w:ascii="Times New Roman" w:eastAsia="Times New Roman" w:hAnsi="Times New Roman" w:cs="Times New Roman"/>
              </w:rPr>
              <w:t>Review of survey, Review of analysis</w:t>
            </w:r>
          </w:p>
        </w:tc>
      </w:tr>
      <w:tr w:rsidR="00BB1A86" w:rsidRPr="00CF3FC5" w14:paraId="578D392A" w14:textId="77777777" w:rsidTr="00BB1A86">
        <w:tc>
          <w:tcPr>
            <w:tcW w:w="2858" w:type="dxa"/>
          </w:tcPr>
          <w:p w14:paraId="578D3927" w14:textId="77777777" w:rsidR="00BB1A86" w:rsidRPr="007064A4" w:rsidRDefault="00BB1A86" w:rsidP="00BB1A86">
            <w:pPr>
              <w:pStyle w:val="ListParagraph"/>
              <w:ind w:left="0"/>
              <w:rPr>
                <w:rFonts w:ascii="Times New Roman" w:hAnsi="Times New Roman" w:cs="Times New Roman"/>
              </w:rPr>
            </w:pPr>
            <w:r w:rsidRPr="007064A4">
              <w:rPr>
                <w:rFonts w:ascii="Times New Roman" w:hAnsi="Times New Roman" w:cs="Times New Roman"/>
              </w:rPr>
              <w:t>Richard Hendra</w:t>
            </w:r>
          </w:p>
        </w:tc>
        <w:tc>
          <w:tcPr>
            <w:tcW w:w="2889" w:type="dxa"/>
          </w:tcPr>
          <w:p w14:paraId="578D3928" w14:textId="77777777" w:rsidR="00BB1A86" w:rsidRPr="007064A4" w:rsidRDefault="00BB1A86" w:rsidP="00BB1A86">
            <w:pPr>
              <w:pStyle w:val="ListParagraph"/>
              <w:ind w:left="0"/>
              <w:rPr>
                <w:rFonts w:ascii="Times New Roman" w:hAnsi="Times New Roman" w:cs="Times New Roman"/>
              </w:rPr>
            </w:pPr>
            <w:r w:rsidRPr="007064A4">
              <w:rPr>
                <w:rFonts w:ascii="Times New Roman" w:hAnsi="Times New Roman" w:cs="Times New Roman"/>
              </w:rPr>
              <w:t>Senior Fellow, MDRC</w:t>
            </w:r>
          </w:p>
        </w:tc>
        <w:tc>
          <w:tcPr>
            <w:tcW w:w="2883" w:type="dxa"/>
          </w:tcPr>
          <w:p w14:paraId="34695ECD" w14:textId="65DA570E" w:rsidR="00BB1A86" w:rsidRPr="007064A4" w:rsidRDefault="00BB1A86" w:rsidP="00BB1A86">
            <w:pPr>
              <w:pStyle w:val="ListParagraph"/>
              <w:ind w:left="0"/>
              <w:rPr>
                <w:rFonts w:ascii="Times New Roman" w:eastAsia="Times New Roman" w:hAnsi="Times New Roman" w:cs="Times New Roman"/>
              </w:rPr>
            </w:pPr>
            <w:r w:rsidRPr="007064A4">
              <w:rPr>
                <w:rFonts w:ascii="Times New Roman" w:eastAsia="Times New Roman" w:hAnsi="Times New Roman" w:cs="Times New Roman"/>
              </w:rPr>
              <w:t xml:space="preserve">TDI Project Director, </w:t>
            </w:r>
          </w:p>
          <w:p w14:paraId="578D3929" w14:textId="58F46F94" w:rsidR="00BB1A86" w:rsidRPr="007064A4" w:rsidRDefault="00BB1A86" w:rsidP="00BB1A86">
            <w:pPr>
              <w:pStyle w:val="ListParagraph"/>
              <w:ind w:left="0"/>
              <w:rPr>
                <w:rFonts w:ascii="Times New Roman" w:hAnsi="Times New Roman" w:cs="Times New Roman"/>
              </w:rPr>
            </w:pPr>
            <w:r w:rsidRPr="007064A4">
              <w:rPr>
                <w:rFonts w:ascii="Times New Roman" w:eastAsia="Times New Roman" w:hAnsi="Times New Roman" w:cs="Times New Roman"/>
              </w:rPr>
              <w:t>Review of survey, Review of analysis</w:t>
            </w:r>
          </w:p>
        </w:tc>
      </w:tr>
      <w:tr w:rsidR="00BB1A86" w:rsidRPr="00CF3FC5" w14:paraId="578D392E" w14:textId="77777777" w:rsidTr="00BB1A86">
        <w:tc>
          <w:tcPr>
            <w:tcW w:w="2858" w:type="dxa"/>
          </w:tcPr>
          <w:p w14:paraId="578D392B" w14:textId="77777777" w:rsidR="00BB1A86" w:rsidRPr="007064A4" w:rsidRDefault="00BB1A86" w:rsidP="00BB1A86">
            <w:pPr>
              <w:pStyle w:val="ListParagraph"/>
              <w:ind w:left="0"/>
              <w:rPr>
                <w:rFonts w:ascii="Times New Roman" w:hAnsi="Times New Roman" w:cs="Times New Roman"/>
              </w:rPr>
            </w:pPr>
            <w:r w:rsidRPr="007064A4">
              <w:rPr>
                <w:rFonts w:ascii="Times New Roman" w:hAnsi="Times New Roman" w:cs="Times New Roman"/>
              </w:rPr>
              <w:t>Barbara Goldman</w:t>
            </w:r>
          </w:p>
        </w:tc>
        <w:tc>
          <w:tcPr>
            <w:tcW w:w="2889" w:type="dxa"/>
          </w:tcPr>
          <w:p w14:paraId="578D392C" w14:textId="77777777" w:rsidR="00BB1A86" w:rsidRPr="007064A4" w:rsidRDefault="00BB1A86" w:rsidP="00BB1A86">
            <w:pPr>
              <w:pStyle w:val="ListParagraph"/>
              <w:ind w:left="0"/>
              <w:rPr>
                <w:rFonts w:ascii="Times New Roman" w:hAnsi="Times New Roman" w:cs="Times New Roman"/>
              </w:rPr>
            </w:pPr>
            <w:r w:rsidRPr="007064A4">
              <w:rPr>
                <w:rFonts w:ascii="Times New Roman" w:hAnsi="Times New Roman" w:cs="Times New Roman"/>
              </w:rPr>
              <w:t>Vice President, MDRC</w:t>
            </w:r>
          </w:p>
        </w:tc>
        <w:tc>
          <w:tcPr>
            <w:tcW w:w="2883" w:type="dxa"/>
          </w:tcPr>
          <w:p w14:paraId="578D392D" w14:textId="0F2F1067" w:rsidR="00BB1A86" w:rsidRPr="007064A4" w:rsidRDefault="00BB1A86" w:rsidP="00BB1A86">
            <w:pPr>
              <w:pStyle w:val="ListParagraph"/>
              <w:ind w:left="0"/>
              <w:rPr>
                <w:rFonts w:ascii="Times New Roman" w:hAnsi="Times New Roman" w:cs="Times New Roman"/>
              </w:rPr>
            </w:pPr>
            <w:r w:rsidRPr="007064A4">
              <w:rPr>
                <w:rFonts w:ascii="Times New Roman" w:eastAsia="Times New Roman" w:hAnsi="Times New Roman" w:cs="Times New Roman"/>
              </w:rPr>
              <w:t>Review of survey, Review of analysis</w:t>
            </w:r>
          </w:p>
        </w:tc>
      </w:tr>
    </w:tbl>
    <w:p w14:paraId="578D3933" w14:textId="77777777" w:rsidR="00410901" w:rsidRPr="00DD61C4" w:rsidRDefault="00410901" w:rsidP="006A4C0D">
      <w:pPr>
        <w:pStyle w:val="NormalSS"/>
        <w:ind w:firstLine="0"/>
        <w:rPr>
          <w:bCs/>
          <w:sz w:val="24"/>
        </w:rPr>
      </w:pPr>
    </w:p>
    <w:sectPr w:rsidR="00410901" w:rsidRPr="00DD61C4" w:rsidSect="0052073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ADC88" w14:textId="77777777" w:rsidR="00A2552B" w:rsidRDefault="00A2552B">
      <w:r>
        <w:separator/>
      </w:r>
    </w:p>
  </w:endnote>
  <w:endnote w:type="continuationSeparator" w:id="0">
    <w:p w14:paraId="42394E77" w14:textId="77777777" w:rsidR="00A2552B" w:rsidRDefault="00A2552B">
      <w:r>
        <w:continuationSeparator/>
      </w:r>
    </w:p>
  </w:endnote>
  <w:endnote w:type="continuationNotice" w:id="1">
    <w:p w14:paraId="0147E649" w14:textId="77777777" w:rsidR="00A2552B" w:rsidRDefault="00A25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D3939" w14:textId="4CF09DCA" w:rsidR="002E3EF8" w:rsidRDefault="002E3EF8">
    <w:pPr>
      <w:pStyle w:val="Footer"/>
      <w:jc w:val="center"/>
    </w:pPr>
    <w:r>
      <w:fldChar w:fldCharType="begin"/>
    </w:r>
    <w:r>
      <w:instrText xml:space="preserve"> PAGE   \* MERGEFORMAT </w:instrText>
    </w:r>
    <w:r>
      <w:fldChar w:fldCharType="separate"/>
    </w:r>
    <w:r w:rsidR="00973ACC">
      <w:rPr>
        <w:noProof/>
      </w:rPr>
      <w:t>2</w:t>
    </w:r>
    <w:r>
      <w:fldChar w:fldCharType="end"/>
    </w:r>
  </w:p>
  <w:p w14:paraId="578D393A" w14:textId="77777777" w:rsidR="002E3EF8" w:rsidRDefault="002E3EF8"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97D36" w14:textId="77777777" w:rsidR="00A2552B" w:rsidRDefault="00A2552B">
      <w:r>
        <w:separator/>
      </w:r>
    </w:p>
  </w:footnote>
  <w:footnote w:type="continuationSeparator" w:id="0">
    <w:p w14:paraId="629AB1FE" w14:textId="77777777" w:rsidR="00A2552B" w:rsidRDefault="00A2552B">
      <w:r>
        <w:continuationSeparator/>
      </w:r>
    </w:p>
  </w:footnote>
  <w:footnote w:type="continuationNotice" w:id="1">
    <w:p w14:paraId="3F284EC3" w14:textId="77777777" w:rsidR="00A2552B" w:rsidRDefault="00A255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D3938" w14:textId="77777777" w:rsidR="002E3EF8" w:rsidRDefault="002E3EF8" w:rsidP="00FE1C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213C5"/>
    <w:multiLevelType w:val="hybridMultilevel"/>
    <w:tmpl w:val="39FA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EE5D42"/>
    <w:multiLevelType w:val="hybridMultilevel"/>
    <w:tmpl w:val="3896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682452"/>
    <w:multiLevelType w:val="hybridMultilevel"/>
    <w:tmpl w:val="41B6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450F2"/>
    <w:multiLevelType w:val="hybridMultilevel"/>
    <w:tmpl w:val="5E86C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5"/>
  </w:num>
  <w:num w:numId="4">
    <w:abstractNumId w:val="10"/>
  </w:num>
  <w:num w:numId="5">
    <w:abstractNumId w:val="11"/>
  </w:num>
  <w:num w:numId="6">
    <w:abstractNumId w:val="17"/>
  </w:num>
  <w:num w:numId="7">
    <w:abstractNumId w:val="16"/>
  </w:num>
  <w:num w:numId="8">
    <w:abstractNumId w:val="12"/>
  </w:num>
  <w:num w:numId="9">
    <w:abstractNumId w:val="13"/>
  </w:num>
  <w:num w:numId="10">
    <w:abstractNumId w:val="3"/>
  </w:num>
  <w:num w:numId="11">
    <w:abstractNumId w:val="0"/>
  </w:num>
  <w:num w:numId="12">
    <w:abstractNumId w:val="5"/>
  </w:num>
  <w:num w:numId="13">
    <w:abstractNumId w:val="18"/>
  </w:num>
  <w:num w:numId="14">
    <w:abstractNumId w:val="7"/>
  </w:num>
  <w:num w:numId="15">
    <w:abstractNumId w:val="9"/>
  </w:num>
  <w:num w:numId="16">
    <w:abstractNumId w:val="14"/>
  </w:num>
  <w:num w:numId="17">
    <w:abstractNumId w:val="8"/>
  </w:num>
  <w:num w:numId="18">
    <w:abstractNumId w:val="4"/>
  </w:num>
  <w:num w:numId="19">
    <w:abstractNumId w:val="14"/>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23CBB"/>
    <w:rsid w:val="00031B49"/>
    <w:rsid w:val="000352E0"/>
    <w:rsid w:val="000366A2"/>
    <w:rsid w:val="00037DF7"/>
    <w:rsid w:val="000559B5"/>
    <w:rsid w:val="00056937"/>
    <w:rsid w:val="0008315A"/>
    <w:rsid w:val="00083DD1"/>
    <w:rsid w:val="00086FA4"/>
    <w:rsid w:val="00091C59"/>
    <w:rsid w:val="00096E58"/>
    <w:rsid w:val="000B2ABA"/>
    <w:rsid w:val="000B5EA8"/>
    <w:rsid w:val="000C6ABF"/>
    <w:rsid w:val="000D336D"/>
    <w:rsid w:val="000D53DF"/>
    <w:rsid w:val="000F434A"/>
    <w:rsid w:val="000F5D39"/>
    <w:rsid w:val="00110977"/>
    <w:rsid w:val="00134C87"/>
    <w:rsid w:val="00135518"/>
    <w:rsid w:val="001407C6"/>
    <w:rsid w:val="001568C8"/>
    <w:rsid w:val="0016012E"/>
    <w:rsid w:val="001603B5"/>
    <w:rsid w:val="001611ED"/>
    <w:rsid w:val="00167131"/>
    <w:rsid w:val="001672E1"/>
    <w:rsid w:val="001779C2"/>
    <w:rsid w:val="00183C0F"/>
    <w:rsid w:val="001963EB"/>
    <w:rsid w:val="001A35D8"/>
    <w:rsid w:val="001C4D60"/>
    <w:rsid w:val="001E1019"/>
    <w:rsid w:val="001E1754"/>
    <w:rsid w:val="001F2564"/>
    <w:rsid w:val="001F5B30"/>
    <w:rsid w:val="002022E7"/>
    <w:rsid w:val="0020382F"/>
    <w:rsid w:val="002104BA"/>
    <w:rsid w:val="00214500"/>
    <w:rsid w:val="00220789"/>
    <w:rsid w:val="002231FA"/>
    <w:rsid w:val="00234E8D"/>
    <w:rsid w:val="00235A6D"/>
    <w:rsid w:val="00244AC0"/>
    <w:rsid w:val="00253148"/>
    <w:rsid w:val="00290717"/>
    <w:rsid w:val="00292B70"/>
    <w:rsid w:val="002A1F68"/>
    <w:rsid w:val="002B4DBE"/>
    <w:rsid w:val="002D445B"/>
    <w:rsid w:val="002D7B8D"/>
    <w:rsid w:val="002E3EF8"/>
    <w:rsid w:val="002E5008"/>
    <w:rsid w:val="002F070B"/>
    <w:rsid w:val="00302083"/>
    <w:rsid w:val="0030356A"/>
    <w:rsid w:val="00316D23"/>
    <w:rsid w:val="0031743B"/>
    <w:rsid w:val="00333DC5"/>
    <w:rsid w:val="00341941"/>
    <w:rsid w:val="00354148"/>
    <w:rsid w:val="00363E77"/>
    <w:rsid w:val="00365E55"/>
    <w:rsid w:val="0037156C"/>
    <w:rsid w:val="00374DAB"/>
    <w:rsid w:val="00375D74"/>
    <w:rsid w:val="0038250F"/>
    <w:rsid w:val="00393514"/>
    <w:rsid w:val="003A0FFC"/>
    <w:rsid w:val="003B4505"/>
    <w:rsid w:val="003D5231"/>
    <w:rsid w:val="003D6260"/>
    <w:rsid w:val="003E6DF9"/>
    <w:rsid w:val="003F2301"/>
    <w:rsid w:val="003F6486"/>
    <w:rsid w:val="003F6CE2"/>
    <w:rsid w:val="00403079"/>
    <w:rsid w:val="00403869"/>
    <w:rsid w:val="00410901"/>
    <w:rsid w:val="004128AC"/>
    <w:rsid w:val="00445407"/>
    <w:rsid w:val="0044623E"/>
    <w:rsid w:val="004554B1"/>
    <w:rsid w:val="00456E2F"/>
    <w:rsid w:val="00460C1A"/>
    <w:rsid w:val="00461A5D"/>
    <w:rsid w:val="00463F9C"/>
    <w:rsid w:val="00482DDE"/>
    <w:rsid w:val="004A5AA6"/>
    <w:rsid w:val="004B587E"/>
    <w:rsid w:val="004C1FCC"/>
    <w:rsid w:val="004D1A4B"/>
    <w:rsid w:val="004D41C9"/>
    <w:rsid w:val="004D6CA9"/>
    <w:rsid w:val="004D7D96"/>
    <w:rsid w:val="004E2697"/>
    <w:rsid w:val="004E31E7"/>
    <w:rsid w:val="004F17FE"/>
    <w:rsid w:val="004F4E1D"/>
    <w:rsid w:val="005046F0"/>
    <w:rsid w:val="00513406"/>
    <w:rsid w:val="00516C81"/>
    <w:rsid w:val="00520737"/>
    <w:rsid w:val="00534B27"/>
    <w:rsid w:val="00534F38"/>
    <w:rsid w:val="005353B7"/>
    <w:rsid w:val="00541024"/>
    <w:rsid w:val="00546B95"/>
    <w:rsid w:val="0056419F"/>
    <w:rsid w:val="005A64C5"/>
    <w:rsid w:val="005B134D"/>
    <w:rsid w:val="005C028E"/>
    <w:rsid w:val="005D2901"/>
    <w:rsid w:val="005E17E2"/>
    <w:rsid w:val="005F2061"/>
    <w:rsid w:val="006035D6"/>
    <w:rsid w:val="00607351"/>
    <w:rsid w:val="00615EF0"/>
    <w:rsid w:val="00623010"/>
    <w:rsid w:val="00651DBA"/>
    <w:rsid w:val="006538CE"/>
    <w:rsid w:val="00657424"/>
    <w:rsid w:val="006627DA"/>
    <w:rsid w:val="00680758"/>
    <w:rsid w:val="00681AF8"/>
    <w:rsid w:val="00691476"/>
    <w:rsid w:val="006968EC"/>
    <w:rsid w:val="006A1915"/>
    <w:rsid w:val="006A4C0D"/>
    <w:rsid w:val="006B48FF"/>
    <w:rsid w:val="006B5D0B"/>
    <w:rsid w:val="006B631D"/>
    <w:rsid w:val="006B6845"/>
    <w:rsid w:val="006C1046"/>
    <w:rsid w:val="006D35B4"/>
    <w:rsid w:val="006E1740"/>
    <w:rsid w:val="006E5358"/>
    <w:rsid w:val="006F30E0"/>
    <w:rsid w:val="00701045"/>
    <w:rsid w:val="007064A4"/>
    <w:rsid w:val="0072204D"/>
    <w:rsid w:val="00723219"/>
    <w:rsid w:val="0072672B"/>
    <w:rsid w:val="0073186E"/>
    <w:rsid w:val="00735EBE"/>
    <w:rsid w:val="00760DDD"/>
    <w:rsid w:val="0076254E"/>
    <w:rsid w:val="0076453A"/>
    <w:rsid w:val="00767F36"/>
    <w:rsid w:val="00772457"/>
    <w:rsid w:val="00781631"/>
    <w:rsid w:val="00783A2F"/>
    <w:rsid w:val="00784137"/>
    <w:rsid w:val="00786D16"/>
    <w:rsid w:val="007A386E"/>
    <w:rsid w:val="007A6EEC"/>
    <w:rsid w:val="007B15B0"/>
    <w:rsid w:val="007B3109"/>
    <w:rsid w:val="007C7467"/>
    <w:rsid w:val="007D13F9"/>
    <w:rsid w:val="007E0F1A"/>
    <w:rsid w:val="007E2972"/>
    <w:rsid w:val="007E4B82"/>
    <w:rsid w:val="007F505A"/>
    <w:rsid w:val="007F7448"/>
    <w:rsid w:val="008003C5"/>
    <w:rsid w:val="008058FC"/>
    <w:rsid w:val="008065AE"/>
    <w:rsid w:val="00814DFD"/>
    <w:rsid w:val="008172E0"/>
    <w:rsid w:val="00823AAB"/>
    <w:rsid w:val="00834FA5"/>
    <w:rsid w:val="00835429"/>
    <w:rsid w:val="008402F1"/>
    <w:rsid w:val="00857390"/>
    <w:rsid w:val="0086447C"/>
    <w:rsid w:val="008708A3"/>
    <w:rsid w:val="0087234E"/>
    <w:rsid w:val="008779BF"/>
    <w:rsid w:val="00877F8B"/>
    <w:rsid w:val="00883569"/>
    <w:rsid w:val="008A468C"/>
    <w:rsid w:val="008B0BFF"/>
    <w:rsid w:val="008B3F78"/>
    <w:rsid w:val="008B7F2C"/>
    <w:rsid w:val="008C3825"/>
    <w:rsid w:val="008C601D"/>
    <w:rsid w:val="008C79DC"/>
    <w:rsid w:val="008E34BE"/>
    <w:rsid w:val="008E35AD"/>
    <w:rsid w:val="008F1314"/>
    <w:rsid w:val="008F5841"/>
    <w:rsid w:val="008F6D6C"/>
    <w:rsid w:val="00902C23"/>
    <w:rsid w:val="009062FD"/>
    <w:rsid w:val="00906539"/>
    <w:rsid w:val="00907C3D"/>
    <w:rsid w:val="009210C7"/>
    <w:rsid w:val="00925FC3"/>
    <w:rsid w:val="00927083"/>
    <w:rsid w:val="00932D71"/>
    <w:rsid w:val="00944007"/>
    <w:rsid w:val="00945CD6"/>
    <w:rsid w:val="009556AB"/>
    <w:rsid w:val="009648CE"/>
    <w:rsid w:val="00973ACC"/>
    <w:rsid w:val="00975CC5"/>
    <w:rsid w:val="00981A65"/>
    <w:rsid w:val="0099238D"/>
    <w:rsid w:val="00994006"/>
    <w:rsid w:val="0099400F"/>
    <w:rsid w:val="009A0EE0"/>
    <w:rsid w:val="009B211D"/>
    <w:rsid w:val="009C40B7"/>
    <w:rsid w:val="009D0AE6"/>
    <w:rsid w:val="009D2722"/>
    <w:rsid w:val="009D47D2"/>
    <w:rsid w:val="00A12529"/>
    <w:rsid w:val="00A2552B"/>
    <w:rsid w:val="00A35E23"/>
    <w:rsid w:val="00A50373"/>
    <w:rsid w:val="00A625A0"/>
    <w:rsid w:val="00A74D52"/>
    <w:rsid w:val="00A76559"/>
    <w:rsid w:val="00A7797C"/>
    <w:rsid w:val="00A816C9"/>
    <w:rsid w:val="00A956E0"/>
    <w:rsid w:val="00AA29C0"/>
    <w:rsid w:val="00AC4338"/>
    <w:rsid w:val="00AD1806"/>
    <w:rsid w:val="00AD1839"/>
    <w:rsid w:val="00AF3A08"/>
    <w:rsid w:val="00AF3BF5"/>
    <w:rsid w:val="00B019FD"/>
    <w:rsid w:val="00B062D1"/>
    <w:rsid w:val="00B13771"/>
    <w:rsid w:val="00B14396"/>
    <w:rsid w:val="00B15A94"/>
    <w:rsid w:val="00B175DB"/>
    <w:rsid w:val="00B277CA"/>
    <w:rsid w:val="00B31DB2"/>
    <w:rsid w:val="00B34104"/>
    <w:rsid w:val="00B41F53"/>
    <w:rsid w:val="00B426F5"/>
    <w:rsid w:val="00B66DAE"/>
    <w:rsid w:val="00B7157D"/>
    <w:rsid w:val="00BA1FED"/>
    <w:rsid w:val="00BB1A86"/>
    <w:rsid w:val="00BD244D"/>
    <w:rsid w:val="00BD4CFB"/>
    <w:rsid w:val="00BE17F5"/>
    <w:rsid w:val="00BF0739"/>
    <w:rsid w:val="00BF4BAA"/>
    <w:rsid w:val="00C101D7"/>
    <w:rsid w:val="00C12B95"/>
    <w:rsid w:val="00C204C8"/>
    <w:rsid w:val="00C20FC8"/>
    <w:rsid w:val="00C2748E"/>
    <w:rsid w:val="00C3102E"/>
    <w:rsid w:val="00C45E31"/>
    <w:rsid w:val="00C519DB"/>
    <w:rsid w:val="00C55985"/>
    <w:rsid w:val="00C56EA9"/>
    <w:rsid w:val="00C757E9"/>
    <w:rsid w:val="00C87DDA"/>
    <w:rsid w:val="00CB061F"/>
    <w:rsid w:val="00CB0EF6"/>
    <w:rsid w:val="00CC1F78"/>
    <w:rsid w:val="00CC3E1D"/>
    <w:rsid w:val="00CC5273"/>
    <w:rsid w:val="00CE6EFF"/>
    <w:rsid w:val="00CF3FC5"/>
    <w:rsid w:val="00CF73BE"/>
    <w:rsid w:val="00D012A6"/>
    <w:rsid w:val="00D06D5F"/>
    <w:rsid w:val="00D07A8C"/>
    <w:rsid w:val="00D07F45"/>
    <w:rsid w:val="00D13312"/>
    <w:rsid w:val="00D24327"/>
    <w:rsid w:val="00D519D9"/>
    <w:rsid w:val="00D52285"/>
    <w:rsid w:val="00D5288E"/>
    <w:rsid w:val="00D52B7B"/>
    <w:rsid w:val="00D5382B"/>
    <w:rsid w:val="00D54678"/>
    <w:rsid w:val="00D556E8"/>
    <w:rsid w:val="00D6700C"/>
    <w:rsid w:val="00D67880"/>
    <w:rsid w:val="00D705A8"/>
    <w:rsid w:val="00D75816"/>
    <w:rsid w:val="00D970FA"/>
    <w:rsid w:val="00DB4C9B"/>
    <w:rsid w:val="00DC2A12"/>
    <w:rsid w:val="00DC750C"/>
    <w:rsid w:val="00DD61C4"/>
    <w:rsid w:val="00DD6C03"/>
    <w:rsid w:val="00DD7ECD"/>
    <w:rsid w:val="00E05A0A"/>
    <w:rsid w:val="00E15077"/>
    <w:rsid w:val="00E23297"/>
    <w:rsid w:val="00E23816"/>
    <w:rsid w:val="00E32E26"/>
    <w:rsid w:val="00E41D46"/>
    <w:rsid w:val="00E43870"/>
    <w:rsid w:val="00E57551"/>
    <w:rsid w:val="00E61CA4"/>
    <w:rsid w:val="00E70C9E"/>
    <w:rsid w:val="00E72E9A"/>
    <w:rsid w:val="00E83BA0"/>
    <w:rsid w:val="00E84D07"/>
    <w:rsid w:val="00E85B9C"/>
    <w:rsid w:val="00E87A02"/>
    <w:rsid w:val="00EB1DC3"/>
    <w:rsid w:val="00EB3E3A"/>
    <w:rsid w:val="00EB5B54"/>
    <w:rsid w:val="00EB6BC4"/>
    <w:rsid w:val="00EC1679"/>
    <w:rsid w:val="00EC329F"/>
    <w:rsid w:val="00EC6101"/>
    <w:rsid w:val="00EE12B1"/>
    <w:rsid w:val="00EE6173"/>
    <w:rsid w:val="00EF441A"/>
    <w:rsid w:val="00F02234"/>
    <w:rsid w:val="00F053F9"/>
    <w:rsid w:val="00F16865"/>
    <w:rsid w:val="00F20416"/>
    <w:rsid w:val="00F20419"/>
    <w:rsid w:val="00F4696D"/>
    <w:rsid w:val="00F5322E"/>
    <w:rsid w:val="00F56220"/>
    <w:rsid w:val="00F5664F"/>
    <w:rsid w:val="00F73374"/>
    <w:rsid w:val="00F81FBA"/>
    <w:rsid w:val="00F92E11"/>
    <w:rsid w:val="00F93449"/>
    <w:rsid w:val="00F95F02"/>
    <w:rsid w:val="00FB58B5"/>
    <w:rsid w:val="00FC04C5"/>
    <w:rsid w:val="00FC4744"/>
    <w:rsid w:val="00FD0F72"/>
    <w:rsid w:val="00FD1B70"/>
    <w:rsid w:val="00FD3531"/>
    <w:rsid w:val="00FD7600"/>
    <w:rsid w:val="00FE1C8E"/>
    <w:rsid w:val="00FF0583"/>
    <w:rsid w:val="00FF3048"/>
    <w:rsid w:val="00FF42D7"/>
    <w:rsid w:val="00FF5874"/>
    <w:rsid w:val="13D15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D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paragraph" w:styleId="Revision">
    <w:name w:val="Revision"/>
    <w:hidden/>
    <w:uiPriority w:val="99"/>
    <w:semiHidden/>
    <w:rsid w:val="00BF4BAA"/>
    <w:rPr>
      <w:sz w:val="24"/>
      <w:szCs w:val="24"/>
    </w:rPr>
  </w:style>
  <w:style w:type="paragraph" w:customStyle="1" w:styleId="NormalSS">
    <w:name w:val="NormalSS"/>
    <w:basedOn w:val="Normal"/>
    <w:link w:val="NormalSSChar"/>
    <w:qFormat/>
    <w:rsid w:val="00031B49"/>
    <w:pPr>
      <w:tabs>
        <w:tab w:val="left" w:pos="432"/>
        <w:tab w:val="left" w:pos="1152"/>
      </w:tabs>
      <w:ind w:firstLine="432"/>
      <w:jc w:val="both"/>
    </w:pPr>
    <w:rPr>
      <w:sz w:val="22"/>
    </w:rPr>
  </w:style>
  <w:style w:type="character" w:customStyle="1" w:styleId="NormalSSChar">
    <w:name w:val="NormalSS Char"/>
    <w:link w:val="NormalSS"/>
    <w:locked/>
    <w:rsid w:val="00031B49"/>
    <w:rPr>
      <w:sz w:val="22"/>
      <w:szCs w:val="24"/>
    </w:rPr>
  </w:style>
  <w:style w:type="paragraph" w:styleId="FootnoteText">
    <w:name w:val="footnote text"/>
    <w:basedOn w:val="Normal"/>
    <w:link w:val="FootnoteTextChar"/>
    <w:rsid w:val="00B175DB"/>
    <w:rPr>
      <w:sz w:val="20"/>
      <w:szCs w:val="20"/>
    </w:rPr>
  </w:style>
  <w:style w:type="character" w:customStyle="1" w:styleId="FootnoteTextChar">
    <w:name w:val="Footnote Text Char"/>
    <w:basedOn w:val="DefaultParagraphFont"/>
    <w:link w:val="FootnoteText"/>
    <w:rsid w:val="00B175DB"/>
  </w:style>
  <w:style w:type="character" w:styleId="FootnoteReference">
    <w:name w:val="footnote reference"/>
    <w:rsid w:val="00B175DB"/>
    <w:rPr>
      <w:vertAlign w:val="superscript"/>
    </w:rPr>
  </w:style>
  <w:style w:type="paragraph" w:styleId="ListParagraph">
    <w:name w:val="List Paragraph"/>
    <w:basedOn w:val="Normal"/>
    <w:link w:val="ListParagraphChar"/>
    <w:uiPriority w:val="34"/>
    <w:qFormat/>
    <w:rsid w:val="00341941"/>
    <w:pPr>
      <w:ind w:left="720"/>
      <w:contextualSpacing/>
    </w:pPr>
  </w:style>
  <w:style w:type="character" w:customStyle="1" w:styleId="ListParagraphChar">
    <w:name w:val="List Paragraph Char"/>
    <w:basedOn w:val="DefaultParagraphFont"/>
    <w:link w:val="ListParagraph"/>
    <w:uiPriority w:val="34"/>
    <w:rsid w:val="00341941"/>
    <w:rPr>
      <w:sz w:val="24"/>
      <w:szCs w:val="24"/>
    </w:rPr>
  </w:style>
  <w:style w:type="table" w:styleId="TableGrid">
    <w:name w:val="Table Grid"/>
    <w:basedOn w:val="TableNormal"/>
    <w:uiPriority w:val="59"/>
    <w:rsid w:val="0041090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77F8B"/>
    <w:rPr>
      <w:rFonts w:ascii="Arial" w:hAnsi="Arial"/>
      <w:sz w:val="28"/>
      <w:szCs w:val="28"/>
      <w:lang w:val="x-none" w:eastAsia="x-none"/>
    </w:rPr>
  </w:style>
  <w:style w:type="character" w:customStyle="1" w:styleId="BodyTextChar">
    <w:name w:val="Body Text Char"/>
    <w:basedOn w:val="DefaultParagraphFont"/>
    <w:link w:val="BodyText"/>
    <w:rsid w:val="00877F8B"/>
    <w:rPr>
      <w:rFonts w:ascii="Arial" w:hAnsi="Arial"/>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paragraph" w:styleId="Revision">
    <w:name w:val="Revision"/>
    <w:hidden/>
    <w:uiPriority w:val="99"/>
    <w:semiHidden/>
    <w:rsid w:val="00BF4BAA"/>
    <w:rPr>
      <w:sz w:val="24"/>
      <w:szCs w:val="24"/>
    </w:rPr>
  </w:style>
  <w:style w:type="paragraph" w:customStyle="1" w:styleId="NormalSS">
    <w:name w:val="NormalSS"/>
    <w:basedOn w:val="Normal"/>
    <w:link w:val="NormalSSChar"/>
    <w:qFormat/>
    <w:rsid w:val="00031B49"/>
    <w:pPr>
      <w:tabs>
        <w:tab w:val="left" w:pos="432"/>
        <w:tab w:val="left" w:pos="1152"/>
      </w:tabs>
      <w:ind w:firstLine="432"/>
      <w:jc w:val="both"/>
    </w:pPr>
    <w:rPr>
      <w:sz w:val="22"/>
    </w:rPr>
  </w:style>
  <w:style w:type="character" w:customStyle="1" w:styleId="NormalSSChar">
    <w:name w:val="NormalSS Char"/>
    <w:link w:val="NormalSS"/>
    <w:locked/>
    <w:rsid w:val="00031B49"/>
    <w:rPr>
      <w:sz w:val="22"/>
      <w:szCs w:val="24"/>
    </w:rPr>
  </w:style>
  <w:style w:type="paragraph" w:styleId="FootnoteText">
    <w:name w:val="footnote text"/>
    <w:basedOn w:val="Normal"/>
    <w:link w:val="FootnoteTextChar"/>
    <w:rsid w:val="00B175DB"/>
    <w:rPr>
      <w:sz w:val="20"/>
      <w:szCs w:val="20"/>
    </w:rPr>
  </w:style>
  <w:style w:type="character" w:customStyle="1" w:styleId="FootnoteTextChar">
    <w:name w:val="Footnote Text Char"/>
    <w:basedOn w:val="DefaultParagraphFont"/>
    <w:link w:val="FootnoteText"/>
    <w:rsid w:val="00B175DB"/>
  </w:style>
  <w:style w:type="character" w:styleId="FootnoteReference">
    <w:name w:val="footnote reference"/>
    <w:rsid w:val="00B175DB"/>
    <w:rPr>
      <w:vertAlign w:val="superscript"/>
    </w:rPr>
  </w:style>
  <w:style w:type="paragraph" w:styleId="ListParagraph">
    <w:name w:val="List Paragraph"/>
    <w:basedOn w:val="Normal"/>
    <w:link w:val="ListParagraphChar"/>
    <w:uiPriority w:val="34"/>
    <w:qFormat/>
    <w:rsid w:val="00341941"/>
    <w:pPr>
      <w:ind w:left="720"/>
      <w:contextualSpacing/>
    </w:pPr>
  </w:style>
  <w:style w:type="character" w:customStyle="1" w:styleId="ListParagraphChar">
    <w:name w:val="List Paragraph Char"/>
    <w:basedOn w:val="DefaultParagraphFont"/>
    <w:link w:val="ListParagraph"/>
    <w:uiPriority w:val="34"/>
    <w:rsid w:val="00341941"/>
    <w:rPr>
      <w:sz w:val="24"/>
      <w:szCs w:val="24"/>
    </w:rPr>
  </w:style>
  <w:style w:type="table" w:styleId="TableGrid">
    <w:name w:val="Table Grid"/>
    <w:basedOn w:val="TableNormal"/>
    <w:uiPriority w:val="59"/>
    <w:rsid w:val="0041090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77F8B"/>
    <w:rPr>
      <w:rFonts w:ascii="Arial" w:hAnsi="Arial"/>
      <w:sz w:val="28"/>
      <w:szCs w:val="28"/>
      <w:lang w:val="x-none" w:eastAsia="x-none"/>
    </w:rPr>
  </w:style>
  <w:style w:type="character" w:customStyle="1" w:styleId="BodyTextChar">
    <w:name w:val="Body Text Char"/>
    <w:basedOn w:val="DefaultParagraphFont"/>
    <w:link w:val="BodyText"/>
    <w:rsid w:val="00877F8B"/>
    <w:rPr>
      <w:rFonts w:ascii="Arial" w:hAnsi="Arial"/>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7487">
      <w:bodyDiv w:val="1"/>
      <w:marLeft w:val="0"/>
      <w:marRight w:val="0"/>
      <w:marTop w:val="0"/>
      <w:marBottom w:val="0"/>
      <w:divBdr>
        <w:top w:val="none" w:sz="0" w:space="0" w:color="auto"/>
        <w:left w:val="none" w:sz="0" w:space="0" w:color="auto"/>
        <w:bottom w:val="none" w:sz="0" w:space="0" w:color="auto"/>
        <w:right w:val="none" w:sz="0" w:space="0" w:color="auto"/>
      </w:divBdr>
    </w:div>
    <w:div w:id="237523679">
      <w:bodyDiv w:val="1"/>
      <w:marLeft w:val="0"/>
      <w:marRight w:val="0"/>
      <w:marTop w:val="0"/>
      <w:marBottom w:val="0"/>
      <w:divBdr>
        <w:top w:val="none" w:sz="0" w:space="0" w:color="auto"/>
        <w:left w:val="none" w:sz="0" w:space="0" w:color="auto"/>
        <w:bottom w:val="none" w:sz="0" w:space="0" w:color="auto"/>
        <w:right w:val="none" w:sz="0" w:space="0" w:color="auto"/>
      </w:divBdr>
    </w:div>
    <w:div w:id="874854439">
      <w:bodyDiv w:val="1"/>
      <w:marLeft w:val="0"/>
      <w:marRight w:val="0"/>
      <w:marTop w:val="0"/>
      <w:marBottom w:val="0"/>
      <w:divBdr>
        <w:top w:val="none" w:sz="0" w:space="0" w:color="auto"/>
        <w:left w:val="none" w:sz="0" w:space="0" w:color="auto"/>
        <w:bottom w:val="none" w:sz="0" w:space="0" w:color="auto"/>
        <w:right w:val="none" w:sz="0" w:space="0" w:color="auto"/>
      </w:divBdr>
    </w:div>
    <w:div w:id="1383940063">
      <w:bodyDiv w:val="1"/>
      <w:marLeft w:val="0"/>
      <w:marRight w:val="0"/>
      <w:marTop w:val="0"/>
      <w:marBottom w:val="0"/>
      <w:divBdr>
        <w:top w:val="none" w:sz="0" w:space="0" w:color="auto"/>
        <w:left w:val="none" w:sz="0" w:space="0" w:color="auto"/>
        <w:bottom w:val="none" w:sz="0" w:space="0" w:color="auto"/>
        <w:right w:val="none" w:sz="0" w:space="0" w:color="auto"/>
      </w:divBdr>
    </w:div>
    <w:div w:id="1706709842">
      <w:bodyDiv w:val="1"/>
      <w:marLeft w:val="0"/>
      <w:marRight w:val="0"/>
      <w:marTop w:val="0"/>
      <w:marBottom w:val="0"/>
      <w:divBdr>
        <w:top w:val="none" w:sz="0" w:space="0" w:color="auto"/>
        <w:left w:val="none" w:sz="0" w:space="0" w:color="auto"/>
        <w:bottom w:val="none" w:sz="0" w:space="0" w:color="auto"/>
        <w:right w:val="none" w:sz="0" w:space="0" w:color="auto"/>
      </w:divBdr>
    </w:div>
    <w:div w:id="202003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243FDF1FC884A8059A3593A0C0E5A" ma:contentTypeVersion="7" ma:contentTypeDescription="Create a new document." ma:contentTypeScope="" ma:versionID="5131b1954ca217ed0093a89cef1578a7">
  <xsd:schema xmlns:xsd="http://www.w3.org/2001/XMLSchema" xmlns:xs="http://www.w3.org/2001/XMLSchema" xmlns:p="http://schemas.microsoft.com/office/2006/metadata/properties" xmlns:ns2="f7ec8156-2e41-4d07-9799-b9c59df4ac5e" xmlns:ns3="5b1ba423-d5f7-4a98-adf5-dba173af6625" targetNamespace="http://schemas.microsoft.com/office/2006/metadata/properties" ma:root="true" ma:fieldsID="d8c9a7ba5ac544a175f250f6c2b42af3" ns2:_="" ns3:_="">
    <xsd:import namespace="f7ec8156-2e41-4d07-9799-b9c59df4ac5e"/>
    <xsd:import namespace="5b1ba423-d5f7-4a98-adf5-dba173af6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8156-2e41-4d07-9799-b9c59df4ac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ba423-d5f7-4a98-adf5-dba173af66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A46EB-64F7-4EBC-8981-83B246001DD9}">
  <ds:schemaRefs>
    <ds:schemaRef ds:uri="http://purl.org/dc/elements/1.1/"/>
    <ds:schemaRef ds:uri="http://www.w3.org/XML/1998/namespace"/>
    <ds:schemaRef ds:uri="http://purl.org/dc/dcmitype/"/>
    <ds:schemaRef ds:uri="http://schemas.openxmlformats.org/package/2006/metadata/core-properties"/>
    <ds:schemaRef ds:uri="http://purl.org/dc/terms/"/>
    <ds:schemaRef ds:uri="http://schemas.microsoft.com/office/2006/metadata/properties"/>
    <ds:schemaRef ds:uri="http://schemas.microsoft.com/office/2006/documentManagement/types"/>
    <ds:schemaRef ds:uri="5b1ba423-d5f7-4a98-adf5-dba173af6625"/>
    <ds:schemaRef ds:uri="http://schemas.microsoft.com/office/infopath/2007/PartnerControls"/>
    <ds:schemaRef ds:uri="f7ec8156-2e41-4d07-9799-b9c59df4ac5e"/>
  </ds:schemaRefs>
</ds:datastoreItem>
</file>

<file path=customXml/itemProps2.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3.xml><?xml version="1.0" encoding="utf-8"?>
<ds:datastoreItem xmlns:ds="http://schemas.openxmlformats.org/officeDocument/2006/customXml" ds:itemID="{4A8F9884-AE3A-4EF0-AC87-559C16A52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8156-2e41-4d07-9799-b9c59df4ac5e"/>
    <ds:schemaRef ds:uri="5b1ba423-d5f7-4a98-adf5-dba173af6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79FCA-7A70-4645-81C4-20A29F5B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SYSTEM</cp:lastModifiedBy>
  <cp:revision>2</cp:revision>
  <cp:lastPrinted>2018-03-19T18:57:00Z</cp:lastPrinted>
  <dcterms:created xsi:type="dcterms:W3CDTF">2019-02-07T17:52:00Z</dcterms:created>
  <dcterms:modified xsi:type="dcterms:W3CDTF">2019-02-07T17:52:00Z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0x0101000C8243FDF1FC884A8059A3593A0C0E5A</vt:lpwstr>
  </property>
</Properties>
</file>