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BE945" w14:textId="77777777" w:rsidR="002C4F75" w:rsidRPr="005F0C01" w:rsidRDefault="002C4F75" w:rsidP="002C4F75">
      <w:pPr>
        <w:jc w:val="center"/>
        <w:rPr>
          <w:b/>
        </w:rPr>
      </w:pPr>
      <w:bookmarkStart w:id="0" w:name="_GoBack"/>
      <w:bookmarkEnd w:id="0"/>
    </w:p>
    <w:p w14:paraId="2680C5A6" w14:textId="77777777" w:rsidR="002C4F75" w:rsidRPr="005F0C01" w:rsidRDefault="002C4F75" w:rsidP="002C4F75">
      <w:pPr>
        <w:pStyle w:val="ReportCover-Title"/>
        <w:rPr>
          <w:rFonts w:ascii="Times New Roman" w:hAnsi="Times New Roman"/>
          <w:color w:val="auto"/>
          <w:sz w:val="24"/>
          <w:szCs w:val="24"/>
        </w:rPr>
      </w:pPr>
    </w:p>
    <w:p w14:paraId="352B3305" w14:textId="70FA36AD" w:rsidR="002C4F75" w:rsidRPr="005F0C01" w:rsidRDefault="00987132" w:rsidP="002C4F75">
      <w:pPr>
        <w:pStyle w:val="ReportCover-Title"/>
        <w:jc w:val="center"/>
        <w:rPr>
          <w:rFonts w:ascii="Times New Roman" w:hAnsi="Times New Roman"/>
          <w:color w:val="auto"/>
          <w:sz w:val="24"/>
          <w:szCs w:val="24"/>
        </w:rPr>
      </w:pPr>
      <w:bookmarkStart w:id="1" w:name="_Hlk513127032"/>
      <w:r w:rsidRPr="005F0C01">
        <w:rPr>
          <w:rFonts w:ascii="Times New Roman" w:eastAsia="Arial Unicode MS" w:hAnsi="Times New Roman"/>
          <w:noProof/>
          <w:color w:val="auto"/>
          <w:sz w:val="24"/>
          <w:szCs w:val="24"/>
        </w:rPr>
        <w:t xml:space="preserve">Temporary Assistance for Needy </w:t>
      </w:r>
      <w:r w:rsidR="00BE6970">
        <w:rPr>
          <w:rFonts w:ascii="Times New Roman" w:eastAsia="Arial Unicode MS" w:hAnsi="Times New Roman"/>
          <w:noProof/>
          <w:color w:val="auto"/>
          <w:sz w:val="24"/>
          <w:szCs w:val="24"/>
        </w:rPr>
        <w:t>Families (TANF) Data Innovation</w:t>
      </w:r>
      <w:r w:rsidRPr="005F0C01">
        <w:rPr>
          <w:rFonts w:ascii="Times New Roman" w:eastAsia="Arial Unicode MS" w:hAnsi="Times New Roman"/>
          <w:noProof/>
          <w:color w:val="auto"/>
          <w:sz w:val="24"/>
          <w:szCs w:val="24"/>
        </w:rPr>
        <w:t xml:space="preserve"> </w:t>
      </w:r>
      <w:r w:rsidR="000265E9">
        <w:rPr>
          <w:rFonts w:ascii="Times New Roman" w:eastAsia="Arial Unicode MS" w:hAnsi="Times New Roman"/>
          <w:noProof/>
          <w:color w:val="auto"/>
          <w:sz w:val="24"/>
          <w:szCs w:val="24"/>
        </w:rPr>
        <w:t xml:space="preserve">(TDI) </w:t>
      </w:r>
      <w:r w:rsidRPr="005F0C01">
        <w:rPr>
          <w:rFonts w:ascii="Times New Roman" w:eastAsia="Arial Unicode MS" w:hAnsi="Times New Roman"/>
          <w:noProof/>
          <w:color w:val="auto"/>
          <w:sz w:val="24"/>
          <w:szCs w:val="24"/>
        </w:rPr>
        <w:t>Project</w:t>
      </w:r>
      <w:bookmarkEnd w:id="1"/>
    </w:p>
    <w:p w14:paraId="555105C1" w14:textId="77777777" w:rsidR="002C4F75" w:rsidRPr="005F0C01" w:rsidRDefault="002C4F75" w:rsidP="002C4F75">
      <w:pPr>
        <w:pStyle w:val="ReportCover-Title"/>
        <w:rPr>
          <w:rFonts w:ascii="Times New Roman" w:hAnsi="Times New Roman"/>
          <w:color w:val="auto"/>
          <w:sz w:val="24"/>
          <w:szCs w:val="24"/>
        </w:rPr>
      </w:pPr>
    </w:p>
    <w:p w14:paraId="2056AD22" w14:textId="77777777" w:rsidR="002C4F75" w:rsidRPr="005F0C01" w:rsidRDefault="002C4F75" w:rsidP="002C4F75">
      <w:pPr>
        <w:pStyle w:val="ReportCover-Title"/>
        <w:rPr>
          <w:rFonts w:ascii="Times New Roman" w:hAnsi="Times New Roman"/>
          <w:color w:val="auto"/>
          <w:sz w:val="24"/>
          <w:szCs w:val="24"/>
        </w:rPr>
      </w:pPr>
    </w:p>
    <w:p w14:paraId="383CBA08" w14:textId="77777777" w:rsidR="002C4F75" w:rsidRPr="005F0C01" w:rsidRDefault="002C4F75" w:rsidP="002C4F75">
      <w:pPr>
        <w:pStyle w:val="ReportCover-Title"/>
        <w:jc w:val="center"/>
        <w:rPr>
          <w:rFonts w:ascii="Times New Roman" w:hAnsi="Times New Roman"/>
          <w:color w:val="auto"/>
          <w:sz w:val="24"/>
          <w:szCs w:val="24"/>
        </w:rPr>
      </w:pPr>
      <w:r w:rsidRPr="005F0C01">
        <w:rPr>
          <w:rFonts w:ascii="Times New Roman" w:hAnsi="Times New Roman"/>
          <w:color w:val="auto"/>
          <w:sz w:val="24"/>
          <w:szCs w:val="24"/>
        </w:rPr>
        <w:t>OMB Information Collection Request</w:t>
      </w:r>
    </w:p>
    <w:p w14:paraId="0CB9A617" w14:textId="79654F80" w:rsidR="002C4F75" w:rsidRPr="005F0C01" w:rsidRDefault="00A15D1D" w:rsidP="002C4F75">
      <w:pPr>
        <w:pStyle w:val="ReportCover-Title"/>
        <w:jc w:val="center"/>
        <w:rPr>
          <w:rFonts w:ascii="Times New Roman" w:hAnsi="Times New Roman"/>
          <w:color w:val="auto"/>
          <w:sz w:val="24"/>
          <w:szCs w:val="24"/>
        </w:rPr>
      </w:pPr>
      <w:r>
        <w:rPr>
          <w:rFonts w:ascii="Times New Roman" w:hAnsi="Times New Roman"/>
          <w:color w:val="auto"/>
          <w:sz w:val="24"/>
          <w:szCs w:val="24"/>
        </w:rPr>
        <w:t>New Collection</w:t>
      </w:r>
    </w:p>
    <w:p w14:paraId="49258A62" w14:textId="77777777" w:rsidR="002C4F75" w:rsidRPr="005F0C01" w:rsidRDefault="002C4F75" w:rsidP="002C4F75"/>
    <w:p w14:paraId="403ABD20" w14:textId="77777777" w:rsidR="002C4F75" w:rsidRPr="005F0C01" w:rsidRDefault="002C4F75" w:rsidP="002C4F75">
      <w:pPr>
        <w:pStyle w:val="ReportCover-Date"/>
        <w:jc w:val="center"/>
        <w:rPr>
          <w:rFonts w:ascii="Times New Roman" w:hAnsi="Times New Roman"/>
          <w:color w:val="auto"/>
          <w:szCs w:val="24"/>
        </w:rPr>
      </w:pPr>
    </w:p>
    <w:p w14:paraId="28764134" w14:textId="77777777" w:rsidR="002C4F75" w:rsidRPr="005F0C01" w:rsidRDefault="002C4F75" w:rsidP="002C4F75">
      <w:pPr>
        <w:pStyle w:val="ReportCover-Date"/>
        <w:spacing w:after="360" w:line="240" w:lineRule="auto"/>
        <w:jc w:val="center"/>
        <w:rPr>
          <w:rFonts w:ascii="Times New Roman" w:hAnsi="Times New Roman"/>
          <w:color w:val="auto"/>
          <w:szCs w:val="24"/>
        </w:rPr>
      </w:pPr>
      <w:r w:rsidRPr="005F0C01">
        <w:rPr>
          <w:rFonts w:ascii="Times New Roman" w:hAnsi="Times New Roman"/>
          <w:color w:val="auto"/>
          <w:szCs w:val="24"/>
        </w:rPr>
        <w:t>Supporting Statement</w:t>
      </w:r>
    </w:p>
    <w:p w14:paraId="5BB033CB" w14:textId="77777777" w:rsidR="002C4F75" w:rsidRPr="005F0C01" w:rsidRDefault="002C4F75" w:rsidP="002C4F75">
      <w:pPr>
        <w:pStyle w:val="ReportCover-Date"/>
        <w:spacing w:after="360" w:line="240" w:lineRule="auto"/>
        <w:jc w:val="center"/>
        <w:rPr>
          <w:rFonts w:ascii="Times New Roman" w:hAnsi="Times New Roman"/>
          <w:color w:val="auto"/>
          <w:szCs w:val="24"/>
        </w:rPr>
      </w:pPr>
      <w:r w:rsidRPr="005F0C01">
        <w:rPr>
          <w:rFonts w:ascii="Times New Roman" w:hAnsi="Times New Roman"/>
          <w:color w:val="auto"/>
          <w:szCs w:val="24"/>
        </w:rPr>
        <w:t>Part A</w:t>
      </w:r>
    </w:p>
    <w:p w14:paraId="11BFCCAA" w14:textId="7CA21DBC" w:rsidR="002C4F75" w:rsidRPr="005F0C01" w:rsidRDefault="00C055D2" w:rsidP="002C4F75">
      <w:pPr>
        <w:pStyle w:val="ReportCover-Date"/>
        <w:jc w:val="center"/>
        <w:rPr>
          <w:rFonts w:ascii="Times New Roman" w:hAnsi="Times New Roman"/>
          <w:color w:val="auto"/>
          <w:szCs w:val="24"/>
        </w:rPr>
      </w:pPr>
      <w:r w:rsidRPr="00C055D2">
        <w:rPr>
          <w:rFonts w:ascii="Times New Roman" w:hAnsi="Times New Roman"/>
          <w:color w:val="auto"/>
          <w:szCs w:val="24"/>
        </w:rPr>
        <w:t>September</w:t>
      </w:r>
      <w:r w:rsidR="0080540C">
        <w:rPr>
          <w:rFonts w:ascii="Times New Roman" w:hAnsi="Times New Roman"/>
          <w:color w:val="auto"/>
          <w:szCs w:val="24"/>
        </w:rPr>
        <w:t xml:space="preserve"> </w:t>
      </w:r>
      <w:r w:rsidR="00E65461" w:rsidRPr="005F0C01">
        <w:rPr>
          <w:rFonts w:ascii="Times New Roman" w:hAnsi="Times New Roman"/>
          <w:color w:val="auto"/>
          <w:szCs w:val="24"/>
        </w:rPr>
        <w:t>2018</w:t>
      </w:r>
    </w:p>
    <w:p w14:paraId="061B480A" w14:textId="77777777" w:rsidR="002C4F75" w:rsidRPr="005F0C01" w:rsidRDefault="002C4F75" w:rsidP="002C4F75">
      <w:pPr>
        <w:jc w:val="center"/>
      </w:pPr>
    </w:p>
    <w:p w14:paraId="5FA75689" w14:textId="77777777" w:rsidR="002C4F75" w:rsidRPr="005F0C01" w:rsidRDefault="002C4F75" w:rsidP="002C4F75">
      <w:pPr>
        <w:jc w:val="center"/>
      </w:pPr>
      <w:r w:rsidRPr="005F0C01">
        <w:t>Submitted By:</w:t>
      </w:r>
    </w:p>
    <w:p w14:paraId="31AFBABC" w14:textId="77777777" w:rsidR="002C4F75" w:rsidRPr="005F0C01" w:rsidRDefault="002C4F75" w:rsidP="002C4F75">
      <w:pPr>
        <w:jc w:val="center"/>
      </w:pPr>
      <w:r w:rsidRPr="005F0C01">
        <w:t>Office of Planning, Research</w:t>
      </w:r>
      <w:r w:rsidR="008D0767" w:rsidRPr="005F0C01">
        <w:t>,</w:t>
      </w:r>
      <w:r w:rsidRPr="005F0C01">
        <w:t xml:space="preserve"> and Evaluation</w:t>
      </w:r>
    </w:p>
    <w:p w14:paraId="3D9B8687" w14:textId="77777777" w:rsidR="002C4F75" w:rsidRPr="005F0C01" w:rsidRDefault="002C4F75" w:rsidP="002C4F75">
      <w:pPr>
        <w:jc w:val="center"/>
      </w:pPr>
      <w:r w:rsidRPr="005F0C01">
        <w:t xml:space="preserve">Administration for Children and Families </w:t>
      </w:r>
    </w:p>
    <w:p w14:paraId="1284C6C8" w14:textId="77777777" w:rsidR="002C4F75" w:rsidRPr="005F0C01" w:rsidRDefault="002C4F75" w:rsidP="002C4F75">
      <w:pPr>
        <w:jc w:val="center"/>
      </w:pPr>
      <w:r w:rsidRPr="005F0C01">
        <w:t>U.S. Department of Health and Human Services</w:t>
      </w:r>
    </w:p>
    <w:p w14:paraId="0ACAA30D" w14:textId="77777777" w:rsidR="002C4F75" w:rsidRPr="005F0C01" w:rsidRDefault="002C4F75" w:rsidP="002C4F75">
      <w:pPr>
        <w:jc w:val="center"/>
      </w:pPr>
    </w:p>
    <w:p w14:paraId="1ADDECA3" w14:textId="77777777" w:rsidR="002C4F75" w:rsidRPr="005F0C01" w:rsidRDefault="00436F5E" w:rsidP="002C4F75">
      <w:pPr>
        <w:jc w:val="center"/>
      </w:pPr>
      <w:r w:rsidRPr="005F0C01">
        <w:t>4</w:t>
      </w:r>
      <w:r w:rsidR="002C4F75" w:rsidRPr="005F0C01">
        <w:rPr>
          <w:vertAlign w:val="superscript"/>
        </w:rPr>
        <w:t>th</w:t>
      </w:r>
      <w:r w:rsidR="002C4F75" w:rsidRPr="005F0C01">
        <w:t xml:space="preserve"> Floor, </w:t>
      </w:r>
      <w:r w:rsidRPr="005F0C01">
        <w:t>Mary E. Switzer Building</w:t>
      </w:r>
    </w:p>
    <w:p w14:paraId="4ECBE48F" w14:textId="77777777" w:rsidR="002C4F75" w:rsidRPr="005F0C01" w:rsidRDefault="002C4F75" w:rsidP="002C4F75">
      <w:pPr>
        <w:jc w:val="center"/>
      </w:pPr>
      <w:r w:rsidRPr="005F0C01">
        <w:t>3</w:t>
      </w:r>
      <w:r w:rsidR="00436F5E" w:rsidRPr="005F0C01">
        <w:t>3</w:t>
      </w:r>
      <w:r w:rsidRPr="005F0C01">
        <w:t xml:space="preserve">0 </w:t>
      </w:r>
      <w:r w:rsidR="00436F5E" w:rsidRPr="005F0C01">
        <w:t xml:space="preserve">C Street, </w:t>
      </w:r>
      <w:r w:rsidRPr="005F0C01">
        <w:t>SW</w:t>
      </w:r>
    </w:p>
    <w:p w14:paraId="7F0C1664" w14:textId="77777777" w:rsidR="002C4F75" w:rsidRPr="005F0C01" w:rsidRDefault="002C4F75" w:rsidP="002C4F75">
      <w:pPr>
        <w:jc w:val="center"/>
      </w:pPr>
      <w:r w:rsidRPr="005F0C01">
        <w:t>Washington, D.C. 20</w:t>
      </w:r>
      <w:r w:rsidR="00436F5E" w:rsidRPr="005F0C01">
        <w:t>201</w:t>
      </w:r>
    </w:p>
    <w:p w14:paraId="0DC3EF5F" w14:textId="77777777" w:rsidR="002C4F75" w:rsidRPr="005F0C01" w:rsidRDefault="002C4F75" w:rsidP="002C4F75">
      <w:pPr>
        <w:jc w:val="center"/>
      </w:pPr>
    </w:p>
    <w:p w14:paraId="30C2B880" w14:textId="77777777" w:rsidR="002C4F75" w:rsidRPr="005F0C01" w:rsidRDefault="002C4F75" w:rsidP="002C4F75">
      <w:pPr>
        <w:jc w:val="center"/>
      </w:pPr>
      <w:r w:rsidRPr="005F0C01">
        <w:t>Project Officer:</w:t>
      </w:r>
    </w:p>
    <w:p w14:paraId="392CC7B0" w14:textId="3B4B7EE6" w:rsidR="007C41F6" w:rsidRPr="005F0C01" w:rsidRDefault="00F53A06" w:rsidP="007C41F6">
      <w:pPr>
        <w:jc w:val="center"/>
      </w:pPr>
      <w:r w:rsidRPr="005F0C01">
        <w:t>Girley Wright</w:t>
      </w:r>
    </w:p>
    <w:p w14:paraId="03DF5B51" w14:textId="57F7FC88" w:rsidR="00990B42" w:rsidRDefault="00374DAB" w:rsidP="00990B42">
      <w:pPr>
        <w:rPr>
          <w:b/>
        </w:rPr>
      </w:pPr>
      <w:r w:rsidRPr="005F0C01">
        <w:rPr>
          <w:b/>
        </w:rPr>
        <w:br w:type="page"/>
      </w:r>
      <w:r w:rsidR="00990B42">
        <w:rPr>
          <w:b/>
        </w:rPr>
        <w:lastRenderedPageBreak/>
        <w:t>EXECUTIVE SUMMARY</w:t>
      </w:r>
    </w:p>
    <w:p w14:paraId="2ABEDB30" w14:textId="77777777" w:rsidR="00990B42" w:rsidRPr="00990B42" w:rsidRDefault="00990B42" w:rsidP="00990B42">
      <w:pPr>
        <w:pStyle w:val="ListParagraph"/>
        <w:numPr>
          <w:ilvl w:val="0"/>
          <w:numId w:val="36"/>
        </w:numPr>
        <w:rPr>
          <w:b/>
        </w:rPr>
      </w:pPr>
      <w:r w:rsidRPr="00990B42">
        <w:rPr>
          <w:b/>
        </w:rPr>
        <w:t>Status of project</w:t>
      </w:r>
    </w:p>
    <w:p w14:paraId="76EB9315" w14:textId="77777777" w:rsidR="00990B42" w:rsidRDefault="00990B42" w:rsidP="00990B42">
      <w:pPr>
        <w:pStyle w:val="ListParagraph"/>
      </w:pPr>
      <w:r w:rsidRPr="00D72D37">
        <w:t>ACF requests approval for</w:t>
      </w:r>
      <w:r>
        <w:t xml:space="preserve"> a new </w:t>
      </w:r>
      <w:r w:rsidRPr="00D72D37">
        <w:t xml:space="preserve">information collection to inform </w:t>
      </w:r>
      <w:r>
        <w:t>its design of</w:t>
      </w:r>
      <w:r w:rsidRPr="00D72D37">
        <w:t xml:space="preserve"> technical assistance and training to improve </w:t>
      </w:r>
      <w:r>
        <w:t>state and local agencies’</w:t>
      </w:r>
      <w:r w:rsidRPr="00D72D37">
        <w:t xml:space="preserve"> use of administrative data</w:t>
      </w:r>
      <w:r>
        <w:t xml:space="preserve"> from the Temporary Assistance to Needy Families (TANF) program.</w:t>
      </w:r>
    </w:p>
    <w:p w14:paraId="467673E1" w14:textId="77777777" w:rsidR="00990B42" w:rsidRDefault="00990B42" w:rsidP="00990B42">
      <w:pPr>
        <w:pStyle w:val="ListParagraph"/>
      </w:pPr>
    </w:p>
    <w:p w14:paraId="49486444" w14:textId="77777777" w:rsidR="00990B42" w:rsidRPr="00990B42" w:rsidRDefault="00990B42" w:rsidP="00990B42">
      <w:pPr>
        <w:pStyle w:val="ListParagraph"/>
        <w:numPr>
          <w:ilvl w:val="0"/>
          <w:numId w:val="36"/>
        </w:numPr>
        <w:rPr>
          <w:b/>
        </w:rPr>
      </w:pPr>
      <w:r w:rsidRPr="00990B42">
        <w:rPr>
          <w:b/>
        </w:rPr>
        <w:t>Type of study</w:t>
      </w:r>
    </w:p>
    <w:p w14:paraId="793B6342" w14:textId="725BAFA7" w:rsidR="00990B42" w:rsidRDefault="00990B42" w:rsidP="00990B42">
      <w:pPr>
        <w:pStyle w:val="ListParagraph"/>
      </w:pPr>
      <w:r>
        <w:t xml:space="preserve">The TDI Needs Assessment survey will collect descriptive information from state TANF staff about their capacities and challenges using data for program improvement. TDI is not an evaluation study; it is an ACF-sponsored training and technical assistance initiative. </w:t>
      </w:r>
    </w:p>
    <w:p w14:paraId="765BE404" w14:textId="77777777" w:rsidR="00990B42" w:rsidRDefault="00990B42" w:rsidP="00990B42"/>
    <w:p w14:paraId="3E477633" w14:textId="77777777" w:rsidR="00990B42" w:rsidRPr="00990B42" w:rsidRDefault="00990B42" w:rsidP="00990B42">
      <w:pPr>
        <w:pStyle w:val="ListParagraph"/>
        <w:numPr>
          <w:ilvl w:val="0"/>
          <w:numId w:val="36"/>
        </w:numPr>
        <w:rPr>
          <w:b/>
        </w:rPr>
      </w:pPr>
      <w:r w:rsidRPr="00990B42">
        <w:rPr>
          <w:b/>
        </w:rPr>
        <w:t>Utility of the information collection</w:t>
      </w:r>
    </w:p>
    <w:p w14:paraId="17DB12A1" w14:textId="032E4893" w:rsidR="00990B42" w:rsidRDefault="00990B42" w:rsidP="00990B42">
      <w:pPr>
        <w:pStyle w:val="ListParagraph"/>
      </w:pPr>
      <w:r>
        <w:t>The information collected will be used by ACF for internal planning purposes and in the provision of technical assistance and training to state and county TANF administrators and staff. This information will also be used in a published report by ACF on shared challenges and opportunities facing states as they improve use of TANF data.</w:t>
      </w:r>
      <w:r>
        <w:br/>
      </w:r>
    </w:p>
    <w:p w14:paraId="13C3BFAE" w14:textId="52AC6627" w:rsidR="00990B42" w:rsidRPr="00990B42" w:rsidRDefault="00824F13" w:rsidP="00990B42">
      <w:pPr>
        <w:pStyle w:val="ListParagraph"/>
        <w:numPr>
          <w:ilvl w:val="0"/>
          <w:numId w:val="36"/>
        </w:numPr>
        <w:rPr>
          <w:b/>
        </w:rPr>
      </w:pPr>
      <w:r>
        <w:rPr>
          <w:b/>
        </w:rPr>
        <w:t>Estimation of</w:t>
      </w:r>
      <w:r w:rsidR="00990B42">
        <w:rPr>
          <w:b/>
        </w:rPr>
        <w:t xml:space="preserve"> Burden</w:t>
      </w:r>
      <w:r w:rsidR="00990B42">
        <w:br/>
      </w:r>
      <w:r w:rsidR="00990B42" w:rsidRPr="00D72D37">
        <w:t xml:space="preserve">This information request </w:t>
      </w:r>
      <w:r w:rsidR="00990B42">
        <w:t>covers</w:t>
      </w:r>
      <w:r w:rsidR="00990B42" w:rsidRPr="00D72D37">
        <w:t xml:space="preserve"> an online survey </w:t>
      </w:r>
      <w:r w:rsidR="00990B42">
        <w:t xml:space="preserve">of </w:t>
      </w:r>
      <w:r w:rsidR="00990B42" w:rsidRPr="00D72D37">
        <w:t>TANF administrat</w:t>
      </w:r>
      <w:r w:rsidR="00990B42">
        <w:t xml:space="preserve">ive and </w:t>
      </w:r>
      <w:r w:rsidR="00990B42" w:rsidRPr="00D72D37">
        <w:t>data staff in 5</w:t>
      </w:r>
      <w:r w:rsidR="00990B42">
        <w:t>4</w:t>
      </w:r>
      <w:r w:rsidR="00990B42" w:rsidRPr="00D72D37">
        <w:t xml:space="preserve"> states</w:t>
      </w:r>
      <w:r w:rsidR="00990B42">
        <w:t xml:space="preserve"> and territories</w:t>
      </w:r>
      <w:r w:rsidR="00990B42" w:rsidRPr="00D72D37">
        <w:t xml:space="preserve">. </w:t>
      </w:r>
      <w:r w:rsidR="00990B42">
        <w:t>A key contact in each state will be responsible for assigning seven topical modules to subject matter experts among their staff.  ACF estimates 108 total burden hours for this information collection.</w:t>
      </w:r>
    </w:p>
    <w:p w14:paraId="7BCD4660" w14:textId="2E28226A" w:rsidR="00D72D37" w:rsidRPr="00D72D37" w:rsidRDefault="00D72D37" w:rsidP="00990B42">
      <w:pPr>
        <w:pStyle w:val="ListParagraph"/>
        <w:rPr>
          <w:b/>
        </w:rPr>
      </w:pPr>
    </w:p>
    <w:p w14:paraId="05F585D4" w14:textId="34A01187" w:rsidR="00945CD6" w:rsidRPr="005F0C01" w:rsidRDefault="00292B70" w:rsidP="009C6D5D">
      <w:pPr>
        <w:rPr>
          <w:b/>
        </w:rPr>
      </w:pPr>
      <w:r w:rsidRPr="005F0C01">
        <w:rPr>
          <w:b/>
        </w:rPr>
        <w:t xml:space="preserve">A1. </w:t>
      </w:r>
      <w:r w:rsidR="00945CD6" w:rsidRPr="005F0C01">
        <w:rPr>
          <w:b/>
        </w:rPr>
        <w:t>Necessity for the Data Collection</w:t>
      </w:r>
    </w:p>
    <w:p w14:paraId="41F38297" w14:textId="20283F9B" w:rsidR="00127732" w:rsidRPr="005F0C01" w:rsidRDefault="009D263D" w:rsidP="00406241">
      <w:pPr>
        <w:pStyle w:val="Heading4"/>
        <w:numPr>
          <w:ilvl w:val="3"/>
          <w:numId w:val="0"/>
        </w:numPr>
        <w:tabs>
          <w:tab w:val="num" w:pos="180"/>
        </w:tabs>
        <w:spacing w:before="0" w:after="0"/>
        <w:rPr>
          <w:rFonts w:ascii="Times New Roman" w:hAnsi="Times New Roman"/>
          <w:b w:val="0"/>
          <w:sz w:val="24"/>
          <w:szCs w:val="24"/>
        </w:rPr>
      </w:pPr>
      <w:r w:rsidRPr="005F0C01">
        <w:rPr>
          <w:rFonts w:ascii="Times New Roman" w:hAnsi="Times New Roman"/>
          <w:b w:val="0"/>
          <w:sz w:val="24"/>
          <w:szCs w:val="24"/>
        </w:rPr>
        <w:t xml:space="preserve">The Administration for Children and Families (ACF) </w:t>
      </w:r>
      <w:r w:rsidR="0080540C" w:rsidRPr="00423820">
        <w:rPr>
          <w:rFonts w:ascii="Times New Roman" w:hAnsi="Times New Roman"/>
          <w:b w:val="0"/>
          <w:sz w:val="24"/>
          <w:szCs w:val="24"/>
        </w:rPr>
        <w:t xml:space="preserve">Office of Planning, Research, and Evaluation (OPRE) </w:t>
      </w:r>
      <w:r w:rsidRPr="005F0C01">
        <w:rPr>
          <w:rFonts w:ascii="Times New Roman" w:hAnsi="Times New Roman"/>
          <w:b w:val="0"/>
          <w:sz w:val="24"/>
          <w:szCs w:val="24"/>
        </w:rPr>
        <w:t xml:space="preserve">at the U.S. Department of Health and Human Services (HHS) seeks approval </w:t>
      </w:r>
      <w:r w:rsidR="0080540C">
        <w:rPr>
          <w:rFonts w:ascii="Times New Roman" w:hAnsi="Times New Roman"/>
          <w:b w:val="0"/>
          <w:sz w:val="24"/>
          <w:szCs w:val="24"/>
        </w:rPr>
        <w:t xml:space="preserve">to </w:t>
      </w:r>
      <w:r w:rsidRPr="005F0C01">
        <w:rPr>
          <w:rFonts w:ascii="Times New Roman" w:hAnsi="Times New Roman"/>
          <w:b w:val="0"/>
          <w:sz w:val="24"/>
          <w:szCs w:val="24"/>
        </w:rPr>
        <w:t xml:space="preserve">conduct </w:t>
      </w:r>
      <w:r w:rsidR="00375786">
        <w:rPr>
          <w:rFonts w:ascii="Times New Roman" w:hAnsi="Times New Roman"/>
          <w:b w:val="0"/>
          <w:sz w:val="24"/>
          <w:szCs w:val="24"/>
        </w:rPr>
        <w:t>a needs assessment</w:t>
      </w:r>
      <w:r w:rsidRPr="005F0C01">
        <w:rPr>
          <w:rFonts w:ascii="Times New Roman" w:hAnsi="Times New Roman"/>
          <w:b w:val="0"/>
          <w:sz w:val="24"/>
          <w:szCs w:val="24"/>
        </w:rPr>
        <w:t xml:space="preserve"> </w:t>
      </w:r>
      <w:r w:rsidR="0080540C" w:rsidRPr="00423820">
        <w:rPr>
          <w:rFonts w:ascii="Times New Roman" w:hAnsi="Times New Roman"/>
          <w:b w:val="0"/>
          <w:sz w:val="24"/>
          <w:szCs w:val="24"/>
        </w:rPr>
        <w:t>as part of the TANF Data Innovation (TDI)</w:t>
      </w:r>
      <w:r w:rsidR="0080540C">
        <w:rPr>
          <w:rFonts w:ascii="Times New Roman" w:hAnsi="Times New Roman"/>
          <w:b w:val="0"/>
          <w:sz w:val="24"/>
          <w:szCs w:val="24"/>
        </w:rPr>
        <w:t xml:space="preserve"> project</w:t>
      </w:r>
      <w:r w:rsidR="0080540C" w:rsidRPr="00423820">
        <w:rPr>
          <w:rFonts w:ascii="Times New Roman" w:hAnsi="Times New Roman"/>
          <w:b w:val="0"/>
          <w:sz w:val="24"/>
          <w:szCs w:val="24"/>
        </w:rPr>
        <w:t>.</w:t>
      </w:r>
      <w:r w:rsidR="0080540C" w:rsidRPr="00423820">
        <w:rPr>
          <w:rFonts w:ascii="Times New Roman" w:hAnsi="Times New Roman"/>
          <w:sz w:val="24"/>
          <w:szCs w:val="24"/>
        </w:rPr>
        <w:t xml:space="preserve"> </w:t>
      </w:r>
      <w:r w:rsidR="0080540C">
        <w:rPr>
          <w:rFonts w:ascii="Times New Roman" w:hAnsi="Times New Roman"/>
          <w:b w:val="0"/>
          <w:sz w:val="24"/>
          <w:szCs w:val="24"/>
        </w:rPr>
        <w:t>T</w:t>
      </w:r>
      <w:r w:rsidRPr="005F0C01">
        <w:rPr>
          <w:rFonts w:ascii="Times New Roman" w:hAnsi="Times New Roman"/>
          <w:b w:val="0"/>
          <w:sz w:val="24"/>
          <w:szCs w:val="24"/>
        </w:rPr>
        <w:t xml:space="preserve">he purpose </w:t>
      </w:r>
      <w:r w:rsidR="0080540C">
        <w:rPr>
          <w:rFonts w:ascii="Times New Roman" w:hAnsi="Times New Roman"/>
          <w:b w:val="0"/>
          <w:sz w:val="24"/>
          <w:szCs w:val="24"/>
        </w:rPr>
        <w:t>is to</w:t>
      </w:r>
      <w:r w:rsidRPr="005F0C01">
        <w:rPr>
          <w:rFonts w:ascii="Times New Roman" w:hAnsi="Times New Roman"/>
          <w:b w:val="0"/>
          <w:sz w:val="24"/>
          <w:szCs w:val="24"/>
        </w:rPr>
        <w:t xml:space="preserve"> gather information about state TANF agencies’ needs and capacit</w:t>
      </w:r>
      <w:r w:rsidR="0080540C">
        <w:rPr>
          <w:rFonts w:ascii="Times New Roman" w:hAnsi="Times New Roman"/>
          <w:b w:val="0"/>
          <w:sz w:val="24"/>
          <w:szCs w:val="24"/>
        </w:rPr>
        <w:t>ies</w:t>
      </w:r>
      <w:r w:rsidRPr="005F0C01">
        <w:rPr>
          <w:rFonts w:ascii="Times New Roman" w:hAnsi="Times New Roman"/>
          <w:b w:val="0"/>
          <w:sz w:val="24"/>
          <w:szCs w:val="24"/>
        </w:rPr>
        <w:t xml:space="preserve"> to set up and operate </w:t>
      </w:r>
      <w:r w:rsidR="0080540C">
        <w:rPr>
          <w:rFonts w:ascii="Times New Roman" w:hAnsi="Times New Roman"/>
          <w:b w:val="0"/>
          <w:sz w:val="24"/>
          <w:szCs w:val="24"/>
        </w:rPr>
        <w:t xml:space="preserve">linked administrative </w:t>
      </w:r>
      <w:r w:rsidRPr="005F0C01">
        <w:rPr>
          <w:rFonts w:ascii="Times New Roman" w:hAnsi="Times New Roman"/>
          <w:b w:val="0"/>
          <w:sz w:val="24"/>
          <w:szCs w:val="24"/>
        </w:rPr>
        <w:t>data systems</w:t>
      </w:r>
      <w:r w:rsidR="00572CDD">
        <w:rPr>
          <w:rFonts w:ascii="Times New Roman" w:hAnsi="Times New Roman"/>
          <w:b w:val="0"/>
          <w:sz w:val="24"/>
          <w:szCs w:val="24"/>
        </w:rPr>
        <w:t xml:space="preserve"> </w:t>
      </w:r>
      <w:r w:rsidR="00572CDD" w:rsidRPr="00346251">
        <w:rPr>
          <w:rFonts w:ascii="Times New Roman" w:hAnsi="Times New Roman"/>
          <w:b w:val="0"/>
          <w:sz w:val="24"/>
          <w:szCs w:val="24"/>
        </w:rPr>
        <w:t xml:space="preserve">and to </w:t>
      </w:r>
      <w:r w:rsidR="009A2CEE" w:rsidRPr="00346251">
        <w:rPr>
          <w:rFonts w:ascii="Times New Roman" w:hAnsi="Times New Roman"/>
          <w:b w:val="0"/>
          <w:sz w:val="24"/>
          <w:szCs w:val="24"/>
        </w:rPr>
        <w:t>use data to improve programs</w:t>
      </w:r>
      <w:r w:rsidRPr="005F0C01">
        <w:rPr>
          <w:rFonts w:ascii="Times New Roman" w:hAnsi="Times New Roman"/>
          <w:b w:val="0"/>
          <w:sz w:val="24"/>
          <w:szCs w:val="24"/>
        </w:rPr>
        <w:t xml:space="preserve">. </w:t>
      </w:r>
      <w:r w:rsidR="00310D94" w:rsidRPr="005F0C01">
        <w:rPr>
          <w:rFonts w:ascii="Times New Roman" w:hAnsi="Times New Roman"/>
          <w:b w:val="0"/>
          <w:sz w:val="24"/>
          <w:szCs w:val="24"/>
        </w:rPr>
        <w:t>The primary goal of t</w:t>
      </w:r>
      <w:r w:rsidRPr="005F0C01">
        <w:rPr>
          <w:rFonts w:ascii="Times New Roman" w:hAnsi="Times New Roman"/>
          <w:b w:val="0"/>
          <w:sz w:val="24"/>
          <w:szCs w:val="24"/>
        </w:rPr>
        <w:t>his information collection</w:t>
      </w:r>
      <w:r w:rsidR="00310D94" w:rsidRPr="005F0C01">
        <w:rPr>
          <w:rFonts w:ascii="Times New Roman" w:hAnsi="Times New Roman"/>
          <w:b w:val="0"/>
          <w:sz w:val="24"/>
          <w:szCs w:val="24"/>
        </w:rPr>
        <w:t xml:space="preserve"> is to inform our approach to providing </w:t>
      </w:r>
      <w:r w:rsidR="0080540C">
        <w:rPr>
          <w:rFonts w:ascii="Times New Roman" w:hAnsi="Times New Roman"/>
          <w:b w:val="0"/>
          <w:sz w:val="24"/>
          <w:szCs w:val="24"/>
        </w:rPr>
        <w:t>state and county TANF agencies</w:t>
      </w:r>
      <w:r w:rsidR="0080540C" w:rsidRPr="005F0C01">
        <w:rPr>
          <w:rFonts w:ascii="Times New Roman" w:hAnsi="Times New Roman"/>
          <w:b w:val="0"/>
          <w:sz w:val="24"/>
          <w:szCs w:val="24"/>
        </w:rPr>
        <w:t xml:space="preserve"> </w:t>
      </w:r>
      <w:r w:rsidR="004A696A">
        <w:rPr>
          <w:rFonts w:ascii="Times New Roman" w:hAnsi="Times New Roman"/>
          <w:b w:val="0"/>
          <w:sz w:val="24"/>
          <w:szCs w:val="24"/>
        </w:rPr>
        <w:t xml:space="preserve">training and </w:t>
      </w:r>
      <w:r w:rsidR="00310D94" w:rsidRPr="005F0C01">
        <w:rPr>
          <w:rFonts w:ascii="Times New Roman" w:hAnsi="Times New Roman"/>
          <w:b w:val="0"/>
          <w:sz w:val="24"/>
          <w:szCs w:val="24"/>
        </w:rPr>
        <w:t xml:space="preserve">technical assistance </w:t>
      </w:r>
      <w:r w:rsidR="0080540C">
        <w:rPr>
          <w:rFonts w:ascii="Times New Roman" w:hAnsi="Times New Roman"/>
          <w:b w:val="0"/>
          <w:sz w:val="24"/>
          <w:szCs w:val="24"/>
        </w:rPr>
        <w:t>on using data to build evidence</w:t>
      </w:r>
      <w:r w:rsidRPr="005F0C01">
        <w:rPr>
          <w:rFonts w:ascii="Times New Roman" w:hAnsi="Times New Roman"/>
          <w:b w:val="0"/>
          <w:sz w:val="24"/>
          <w:szCs w:val="24"/>
        </w:rPr>
        <w:t>.</w:t>
      </w:r>
      <w:r w:rsidR="00A32517">
        <w:rPr>
          <w:rFonts w:ascii="Times New Roman" w:hAnsi="Times New Roman"/>
          <w:b w:val="0"/>
          <w:sz w:val="24"/>
          <w:szCs w:val="24"/>
        </w:rPr>
        <w:t xml:space="preserve"> We also intend to summarize findings from the needs assessment in a published report</w:t>
      </w:r>
      <w:r w:rsidR="00524852">
        <w:rPr>
          <w:rFonts w:ascii="Times New Roman" w:hAnsi="Times New Roman"/>
          <w:b w:val="0"/>
          <w:sz w:val="24"/>
          <w:szCs w:val="24"/>
        </w:rPr>
        <w:t xml:space="preserve"> and use aggregated data for internal ACF planning purposes</w:t>
      </w:r>
      <w:r w:rsidR="00A32517">
        <w:rPr>
          <w:rFonts w:ascii="Times New Roman" w:hAnsi="Times New Roman"/>
          <w:b w:val="0"/>
          <w:sz w:val="24"/>
          <w:szCs w:val="24"/>
        </w:rPr>
        <w:t>.</w:t>
      </w:r>
      <w:r w:rsidR="0080540C">
        <w:rPr>
          <w:rFonts w:ascii="Times New Roman" w:hAnsi="Times New Roman"/>
          <w:b w:val="0"/>
          <w:sz w:val="24"/>
          <w:szCs w:val="24"/>
        </w:rPr>
        <w:t xml:space="preserve"> </w:t>
      </w:r>
      <w:r w:rsidR="00C6628F">
        <w:rPr>
          <w:rFonts w:ascii="Times New Roman" w:hAnsi="Times New Roman"/>
          <w:b w:val="0"/>
          <w:sz w:val="24"/>
          <w:szCs w:val="24"/>
        </w:rPr>
        <w:t xml:space="preserve">ACF/OPRE </w:t>
      </w:r>
      <w:r w:rsidR="0080540C">
        <w:rPr>
          <w:rFonts w:ascii="Times New Roman" w:hAnsi="Times New Roman"/>
          <w:b w:val="0"/>
          <w:sz w:val="24"/>
          <w:szCs w:val="24"/>
        </w:rPr>
        <w:t>is seeking p</w:t>
      </w:r>
      <w:r w:rsidR="0080540C" w:rsidRPr="005F0C01">
        <w:rPr>
          <w:rFonts w:ascii="Times New Roman" w:hAnsi="Times New Roman"/>
          <w:b w:val="0"/>
          <w:sz w:val="24"/>
          <w:szCs w:val="24"/>
        </w:rPr>
        <w:t xml:space="preserve">ermission to contact </w:t>
      </w:r>
      <w:r w:rsidR="0080540C" w:rsidRPr="00AA6A7A">
        <w:rPr>
          <w:rFonts w:ascii="Times New Roman" w:hAnsi="Times New Roman"/>
          <w:b w:val="0"/>
          <w:sz w:val="24"/>
          <w:szCs w:val="24"/>
        </w:rPr>
        <w:t xml:space="preserve">state </w:t>
      </w:r>
      <w:r w:rsidR="0080540C">
        <w:rPr>
          <w:rFonts w:ascii="Times New Roman" w:hAnsi="Times New Roman"/>
          <w:b w:val="0"/>
          <w:sz w:val="24"/>
          <w:szCs w:val="24"/>
        </w:rPr>
        <w:t xml:space="preserve">TANF agency administrators </w:t>
      </w:r>
      <w:r w:rsidR="0080540C" w:rsidRPr="005F0C01">
        <w:rPr>
          <w:rFonts w:ascii="Times New Roman" w:hAnsi="Times New Roman"/>
          <w:b w:val="0"/>
          <w:sz w:val="24"/>
          <w:szCs w:val="24"/>
        </w:rPr>
        <w:t>for this purpose.</w:t>
      </w:r>
    </w:p>
    <w:p w14:paraId="6BFA45EC" w14:textId="77777777" w:rsidR="009D263D" w:rsidRPr="005F0C01" w:rsidRDefault="009D263D" w:rsidP="009D263D"/>
    <w:p w14:paraId="4B429D9F" w14:textId="21F4F031" w:rsidR="0027216B" w:rsidRPr="00B256AA" w:rsidRDefault="003A0C86" w:rsidP="00987132">
      <w:pPr>
        <w:pStyle w:val="Heading4"/>
        <w:numPr>
          <w:ilvl w:val="3"/>
          <w:numId w:val="0"/>
        </w:numPr>
        <w:tabs>
          <w:tab w:val="num" w:pos="180"/>
        </w:tabs>
        <w:spacing w:before="0" w:after="0"/>
        <w:rPr>
          <w:rFonts w:ascii="Times New Roman" w:hAnsi="Times New Roman"/>
          <w:i/>
          <w:sz w:val="24"/>
          <w:szCs w:val="24"/>
        </w:rPr>
      </w:pPr>
      <w:r w:rsidRPr="00B256AA">
        <w:rPr>
          <w:rFonts w:ascii="Times New Roman" w:hAnsi="Times New Roman"/>
          <w:i/>
          <w:sz w:val="24"/>
          <w:szCs w:val="24"/>
        </w:rPr>
        <w:t>Project</w:t>
      </w:r>
      <w:r w:rsidR="00984CA2" w:rsidRPr="00B256AA">
        <w:rPr>
          <w:rFonts w:ascii="Times New Roman" w:hAnsi="Times New Roman"/>
          <w:i/>
          <w:sz w:val="24"/>
          <w:szCs w:val="24"/>
        </w:rPr>
        <w:t xml:space="preserve"> Background </w:t>
      </w:r>
    </w:p>
    <w:p w14:paraId="5C3D07B4" w14:textId="15CC2367" w:rsidR="001F46DC" w:rsidRDefault="00BE6970" w:rsidP="00945A94">
      <w:pPr>
        <w:rPr>
          <w:bCs/>
        </w:rPr>
      </w:pPr>
      <w:r>
        <w:rPr>
          <w:bCs/>
        </w:rPr>
        <w:t xml:space="preserve">The </w:t>
      </w:r>
      <w:r w:rsidR="00310D94" w:rsidRPr="00B256AA">
        <w:rPr>
          <w:bCs/>
        </w:rPr>
        <w:t xml:space="preserve">TDI project is an investment to expand the integration, analysis, and use of TANF data to improve program administration, </w:t>
      </w:r>
      <w:r w:rsidR="00992535" w:rsidRPr="00B256AA">
        <w:rPr>
          <w:bCs/>
        </w:rPr>
        <w:t xml:space="preserve">payment </w:t>
      </w:r>
      <w:r w:rsidR="00310D94" w:rsidRPr="00B256AA">
        <w:rPr>
          <w:bCs/>
        </w:rPr>
        <w:t xml:space="preserve">integrity, and outcomes for participants. Launched in 2017, TDI is sponsored by OPRE in collaboration with the </w:t>
      </w:r>
      <w:r w:rsidR="0080540C">
        <w:rPr>
          <w:bCs/>
        </w:rPr>
        <w:t xml:space="preserve">ACF </w:t>
      </w:r>
      <w:r w:rsidR="00310D94" w:rsidRPr="00B256AA">
        <w:rPr>
          <w:bCs/>
        </w:rPr>
        <w:t xml:space="preserve">Office of Family Assistance (OFA). To accomplish the stated goals, TDI will provide broad </w:t>
      </w:r>
      <w:r w:rsidR="00AE6496">
        <w:rPr>
          <w:bCs/>
        </w:rPr>
        <w:t xml:space="preserve">training and </w:t>
      </w:r>
      <w:r w:rsidR="00310D94" w:rsidRPr="00B256AA">
        <w:rPr>
          <w:bCs/>
        </w:rPr>
        <w:t>technical assistance (</w:t>
      </w:r>
      <w:r w:rsidR="00AE6496">
        <w:rPr>
          <w:bCs/>
        </w:rPr>
        <w:t>T</w:t>
      </w:r>
      <w:r w:rsidR="00310D94" w:rsidRPr="00B256AA">
        <w:rPr>
          <w:bCs/>
        </w:rPr>
        <w:t xml:space="preserve">TA) to states </w:t>
      </w:r>
      <w:r w:rsidR="00945A94" w:rsidRPr="00B256AA">
        <w:rPr>
          <w:bCs/>
        </w:rPr>
        <w:t xml:space="preserve">and counties </w:t>
      </w:r>
      <w:r w:rsidR="00310D94" w:rsidRPr="00B256AA">
        <w:rPr>
          <w:bCs/>
        </w:rPr>
        <w:t>on using</w:t>
      </w:r>
      <w:r w:rsidR="00162033" w:rsidRPr="00B256AA">
        <w:rPr>
          <w:bCs/>
        </w:rPr>
        <w:t xml:space="preserve"> </w:t>
      </w:r>
      <w:r w:rsidR="00310D94" w:rsidRPr="00B256AA">
        <w:rPr>
          <w:bCs/>
        </w:rPr>
        <w:t>data for building evidence</w:t>
      </w:r>
      <w:r w:rsidR="00EA6CAB" w:rsidRPr="00B256AA">
        <w:rPr>
          <w:bCs/>
        </w:rPr>
        <w:t xml:space="preserve"> over a 30-month period</w:t>
      </w:r>
      <w:r w:rsidR="00945A94" w:rsidRPr="00B256AA">
        <w:rPr>
          <w:bCs/>
        </w:rPr>
        <w:t xml:space="preserve">. </w:t>
      </w:r>
      <w:r w:rsidR="00EA6CAB" w:rsidRPr="00B256AA">
        <w:rPr>
          <w:bCs/>
        </w:rPr>
        <w:t xml:space="preserve">The potential list of </w:t>
      </w:r>
      <w:r w:rsidR="00AE6496">
        <w:rPr>
          <w:bCs/>
        </w:rPr>
        <w:t>T</w:t>
      </w:r>
      <w:r w:rsidR="00EA6CAB" w:rsidRPr="00B256AA">
        <w:rPr>
          <w:bCs/>
        </w:rPr>
        <w:t>TA topics is very broad</w:t>
      </w:r>
      <w:r w:rsidR="00992535" w:rsidRPr="00B256AA">
        <w:rPr>
          <w:bCs/>
        </w:rPr>
        <w:t>,</w:t>
      </w:r>
      <w:r w:rsidR="00EA6CAB" w:rsidRPr="00B256AA">
        <w:rPr>
          <w:bCs/>
        </w:rPr>
        <w:t xml:space="preserve"> and </w:t>
      </w:r>
      <w:r w:rsidR="00992535" w:rsidRPr="00B256AA">
        <w:rPr>
          <w:bCs/>
        </w:rPr>
        <w:t xml:space="preserve">may </w:t>
      </w:r>
      <w:r w:rsidR="00EA6CAB" w:rsidRPr="00B256AA">
        <w:rPr>
          <w:bCs/>
        </w:rPr>
        <w:t xml:space="preserve">cover topics such as: integrating databases,  using data and analytics to answer </w:t>
      </w:r>
      <w:r w:rsidR="00992535" w:rsidRPr="00B256AA">
        <w:rPr>
          <w:bCs/>
        </w:rPr>
        <w:t>programmatic questions</w:t>
      </w:r>
      <w:r w:rsidR="00EA6CAB" w:rsidRPr="00B256AA">
        <w:rPr>
          <w:bCs/>
        </w:rPr>
        <w:t>, and presenting  findings</w:t>
      </w:r>
      <w:r w:rsidR="008F4584" w:rsidRPr="00B256AA">
        <w:rPr>
          <w:bCs/>
        </w:rPr>
        <w:t xml:space="preserve"> visually</w:t>
      </w:r>
      <w:r w:rsidR="00EA6CAB" w:rsidRPr="00B256AA">
        <w:rPr>
          <w:bCs/>
        </w:rPr>
        <w:t xml:space="preserve">. </w:t>
      </w:r>
    </w:p>
    <w:p w14:paraId="76DA1F81" w14:textId="77777777" w:rsidR="001F46DC" w:rsidRDefault="001F46DC" w:rsidP="00945A94">
      <w:pPr>
        <w:rPr>
          <w:bCs/>
        </w:rPr>
      </w:pPr>
    </w:p>
    <w:p w14:paraId="5C663BDE" w14:textId="03890C71" w:rsidR="00A05803" w:rsidRPr="00B256AA" w:rsidRDefault="001F46DC" w:rsidP="00945A94">
      <w:pPr>
        <w:rPr>
          <w:bCs/>
        </w:rPr>
      </w:pPr>
      <w:r w:rsidRPr="00AA6A7A">
        <w:rPr>
          <w:bCs/>
        </w:rPr>
        <w:t xml:space="preserve">The purpose of the current information collection request is to seek approval to gather information about state TANF agencies’ data readiness, data usage, and challenges from </w:t>
      </w:r>
      <w:r>
        <w:rPr>
          <w:bCs/>
        </w:rPr>
        <w:t>those agencies’</w:t>
      </w:r>
      <w:r w:rsidRPr="00AA6A7A">
        <w:rPr>
          <w:bCs/>
        </w:rPr>
        <w:t xml:space="preserve"> administrators and staff</w:t>
      </w:r>
      <w:r>
        <w:rPr>
          <w:bCs/>
        </w:rPr>
        <w:t xml:space="preserve"> to ensure that the team provides appropriate and useful technical assistance to these agencies.</w:t>
      </w:r>
    </w:p>
    <w:p w14:paraId="5FA614E1" w14:textId="77777777" w:rsidR="00A05803" w:rsidRPr="00B256AA" w:rsidRDefault="00A05803" w:rsidP="00945A94">
      <w:pPr>
        <w:rPr>
          <w:bCs/>
        </w:rPr>
      </w:pPr>
    </w:p>
    <w:p w14:paraId="530A3038" w14:textId="6EE42214" w:rsidR="00984CA2" w:rsidRPr="007C1847" w:rsidRDefault="00984CA2" w:rsidP="00183E71">
      <w:pPr>
        <w:pStyle w:val="Heading4"/>
        <w:numPr>
          <w:ilvl w:val="3"/>
          <w:numId w:val="0"/>
        </w:numPr>
        <w:tabs>
          <w:tab w:val="num" w:pos="180"/>
        </w:tabs>
        <w:spacing w:before="0" w:after="0"/>
        <w:rPr>
          <w:rFonts w:ascii="Times New Roman" w:hAnsi="Times New Roman"/>
          <w:i/>
          <w:sz w:val="24"/>
          <w:szCs w:val="24"/>
        </w:rPr>
      </w:pPr>
      <w:r w:rsidRPr="007C1847">
        <w:rPr>
          <w:rFonts w:ascii="Times New Roman" w:hAnsi="Times New Roman"/>
          <w:i/>
          <w:sz w:val="24"/>
          <w:szCs w:val="24"/>
        </w:rPr>
        <w:t xml:space="preserve">Legal or Administrative Requirements that Necessitate the Collection </w:t>
      </w:r>
    </w:p>
    <w:p w14:paraId="48D8FFBA" w14:textId="4C446B20" w:rsidR="00613384" w:rsidRPr="007C1847" w:rsidRDefault="00613384" w:rsidP="00613384">
      <w:pPr>
        <w:rPr>
          <w:bCs/>
        </w:rPr>
      </w:pPr>
      <w:r w:rsidRPr="007C1847">
        <w:rPr>
          <w:bCs/>
        </w:rPr>
        <w:t xml:space="preserve">There are no legal or administrative requirements that necessitate </w:t>
      </w:r>
      <w:r w:rsidR="00992535" w:rsidRPr="007C1847">
        <w:rPr>
          <w:bCs/>
        </w:rPr>
        <w:t xml:space="preserve">this data </w:t>
      </w:r>
      <w:r w:rsidRPr="007C1847">
        <w:rPr>
          <w:bCs/>
        </w:rPr>
        <w:t>collection. ACF is undertaking the collection at the discretion of the agency.</w:t>
      </w:r>
    </w:p>
    <w:p w14:paraId="20B71B06" w14:textId="77777777" w:rsidR="00BE7952" w:rsidRPr="00375786" w:rsidRDefault="00BE7952" w:rsidP="00406241">
      <w:pPr>
        <w:rPr>
          <w:b/>
          <w:highlight w:val="yellow"/>
        </w:rPr>
      </w:pPr>
    </w:p>
    <w:p w14:paraId="2B9489C6" w14:textId="77777777" w:rsidR="00945CD6" w:rsidRPr="00AA6A7A" w:rsidRDefault="00292B70" w:rsidP="00406241">
      <w:pPr>
        <w:rPr>
          <w:b/>
        </w:rPr>
      </w:pPr>
      <w:r w:rsidRPr="00AA6A7A">
        <w:rPr>
          <w:b/>
        </w:rPr>
        <w:t xml:space="preserve">A2. </w:t>
      </w:r>
      <w:r w:rsidR="00945CD6" w:rsidRPr="00AA6A7A">
        <w:rPr>
          <w:b/>
        </w:rPr>
        <w:t>Purpose of Survey and Data Collection Procedures</w:t>
      </w:r>
    </w:p>
    <w:p w14:paraId="7C764D8A" w14:textId="77777777" w:rsidR="00406241" w:rsidRPr="00AA6A7A" w:rsidRDefault="00406241" w:rsidP="00127732">
      <w:pPr>
        <w:rPr>
          <w:b/>
          <w:i/>
        </w:rPr>
      </w:pPr>
    </w:p>
    <w:p w14:paraId="416322D1" w14:textId="77777777" w:rsidR="00F44947" w:rsidRPr="00AA6A7A" w:rsidRDefault="00984CA2" w:rsidP="00406241">
      <w:pPr>
        <w:rPr>
          <w:b/>
          <w:i/>
        </w:rPr>
      </w:pPr>
      <w:r w:rsidRPr="00AA6A7A">
        <w:rPr>
          <w:b/>
          <w:i/>
        </w:rPr>
        <w:t>Overview of Purpose and Approach</w:t>
      </w:r>
    </w:p>
    <w:p w14:paraId="2A72C642" w14:textId="41643ADD" w:rsidR="001F46DC" w:rsidRDefault="008C28B0" w:rsidP="001F46DC">
      <w:r>
        <w:rPr>
          <w:bCs/>
        </w:rPr>
        <w:t xml:space="preserve">The TDI project is an investment in technical assistance intended to improve data quality for TANF program administration </w:t>
      </w:r>
      <w:r w:rsidRPr="00F52020">
        <w:rPr>
          <w:bCs/>
          <w:i/>
        </w:rPr>
        <w:t>and</w:t>
      </w:r>
      <w:r>
        <w:rPr>
          <w:bCs/>
        </w:rPr>
        <w:t xml:space="preserve"> increase the use of TANF administrative data in human services policy research and program evaluation. The proposed data collection will inform </w:t>
      </w:r>
      <w:r w:rsidR="00524852">
        <w:rPr>
          <w:bCs/>
        </w:rPr>
        <w:t xml:space="preserve">ACF’s efforts </w:t>
      </w:r>
      <w:r w:rsidR="00CC3F69">
        <w:rPr>
          <w:bCs/>
        </w:rPr>
        <w:t>to support both of</w:t>
      </w:r>
      <w:r w:rsidR="00524852">
        <w:rPr>
          <w:bCs/>
        </w:rPr>
        <w:t xml:space="preserve"> these goals</w:t>
      </w:r>
      <w:r>
        <w:rPr>
          <w:bCs/>
        </w:rPr>
        <w:t xml:space="preserve">. </w:t>
      </w:r>
      <w:r w:rsidR="001F46DC">
        <w:t>The</w:t>
      </w:r>
      <w:r w:rsidR="001F46DC" w:rsidRPr="000E569C">
        <w:t xml:space="preserve"> proposed needs assessment </w:t>
      </w:r>
      <w:r w:rsidR="00524852">
        <w:t>is</w:t>
      </w:r>
      <w:r w:rsidR="001F46DC" w:rsidRPr="000E569C">
        <w:t xml:space="preserve"> an online </w:t>
      </w:r>
      <w:r w:rsidR="001F46DC">
        <w:t>survey</w:t>
      </w:r>
      <w:r w:rsidR="001F46DC" w:rsidRPr="000E569C">
        <w:t xml:space="preserve"> targeted at state TANF agencies. Two supplementary data collection components—a review of secondary sources and literature</w:t>
      </w:r>
      <w:r w:rsidR="00524852">
        <w:t xml:space="preserve"> and </w:t>
      </w:r>
      <w:r w:rsidR="00524852" w:rsidRPr="000E569C">
        <w:t>a series of interviews conducted with external stakeholders</w:t>
      </w:r>
      <w:r w:rsidR="00567CC8">
        <w:t xml:space="preserve"> (conducted under OPRE’s </w:t>
      </w:r>
      <w:r w:rsidR="00705F4B">
        <w:t>f</w:t>
      </w:r>
      <w:r w:rsidR="00567CC8">
        <w:t xml:space="preserve">ormative </w:t>
      </w:r>
      <w:r w:rsidR="00705F4B">
        <w:t>g</w:t>
      </w:r>
      <w:r w:rsidR="00567CC8">
        <w:t xml:space="preserve">eneric </w:t>
      </w:r>
      <w:r w:rsidR="00705F4B">
        <w:t>c</w:t>
      </w:r>
      <w:r w:rsidR="00567CC8">
        <w:t>learance 0970-0356, approved July 14, 2018)</w:t>
      </w:r>
      <w:r w:rsidR="001F46DC" w:rsidRPr="000E569C">
        <w:t xml:space="preserve">—will </w:t>
      </w:r>
      <w:r w:rsidR="00524852">
        <w:t>add</w:t>
      </w:r>
      <w:r w:rsidR="00524852" w:rsidRPr="000E569C">
        <w:t xml:space="preserve"> </w:t>
      </w:r>
      <w:r w:rsidR="001F46DC" w:rsidRPr="000E569C">
        <w:t xml:space="preserve">important complementary and contextual information to the data gathered via the </w:t>
      </w:r>
      <w:r w:rsidR="001F46DC">
        <w:t>survey</w:t>
      </w:r>
      <w:r w:rsidR="001F46DC" w:rsidRPr="000E569C">
        <w:t>.</w:t>
      </w:r>
      <w:r w:rsidR="00061BCA">
        <w:t xml:space="preserve"> </w:t>
      </w:r>
      <w:r w:rsidR="00524852">
        <w:t>All three sources will provide</w:t>
      </w:r>
      <w:r w:rsidR="00061BCA" w:rsidRPr="00AA6A7A">
        <w:rPr>
          <w:bCs/>
        </w:rPr>
        <w:t xml:space="preserve"> information about state </w:t>
      </w:r>
      <w:r w:rsidR="00646394">
        <w:rPr>
          <w:bCs/>
        </w:rPr>
        <w:t>(inclusive of territories</w:t>
      </w:r>
      <w:r w:rsidR="00E94900">
        <w:rPr>
          <w:bCs/>
        </w:rPr>
        <w:t xml:space="preserve"> and Washington, DC</w:t>
      </w:r>
      <w:r w:rsidR="00646394">
        <w:rPr>
          <w:bCs/>
        </w:rPr>
        <w:t xml:space="preserve">) </w:t>
      </w:r>
      <w:r w:rsidR="00061BCA" w:rsidRPr="00AA6A7A">
        <w:rPr>
          <w:bCs/>
        </w:rPr>
        <w:t xml:space="preserve">and, as appropriate,  county TANF agencies’ data readiness, data usage, and challenges </w:t>
      </w:r>
      <w:r w:rsidR="00061BCA">
        <w:rPr>
          <w:bCs/>
        </w:rPr>
        <w:t xml:space="preserve">to ensure that the team provides appropriate and useful technical assistance to </w:t>
      </w:r>
      <w:r w:rsidR="00524852">
        <w:rPr>
          <w:bCs/>
        </w:rPr>
        <w:t xml:space="preserve">the </w:t>
      </w:r>
      <w:r w:rsidR="00061BCA">
        <w:rPr>
          <w:bCs/>
        </w:rPr>
        <w:t>agencies.</w:t>
      </w:r>
    </w:p>
    <w:p w14:paraId="53DD754D" w14:textId="77777777" w:rsidR="001F46DC" w:rsidRDefault="001F46DC" w:rsidP="001F46DC"/>
    <w:p w14:paraId="4C0ED50C" w14:textId="3D32F811" w:rsidR="00705F4B" w:rsidRDefault="00061BCA" w:rsidP="001F46DC">
      <w:pPr>
        <w:rPr>
          <w:bCs/>
        </w:rPr>
      </w:pPr>
      <w:r>
        <w:rPr>
          <w:bCs/>
        </w:rPr>
        <w:t>T</w:t>
      </w:r>
      <w:r w:rsidR="001F46DC">
        <w:rPr>
          <w:bCs/>
        </w:rPr>
        <w:t xml:space="preserve">he </w:t>
      </w:r>
      <w:r>
        <w:rPr>
          <w:bCs/>
        </w:rPr>
        <w:t xml:space="preserve">project team </w:t>
      </w:r>
      <w:r w:rsidR="00524852">
        <w:rPr>
          <w:bCs/>
        </w:rPr>
        <w:t>will employ</w:t>
      </w:r>
      <w:r>
        <w:rPr>
          <w:bCs/>
        </w:rPr>
        <w:t xml:space="preserve"> </w:t>
      </w:r>
      <w:r w:rsidR="001F46DC">
        <w:rPr>
          <w:bCs/>
        </w:rPr>
        <w:t>a three</w:t>
      </w:r>
      <w:r w:rsidR="001F46DC" w:rsidRPr="0062518A">
        <w:rPr>
          <w:bCs/>
        </w:rPr>
        <w:t xml:space="preserve">-phase approach to identify priority topics for TA. </w:t>
      </w:r>
    </w:p>
    <w:p w14:paraId="0C9EF65A" w14:textId="77777777" w:rsidR="00705F4B" w:rsidRDefault="00705F4B" w:rsidP="001F46DC">
      <w:pPr>
        <w:rPr>
          <w:bCs/>
        </w:rPr>
      </w:pPr>
    </w:p>
    <w:p w14:paraId="00B0BFE9" w14:textId="70668A09" w:rsidR="00903C18" w:rsidRDefault="00903C18" w:rsidP="001F46DC">
      <w:pPr>
        <w:rPr>
          <w:bCs/>
        </w:rPr>
      </w:pPr>
      <w:r w:rsidRPr="00A91ACC">
        <w:rPr>
          <w:b/>
          <w:bCs/>
        </w:rPr>
        <w:t>Phase 1</w:t>
      </w:r>
      <w:r>
        <w:rPr>
          <w:bCs/>
        </w:rPr>
        <w:t xml:space="preserve"> consist</w:t>
      </w:r>
      <w:r w:rsidR="00061BCA">
        <w:rPr>
          <w:bCs/>
        </w:rPr>
        <w:t>s</w:t>
      </w:r>
      <w:r>
        <w:rPr>
          <w:bCs/>
        </w:rPr>
        <w:t xml:space="preserve"> of </w:t>
      </w:r>
      <w:r w:rsidRPr="000E569C">
        <w:t>review</w:t>
      </w:r>
      <w:r w:rsidR="00061BCA">
        <w:t>ing</w:t>
      </w:r>
      <w:r w:rsidRPr="000E569C">
        <w:t xml:space="preserve"> government and related websites and published literature</w:t>
      </w:r>
      <w:r>
        <w:t xml:space="preserve"> </w:t>
      </w:r>
      <w:r w:rsidRPr="000E569C">
        <w:t xml:space="preserve">to assemble </w:t>
      </w:r>
      <w:r w:rsidR="00CC3F69">
        <w:t>publicly-available information about states’ current data products, documentation, and analytic efforts</w:t>
      </w:r>
      <w:r w:rsidRPr="000E569C">
        <w:t>. This include</w:t>
      </w:r>
      <w:r w:rsidR="00705F4B">
        <w:t>s</w:t>
      </w:r>
      <w:r w:rsidRPr="000E569C">
        <w:t xml:space="preserve"> a combination </w:t>
      </w:r>
      <w:r w:rsidR="00061BCA">
        <w:t xml:space="preserve">of </w:t>
      </w:r>
      <w:r w:rsidRPr="000E569C">
        <w:t>web-scraping and manual archiving from online and public materials.</w:t>
      </w:r>
      <w:r>
        <w:t xml:space="preserve"> This phase of the project does not impose any burden on respondents or record keepers.</w:t>
      </w:r>
      <w:r w:rsidR="00061BCA">
        <w:t xml:space="preserve"> </w:t>
      </w:r>
      <w:r w:rsidR="00061BCA">
        <w:rPr>
          <w:bCs/>
        </w:rPr>
        <w:t>Phase 1 of the s</w:t>
      </w:r>
      <w:r w:rsidR="00900464">
        <w:rPr>
          <w:bCs/>
        </w:rPr>
        <w:t>t</w:t>
      </w:r>
      <w:r w:rsidR="00061BCA">
        <w:rPr>
          <w:bCs/>
        </w:rPr>
        <w:t xml:space="preserve">udy has already begun and will continue through </w:t>
      </w:r>
      <w:r w:rsidR="00646394">
        <w:rPr>
          <w:bCs/>
        </w:rPr>
        <w:t>Fall</w:t>
      </w:r>
      <w:r w:rsidR="00061BCA">
        <w:rPr>
          <w:bCs/>
        </w:rPr>
        <w:t xml:space="preserve">, </w:t>
      </w:r>
      <w:r w:rsidR="00EB59ED">
        <w:rPr>
          <w:bCs/>
        </w:rPr>
        <w:t>2019</w:t>
      </w:r>
      <w:r w:rsidR="00061BCA">
        <w:rPr>
          <w:bCs/>
        </w:rPr>
        <w:t>.</w:t>
      </w:r>
    </w:p>
    <w:p w14:paraId="20FD84C8" w14:textId="77777777" w:rsidR="00903C18" w:rsidRDefault="00903C18" w:rsidP="001F46DC">
      <w:pPr>
        <w:rPr>
          <w:bCs/>
        </w:rPr>
      </w:pPr>
    </w:p>
    <w:p w14:paraId="0C278254" w14:textId="25E42ADA" w:rsidR="00903C18" w:rsidRPr="008C28B0" w:rsidRDefault="00903C18" w:rsidP="00061BCA">
      <w:r w:rsidRPr="00A91ACC">
        <w:rPr>
          <w:b/>
          <w:bCs/>
        </w:rPr>
        <w:t>Phase 2</w:t>
      </w:r>
      <w:r w:rsidR="001F46DC" w:rsidRPr="0062518A">
        <w:rPr>
          <w:bCs/>
        </w:rPr>
        <w:t xml:space="preserve"> was the focus of a prior </w:t>
      </w:r>
      <w:r w:rsidR="00524852">
        <w:rPr>
          <w:bCs/>
        </w:rPr>
        <w:t xml:space="preserve">information collection request </w:t>
      </w:r>
      <w:r w:rsidR="00705F4B">
        <w:rPr>
          <w:bCs/>
        </w:rPr>
        <w:t>(ICR)approved</w:t>
      </w:r>
      <w:r w:rsidR="00524852">
        <w:rPr>
          <w:bCs/>
        </w:rPr>
        <w:t xml:space="preserve"> under OPRE’s formative </w:t>
      </w:r>
      <w:r w:rsidR="001F46DC" w:rsidRPr="0062518A">
        <w:rPr>
          <w:bCs/>
        </w:rPr>
        <w:t>generic OMB package (</w:t>
      </w:r>
      <w:r w:rsidR="008C28B0">
        <w:t>0970-0356</w:t>
      </w:r>
      <w:r w:rsidR="001F46DC" w:rsidRPr="0062518A">
        <w:rPr>
          <w:bCs/>
        </w:rPr>
        <w:t>)</w:t>
      </w:r>
      <w:r w:rsidR="001F46DC">
        <w:rPr>
          <w:bCs/>
        </w:rPr>
        <w:t>, and consist</w:t>
      </w:r>
      <w:r w:rsidR="000D2158">
        <w:rPr>
          <w:bCs/>
        </w:rPr>
        <w:t>s</w:t>
      </w:r>
      <w:r w:rsidR="001F46DC">
        <w:rPr>
          <w:bCs/>
        </w:rPr>
        <w:t xml:space="preserve"> of </w:t>
      </w:r>
      <w:r w:rsidR="001F46DC" w:rsidRPr="0062518A">
        <w:rPr>
          <w:bCs/>
        </w:rPr>
        <w:t xml:space="preserve">interview protocols for key groups of stakeholders with interests in seeing state TANF data used effectively to help improve program administration, payment integrity, and outcomes for participants. </w:t>
      </w:r>
      <w:r w:rsidR="00061BCA">
        <w:t xml:space="preserve">The stakeholder interviews </w:t>
      </w:r>
      <w:r w:rsidR="000D2158">
        <w:t xml:space="preserve">are </w:t>
      </w:r>
      <w:r w:rsidR="00061BCA">
        <w:t>be</w:t>
      </w:r>
      <w:r w:rsidR="000D2158">
        <w:t>ing</w:t>
      </w:r>
      <w:r w:rsidR="00061BCA">
        <w:t xml:space="preserve"> conducted with some </w:t>
      </w:r>
      <w:r w:rsidR="00061BCA" w:rsidRPr="00F24AAE">
        <w:rPr>
          <w:bCs/>
        </w:rPr>
        <w:t>current or former state</w:t>
      </w:r>
      <w:r w:rsidR="007A6409">
        <w:rPr>
          <w:bCs/>
        </w:rPr>
        <w:t xml:space="preserve"> or county</w:t>
      </w:r>
      <w:r w:rsidR="00061BCA" w:rsidRPr="00F24AAE">
        <w:rPr>
          <w:bCs/>
        </w:rPr>
        <w:t xml:space="preserve"> TANF administrators and staff, other relevant agency staff, federal agency staff, researchers, members of national organizations with experience and expertise related to TANF, and</w:t>
      </w:r>
      <w:r w:rsidR="00061BCA">
        <w:rPr>
          <w:bCs/>
        </w:rPr>
        <w:t xml:space="preserve"> </w:t>
      </w:r>
      <w:r w:rsidR="00061BCA" w:rsidRPr="004D79F6">
        <w:rPr>
          <w:bCs/>
        </w:rPr>
        <w:t>vendors or firms that have worked with states to develop and maintain their databases</w:t>
      </w:r>
      <w:r w:rsidR="00061BCA">
        <w:rPr>
          <w:bCs/>
        </w:rPr>
        <w:t xml:space="preserve">. </w:t>
      </w:r>
      <w:r w:rsidR="00D72D37">
        <w:rPr>
          <w:bCs/>
        </w:rPr>
        <w:t xml:space="preserve">This </w:t>
      </w:r>
      <w:r w:rsidR="00705F4B">
        <w:rPr>
          <w:bCs/>
        </w:rPr>
        <w:t>IC</w:t>
      </w:r>
      <w:r w:rsidR="00D72D37">
        <w:rPr>
          <w:bCs/>
        </w:rPr>
        <w:t xml:space="preserve"> received</w:t>
      </w:r>
      <w:r w:rsidR="00061BCA">
        <w:rPr>
          <w:bCs/>
        </w:rPr>
        <w:t xml:space="preserve"> OMB approval</w:t>
      </w:r>
      <w:r w:rsidR="00D72D37">
        <w:rPr>
          <w:bCs/>
        </w:rPr>
        <w:t xml:space="preserve"> on 07/14/2018</w:t>
      </w:r>
      <w:r w:rsidR="00705F4B">
        <w:rPr>
          <w:bCs/>
        </w:rPr>
        <w:t xml:space="preserve"> and began </w:t>
      </w:r>
      <w:r w:rsidR="00A91ACC">
        <w:rPr>
          <w:bCs/>
        </w:rPr>
        <w:t>shortly thereafter</w:t>
      </w:r>
      <w:r w:rsidR="00705F4B">
        <w:rPr>
          <w:bCs/>
        </w:rPr>
        <w:t>. S</w:t>
      </w:r>
      <w:r w:rsidR="00061BCA">
        <w:rPr>
          <w:bCs/>
        </w:rPr>
        <w:t xml:space="preserve">takeholder interviews be crucial in helping to inform </w:t>
      </w:r>
      <w:r w:rsidR="00061BCA">
        <w:rPr>
          <w:bCs/>
        </w:rPr>
        <w:lastRenderedPageBreak/>
        <w:t>the earliest TDI technical assistance efforts.</w:t>
      </w:r>
      <w:r w:rsidR="008C28B0">
        <w:rPr>
          <w:bCs/>
        </w:rPr>
        <w:t xml:space="preserve"> </w:t>
      </w:r>
      <w:r w:rsidR="008C28B0">
        <w:t>Information collected in this phase will be used for internal ACF planning purposes,</w:t>
      </w:r>
      <w:r w:rsidR="00D72D37">
        <w:t xml:space="preserve"> and</w:t>
      </w:r>
      <w:r w:rsidR="008C28B0">
        <w:t xml:space="preserve"> to inform TTA</w:t>
      </w:r>
      <w:r w:rsidR="00D72D37">
        <w:t xml:space="preserve"> throughout the</w:t>
      </w:r>
      <w:r w:rsidR="008C28B0">
        <w:t xml:space="preserve"> project. </w:t>
      </w:r>
    </w:p>
    <w:p w14:paraId="7617655E" w14:textId="77777777" w:rsidR="00903C18" w:rsidRDefault="00903C18" w:rsidP="001F46DC">
      <w:pPr>
        <w:rPr>
          <w:bCs/>
        </w:rPr>
      </w:pPr>
    </w:p>
    <w:p w14:paraId="335495A9" w14:textId="292DEF10" w:rsidR="00F24AAE" w:rsidRDefault="00903C18" w:rsidP="00F24AAE">
      <w:pPr>
        <w:rPr>
          <w:bCs/>
        </w:rPr>
      </w:pPr>
      <w:r w:rsidRPr="001E5875">
        <w:rPr>
          <w:b/>
          <w:bCs/>
        </w:rPr>
        <w:t>Phase 3</w:t>
      </w:r>
      <w:r w:rsidR="001F46DC">
        <w:rPr>
          <w:bCs/>
        </w:rPr>
        <w:t xml:space="preserve"> i</w:t>
      </w:r>
      <w:r w:rsidR="001F46DC" w:rsidRPr="0062518A">
        <w:rPr>
          <w:bCs/>
        </w:rPr>
        <w:t>s the focus of</w:t>
      </w:r>
      <w:r w:rsidR="001F46DC">
        <w:rPr>
          <w:bCs/>
        </w:rPr>
        <w:t xml:space="preserve"> </w:t>
      </w:r>
      <w:r w:rsidR="00D72D37">
        <w:rPr>
          <w:bCs/>
        </w:rPr>
        <w:t>the current</w:t>
      </w:r>
      <w:r w:rsidR="00D72D37" w:rsidRPr="0062518A">
        <w:rPr>
          <w:bCs/>
        </w:rPr>
        <w:t xml:space="preserve"> </w:t>
      </w:r>
      <w:r w:rsidR="00705F4B">
        <w:rPr>
          <w:bCs/>
        </w:rPr>
        <w:t>ICR</w:t>
      </w:r>
      <w:r w:rsidR="001F46DC" w:rsidRPr="0062518A">
        <w:rPr>
          <w:bCs/>
        </w:rPr>
        <w:t xml:space="preserve">. </w:t>
      </w:r>
      <w:r>
        <w:rPr>
          <w:bCs/>
        </w:rPr>
        <w:t>Phase 3</w:t>
      </w:r>
      <w:r w:rsidR="001F46DC" w:rsidRPr="0062518A">
        <w:rPr>
          <w:bCs/>
        </w:rPr>
        <w:t xml:space="preserve"> consists of fielding a needs assessment survey that will be completed by state TANF agency administrators and staff to gather more detailed</w:t>
      </w:r>
      <w:r w:rsidR="004A12A1">
        <w:rPr>
          <w:bCs/>
        </w:rPr>
        <w:t xml:space="preserve"> and consistent</w:t>
      </w:r>
      <w:r w:rsidR="001F46DC" w:rsidRPr="0062518A">
        <w:rPr>
          <w:bCs/>
        </w:rPr>
        <w:t xml:space="preserve"> information about </w:t>
      </w:r>
      <w:r w:rsidR="001F46DC">
        <w:rPr>
          <w:bCs/>
        </w:rPr>
        <w:t>their</w:t>
      </w:r>
      <w:r w:rsidR="001F46DC" w:rsidRPr="0062518A">
        <w:rPr>
          <w:bCs/>
        </w:rPr>
        <w:t xml:space="preserve"> capacities and </w:t>
      </w:r>
      <w:r w:rsidR="004A12A1">
        <w:rPr>
          <w:bCs/>
        </w:rPr>
        <w:t>challenges</w:t>
      </w:r>
      <w:r w:rsidR="001F46DC">
        <w:rPr>
          <w:bCs/>
        </w:rPr>
        <w:t xml:space="preserve"> using data for program improvement</w:t>
      </w:r>
      <w:r w:rsidR="001F46DC" w:rsidRPr="0062518A">
        <w:rPr>
          <w:bCs/>
        </w:rPr>
        <w:t xml:space="preserve">. </w:t>
      </w:r>
      <w:r w:rsidR="004A12A1">
        <w:rPr>
          <w:bCs/>
        </w:rPr>
        <w:t xml:space="preserve">While </w:t>
      </w:r>
      <w:r w:rsidR="001F46DC">
        <w:rPr>
          <w:bCs/>
        </w:rPr>
        <w:t xml:space="preserve">the stakeholder </w:t>
      </w:r>
      <w:r w:rsidR="00900464">
        <w:rPr>
          <w:bCs/>
        </w:rPr>
        <w:t>interviews</w:t>
      </w:r>
      <w:r w:rsidR="001F46DC">
        <w:rPr>
          <w:bCs/>
        </w:rPr>
        <w:t xml:space="preserve"> </w:t>
      </w:r>
      <w:r w:rsidR="004A12A1">
        <w:rPr>
          <w:bCs/>
        </w:rPr>
        <w:t>address a</w:t>
      </w:r>
      <w:r w:rsidR="001F46DC">
        <w:rPr>
          <w:bCs/>
        </w:rPr>
        <w:t xml:space="preserve"> broad group of </w:t>
      </w:r>
      <w:r w:rsidR="004A12A1">
        <w:rPr>
          <w:bCs/>
        </w:rPr>
        <w:t xml:space="preserve">high-level </w:t>
      </w:r>
      <w:r w:rsidR="001F46DC">
        <w:rPr>
          <w:bCs/>
        </w:rPr>
        <w:t xml:space="preserve">stakeholders, the needs assessment survey will </w:t>
      </w:r>
      <w:r w:rsidR="004A12A1">
        <w:rPr>
          <w:bCs/>
        </w:rPr>
        <w:t>be directed to</w:t>
      </w:r>
      <w:r w:rsidR="001F46DC">
        <w:rPr>
          <w:bCs/>
        </w:rPr>
        <w:t xml:space="preserve"> </w:t>
      </w:r>
      <w:r w:rsidR="001F46DC" w:rsidRPr="0062518A">
        <w:rPr>
          <w:bCs/>
        </w:rPr>
        <w:t>TANF agency administrators and staff</w:t>
      </w:r>
      <w:r w:rsidR="004A12A1">
        <w:rPr>
          <w:bCs/>
        </w:rPr>
        <w:t xml:space="preserve"> with familiarity of day-to-day </w:t>
      </w:r>
      <w:r w:rsidR="0034635D">
        <w:rPr>
          <w:bCs/>
        </w:rPr>
        <w:t xml:space="preserve">data </w:t>
      </w:r>
      <w:r w:rsidR="004A12A1">
        <w:rPr>
          <w:bCs/>
        </w:rPr>
        <w:t>operations</w:t>
      </w:r>
      <w:r w:rsidR="001F46DC">
        <w:rPr>
          <w:bCs/>
        </w:rPr>
        <w:t>.</w:t>
      </w:r>
      <w:r w:rsidR="001F46DC" w:rsidRPr="0062518A">
        <w:rPr>
          <w:bCs/>
        </w:rPr>
        <w:t xml:space="preserve"> </w:t>
      </w:r>
      <w:r w:rsidR="004A12A1">
        <w:rPr>
          <w:bCs/>
        </w:rPr>
        <w:t>High-level</w:t>
      </w:r>
      <w:r w:rsidR="00BE6970">
        <w:rPr>
          <w:bCs/>
        </w:rPr>
        <w:t xml:space="preserve"> </w:t>
      </w:r>
      <w:r w:rsidR="00900464">
        <w:rPr>
          <w:bCs/>
        </w:rPr>
        <w:t>administrators</w:t>
      </w:r>
      <w:r w:rsidR="00BE6970">
        <w:rPr>
          <w:bCs/>
        </w:rPr>
        <w:t xml:space="preserve"> from </w:t>
      </w:r>
      <w:r w:rsidR="009C3405">
        <w:rPr>
          <w:bCs/>
        </w:rPr>
        <w:t xml:space="preserve">up to </w:t>
      </w:r>
      <w:r w:rsidR="00BE6970">
        <w:rPr>
          <w:bCs/>
        </w:rPr>
        <w:t>1</w:t>
      </w:r>
      <w:r w:rsidR="009C3405">
        <w:rPr>
          <w:bCs/>
        </w:rPr>
        <w:t>2</w:t>
      </w:r>
      <w:r w:rsidR="00BE6970">
        <w:rPr>
          <w:bCs/>
        </w:rPr>
        <w:t xml:space="preserve"> state and county TANF agencies</w:t>
      </w:r>
      <w:r w:rsidR="004A12A1">
        <w:rPr>
          <w:bCs/>
        </w:rPr>
        <w:t xml:space="preserve"> will provide narrative information in the previously-approved stakeholder interviews</w:t>
      </w:r>
      <w:r w:rsidR="00BE6970">
        <w:rPr>
          <w:bCs/>
        </w:rPr>
        <w:t xml:space="preserve">, </w:t>
      </w:r>
      <w:r w:rsidR="004A12A1">
        <w:rPr>
          <w:bCs/>
        </w:rPr>
        <w:t xml:space="preserve">and </w:t>
      </w:r>
      <w:r w:rsidR="00BE6970">
        <w:rPr>
          <w:bCs/>
        </w:rPr>
        <w:t xml:space="preserve">the project team will attempt to </w:t>
      </w:r>
      <w:r w:rsidR="004A12A1">
        <w:rPr>
          <w:bCs/>
        </w:rPr>
        <w:t>collect comprehensive</w:t>
      </w:r>
      <w:r w:rsidR="00BE6970">
        <w:rPr>
          <w:bCs/>
        </w:rPr>
        <w:t xml:space="preserve"> needs assessment </w:t>
      </w:r>
      <w:r w:rsidR="004A12A1">
        <w:rPr>
          <w:bCs/>
        </w:rPr>
        <w:t>data from</w:t>
      </w:r>
      <w:r w:rsidR="00BE6970">
        <w:rPr>
          <w:bCs/>
        </w:rPr>
        <w:t xml:space="preserve"> sta</w:t>
      </w:r>
      <w:r w:rsidR="00800E67">
        <w:rPr>
          <w:bCs/>
        </w:rPr>
        <w:t>ff from 54 state and territory TANF agencies</w:t>
      </w:r>
      <w:r w:rsidR="00BE6970">
        <w:rPr>
          <w:bCs/>
        </w:rPr>
        <w:t xml:space="preserve">. </w:t>
      </w:r>
      <w:r w:rsidR="00061BCA">
        <w:rPr>
          <w:bCs/>
        </w:rPr>
        <w:t xml:space="preserve">Contingent on OMB approval, the needs assessment survey will be fielded as early as possible in 2019. </w:t>
      </w:r>
      <w:r w:rsidR="001F46DC" w:rsidRPr="0062518A">
        <w:rPr>
          <w:bCs/>
        </w:rPr>
        <w:t xml:space="preserve">These data will help the team further refine its plan for future </w:t>
      </w:r>
      <w:r w:rsidR="00AE6496">
        <w:rPr>
          <w:bCs/>
        </w:rPr>
        <w:t>T</w:t>
      </w:r>
      <w:r w:rsidR="001F46DC" w:rsidRPr="0062518A">
        <w:rPr>
          <w:bCs/>
        </w:rPr>
        <w:t xml:space="preserve">TA topics. </w:t>
      </w:r>
      <w:r w:rsidR="00DF444A">
        <w:t>We also intend to summarize findings from the needs assessment in a published report</w:t>
      </w:r>
      <w:r w:rsidR="00634AEF">
        <w:t xml:space="preserve">, </w:t>
      </w:r>
      <w:r w:rsidR="00634AEF">
        <w:rPr>
          <w:bCs/>
        </w:rPr>
        <w:t>providing</w:t>
      </w:r>
      <w:r w:rsidR="00634AEF" w:rsidRPr="0062518A">
        <w:rPr>
          <w:bCs/>
        </w:rPr>
        <w:t xml:space="preserve"> a snapshot of </w:t>
      </w:r>
      <w:r w:rsidR="00634AEF">
        <w:rPr>
          <w:bCs/>
        </w:rPr>
        <w:t>shared</w:t>
      </w:r>
      <w:r w:rsidR="00634AEF" w:rsidRPr="0062518A">
        <w:rPr>
          <w:bCs/>
        </w:rPr>
        <w:t xml:space="preserve"> challenges and opportunities facing states as they seek to improve their data use</w:t>
      </w:r>
      <w:r w:rsidR="001E5875">
        <w:rPr>
          <w:bCs/>
        </w:rPr>
        <w:t>.</w:t>
      </w:r>
    </w:p>
    <w:p w14:paraId="66ABB6A4" w14:textId="266DFB5F" w:rsidR="006B209B" w:rsidRDefault="006B209B" w:rsidP="00F24AAE">
      <w:pPr>
        <w:rPr>
          <w:bCs/>
        </w:rPr>
      </w:pPr>
    </w:p>
    <w:p w14:paraId="64513457" w14:textId="7B06A8F9" w:rsidR="006B209B" w:rsidRPr="00061BCA" w:rsidRDefault="0038443F" w:rsidP="001778E8">
      <w:pPr>
        <w:rPr>
          <w:bCs/>
        </w:rPr>
      </w:pPr>
      <w:r>
        <w:rPr>
          <w:b/>
          <w:bCs/>
        </w:rPr>
        <w:t xml:space="preserve">Potential </w:t>
      </w:r>
      <w:r w:rsidR="00D8701F">
        <w:rPr>
          <w:b/>
          <w:bCs/>
        </w:rPr>
        <w:t>Phase 4</w:t>
      </w:r>
      <w:r>
        <w:rPr>
          <w:b/>
          <w:bCs/>
        </w:rPr>
        <w:t>:</w:t>
      </w:r>
      <w:r w:rsidR="00D8701F">
        <w:rPr>
          <w:b/>
          <w:bCs/>
        </w:rPr>
        <w:t xml:space="preserve"> </w:t>
      </w:r>
      <w:r w:rsidR="006B209B" w:rsidRPr="00FD3228">
        <w:rPr>
          <w:bCs/>
        </w:rPr>
        <w:t xml:space="preserve">In addition to identifying priority topics for </w:t>
      </w:r>
      <w:r w:rsidR="00BA79C0">
        <w:rPr>
          <w:bCs/>
        </w:rPr>
        <w:t>T</w:t>
      </w:r>
      <w:r w:rsidR="006B209B" w:rsidRPr="00FD3228">
        <w:rPr>
          <w:bCs/>
        </w:rPr>
        <w:t xml:space="preserve">TA, the TDI project </w:t>
      </w:r>
      <w:r w:rsidR="00CC3F69">
        <w:rPr>
          <w:bCs/>
        </w:rPr>
        <w:t>is tasked with</w:t>
      </w:r>
      <w:r w:rsidR="006B209B" w:rsidRPr="00FD3228">
        <w:rPr>
          <w:bCs/>
        </w:rPr>
        <w:t xml:space="preserve"> </w:t>
      </w:r>
      <w:r w:rsidR="001778E8" w:rsidRPr="00864C2A">
        <w:t xml:space="preserve">examining state practices for assessing </w:t>
      </w:r>
      <w:r w:rsidR="001778E8" w:rsidRPr="00900464">
        <w:t>payment integrity</w:t>
      </w:r>
      <w:r w:rsidR="001778E8" w:rsidRPr="00900464">
        <w:rPr>
          <w:rStyle w:val="FootnoteReference"/>
        </w:rPr>
        <w:footnoteReference w:id="1"/>
      </w:r>
      <w:r w:rsidR="001778E8" w:rsidRPr="00900464">
        <w:t xml:space="preserve">, determining what states are currently doing and how state practices could be improved in the future. </w:t>
      </w:r>
      <w:bookmarkStart w:id="2" w:name="_Hlk515529214"/>
      <w:r w:rsidR="00CC3F69">
        <w:t>T</w:t>
      </w:r>
      <w:r w:rsidR="0062219F" w:rsidRPr="006F4560">
        <w:t xml:space="preserve">he team anticipates </w:t>
      </w:r>
      <w:r w:rsidR="00CC3F69">
        <w:t>this may involve a series</w:t>
      </w:r>
      <w:r w:rsidR="0062219F" w:rsidRPr="006F4560">
        <w:t xml:space="preserve"> of </w:t>
      </w:r>
      <w:r w:rsidR="00167C47" w:rsidRPr="006F4560">
        <w:t>case studies</w:t>
      </w:r>
      <w:r w:rsidR="00CC3F69">
        <w:t xml:space="preserve"> to complement the information gathered through the Needs Assessment survey.  If we require collecting uniform information from more than nine individuals, </w:t>
      </w:r>
      <w:r w:rsidR="00F73338">
        <w:t>t</w:t>
      </w:r>
      <w:r w:rsidR="0062219F">
        <w:t xml:space="preserve">he project team will submit a request for this data collection </w:t>
      </w:r>
      <w:r w:rsidR="0062219F" w:rsidRPr="005F0C01">
        <w:t xml:space="preserve">under ACF’s </w:t>
      </w:r>
      <w:r w:rsidR="0062219F">
        <w:t xml:space="preserve">formative </w:t>
      </w:r>
      <w:r w:rsidR="0062219F" w:rsidRPr="005F0C01">
        <w:t xml:space="preserve">generic clearance </w:t>
      </w:r>
      <w:r w:rsidR="0062219F">
        <w:t>process.</w:t>
      </w:r>
      <w:r w:rsidR="0062219F" w:rsidRPr="00864C2A">
        <w:t xml:space="preserve"> </w:t>
      </w:r>
      <w:bookmarkEnd w:id="2"/>
      <w:r w:rsidR="00F10355">
        <w:t xml:space="preserve">See the following section </w:t>
      </w:r>
      <w:r w:rsidR="00F10355" w:rsidRPr="00990B42">
        <w:rPr>
          <w:b/>
          <w:i/>
        </w:rPr>
        <w:t>Universe of Data Collection Efforts</w:t>
      </w:r>
      <w:r w:rsidR="00F10355">
        <w:t xml:space="preserve"> for additional information. </w:t>
      </w:r>
    </w:p>
    <w:p w14:paraId="4FEBAD6B" w14:textId="77777777" w:rsidR="00F24AAE" w:rsidRPr="00F24AAE" w:rsidRDefault="00F24AAE" w:rsidP="00F24AAE">
      <w:pPr>
        <w:rPr>
          <w:highlight w:val="yellow"/>
        </w:rPr>
      </w:pPr>
    </w:p>
    <w:p w14:paraId="17D43E1B" w14:textId="6DA4CD7B" w:rsidR="00A44209" w:rsidRPr="00A346C3" w:rsidRDefault="00A44209" w:rsidP="00406241">
      <w:pPr>
        <w:rPr>
          <w:b/>
          <w:i/>
        </w:rPr>
      </w:pPr>
      <w:r w:rsidRPr="00A346C3">
        <w:rPr>
          <w:b/>
          <w:i/>
        </w:rPr>
        <w:t>Research Questions</w:t>
      </w:r>
    </w:p>
    <w:p w14:paraId="24B52ECF" w14:textId="498D4AB9" w:rsidR="009E08A4" w:rsidRPr="00A346C3" w:rsidRDefault="00634AEF" w:rsidP="008979AF">
      <w:pPr>
        <w:autoSpaceDE w:val="0"/>
        <w:autoSpaceDN w:val="0"/>
        <w:adjustRightInd w:val="0"/>
        <w:rPr>
          <w:bCs/>
        </w:rPr>
      </w:pPr>
      <w:r>
        <w:rPr>
          <w:bCs/>
        </w:rPr>
        <w:t>T</w:t>
      </w:r>
      <w:r w:rsidR="009E08A4" w:rsidRPr="00A346C3">
        <w:rPr>
          <w:bCs/>
        </w:rPr>
        <w:t xml:space="preserve">his data collection </w:t>
      </w:r>
      <w:r w:rsidR="00433887">
        <w:rPr>
          <w:bCs/>
        </w:rPr>
        <w:t>is</w:t>
      </w:r>
      <w:r w:rsidR="00433887" w:rsidRPr="00A346C3">
        <w:rPr>
          <w:bCs/>
        </w:rPr>
        <w:t xml:space="preserve"> </w:t>
      </w:r>
      <w:r>
        <w:rPr>
          <w:bCs/>
        </w:rPr>
        <w:t xml:space="preserve">intended </w:t>
      </w:r>
      <w:r w:rsidR="009E08A4" w:rsidRPr="00A346C3">
        <w:rPr>
          <w:bCs/>
        </w:rPr>
        <w:t>to</w:t>
      </w:r>
      <w:r w:rsidR="00433887">
        <w:rPr>
          <w:bCs/>
        </w:rPr>
        <w:t xml:space="preserve"> answer the following research questions</w:t>
      </w:r>
      <w:r w:rsidR="009E08A4" w:rsidRPr="00A346C3">
        <w:rPr>
          <w:bCs/>
        </w:rPr>
        <w:t>:</w:t>
      </w:r>
    </w:p>
    <w:p w14:paraId="6D894F4C" w14:textId="7F75853D" w:rsidR="009E08A4" w:rsidRPr="00A346C3" w:rsidRDefault="00433887" w:rsidP="009E08A4">
      <w:pPr>
        <w:pStyle w:val="ListParagraph"/>
        <w:numPr>
          <w:ilvl w:val="0"/>
          <w:numId w:val="25"/>
        </w:numPr>
        <w:spacing w:line="276" w:lineRule="auto"/>
        <w:rPr>
          <w:bCs/>
        </w:rPr>
      </w:pPr>
      <w:r>
        <w:rPr>
          <w:bCs/>
        </w:rPr>
        <w:t>How do state TANF agency administrators and staff assess the</w:t>
      </w:r>
      <w:r w:rsidR="00634AEF">
        <w:rPr>
          <w:bCs/>
        </w:rPr>
        <w:t>ir agency’s</w:t>
      </w:r>
      <w:r w:rsidR="009E08A4" w:rsidRPr="00A346C3">
        <w:rPr>
          <w:bCs/>
        </w:rPr>
        <w:t xml:space="preserve"> </w:t>
      </w:r>
      <w:r>
        <w:rPr>
          <w:bCs/>
        </w:rPr>
        <w:t xml:space="preserve">current </w:t>
      </w:r>
      <w:r w:rsidR="009E08A4" w:rsidRPr="00A346C3">
        <w:rPr>
          <w:bCs/>
        </w:rPr>
        <w:t>capacit</w:t>
      </w:r>
      <w:r w:rsidR="00634AEF">
        <w:rPr>
          <w:bCs/>
        </w:rPr>
        <w:t xml:space="preserve">y </w:t>
      </w:r>
      <w:r w:rsidR="00992535" w:rsidRPr="00A346C3">
        <w:rPr>
          <w:bCs/>
        </w:rPr>
        <w:t xml:space="preserve">to integrate and use </w:t>
      </w:r>
      <w:r w:rsidR="00F53A06" w:rsidRPr="00A346C3">
        <w:rPr>
          <w:bCs/>
        </w:rPr>
        <w:t xml:space="preserve">administrative </w:t>
      </w:r>
      <w:r w:rsidR="009E08A4" w:rsidRPr="00A346C3">
        <w:rPr>
          <w:bCs/>
        </w:rPr>
        <w:t>data</w:t>
      </w:r>
      <w:r w:rsidR="005F0C01" w:rsidRPr="00A346C3">
        <w:rPr>
          <w:bCs/>
        </w:rPr>
        <w:t xml:space="preserve"> to improve TANF program outcomes and </w:t>
      </w:r>
      <w:r w:rsidR="00992535" w:rsidRPr="00A346C3">
        <w:rPr>
          <w:bCs/>
        </w:rPr>
        <w:t xml:space="preserve">payment </w:t>
      </w:r>
      <w:r w:rsidR="005F0C01" w:rsidRPr="00A346C3">
        <w:rPr>
          <w:bCs/>
        </w:rPr>
        <w:t>integrity</w:t>
      </w:r>
      <w:r>
        <w:rPr>
          <w:bCs/>
        </w:rPr>
        <w:t>?</w:t>
      </w:r>
      <w:r w:rsidR="009E08A4" w:rsidRPr="00A346C3">
        <w:rPr>
          <w:bCs/>
        </w:rPr>
        <w:t xml:space="preserve"> </w:t>
      </w:r>
    </w:p>
    <w:p w14:paraId="2564D503" w14:textId="754A5D0C" w:rsidR="001D5640" w:rsidRPr="00A346C3" w:rsidRDefault="00433887" w:rsidP="009E08A4">
      <w:pPr>
        <w:pStyle w:val="ListParagraph"/>
        <w:numPr>
          <w:ilvl w:val="0"/>
          <w:numId w:val="25"/>
        </w:numPr>
        <w:spacing w:line="276" w:lineRule="auto"/>
        <w:rPr>
          <w:bCs/>
        </w:rPr>
      </w:pPr>
      <w:r>
        <w:rPr>
          <w:bCs/>
        </w:rPr>
        <w:t xml:space="preserve">What are state TANF </w:t>
      </w:r>
      <w:r w:rsidR="00A346C3" w:rsidRPr="00A346C3">
        <w:rPr>
          <w:bCs/>
        </w:rPr>
        <w:t>agency</w:t>
      </w:r>
      <w:r w:rsidR="001D5640" w:rsidRPr="00A346C3">
        <w:rPr>
          <w:bCs/>
        </w:rPr>
        <w:t xml:space="preserve"> priorities for improving </w:t>
      </w:r>
      <w:r w:rsidR="00F53A06" w:rsidRPr="00A346C3">
        <w:rPr>
          <w:bCs/>
        </w:rPr>
        <w:t xml:space="preserve">use and </w:t>
      </w:r>
      <w:r w:rsidR="00A346C3" w:rsidRPr="00A346C3">
        <w:rPr>
          <w:bCs/>
        </w:rPr>
        <w:t>integration</w:t>
      </w:r>
      <w:r w:rsidR="001D5640" w:rsidRPr="00A346C3">
        <w:rPr>
          <w:bCs/>
        </w:rPr>
        <w:t xml:space="preserve"> of </w:t>
      </w:r>
      <w:r w:rsidR="00F53A06" w:rsidRPr="00A346C3">
        <w:rPr>
          <w:bCs/>
        </w:rPr>
        <w:t>administrative</w:t>
      </w:r>
      <w:r w:rsidR="001D5640" w:rsidRPr="00A346C3">
        <w:rPr>
          <w:bCs/>
        </w:rPr>
        <w:t xml:space="preserve"> data</w:t>
      </w:r>
      <w:r>
        <w:rPr>
          <w:bCs/>
        </w:rPr>
        <w:t>?</w:t>
      </w:r>
    </w:p>
    <w:p w14:paraId="129345DB" w14:textId="3E8D924D" w:rsidR="001D5640" w:rsidRPr="00A346C3" w:rsidRDefault="00433887" w:rsidP="009E08A4">
      <w:pPr>
        <w:pStyle w:val="ListParagraph"/>
        <w:numPr>
          <w:ilvl w:val="0"/>
          <w:numId w:val="25"/>
        </w:numPr>
        <w:spacing w:line="276" w:lineRule="auto"/>
        <w:rPr>
          <w:bCs/>
        </w:rPr>
      </w:pPr>
      <w:r>
        <w:rPr>
          <w:bCs/>
        </w:rPr>
        <w:t xml:space="preserve">What </w:t>
      </w:r>
      <w:r w:rsidR="001D5640" w:rsidRPr="00A346C3">
        <w:rPr>
          <w:bCs/>
        </w:rPr>
        <w:t xml:space="preserve">barriers and challenges </w:t>
      </w:r>
      <w:r>
        <w:rPr>
          <w:bCs/>
        </w:rPr>
        <w:t xml:space="preserve">do </w:t>
      </w:r>
      <w:r w:rsidR="00A346C3" w:rsidRPr="00A346C3">
        <w:rPr>
          <w:bCs/>
        </w:rPr>
        <w:t>agencies</w:t>
      </w:r>
      <w:r w:rsidR="001D5640" w:rsidRPr="00A346C3">
        <w:rPr>
          <w:bCs/>
        </w:rPr>
        <w:t xml:space="preserve"> </w:t>
      </w:r>
      <w:r>
        <w:rPr>
          <w:bCs/>
        </w:rPr>
        <w:t xml:space="preserve">face </w:t>
      </w:r>
      <w:r w:rsidR="001D5640" w:rsidRPr="00A346C3">
        <w:rPr>
          <w:bCs/>
        </w:rPr>
        <w:t xml:space="preserve">in using </w:t>
      </w:r>
      <w:r>
        <w:rPr>
          <w:bCs/>
        </w:rPr>
        <w:t xml:space="preserve">TANF </w:t>
      </w:r>
      <w:r w:rsidR="005F01F9" w:rsidRPr="00A346C3">
        <w:rPr>
          <w:bCs/>
        </w:rPr>
        <w:t xml:space="preserve">administrative </w:t>
      </w:r>
      <w:r w:rsidR="001D5640" w:rsidRPr="00A346C3">
        <w:rPr>
          <w:bCs/>
        </w:rPr>
        <w:t>data</w:t>
      </w:r>
      <w:r>
        <w:rPr>
          <w:bCs/>
        </w:rPr>
        <w:t>?</w:t>
      </w:r>
    </w:p>
    <w:p w14:paraId="08BF13BC" w14:textId="554B0BDB" w:rsidR="001D5640" w:rsidRPr="00A346C3" w:rsidRDefault="00433887" w:rsidP="001D5640">
      <w:pPr>
        <w:pStyle w:val="ListParagraph"/>
        <w:numPr>
          <w:ilvl w:val="0"/>
          <w:numId w:val="25"/>
        </w:numPr>
        <w:spacing w:line="276" w:lineRule="auto"/>
        <w:rPr>
          <w:bCs/>
        </w:rPr>
      </w:pPr>
      <w:r>
        <w:rPr>
          <w:bCs/>
        </w:rPr>
        <w:t xml:space="preserve">What </w:t>
      </w:r>
      <w:r w:rsidR="00992535" w:rsidRPr="00A346C3">
        <w:rPr>
          <w:bCs/>
        </w:rPr>
        <w:t>common</w:t>
      </w:r>
      <w:r w:rsidR="00634AEF">
        <w:rPr>
          <w:bCs/>
        </w:rPr>
        <w:t xml:space="preserve"> needs of</w:t>
      </w:r>
      <w:r w:rsidR="00992535" w:rsidRPr="00A346C3">
        <w:rPr>
          <w:bCs/>
        </w:rPr>
        <w:t xml:space="preserve"> </w:t>
      </w:r>
      <w:r w:rsidR="001D5640" w:rsidRPr="00A346C3">
        <w:rPr>
          <w:bCs/>
        </w:rPr>
        <w:t>TANF agenc</w:t>
      </w:r>
      <w:r w:rsidR="00634AEF">
        <w:rPr>
          <w:bCs/>
        </w:rPr>
        <w:t>ies</w:t>
      </w:r>
      <w:r w:rsidR="001D5640" w:rsidRPr="00A346C3">
        <w:rPr>
          <w:bCs/>
        </w:rPr>
        <w:t xml:space="preserve"> </w:t>
      </w:r>
      <w:r>
        <w:rPr>
          <w:bCs/>
        </w:rPr>
        <w:t xml:space="preserve">could be addressed by technical assistance </w:t>
      </w:r>
      <w:r w:rsidR="00634AEF">
        <w:rPr>
          <w:bCs/>
        </w:rPr>
        <w:t>for</w:t>
      </w:r>
      <w:r w:rsidR="00634AEF" w:rsidRPr="00A346C3">
        <w:rPr>
          <w:bCs/>
        </w:rPr>
        <w:t xml:space="preserve"> </w:t>
      </w:r>
      <w:r w:rsidR="008F29C8" w:rsidRPr="00A346C3">
        <w:rPr>
          <w:bCs/>
        </w:rPr>
        <w:t xml:space="preserve">data analysis </w:t>
      </w:r>
      <w:r w:rsidR="00634AEF">
        <w:rPr>
          <w:bCs/>
        </w:rPr>
        <w:t>supporting</w:t>
      </w:r>
      <w:r w:rsidR="00634AEF" w:rsidRPr="00A346C3">
        <w:rPr>
          <w:bCs/>
        </w:rPr>
        <w:t xml:space="preserve"> </w:t>
      </w:r>
      <w:r w:rsidR="005F01F9" w:rsidRPr="00A346C3">
        <w:rPr>
          <w:bCs/>
        </w:rPr>
        <w:t>program improvement</w:t>
      </w:r>
      <w:r>
        <w:rPr>
          <w:bCs/>
        </w:rPr>
        <w:t>?</w:t>
      </w:r>
    </w:p>
    <w:p w14:paraId="4C3F557C" w14:textId="77777777" w:rsidR="009E08A4" w:rsidRPr="009C1E3D" w:rsidRDefault="009E08A4" w:rsidP="00183E71">
      <w:pPr>
        <w:rPr>
          <w:b/>
          <w:highlight w:val="yellow"/>
        </w:rPr>
      </w:pPr>
    </w:p>
    <w:p w14:paraId="4B94B268" w14:textId="402B3818" w:rsidR="009C6184" w:rsidRDefault="00AE6F8C" w:rsidP="00406241">
      <w:pPr>
        <w:rPr>
          <w:bCs/>
        </w:rPr>
      </w:pPr>
      <w:r>
        <w:rPr>
          <w:b/>
          <w:i/>
        </w:rPr>
        <w:t>U</w:t>
      </w:r>
      <w:r w:rsidR="00984CA2" w:rsidRPr="00BD2B6E">
        <w:rPr>
          <w:b/>
          <w:i/>
        </w:rPr>
        <w:t>niverse of Data Collection Efforts</w:t>
      </w:r>
    </w:p>
    <w:p w14:paraId="18D307C6" w14:textId="77777777" w:rsidR="009C6184" w:rsidRPr="00BD2B6E" w:rsidRDefault="009C6184" w:rsidP="00406241">
      <w:pPr>
        <w:rPr>
          <w:b/>
          <w:i/>
        </w:rPr>
      </w:pPr>
    </w:p>
    <w:p w14:paraId="02E6EA1F" w14:textId="4CD2BBE6" w:rsidR="005F0C01" w:rsidRPr="00AB262D" w:rsidRDefault="009C6184" w:rsidP="009C6184">
      <w:pPr>
        <w:rPr>
          <w:bCs/>
          <w:highlight w:val="yellow"/>
        </w:rPr>
      </w:pPr>
      <w:r>
        <w:rPr>
          <w:bCs/>
        </w:rPr>
        <w:t xml:space="preserve">To capture current state practice, high-level strategic priorities, and day-to-day practices analying TANF data for program improvement, we will combine data from publicly available documents, stakeholder interviews, and the comprehensive needs assessment survey. We </w:t>
      </w:r>
      <w:r w:rsidR="00B06940">
        <w:rPr>
          <w:bCs/>
        </w:rPr>
        <w:t xml:space="preserve">may </w:t>
      </w:r>
      <w:r>
        <w:rPr>
          <w:bCs/>
        </w:rPr>
        <w:t xml:space="preserve">also </w:t>
      </w:r>
      <w:r w:rsidR="00B06940">
        <w:rPr>
          <w:bCs/>
        </w:rPr>
        <w:t xml:space="preserve">request approval of </w:t>
      </w:r>
      <w:r>
        <w:rPr>
          <w:bCs/>
        </w:rPr>
        <w:t>an</w:t>
      </w:r>
      <w:r w:rsidR="00EC056D">
        <w:rPr>
          <w:bCs/>
        </w:rPr>
        <w:t xml:space="preserve"> additional formative</w:t>
      </w:r>
      <w:r w:rsidR="00AB262D" w:rsidRPr="00AB262D">
        <w:rPr>
          <w:bCs/>
        </w:rPr>
        <w:t xml:space="preserve"> data collection to </w:t>
      </w:r>
      <w:r w:rsidR="00EC056D">
        <w:t>describe</w:t>
      </w:r>
      <w:r w:rsidR="00EC056D" w:rsidRPr="00CB6E56">
        <w:t xml:space="preserve"> </w:t>
      </w:r>
      <w:r w:rsidR="00933077" w:rsidRPr="00CB6E56">
        <w:t>state</w:t>
      </w:r>
      <w:r w:rsidR="00EC056D">
        <w:t>s’</w:t>
      </w:r>
      <w:r>
        <w:t xml:space="preserve"> current</w:t>
      </w:r>
      <w:r w:rsidR="00933077" w:rsidRPr="00CB6E56">
        <w:t xml:space="preserve"> practices for assessing payment integrity</w:t>
      </w:r>
      <w:r w:rsidR="00933077">
        <w:t>.</w:t>
      </w:r>
      <w:r w:rsidR="00933077" w:rsidRPr="00E126C7">
        <w:t xml:space="preserve"> </w:t>
      </w:r>
      <w:r w:rsidR="00EC056D">
        <w:rPr>
          <w:bCs/>
        </w:rPr>
        <w:t>Each source of data is</w:t>
      </w:r>
      <w:r w:rsidR="00AB262D">
        <w:rPr>
          <w:bCs/>
        </w:rPr>
        <w:t xml:space="preserve"> described below.</w:t>
      </w:r>
      <w:r w:rsidR="00BD2B6E" w:rsidRPr="00BD2B6E">
        <w:rPr>
          <w:bCs/>
        </w:rPr>
        <w:t xml:space="preserve"> </w:t>
      </w:r>
    </w:p>
    <w:p w14:paraId="1987DD33" w14:textId="426BD9F8" w:rsidR="00BD2B6E" w:rsidRDefault="00BD2B6E" w:rsidP="00406241">
      <w:pPr>
        <w:rPr>
          <w:bCs/>
        </w:rPr>
      </w:pPr>
    </w:p>
    <w:p w14:paraId="2D69484E" w14:textId="6433C075" w:rsidR="00BD2B6E" w:rsidRDefault="009C6184" w:rsidP="00406241">
      <w:pPr>
        <w:rPr>
          <w:bCs/>
          <w:highlight w:val="yellow"/>
        </w:rPr>
      </w:pPr>
      <w:r w:rsidRPr="009C1E3D">
        <w:rPr>
          <w:b/>
          <w:bCs/>
        </w:rPr>
        <w:t>Document Review:</w:t>
      </w:r>
      <w:r>
        <w:rPr>
          <w:bCs/>
        </w:rPr>
        <w:t xml:space="preserve"> We </w:t>
      </w:r>
      <w:r w:rsidR="0034635D">
        <w:rPr>
          <w:bCs/>
        </w:rPr>
        <w:t>are conducting</w:t>
      </w:r>
      <w:r>
        <w:rPr>
          <w:bCs/>
        </w:rPr>
        <w:t xml:space="preserve"> a </w:t>
      </w:r>
      <w:r w:rsidR="0034635D">
        <w:rPr>
          <w:bCs/>
        </w:rPr>
        <w:t xml:space="preserve">document </w:t>
      </w:r>
      <w:r>
        <w:rPr>
          <w:bCs/>
        </w:rPr>
        <w:t xml:space="preserve">scan to identify publicly-available TANF data reports, data documentation, and other published literature that reflect states’ current data practices.  </w:t>
      </w:r>
      <w:r w:rsidR="00BD2B6E">
        <w:t>Because t</w:t>
      </w:r>
      <w:r w:rsidR="00BD2B6E" w:rsidRPr="000E569C">
        <w:t xml:space="preserve">his </w:t>
      </w:r>
      <w:r>
        <w:t>effort</w:t>
      </w:r>
      <w:r w:rsidR="00BD2B6E" w:rsidRPr="000E569C">
        <w:t xml:space="preserve"> </w:t>
      </w:r>
      <w:r w:rsidR="00BD2B6E">
        <w:t>does not impose any burden on respondents or record keepers, there are no associated instruments requiring OMB approval.</w:t>
      </w:r>
    </w:p>
    <w:p w14:paraId="006BB5A8" w14:textId="691CF458" w:rsidR="00BD2B6E" w:rsidRDefault="00BD2B6E" w:rsidP="00406241">
      <w:pPr>
        <w:rPr>
          <w:bCs/>
          <w:highlight w:val="yellow"/>
        </w:rPr>
      </w:pPr>
    </w:p>
    <w:p w14:paraId="16D6B288" w14:textId="1FA1AA17" w:rsidR="00F16AED" w:rsidRPr="004848E1" w:rsidRDefault="00F16AED" w:rsidP="009C1E3D">
      <w:pPr>
        <w:rPr>
          <w:b/>
          <w:i/>
        </w:rPr>
      </w:pPr>
      <w:r>
        <w:rPr>
          <w:b/>
          <w:i/>
        </w:rPr>
        <w:t xml:space="preserve">Previously Approved </w:t>
      </w:r>
      <w:r w:rsidRPr="00BD2B6E">
        <w:rPr>
          <w:b/>
          <w:i/>
        </w:rPr>
        <w:t xml:space="preserve">Data Collection </w:t>
      </w:r>
      <w:r>
        <w:rPr>
          <w:b/>
          <w:i/>
        </w:rPr>
        <w:t>Instruments</w:t>
      </w:r>
    </w:p>
    <w:p w14:paraId="28DCD31C" w14:textId="5EC22B90" w:rsidR="00BD2B6E" w:rsidRPr="00BD2B6E" w:rsidRDefault="00BD2B6E" w:rsidP="00406241">
      <w:pPr>
        <w:rPr>
          <w:bCs/>
          <w:highlight w:val="yellow"/>
        </w:rPr>
      </w:pPr>
      <w:r w:rsidRPr="005F0C01">
        <w:rPr>
          <w:bCs/>
          <w:i/>
        </w:rPr>
        <w:t xml:space="preserve">TANF Data Innovation (TDI) Needs Assessment Stakeholder Interviews. </w:t>
      </w:r>
      <w:r w:rsidRPr="005F0C01">
        <w:rPr>
          <w:bCs/>
        </w:rPr>
        <w:t xml:space="preserve">The </w:t>
      </w:r>
      <w:r w:rsidR="00883C4F">
        <w:rPr>
          <w:bCs/>
        </w:rPr>
        <w:t xml:space="preserve">project previously </w:t>
      </w:r>
      <w:r w:rsidR="00900464">
        <w:rPr>
          <w:bCs/>
        </w:rPr>
        <w:t>received</w:t>
      </w:r>
      <w:r w:rsidR="00883C4F">
        <w:rPr>
          <w:bCs/>
        </w:rPr>
        <w:t xml:space="preserve"> approval through </w:t>
      </w:r>
      <w:r w:rsidR="009C6184">
        <w:rPr>
          <w:bCs/>
        </w:rPr>
        <w:t xml:space="preserve">OPRE’s formative </w:t>
      </w:r>
      <w:r>
        <w:rPr>
          <w:bCs/>
        </w:rPr>
        <w:t xml:space="preserve">generic clearance </w:t>
      </w:r>
      <w:r w:rsidR="00883C4F">
        <w:rPr>
          <w:bCs/>
        </w:rPr>
        <w:t>process for</w:t>
      </w:r>
      <w:r>
        <w:rPr>
          <w:bCs/>
        </w:rPr>
        <w:t xml:space="preserve"> a </w:t>
      </w:r>
      <w:r w:rsidR="009C6184">
        <w:rPr>
          <w:bCs/>
        </w:rPr>
        <w:t xml:space="preserve">qualitative </w:t>
      </w:r>
      <w:r w:rsidRPr="005F0C01">
        <w:rPr>
          <w:bCs/>
        </w:rPr>
        <w:t xml:space="preserve">interview questions </w:t>
      </w:r>
      <w:r w:rsidR="009C6184">
        <w:rPr>
          <w:bCs/>
        </w:rPr>
        <w:t>targeting</w:t>
      </w:r>
      <w:r w:rsidR="009C6184" w:rsidRPr="005F0C01">
        <w:rPr>
          <w:bCs/>
        </w:rPr>
        <w:t xml:space="preserve"> </w:t>
      </w:r>
      <w:r w:rsidRPr="005F0C01">
        <w:rPr>
          <w:bCs/>
        </w:rPr>
        <w:t>key stakeholders with interest</w:t>
      </w:r>
      <w:r>
        <w:rPr>
          <w:bCs/>
        </w:rPr>
        <w:t>s</w:t>
      </w:r>
      <w:r w:rsidRPr="005F0C01">
        <w:rPr>
          <w:bCs/>
        </w:rPr>
        <w:t xml:space="preserve"> in seeing state</w:t>
      </w:r>
      <w:r>
        <w:rPr>
          <w:bCs/>
        </w:rPr>
        <w:t>/county</w:t>
      </w:r>
      <w:r w:rsidRPr="005F0C01">
        <w:rPr>
          <w:bCs/>
        </w:rPr>
        <w:t xml:space="preserve"> TANF</w:t>
      </w:r>
      <w:r>
        <w:rPr>
          <w:bCs/>
        </w:rPr>
        <w:t xml:space="preserve"> and related</w:t>
      </w:r>
      <w:r w:rsidRPr="005F0C01">
        <w:rPr>
          <w:bCs/>
        </w:rPr>
        <w:t xml:space="preserve"> </w:t>
      </w:r>
      <w:r>
        <w:rPr>
          <w:bCs/>
        </w:rPr>
        <w:t>human services data</w:t>
      </w:r>
      <w:r w:rsidRPr="005F0C01">
        <w:rPr>
          <w:bCs/>
        </w:rPr>
        <w:t xml:space="preserve"> used </w:t>
      </w:r>
      <w:r>
        <w:rPr>
          <w:bCs/>
        </w:rPr>
        <w:t>to</w:t>
      </w:r>
      <w:r w:rsidRPr="005F0C01">
        <w:rPr>
          <w:bCs/>
        </w:rPr>
        <w:t xml:space="preserve"> improve program administration, </w:t>
      </w:r>
      <w:r>
        <w:rPr>
          <w:bCs/>
        </w:rPr>
        <w:t>payment</w:t>
      </w:r>
      <w:r w:rsidRPr="005F0C01">
        <w:rPr>
          <w:bCs/>
        </w:rPr>
        <w:t xml:space="preserve"> integrity, and outcomes for participants</w:t>
      </w:r>
      <w:r w:rsidR="00883C4F">
        <w:rPr>
          <w:bCs/>
        </w:rPr>
        <w:t xml:space="preserve">. </w:t>
      </w:r>
      <w:r>
        <w:rPr>
          <w:bCs/>
        </w:rPr>
        <w:t xml:space="preserve"> </w:t>
      </w:r>
    </w:p>
    <w:p w14:paraId="60B64CF9" w14:textId="6C2934E8" w:rsidR="00F16AED" w:rsidRDefault="00F16AED" w:rsidP="00406241">
      <w:pPr>
        <w:rPr>
          <w:bCs/>
          <w:i/>
          <w:highlight w:val="yellow"/>
        </w:rPr>
      </w:pPr>
    </w:p>
    <w:p w14:paraId="03DF9202" w14:textId="3FB979CD" w:rsidR="00883C4F" w:rsidRPr="004848E1" w:rsidRDefault="00883C4F" w:rsidP="009C1E3D">
      <w:pPr>
        <w:rPr>
          <w:b/>
          <w:i/>
        </w:rPr>
      </w:pPr>
      <w:r>
        <w:rPr>
          <w:b/>
          <w:i/>
        </w:rPr>
        <w:t xml:space="preserve">Current Request for </w:t>
      </w:r>
      <w:r w:rsidRPr="00BD2B6E">
        <w:rPr>
          <w:b/>
          <w:i/>
        </w:rPr>
        <w:t xml:space="preserve">Data Collection </w:t>
      </w:r>
      <w:r>
        <w:rPr>
          <w:b/>
          <w:i/>
        </w:rPr>
        <w:t>Instruments</w:t>
      </w:r>
    </w:p>
    <w:p w14:paraId="5D6CB7B5" w14:textId="51C47394" w:rsidR="00760419" w:rsidRDefault="00BD2B6E" w:rsidP="00406241">
      <w:pPr>
        <w:rPr>
          <w:bCs/>
          <w:highlight w:val="yellow"/>
        </w:rPr>
      </w:pPr>
      <w:r w:rsidRPr="00883C4F">
        <w:rPr>
          <w:bCs/>
          <w:i/>
        </w:rPr>
        <w:t>Attac</w:t>
      </w:r>
      <w:r w:rsidR="00F16AED" w:rsidRPr="00883C4F">
        <w:rPr>
          <w:bCs/>
          <w:i/>
        </w:rPr>
        <w:t>hment 1</w:t>
      </w:r>
      <w:r w:rsidR="00073AFF" w:rsidRPr="00883C4F">
        <w:rPr>
          <w:bCs/>
          <w:i/>
        </w:rPr>
        <w:t xml:space="preserve"> – TANF Data Innovation (TDI) Needs Assessment </w:t>
      </w:r>
      <w:r w:rsidR="00760419" w:rsidRPr="00883C4F">
        <w:rPr>
          <w:bCs/>
          <w:i/>
        </w:rPr>
        <w:t>Survey</w:t>
      </w:r>
      <w:r w:rsidR="00073AFF" w:rsidRPr="00883C4F">
        <w:rPr>
          <w:bCs/>
          <w:i/>
        </w:rPr>
        <w:t xml:space="preserve">. </w:t>
      </w:r>
      <w:r w:rsidR="009C6184">
        <w:rPr>
          <w:bCs/>
        </w:rPr>
        <w:t>T</w:t>
      </w:r>
      <w:r w:rsidR="00FF4642" w:rsidRPr="00883C4F">
        <w:rPr>
          <w:bCs/>
        </w:rPr>
        <w:t>he need</w:t>
      </w:r>
      <w:r w:rsidR="009C6184">
        <w:rPr>
          <w:bCs/>
        </w:rPr>
        <w:t>s</w:t>
      </w:r>
      <w:r w:rsidR="00FF4642" w:rsidRPr="00883C4F">
        <w:rPr>
          <w:bCs/>
        </w:rPr>
        <w:t xml:space="preserve"> assessment survey instrument</w:t>
      </w:r>
      <w:r w:rsidR="009C6184">
        <w:rPr>
          <w:bCs/>
        </w:rPr>
        <w:t xml:space="preserve"> is the only instrument requiring approval in the current request</w:t>
      </w:r>
      <w:r w:rsidR="00FF4642" w:rsidRPr="00883C4F">
        <w:rPr>
          <w:bCs/>
        </w:rPr>
        <w:t>.</w:t>
      </w:r>
      <w:r w:rsidR="009C6184">
        <w:rPr>
          <w:bCs/>
        </w:rPr>
        <w:br/>
      </w:r>
      <w:r w:rsidR="00FF4642" w:rsidRPr="00883C4F">
        <w:rPr>
          <w:bCs/>
        </w:rPr>
        <w:t xml:space="preserve"> </w:t>
      </w:r>
    </w:p>
    <w:p w14:paraId="442BFC92" w14:textId="1C906DB2" w:rsidR="00CB3325" w:rsidRPr="00D639D0" w:rsidRDefault="008C2561" w:rsidP="00CB3325">
      <w:pPr>
        <w:rPr>
          <w:bCs/>
        </w:rPr>
      </w:pPr>
      <w:r>
        <w:t>The needs assessment survey instrument contains eight modules. The first survey module assists the TANF administrator in distributing the seven content modules to appr</w:t>
      </w:r>
      <w:r w:rsidR="00AA4C4D">
        <w:t>opr</w:t>
      </w:r>
      <w:r>
        <w:t xml:space="preserve">iate staff. </w:t>
      </w:r>
      <w:r w:rsidR="009C6184">
        <w:rPr>
          <w:bCs/>
        </w:rPr>
        <w:t xml:space="preserve">Each topical </w:t>
      </w:r>
      <w:r w:rsidR="00CB3325" w:rsidRPr="00D639D0">
        <w:rPr>
          <w:bCs/>
        </w:rPr>
        <w:t>module</w:t>
      </w:r>
      <w:r w:rsidR="009C6184">
        <w:rPr>
          <w:bCs/>
        </w:rPr>
        <w:t xml:space="preserve"> is</w:t>
      </w:r>
      <w:r w:rsidR="00CB3325" w:rsidRPr="00D639D0">
        <w:rPr>
          <w:bCs/>
        </w:rPr>
        <w:t xml:space="preserve"> targeted to appropriate subject matter experts with</w:t>
      </w:r>
      <w:r w:rsidR="00AA4C4D">
        <w:rPr>
          <w:bCs/>
        </w:rPr>
        <w:t>in</w:t>
      </w:r>
      <w:r w:rsidR="00CB3325" w:rsidRPr="00D639D0">
        <w:rPr>
          <w:bCs/>
        </w:rPr>
        <w:t xml:space="preserve"> the TANF agencies. </w:t>
      </w:r>
    </w:p>
    <w:p w14:paraId="668533B2" w14:textId="77777777" w:rsidR="00CB3325" w:rsidRPr="00D639D0" w:rsidRDefault="00CB3325" w:rsidP="00CB3325">
      <w:pPr>
        <w:rPr>
          <w:bCs/>
        </w:rPr>
      </w:pPr>
    </w:p>
    <w:p w14:paraId="1F1D1885" w14:textId="77777777" w:rsidR="00CB3325" w:rsidRPr="00D639D0" w:rsidRDefault="00CB3325" w:rsidP="00CB3325">
      <w:pPr>
        <w:pStyle w:val="ListParagraph"/>
        <w:numPr>
          <w:ilvl w:val="0"/>
          <w:numId w:val="35"/>
        </w:numPr>
        <w:rPr>
          <w:bCs/>
        </w:rPr>
      </w:pPr>
      <w:r w:rsidRPr="00D639D0">
        <w:rPr>
          <w:bCs/>
        </w:rPr>
        <w:t>TANF Data Use and Opportunities</w:t>
      </w:r>
    </w:p>
    <w:p w14:paraId="3A426C86" w14:textId="77777777" w:rsidR="00CB3325" w:rsidRPr="00D639D0" w:rsidRDefault="00CB3325" w:rsidP="00CB3325">
      <w:pPr>
        <w:pStyle w:val="ListParagraph"/>
        <w:numPr>
          <w:ilvl w:val="1"/>
          <w:numId w:val="35"/>
        </w:numPr>
        <w:rPr>
          <w:bCs/>
        </w:rPr>
      </w:pPr>
      <w:r w:rsidRPr="00D639D0">
        <w:rPr>
          <w:shd w:val="clear" w:color="auto" w:fill="FFFFFF"/>
        </w:rPr>
        <w:t xml:space="preserve">This module seeks information about the overall context of data usage throughout the TANF agency, barriers to data use, and opportunities for technical assistance to increase data use capabilities in TANF agencies. It contains questions about: </w:t>
      </w:r>
      <w:r w:rsidRPr="00D639D0">
        <w:rPr>
          <w:bCs/>
        </w:rPr>
        <w:t>use of data to inform program administration (data availability, data demand, priorities); volume of data use; resources for data usage; barriers to data usage (data, staffing, legal, political, financial, tools); and specific opportunities for TTA to improve data usage.</w:t>
      </w:r>
    </w:p>
    <w:p w14:paraId="214A3217" w14:textId="77777777" w:rsidR="00CB3325" w:rsidRPr="00D639D0" w:rsidRDefault="00CB3325" w:rsidP="00CB3325">
      <w:pPr>
        <w:pStyle w:val="ListParagraph"/>
        <w:ind w:left="1440"/>
        <w:rPr>
          <w:bCs/>
        </w:rPr>
      </w:pPr>
    </w:p>
    <w:p w14:paraId="367054ED" w14:textId="77777777" w:rsidR="00CB3325" w:rsidRPr="00D639D0" w:rsidRDefault="00CB3325" w:rsidP="00CB3325">
      <w:pPr>
        <w:pStyle w:val="ListParagraph"/>
        <w:numPr>
          <w:ilvl w:val="0"/>
          <w:numId w:val="35"/>
        </w:numPr>
        <w:rPr>
          <w:bCs/>
        </w:rPr>
      </w:pPr>
      <w:r w:rsidRPr="00D639D0">
        <w:rPr>
          <w:bCs/>
        </w:rPr>
        <w:t>Data Collection and Documentation</w:t>
      </w:r>
    </w:p>
    <w:p w14:paraId="0E76E743" w14:textId="77777777" w:rsidR="00CB3325" w:rsidRPr="00D639D0" w:rsidRDefault="00CB3325" w:rsidP="00CB3325">
      <w:pPr>
        <w:pStyle w:val="ListParagraph"/>
        <w:numPr>
          <w:ilvl w:val="1"/>
          <w:numId w:val="35"/>
        </w:numPr>
        <w:rPr>
          <w:bCs/>
        </w:rPr>
      </w:pPr>
      <w:r w:rsidRPr="00D639D0">
        <w:t xml:space="preserve">This module seeks information about the TANF agency's data--what is collected, how, and how it is documented and validated. </w:t>
      </w:r>
      <w:r w:rsidRPr="00D639D0">
        <w:rPr>
          <w:shd w:val="clear" w:color="auto" w:fill="FFFFFF"/>
        </w:rPr>
        <w:t xml:space="preserve">It contains questions about: </w:t>
      </w:r>
      <w:r w:rsidRPr="00D639D0">
        <w:rPr>
          <w:bCs/>
        </w:rPr>
        <w:t xml:space="preserve">data available to the agency; data quality (accuracy, timeliness, provenance); and data accessibility and documentation. </w:t>
      </w:r>
    </w:p>
    <w:p w14:paraId="02929CAE" w14:textId="77777777" w:rsidR="00CB3325" w:rsidRPr="00D639D0" w:rsidRDefault="00CB3325" w:rsidP="00CB3325">
      <w:pPr>
        <w:pStyle w:val="ListParagraph"/>
        <w:ind w:left="1440"/>
        <w:rPr>
          <w:bCs/>
        </w:rPr>
      </w:pPr>
    </w:p>
    <w:p w14:paraId="4D91808C" w14:textId="77777777" w:rsidR="00CB3325" w:rsidRPr="00D639D0" w:rsidRDefault="00CB3325" w:rsidP="00CB3325">
      <w:pPr>
        <w:pStyle w:val="ListParagraph"/>
        <w:numPr>
          <w:ilvl w:val="0"/>
          <w:numId w:val="35"/>
        </w:numPr>
        <w:rPr>
          <w:bCs/>
        </w:rPr>
      </w:pPr>
      <w:r w:rsidRPr="00D639D0">
        <w:rPr>
          <w:bCs/>
        </w:rPr>
        <w:t>Data Infrastructure</w:t>
      </w:r>
    </w:p>
    <w:p w14:paraId="61FD63AF" w14:textId="77777777" w:rsidR="00CB3325" w:rsidRPr="00D639D0" w:rsidRDefault="00CB3325" w:rsidP="00CB3325">
      <w:pPr>
        <w:pStyle w:val="ListParagraph"/>
        <w:numPr>
          <w:ilvl w:val="1"/>
          <w:numId w:val="35"/>
        </w:numPr>
        <w:rPr>
          <w:bCs/>
        </w:rPr>
      </w:pPr>
      <w:r w:rsidRPr="00D639D0">
        <w:rPr>
          <w:bCs/>
        </w:rPr>
        <w:t xml:space="preserve">This module seeks information about the TANF agency's data infrastructure. </w:t>
      </w:r>
      <w:r w:rsidRPr="00D639D0">
        <w:rPr>
          <w:shd w:val="clear" w:color="auto" w:fill="FFFFFF"/>
        </w:rPr>
        <w:t xml:space="preserve">It contains questions about: </w:t>
      </w:r>
      <w:r w:rsidRPr="00D639D0">
        <w:t xml:space="preserve">data infrastructure (assessing quality, flexibility, etc. of current systems); data transfer; and interoperability and integration. </w:t>
      </w:r>
    </w:p>
    <w:p w14:paraId="50E625D6" w14:textId="77777777" w:rsidR="00CB3325" w:rsidRPr="00D639D0" w:rsidRDefault="00CB3325" w:rsidP="00CB3325">
      <w:pPr>
        <w:rPr>
          <w:bCs/>
        </w:rPr>
      </w:pPr>
    </w:p>
    <w:p w14:paraId="284666D9" w14:textId="77777777" w:rsidR="00CB3325" w:rsidRPr="00D639D0" w:rsidRDefault="00CB3325" w:rsidP="00CB3325">
      <w:pPr>
        <w:pStyle w:val="ListParagraph"/>
        <w:numPr>
          <w:ilvl w:val="0"/>
          <w:numId w:val="35"/>
        </w:numPr>
        <w:rPr>
          <w:bCs/>
        </w:rPr>
      </w:pPr>
      <w:r w:rsidRPr="00D639D0">
        <w:rPr>
          <w:bCs/>
        </w:rPr>
        <w:t>Data Sharing</w:t>
      </w:r>
    </w:p>
    <w:p w14:paraId="2FE46016" w14:textId="77777777" w:rsidR="00CB3325" w:rsidRPr="00D639D0" w:rsidRDefault="00CB3325" w:rsidP="00CB3325">
      <w:pPr>
        <w:pStyle w:val="ListParagraph"/>
        <w:numPr>
          <w:ilvl w:val="1"/>
          <w:numId w:val="35"/>
        </w:numPr>
        <w:rPr>
          <w:bCs/>
        </w:rPr>
      </w:pPr>
      <w:r w:rsidRPr="00D639D0">
        <w:rPr>
          <w:shd w:val="clear" w:color="auto" w:fill="FFFFFF"/>
        </w:rPr>
        <w:t>This module seeks information about the status of data sharing practices in the TANF agency. It contains questions about: d</w:t>
      </w:r>
      <w:r w:rsidRPr="00D639D0">
        <w:t xml:space="preserve">ata sharing activity and practices (interagency, external); value of external data sharing; and barriers to data sharing (demand, technology, staffing, legal, political, financial). </w:t>
      </w:r>
    </w:p>
    <w:p w14:paraId="6746E9E2" w14:textId="77777777" w:rsidR="00CB3325" w:rsidRPr="00D639D0" w:rsidRDefault="00CB3325" w:rsidP="00CB3325">
      <w:pPr>
        <w:rPr>
          <w:bCs/>
        </w:rPr>
      </w:pPr>
    </w:p>
    <w:p w14:paraId="26875E4B" w14:textId="77777777" w:rsidR="00CB3325" w:rsidRPr="00D639D0" w:rsidRDefault="00CB3325" w:rsidP="00CB3325">
      <w:pPr>
        <w:pStyle w:val="ListParagraph"/>
        <w:numPr>
          <w:ilvl w:val="0"/>
          <w:numId w:val="35"/>
        </w:numPr>
        <w:rPr>
          <w:bCs/>
        </w:rPr>
      </w:pPr>
      <w:r w:rsidRPr="00D639D0">
        <w:rPr>
          <w:bCs/>
        </w:rPr>
        <w:t>Research and Analytic Capacity</w:t>
      </w:r>
    </w:p>
    <w:p w14:paraId="323918E5" w14:textId="77777777" w:rsidR="00CB3325" w:rsidRPr="00D639D0" w:rsidRDefault="00CB3325" w:rsidP="00CB3325">
      <w:pPr>
        <w:pStyle w:val="ListParagraph"/>
        <w:numPr>
          <w:ilvl w:val="1"/>
          <w:numId w:val="35"/>
        </w:numPr>
        <w:rPr>
          <w:bCs/>
        </w:rPr>
      </w:pPr>
      <w:r w:rsidRPr="00D639D0">
        <w:rPr>
          <w:bCs/>
        </w:rPr>
        <w:t xml:space="preserve">This module seeks information about capacity to conduct research and analysis using TANF data. </w:t>
      </w:r>
      <w:r w:rsidRPr="00D639D0">
        <w:rPr>
          <w:shd w:val="clear" w:color="auto" w:fill="FFFFFF"/>
        </w:rPr>
        <w:t>It contains questions about: s</w:t>
      </w:r>
      <w:r w:rsidRPr="00D639D0">
        <w:t xml:space="preserve">taff capacity (skills, tools); access to data (additional sources); data integration; public reporting; partnerships with external parties (academic or research institute); and barriers to research and analysis. </w:t>
      </w:r>
    </w:p>
    <w:p w14:paraId="537CE521" w14:textId="77777777" w:rsidR="00CB3325" w:rsidRPr="00D639D0" w:rsidRDefault="00CB3325" w:rsidP="00CB3325">
      <w:pPr>
        <w:rPr>
          <w:bCs/>
        </w:rPr>
      </w:pPr>
    </w:p>
    <w:p w14:paraId="796EF7F4" w14:textId="77777777" w:rsidR="00CB3325" w:rsidRPr="00D639D0" w:rsidRDefault="00CB3325" w:rsidP="00CB3325">
      <w:pPr>
        <w:pStyle w:val="ListParagraph"/>
        <w:numPr>
          <w:ilvl w:val="0"/>
          <w:numId w:val="35"/>
        </w:numPr>
        <w:rPr>
          <w:bCs/>
        </w:rPr>
      </w:pPr>
      <w:r w:rsidRPr="00D639D0">
        <w:rPr>
          <w:bCs/>
        </w:rPr>
        <w:t xml:space="preserve">Federal Reporting </w:t>
      </w:r>
    </w:p>
    <w:p w14:paraId="312B4B18" w14:textId="77777777" w:rsidR="00CB3325" w:rsidRPr="00D639D0" w:rsidRDefault="00CB3325" w:rsidP="00CB3325">
      <w:pPr>
        <w:pStyle w:val="ListParagraph"/>
        <w:numPr>
          <w:ilvl w:val="1"/>
          <w:numId w:val="35"/>
        </w:numPr>
        <w:rPr>
          <w:bCs/>
        </w:rPr>
      </w:pPr>
      <w:r w:rsidRPr="00D639D0">
        <w:rPr>
          <w:shd w:val="clear" w:color="auto" w:fill="FFFFFF"/>
        </w:rPr>
        <w:t xml:space="preserve">This module seeks information about the data </w:t>
      </w:r>
      <w:r>
        <w:rPr>
          <w:shd w:val="clear" w:color="auto" w:fill="FFFFFF"/>
        </w:rPr>
        <w:t>states</w:t>
      </w:r>
      <w:r w:rsidRPr="00D639D0">
        <w:rPr>
          <w:shd w:val="clear" w:color="auto" w:fill="FFFFFF"/>
        </w:rPr>
        <w:t xml:space="preserve"> prepare to submit to HHS as part of the TANF and SSP-MOE Data Reports (ACF-199 and ACF-209). It contains questions about: f</w:t>
      </w:r>
      <w:r w:rsidRPr="00D639D0">
        <w:t xml:space="preserve">ederal reporting burden (current drivers, counterbalancing benefits); quality of federally submitted data; decision to submit sample data (implications for burden), and specific opportunities for </w:t>
      </w:r>
      <w:r>
        <w:t>T</w:t>
      </w:r>
      <w:r w:rsidRPr="00D639D0">
        <w:t xml:space="preserve">TA in federal reporting. </w:t>
      </w:r>
    </w:p>
    <w:p w14:paraId="64ECB082" w14:textId="77777777" w:rsidR="00CB3325" w:rsidRPr="00D639D0" w:rsidRDefault="00CB3325" w:rsidP="00CB3325">
      <w:pPr>
        <w:rPr>
          <w:bCs/>
        </w:rPr>
      </w:pPr>
    </w:p>
    <w:p w14:paraId="673C4E6E" w14:textId="77777777" w:rsidR="00CB3325" w:rsidRPr="00D639D0" w:rsidRDefault="00CB3325" w:rsidP="00CB3325">
      <w:pPr>
        <w:pStyle w:val="ListParagraph"/>
        <w:numPr>
          <w:ilvl w:val="0"/>
          <w:numId w:val="35"/>
        </w:numPr>
        <w:rPr>
          <w:bCs/>
        </w:rPr>
      </w:pPr>
      <w:r w:rsidRPr="00D639D0">
        <w:rPr>
          <w:bCs/>
        </w:rPr>
        <w:t xml:space="preserve">Payment Integrity </w:t>
      </w:r>
    </w:p>
    <w:p w14:paraId="0F99BEAF" w14:textId="77777777" w:rsidR="00CB3325" w:rsidRPr="00D639D0" w:rsidRDefault="00CB3325" w:rsidP="00CB3325">
      <w:pPr>
        <w:pStyle w:val="ListParagraph"/>
        <w:numPr>
          <w:ilvl w:val="1"/>
          <w:numId w:val="35"/>
        </w:numPr>
        <w:rPr>
          <w:bCs/>
        </w:rPr>
      </w:pPr>
      <w:r w:rsidRPr="00D639D0">
        <w:rPr>
          <w:shd w:val="clear" w:color="auto" w:fill="FFFFFF"/>
        </w:rPr>
        <w:t>This module seeks information about how state</w:t>
      </w:r>
      <w:r>
        <w:rPr>
          <w:shd w:val="clear" w:color="auto" w:fill="FFFFFF"/>
        </w:rPr>
        <w:t>s</w:t>
      </w:r>
      <w:r w:rsidRPr="00D639D0">
        <w:rPr>
          <w:shd w:val="clear" w:color="auto" w:fill="FFFFFF"/>
        </w:rPr>
        <w:t xml:space="preserve"> uses data to assess payment integrity. It contains questions about: </w:t>
      </w:r>
      <w:r>
        <w:rPr>
          <w:shd w:val="clear" w:color="auto" w:fill="FFFFFF"/>
        </w:rPr>
        <w:t xml:space="preserve">the </w:t>
      </w:r>
      <w:r w:rsidRPr="00D639D0">
        <w:rPr>
          <w:shd w:val="clear" w:color="auto" w:fill="FFFFFF"/>
        </w:rPr>
        <w:t xml:space="preserve">payment integrity process (timeliness, accuracy, steps to taken to minimize and identify errors); use of federal and multistate data systems; TANF error rate calculations; and dissemination of best practices for payment integrity.  </w:t>
      </w:r>
    </w:p>
    <w:p w14:paraId="6C622A32" w14:textId="77777777" w:rsidR="00CB3325" w:rsidRDefault="00CB3325" w:rsidP="00406241">
      <w:pPr>
        <w:rPr>
          <w:bCs/>
          <w:highlight w:val="yellow"/>
        </w:rPr>
      </w:pPr>
    </w:p>
    <w:p w14:paraId="21B7B08D" w14:textId="77777777" w:rsidR="00883C4F" w:rsidRPr="00375786" w:rsidRDefault="00883C4F" w:rsidP="00406241">
      <w:pPr>
        <w:rPr>
          <w:highlight w:val="yellow"/>
        </w:rPr>
      </w:pPr>
    </w:p>
    <w:p w14:paraId="53C29D11" w14:textId="0068E99E" w:rsidR="00883C4F" w:rsidRPr="00BD2B6E" w:rsidRDefault="00883C4F" w:rsidP="00990B42">
      <w:pPr>
        <w:rPr>
          <w:b/>
          <w:i/>
        </w:rPr>
      </w:pPr>
      <w:r w:rsidRPr="00BC2ED7">
        <w:rPr>
          <w:b/>
          <w:i/>
        </w:rPr>
        <w:t>Future Information Collection Requests</w:t>
      </w:r>
    </w:p>
    <w:p w14:paraId="49F145AC" w14:textId="3B851FE3" w:rsidR="00883C4F" w:rsidRPr="00416137" w:rsidRDefault="00933077" w:rsidP="00416137">
      <w:pPr>
        <w:contextualSpacing/>
        <w:textAlignment w:val="center"/>
        <w:rPr>
          <w:b/>
          <w:highlight w:val="yellow"/>
        </w:rPr>
      </w:pPr>
      <w:r w:rsidRPr="005F0C01">
        <w:rPr>
          <w:bCs/>
          <w:i/>
        </w:rPr>
        <w:t xml:space="preserve">TANF Data Innovation (TDI) </w:t>
      </w:r>
      <w:r w:rsidR="00AC729B" w:rsidRPr="00416137">
        <w:rPr>
          <w:i/>
        </w:rPr>
        <w:t xml:space="preserve">Payment Integrity </w:t>
      </w:r>
      <w:r w:rsidR="004B6A70">
        <w:rPr>
          <w:i/>
        </w:rPr>
        <w:t>Case studies</w:t>
      </w:r>
      <w:r w:rsidR="00F707F0">
        <w:t>.</w:t>
      </w:r>
      <w:r w:rsidR="00AC729B" w:rsidRPr="00416137">
        <w:t xml:space="preserve">  </w:t>
      </w:r>
      <w:r w:rsidR="00F707F0">
        <w:t xml:space="preserve">The team anticipates </w:t>
      </w:r>
      <w:r w:rsidR="009965A3">
        <w:t xml:space="preserve">that </w:t>
      </w:r>
      <w:r w:rsidR="00821182">
        <w:t>we may supplement payment integrity information from the Needs Assessment Survey with a series of</w:t>
      </w:r>
      <w:r w:rsidR="00F707F0">
        <w:t xml:space="preserve"> </w:t>
      </w:r>
      <w:r w:rsidR="00821182">
        <w:t xml:space="preserve">Best Practice </w:t>
      </w:r>
      <w:r w:rsidR="004B6A70">
        <w:t>case studies</w:t>
      </w:r>
      <w:r w:rsidR="00F707F0">
        <w:t>.</w:t>
      </w:r>
      <w:r w:rsidR="00F707F0">
        <w:rPr>
          <w:rFonts w:ascii="Garamond" w:hAnsi="Garamond"/>
        </w:rPr>
        <w:t xml:space="preserve"> </w:t>
      </w:r>
      <w:r w:rsidR="00821182">
        <w:t xml:space="preserve">If this requires asking uniform questions of more than nine individuals, the </w:t>
      </w:r>
      <w:r w:rsidR="00F707F0">
        <w:t xml:space="preserve">project team will submit a request for this data collection under </w:t>
      </w:r>
      <w:r w:rsidR="00821182">
        <w:t xml:space="preserve">OPRE’s </w:t>
      </w:r>
      <w:r w:rsidR="00F707F0">
        <w:t xml:space="preserve">formative generic clearance process. </w:t>
      </w:r>
      <w:r w:rsidR="00B06940">
        <w:t xml:space="preserve">The information potentially collected under this generic would comply with the publication limitations and general purposes of the umbrella formative generic. The individual request will provide more specific information about the uses of the data collected.  </w:t>
      </w:r>
    </w:p>
    <w:p w14:paraId="5FDD6688" w14:textId="77777777" w:rsidR="00883C4F" w:rsidRDefault="00883C4F" w:rsidP="00406241">
      <w:pPr>
        <w:rPr>
          <w:b/>
          <w:highlight w:val="yellow"/>
        </w:rPr>
      </w:pPr>
    </w:p>
    <w:p w14:paraId="44472A04" w14:textId="66A84148" w:rsidR="00945CD6" w:rsidRPr="00A9475C" w:rsidRDefault="00292B70" w:rsidP="00406241">
      <w:pPr>
        <w:rPr>
          <w:b/>
        </w:rPr>
      </w:pPr>
      <w:r w:rsidRPr="00A9475C">
        <w:rPr>
          <w:b/>
        </w:rPr>
        <w:t xml:space="preserve">A3. </w:t>
      </w:r>
      <w:r w:rsidR="00945CD6" w:rsidRPr="00A9475C">
        <w:rPr>
          <w:b/>
        </w:rPr>
        <w:t>Improved Information Technology to Reduce Burden</w:t>
      </w:r>
    </w:p>
    <w:p w14:paraId="5D05EF47" w14:textId="68DE744B" w:rsidR="00A9475C" w:rsidRDefault="00073AFF" w:rsidP="00073AFF">
      <w:pPr>
        <w:rPr>
          <w:bCs/>
        </w:rPr>
      </w:pPr>
      <w:r w:rsidRPr="00A9475C">
        <w:rPr>
          <w:bCs/>
        </w:rPr>
        <w:t xml:space="preserve">The burden </w:t>
      </w:r>
      <w:r w:rsidR="00B453F7" w:rsidRPr="00A9475C">
        <w:rPr>
          <w:bCs/>
        </w:rPr>
        <w:t xml:space="preserve">to participating </w:t>
      </w:r>
      <w:r w:rsidRPr="00A9475C">
        <w:rPr>
          <w:bCs/>
        </w:rPr>
        <w:t>individuals is minimal and the project team plans to use information technology</w:t>
      </w:r>
      <w:r w:rsidR="00B453F7" w:rsidRPr="00A9475C">
        <w:rPr>
          <w:bCs/>
        </w:rPr>
        <w:t xml:space="preserve"> to reduce it further</w:t>
      </w:r>
      <w:r w:rsidRPr="00A9475C">
        <w:rPr>
          <w:bCs/>
        </w:rPr>
        <w:t xml:space="preserve"> wherever possible. </w:t>
      </w:r>
      <w:r w:rsidR="00821182">
        <w:rPr>
          <w:bCs/>
        </w:rPr>
        <w:t xml:space="preserve">Wherever possible, the </w:t>
      </w:r>
      <w:r w:rsidR="00A9475C">
        <w:rPr>
          <w:bCs/>
        </w:rPr>
        <w:t xml:space="preserve">project team </w:t>
      </w:r>
      <w:r w:rsidR="00821182">
        <w:t xml:space="preserve">will gather information </w:t>
      </w:r>
      <w:r w:rsidR="00A9475C">
        <w:rPr>
          <w:bCs/>
        </w:rPr>
        <w:t xml:space="preserve">from available online sources, saving respondents from having to address these </w:t>
      </w:r>
      <w:r w:rsidR="007E72D0">
        <w:rPr>
          <w:bCs/>
        </w:rPr>
        <w:t>questions</w:t>
      </w:r>
      <w:r w:rsidR="00A9475C">
        <w:rPr>
          <w:bCs/>
        </w:rPr>
        <w:t xml:space="preserve"> in the needs assessment survey. In addition, the </w:t>
      </w:r>
      <w:r w:rsidR="00821182">
        <w:rPr>
          <w:bCs/>
        </w:rPr>
        <w:t xml:space="preserve">survey design reflects that data-related tasks may be distributed differently </w:t>
      </w:r>
      <w:r w:rsidR="0034635D">
        <w:rPr>
          <w:bCs/>
        </w:rPr>
        <w:t>among staff in different</w:t>
      </w:r>
      <w:r w:rsidR="00821182">
        <w:rPr>
          <w:bCs/>
        </w:rPr>
        <w:t xml:space="preserve"> states. The assignment module is designed to give</w:t>
      </w:r>
      <w:r w:rsidR="00A9475C">
        <w:rPr>
          <w:bCs/>
        </w:rPr>
        <w:t xml:space="preserve"> </w:t>
      </w:r>
      <w:r w:rsidR="00A9475C">
        <w:t xml:space="preserve">state </w:t>
      </w:r>
      <w:r w:rsidR="00A9475C" w:rsidRPr="000E569C">
        <w:t xml:space="preserve">TANF </w:t>
      </w:r>
      <w:r w:rsidR="00774E71">
        <w:t>administrators</w:t>
      </w:r>
      <w:r w:rsidR="00A9475C">
        <w:t xml:space="preserve"> an easy way to delegate modules to appropriate </w:t>
      </w:r>
      <w:r w:rsidR="00821182">
        <w:t>subject matter experts within their agency</w:t>
      </w:r>
      <w:r w:rsidR="007E72D0">
        <w:t xml:space="preserve">. </w:t>
      </w:r>
      <w:r w:rsidR="004B6A70">
        <w:t>S</w:t>
      </w:r>
      <w:r w:rsidR="00A9475C">
        <w:t xml:space="preserve">tate </w:t>
      </w:r>
      <w:r w:rsidR="00A9475C" w:rsidRPr="000E569C">
        <w:t xml:space="preserve">TANF </w:t>
      </w:r>
      <w:r w:rsidR="00774E71">
        <w:t>adminstrators</w:t>
      </w:r>
      <w:r w:rsidR="00774E71" w:rsidRPr="000E569C">
        <w:t xml:space="preserve"> </w:t>
      </w:r>
      <w:r w:rsidR="00A9475C" w:rsidRPr="000E569C">
        <w:t xml:space="preserve">will receive an email with a hyperlink </w:t>
      </w:r>
      <w:r w:rsidR="00774E71">
        <w:t xml:space="preserve">to </w:t>
      </w:r>
      <w:r w:rsidR="00AA4C4D">
        <w:t>a webpage where the</w:t>
      </w:r>
      <w:r w:rsidR="00821182">
        <w:t>y</w:t>
      </w:r>
      <w:r w:rsidR="009B4322" w:rsidRPr="009B4322">
        <w:t xml:space="preserve"> </w:t>
      </w:r>
      <w:r w:rsidR="00AA4C4D">
        <w:t>can assign</w:t>
      </w:r>
      <w:r w:rsidR="009B4322" w:rsidRPr="009B4322">
        <w:t xml:space="preserve"> the seven content modules to appropriate</w:t>
      </w:r>
      <w:r w:rsidR="009B4322">
        <w:t xml:space="preserve"> staff. </w:t>
      </w:r>
      <w:r w:rsidR="00821182">
        <w:t xml:space="preserve">This page includes a </w:t>
      </w:r>
      <w:r w:rsidR="00774E71" w:rsidRPr="00A9475C">
        <w:t xml:space="preserve">list of </w:t>
      </w:r>
      <w:r w:rsidR="009B4322">
        <w:t xml:space="preserve">content </w:t>
      </w:r>
      <w:r w:rsidR="00774E71" w:rsidRPr="00A9475C">
        <w:t>modules, as well as short descriptions, expected time to complete, and recommendations for the type of staff who should complete the module</w:t>
      </w:r>
      <w:r w:rsidR="00774E71">
        <w:t>.</w:t>
      </w:r>
      <w:r w:rsidR="004B6A70">
        <w:t xml:space="preserve"> </w:t>
      </w:r>
      <w:r w:rsidR="00774E71">
        <w:t xml:space="preserve">The </w:t>
      </w:r>
      <w:r w:rsidR="00821182">
        <w:t xml:space="preserve">introductory </w:t>
      </w:r>
      <w:r w:rsidR="00774E71">
        <w:t>email</w:t>
      </w:r>
      <w:r w:rsidR="00821182">
        <w:t xml:space="preserve"> also</w:t>
      </w:r>
      <w:r w:rsidR="00774E71">
        <w:t xml:space="preserve"> contain</w:t>
      </w:r>
      <w:r w:rsidR="00821182">
        <w:t>s</w:t>
      </w:r>
      <w:r w:rsidR="00774E71">
        <w:t xml:space="preserve"> a hyperlink to a</w:t>
      </w:r>
      <w:r w:rsidR="004B6A70">
        <w:t xml:space="preserve"> </w:t>
      </w:r>
      <w:r w:rsidR="00A9475C" w:rsidRPr="000E569C">
        <w:t xml:space="preserve">landing page that will explain the </w:t>
      </w:r>
      <w:r w:rsidR="002B335C">
        <w:t>TDI</w:t>
      </w:r>
      <w:r w:rsidR="00A9475C" w:rsidRPr="000E569C">
        <w:t xml:space="preserve"> project</w:t>
      </w:r>
      <w:r w:rsidR="00774E71">
        <w:t>.</w:t>
      </w:r>
      <w:r w:rsidR="00A9475C" w:rsidRPr="000E569C">
        <w:t xml:space="preserve"> </w:t>
      </w:r>
      <w:r w:rsidR="009B4322">
        <w:t xml:space="preserve"> </w:t>
      </w:r>
      <w:r w:rsidR="00AA4C4D">
        <w:t>Once the TANF administrator has made assignments,</w:t>
      </w:r>
      <w:r w:rsidR="009B4322">
        <w:t xml:space="preserve"> the content modules</w:t>
      </w:r>
      <w:r w:rsidR="009B4322" w:rsidRPr="009B4322">
        <w:t xml:space="preserve"> </w:t>
      </w:r>
      <w:r w:rsidR="009B4322">
        <w:t xml:space="preserve">will be distributed to </w:t>
      </w:r>
      <w:r w:rsidR="009B4322" w:rsidRPr="009B4322">
        <w:t xml:space="preserve">assigned staff members </w:t>
      </w:r>
      <w:r w:rsidR="009B4322">
        <w:t xml:space="preserve">via email with hyperlinks to the online survey module(s) they </w:t>
      </w:r>
      <w:r w:rsidR="002B335C">
        <w:t>have been assigned to</w:t>
      </w:r>
      <w:r w:rsidR="009B4322">
        <w:t xml:space="preserve"> complete</w:t>
      </w:r>
      <w:r w:rsidR="002B335C">
        <w:t xml:space="preserve"> as well as a hyperlink to the TDI landing page</w:t>
      </w:r>
      <w:r w:rsidR="009B4322">
        <w:t xml:space="preserve">. </w:t>
      </w:r>
    </w:p>
    <w:p w14:paraId="26281FC2" w14:textId="3507600F" w:rsidR="00073AFF" w:rsidRPr="00375786" w:rsidRDefault="00073AFF" w:rsidP="00073AFF">
      <w:pPr>
        <w:rPr>
          <w:highlight w:val="yellow"/>
        </w:rPr>
      </w:pPr>
    </w:p>
    <w:p w14:paraId="094DEC85" w14:textId="77777777" w:rsidR="00945CD6" w:rsidRPr="007E72D0" w:rsidRDefault="00292B70" w:rsidP="00406241">
      <w:pPr>
        <w:rPr>
          <w:b/>
        </w:rPr>
      </w:pPr>
      <w:r w:rsidRPr="007E72D0">
        <w:rPr>
          <w:b/>
        </w:rPr>
        <w:t xml:space="preserve">A4. </w:t>
      </w:r>
      <w:bookmarkStart w:id="3" w:name="_Hlk512429445"/>
      <w:r w:rsidR="00945CD6" w:rsidRPr="007E72D0">
        <w:rPr>
          <w:b/>
        </w:rPr>
        <w:t>Efforts to Identify Duplication</w:t>
      </w:r>
      <w:bookmarkEnd w:id="3"/>
    </w:p>
    <w:p w14:paraId="3619D4A5" w14:textId="3920553C" w:rsidR="00D90EF6" w:rsidRPr="007E72D0" w:rsidRDefault="00937731" w:rsidP="00406241">
      <w:pPr>
        <w:rPr>
          <w:bCs/>
        </w:rPr>
      </w:pPr>
      <w:r w:rsidRPr="007E72D0">
        <w:rPr>
          <w:bCs/>
        </w:rPr>
        <w:t xml:space="preserve">The </w:t>
      </w:r>
      <w:r w:rsidR="007E72D0" w:rsidRPr="007E72D0">
        <w:rPr>
          <w:bCs/>
        </w:rPr>
        <w:t>TDI needs assessment survey</w:t>
      </w:r>
      <w:r w:rsidRPr="007E72D0">
        <w:rPr>
          <w:bCs/>
        </w:rPr>
        <w:t xml:space="preserve"> build</w:t>
      </w:r>
      <w:r w:rsidR="007E72D0" w:rsidRPr="007E72D0">
        <w:rPr>
          <w:bCs/>
        </w:rPr>
        <w:t>s</w:t>
      </w:r>
      <w:r w:rsidRPr="007E72D0">
        <w:rPr>
          <w:bCs/>
        </w:rPr>
        <w:t xml:space="preserve"> on </w:t>
      </w:r>
      <w:r w:rsidR="00206D58">
        <w:rPr>
          <w:bCs/>
        </w:rPr>
        <w:t xml:space="preserve">a </w:t>
      </w:r>
      <w:r w:rsidRPr="007E72D0">
        <w:rPr>
          <w:bCs/>
        </w:rPr>
        <w:t xml:space="preserve">state needs assessment conducted by </w:t>
      </w:r>
      <w:r w:rsidR="00206D58">
        <w:rPr>
          <w:bCs/>
        </w:rPr>
        <w:t xml:space="preserve">TDI partner </w:t>
      </w:r>
      <w:r w:rsidRPr="007E72D0">
        <w:rPr>
          <w:bCs/>
        </w:rPr>
        <w:t>Chapin Hall’s Family Self-Sufficiency Data Center (FSSDC)</w:t>
      </w:r>
      <w:r w:rsidR="00206D58">
        <w:rPr>
          <w:bCs/>
        </w:rPr>
        <w:t>.</w:t>
      </w:r>
      <w:r w:rsidRPr="007E72D0">
        <w:rPr>
          <w:bCs/>
        </w:rPr>
        <w:t xml:space="preserve"> </w:t>
      </w:r>
      <w:r w:rsidR="00206D58">
        <w:rPr>
          <w:bCs/>
        </w:rPr>
        <w:t xml:space="preserve">This assessment </w:t>
      </w:r>
      <w:r w:rsidRPr="007E72D0">
        <w:rPr>
          <w:bCs/>
        </w:rPr>
        <w:t>highlighted the status of current state data analytic capacity and practice</w:t>
      </w:r>
      <w:r w:rsidR="00941871" w:rsidRPr="007E72D0">
        <w:rPr>
          <w:bCs/>
        </w:rPr>
        <w:t xml:space="preserve"> in </w:t>
      </w:r>
      <w:r w:rsidR="006F0025" w:rsidRPr="007E72D0">
        <w:rPr>
          <w:bCs/>
        </w:rPr>
        <w:t>2014.</w:t>
      </w:r>
      <w:r w:rsidRPr="007E72D0">
        <w:rPr>
          <w:bCs/>
        </w:rPr>
        <w:t xml:space="preserve"> </w:t>
      </w:r>
      <w:r w:rsidR="00206D58">
        <w:rPr>
          <w:bCs/>
        </w:rPr>
        <w:t>T</w:t>
      </w:r>
      <w:r w:rsidRPr="007E72D0">
        <w:rPr>
          <w:bCs/>
        </w:rPr>
        <w:t xml:space="preserve">he </w:t>
      </w:r>
      <w:r w:rsidR="00206D58">
        <w:rPr>
          <w:bCs/>
        </w:rPr>
        <w:t xml:space="preserve">TDI </w:t>
      </w:r>
      <w:r w:rsidRPr="007E72D0">
        <w:rPr>
          <w:bCs/>
        </w:rPr>
        <w:t xml:space="preserve">team has used </w:t>
      </w:r>
      <w:r w:rsidR="00B453F7" w:rsidRPr="007E72D0">
        <w:rPr>
          <w:bCs/>
        </w:rPr>
        <w:t xml:space="preserve">this </w:t>
      </w:r>
      <w:r w:rsidRPr="007E72D0">
        <w:rPr>
          <w:bCs/>
        </w:rPr>
        <w:t xml:space="preserve">prior needs assessment to focus the </w:t>
      </w:r>
      <w:r w:rsidR="007E72D0" w:rsidRPr="007E72D0">
        <w:rPr>
          <w:bCs/>
        </w:rPr>
        <w:t xml:space="preserve">TDI needs assessment survey </w:t>
      </w:r>
      <w:r w:rsidRPr="007E72D0">
        <w:rPr>
          <w:bCs/>
        </w:rPr>
        <w:t>questions on</w:t>
      </w:r>
      <w:r w:rsidR="00E26969" w:rsidRPr="007E72D0">
        <w:rPr>
          <w:bCs/>
        </w:rPr>
        <w:t xml:space="preserve"> priority items</w:t>
      </w:r>
      <w:r w:rsidR="00821182">
        <w:rPr>
          <w:bCs/>
        </w:rPr>
        <w:t xml:space="preserve"> and improve the validity of survey questions, </w:t>
      </w:r>
      <w:r w:rsidR="00206D58">
        <w:rPr>
          <w:bCs/>
        </w:rPr>
        <w:t>while allowing opportunities for respondents to highlight new needs that have emerged since 2014</w:t>
      </w:r>
      <w:r w:rsidR="00E26969" w:rsidRPr="007E72D0">
        <w:rPr>
          <w:bCs/>
        </w:rPr>
        <w:t>.</w:t>
      </w:r>
      <w:r w:rsidR="00990B42">
        <w:rPr>
          <w:bCs/>
        </w:rPr>
        <w:t xml:space="preserve">  This survey was </w:t>
      </w:r>
      <w:r w:rsidR="00F47460">
        <w:rPr>
          <w:bCs/>
        </w:rPr>
        <w:t xml:space="preserve">not a federal survey, so </w:t>
      </w:r>
      <w:r w:rsidR="00821182">
        <w:rPr>
          <w:bCs/>
        </w:rPr>
        <w:t>did not require OMB clearance.</w:t>
      </w:r>
    </w:p>
    <w:p w14:paraId="0AE51FF1" w14:textId="708A31D4" w:rsidR="00F44947" w:rsidRPr="00375786" w:rsidRDefault="00F44947" w:rsidP="00406241">
      <w:pPr>
        <w:rPr>
          <w:bCs/>
          <w:highlight w:val="yellow"/>
        </w:rPr>
      </w:pPr>
    </w:p>
    <w:p w14:paraId="30164D3B" w14:textId="2872BF88" w:rsidR="00E26969" w:rsidRPr="00375786" w:rsidRDefault="00886B1E" w:rsidP="00406241">
      <w:pPr>
        <w:rPr>
          <w:highlight w:val="yellow"/>
        </w:rPr>
      </w:pPr>
      <w:r w:rsidRPr="007E72D0">
        <w:rPr>
          <w:bCs/>
        </w:rPr>
        <w:t xml:space="preserve">The Office of the Assistant Secretary for Planning and Evaluation (ASPE) and </w:t>
      </w:r>
      <w:r w:rsidR="00F47460">
        <w:rPr>
          <w:bCs/>
        </w:rPr>
        <w:t>ACF</w:t>
      </w:r>
      <w:r w:rsidRPr="007E72D0">
        <w:rPr>
          <w:bCs/>
        </w:rPr>
        <w:t xml:space="preserve"> also funded a study </w:t>
      </w:r>
      <w:r w:rsidR="00181D8B" w:rsidRPr="007E72D0">
        <w:rPr>
          <w:bCs/>
        </w:rPr>
        <w:t>called “A Scan of the Status of States’ Integration of Human Services and Health Insurance Programs” to assess the extent of states’ cross-program integration activities.</w:t>
      </w:r>
      <w:r w:rsidR="003B65EC" w:rsidRPr="007E72D0">
        <w:rPr>
          <w:bCs/>
        </w:rPr>
        <w:t xml:space="preserve"> This project administered a questionnaire to state human services commissioners in 2016</w:t>
      </w:r>
      <w:r w:rsidR="00206D58">
        <w:rPr>
          <w:bCs/>
        </w:rPr>
        <w:t xml:space="preserve"> (collected under </w:t>
      </w:r>
      <w:r w:rsidR="00206D58" w:rsidRPr="00D42980">
        <w:t>OMB #0990-0421)</w:t>
      </w:r>
      <w:r w:rsidR="003B65EC" w:rsidRPr="007E72D0">
        <w:rPr>
          <w:bCs/>
        </w:rPr>
        <w:t xml:space="preserve">. </w:t>
      </w:r>
      <w:r w:rsidR="00206D58">
        <w:rPr>
          <w:bCs/>
        </w:rPr>
        <w:t>T</w:t>
      </w:r>
      <w:r w:rsidR="003B65EC" w:rsidRPr="007E72D0">
        <w:rPr>
          <w:bCs/>
        </w:rPr>
        <w:t>his questionnaire was primarily focused on data integration for eligibility determination and enrollment, not about capacity for analytics, performance measurement, or program improvement</w:t>
      </w:r>
      <w:r w:rsidR="00206D58">
        <w:rPr>
          <w:bCs/>
        </w:rPr>
        <w:t>.</w:t>
      </w:r>
      <w:r w:rsidR="003B65EC" w:rsidRPr="007E72D0">
        <w:rPr>
          <w:bCs/>
        </w:rPr>
        <w:t xml:space="preserve"> </w:t>
      </w:r>
      <w:r w:rsidR="00206D58">
        <w:rPr>
          <w:bCs/>
        </w:rPr>
        <w:t xml:space="preserve">As such, </w:t>
      </w:r>
      <w:r w:rsidR="003B65EC" w:rsidRPr="007E72D0">
        <w:rPr>
          <w:bCs/>
        </w:rPr>
        <w:t>the current effort</w:t>
      </w:r>
      <w:r w:rsidR="00206D58">
        <w:rPr>
          <w:bCs/>
        </w:rPr>
        <w:t xml:space="preserve"> is not duplicative</w:t>
      </w:r>
      <w:r w:rsidR="003B65EC" w:rsidRPr="007E72D0">
        <w:rPr>
          <w:bCs/>
        </w:rPr>
        <w:t>.</w:t>
      </w:r>
    </w:p>
    <w:p w14:paraId="40C8380D" w14:textId="77777777" w:rsidR="00B21725" w:rsidRDefault="00B21725" w:rsidP="00406241">
      <w:pPr>
        <w:rPr>
          <w:b/>
        </w:rPr>
      </w:pPr>
    </w:p>
    <w:p w14:paraId="17FF904A" w14:textId="6F8AF43A" w:rsidR="00945CD6" w:rsidRPr="00AC0C63" w:rsidRDefault="00292B70" w:rsidP="00406241">
      <w:pPr>
        <w:rPr>
          <w:b/>
        </w:rPr>
      </w:pPr>
      <w:r w:rsidRPr="00AC0C63">
        <w:rPr>
          <w:b/>
        </w:rPr>
        <w:t xml:space="preserve">A5. </w:t>
      </w:r>
      <w:r w:rsidR="00945CD6" w:rsidRPr="00AC0C63">
        <w:rPr>
          <w:b/>
        </w:rPr>
        <w:t>Involvement of Small Organizations</w:t>
      </w:r>
    </w:p>
    <w:p w14:paraId="4E33AE19" w14:textId="7B8DC780" w:rsidR="00F44947" w:rsidRPr="00AC0C63" w:rsidRDefault="00AC0C63" w:rsidP="00F44947">
      <w:pPr>
        <w:rPr>
          <w:bCs/>
        </w:rPr>
      </w:pPr>
      <w:r w:rsidRPr="00AC0C63">
        <w:rPr>
          <w:bCs/>
        </w:rPr>
        <w:t>No small organizations are affected by the information collection.</w:t>
      </w:r>
    </w:p>
    <w:p w14:paraId="53149102" w14:textId="77777777" w:rsidR="00F44947" w:rsidRPr="00375786" w:rsidRDefault="00F44947" w:rsidP="00183E71">
      <w:pPr>
        <w:rPr>
          <w:highlight w:val="yellow"/>
        </w:rPr>
      </w:pPr>
    </w:p>
    <w:p w14:paraId="2CC81E3B" w14:textId="77777777" w:rsidR="00945CD6" w:rsidRPr="00AC0C63" w:rsidRDefault="00292B70" w:rsidP="00406241">
      <w:pPr>
        <w:rPr>
          <w:b/>
        </w:rPr>
      </w:pPr>
      <w:r w:rsidRPr="00AC0C63">
        <w:rPr>
          <w:b/>
        </w:rPr>
        <w:t xml:space="preserve">A6. </w:t>
      </w:r>
      <w:r w:rsidR="00945CD6" w:rsidRPr="00AC0C63">
        <w:rPr>
          <w:b/>
        </w:rPr>
        <w:t>Consequences of Less Frequent Data Collection</w:t>
      </w:r>
    </w:p>
    <w:p w14:paraId="45479564" w14:textId="52A284BD" w:rsidR="00087BBB" w:rsidRPr="00AC0C63" w:rsidRDefault="00AC0C63" w:rsidP="00E131E8">
      <w:pPr>
        <w:rPr>
          <w:bCs/>
        </w:rPr>
      </w:pPr>
      <w:r w:rsidRPr="00AC0C63">
        <w:rPr>
          <w:bCs/>
        </w:rPr>
        <w:t>This is a onetime data collection.</w:t>
      </w:r>
    </w:p>
    <w:p w14:paraId="04506988" w14:textId="77777777" w:rsidR="00AC0C63" w:rsidRPr="00375786" w:rsidRDefault="00AC0C63" w:rsidP="00E131E8">
      <w:pPr>
        <w:rPr>
          <w:highlight w:val="yellow"/>
        </w:rPr>
      </w:pPr>
    </w:p>
    <w:p w14:paraId="55E84B55" w14:textId="77777777" w:rsidR="00945CD6" w:rsidRPr="00AC0C63" w:rsidRDefault="00292B70" w:rsidP="00E131E8">
      <w:pPr>
        <w:rPr>
          <w:b/>
        </w:rPr>
      </w:pPr>
      <w:r w:rsidRPr="00AC0C63">
        <w:rPr>
          <w:b/>
        </w:rPr>
        <w:t xml:space="preserve">A7. </w:t>
      </w:r>
      <w:r w:rsidR="00945CD6" w:rsidRPr="00AC0C63">
        <w:rPr>
          <w:b/>
        </w:rPr>
        <w:t>Special Circumstances</w:t>
      </w:r>
    </w:p>
    <w:p w14:paraId="0F3152D2" w14:textId="77777777" w:rsidR="00087BBB" w:rsidRPr="00AC0C63" w:rsidRDefault="00087BBB" w:rsidP="00087BBB">
      <w:r w:rsidRPr="00AC0C63">
        <w:rPr>
          <w:bCs/>
        </w:rPr>
        <w:t>There are no special circumstances for the proposed data collection efforts.</w:t>
      </w:r>
    </w:p>
    <w:p w14:paraId="261B154C" w14:textId="393B7984" w:rsidR="00BE7952" w:rsidRPr="00375786" w:rsidRDefault="00BE7952" w:rsidP="00087BBB">
      <w:pPr>
        <w:tabs>
          <w:tab w:val="left" w:pos="1560"/>
        </w:tabs>
        <w:rPr>
          <w:highlight w:val="yellow"/>
        </w:rPr>
      </w:pPr>
    </w:p>
    <w:p w14:paraId="780CBBAE" w14:textId="77777777" w:rsidR="00D90EF6" w:rsidRPr="005503FC" w:rsidRDefault="00292B70" w:rsidP="00E131E8">
      <w:pPr>
        <w:rPr>
          <w:b/>
        </w:rPr>
      </w:pPr>
      <w:r w:rsidRPr="005503FC">
        <w:rPr>
          <w:b/>
        </w:rPr>
        <w:t xml:space="preserve">A8. </w:t>
      </w:r>
      <w:r w:rsidR="00945CD6" w:rsidRPr="005503FC">
        <w:rPr>
          <w:b/>
        </w:rPr>
        <w:t>Federal Register Notice and Consultation</w:t>
      </w:r>
    </w:p>
    <w:p w14:paraId="1B88EF75" w14:textId="77777777" w:rsidR="00402A3F" w:rsidRPr="005503FC" w:rsidRDefault="00402A3F" w:rsidP="00E131E8">
      <w:pPr>
        <w:rPr>
          <w:b/>
          <w:i/>
        </w:rPr>
      </w:pPr>
    </w:p>
    <w:p w14:paraId="6F572F0C" w14:textId="77777777" w:rsidR="00B91D97" w:rsidRPr="005503FC" w:rsidRDefault="00B91D97" w:rsidP="00E131E8">
      <w:pPr>
        <w:rPr>
          <w:b/>
          <w:i/>
        </w:rPr>
      </w:pPr>
      <w:r w:rsidRPr="005503FC">
        <w:rPr>
          <w:b/>
          <w:i/>
        </w:rPr>
        <w:t>Federal Register Notice and Comments</w:t>
      </w:r>
    </w:p>
    <w:p w14:paraId="0A5021A7" w14:textId="2A602445" w:rsidR="00606EC6" w:rsidRPr="00375786" w:rsidRDefault="002B274E" w:rsidP="00606EC6">
      <w:pPr>
        <w:autoSpaceDE w:val="0"/>
        <w:autoSpaceDN w:val="0"/>
        <w:adjustRightInd w:val="0"/>
        <w:ind w:right="720"/>
        <w:rPr>
          <w:bCs/>
          <w:highlight w:val="yellow"/>
        </w:rPr>
      </w:pPr>
      <w:r w:rsidRPr="00F60EDA">
        <w:rPr>
          <w:color w:val="000000"/>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206D58" w:rsidRPr="00206D58">
        <w:rPr>
          <w:color w:val="000000"/>
        </w:rPr>
        <w:t>June 29</w:t>
      </w:r>
      <w:r w:rsidRPr="00206D58">
        <w:rPr>
          <w:color w:val="000000"/>
        </w:rPr>
        <w:t>, 201</w:t>
      </w:r>
      <w:r w:rsidR="00206D58" w:rsidRPr="00206D58">
        <w:rPr>
          <w:color w:val="000000"/>
        </w:rPr>
        <w:t>8</w:t>
      </w:r>
      <w:r w:rsidRPr="00206D58">
        <w:rPr>
          <w:color w:val="000000"/>
        </w:rPr>
        <w:t>, Volume 8</w:t>
      </w:r>
      <w:r w:rsidR="00206D58" w:rsidRPr="00206D58">
        <w:rPr>
          <w:color w:val="000000"/>
        </w:rPr>
        <w:t>3</w:t>
      </w:r>
      <w:r w:rsidRPr="00206D58">
        <w:rPr>
          <w:color w:val="000000"/>
        </w:rPr>
        <w:t xml:space="preserve">, Number </w:t>
      </w:r>
      <w:r w:rsidR="00206D58" w:rsidRPr="00206D58">
        <w:rPr>
          <w:color w:val="000000"/>
        </w:rPr>
        <w:t>126</w:t>
      </w:r>
      <w:r w:rsidRPr="00206D58">
        <w:rPr>
          <w:color w:val="000000"/>
        </w:rPr>
        <w:t xml:space="preserve">, page </w:t>
      </w:r>
      <w:r w:rsidR="00206D58" w:rsidRPr="00206D58">
        <w:rPr>
          <w:color w:val="000000"/>
        </w:rPr>
        <w:t>30735</w:t>
      </w:r>
      <w:r w:rsidRPr="00206D58">
        <w:rPr>
          <w:color w:val="000000"/>
        </w:rPr>
        <w:t>-</w:t>
      </w:r>
      <w:r w:rsidR="00206D58" w:rsidRPr="00206D58">
        <w:rPr>
          <w:color w:val="000000"/>
        </w:rPr>
        <w:t>30736</w:t>
      </w:r>
      <w:r w:rsidRPr="00F60EDA">
        <w:rPr>
          <w:color w:val="000000"/>
        </w:rPr>
        <w:t xml:space="preserve"> and provided a 60-day period for public comment. </w:t>
      </w:r>
      <w:r>
        <w:rPr>
          <w:color w:val="000000"/>
        </w:rPr>
        <w:t xml:space="preserve">A copy of this notice is included as </w:t>
      </w:r>
      <w:r w:rsidR="005503FC">
        <w:rPr>
          <w:color w:val="000000"/>
        </w:rPr>
        <w:t xml:space="preserve">Appendix </w:t>
      </w:r>
      <w:r w:rsidR="0070020C">
        <w:rPr>
          <w:color w:val="000000"/>
        </w:rPr>
        <w:t>A</w:t>
      </w:r>
      <w:r>
        <w:rPr>
          <w:color w:val="000000"/>
        </w:rPr>
        <w:t xml:space="preserve">. </w:t>
      </w:r>
      <w:r w:rsidRPr="00F60EDA">
        <w:rPr>
          <w:color w:val="000000"/>
        </w:rPr>
        <w:t xml:space="preserve">During the notice and comment period, </w:t>
      </w:r>
      <w:r w:rsidR="00A611E7">
        <w:rPr>
          <w:color w:val="000000"/>
        </w:rPr>
        <w:t>ACF received one request for the proposed data collection instrument. The draft instrument was provided.</w:t>
      </w:r>
      <w:r w:rsidR="00F47460">
        <w:rPr>
          <w:color w:val="000000"/>
        </w:rPr>
        <w:t xml:space="preserve"> The government did not receive any substantive comments in response to the Federal Register notice. </w:t>
      </w:r>
    </w:p>
    <w:p w14:paraId="5B0E7230" w14:textId="77777777" w:rsidR="0007316C" w:rsidRPr="00375786" w:rsidRDefault="0007316C" w:rsidP="00E131E8">
      <w:pPr>
        <w:rPr>
          <w:highlight w:val="yellow"/>
        </w:rPr>
      </w:pPr>
    </w:p>
    <w:p w14:paraId="2711751B" w14:textId="77777777" w:rsidR="00B91D97" w:rsidRPr="005503FC" w:rsidRDefault="00B91D97" w:rsidP="00E131E8">
      <w:pPr>
        <w:pStyle w:val="Heading4"/>
        <w:spacing w:before="0" w:after="0"/>
        <w:rPr>
          <w:rFonts w:ascii="Times New Roman" w:hAnsi="Times New Roman"/>
          <w:i/>
          <w:sz w:val="24"/>
          <w:szCs w:val="24"/>
        </w:rPr>
      </w:pPr>
      <w:r w:rsidRPr="005503FC">
        <w:rPr>
          <w:rFonts w:ascii="Times New Roman" w:hAnsi="Times New Roman"/>
          <w:i/>
          <w:sz w:val="24"/>
          <w:szCs w:val="24"/>
        </w:rPr>
        <w:t>Consultation with Experts Outside of the Study</w:t>
      </w:r>
    </w:p>
    <w:p w14:paraId="0D87251C" w14:textId="75B2A34C" w:rsidR="003C15DF" w:rsidRPr="005503FC" w:rsidRDefault="003C15DF" w:rsidP="003C15DF">
      <w:pPr>
        <w:rPr>
          <w:bCs/>
        </w:rPr>
      </w:pPr>
      <w:r w:rsidRPr="005503FC">
        <w:rPr>
          <w:bCs/>
        </w:rPr>
        <w:t xml:space="preserve">We do not currently anticipate engaging any outside experts </w:t>
      </w:r>
      <w:r w:rsidR="002205B0">
        <w:rPr>
          <w:bCs/>
        </w:rPr>
        <w:t>beyond</w:t>
      </w:r>
      <w:r w:rsidRPr="005503FC">
        <w:rPr>
          <w:bCs/>
        </w:rPr>
        <w:t xml:space="preserve"> the stakeholder interviews</w:t>
      </w:r>
      <w:r w:rsidR="005503FC" w:rsidRPr="005503FC">
        <w:rPr>
          <w:bCs/>
        </w:rPr>
        <w:t xml:space="preserve"> (phase 2 of data collection – </w:t>
      </w:r>
      <w:r w:rsidR="0034635D">
        <w:rPr>
          <w:bCs/>
        </w:rPr>
        <w:t xml:space="preserve">approved via </w:t>
      </w:r>
      <w:r w:rsidR="002205B0">
        <w:rPr>
          <w:bCs/>
        </w:rPr>
        <w:t>OPRE’s formative generic clearance (</w:t>
      </w:r>
      <w:r w:rsidR="002205B0">
        <w:t>0970-0356</w:t>
      </w:r>
      <w:r w:rsidR="005503FC" w:rsidRPr="005503FC">
        <w:t>))</w:t>
      </w:r>
      <w:r w:rsidRPr="005503FC">
        <w:rPr>
          <w:bCs/>
        </w:rPr>
        <w:t>.</w:t>
      </w:r>
    </w:p>
    <w:p w14:paraId="4968ED80" w14:textId="77777777" w:rsidR="00436F5E" w:rsidRPr="00375786" w:rsidRDefault="00436F5E" w:rsidP="00E131E8">
      <w:pPr>
        <w:rPr>
          <w:highlight w:val="yellow"/>
        </w:rPr>
      </w:pPr>
    </w:p>
    <w:p w14:paraId="596C19B2" w14:textId="77777777" w:rsidR="00945CD6" w:rsidRPr="005503FC" w:rsidRDefault="00292B70" w:rsidP="0077644D">
      <w:pPr>
        <w:rPr>
          <w:b/>
        </w:rPr>
      </w:pPr>
      <w:r w:rsidRPr="005503FC">
        <w:rPr>
          <w:b/>
        </w:rPr>
        <w:t xml:space="preserve">A9. </w:t>
      </w:r>
      <w:r w:rsidR="00B66874" w:rsidRPr="005503FC">
        <w:rPr>
          <w:b/>
        </w:rPr>
        <w:t>Incentives for</w:t>
      </w:r>
      <w:r w:rsidR="00945CD6" w:rsidRPr="005503FC">
        <w:rPr>
          <w:b/>
        </w:rPr>
        <w:t xml:space="preserve"> Respondents</w:t>
      </w:r>
    </w:p>
    <w:p w14:paraId="5B47C567" w14:textId="1DF2C5F3" w:rsidR="003C15DF" w:rsidRPr="005503FC" w:rsidRDefault="003C15DF" w:rsidP="003C15DF">
      <w:pPr>
        <w:rPr>
          <w:bCs/>
        </w:rPr>
      </w:pPr>
      <w:r w:rsidRPr="005503FC">
        <w:rPr>
          <w:bCs/>
        </w:rPr>
        <w:t>No incentives for respondents are proposed for this information collection.</w:t>
      </w:r>
    </w:p>
    <w:p w14:paraId="05A0C8D5" w14:textId="46A46D1F" w:rsidR="00F24AAE" w:rsidRPr="005503FC" w:rsidRDefault="00F24AAE" w:rsidP="003C15DF">
      <w:pPr>
        <w:rPr>
          <w:bCs/>
        </w:rPr>
      </w:pPr>
    </w:p>
    <w:p w14:paraId="4DA2E59E" w14:textId="77777777" w:rsidR="004222F8" w:rsidRPr="00BA4818" w:rsidRDefault="004222F8" w:rsidP="0077644D">
      <w:pPr>
        <w:rPr>
          <w:b/>
        </w:rPr>
      </w:pPr>
      <w:r w:rsidRPr="00BA4818">
        <w:rPr>
          <w:b/>
        </w:rPr>
        <w:t>A10. Privacy of Respondents</w:t>
      </w:r>
    </w:p>
    <w:p w14:paraId="443418A2" w14:textId="58C37C5A" w:rsidR="003C15DF" w:rsidRPr="00BA4818" w:rsidRDefault="003C15DF" w:rsidP="003C15DF">
      <w:pPr>
        <w:widowControl w:val="0"/>
        <w:autoSpaceDE w:val="0"/>
        <w:autoSpaceDN w:val="0"/>
        <w:adjustRightInd w:val="0"/>
        <w:rPr>
          <w:bCs/>
        </w:rPr>
      </w:pPr>
      <w:r w:rsidRPr="00BA4818">
        <w:rPr>
          <w:bCs/>
        </w:rPr>
        <w:t xml:space="preserve">Information collected will be kept private to the extent permitted by law. Respondents will be informed of all planned uses of data, that their participation is voluntary, and that their information will be kept private to the extent permitted by law. The Contractor shall ensure that all of its employees, subcontractors, and employees of each subcontractor, who perform work under this contract, are trained on data privacy issues. </w:t>
      </w:r>
    </w:p>
    <w:p w14:paraId="76562517" w14:textId="3C996258" w:rsidR="004222F8" w:rsidRDefault="004222F8" w:rsidP="0077644D">
      <w:pPr>
        <w:widowControl w:val="0"/>
        <w:autoSpaceDE w:val="0"/>
        <w:autoSpaceDN w:val="0"/>
        <w:adjustRightInd w:val="0"/>
        <w:rPr>
          <w:highlight w:val="yellow"/>
        </w:rPr>
      </w:pPr>
    </w:p>
    <w:p w14:paraId="635E9FAF" w14:textId="4F432956" w:rsidR="00675F7A" w:rsidRDefault="00675F7A" w:rsidP="0077644D">
      <w:pPr>
        <w:widowControl w:val="0"/>
        <w:autoSpaceDE w:val="0"/>
        <w:autoSpaceDN w:val="0"/>
        <w:adjustRightInd w:val="0"/>
        <w:rPr>
          <w:bdr w:val="none" w:sz="0" w:space="0" w:color="auto" w:frame="1"/>
        </w:rPr>
      </w:pPr>
      <w:r>
        <w:rPr>
          <w:bdr w:val="none" w:sz="0" w:space="0" w:color="auto" w:frame="1"/>
        </w:rPr>
        <w:t>Information will not be maintained in a paper or electronic system from which they are actually or directly retrieved by an individuals’ personal identifier.</w:t>
      </w:r>
    </w:p>
    <w:p w14:paraId="5E95B749" w14:textId="77777777" w:rsidR="00675F7A" w:rsidRDefault="00675F7A" w:rsidP="0077644D">
      <w:pPr>
        <w:widowControl w:val="0"/>
        <w:autoSpaceDE w:val="0"/>
        <w:autoSpaceDN w:val="0"/>
        <w:adjustRightInd w:val="0"/>
        <w:rPr>
          <w:highlight w:val="yellow"/>
        </w:rPr>
      </w:pPr>
    </w:p>
    <w:p w14:paraId="419EE86C" w14:textId="086223D9" w:rsidR="000A50B0" w:rsidRDefault="006F4560" w:rsidP="0077644D">
      <w:pPr>
        <w:widowControl w:val="0"/>
        <w:autoSpaceDE w:val="0"/>
        <w:autoSpaceDN w:val="0"/>
        <w:adjustRightInd w:val="0"/>
      </w:pPr>
      <w:r>
        <w:t>The needs assessment survey and the survey communication materials</w:t>
      </w:r>
      <w:r w:rsidR="000A50B0" w:rsidRPr="00AD7E64">
        <w:t xml:space="preserve"> </w:t>
      </w:r>
      <w:r>
        <w:t xml:space="preserve">were </w:t>
      </w:r>
      <w:r w:rsidR="000A50B0" w:rsidRPr="00AD7E64">
        <w:t>review</w:t>
      </w:r>
      <w:r>
        <w:t>ed</w:t>
      </w:r>
      <w:r w:rsidR="000A50B0" w:rsidRPr="00AD7E64">
        <w:t xml:space="preserve"> and </w:t>
      </w:r>
      <w:r>
        <w:t>received IRB</w:t>
      </w:r>
      <w:r w:rsidR="000A50B0" w:rsidRPr="00AD7E64">
        <w:t xml:space="preserve"> approv</w:t>
      </w:r>
      <w:r>
        <w:t>al</w:t>
      </w:r>
      <w:r w:rsidR="000A50B0" w:rsidRPr="00AD7E64">
        <w:t xml:space="preserve"> on </w:t>
      </w:r>
      <w:r w:rsidR="001668D3" w:rsidRPr="001F7E61">
        <w:t xml:space="preserve">July </w:t>
      </w:r>
      <w:r w:rsidR="001F7E61" w:rsidRPr="001F7E61">
        <w:t>24</w:t>
      </w:r>
      <w:r w:rsidR="00BA4818">
        <w:t>, 2018</w:t>
      </w:r>
      <w:r w:rsidR="000A50B0" w:rsidRPr="00AD7E64">
        <w:t>.</w:t>
      </w:r>
    </w:p>
    <w:p w14:paraId="63AF1981" w14:textId="77777777" w:rsidR="000A50B0" w:rsidRPr="00375786" w:rsidRDefault="000A50B0" w:rsidP="0077644D">
      <w:pPr>
        <w:widowControl w:val="0"/>
        <w:autoSpaceDE w:val="0"/>
        <w:autoSpaceDN w:val="0"/>
        <w:adjustRightInd w:val="0"/>
        <w:rPr>
          <w:highlight w:val="yellow"/>
        </w:rPr>
      </w:pPr>
    </w:p>
    <w:p w14:paraId="61D9E25B" w14:textId="77777777" w:rsidR="00945CD6" w:rsidRPr="00BA4818" w:rsidRDefault="00292B70" w:rsidP="0077644D">
      <w:pPr>
        <w:rPr>
          <w:b/>
        </w:rPr>
      </w:pPr>
      <w:r w:rsidRPr="00BA4818">
        <w:rPr>
          <w:b/>
        </w:rPr>
        <w:t xml:space="preserve">A11. </w:t>
      </w:r>
      <w:r w:rsidR="00945CD6" w:rsidRPr="00BA4818">
        <w:rPr>
          <w:b/>
        </w:rPr>
        <w:t>Sensitive Questions</w:t>
      </w:r>
    </w:p>
    <w:p w14:paraId="49077560" w14:textId="77777777" w:rsidR="003C15DF" w:rsidRPr="00BA4818" w:rsidRDefault="003C15DF" w:rsidP="003C15DF">
      <w:pPr>
        <w:rPr>
          <w:bCs/>
        </w:rPr>
      </w:pPr>
      <w:r w:rsidRPr="00BA4818">
        <w:rPr>
          <w:bCs/>
        </w:rPr>
        <w:t>There are no sensitive questions in this data collection.</w:t>
      </w:r>
    </w:p>
    <w:p w14:paraId="35360CC6" w14:textId="77777777" w:rsidR="005046F0" w:rsidRPr="00375786" w:rsidRDefault="005046F0" w:rsidP="0077644D">
      <w:pPr>
        <w:rPr>
          <w:highlight w:val="yellow"/>
        </w:rPr>
      </w:pPr>
    </w:p>
    <w:p w14:paraId="7594CC30" w14:textId="77777777" w:rsidR="00945CD6" w:rsidRPr="00506306" w:rsidRDefault="00292B70" w:rsidP="0077644D">
      <w:pPr>
        <w:rPr>
          <w:b/>
        </w:rPr>
      </w:pPr>
      <w:r w:rsidRPr="00506306">
        <w:rPr>
          <w:b/>
        </w:rPr>
        <w:t xml:space="preserve">A12. </w:t>
      </w:r>
      <w:r w:rsidR="00945CD6" w:rsidRPr="00506306">
        <w:rPr>
          <w:b/>
        </w:rPr>
        <w:t>Estimation of Information Collection Burden</w:t>
      </w:r>
    </w:p>
    <w:p w14:paraId="686A397B" w14:textId="77777777" w:rsidR="00436F5E" w:rsidRPr="00506306" w:rsidRDefault="00436F5E" w:rsidP="0077644D">
      <w:pPr>
        <w:rPr>
          <w:i/>
        </w:rPr>
      </w:pPr>
    </w:p>
    <w:p w14:paraId="4E2C2130" w14:textId="77777777" w:rsidR="00A35B0D" w:rsidRPr="00506306" w:rsidRDefault="00A35B0D" w:rsidP="00406241">
      <w:pPr>
        <w:rPr>
          <w:i/>
        </w:rPr>
      </w:pPr>
      <w:r w:rsidRPr="00506306">
        <w:rPr>
          <w:b/>
          <w:i/>
        </w:rPr>
        <w:t>Total Burden Requested Under this Information Collection</w:t>
      </w:r>
    </w:p>
    <w:p w14:paraId="69024E60" w14:textId="77777777" w:rsidR="0077753A" w:rsidRPr="00506306" w:rsidRDefault="0077753A" w:rsidP="0077753A">
      <w:pPr>
        <w:pStyle w:val="CommentText"/>
        <w:rPr>
          <w:caps/>
          <w:sz w:val="24"/>
          <w:szCs w:val="24"/>
        </w:rPr>
      </w:pPr>
    </w:p>
    <w:p w14:paraId="6C614825" w14:textId="229D593E" w:rsidR="005F01F9" w:rsidRPr="00506306" w:rsidRDefault="005F01F9" w:rsidP="005F01F9">
      <w:r w:rsidRPr="00506306">
        <w:t>We anticipate</w:t>
      </w:r>
      <w:r w:rsidR="00BA4818" w:rsidRPr="00506306">
        <w:t xml:space="preserve"> having 216</w:t>
      </w:r>
      <w:r w:rsidR="00162033" w:rsidRPr="00506306">
        <w:t xml:space="preserve"> </w:t>
      </w:r>
      <w:r w:rsidRPr="00506306">
        <w:t xml:space="preserve">individuals </w:t>
      </w:r>
      <w:r w:rsidR="00BA4818" w:rsidRPr="00506306">
        <w:t xml:space="preserve">respond to various modules of the needs assessment survey (4 </w:t>
      </w:r>
      <w:r w:rsidR="00900464" w:rsidRPr="00506306">
        <w:t>individuals</w:t>
      </w:r>
      <w:r w:rsidR="00BA4818" w:rsidRPr="00506306">
        <w:t xml:space="preserve"> per state * 54 states and territories)</w:t>
      </w:r>
      <w:r w:rsidRPr="00506306">
        <w:t xml:space="preserve">. We anticipate </w:t>
      </w:r>
      <w:r w:rsidR="00506306" w:rsidRPr="00506306">
        <w:t xml:space="preserve">that on average, each </w:t>
      </w:r>
      <w:r w:rsidRPr="00506306">
        <w:t>indivi</w:t>
      </w:r>
      <w:r w:rsidR="00506306" w:rsidRPr="00506306">
        <w:t>dual will complete two modules, and that each module will take 0.25 hours to complete</w:t>
      </w:r>
      <w:r w:rsidRPr="00506306">
        <w:t>.</w:t>
      </w:r>
      <w:r w:rsidR="00162033" w:rsidRPr="00506306">
        <w:t xml:space="preserve"> </w:t>
      </w:r>
      <w:r w:rsidR="00506306" w:rsidRPr="00506306">
        <w:t>W</w:t>
      </w:r>
      <w:r w:rsidR="00162033" w:rsidRPr="00506306">
        <w:t xml:space="preserve">e anticipate a total of </w:t>
      </w:r>
      <w:r w:rsidR="00506306" w:rsidRPr="00506306">
        <w:t>108</w:t>
      </w:r>
      <w:r w:rsidR="00162033" w:rsidRPr="00506306">
        <w:t xml:space="preserve"> burden hours for this effort</w:t>
      </w:r>
      <w:r w:rsidR="00506306" w:rsidRPr="00506306">
        <w:t xml:space="preserve"> as shown below</w:t>
      </w:r>
      <w:r w:rsidR="00162033" w:rsidRPr="00506306">
        <w:t>.</w:t>
      </w:r>
    </w:p>
    <w:p w14:paraId="54BE36F6" w14:textId="49549F05" w:rsidR="007C48C1" w:rsidRPr="00375786" w:rsidRDefault="007C48C1" w:rsidP="007C48C1">
      <w:pPr>
        <w:rPr>
          <w:rFonts w:ascii="Calibri" w:hAnsi="Calibri"/>
          <w:sz w:val="22"/>
          <w:szCs w:val="22"/>
          <w:highlight w:val="yellow"/>
        </w:rPr>
      </w:pPr>
    </w:p>
    <w:p w14:paraId="1EB5D077" w14:textId="29401510" w:rsidR="00B5321A" w:rsidRPr="00F60EDA" w:rsidRDefault="00B5321A" w:rsidP="00B5321A">
      <w:pPr>
        <w:jc w:val="center"/>
        <w:rPr>
          <w:b/>
        </w:rPr>
      </w:pPr>
      <w:r w:rsidRPr="00F60EDA">
        <w:rPr>
          <w:b/>
        </w:rPr>
        <w:t xml:space="preserve">Table </w:t>
      </w:r>
      <w:r>
        <w:rPr>
          <w:b/>
        </w:rPr>
        <w:t>A</w:t>
      </w:r>
      <w:r w:rsidRPr="00F60EDA">
        <w:rPr>
          <w:b/>
        </w:rPr>
        <w:t>.</w:t>
      </w:r>
      <w:r>
        <w:rPr>
          <w:b/>
        </w:rPr>
        <w:t>1 Burden Estimates</w:t>
      </w:r>
    </w:p>
    <w:p w14:paraId="4E6562F3" w14:textId="2291DFD8" w:rsidR="00746788" w:rsidRPr="00375786" w:rsidRDefault="00746788" w:rsidP="007C48C1">
      <w:pPr>
        <w:rPr>
          <w:rFonts w:ascii="Calibri" w:hAnsi="Calibri"/>
          <w:sz w:val="22"/>
          <w:szCs w:val="22"/>
          <w:highlight w:val="yellow"/>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1530"/>
        <w:gridCol w:w="1440"/>
        <w:gridCol w:w="1256"/>
        <w:gridCol w:w="993"/>
        <w:gridCol w:w="1357"/>
        <w:gridCol w:w="1207"/>
      </w:tblGrid>
      <w:tr w:rsidR="001F7E61" w:rsidRPr="00506306" w14:paraId="5D729175" w14:textId="1590313B" w:rsidTr="001F7E61">
        <w:trPr>
          <w:trHeight w:val="942"/>
        </w:trPr>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CB701" w14:textId="77777777" w:rsidR="001F7E61" w:rsidRPr="00506306" w:rsidRDefault="001F7E61" w:rsidP="007B0FBB">
            <w:pPr>
              <w:jc w:val="center"/>
            </w:pPr>
            <w:r w:rsidRPr="00506306">
              <w:t>Instrument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352CF" w14:textId="3CB2670A" w:rsidR="001F7E61" w:rsidRPr="00506306" w:rsidRDefault="001F7E61" w:rsidP="007B0FBB">
            <w:pPr>
              <w:jc w:val="center"/>
            </w:pPr>
            <w:r>
              <w:t>Total/</w:t>
            </w:r>
            <w:r w:rsidRPr="00506306">
              <w:t>Annual 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C82D4" w14:textId="77777777" w:rsidR="001F7E61" w:rsidRPr="00506306" w:rsidRDefault="001F7E61" w:rsidP="007B0FBB">
            <w:pPr>
              <w:jc w:val="center"/>
            </w:pPr>
            <w:r w:rsidRPr="00506306">
              <w:t>Number of Responses Per Respondent</w:t>
            </w: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3B842" w14:textId="77777777" w:rsidR="001F7E61" w:rsidRPr="00506306" w:rsidRDefault="001F7E61" w:rsidP="007B0FBB">
            <w:pPr>
              <w:jc w:val="center"/>
            </w:pPr>
            <w:r w:rsidRPr="00506306">
              <w:t>Average Burden Hours Per Response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0B37D" w14:textId="77777777" w:rsidR="001F7E61" w:rsidRPr="00506306" w:rsidRDefault="001F7E61" w:rsidP="007B0FBB">
            <w:pPr>
              <w:jc w:val="center"/>
              <w:rPr>
                <w:bCs/>
              </w:rPr>
            </w:pPr>
            <w:r w:rsidRPr="00506306">
              <w:rPr>
                <w:bCs/>
              </w:rPr>
              <w:t>Annual Burden Hours</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tcPr>
          <w:p w14:paraId="5B19839E" w14:textId="7667BA78" w:rsidR="001F7E61" w:rsidRPr="00506306" w:rsidRDefault="001F7E61" w:rsidP="007B0FBB">
            <w:pPr>
              <w:jc w:val="center"/>
              <w:rPr>
                <w:bCs/>
              </w:rPr>
            </w:pPr>
            <w:r>
              <w:rPr>
                <w:bCs/>
              </w:rPr>
              <w:t>Average Hourly Wage</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6CAA" w14:textId="0D995271" w:rsidR="001F7E61" w:rsidRDefault="001F7E61" w:rsidP="007B0FBB">
            <w:pPr>
              <w:jc w:val="center"/>
              <w:rPr>
                <w:bCs/>
              </w:rPr>
            </w:pPr>
            <w:r>
              <w:rPr>
                <w:bCs/>
              </w:rPr>
              <w:t>Total Annual Cost</w:t>
            </w:r>
          </w:p>
        </w:tc>
      </w:tr>
      <w:tr w:rsidR="001F7E61" w:rsidRPr="00506306" w14:paraId="09C33979" w14:textId="6C2BC351" w:rsidTr="001F7E61">
        <w:trPr>
          <w:trHeight w:val="1257"/>
        </w:trPr>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3278C" w14:textId="77777777" w:rsidR="001F7E61" w:rsidRPr="00506306" w:rsidRDefault="001F7E61" w:rsidP="00506306">
            <w:pPr>
              <w:jc w:val="center"/>
            </w:pPr>
            <w:r w:rsidRPr="00506306">
              <w:t>Needs Assessment Survey</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2BA7" w14:textId="77777777" w:rsidR="001F7E61" w:rsidRPr="00506306" w:rsidRDefault="001F7E61" w:rsidP="00506306">
            <w:pPr>
              <w:jc w:val="center"/>
            </w:pPr>
            <w:r w:rsidRPr="00506306">
              <w:t>216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A79CF" w14:textId="77777777" w:rsidR="001F7E61" w:rsidRPr="00506306" w:rsidRDefault="001F7E61" w:rsidP="00506306">
            <w:pPr>
              <w:jc w:val="center"/>
            </w:pPr>
            <w:r w:rsidRPr="00506306">
              <w:t>2</w:t>
            </w: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FF9BA" w14:textId="77777777" w:rsidR="001F7E61" w:rsidRPr="00506306" w:rsidRDefault="001F7E61" w:rsidP="00506306">
            <w:pPr>
              <w:jc w:val="center"/>
            </w:pPr>
            <w:r w:rsidRPr="00506306">
              <w:t>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C3467" w14:textId="77777777" w:rsidR="001F7E61" w:rsidRPr="00506306" w:rsidRDefault="001F7E61" w:rsidP="00506306">
            <w:pPr>
              <w:jc w:val="center"/>
              <w:rPr>
                <w:bCs/>
              </w:rPr>
            </w:pPr>
            <w:r w:rsidRPr="00506306">
              <w:rPr>
                <w:bCs/>
              </w:rPr>
              <w:t>108</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04234" w14:textId="320F3A4D" w:rsidR="001F7E61" w:rsidRPr="00506306" w:rsidRDefault="001F7E61" w:rsidP="00506306">
            <w:pPr>
              <w:jc w:val="center"/>
              <w:rPr>
                <w:bCs/>
              </w:rPr>
            </w:pPr>
            <w:r w:rsidRPr="00506306">
              <w:rPr>
                <w:color w:val="000000"/>
              </w:rPr>
              <w:t xml:space="preserve">$34.07 </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0DC35" w14:textId="1A5AD62E" w:rsidR="001F7E61" w:rsidRPr="00506306" w:rsidRDefault="001F7E61" w:rsidP="00506306">
            <w:pPr>
              <w:jc w:val="center"/>
              <w:rPr>
                <w:bCs/>
              </w:rPr>
            </w:pPr>
            <w:r w:rsidRPr="00506306">
              <w:rPr>
                <w:color w:val="000000"/>
              </w:rPr>
              <w:t>$</w:t>
            </w:r>
            <w:r>
              <w:rPr>
                <w:color w:val="000000"/>
              </w:rPr>
              <w:t>3,679.56</w:t>
            </w:r>
            <w:r w:rsidRPr="00506306">
              <w:rPr>
                <w:color w:val="000000"/>
              </w:rPr>
              <w:t xml:space="preserve"> </w:t>
            </w:r>
          </w:p>
        </w:tc>
      </w:tr>
      <w:tr w:rsidR="001F7E61" w:rsidRPr="00506306" w14:paraId="3B234EC9" w14:textId="69A2204F" w:rsidTr="001F7E61">
        <w:trPr>
          <w:trHeight w:val="299"/>
        </w:trPr>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EEF75" w14:textId="43AC4544" w:rsidR="001F7E61" w:rsidRPr="00D01A6D" w:rsidRDefault="001F7E61" w:rsidP="00506306">
            <w:pPr>
              <w:rPr>
                <w:b/>
              </w:rPr>
            </w:pPr>
            <w:r w:rsidRPr="00D01A6D">
              <w:rPr>
                <w:b/>
              </w:rPr>
              <w:t>Total</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40474" w14:textId="46C262DA" w:rsidR="001F7E61" w:rsidRPr="00D01A6D" w:rsidRDefault="001F7E61" w:rsidP="00506306">
            <w:pPr>
              <w:jc w:val="center"/>
              <w:rPr>
                <w:b/>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B9C80" w14:textId="48A940D1" w:rsidR="001F7E61" w:rsidRPr="00D01A6D" w:rsidRDefault="001F7E61" w:rsidP="00506306">
            <w:pPr>
              <w:jc w:val="center"/>
              <w:rPr>
                <w:b/>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FA37B" w14:textId="17009EFB" w:rsidR="001F7E61" w:rsidRPr="00D01A6D" w:rsidRDefault="001F7E61" w:rsidP="00506306">
            <w:pPr>
              <w:jc w:val="center"/>
              <w:rPr>
                <w: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F7C61" w14:textId="79820B14" w:rsidR="001F7E61" w:rsidRPr="00D01A6D" w:rsidRDefault="001F7E61" w:rsidP="00506306">
            <w:pPr>
              <w:jc w:val="center"/>
              <w:rPr>
                <w:b/>
                <w:bCs/>
              </w:rPr>
            </w:pPr>
            <w:r w:rsidRPr="00D01A6D">
              <w:rPr>
                <w:b/>
                <w:bCs/>
              </w:rPr>
              <w:t>108</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CAE11" w14:textId="77A4F59B" w:rsidR="001F7E61" w:rsidRPr="00D01A6D" w:rsidRDefault="001F7E61" w:rsidP="00506306">
            <w:pPr>
              <w:jc w:val="center"/>
              <w:rPr>
                <w:b/>
                <w:bCs/>
              </w:rPr>
            </w:pP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0BBE7389" w14:textId="20EA1378" w:rsidR="001F7E61" w:rsidRPr="00D01A6D" w:rsidRDefault="001F7E61" w:rsidP="00506306">
            <w:pPr>
              <w:jc w:val="center"/>
              <w:rPr>
                <w:b/>
                <w:bCs/>
              </w:rPr>
            </w:pPr>
            <w:r w:rsidRPr="00D01A6D">
              <w:rPr>
                <w:b/>
                <w:bCs/>
              </w:rPr>
              <w:t>$3,679.56</w:t>
            </w:r>
          </w:p>
        </w:tc>
      </w:tr>
    </w:tbl>
    <w:p w14:paraId="5D37F348" w14:textId="77777777" w:rsidR="006F0025" w:rsidRPr="00506306" w:rsidRDefault="006F0025" w:rsidP="007C48C1">
      <w:pPr>
        <w:rPr>
          <w:rFonts w:ascii="Calibri" w:hAnsi="Calibri"/>
          <w:sz w:val="22"/>
          <w:szCs w:val="22"/>
        </w:rPr>
      </w:pPr>
    </w:p>
    <w:p w14:paraId="09912735" w14:textId="220814D4" w:rsidR="006F0025" w:rsidRPr="00375786" w:rsidRDefault="006F0025" w:rsidP="00406241">
      <w:pPr>
        <w:rPr>
          <w:highlight w:val="yellow"/>
        </w:rPr>
      </w:pPr>
    </w:p>
    <w:p w14:paraId="0B81DD38" w14:textId="77777777" w:rsidR="002338AC" w:rsidRPr="00D01A6D" w:rsidRDefault="002338AC" w:rsidP="00183E71">
      <w:pPr>
        <w:rPr>
          <w:b/>
          <w:i/>
        </w:rPr>
      </w:pPr>
      <w:r w:rsidRPr="00D01A6D">
        <w:rPr>
          <w:b/>
          <w:i/>
        </w:rPr>
        <w:t>Total Annual Cost</w:t>
      </w:r>
    </w:p>
    <w:p w14:paraId="50D180A2" w14:textId="2B578FB4" w:rsidR="00746788" w:rsidRPr="00D01A6D" w:rsidRDefault="00746788" w:rsidP="00C27DBC"/>
    <w:p w14:paraId="14841EF6" w14:textId="5B36D28F" w:rsidR="00746788" w:rsidRPr="00D01A6D" w:rsidRDefault="00746788" w:rsidP="00D01A6D">
      <w:pPr>
        <w:autoSpaceDE w:val="0"/>
        <w:autoSpaceDN w:val="0"/>
        <w:adjustRightInd w:val="0"/>
        <w:rPr>
          <w:color w:val="0000FF"/>
          <w:u w:val="single"/>
        </w:rPr>
      </w:pPr>
      <w:r w:rsidRPr="00D01A6D">
        <w:rPr>
          <w:color w:val="000000"/>
        </w:rPr>
        <w:t xml:space="preserve">Estimates for these respondents are based on the Department of Labor (DOL) May 2016 estimates for the mean hourly wage of Social and Community Service Managers:   </w:t>
      </w:r>
      <w:r w:rsidRPr="00D01A6D">
        <w:t xml:space="preserve">$34.07  </w:t>
      </w:r>
      <w:hyperlink r:id="rId12" w:history="1">
        <w:r w:rsidRPr="00D01A6D">
          <w:rPr>
            <w:rStyle w:val="Hyperlink"/>
          </w:rPr>
          <w:t>http://www.bls.gov/oes/current/oes119151.htm</w:t>
        </w:r>
      </w:hyperlink>
    </w:p>
    <w:p w14:paraId="624D737E" w14:textId="77777777" w:rsidR="00C27DBC" w:rsidRPr="00375786" w:rsidRDefault="00C27DBC" w:rsidP="00406241">
      <w:pPr>
        <w:ind w:left="360"/>
        <w:rPr>
          <w:highlight w:val="yellow"/>
        </w:rPr>
      </w:pPr>
    </w:p>
    <w:p w14:paraId="44E48E34" w14:textId="77777777" w:rsidR="00945CD6" w:rsidRPr="00D01A6D" w:rsidRDefault="00292B70" w:rsidP="00406241">
      <w:pPr>
        <w:rPr>
          <w:b/>
        </w:rPr>
      </w:pPr>
      <w:r w:rsidRPr="00D01A6D">
        <w:rPr>
          <w:b/>
        </w:rPr>
        <w:t xml:space="preserve">A13. </w:t>
      </w:r>
      <w:r w:rsidR="00945CD6" w:rsidRPr="00D01A6D">
        <w:rPr>
          <w:b/>
        </w:rPr>
        <w:t>Cost Burden to Respondents or Record Keepers</w:t>
      </w:r>
    </w:p>
    <w:p w14:paraId="22E98712" w14:textId="77777777" w:rsidR="00585FF9" w:rsidRPr="00D01A6D" w:rsidRDefault="00585FF9" w:rsidP="00585FF9">
      <w:pPr>
        <w:rPr>
          <w:bCs/>
        </w:rPr>
      </w:pPr>
      <w:r w:rsidRPr="00D01A6D">
        <w:rPr>
          <w:bCs/>
        </w:rPr>
        <w:t>There are no additional costs to respondents.</w:t>
      </w:r>
    </w:p>
    <w:p w14:paraId="469D9CE0" w14:textId="77777777" w:rsidR="002338AC" w:rsidRPr="00375786" w:rsidRDefault="002338AC" w:rsidP="00406241">
      <w:pPr>
        <w:rPr>
          <w:highlight w:val="yellow"/>
        </w:rPr>
      </w:pPr>
    </w:p>
    <w:p w14:paraId="279816FE" w14:textId="77777777" w:rsidR="00945CD6" w:rsidRPr="00615CFD" w:rsidRDefault="00292B70" w:rsidP="00406241">
      <w:pPr>
        <w:rPr>
          <w:b/>
        </w:rPr>
      </w:pPr>
      <w:bookmarkStart w:id="4" w:name="_Hlk511814999"/>
      <w:r w:rsidRPr="00615CFD">
        <w:rPr>
          <w:b/>
        </w:rPr>
        <w:t xml:space="preserve">A14. </w:t>
      </w:r>
      <w:r w:rsidR="00945CD6" w:rsidRPr="00615CFD">
        <w:rPr>
          <w:b/>
        </w:rPr>
        <w:t>Estimate of Cost to the Federal Government</w:t>
      </w:r>
    </w:p>
    <w:p w14:paraId="4F982463" w14:textId="0726BC54" w:rsidR="002338AC" w:rsidRDefault="00B141CC" w:rsidP="00406241">
      <w:pPr>
        <w:rPr>
          <w:bCs/>
        </w:rPr>
      </w:pPr>
      <w:r w:rsidRPr="00615CFD">
        <w:rPr>
          <w:bCs/>
        </w:rPr>
        <w:t xml:space="preserve">The total cost for the data collection </w:t>
      </w:r>
      <w:r w:rsidR="005F7CC1">
        <w:rPr>
          <w:bCs/>
        </w:rPr>
        <w:t xml:space="preserve">activities </w:t>
      </w:r>
      <w:r w:rsidRPr="00615CFD">
        <w:rPr>
          <w:bCs/>
        </w:rPr>
        <w:t>under this current request will be $</w:t>
      </w:r>
      <w:r w:rsidR="00DD6299" w:rsidRPr="00615CFD">
        <w:rPr>
          <w:bCs/>
        </w:rPr>
        <w:t>3</w:t>
      </w:r>
      <w:r w:rsidR="00356691">
        <w:rPr>
          <w:bCs/>
        </w:rPr>
        <w:t>54</w:t>
      </w:r>
      <w:r w:rsidR="005F7CC1">
        <w:rPr>
          <w:bCs/>
        </w:rPr>
        <w:t>,000</w:t>
      </w:r>
      <w:r w:rsidRPr="00615CFD">
        <w:rPr>
          <w:bCs/>
        </w:rPr>
        <w:t>. The estimate includes the costs of project staff time</w:t>
      </w:r>
      <w:r w:rsidR="00646394">
        <w:rPr>
          <w:bCs/>
        </w:rPr>
        <w:t xml:space="preserve"> </w:t>
      </w:r>
      <w:r w:rsidR="00B82234" w:rsidRPr="00615CFD">
        <w:rPr>
          <w:bCs/>
        </w:rPr>
        <w:t xml:space="preserve">to complete activities described in A2 (phase 3). </w:t>
      </w:r>
      <w:r w:rsidR="005F7CC1">
        <w:rPr>
          <w:bCs/>
        </w:rPr>
        <w:t xml:space="preserve">The work is expected to be completed within one year so the annual </w:t>
      </w:r>
      <w:r w:rsidR="005F7CC1" w:rsidRPr="005F7CC1">
        <w:rPr>
          <w:bCs/>
        </w:rPr>
        <w:t xml:space="preserve">costs to the Federal government will </w:t>
      </w:r>
      <w:r w:rsidR="005F7CC1">
        <w:rPr>
          <w:bCs/>
        </w:rPr>
        <w:t>also be $3</w:t>
      </w:r>
      <w:r w:rsidR="007022A6">
        <w:rPr>
          <w:bCs/>
        </w:rPr>
        <w:t>54</w:t>
      </w:r>
      <w:r w:rsidR="005F7CC1">
        <w:rPr>
          <w:bCs/>
        </w:rPr>
        <w:t>,000</w:t>
      </w:r>
      <w:r w:rsidR="005F7CC1" w:rsidRPr="005F7CC1">
        <w:rPr>
          <w:bCs/>
        </w:rPr>
        <w:t xml:space="preserve"> for the proposed data collection under this OMB clearance number (0970-XXXX).</w:t>
      </w:r>
      <w:r w:rsidR="007022A6">
        <w:rPr>
          <w:bCs/>
        </w:rPr>
        <w:t xml:space="preserve"> See Table A.2 </w:t>
      </w:r>
      <w:r w:rsidR="006302D3">
        <w:rPr>
          <w:bCs/>
        </w:rPr>
        <w:t>for a breakdown of costs by subtask and organization.</w:t>
      </w:r>
    </w:p>
    <w:p w14:paraId="6A6C683B" w14:textId="01E87D20" w:rsidR="006302D3" w:rsidRDefault="006302D3" w:rsidP="00406241">
      <w:pPr>
        <w:rPr>
          <w:bCs/>
        </w:rPr>
      </w:pPr>
    </w:p>
    <w:p w14:paraId="319AB5F2" w14:textId="77777777" w:rsidR="00C55143" w:rsidRDefault="00C55143" w:rsidP="00896701">
      <w:pPr>
        <w:jc w:val="center"/>
        <w:rPr>
          <w:b/>
          <w:bCs/>
        </w:rPr>
      </w:pPr>
    </w:p>
    <w:p w14:paraId="7B1227A9" w14:textId="77777777" w:rsidR="00C55143" w:rsidRDefault="00C55143" w:rsidP="00896701">
      <w:pPr>
        <w:jc w:val="center"/>
        <w:rPr>
          <w:b/>
          <w:bCs/>
        </w:rPr>
      </w:pPr>
    </w:p>
    <w:p w14:paraId="4AA3F75C" w14:textId="77777777" w:rsidR="00C55143" w:rsidRDefault="00C55143" w:rsidP="00896701">
      <w:pPr>
        <w:jc w:val="center"/>
        <w:rPr>
          <w:b/>
          <w:bCs/>
        </w:rPr>
      </w:pPr>
    </w:p>
    <w:p w14:paraId="5C529361" w14:textId="77777777" w:rsidR="00C55143" w:rsidRDefault="00C55143" w:rsidP="00896701">
      <w:pPr>
        <w:jc w:val="center"/>
        <w:rPr>
          <w:b/>
          <w:bCs/>
        </w:rPr>
      </w:pPr>
    </w:p>
    <w:p w14:paraId="27E59259" w14:textId="77777777" w:rsidR="00C55143" w:rsidRDefault="00C55143" w:rsidP="00896701">
      <w:pPr>
        <w:jc w:val="center"/>
        <w:rPr>
          <w:b/>
          <w:bCs/>
        </w:rPr>
      </w:pPr>
    </w:p>
    <w:p w14:paraId="1447C117" w14:textId="77777777" w:rsidR="00C55143" w:rsidRDefault="00C55143" w:rsidP="00896701">
      <w:pPr>
        <w:jc w:val="center"/>
        <w:rPr>
          <w:b/>
          <w:bCs/>
        </w:rPr>
      </w:pPr>
    </w:p>
    <w:p w14:paraId="3D3B95F2" w14:textId="77777777" w:rsidR="00C55143" w:rsidRDefault="00C55143" w:rsidP="00896701">
      <w:pPr>
        <w:jc w:val="center"/>
        <w:rPr>
          <w:b/>
          <w:bCs/>
        </w:rPr>
      </w:pPr>
    </w:p>
    <w:p w14:paraId="7F2725AA" w14:textId="77777777" w:rsidR="00C55143" w:rsidRDefault="00C55143" w:rsidP="00896701">
      <w:pPr>
        <w:jc w:val="center"/>
        <w:rPr>
          <w:b/>
          <w:bCs/>
        </w:rPr>
      </w:pPr>
    </w:p>
    <w:p w14:paraId="05F22853" w14:textId="77777777" w:rsidR="00C55143" w:rsidRDefault="00C55143" w:rsidP="00896701">
      <w:pPr>
        <w:jc w:val="center"/>
        <w:rPr>
          <w:b/>
          <w:bCs/>
        </w:rPr>
      </w:pPr>
    </w:p>
    <w:p w14:paraId="785BBA15" w14:textId="77777777" w:rsidR="00C55143" w:rsidRDefault="00C55143" w:rsidP="00896701">
      <w:pPr>
        <w:jc w:val="center"/>
        <w:rPr>
          <w:b/>
          <w:bCs/>
        </w:rPr>
      </w:pPr>
    </w:p>
    <w:p w14:paraId="506CBFC1" w14:textId="77777777" w:rsidR="00C55143" w:rsidRDefault="00C55143" w:rsidP="00896701">
      <w:pPr>
        <w:jc w:val="center"/>
        <w:rPr>
          <w:b/>
          <w:bCs/>
        </w:rPr>
      </w:pPr>
    </w:p>
    <w:p w14:paraId="1BD2EC62" w14:textId="77777777" w:rsidR="00C55143" w:rsidRDefault="00C55143" w:rsidP="00896701">
      <w:pPr>
        <w:jc w:val="center"/>
        <w:rPr>
          <w:b/>
          <w:bCs/>
        </w:rPr>
      </w:pPr>
    </w:p>
    <w:p w14:paraId="2DA264DD" w14:textId="77777777" w:rsidR="00C55143" w:rsidRDefault="00C55143" w:rsidP="00896701">
      <w:pPr>
        <w:jc w:val="center"/>
        <w:rPr>
          <w:b/>
          <w:bCs/>
        </w:rPr>
      </w:pPr>
    </w:p>
    <w:p w14:paraId="214280CD" w14:textId="77777777" w:rsidR="00C55143" w:rsidRDefault="00C55143" w:rsidP="00896701">
      <w:pPr>
        <w:jc w:val="center"/>
        <w:rPr>
          <w:b/>
          <w:bCs/>
        </w:rPr>
      </w:pPr>
    </w:p>
    <w:p w14:paraId="22D18C77" w14:textId="77777777" w:rsidR="00C55143" w:rsidRDefault="00C55143" w:rsidP="00896701">
      <w:pPr>
        <w:jc w:val="center"/>
        <w:rPr>
          <w:b/>
          <w:bCs/>
        </w:rPr>
      </w:pPr>
    </w:p>
    <w:p w14:paraId="01D2C60F" w14:textId="77777777" w:rsidR="00C55143" w:rsidRDefault="00C55143" w:rsidP="00896701">
      <w:pPr>
        <w:jc w:val="center"/>
        <w:rPr>
          <w:b/>
          <w:bCs/>
        </w:rPr>
      </w:pPr>
    </w:p>
    <w:p w14:paraId="6E3B1E7E" w14:textId="77777777" w:rsidR="00C55143" w:rsidRDefault="00C55143" w:rsidP="00896701">
      <w:pPr>
        <w:jc w:val="center"/>
        <w:rPr>
          <w:b/>
          <w:bCs/>
        </w:rPr>
      </w:pPr>
    </w:p>
    <w:p w14:paraId="4070A506" w14:textId="77777777" w:rsidR="00C55143" w:rsidRDefault="00C55143" w:rsidP="00896701">
      <w:pPr>
        <w:jc w:val="center"/>
        <w:rPr>
          <w:b/>
          <w:bCs/>
        </w:rPr>
      </w:pPr>
    </w:p>
    <w:p w14:paraId="579255B1" w14:textId="77777777" w:rsidR="00C55143" w:rsidRDefault="00C55143" w:rsidP="00896701">
      <w:pPr>
        <w:jc w:val="center"/>
        <w:rPr>
          <w:b/>
          <w:bCs/>
        </w:rPr>
      </w:pPr>
    </w:p>
    <w:p w14:paraId="0A33E67D" w14:textId="77777777" w:rsidR="00C55143" w:rsidRDefault="00C55143" w:rsidP="00896701">
      <w:pPr>
        <w:jc w:val="center"/>
        <w:rPr>
          <w:b/>
          <w:bCs/>
        </w:rPr>
      </w:pPr>
    </w:p>
    <w:p w14:paraId="4F14DE49" w14:textId="23EE5B5E" w:rsidR="006302D3" w:rsidRPr="00896701" w:rsidRDefault="006302D3" w:rsidP="00896701">
      <w:pPr>
        <w:jc w:val="center"/>
        <w:rPr>
          <w:b/>
          <w:bCs/>
        </w:rPr>
      </w:pPr>
      <w:r w:rsidRPr="00896701">
        <w:rPr>
          <w:b/>
          <w:bCs/>
        </w:rPr>
        <w:t xml:space="preserve">Table A.2 </w:t>
      </w:r>
      <w:r w:rsidR="00F90084" w:rsidRPr="00896701">
        <w:rPr>
          <w:b/>
          <w:bCs/>
        </w:rPr>
        <w:t xml:space="preserve">Estimate of Cost by </w:t>
      </w:r>
      <w:r w:rsidR="007C3E45" w:rsidRPr="00896701">
        <w:rPr>
          <w:b/>
          <w:bCs/>
        </w:rPr>
        <w:t>S</w:t>
      </w:r>
      <w:r w:rsidR="00F90084" w:rsidRPr="00896701">
        <w:rPr>
          <w:b/>
          <w:bCs/>
        </w:rPr>
        <w:t>ubtask</w:t>
      </w:r>
      <w:r w:rsidR="007C3E45" w:rsidRPr="00896701">
        <w:rPr>
          <w:b/>
          <w:bCs/>
        </w:rPr>
        <w:t xml:space="preserve"> and Organization</w:t>
      </w:r>
    </w:p>
    <w:bookmarkEnd w:id="4"/>
    <w:p w14:paraId="3E1D994E" w14:textId="205CC449" w:rsidR="00B141CC" w:rsidRDefault="00B141CC" w:rsidP="00406241">
      <w:pPr>
        <w:rPr>
          <w:highlight w:val="yellow"/>
        </w:rPr>
      </w:pPr>
    </w:p>
    <w:tbl>
      <w:tblPr>
        <w:tblW w:w="0" w:type="auto"/>
        <w:tblCellMar>
          <w:left w:w="0" w:type="dxa"/>
          <w:right w:w="0" w:type="dxa"/>
        </w:tblCellMar>
        <w:tblLook w:val="04A0" w:firstRow="1" w:lastRow="0" w:firstColumn="1" w:lastColumn="0" w:noHBand="0" w:noVBand="1"/>
      </w:tblPr>
      <w:tblGrid>
        <w:gridCol w:w="1822"/>
        <w:gridCol w:w="1220"/>
        <w:gridCol w:w="3091"/>
        <w:gridCol w:w="1089"/>
        <w:gridCol w:w="2256"/>
      </w:tblGrid>
      <w:tr w:rsidR="00C55143" w:rsidRPr="00011CC5" w14:paraId="1EB4997E" w14:textId="77777777" w:rsidTr="00B40695">
        <w:tc>
          <w:tcPr>
            <w:tcW w:w="2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2CB010" w14:textId="41E0233D" w:rsidR="007D57A5" w:rsidRPr="00896701" w:rsidRDefault="00DC6742" w:rsidP="00B40695">
            <w:pPr>
              <w:spacing w:before="100" w:beforeAutospacing="1" w:after="100" w:afterAutospacing="1"/>
            </w:pPr>
            <w:r>
              <w:rPr>
                <w:bCs/>
              </w:rPr>
              <w:t>Subt</w:t>
            </w:r>
            <w:r w:rsidR="007D57A5" w:rsidRPr="00896701">
              <w:rPr>
                <w:bCs/>
              </w:rPr>
              <w:t>ask</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6B00D3" w14:textId="77777777" w:rsidR="007D57A5" w:rsidRPr="00896701" w:rsidRDefault="007D57A5" w:rsidP="00B40695">
            <w:pPr>
              <w:spacing w:before="100" w:beforeAutospacing="1" w:after="100" w:afterAutospacing="1"/>
            </w:pPr>
            <w:r w:rsidRPr="00896701">
              <w:rPr>
                <w:bCs/>
              </w:rPr>
              <w:t>Chapin Hall Amount</w:t>
            </w:r>
          </w:p>
        </w:tc>
        <w:tc>
          <w:tcPr>
            <w:tcW w:w="4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B5C2B" w14:textId="77777777" w:rsidR="007D57A5" w:rsidRPr="00896701" w:rsidRDefault="007D57A5" w:rsidP="00B40695">
            <w:pPr>
              <w:spacing w:before="100" w:beforeAutospacing="1" w:after="100" w:afterAutospacing="1"/>
            </w:pPr>
            <w:r w:rsidRPr="00896701">
              <w:rPr>
                <w:bCs/>
              </w:rPr>
              <w:t>Chapin Hall Detail</w:t>
            </w:r>
          </w:p>
        </w:tc>
        <w:tc>
          <w:tcPr>
            <w:tcW w:w="1440" w:type="dxa"/>
            <w:tcBorders>
              <w:top w:val="single" w:sz="8" w:space="0" w:color="auto"/>
              <w:left w:val="nil"/>
              <w:bottom w:val="single" w:sz="8" w:space="0" w:color="auto"/>
              <w:right w:val="single" w:sz="8" w:space="0" w:color="auto"/>
            </w:tcBorders>
          </w:tcPr>
          <w:p w14:paraId="7FDBBC54" w14:textId="77777777" w:rsidR="007D57A5" w:rsidRPr="00896701" w:rsidRDefault="007D57A5" w:rsidP="00B40695">
            <w:pPr>
              <w:spacing w:before="100" w:beforeAutospacing="1" w:after="100" w:afterAutospacing="1"/>
              <w:rPr>
                <w:bCs/>
              </w:rPr>
            </w:pPr>
            <w:r w:rsidRPr="00896701">
              <w:rPr>
                <w:bCs/>
              </w:rPr>
              <w:t>MDRC Amount</w:t>
            </w:r>
          </w:p>
        </w:tc>
        <w:tc>
          <w:tcPr>
            <w:tcW w:w="3230" w:type="dxa"/>
            <w:tcBorders>
              <w:top w:val="single" w:sz="8" w:space="0" w:color="auto"/>
              <w:left w:val="nil"/>
              <w:bottom w:val="single" w:sz="8" w:space="0" w:color="auto"/>
              <w:right w:val="single" w:sz="8" w:space="0" w:color="auto"/>
            </w:tcBorders>
          </w:tcPr>
          <w:p w14:paraId="2BD4D322" w14:textId="77777777" w:rsidR="007D57A5" w:rsidRPr="00896701" w:rsidRDefault="007D57A5" w:rsidP="00B40695">
            <w:pPr>
              <w:spacing w:before="100" w:beforeAutospacing="1" w:after="100" w:afterAutospacing="1"/>
              <w:rPr>
                <w:bCs/>
              </w:rPr>
            </w:pPr>
            <w:r w:rsidRPr="00896701">
              <w:rPr>
                <w:bCs/>
              </w:rPr>
              <w:t>MDRC Detail</w:t>
            </w:r>
          </w:p>
        </w:tc>
      </w:tr>
      <w:tr w:rsidR="00C55143" w:rsidRPr="00011CC5" w14:paraId="4282EDDE" w14:textId="77777777" w:rsidTr="00B40695">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13DF5" w14:textId="77777777" w:rsidR="007D57A5" w:rsidRPr="00011CC5" w:rsidRDefault="007D57A5" w:rsidP="00B40695">
            <w:pPr>
              <w:spacing w:before="100" w:beforeAutospacing="1" w:after="100" w:afterAutospacing="1"/>
            </w:pPr>
            <w:r w:rsidRPr="00011CC5">
              <w:t>Survey Design, </w:t>
            </w:r>
          </w:p>
          <w:p w14:paraId="4062A8E9" w14:textId="77777777" w:rsidR="007D57A5" w:rsidRPr="00011CC5" w:rsidRDefault="007D57A5" w:rsidP="00B40695">
            <w:pPr>
              <w:spacing w:before="100" w:beforeAutospacing="1" w:after="100" w:afterAutospacing="1"/>
            </w:pPr>
            <w:r w:rsidRPr="00011CC5">
              <w:t>Instrument Development, </w:t>
            </w:r>
          </w:p>
          <w:p w14:paraId="23F6C25F" w14:textId="77777777" w:rsidR="007D57A5" w:rsidRPr="00011CC5" w:rsidRDefault="007D57A5" w:rsidP="00B40695">
            <w:pPr>
              <w:spacing w:before="100" w:beforeAutospacing="1" w:after="100" w:afterAutospacing="1"/>
            </w:pPr>
            <w:r w:rsidRPr="00011CC5">
              <w:t>Pilot and User Testing</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C8B742D" w14:textId="77777777" w:rsidR="007D57A5" w:rsidRPr="00011CC5" w:rsidRDefault="007D57A5" w:rsidP="00B40695">
            <w:pPr>
              <w:spacing w:before="100" w:beforeAutospacing="1" w:after="100" w:afterAutospacing="1"/>
            </w:pPr>
            <w:r w:rsidRPr="00011CC5">
              <w:t>$115,000</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2E97096E" w14:textId="77777777" w:rsidR="00486FB4" w:rsidRDefault="007D57A5" w:rsidP="00C55143">
            <w:r w:rsidRPr="00C55143">
              <w:rPr>
                <w:bCs/>
              </w:rPr>
              <w:t>Over a one year period</w:t>
            </w:r>
            <w:r w:rsidRPr="00125419">
              <w:t>,</w:t>
            </w:r>
            <w:r w:rsidRPr="00011CC5">
              <w:t xml:space="preserve"> includes approximately</w:t>
            </w:r>
            <w:r w:rsidR="00486FB4">
              <w:t>:</w:t>
            </w:r>
            <w:r w:rsidRPr="00011CC5">
              <w:t xml:space="preserve"> </w:t>
            </w:r>
          </w:p>
          <w:p w14:paraId="1CF4CEFF" w14:textId="2F74CADB" w:rsidR="007D57A5" w:rsidRPr="00011CC5" w:rsidRDefault="007D57A5" w:rsidP="00C55143">
            <w:pPr>
              <w:pStyle w:val="ListParagraph"/>
              <w:numPr>
                <w:ilvl w:val="0"/>
                <w:numId w:val="39"/>
              </w:numPr>
            </w:pPr>
            <w:r w:rsidRPr="00011CC5">
              <w:t>4% FTE for PI, </w:t>
            </w:r>
          </w:p>
          <w:p w14:paraId="76B5CEA5" w14:textId="77777777" w:rsidR="007D57A5" w:rsidRPr="00011CC5" w:rsidRDefault="007D57A5" w:rsidP="00C55143">
            <w:pPr>
              <w:pStyle w:val="ListParagraph"/>
              <w:numPr>
                <w:ilvl w:val="0"/>
                <w:numId w:val="39"/>
              </w:numPr>
              <w:spacing w:before="100" w:beforeAutospacing="1" w:after="100" w:afterAutospacing="1"/>
            </w:pPr>
            <w:r w:rsidRPr="00011CC5">
              <w:t>30% combined FTE for researchers overseeing project,  </w:t>
            </w:r>
          </w:p>
          <w:p w14:paraId="37C5911E" w14:textId="77777777" w:rsidR="007D57A5" w:rsidRPr="00011CC5" w:rsidRDefault="007D57A5" w:rsidP="00C55143">
            <w:pPr>
              <w:pStyle w:val="ListParagraph"/>
              <w:numPr>
                <w:ilvl w:val="0"/>
                <w:numId w:val="39"/>
              </w:numPr>
              <w:spacing w:before="100" w:beforeAutospacing="1" w:after="100" w:afterAutospacing="1"/>
            </w:pPr>
            <w:r w:rsidRPr="00011CC5">
              <w:t>20% combined FTE for analysts, and </w:t>
            </w:r>
          </w:p>
          <w:p w14:paraId="315D0B6F" w14:textId="77777777" w:rsidR="007D57A5" w:rsidRPr="00011CC5" w:rsidRDefault="007D57A5" w:rsidP="00C55143">
            <w:pPr>
              <w:pStyle w:val="ListParagraph"/>
              <w:numPr>
                <w:ilvl w:val="0"/>
                <w:numId w:val="39"/>
              </w:numPr>
              <w:spacing w:before="100" w:beforeAutospacing="1" w:after="100" w:afterAutospacing="1"/>
            </w:pPr>
            <w:r w:rsidRPr="00011CC5">
              <w:t>4% FTE for project coordination</w:t>
            </w:r>
          </w:p>
        </w:tc>
        <w:tc>
          <w:tcPr>
            <w:tcW w:w="1440" w:type="dxa"/>
            <w:tcBorders>
              <w:top w:val="nil"/>
              <w:left w:val="nil"/>
              <w:bottom w:val="single" w:sz="8" w:space="0" w:color="auto"/>
              <w:right w:val="single" w:sz="8" w:space="0" w:color="auto"/>
            </w:tcBorders>
          </w:tcPr>
          <w:p w14:paraId="598C6B81" w14:textId="77777777" w:rsidR="007D57A5" w:rsidRPr="00011CC5" w:rsidRDefault="007D57A5" w:rsidP="00B40695">
            <w:pPr>
              <w:spacing w:before="100" w:beforeAutospacing="1" w:after="100" w:afterAutospacing="1"/>
              <w:rPr>
                <w:bCs/>
              </w:rPr>
            </w:pPr>
            <w:r w:rsidRPr="00011CC5">
              <w:rPr>
                <w:bCs/>
              </w:rPr>
              <w:t>$</w:t>
            </w:r>
            <w:r>
              <w:rPr>
                <w:bCs/>
              </w:rPr>
              <w:t>12,000</w:t>
            </w:r>
          </w:p>
        </w:tc>
        <w:tc>
          <w:tcPr>
            <w:tcW w:w="3230" w:type="dxa"/>
            <w:tcBorders>
              <w:top w:val="nil"/>
              <w:left w:val="nil"/>
              <w:bottom w:val="single" w:sz="8" w:space="0" w:color="auto"/>
              <w:right w:val="single" w:sz="8" w:space="0" w:color="auto"/>
            </w:tcBorders>
          </w:tcPr>
          <w:p w14:paraId="3E642FA9" w14:textId="77777777" w:rsidR="00125419" w:rsidRDefault="007D57A5" w:rsidP="00C55143">
            <w:r w:rsidRPr="00C55143">
              <w:rPr>
                <w:bCs/>
              </w:rPr>
              <w:t>Over a one year period</w:t>
            </w:r>
            <w:r w:rsidRPr="00125419">
              <w:t>,</w:t>
            </w:r>
            <w:r w:rsidRPr="00011CC5">
              <w:t xml:space="preserve"> includes approximately</w:t>
            </w:r>
            <w:r w:rsidR="00125419">
              <w:t>:</w:t>
            </w:r>
          </w:p>
          <w:p w14:paraId="7B0506F5" w14:textId="248542C8" w:rsidR="007D57A5" w:rsidRDefault="007D57A5" w:rsidP="00C55143">
            <w:pPr>
              <w:pStyle w:val="ListParagraph"/>
              <w:numPr>
                <w:ilvl w:val="0"/>
                <w:numId w:val="40"/>
              </w:numPr>
            </w:pPr>
            <w:r>
              <w:t>1</w:t>
            </w:r>
            <w:r w:rsidRPr="00011CC5">
              <w:t>% FTE for PI, </w:t>
            </w:r>
          </w:p>
          <w:p w14:paraId="0AE8CFB5" w14:textId="77777777" w:rsidR="007D57A5" w:rsidRPr="00011CC5" w:rsidRDefault="007D57A5" w:rsidP="00C55143">
            <w:pPr>
              <w:pStyle w:val="ListParagraph"/>
              <w:numPr>
                <w:ilvl w:val="0"/>
                <w:numId w:val="40"/>
              </w:numPr>
              <w:spacing w:before="100" w:beforeAutospacing="1" w:after="100" w:afterAutospacing="1"/>
            </w:pPr>
            <w:r>
              <w:t xml:space="preserve">5% combined for researchers and coordination. </w:t>
            </w:r>
          </w:p>
          <w:p w14:paraId="2074F90B" w14:textId="77777777" w:rsidR="007D57A5" w:rsidRPr="00011CC5" w:rsidRDefault="007D57A5" w:rsidP="00B40695">
            <w:pPr>
              <w:spacing w:before="100" w:beforeAutospacing="1" w:after="100" w:afterAutospacing="1"/>
              <w:rPr>
                <w:b/>
                <w:bCs/>
              </w:rPr>
            </w:pPr>
          </w:p>
        </w:tc>
      </w:tr>
      <w:tr w:rsidR="00C55143" w:rsidRPr="00011CC5" w14:paraId="6997CDA5" w14:textId="77777777" w:rsidTr="00B40695">
        <w:tc>
          <w:tcPr>
            <w:tcW w:w="20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3EC3371" w14:textId="77777777" w:rsidR="007D57A5" w:rsidRPr="00011CC5" w:rsidRDefault="007D57A5" w:rsidP="00B40695">
            <w:pPr>
              <w:spacing w:before="100" w:beforeAutospacing="1" w:after="100" w:afterAutospacing="1"/>
            </w:pPr>
            <w:r w:rsidRPr="00011CC5">
              <w:rPr>
                <w:color w:val="000000"/>
              </w:rPr>
              <w:t>Survey administration</w:t>
            </w:r>
          </w:p>
        </w:tc>
        <w:tc>
          <w:tcPr>
            <w:tcW w:w="1350" w:type="dxa"/>
            <w:tcBorders>
              <w:top w:val="nil"/>
              <w:left w:val="nil"/>
              <w:bottom w:val="single" w:sz="4" w:space="0" w:color="auto"/>
              <w:right w:val="single" w:sz="8" w:space="0" w:color="auto"/>
            </w:tcBorders>
            <w:tcMar>
              <w:top w:w="0" w:type="dxa"/>
              <w:left w:w="108" w:type="dxa"/>
              <w:bottom w:w="0" w:type="dxa"/>
              <w:right w:w="108" w:type="dxa"/>
            </w:tcMar>
            <w:hideMark/>
          </w:tcPr>
          <w:p w14:paraId="077E4F12" w14:textId="77777777" w:rsidR="007D57A5" w:rsidRPr="00011CC5" w:rsidRDefault="007D57A5" w:rsidP="00B40695">
            <w:pPr>
              <w:spacing w:before="100" w:beforeAutospacing="1" w:after="100" w:afterAutospacing="1"/>
            </w:pPr>
            <w:r w:rsidRPr="00011CC5">
              <w:t>$160,000</w:t>
            </w:r>
          </w:p>
        </w:tc>
        <w:tc>
          <w:tcPr>
            <w:tcW w:w="4860" w:type="dxa"/>
            <w:tcBorders>
              <w:top w:val="nil"/>
              <w:left w:val="nil"/>
              <w:bottom w:val="single" w:sz="4" w:space="0" w:color="auto"/>
              <w:right w:val="single" w:sz="8" w:space="0" w:color="auto"/>
            </w:tcBorders>
            <w:tcMar>
              <w:top w:w="0" w:type="dxa"/>
              <w:left w:w="108" w:type="dxa"/>
              <w:bottom w:w="0" w:type="dxa"/>
              <w:right w:w="108" w:type="dxa"/>
            </w:tcMar>
            <w:hideMark/>
          </w:tcPr>
          <w:p w14:paraId="747BD370" w14:textId="77777777" w:rsidR="00C55143" w:rsidRDefault="007D57A5" w:rsidP="00C55143">
            <w:r w:rsidRPr="00C55143">
              <w:rPr>
                <w:bCs/>
              </w:rPr>
              <w:t>Over a three month period,</w:t>
            </w:r>
            <w:r w:rsidRPr="00011CC5">
              <w:t xml:space="preserve"> includes approximately</w:t>
            </w:r>
            <w:r w:rsidR="00C55143">
              <w:t>:</w:t>
            </w:r>
            <w:r w:rsidRPr="00011CC5">
              <w:t xml:space="preserve"> </w:t>
            </w:r>
          </w:p>
          <w:p w14:paraId="13AC10ED" w14:textId="62F1E219" w:rsidR="007D57A5" w:rsidRPr="00011CC5" w:rsidRDefault="007D57A5" w:rsidP="00C55143">
            <w:pPr>
              <w:pStyle w:val="ListParagraph"/>
              <w:numPr>
                <w:ilvl w:val="0"/>
                <w:numId w:val="41"/>
              </w:numPr>
            </w:pPr>
            <w:r w:rsidRPr="00011CC5">
              <w:t>10% FTE for PI,</w:t>
            </w:r>
          </w:p>
          <w:p w14:paraId="4B120E18" w14:textId="77777777" w:rsidR="007D57A5" w:rsidRPr="00011CC5" w:rsidRDefault="007D57A5" w:rsidP="00C55143">
            <w:pPr>
              <w:pStyle w:val="ListParagraph"/>
              <w:numPr>
                <w:ilvl w:val="0"/>
                <w:numId w:val="41"/>
              </w:numPr>
              <w:spacing w:before="100" w:beforeAutospacing="1" w:after="100" w:afterAutospacing="1"/>
            </w:pPr>
            <w:r w:rsidRPr="00011CC5">
              <w:t>35% FTE each for two researchers overseeing project, </w:t>
            </w:r>
          </w:p>
          <w:p w14:paraId="0EB378D3" w14:textId="77777777" w:rsidR="007D57A5" w:rsidRPr="00011CC5" w:rsidRDefault="007D57A5" w:rsidP="00C55143">
            <w:pPr>
              <w:pStyle w:val="ListParagraph"/>
              <w:numPr>
                <w:ilvl w:val="0"/>
                <w:numId w:val="41"/>
              </w:numPr>
              <w:spacing w:before="100" w:beforeAutospacing="1" w:after="100" w:afterAutospacing="1"/>
            </w:pPr>
            <w:r w:rsidRPr="00011CC5">
              <w:t>50% FTE each for two analysts fielding survey and data cleaning, and </w:t>
            </w:r>
          </w:p>
          <w:p w14:paraId="162F02C8" w14:textId="77777777" w:rsidR="007D57A5" w:rsidRPr="00011CC5" w:rsidRDefault="007D57A5" w:rsidP="00C55143">
            <w:pPr>
              <w:pStyle w:val="ListParagraph"/>
              <w:numPr>
                <w:ilvl w:val="0"/>
                <w:numId w:val="41"/>
              </w:numPr>
              <w:spacing w:before="100" w:beforeAutospacing="1" w:after="100" w:afterAutospacing="1"/>
            </w:pPr>
            <w:r w:rsidRPr="00011CC5">
              <w:t>30% FTE monitoring survey completion and respondent follow-up</w:t>
            </w:r>
          </w:p>
        </w:tc>
        <w:tc>
          <w:tcPr>
            <w:tcW w:w="1440" w:type="dxa"/>
            <w:tcBorders>
              <w:top w:val="nil"/>
              <w:left w:val="nil"/>
              <w:bottom w:val="single" w:sz="4" w:space="0" w:color="auto"/>
              <w:right w:val="single" w:sz="8" w:space="0" w:color="auto"/>
            </w:tcBorders>
          </w:tcPr>
          <w:p w14:paraId="248A7B1D" w14:textId="77777777" w:rsidR="007D57A5" w:rsidRPr="00011CC5" w:rsidRDefault="007D57A5" w:rsidP="00B40695">
            <w:pPr>
              <w:spacing w:before="100" w:beforeAutospacing="1" w:after="100" w:afterAutospacing="1"/>
              <w:rPr>
                <w:bCs/>
              </w:rPr>
            </w:pPr>
            <w:r w:rsidRPr="00011CC5">
              <w:rPr>
                <w:bCs/>
              </w:rPr>
              <w:t>$</w:t>
            </w:r>
            <w:r>
              <w:rPr>
                <w:bCs/>
              </w:rPr>
              <w:t>12,000</w:t>
            </w:r>
          </w:p>
        </w:tc>
        <w:tc>
          <w:tcPr>
            <w:tcW w:w="3230" w:type="dxa"/>
            <w:tcBorders>
              <w:top w:val="nil"/>
              <w:left w:val="nil"/>
              <w:bottom w:val="single" w:sz="4" w:space="0" w:color="auto"/>
              <w:right w:val="single" w:sz="8" w:space="0" w:color="auto"/>
            </w:tcBorders>
          </w:tcPr>
          <w:p w14:paraId="60441235" w14:textId="77777777" w:rsidR="00C55143" w:rsidRDefault="007D57A5" w:rsidP="00C55143">
            <w:r w:rsidRPr="00C55143">
              <w:rPr>
                <w:bCs/>
              </w:rPr>
              <w:t>Over a three month period</w:t>
            </w:r>
            <w:r w:rsidRPr="00C55143">
              <w:t>,</w:t>
            </w:r>
            <w:r w:rsidRPr="00011CC5">
              <w:t xml:space="preserve"> includes approximately</w:t>
            </w:r>
            <w:r w:rsidR="00C55143">
              <w:t>:</w:t>
            </w:r>
          </w:p>
          <w:p w14:paraId="6FA1D3CF" w14:textId="2E7B7384" w:rsidR="007D57A5" w:rsidRDefault="007D57A5" w:rsidP="00C55143">
            <w:pPr>
              <w:pStyle w:val="ListParagraph"/>
              <w:numPr>
                <w:ilvl w:val="0"/>
                <w:numId w:val="42"/>
              </w:numPr>
            </w:pPr>
            <w:r>
              <w:t>1</w:t>
            </w:r>
            <w:r w:rsidRPr="00011CC5">
              <w:t>% FTE for PI, </w:t>
            </w:r>
          </w:p>
          <w:p w14:paraId="2E47A8F5" w14:textId="77777777" w:rsidR="007D57A5" w:rsidRPr="00011CC5" w:rsidRDefault="007D57A5" w:rsidP="00C55143">
            <w:pPr>
              <w:pStyle w:val="ListParagraph"/>
              <w:numPr>
                <w:ilvl w:val="0"/>
                <w:numId w:val="42"/>
              </w:numPr>
              <w:spacing w:before="100" w:beforeAutospacing="1" w:after="100" w:afterAutospacing="1"/>
            </w:pPr>
            <w:r>
              <w:t xml:space="preserve">5% combined for researchers and coordination. </w:t>
            </w:r>
          </w:p>
          <w:p w14:paraId="0E29831E" w14:textId="77777777" w:rsidR="007D57A5" w:rsidRPr="00011CC5" w:rsidRDefault="007D57A5" w:rsidP="00B40695">
            <w:pPr>
              <w:spacing w:before="100" w:beforeAutospacing="1" w:after="100" w:afterAutospacing="1"/>
              <w:rPr>
                <w:b/>
                <w:bCs/>
              </w:rPr>
            </w:pPr>
          </w:p>
        </w:tc>
      </w:tr>
      <w:tr w:rsidR="00C55143" w:rsidRPr="00011CC5" w14:paraId="3CADEE90" w14:textId="77777777" w:rsidTr="00B40695">
        <w:tc>
          <w:tcPr>
            <w:tcW w:w="2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9122C" w14:textId="77777777" w:rsidR="007D57A5" w:rsidRPr="00011CC5" w:rsidRDefault="007D57A5" w:rsidP="00B40695">
            <w:pPr>
              <w:spacing w:before="100" w:beforeAutospacing="1" w:after="100" w:afterAutospacing="1"/>
            </w:pPr>
            <w:r w:rsidRPr="00011CC5">
              <w:rPr>
                <w:color w:val="000000"/>
              </w:rPr>
              <w:t>Analysis and initial dissemination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B1D03" w14:textId="77777777" w:rsidR="007D57A5" w:rsidRPr="00011CC5" w:rsidRDefault="007D57A5" w:rsidP="00B40695">
            <w:pPr>
              <w:spacing w:before="100" w:beforeAutospacing="1" w:after="100" w:afterAutospacing="1"/>
            </w:pPr>
            <w:r w:rsidRPr="00011CC5">
              <w:t>$42,000</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F21A6" w14:textId="77777777" w:rsidR="00C55143" w:rsidRDefault="007D57A5" w:rsidP="00C55143">
            <w:r w:rsidRPr="00C55143">
              <w:rPr>
                <w:bCs/>
              </w:rPr>
              <w:t>Over a three month period,</w:t>
            </w:r>
            <w:r w:rsidRPr="00011CC5">
              <w:t xml:space="preserve"> includes approximately</w:t>
            </w:r>
            <w:r w:rsidR="00C55143">
              <w:t>:</w:t>
            </w:r>
          </w:p>
          <w:p w14:paraId="3195062F" w14:textId="199AC648" w:rsidR="007D57A5" w:rsidRPr="00011CC5" w:rsidRDefault="007D57A5" w:rsidP="00C55143">
            <w:pPr>
              <w:pStyle w:val="ListParagraph"/>
              <w:numPr>
                <w:ilvl w:val="0"/>
                <w:numId w:val="43"/>
              </w:numPr>
            </w:pPr>
            <w:r w:rsidRPr="00011CC5">
              <w:t>12% FTE for PI,</w:t>
            </w:r>
          </w:p>
          <w:p w14:paraId="3D1B09EC" w14:textId="77777777" w:rsidR="007D57A5" w:rsidRPr="00011CC5" w:rsidRDefault="007D57A5" w:rsidP="00C55143">
            <w:pPr>
              <w:pStyle w:val="ListParagraph"/>
              <w:numPr>
                <w:ilvl w:val="0"/>
                <w:numId w:val="43"/>
              </w:numPr>
              <w:spacing w:before="100" w:beforeAutospacing="1" w:after="100" w:afterAutospacing="1"/>
            </w:pPr>
            <w:r w:rsidRPr="00011CC5">
              <w:t>40% combined FTE for researchers overseeing project, and</w:t>
            </w:r>
          </w:p>
          <w:p w14:paraId="51587C33" w14:textId="77777777" w:rsidR="007D57A5" w:rsidRPr="00011CC5" w:rsidRDefault="007D57A5" w:rsidP="00C55143">
            <w:pPr>
              <w:pStyle w:val="ListParagraph"/>
              <w:numPr>
                <w:ilvl w:val="0"/>
                <w:numId w:val="43"/>
              </w:numPr>
              <w:spacing w:before="100" w:beforeAutospacing="1" w:after="100" w:afterAutospacing="1"/>
            </w:pPr>
            <w:r w:rsidRPr="00011CC5">
              <w:t>20% FTE for analyst support analysis.</w:t>
            </w:r>
          </w:p>
        </w:tc>
        <w:tc>
          <w:tcPr>
            <w:tcW w:w="1440" w:type="dxa"/>
            <w:tcBorders>
              <w:top w:val="single" w:sz="4" w:space="0" w:color="auto"/>
              <w:left w:val="single" w:sz="4" w:space="0" w:color="auto"/>
              <w:bottom w:val="single" w:sz="4" w:space="0" w:color="auto"/>
              <w:right w:val="single" w:sz="4" w:space="0" w:color="auto"/>
            </w:tcBorders>
          </w:tcPr>
          <w:p w14:paraId="4AA185B8" w14:textId="77777777" w:rsidR="007D57A5" w:rsidRPr="00011CC5" w:rsidRDefault="007D57A5" w:rsidP="00B40695">
            <w:pPr>
              <w:spacing w:before="100" w:beforeAutospacing="1" w:after="100" w:afterAutospacing="1"/>
              <w:rPr>
                <w:bCs/>
              </w:rPr>
            </w:pPr>
            <w:r w:rsidRPr="00011CC5">
              <w:rPr>
                <w:bCs/>
              </w:rPr>
              <w:t>$</w:t>
            </w:r>
            <w:r>
              <w:rPr>
                <w:bCs/>
              </w:rPr>
              <w:t>12,000</w:t>
            </w:r>
          </w:p>
        </w:tc>
        <w:tc>
          <w:tcPr>
            <w:tcW w:w="3230" w:type="dxa"/>
            <w:tcBorders>
              <w:top w:val="single" w:sz="4" w:space="0" w:color="auto"/>
              <w:left w:val="single" w:sz="4" w:space="0" w:color="auto"/>
              <w:bottom w:val="single" w:sz="4" w:space="0" w:color="auto"/>
              <w:right w:val="single" w:sz="4" w:space="0" w:color="auto"/>
            </w:tcBorders>
          </w:tcPr>
          <w:p w14:paraId="2B12CC8B" w14:textId="77777777" w:rsidR="00C55143" w:rsidRDefault="007D57A5" w:rsidP="00C55143">
            <w:r w:rsidRPr="00C55143">
              <w:rPr>
                <w:bCs/>
              </w:rPr>
              <w:t>Over a one year period</w:t>
            </w:r>
            <w:r w:rsidRPr="00C55143">
              <w:t>,</w:t>
            </w:r>
            <w:r w:rsidRPr="00011CC5">
              <w:t xml:space="preserve"> includes approximately</w:t>
            </w:r>
            <w:r w:rsidR="00C55143">
              <w:t>:</w:t>
            </w:r>
            <w:r w:rsidRPr="00011CC5">
              <w:t xml:space="preserve"> </w:t>
            </w:r>
          </w:p>
          <w:p w14:paraId="3193D1D7" w14:textId="287BA918" w:rsidR="007D57A5" w:rsidRDefault="007D57A5" w:rsidP="00C55143">
            <w:pPr>
              <w:pStyle w:val="ListParagraph"/>
              <w:numPr>
                <w:ilvl w:val="0"/>
                <w:numId w:val="44"/>
              </w:numPr>
            </w:pPr>
            <w:r>
              <w:t>1</w:t>
            </w:r>
            <w:r w:rsidRPr="00011CC5">
              <w:t>% FTE for PI, </w:t>
            </w:r>
          </w:p>
          <w:p w14:paraId="0EE5F176" w14:textId="77777777" w:rsidR="007D57A5" w:rsidRPr="00011CC5" w:rsidRDefault="007D57A5" w:rsidP="00C55143">
            <w:pPr>
              <w:pStyle w:val="ListParagraph"/>
              <w:numPr>
                <w:ilvl w:val="0"/>
                <w:numId w:val="44"/>
              </w:numPr>
            </w:pPr>
            <w:r>
              <w:t xml:space="preserve">5% combined for researchers and coordination. </w:t>
            </w:r>
          </w:p>
          <w:p w14:paraId="266CF2DE" w14:textId="77777777" w:rsidR="007D57A5" w:rsidRPr="00011CC5" w:rsidRDefault="007D57A5" w:rsidP="00B40695">
            <w:pPr>
              <w:spacing w:before="100" w:beforeAutospacing="1" w:after="100" w:afterAutospacing="1"/>
              <w:rPr>
                <w:b/>
                <w:bCs/>
              </w:rPr>
            </w:pPr>
          </w:p>
        </w:tc>
      </w:tr>
      <w:tr w:rsidR="00C55143" w:rsidRPr="00011CC5" w14:paraId="2DE90737" w14:textId="77777777" w:rsidTr="00B40695">
        <w:tc>
          <w:tcPr>
            <w:tcW w:w="2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5E1D3" w14:textId="77777777" w:rsidR="007D57A5" w:rsidRPr="00011CC5" w:rsidRDefault="007D57A5" w:rsidP="00B40695">
            <w:pPr>
              <w:spacing w:before="100" w:beforeAutospacing="1" w:after="100" w:afterAutospacing="1"/>
              <w:rPr>
                <w:color w:val="000000"/>
              </w:rPr>
            </w:pPr>
            <w:r>
              <w:rPr>
                <w:color w:val="000000"/>
              </w:rPr>
              <w:t>Total</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561DA" w14:textId="77777777" w:rsidR="007D57A5" w:rsidRPr="00011CC5" w:rsidRDefault="007D57A5" w:rsidP="00B40695">
            <w:pPr>
              <w:spacing w:before="100" w:beforeAutospacing="1" w:after="100" w:afterAutospacing="1"/>
              <w:jc w:val="both"/>
            </w:pPr>
            <w:r w:rsidRPr="00011CC5">
              <w:t>$317,000</w:t>
            </w:r>
          </w:p>
        </w:tc>
        <w:tc>
          <w:tcPr>
            <w:tcW w:w="4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7A7F5" w14:textId="77777777" w:rsidR="007D57A5" w:rsidRPr="00011CC5" w:rsidRDefault="007D57A5" w:rsidP="00B40695">
            <w:pPr>
              <w:spacing w:before="100" w:beforeAutospacing="1" w:after="100" w:afterAutospacing="1"/>
              <w:rPr>
                <w:bCs/>
              </w:rPr>
            </w:pPr>
          </w:p>
        </w:tc>
        <w:tc>
          <w:tcPr>
            <w:tcW w:w="1440" w:type="dxa"/>
            <w:tcBorders>
              <w:top w:val="single" w:sz="4" w:space="0" w:color="auto"/>
              <w:left w:val="single" w:sz="4" w:space="0" w:color="auto"/>
              <w:bottom w:val="single" w:sz="4" w:space="0" w:color="auto"/>
              <w:right w:val="single" w:sz="4" w:space="0" w:color="auto"/>
            </w:tcBorders>
          </w:tcPr>
          <w:p w14:paraId="409351F2" w14:textId="77777777" w:rsidR="007D57A5" w:rsidRPr="00011CC5" w:rsidRDefault="007D57A5" w:rsidP="00B40695">
            <w:pPr>
              <w:spacing w:before="100" w:beforeAutospacing="1" w:after="100" w:afterAutospacing="1"/>
              <w:jc w:val="both"/>
              <w:rPr>
                <w:bCs/>
              </w:rPr>
            </w:pPr>
            <w:r w:rsidRPr="00011CC5">
              <w:rPr>
                <w:bCs/>
              </w:rPr>
              <w:t>$37,000</w:t>
            </w:r>
          </w:p>
        </w:tc>
        <w:tc>
          <w:tcPr>
            <w:tcW w:w="3230" w:type="dxa"/>
            <w:tcBorders>
              <w:top w:val="single" w:sz="4" w:space="0" w:color="auto"/>
              <w:left w:val="single" w:sz="4" w:space="0" w:color="auto"/>
              <w:bottom w:val="single" w:sz="4" w:space="0" w:color="auto"/>
              <w:right w:val="single" w:sz="4" w:space="0" w:color="auto"/>
            </w:tcBorders>
          </w:tcPr>
          <w:p w14:paraId="6EBB98FD" w14:textId="77777777" w:rsidR="007D57A5" w:rsidRPr="00011CC5" w:rsidRDefault="007D57A5" w:rsidP="00B40695">
            <w:pPr>
              <w:spacing w:before="100" w:beforeAutospacing="1" w:after="100" w:afterAutospacing="1"/>
              <w:rPr>
                <w:b/>
                <w:bCs/>
              </w:rPr>
            </w:pPr>
          </w:p>
        </w:tc>
      </w:tr>
      <w:tr w:rsidR="007D57A5" w:rsidRPr="00011CC5" w14:paraId="38441560" w14:textId="77777777" w:rsidTr="00B40695">
        <w:tc>
          <w:tcPr>
            <w:tcW w:w="2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692A2" w14:textId="77777777" w:rsidR="007D57A5" w:rsidRPr="00961F35" w:rsidRDefault="007D57A5" w:rsidP="00B40695">
            <w:pPr>
              <w:spacing w:before="100" w:beforeAutospacing="1" w:after="100" w:afterAutospacing="1"/>
              <w:rPr>
                <w:b/>
                <w:color w:val="000000"/>
              </w:rPr>
            </w:pPr>
            <w:r w:rsidRPr="00961F35">
              <w:rPr>
                <w:b/>
                <w:color w:val="000000"/>
              </w:rPr>
              <w:t>GRAND TOTAL</w:t>
            </w:r>
          </w:p>
        </w:tc>
        <w:tc>
          <w:tcPr>
            <w:tcW w:w="1088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43FE5" w14:textId="77777777" w:rsidR="007D57A5" w:rsidRPr="00011CC5" w:rsidRDefault="007D57A5" w:rsidP="00B40695">
            <w:pPr>
              <w:spacing w:before="100" w:beforeAutospacing="1" w:after="100" w:afterAutospacing="1"/>
              <w:jc w:val="right"/>
              <w:rPr>
                <w:b/>
                <w:bCs/>
              </w:rPr>
            </w:pPr>
            <w:r>
              <w:rPr>
                <w:b/>
                <w:bCs/>
              </w:rPr>
              <w:t>$354,000</w:t>
            </w:r>
          </w:p>
        </w:tc>
      </w:tr>
    </w:tbl>
    <w:p w14:paraId="21E2FA3E" w14:textId="5533D4AD" w:rsidR="007C3E45" w:rsidRDefault="007C3E45" w:rsidP="00406241">
      <w:pPr>
        <w:rPr>
          <w:highlight w:val="yellow"/>
        </w:rPr>
      </w:pPr>
    </w:p>
    <w:p w14:paraId="4072E4C3" w14:textId="77777777" w:rsidR="007C3E45" w:rsidRPr="00375786" w:rsidRDefault="007C3E45" w:rsidP="00406241">
      <w:pPr>
        <w:rPr>
          <w:highlight w:val="yellow"/>
        </w:rPr>
      </w:pPr>
    </w:p>
    <w:p w14:paraId="1AB8B712" w14:textId="77777777" w:rsidR="00945CD6" w:rsidRPr="007B0FBB" w:rsidRDefault="00292B70" w:rsidP="00406241">
      <w:pPr>
        <w:rPr>
          <w:b/>
        </w:rPr>
      </w:pPr>
      <w:r w:rsidRPr="007B0FBB">
        <w:rPr>
          <w:b/>
        </w:rPr>
        <w:t xml:space="preserve">A15. </w:t>
      </w:r>
      <w:r w:rsidR="00945CD6" w:rsidRPr="007B0FBB">
        <w:rPr>
          <w:b/>
        </w:rPr>
        <w:t>Change in Burden</w:t>
      </w:r>
    </w:p>
    <w:p w14:paraId="469E91AA" w14:textId="7F07DFCB" w:rsidR="00B141CC" w:rsidRPr="007B0FBB" w:rsidRDefault="00B141CC" w:rsidP="00B141CC">
      <w:pPr>
        <w:rPr>
          <w:bCs/>
        </w:rPr>
      </w:pPr>
      <w:r w:rsidRPr="007B0FBB">
        <w:rPr>
          <w:bCs/>
        </w:rPr>
        <w:t>This is a new</w:t>
      </w:r>
      <w:r w:rsidR="007B0FBB" w:rsidRPr="007B0FBB">
        <w:rPr>
          <w:bCs/>
        </w:rPr>
        <w:t xml:space="preserve"> data</w:t>
      </w:r>
      <w:r w:rsidRPr="007B0FBB">
        <w:rPr>
          <w:bCs/>
        </w:rPr>
        <w:t xml:space="preserve"> collection. </w:t>
      </w:r>
    </w:p>
    <w:p w14:paraId="1B650E35" w14:textId="77777777" w:rsidR="000B7C39" w:rsidRPr="00375786" w:rsidRDefault="000B7C39" w:rsidP="00183E71">
      <w:pPr>
        <w:rPr>
          <w:highlight w:val="yellow"/>
        </w:rPr>
      </w:pPr>
    </w:p>
    <w:p w14:paraId="0EDEBC28" w14:textId="7DF62E1E" w:rsidR="00945CD6" w:rsidRPr="001668D3" w:rsidRDefault="00292B70" w:rsidP="00183E71">
      <w:pPr>
        <w:rPr>
          <w:b/>
        </w:rPr>
      </w:pPr>
      <w:r w:rsidRPr="001668D3">
        <w:rPr>
          <w:b/>
        </w:rPr>
        <w:t xml:space="preserve">A16. </w:t>
      </w:r>
      <w:r w:rsidR="00945CD6" w:rsidRPr="001668D3">
        <w:rPr>
          <w:b/>
        </w:rPr>
        <w:t>Plan and Time Schedule for Information Collection, Tabulation and Publication</w:t>
      </w:r>
    </w:p>
    <w:p w14:paraId="685425BD" w14:textId="6BE724C6" w:rsidR="007B0FBB" w:rsidRDefault="007B0FBB" w:rsidP="00183E71">
      <w:pPr>
        <w:rPr>
          <w:b/>
          <w:highlight w:val="yellow"/>
        </w:rPr>
      </w:pPr>
    </w:p>
    <w:p w14:paraId="6CAECA06" w14:textId="635948B1" w:rsidR="007B0FBB" w:rsidRPr="00B5321A" w:rsidRDefault="007B0FBB" w:rsidP="00183E71">
      <w:pPr>
        <w:rPr>
          <w:b/>
          <w:i/>
          <w:color w:val="000000"/>
        </w:rPr>
      </w:pPr>
      <w:r>
        <w:rPr>
          <w:b/>
          <w:i/>
          <w:color w:val="000000"/>
        </w:rPr>
        <w:t>Analysis Plan</w:t>
      </w:r>
    </w:p>
    <w:p w14:paraId="4C89754D" w14:textId="77777777" w:rsidR="007B0FBB" w:rsidRPr="000E569C" w:rsidRDefault="007B0FBB" w:rsidP="007B0FBB">
      <w:r>
        <w:t xml:space="preserve">The team </w:t>
      </w:r>
      <w:r w:rsidRPr="000E569C">
        <w:t xml:space="preserve">will use a combination of qualitative and quantitative research methods to analyze the data we </w:t>
      </w:r>
      <w:r>
        <w:t xml:space="preserve">are proposing to </w:t>
      </w:r>
      <w:r w:rsidRPr="000E569C">
        <w:t>collect.</w:t>
      </w:r>
    </w:p>
    <w:p w14:paraId="5065F4B2" w14:textId="77777777" w:rsidR="007B0FBB" w:rsidRDefault="007B0FBB" w:rsidP="007B0FBB"/>
    <w:p w14:paraId="726935D1" w14:textId="3A889CAE" w:rsidR="007B0FBB" w:rsidRPr="000E569C" w:rsidRDefault="007B0FBB" w:rsidP="007B0FBB">
      <w:r w:rsidRPr="000E569C">
        <w:t>The qualitative analysis will focus on identifying themes, challenges, and opportunities across states. This analysis will synthesize findings from stakeholder interviews and free text responses from the online survey.</w:t>
      </w:r>
      <w:r w:rsidR="002C34C4" w:rsidRPr="000E569C" w:rsidDel="002C34C4">
        <w:t xml:space="preserve"> </w:t>
      </w:r>
    </w:p>
    <w:p w14:paraId="49427502" w14:textId="77777777" w:rsidR="007B0FBB" w:rsidRDefault="007B0FBB" w:rsidP="007B0FBB"/>
    <w:p w14:paraId="158F9EBA" w14:textId="224D4801" w:rsidR="007B0FBB" w:rsidRDefault="007B0FBB" w:rsidP="007B0FBB">
      <w:r w:rsidRPr="000E569C">
        <w:t xml:space="preserve">The quantitative analysis is intended to identify clusters of states that share similar strengths and challenges in the use of TANF data. </w:t>
      </w:r>
      <w:r>
        <w:t xml:space="preserve">This analysis will </w:t>
      </w:r>
      <w:r w:rsidR="00EB59ED">
        <w:t>categorize</w:t>
      </w:r>
      <w:r w:rsidR="00EB59ED" w:rsidRPr="000E569C">
        <w:t xml:space="preserve"> </w:t>
      </w:r>
      <w:r w:rsidR="00EB59ED">
        <w:t>states</w:t>
      </w:r>
      <w:r w:rsidR="00485EDA">
        <w:t>’</w:t>
      </w:r>
      <w:r w:rsidR="00EB59ED">
        <w:t xml:space="preserve"> readiness to effectively use data</w:t>
      </w:r>
      <w:r w:rsidR="00EB59ED" w:rsidRPr="000E569C">
        <w:t xml:space="preserve"> as well as identify gaps in </w:t>
      </w:r>
      <w:r w:rsidR="00EB59ED">
        <w:t>states’</w:t>
      </w:r>
      <w:r w:rsidR="00EB59ED" w:rsidRPr="000E569C">
        <w:t xml:space="preserve"> </w:t>
      </w:r>
      <w:r w:rsidR="00EB59ED">
        <w:t>capacity</w:t>
      </w:r>
      <w:r w:rsidR="00EB59ED" w:rsidRPr="000E569C">
        <w:t xml:space="preserve"> to work with data and the types of technical assistance that may benefit them.</w:t>
      </w:r>
      <w:r w:rsidRPr="000E569C">
        <w:t xml:space="preserve"> </w:t>
      </w:r>
      <w:r>
        <w:t>The study team will</w:t>
      </w:r>
      <w:r w:rsidRPr="000E569C">
        <w:t xml:space="preserve"> use a number of different models to see what groupings naturally emerge from the data. The analyses will use numeric and binary responses from the background data collection and online survey tool as variables to characterize each state. There are several dimension reduction methods that may be appropriate, such as factor analysis, latent class analysis, k-means, and decision trees.   </w:t>
      </w:r>
    </w:p>
    <w:p w14:paraId="228DA217" w14:textId="5F62CA2B" w:rsidR="007B0FBB" w:rsidRDefault="007B0FBB" w:rsidP="00183E71">
      <w:pPr>
        <w:rPr>
          <w:b/>
          <w:highlight w:val="yellow"/>
        </w:rPr>
      </w:pPr>
    </w:p>
    <w:p w14:paraId="6BF2C3F0" w14:textId="4664CB97" w:rsidR="00B5321A" w:rsidRDefault="00B5321A" w:rsidP="00183E71">
      <w:pPr>
        <w:rPr>
          <w:b/>
          <w:i/>
        </w:rPr>
      </w:pPr>
      <w:r w:rsidRPr="00F60EDA">
        <w:rPr>
          <w:b/>
          <w:i/>
        </w:rPr>
        <w:t>Time Schedule and Publication</w:t>
      </w:r>
    </w:p>
    <w:p w14:paraId="0C8E7FD1" w14:textId="295E6263" w:rsidR="00B5321A" w:rsidRDefault="00B5321A" w:rsidP="00B5321A">
      <w:pPr>
        <w:jc w:val="both"/>
      </w:pPr>
      <w:r>
        <w:t>Dates included in Table A.2</w:t>
      </w:r>
      <w:r w:rsidRPr="000E1A8A">
        <w:t xml:space="preserve"> are based on OMB approval of this information collection request. The timeline will be adjusted, if necessary. </w:t>
      </w:r>
    </w:p>
    <w:p w14:paraId="23E33F51" w14:textId="6BC1EB48" w:rsidR="00B5321A" w:rsidRDefault="00B5321A" w:rsidP="00183E71">
      <w:pPr>
        <w:rPr>
          <w:b/>
          <w:i/>
        </w:rPr>
      </w:pPr>
    </w:p>
    <w:p w14:paraId="1F865406" w14:textId="371D0A06" w:rsidR="00B5321A" w:rsidRDefault="00B5321A" w:rsidP="00B5321A">
      <w:pPr>
        <w:jc w:val="center"/>
        <w:rPr>
          <w:b/>
        </w:rPr>
      </w:pPr>
      <w:r w:rsidRPr="00F60EDA">
        <w:rPr>
          <w:b/>
        </w:rPr>
        <w:t xml:space="preserve">Table </w:t>
      </w:r>
      <w:r>
        <w:rPr>
          <w:b/>
        </w:rPr>
        <w:t>A</w:t>
      </w:r>
      <w:r w:rsidRPr="00F60EDA">
        <w:rPr>
          <w:b/>
        </w:rPr>
        <w:t>.</w:t>
      </w:r>
      <w:r>
        <w:rPr>
          <w:b/>
        </w:rPr>
        <w:t>2 Data Collection and Publication Timeline</w:t>
      </w:r>
    </w:p>
    <w:p w14:paraId="701662FD" w14:textId="26F4159F" w:rsidR="00B5321A" w:rsidRDefault="00B5321A" w:rsidP="00B5321A">
      <w:pPr>
        <w:jc w:val="center"/>
        <w:rPr>
          <w:b/>
        </w:rPr>
      </w:pPr>
    </w:p>
    <w:tbl>
      <w:tblPr>
        <w:tblW w:w="9978" w:type="dxa"/>
        <w:tblInd w:w="-252" w:type="dxa"/>
        <w:tblCellMar>
          <w:left w:w="0" w:type="dxa"/>
          <w:right w:w="0" w:type="dxa"/>
        </w:tblCellMar>
        <w:tblLook w:val="04A0" w:firstRow="1" w:lastRow="0" w:firstColumn="1" w:lastColumn="0" w:noHBand="0" w:noVBand="1"/>
      </w:tblPr>
      <w:tblGrid>
        <w:gridCol w:w="5580"/>
        <w:gridCol w:w="2160"/>
        <w:gridCol w:w="2238"/>
      </w:tblGrid>
      <w:tr w:rsidR="00B5321A" w:rsidRPr="00F60EDA" w14:paraId="4D597C8C" w14:textId="77777777" w:rsidTr="001668D3">
        <w:trPr>
          <w:trHeight w:val="345"/>
        </w:trPr>
        <w:tc>
          <w:tcPr>
            <w:tcW w:w="9978" w:type="dxa"/>
            <w:gridSpan w:val="3"/>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2774F7F7" w14:textId="77777777" w:rsidR="00B5321A" w:rsidRPr="00F60EDA" w:rsidRDefault="00B5321A" w:rsidP="001668D3">
            <w:pPr>
              <w:rPr>
                <w:b/>
                <w:bCs/>
              </w:rPr>
            </w:pPr>
            <w:r w:rsidRPr="00F60EDA">
              <w:rPr>
                <w:b/>
                <w:bCs/>
              </w:rPr>
              <w:t>Data Collection Timeline</w:t>
            </w:r>
          </w:p>
        </w:tc>
      </w:tr>
      <w:tr w:rsidR="00B5321A" w:rsidRPr="00F60EDA" w14:paraId="2F24D7C3" w14:textId="77777777" w:rsidTr="001668D3">
        <w:trPr>
          <w:trHeight w:val="363"/>
        </w:trPr>
        <w:tc>
          <w:tcPr>
            <w:tcW w:w="5580"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tcPr>
          <w:p w14:paraId="7D0BDB13" w14:textId="77777777" w:rsidR="00B5321A" w:rsidRPr="00F60EDA" w:rsidRDefault="00B5321A" w:rsidP="001668D3">
            <w:pPr>
              <w:rPr>
                <w:b/>
                <w:bCs/>
              </w:rPr>
            </w:pPr>
          </w:p>
        </w:tc>
        <w:tc>
          <w:tcPr>
            <w:tcW w:w="216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tcPr>
          <w:p w14:paraId="4AE06E66" w14:textId="77777777" w:rsidR="00B5321A" w:rsidRPr="00F60EDA" w:rsidRDefault="00B5321A" w:rsidP="001668D3">
            <w:pPr>
              <w:rPr>
                <w:b/>
                <w:bCs/>
              </w:rPr>
            </w:pPr>
            <w:r w:rsidRPr="00F60EDA">
              <w:rPr>
                <w:b/>
                <w:bCs/>
              </w:rPr>
              <w:t>Start Date</w:t>
            </w:r>
          </w:p>
        </w:tc>
        <w:tc>
          <w:tcPr>
            <w:tcW w:w="2238"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tcPr>
          <w:p w14:paraId="1EF81AB2" w14:textId="77777777" w:rsidR="00B5321A" w:rsidRPr="00F60EDA" w:rsidRDefault="00B5321A" w:rsidP="001668D3">
            <w:pPr>
              <w:rPr>
                <w:b/>
                <w:bCs/>
              </w:rPr>
            </w:pPr>
            <w:r w:rsidRPr="00F60EDA">
              <w:rPr>
                <w:b/>
                <w:bCs/>
              </w:rPr>
              <w:t>End Date</w:t>
            </w:r>
          </w:p>
        </w:tc>
      </w:tr>
      <w:tr w:rsidR="001668D3" w:rsidRPr="00F60EDA" w14:paraId="584F0012" w14:textId="77777777" w:rsidTr="001668D3">
        <w:trPr>
          <w:trHeight w:val="592"/>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E0B371" w14:textId="2EA46AB0" w:rsidR="001668D3" w:rsidRDefault="001668D3" w:rsidP="001668D3">
            <w:pPr>
              <w:spacing w:after="240"/>
              <w:rPr>
                <w:bCs/>
              </w:rPr>
            </w:pPr>
            <w:r>
              <w:t>R</w:t>
            </w:r>
            <w:r w:rsidRPr="000E569C">
              <w:t>eview</w:t>
            </w:r>
            <w:r>
              <w:t xml:space="preserve"> of</w:t>
            </w:r>
            <w:r w:rsidRPr="000E569C">
              <w:t xml:space="preserve"> government and related websites and published literature</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3250E0E6" w14:textId="6FFF8C01" w:rsidR="001668D3" w:rsidRDefault="00EB59ED" w:rsidP="001668D3">
            <w:r>
              <w:t>May 2018</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63D0B224" w14:textId="331EAE6E" w:rsidR="001668D3" w:rsidRDefault="002711A4" w:rsidP="002711A4">
            <w:r>
              <w:t>September</w:t>
            </w:r>
            <w:r w:rsidR="00EB59ED">
              <w:t xml:space="preserve"> 2019</w:t>
            </w:r>
          </w:p>
        </w:tc>
      </w:tr>
      <w:tr w:rsidR="00B5321A" w:rsidRPr="00F60EDA" w14:paraId="158F72C4" w14:textId="77777777" w:rsidTr="001668D3">
        <w:trPr>
          <w:trHeight w:val="592"/>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76170D" w14:textId="2BE3C1F2" w:rsidR="00B5321A" w:rsidRPr="0084179D" w:rsidRDefault="00B5321A" w:rsidP="0086654B">
            <w:pPr>
              <w:spacing w:after="240"/>
            </w:pPr>
            <w:r>
              <w:rPr>
                <w:bCs/>
              </w:rPr>
              <w:t>1</w:t>
            </w:r>
            <w:r w:rsidRPr="00B5321A">
              <w:rPr>
                <w:bCs/>
                <w:vertAlign w:val="superscript"/>
              </w:rPr>
              <w:t>st</w:t>
            </w:r>
            <w:r>
              <w:rPr>
                <w:bCs/>
              </w:rPr>
              <w:t xml:space="preserve"> round of stakeholder interviews</w:t>
            </w:r>
            <w:r w:rsidRPr="0084179D">
              <w:rPr>
                <w:bCs/>
              </w:rPr>
              <w:t xml:space="preserve"> </w:t>
            </w:r>
            <w:bookmarkStart w:id="5" w:name="_Hlk522110572"/>
            <w:r w:rsidRPr="0084179D">
              <w:rPr>
                <w:bCs/>
              </w:rPr>
              <w:t>(</w:t>
            </w:r>
            <w:r w:rsidR="0086654B">
              <w:rPr>
                <w:bCs/>
              </w:rPr>
              <w:t>collected under OPRE’s</w:t>
            </w:r>
            <w:r w:rsidR="0086654B" w:rsidRPr="0062518A">
              <w:rPr>
                <w:bCs/>
              </w:rPr>
              <w:t xml:space="preserve"> </w:t>
            </w:r>
            <w:r w:rsidR="004D4753">
              <w:rPr>
                <w:bCs/>
              </w:rPr>
              <w:t xml:space="preserve">formative </w:t>
            </w:r>
            <w:r w:rsidRPr="0062518A">
              <w:rPr>
                <w:bCs/>
              </w:rPr>
              <w:t>generic (</w:t>
            </w:r>
            <w:r w:rsidR="004D4753">
              <w:rPr>
                <w:bCs/>
              </w:rPr>
              <w:t>0970-0356</w:t>
            </w:r>
            <w:r w:rsidRPr="0084179D">
              <w:t>)</w:t>
            </w:r>
            <w:bookmarkEnd w:id="5"/>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545F24F0" w14:textId="0D51B75F" w:rsidR="00B5321A" w:rsidRPr="00F60EDA" w:rsidRDefault="00B5321A" w:rsidP="001668D3">
            <w:r>
              <w:t>August</w:t>
            </w:r>
            <w:r w:rsidRPr="00F60EDA">
              <w:t xml:space="preserve">  201</w:t>
            </w:r>
            <w:r>
              <w:t>8</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6118F582" w14:textId="3E322E49" w:rsidR="00044B1F" w:rsidRPr="00F60EDA" w:rsidRDefault="000A36CC" w:rsidP="001668D3">
            <w:r>
              <w:t>August</w:t>
            </w:r>
            <w:r w:rsidR="00B5321A" w:rsidRPr="00F60EDA">
              <w:t xml:space="preserve"> 201</w:t>
            </w:r>
            <w:r>
              <w:t>9</w:t>
            </w:r>
          </w:p>
        </w:tc>
      </w:tr>
      <w:tr w:rsidR="00B5321A" w:rsidRPr="00F60EDA" w14:paraId="333C9FE7" w14:textId="77777777" w:rsidTr="001668D3">
        <w:trPr>
          <w:trHeight w:val="538"/>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328A51" w14:textId="4212F9DA" w:rsidR="00B5321A" w:rsidRPr="0084179D" w:rsidRDefault="00EF263A" w:rsidP="001668D3">
            <w:pPr>
              <w:spacing w:after="240"/>
              <w:rPr>
                <w:bCs/>
              </w:rPr>
            </w:pPr>
            <w:r>
              <w:rPr>
                <w:bCs/>
              </w:rPr>
              <w:t>Needs Assessment Survey</w:t>
            </w:r>
            <w:r w:rsidR="00B5321A" w:rsidRPr="0084179D">
              <w:rPr>
                <w:bCs/>
              </w:rPr>
              <w:t xml:space="preserve"> (</w:t>
            </w:r>
            <w:r>
              <w:rPr>
                <w:bCs/>
              </w:rPr>
              <w:t>Attachment 1</w:t>
            </w:r>
            <w:r w:rsidR="00B5321A" w:rsidRPr="0084179D">
              <w:rPr>
                <w:bCs/>
              </w:rPr>
              <w:t xml:space="preserve">) </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1CF11959" w14:textId="36D972BA" w:rsidR="00067F23" w:rsidRPr="00F60EDA" w:rsidRDefault="00EF263A" w:rsidP="001668D3">
            <w:r>
              <w:t>February</w:t>
            </w:r>
            <w:r w:rsidR="00B5321A" w:rsidRPr="00F60EDA">
              <w:t xml:space="preserve"> 201</w:t>
            </w:r>
            <w:r>
              <w:t>9</w:t>
            </w:r>
            <w:r w:rsidR="005F2BB3">
              <w:t xml:space="preserve"> or earlier, pending OMB approval</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68662F97" w14:textId="5D0F98C8" w:rsidR="00067F23" w:rsidRPr="00F60EDA" w:rsidRDefault="00B70AC4" w:rsidP="00B70AC4">
            <w:r>
              <w:t>~ 8</w:t>
            </w:r>
            <w:r w:rsidR="005F2BB3">
              <w:t xml:space="preserve"> weeks from start date</w:t>
            </w:r>
          </w:p>
        </w:tc>
      </w:tr>
      <w:tr w:rsidR="00B5321A" w:rsidRPr="00F60EDA" w14:paraId="5BB309AF" w14:textId="77777777" w:rsidTr="001668D3">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CF37E9" w14:textId="61E89166" w:rsidR="00B5321A" w:rsidRPr="0084179D" w:rsidRDefault="00EF263A" w:rsidP="001668D3">
            <w:pPr>
              <w:spacing w:after="240"/>
              <w:rPr>
                <w:bCs/>
              </w:rPr>
            </w:pPr>
            <w:r>
              <w:rPr>
                <w:bCs/>
              </w:rPr>
              <w:t>2</w:t>
            </w:r>
            <w:r w:rsidRPr="00EF263A">
              <w:rPr>
                <w:bCs/>
                <w:vertAlign w:val="superscript"/>
              </w:rPr>
              <w:t>nd</w:t>
            </w:r>
            <w:r>
              <w:rPr>
                <w:bCs/>
              </w:rPr>
              <w:t xml:space="preserve"> round of stakeholder interviews</w:t>
            </w:r>
            <w:r w:rsidRPr="0084179D">
              <w:rPr>
                <w:bCs/>
              </w:rPr>
              <w:t xml:space="preserve"> </w:t>
            </w:r>
            <w:r w:rsidR="001F7E61" w:rsidRPr="0084179D">
              <w:rPr>
                <w:bCs/>
              </w:rPr>
              <w:t>(</w:t>
            </w:r>
            <w:r w:rsidR="001F7E61">
              <w:rPr>
                <w:bCs/>
              </w:rPr>
              <w:t>collected under OPRE’s</w:t>
            </w:r>
            <w:r w:rsidR="001F7E61" w:rsidRPr="0062518A">
              <w:rPr>
                <w:bCs/>
              </w:rPr>
              <w:t xml:space="preserve"> </w:t>
            </w:r>
            <w:r w:rsidR="001F7E61">
              <w:rPr>
                <w:bCs/>
              </w:rPr>
              <w:t xml:space="preserve">formative </w:t>
            </w:r>
            <w:r w:rsidR="001F7E61" w:rsidRPr="0062518A">
              <w:rPr>
                <w:bCs/>
              </w:rPr>
              <w:t>generic (</w:t>
            </w:r>
            <w:r w:rsidR="001F7E61">
              <w:rPr>
                <w:bCs/>
              </w:rPr>
              <w:t>0970-0356</w:t>
            </w:r>
            <w:r w:rsidR="001F7E61" w:rsidRPr="0084179D">
              <w:t>)</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A0BB11" w14:textId="549513EF" w:rsidR="00DE2C80" w:rsidRPr="00F60EDA" w:rsidRDefault="000A36CC" w:rsidP="001668D3">
            <w:r>
              <w:t>January</w:t>
            </w:r>
            <w:r w:rsidR="00B5321A">
              <w:t xml:space="preserve"> 20</w:t>
            </w:r>
            <w:r>
              <w:t>20</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68353159" w14:textId="414092B4" w:rsidR="00C95170" w:rsidRPr="00F60EDA" w:rsidRDefault="000A36CC" w:rsidP="001668D3">
            <w:r>
              <w:t>March 2020</w:t>
            </w:r>
          </w:p>
        </w:tc>
      </w:tr>
      <w:tr w:rsidR="00B5321A" w:rsidRPr="00F60EDA" w14:paraId="2FBE323E" w14:textId="77777777" w:rsidTr="001668D3">
        <w:trPr>
          <w:trHeight w:val="363"/>
        </w:trPr>
        <w:tc>
          <w:tcPr>
            <w:tcW w:w="5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875D0E" w14:textId="69FC4D9A" w:rsidR="00B5321A" w:rsidRPr="00170846" w:rsidRDefault="008E67E1" w:rsidP="0086654B">
            <w:pPr>
              <w:spacing w:after="240"/>
              <w:rPr>
                <w:bCs/>
                <w:highlight w:val="yellow"/>
              </w:rPr>
            </w:pPr>
            <w:r w:rsidRPr="00170846">
              <w:rPr>
                <w:bCs/>
              </w:rPr>
              <w:t xml:space="preserve">TANF Data Innovation (TDI) </w:t>
            </w:r>
            <w:r w:rsidRPr="00170846">
              <w:t xml:space="preserve">Payment Integrity </w:t>
            </w:r>
            <w:r w:rsidR="00167C47">
              <w:t>Case Studies</w:t>
            </w:r>
            <w:r w:rsidR="0086654B">
              <w:t xml:space="preserve"> (to be submitted under OPRE’s </w:t>
            </w:r>
            <w:r w:rsidR="0086654B">
              <w:rPr>
                <w:bCs/>
              </w:rPr>
              <w:t xml:space="preserve">formative generic </w:t>
            </w:r>
            <w:r w:rsidR="0086654B" w:rsidRPr="0062518A">
              <w:rPr>
                <w:bCs/>
              </w:rPr>
              <w:t>(</w:t>
            </w:r>
            <w:r w:rsidR="0086654B">
              <w:rPr>
                <w:bCs/>
              </w:rPr>
              <w:t>0970-0356)</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A09E42A" w14:textId="27CCACFD" w:rsidR="00DE2C80" w:rsidRPr="00FA7A35" w:rsidRDefault="0097618A" w:rsidP="001668D3">
            <w:r>
              <w:t>November</w:t>
            </w:r>
            <w:r w:rsidRPr="00FA7A35">
              <w:t xml:space="preserve"> </w:t>
            </w:r>
            <w:r w:rsidR="00170846" w:rsidRPr="00FA7A35">
              <w:t>2019</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5882DF52" w14:textId="693E98EB" w:rsidR="00B5321A" w:rsidRPr="00FA7A35" w:rsidRDefault="0097618A" w:rsidP="001668D3">
            <w:r>
              <w:t>March 2020</w:t>
            </w:r>
          </w:p>
        </w:tc>
      </w:tr>
      <w:tr w:rsidR="00B5321A" w:rsidRPr="00F60EDA" w14:paraId="27F7B91F" w14:textId="77777777" w:rsidTr="001668D3">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07A90457" w14:textId="77777777" w:rsidR="00B5321A" w:rsidRPr="00F60EDA" w:rsidRDefault="00B5321A" w:rsidP="001668D3">
            <w:pPr>
              <w:rPr>
                <w:b/>
                <w:bCs/>
              </w:rPr>
            </w:pPr>
            <w:r w:rsidRPr="00F60EDA">
              <w:rPr>
                <w:b/>
                <w:bCs/>
              </w:rPr>
              <w:t xml:space="preserve">Data Analysis Timeline </w:t>
            </w:r>
          </w:p>
        </w:tc>
        <w:tc>
          <w:tcPr>
            <w:tcW w:w="21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7A18447C" w14:textId="77777777" w:rsidR="00B5321A" w:rsidRPr="00F60EDA" w:rsidRDefault="00B5321A" w:rsidP="001668D3">
            <w:pPr>
              <w:rPr>
                <w:bCs/>
              </w:rPr>
            </w:pPr>
          </w:p>
        </w:tc>
        <w:tc>
          <w:tcPr>
            <w:tcW w:w="2238"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100842CF" w14:textId="77777777" w:rsidR="00B5321A" w:rsidRPr="00F60EDA" w:rsidRDefault="00B5321A" w:rsidP="001668D3">
            <w:pPr>
              <w:rPr>
                <w:bCs/>
              </w:rPr>
            </w:pPr>
          </w:p>
        </w:tc>
      </w:tr>
      <w:tr w:rsidR="00B5321A" w:rsidRPr="00F60EDA" w:rsidDel="0094209A" w14:paraId="089922AC" w14:textId="77777777" w:rsidTr="001668D3">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859D65" w14:textId="444838C1" w:rsidR="00B5321A" w:rsidRPr="00F60EDA" w:rsidRDefault="00B5321A" w:rsidP="001668D3">
            <w:pPr>
              <w:rPr>
                <w:bCs/>
              </w:rPr>
            </w:pPr>
            <w:r>
              <w:rPr>
                <w:bCs/>
              </w:rPr>
              <w:t xml:space="preserve">Data analysis for </w:t>
            </w:r>
            <w:r w:rsidR="00EF263A">
              <w:rPr>
                <w:bCs/>
              </w:rPr>
              <w:t>1</w:t>
            </w:r>
            <w:r w:rsidR="00EF263A" w:rsidRPr="00EF263A">
              <w:rPr>
                <w:bCs/>
                <w:vertAlign w:val="superscript"/>
              </w:rPr>
              <w:t>st</w:t>
            </w:r>
            <w:r w:rsidR="00EF263A">
              <w:rPr>
                <w:bCs/>
              </w:rPr>
              <w:t xml:space="preserve"> round of stakeholder interviews</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1F4224D" w14:textId="74B396AC" w:rsidR="00B5321A" w:rsidRPr="00F60EDA" w:rsidRDefault="00B5321A" w:rsidP="001668D3">
            <w:r>
              <w:t>October 201</w:t>
            </w:r>
            <w:r w:rsidR="00EF263A">
              <w:t>8</w:t>
            </w: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D4D26B" w14:textId="2881D3B8" w:rsidR="00B5321A" w:rsidRPr="00F60EDA" w:rsidDel="0094209A" w:rsidRDefault="000A36CC" w:rsidP="001668D3">
            <w:r>
              <w:t>Octo</w:t>
            </w:r>
            <w:r w:rsidR="00B5321A">
              <w:t>ber 201</w:t>
            </w:r>
            <w:r>
              <w:t>9</w:t>
            </w:r>
          </w:p>
        </w:tc>
      </w:tr>
      <w:tr w:rsidR="00B5321A" w:rsidRPr="00F60EDA" w14:paraId="4FF12DB5" w14:textId="77777777" w:rsidTr="001668D3">
        <w:trPr>
          <w:trHeight w:val="346"/>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D3E51E" w14:textId="5EE77553" w:rsidR="00B5321A" w:rsidRPr="00F60EDA" w:rsidRDefault="00B5321A" w:rsidP="001668D3">
            <w:pPr>
              <w:rPr>
                <w:bCs/>
              </w:rPr>
            </w:pPr>
            <w:r w:rsidRPr="00F60EDA">
              <w:rPr>
                <w:bCs/>
              </w:rPr>
              <w:t>Data analysis</w:t>
            </w:r>
            <w:r>
              <w:rPr>
                <w:bCs/>
              </w:rPr>
              <w:t xml:space="preserve"> for </w:t>
            </w:r>
            <w:r w:rsidR="00EF263A">
              <w:rPr>
                <w:bCs/>
              </w:rPr>
              <w:t>needs assessment survey</w:t>
            </w:r>
            <w:r w:rsidRPr="00F60EDA">
              <w:rPr>
                <w:bCs/>
              </w:rPr>
              <w:t xml:space="preserve"> </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09986C" w14:textId="37BA34A5" w:rsidR="00B5321A" w:rsidRPr="00F60EDA" w:rsidRDefault="00EF263A" w:rsidP="001668D3">
            <w:r>
              <w:t>May 2019</w:t>
            </w: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29500F" w14:textId="73354789" w:rsidR="00B5321A" w:rsidRPr="00F60EDA" w:rsidRDefault="00EF263A" w:rsidP="001668D3">
            <w:r>
              <w:t>Ju</w:t>
            </w:r>
            <w:r w:rsidR="00167C47">
              <w:t>ly</w:t>
            </w:r>
            <w:r w:rsidR="00B5321A">
              <w:t xml:space="preserve"> 2019</w:t>
            </w:r>
          </w:p>
        </w:tc>
      </w:tr>
      <w:tr w:rsidR="00EF263A" w:rsidRPr="0012279A" w14:paraId="31256CE2" w14:textId="77777777" w:rsidTr="001668D3">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7365EC" w14:textId="2E0462E3" w:rsidR="00EF263A" w:rsidRPr="0012279A" w:rsidDel="0094209A" w:rsidRDefault="00EF263A" w:rsidP="00EF263A">
            <w:pPr>
              <w:rPr>
                <w:b/>
                <w:bCs/>
              </w:rPr>
            </w:pPr>
            <w:r>
              <w:rPr>
                <w:bCs/>
              </w:rPr>
              <w:t>Data analysis for 2</w:t>
            </w:r>
            <w:r w:rsidRPr="00EF263A">
              <w:rPr>
                <w:bCs/>
                <w:vertAlign w:val="superscript"/>
              </w:rPr>
              <w:t>nd</w:t>
            </w:r>
            <w:r>
              <w:rPr>
                <w:bCs/>
              </w:rPr>
              <w:t xml:space="preserve"> round of stakeholder interviews</w:t>
            </w:r>
          </w:p>
        </w:tc>
        <w:tc>
          <w:tcPr>
            <w:tcW w:w="21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01A0186" w14:textId="33EAF9A9" w:rsidR="00DE2C80" w:rsidRPr="0012279A" w:rsidRDefault="000A36CC" w:rsidP="00EF263A">
            <w:pPr>
              <w:rPr>
                <w:rStyle w:val="CommentReference"/>
              </w:rPr>
            </w:pPr>
            <w:r>
              <w:t>March 2020</w:t>
            </w:r>
          </w:p>
        </w:tc>
        <w:tc>
          <w:tcPr>
            <w:tcW w:w="22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B95603" w14:textId="33813754" w:rsidR="00DE2C80" w:rsidRPr="0012279A" w:rsidRDefault="000A36CC" w:rsidP="00EF263A">
            <w:pPr>
              <w:rPr>
                <w:bCs/>
              </w:rPr>
            </w:pPr>
            <w:r>
              <w:t>April 2020</w:t>
            </w:r>
          </w:p>
        </w:tc>
      </w:tr>
      <w:tr w:rsidR="00EF263A" w:rsidRPr="0012279A" w14:paraId="6BECCD0F" w14:textId="77777777" w:rsidTr="001668D3">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9D60A3" w14:textId="168E0DAF" w:rsidR="00EF263A" w:rsidRPr="00FA7A35" w:rsidRDefault="00FA7A35" w:rsidP="00EF263A">
            <w:pPr>
              <w:rPr>
                <w:bCs/>
              </w:rPr>
            </w:pPr>
            <w:r w:rsidRPr="00FA7A35">
              <w:rPr>
                <w:bCs/>
              </w:rPr>
              <w:t xml:space="preserve">Data analysis for </w:t>
            </w:r>
            <w:r>
              <w:t>payment i</w:t>
            </w:r>
            <w:r w:rsidRPr="00FA7A35">
              <w:t xml:space="preserve">ntegrity </w:t>
            </w:r>
            <w:r>
              <w:t>structured i</w:t>
            </w:r>
            <w:r w:rsidRPr="00FA7A35">
              <w:t>nterviews</w:t>
            </w:r>
          </w:p>
        </w:tc>
        <w:tc>
          <w:tcPr>
            <w:tcW w:w="21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39101F6" w14:textId="0BC32784" w:rsidR="00DE2C80" w:rsidRPr="00FA7A35" w:rsidRDefault="00FA7A35" w:rsidP="00EF263A">
            <w:r w:rsidRPr="00FA7A35">
              <w:t>November 2019</w:t>
            </w:r>
          </w:p>
        </w:tc>
        <w:tc>
          <w:tcPr>
            <w:tcW w:w="22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0535C7" w14:textId="4F4C9EAC" w:rsidR="00EF263A" w:rsidRPr="00FA7A35" w:rsidRDefault="00FA7A35" w:rsidP="002060B7">
            <w:r w:rsidRPr="00FA7A35">
              <w:t>March 2020</w:t>
            </w:r>
          </w:p>
        </w:tc>
      </w:tr>
      <w:tr w:rsidR="00EF263A" w:rsidRPr="00F60EDA" w14:paraId="1DAF220A" w14:textId="77777777" w:rsidTr="001668D3">
        <w:trPr>
          <w:trHeight w:val="345"/>
        </w:trPr>
        <w:tc>
          <w:tcPr>
            <w:tcW w:w="5580" w:type="dxa"/>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03CEF1FF" w14:textId="77777777" w:rsidR="00EF263A" w:rsidRPr="00F60EDA" w:rsidRDefault="00EF263A" w:rsidP="00EF263A">
            <w:pPr>
              <w:rPr>
                <w:b/>
                <w:bCs/>
              </w:rPr>
            </w:pPr>
            <w:r>
              <w:rPr>
                <w:b/>
                <w:bCs/>
              </w:rPr>
              <w:t>Publications</w:t>
            </w:r>
            <w:r w:rsidRPr="00F60EDA">
              <w:rPr>
                <w:b/>
                <w:bCs/>
              </w:rPr>
              <w:t xml:space="preserve"> Timeline </w:t>
            </w:r>
          </w:p>
        </w:tc>
        <w:tc>
          <w:tcPr>
            <w:tcW w:w="2160"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35267996" w14:textId="77777777" w:rsidR="00EF263A" w:rsidRPr="00F60EDA" w:rsidRDefault="00EF263A" w:rsidP="00EF263A">
            <w:pPr>
              <w:rPr>
                <w:bCs/>
              </w:rPr>
            </w:pPr>
          </w:p>
        </w:tc>
        <w:tc>
          <w:tcPr>
            <w:tcW w:w="2238"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hideMark/>
          </w:tcPr>
          <w:p w14:paraId="201340F1" w14:textId="77777777" w:rsidR="00EF263A" w:rsidRPr="00F60EDA" w:rsidRDefault="00EF263A" w:rsidP="00EF263A">
            <w:pPr>
              <w:rPr>
                <w:bCs/>
              </w:rPr>
            </w:pPr>
          </w:p>
        </w:tc>
      </w:tr>
      <w:tr w:rsidR="00EF263A" w:rsidRPr="00F60EDA" w14:paraId="69BD5915" w14:textId="77777777" w:rsidTr="001668D3">
        <w:trPr>
          <w:trHeight w:val="691"/>
        </w:trPr>
        <w:tc>
          <w:tcPr>
            <w:tcW w:w="5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72A7CE" w14:textId="290599C4" w:rsidR="00EF263A" w:rsidRPr="00F60EDA" w:rsidRDefault="00EF263A" w:rsidP="00EF263A">
            <w:pPr>
              <w:pStyle w:val="ListParagraph"/>
              <w:ind w:left="0"/>
              <w:rPr>
                <w:bCs/>
              </w:rPr>
            </w:pPr>
            <w:r w:rsidRPr="00F60EDA">
              <w:rPr>
                <w:bCs/>
              </w:rPr>
              <w:t xml:space="preserve">Report on </w:t>
            </w:r>
            <w:r>
              <w:rPr>
                <w:bCs/>
              </w:rPr>
              <w:t>results of needs assessment survey</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9C4960" w14:textId="5774114A" w:rsidR="00EF263A" w:rsidRPr="00F60EDA" w:rsidRDefault="00166D6F" w:rsidP="00EF263A">
            <w:r>
              <w:t>August</w:t>
            </w:r>
            <w:r w:rsidR="00EB59ED">
              <w:t xml:space="preserve"> 2019</w:t>
            </w:r>
          </w:p>
        </w:tc>
        <w:tc>
          <w:tcPr>
            <w:tcW w:w="22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B7C2EB" w14:textId="1F3FB3FF" w:rsidR="00EF263A" w:rsidRPr="00F60EDA" w:rsidRDefault="00166D6F" w:rsidP="00EF263A">
            <w:r>
              <w:t>February</w:t>
            </w:r>
            <w:r w:rsidR="00EB59ED">
              <w:t xml:space="preserve"> </w:t>
            </w:r>
            <w:r w:rsidR="00EF263A" w:rsidRPr="00F60EDA">
              <w:t>20</w:t>
            </w:r>
            <w:r>
              <w:t>20</w:t>
            </w:r>
          </w:p>
        </w:tc>
      </w:tr>
    </w:tbl>
    <w:p w14:paraId="7CEE441B" w14:textId="77777777" w:rsidR="00B5321A" w:rsidRPr="00F60EDA" w:rsidRDefault="00B5321A" w:rsidP="00B5321A">
      <w:pPr>
        <w:jc w:val="center"/>
        <w:rPr>
          <w:b/>
        </w:rPr>
      </w:pPr>
    </w:p>
    <w:p w14:paraId="1A5014A0" w14:textId="3F9F0B9B" w:rsidR="002338AC" w:rsidRPr="00375786" w:rsidRDefault="002338AC" w:rsidP="00406241">
      <w:pPr>
        <w:rPr>
          <w:b/>
          <w:highlight w:val="yellow"/>
        </w:rPr>
      </w:pPr>
    </w:p>
    <w:p w14:paraId="0D33ED1C" w14:textId="77777777" w:rsidR="00945CD6" w:rsidRPr="007B0FBB" w:rsidRDefault="00292B70" w:rsidP="00183E71">
      <w:pPr>
        <w:rPr>
          <w:b/>
        </w:rPr>
      </w:pPr>
      <w:r w:rsidRPr="007B0FBB">
        <w:rPr>
          <w:b/>
        </w:rPr>
        <w:t xml:space="preserve">A17. </w:t>
      </w:r>
      <w:r w:rsidR="00945CD6" w:rsidRPr="007B0FBB">
        <w:rPr>
          <w:b/>
        </w:rPr>
        <w:t>Reasons Not to Display OMB Expiration Date</w:t>
      </w:r>
    </w:p>
    <w:p w14:paraId="1CC4415F" w14:textId="77777777" w:rsidR="00B141CC" w:rsidRPr="007B0FBB" w:rsidRDefault="00B141CC" w:rsidP="00B141CC">
      <w:pPr>
        <w:rPr>
          <w:bCs/>
        </w:rPr>
      </w:pPr>
      <w:r w:rsidRPr="007B0FBB">
        <w:rPr>
          <w:bCs/>
        </w:rPr>
        <w:t>All instruments will display the expiration date for OMB approval.</w:t>
      </w:r>
    </w:p>
    <w:p w14:paraId="78611F58" w14:textId="77777777" w:rsidR="005046F0" w:rsidRPr="007B0FBB" w:rsidRDefault="005046F0" w:rsidP="00B141CC"/>
    <w:p w14:paraId="40FC7771" w14:textId="77777777" w:rsidR="00945CD6" w:rsidRPr="007B0FBB" w:rsidRDefault="00292B70" w:rsidP="00183E71">
      <w:pPr>
        <w:rPr>
          <w:b/>
        </w:rPr>
      </w:pPr>
      <w:r w:rsidRPr="007B0FBB">
        <w:rPr>
          <w:b/>
        </w:rPr>
        <w:t>A18.</w:t>
      </w:r>
      <w:r w:rsidR="000B5EA8" w:rsidRPr="007B0FBB">
        <w:rPr>
          <w:b/>
        </w:rPr>
        <w:t xml:space="preserve"> Exceptions to Certification for Paperwork Reduction Act Submissions</w:t>
      </w:r>
    </w:p>
    <w:p w14:paraId="307F0949" w14:textId="72F60D2A" w:rsidR="0072204D" w:rsidRPr="005F0C01" w:rsidRDefault="00B141CC" w:rsidP="00406241">
      <w:r w:rsidRPr="007B0FBB">
        <w:rPr>
          <w:bCs/>
        </w:rPr>
        <w:t>No exceptions are necessary for this information collection.</w:t>
      </w:r>
      <w:r w:rsidRPr="005F0C01">
        <w:rPr>
          <w:bCs/>
        </w:rPr>
        <w:tab/>
        <w:t xml:space="preserve"> </w:t>
      </w:r>
    </w:p>
    <w:sectPr w:rsidR="0072204D" w:rsidRPr="005F0C01" w:rsidSect="00327B2E">
      <w:headerReference w:type="default" r:id="rId13"/>
      <w:footerReference w:type="default" r:id="rId1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DA4DA" w14:textId="77777777" w:rsidR="00B661EF" w:rsidRDefault="00B661EF">
      <w:r>
        <w:separator/>
      </w:r>
    </w:p>
  </w:endnote>
  <w:endnote w:type="continuationSeparator" w:id="0">
    <w:p w14:paraId="7617A563" w14:textId="77777777" w:rsidR="00B661EF" w:rsidRDefault="00B6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C2E7" w14:textId="1194BF9C" w:rsidR="009A2CEE" w:rsidRDefault="009A2CEE">
    <w:pPr>
      <w:pStyle w:val="Footer"/>
      <w:jc w:val="center"/>
    </w:pPr>
    <w:r>
      <w:fldChar w:fldCharType="begin"/>
    </w:r>
    <w:r>
      <w:instrText xml:space="preserve"> PAGE   \* MERGEFORMAT </w:instrText>
    </w:r>
    <w:r>
      <w:fldChar w:fldCharType="separate"/>
    </w:r>
    <w:r w:rsidR="007A62CB">
      <w:rPr>
        <w:noProof/>
      </w:rPr>
      <w:t>3</w:t>
    </w:r>
    <w:r>
      <w:fldChar w:fldCharType="end"/>
    </w:r>
  </w:p>
  <w:p w14:paraId="4EB9E458" w14:textId="77777777" w:rsidR="009A2CEE" w:rsidRDefault="009A2CEE"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06BC3" w14:textId="77777777" w:rsidR="00B661EF" w:rsidRDefault="00B661EF">
      <w:r>
        <w:separator/>
      </w:r>
    </w:p>
  </w:footnote>
  <w:footnote w:type="continuationSeparator" w:id="0">
    <w:p w14:paraId="6BC3C5CC" w14:textId="77777777" w:rsidR="00B661EF" w:rsidRDefault="00B661EF">
      <w:r>
        <w:continuationSeparator/>
      </w:r>
    </w:p>
  </w:footnote>
  <w:footnote w:id="1">
    <w:p w14:paraId="4A745DDD" w14:textId="51854D07" w:rsidR="009A2CEE" w:rsidRPr="00075A4A" w:rsidRDefault="009A2CEE" w:rsidP="001778E8">
      <w:pPr>
        <w:pStyle w:val="FootnoteText"/>
      </w:pPr>
      <w:r w:rsidRPr="00075A4A">
        <w:rPr>
          <w:rStyle w:val="FootnoteReference"/>
        </w:rPr>
        <w:footnoteRef/>
      </w:r>
      <w:r w:rsidRPr="00075A4A">
        <w:t xml:space="preserve"> </w:t>
      </w:r>
      <w:r>
        <w:t>“P</w:t>
      </w:r>
      <w:r w:rsidRPr="00075A4A">
        <w:t>ayment integrity” encompasses both accuracy in eligibility determinations and accuracy in benefits calculations.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BA39" w14:textId="77777777" w:rsidR="009A2CEE" w:rsidRDefault="009A2CEE"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1F8"/>
    <w:multiLevelType w:val="hybridMultilevel"/>
    <w:tmpl w:val="17CC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72AB9"/>
    <w:multiLevelType w:val="hybridMultilevel"/>
    <w:tmpl w:val="7968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6065F"/>
    <w:multiLevelType w:val="hybridMultilevel"/>
    <w:tmpl w:val="33A6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213C5"/>
    <w:multiLevelType w:val="hybridMultilevel"/>
    <w:tmpl w:val="8D12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3D5D05"/>
    <w:multiLevelType w:val="hybridMultilevel"/>
    <w:tmpl w:val="BFFA6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D51B5F"/>
    <w:multiLevelType w:val="hybridMultilevel"/>
    <w:tmpl w:val="6FA0B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567A43"/>
    <w:multiLevelType w:val="hybridMultilevel"/>
    <w:tmpl w:val="4D9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7E1808"/>
    <w:multiLevelType w:val="hybridMultilevel"/>
    <w:tmpl w:val="73CA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7712E0"/>
    <w:multiLevelType w:val="hybridMultilevel"/>
    <w:tmpl w:val="7BC00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547EC8"/>
    <w:multiLevelType w:val="hybridMultilevel"/>
    <w:tmpl w:val="21B47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25136B"/>
    <w:multiLevelType w:val="hybridMultilevel"/>
    <w:tmpl w:val="2A6CE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91864D2"/>
    <w:multiLevelType w:val="hybridMultilevel"/>
    <w:tmpl w:val="56322B5C"/>
    <w:lvl w:ilvl="0" w:tplc="3D0AF8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5F20FE"/>
    <w:multiLevelType w:val="hybridMultilevel"/>
    <w:tmpl w:val="B1186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8335D6A"/>
    <w:multiLevelType w:val="hybridMultilevel"/>
    <w:tmpl w:val="5FBE6B22"/>
    <w:lvl w:ilvl="0" w:tplc="22847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0C2D12"/>
    <w:multiLevelType w:val="hybridMultilevel"/>
    <w:tmpl w:val="D3E22C98"/>
    <w:lvl w:ilvl="0" w:tplc="BFAEFF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12211C2"/>
    <w:multiLevelType w:val="multilevel"/>
    <w:tmpl w:val="7304C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start w:val="1"/>
      <w:numFmt w:val="bullet"/>
      <w:lvlText w:val=""/>
      <w:lvlJc w:val="left"/>
      <w:pPr>
        <w:tabs>
          <w:tab w:val="num" w:pos="1260"/>
        </w:tabs>
        <w:ind w:left="1260" w:hanging="360"/>
      </w:pPr>
      <w:rPr>
        <w:rFonts w:ascii="Symbol" w:hAnsi="Symbol" w:hint="default"/>
        <w:sz w:val="20"/>
      </w:rPr>
    </w:lvl>
    <w:lvl w:ilvl="3">
      <w:start w:val="1"/>
      <w:numFmt w:val="bullet"/>
      <w:lvlText w:val="o"/>
      <w:lvlJc w:val="left"/>
      <w:pPr>
        <w:tabs>
          <w:tab w:val="num" w:pos="810"/>
        </w:tabs>
        <w:ind w:left="810" w:hanging="360"/>
      </w:pPr>
      <w:rPr>
        <w:rFonts w:ascii="Courier New" w:hAnsi="Courier New" w:cs="Courier New" w:hint="default"/>
        <w:sz w:val="20"/>
      </w:rPr>
    </w:lvl>
    <w:lvl w:ilvl="4">
      <w:start w:val="1"/>
      <w:numFmt w:val="bullet"/>
      <w:lvlText w:val=""/>
      <w:lvlJc w:val="left"/>
      <w:pPr>
        <w:tabs>
          <w:tab w:val="num" w:pos="1980"/>
        </w:tabs>
        <w:ind w:left="198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B450F2"/>
    <w:multiLevelType w:val="hybridMultilevel"/>
    <w:tmpl w:val="5E86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251346"/>
    <w:multiLevelType w:val="hybridMultilevel"/>
    <w:tmpl w:val="FC8ADBAA"/>
    <w:lvl w:ilvl="0" w:tplc="C32C2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0A3B10"/>
    <w:multiLevelType w:val="hybridMultilevel"/>
    <w:tmpl w:val="2DBE4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4C6005F"/>
    <w:multiLevelType w:val="hybridMultilevel"/>
    <w:tmpl w:val="B68ED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78F4AB2"/>
    <w:multiLevelType w:val="hybridMultilevel"/>
    <w:tmpl w:val="01C2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1B40AAF"/>
    <w:multiLevelType w:val="hybridMultilevel"/>
    <w:tmpl w:val="FDFAE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C3692A"/>
    <w:multiLevelType w:val="hybridMultilevel"/>
    <w:tmpl w:val="E45A0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59763D"/>
    <w:multiLevelType w:val="hybridMultilevel"/>
    <w:tmpl w:val="9BEC5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nsid w:val="74955730"/>
    <w:multiLevelType w:val="hybridMultilevel"/>
    <w:tmpl w:val="4356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33"/>
  </w:num>
  <w:num w:numId="4">
    <w:abstractNumId w:val="22"/>
  </w:num>
  <w:num w:numId="5">
    <w:abstractNumId w:val="24"/>
  </w:num>
  <w:num w:numId="6">
    <w:abstractNumId w:val="35"/>
  </w:num>
  <w:num w:numId="7">
    <w:abstractNumId w:val="34"/>
  </w:num>
  <w:num w:numId="8">
    <w:abstractNumId w:val="25"/>
  </w:num>
  <w:num w:numId="9">
    <w:abstractNumId w:val="26"/>
  </w:num>
  <w:num w:numId="10">
    <w:abstractNumId w:val="6"/>
  </w:num>
  <w:num w:numId="11">
    <w:abstractNumId w:val="3"/>
  </w:num>
  <w:num w:numId="12">
    <w:abstractNumId w:val="15"/>
  </w:num>
  <w:num w:numId="13">
    <w:abstractNumId w:val="37"/>
  </w:num>
  <w:num w:numId="14">
    <w:abstractNumId w:val="17"/>
  </w:num>
  <w:num w:numId="15">
    <w:abstractNumId w:val="18"/>
  </w:num>
  <w:num w:numId="16">
    <w:abstractNumId w:val="11"/>
  </w:num>
  <w:num w:numId="17">
    <w:abstractNumId w:val="2"/>
  </w:num>
  <w:num w:numId="18">
    <w:abstractNumId w:val="28"/>
  </w:num>
  <w:num w:numId="19">
    <w:abstractNumId w:val="27"/>
  </w:num>
  <w:num w:numId="20">
    <w:abstractNumId w:val="40"/>
  </w:num>
  <w:num w:numId="21">
    <w:abstractNumId w:val="0"/>
  </w:num>
  <w:num w:numId="22">
    <w:abstractNumId w:val="4"/>
  </w:num>
  <w:num w:numId="23">
    <w:abstractNumId w:val="0"/>
  </w:num>
  <w:num w:numId="24">
    <w:abstractNumId w:val="2"/>
  </w:num>
  <w:num w:numId="25">
    <w:abstractNumId w:val="9"/>
  </w:num>
  <w:num w:numId="26">
    <w:abstractNumId w:val="20"/>
  </w:num>
  <w:num w:numId="27">
    <w:abstractNumId w:val="40"/>
  </w:num>
  <w:num w:numId="28">
    <w:abstractNumId w:val="38"/>
  </w:num>
  <w:num w:numId="29">
    <w:abstractNumId w:val="13"/>
  </w:num>
  <w:num w:numId="30">
    <w:abstractNumId w:val="21"/>
  </w:num>
  <w:num w:numId="31">
    <w:abstractNumId w:val="31"/>
  </w:num>
  <w:num w:numId="32">
    <w:abstractNumId w:val="1"/>
  </w:num>
  <w:num w:numId="33">
    <w:abstractNumId w:val="39"/>
  </w:num>
  <w:num w:numId="34">
    <w:abstractNumId w:val="23"/>
  </w:num>
  <w:num w:numId="35">
    <w:abstractNumId w:val="8"/>
  </w:num>
  <w:num w:numId="36">
    <w:abstractNumId w:val="10"/>
  </w:num>
  <w:num w:numId="37">
    <w:abstractNumId w:val="32"/>
  </w:num>
  <w:num w:numId="38">
    <w:abstractNumId w:val="14"/>
  </w:num>
  <w:num w:numId="39">
    <w:abstractNumId w:val="12"/>
  </w:num>
  <w:num w:numId="40">
    <w:abstractNumId w:val="19"/>
  </w:num>
  <w:num w:numId="41">
    <w:abstractNumId w:val="29"/>
  </w:num>
  <w:num w:numId="42">
    <w:abstractNumId w:val="30"/>
  </w:num>
  <w:num w:numId="43">
    <w:abstractNumId w:val="3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0583"/>
    <w:rsid w:val="00002C1D"/>
    <w:rsid w:val="00011968"/>
    <w:rsid w:val="00015F13"/>
    <w:rsid w:val="000223FB"/>
    <w:rsid w:val="0002264A"/>
    <w:rsid w:val="00023DE6"/>
    <w:rsid w:val="0002444D"/>
    <w:rsid w:val="00026339"/>
    <w:rsid w:val="0002651C"/>
    <w:rsid w:val="000265E9"/>
    <w:rsid w:val="00033D87"/>
    <w:rsid w:val="00036C7D"/>
    <w:rsid w:val="000431B8"/>
    <w:rsid w:val="00044B1F"/>
    <w:rsid w:val="00047CC9"/>
    <w:rsid w:val="00050286"/>
    <w:rsid w:val="00050C33"/>
    <w:rsid w:val="00056229"/>
    <w:rsid w:val="000562C6"/>
    <w:rsid w:val="00061BCA"/>
    <w:rsid w:val="00067F23"/>
    <w:rsid w:val="0007073E"/>
    <w:rsid w:val="0007316C"/>
    <w:rsid w:val="00073AFF"/>
    <w:rsid w:val="000747A8"/>
    <w:rsid w:val="00076A7E"/>
    <w:rsid w:val="000771BA"/>
    <w:rsid w:val="000807D9"/>
    <w:rsid w:val="0008643E"/>
    <w:rsid w:val="00087BBB"/>
    <w:rsid w:val="000911D2"/>
    <w:rsid w:val="00091C59"/>
    <w:rsid w:val="000967A9"/>
    <w:rsid w:val="000A0D15"/>
    <w:rsid w:val="000A2877"/>
    <w:rsid w:val="000A36CC"/>
    <w:rsid w:val="000A4A85"/>
    <w:rsid w:val="000A50B0"/>
    <w:rsid w:val="000B4AFF"/>
    <w:rsid w:val="000B5EA8"/>
    <w:rsid w:val="000B7C39"/>
    <w:rsid w:val="000C052D"/>
    <w:rsid w:val="000D12B0"/>
    <w:rsid w:val="000D1798"/>
    <w:rsid w:val="000D2158"/>
    <w:rsid w:val="000D53DF"/>
    <w:rsid w:val="000D632C"/>
    <w:rsid w:val="000E0343"/>
    <w:rsid w:val="000E52A6"/>
    <w:rsid w:val="000E57C9"/>
    <w:rsid w:val="000E7B4D"/>
    <w:rsid w:val="000F23B8"/>
    <w:rsid w:val="000F421C"/>
    <w:rsid w:val="00100F01"/>
    <w:rsid w:val="001074FF"/>
    <w:rsid w:val="00117B44"/>
    <w:rsid w:val="00121E36"/>
    <w:rsid w:val="00124EBF"/>
    <w:rsid w:val="00125419"/>
    <w:rsid w:val="00126B37"/>
    <w:rsid w:val="00126E22"/>
    <w:rsid w:val="00127732"/>
    <w:rsid w:val="00130457"/>
    <w:rsid w:val="00131B1B"/>
    <w:rsid w:val="001347E5"/>
    <w:rsid w:val="001351EF"/>
    <w:rsid w:val="00144189"/>
    <w:rsid w:val="00147549"/>
    <w:rsid w:val="001521AC"/>
    <w:rsid w:val="0016012E"/>
    <w:rsid w:val="00160DEE"/>
    <w:rsid w:val="00162033"/>
    <w:rsid w:val="00164A36"/>
    <w:rsid w:val="001650DD"/>
    <w:rsid w:val="001664E3"/>
    <w:rsid w:val="001668D3"/>
    <w:rsid w:val="00166D6F"/>
    <w:rsid w:val="00167C47"/>
    <w:rsid w:val="00170846"/>
    <w:rsid w:val="00171D18"/>
    <w:rsid w:val="0017668E"/>
    <w:rsid w:val="0017672C"/>
    <w:rsid w:val="001778E8"/>
    <w:rsid w:val="00181D8B"/>
    <w:rsid w:val="00183C0F"/>
    <w:rsid w:val="00183E71"/>
    <w:rsid w:val="001901E5"/>
    <w:rsid w:val="00191630"/>
    <w:rsid w:val="001A5AF9"/>
    <w:rsid w:val="001A5F45"/>
    <w:rsid w:val="001B2023"/>
    <w:rsid w:val="001B22E6"/>
    <w:rsid w:val="001B27F9"/>
    <w:rsid w:val="001B3931"/>
    <w:rsid w:val="001B436C"/>
    <w:rsid w:val="001B7EFD"/>
    <w:rsid w:val="001C0D17"/>
    <w:rsid w:val="001C12A2"/>
    <w:rsid w:val="001C1C90"/>
    <w:rsid w:val="001C41C8"/>
    <w:rsid w:val="001C4D60"/>
    <w:rsid w:val="001C6876"/>
    <w:rsid w:val="001D5640"/>
    <w:rsid w:val="001D5BA0"/>
    <w:rsid w:val="001E5875"/>
    <w:rsid w:val="001E6780"/>
    <w:rsid w:val="001E72AB"/>
    <w:rsid w:val="001F22C2"/>
    <w:rsid w:val="001F46DC"/>
    <w:rsid w:val="001F7E61"/>
    <w:rsid w:val="00201ECF"/>
    <w:rsid w:val="0020382F"/>
    <w:rsid w:val="00204702"/>
    <w:rsid w:val="0020590A"/>
    <w:rsid w:val="002060B7"/>
    <w:rsid w:val="00206D58"/>
    <w:rsid w:val="002070DB"/>
    <w:rsid w:val="0021004A"/>
    <w:rsid w:val="0021358D"/>
    <w:rsid w:val="002205B0"/>
    <w:rsid w:val="002207D1"/>
    <w:rsid w:val="00220B39"/>
    <w:rsid w:val="002231FA"/>
    <w:rsid w:val="00226DF2"/>
    <w:rsid w:val="002338AC"/>
    <w:rsid w:val="00234CD0"/>
    <w:rsid w:val="00234E8D"/>
    <w:rsid w:val="00235A6D"/>
    <w:rsid w:val="002408DE"/>
    <w:rsid w:val="00241B86"/>
    <w:rsid w:val="00246054"/>
    <w:rsid w:val="0025149C"/>
    <w:rsid w:val="0025173C"/>
    <w:rsid w:val="00253148"/>
    <w:rsid w:val="0025433A"/>
    <w:rsid w:val="002711A4"/>
    <w:rsid w:val="0027120D"/>
    <w:rsid w:val="0027216B"/>
    <w:rsid w:val="002739FB"/>
    <w:rsid w:val="00282586"/>
    <w:rsid w:val="00283C0B"/>
    <w:rsid w:val="0028448C"/>
    <w:rsid w:val="0028647E"/>
    <w:rsid w:val="002879BF"/>
    <w:rsid w:val="00292A98"/>
    <w:rsid w:val="00292B70"/>
    <w:rsid w:val="0029400D"/>
    <w:rsid w:val="002A1F68"/>
    <w:rsid w:val="002B274E"/>
    <w:rsid w:val="002B335C"/>
    <w:rsid w:val="002B4DBE"/>
    <w:rsid w:val="002C34C4"/>
    <w:rsid w:val="002C4D18"/>
    <w:rsid w:val="002C4F75"/>
    <w:rsid w:val="002C58F1"/>
    <w:rsid w:val="002D3FC6"/>
    <w:rsid w:val="002D4521"/>
    <w:rsid w:val="002D4B0A"/>
    <w:rsid w:val="002D7A7C"/>
    <w:rsid w:val="002E0FD6"/>
    <w:rsid w:val="002E5FAE"/>
    <w:rsid w:val="002F2030"/>
    <w:rsid w:val="002F2171"/>
    <w:rsid w:val="002F4E09"/>
    <w:rsid w:val="002F4E66"/>
    <w:rsid w:val="002F687D"/>
    <w:rsid w:val="002F7079"/>
    <w:rsid w:val="00310D94"/>
    <w:rsid w:val="00325463"/>
    <w:rsid w:val="00327B2E"/>
    <w:rsid w:val="0033110A"/>
    <w:rsid w:val="00334B04"/>
    <w:rsid w:val="00344BBB"/>
    <w:rsid w:val="00346251"/>
    <w:rsid w:val="0034635D"/>
    <w:rsid w:val="00356691"/>
    <w:rsid w:val="00371D58"/>
    <w:rsid w:val="00374DAB"/>
    <w:rsid w:val="00375786"/>
    <w:rsid w:val="003776D2"/>
    <w:rsid w:val="0038076E"/>
    <w:rsid w:val="0038291A"/>
    <w:rsid w:val="0038443F"/>
    <w:rsid w:val="00384E14"/>
    <w:rsid w:val="0038635C"/>
    <w:rsid w:val="00391F64"/>
    <w:rsid w:val="00393833"/>
    <w:rsid w:val="003948E6"/>
    <w:rsid w:val="0039653F"/>
    <w:rsid w:val="003A0C86"/>
    <w:rsid w:val="003A31E3"/>
    <w:rsid w:val="003B28E0"/>
    <w:rsid w:val="003B4200"/>
    <w:rsid w:val="003B5BE3"/>
    <w:rsid w:val="003B65EC"/>
    <w:rsid w:val="003C15DF"/>
    <w:rsid w:val="003C17FA"/>
    <w:rsid w:val="003C237D"/>
    <w:rsid w:val="003D5231"/>
    <w:rsid w:val="003D5D37"/>
    <w:rsid w:val="003E5F24"/>
    <w:rsid w:val="003F2C2C"/>
    <w:rsid w:val="003F59D6"/>
    <w:rsid w:val="003F741B"/>
    <w:rsid w:val="0040210C"/>
    <w:rsid w:val="00402A3F"/>
    <w:rsid w:val="00406241"/>
    <w:rsid w:val="00406EA2"/>
    <w:rsid w:val="00410D34"/>
    <w:rsid w:val="00416137"/>
    <w:rsid w:val="004222F8"/>
    <w:rsid w:val="00422C1B"/>
    <w:rsid w:val="00423A2B"/>
    <w:rsid w:val="0042556F"/>
    <w:rsid w:val="00431F38"/>
    <w:rsid w:val="00432632"/>
    <w:rsid w:val="00433887"/>
    <w:rsid w:val="00436643"/>
    <w:rsid w:val="00436F5E"/>
    <w:rsid w:val="00441B1F"/>
    <w:rsid w:val="00446EE6"/>
    <w:rsid w:val="00447A6D"/>
    <w:rsid w:val="004522FF"/>
    <w:rsid w:val="004554B1"/>
    <w:rsid w:val="00456E2F"/>
    <w:rsid w:val="0046013E"/>
    <w:rsid w:val="00462C5C"/>
    <w:rsid w:val="004632CA"/>
    <w:rsid w:val="00466E85"/>
    <w:rsid w:val="004721A2"/>
    <w:rsid w:val="004735B3"/>
    <w:rsid w:val="004810B5"/>
    <w:rsid w:val="004821F4"/>
    <w:rsid w:val="00482DDE"/>
    <w:rsid w:val="00483BBB"/>
    <w:rsid w:val="004848E1"/>
    <w:rsid w:val="00485EDA"/>
    <w:rsid w:val="00486FB4"/>
    <w:rsid w:val="00487465"/>
    <w:rsid w:val="004918D3"/>
    <w:rsid w:val="0049419B"/>
    <w:rsid w:val="004A12A1"/>
    <w:rsid w:val="004A44DD"/>
    <w:rsid w:val="004A4AE7"/>
    <w:rsid w:val="004A696A"/>
    <w:rsid w:val="004A7203"/>
    <w:rsid w:val="004A77B3"/>
    <w:rsid w:val="004B12FB"/>
    <w:rsid w:val="004B4C01"/>
    <w:rsid w:val="004B587E"/>
    <w:rsid w:val="004B6A70"/>
    <w:rsid w:val="004B6C8A"/>
    <w:rsid w:val="004C2ADD"/>
    <w:rsid w:val="004C2DA4"/>
    <w:rsid w:val="004C61F7"/>
    <w:rsid w:val="004C760A"/>
    <w:rsid w:val="004D4753"/>
    <w:rsid w:val="004D5E55"/>
    <w:rsid w:val="004D6CA9"/>
    <w:rsid w:val="004D79F6"/>
    <w:rsid w:val="004F366E"/>
    <w:rsid w:val="004F4E1D"/>
    <w:rsid w:val="004F6EB6"/>
    <w:rsid w:val="00500A80"/>
    <w:rsid w:val="005033C2"/>
    <w:rsid w:val="005046F0"/>
    <w:rsid w:val="005052C5"/>
    <w:rsid w:val="00506306"/>
    <w:rsid w:val="0051635F"/>
    <w:rsid w:val="00520496"/>
    <w:rsid w:val="00520737"/>
    <w:rsid w:val="00524852"/>
    <w:rsid w:val="00530918"/>
    <w:rsid w:val="00534ED2"/>
    <w:rsid w:val="005353B7"/>
    <w:rsid w:val="00536F7A"/>
    <w:rsid w:val="00541024"/>
    <w:rsid w:val="005503FC"/>
    <w:rsid w:val="00550B17"/>
    <w:rsid w:val="00551AE9"/>
    <w:rsid w:val="00552CAF"/>
    <w:rsid w:val="005535F6"/>
    <w:rsid w:val="005574E0"/>
    <w:rsid w:val="00563057"/>
    <w:rsid w:val="00567CC8"/>
    <w:rsid w:val="00571639"/>
    <w:rsid w:val="00572CDD"/>
    <w:rsid w:val="005747CA"/>
    <w:rsid w:val="005833FF"/>
    <w:rsid w:val="00584822"/>
    <w:rsid w:val="00584DBB"/>
    <w:rsid w:val="00585FF9"/>
    <w:rsid w:val="00592E87"/>
    <w:rsid w:val="0059550A"/>
    <w:rsid w:val="005A0440"/>
    <w:rsid w:val="005A082F"/>
    <w:rsid w:val="005A64C5"/>
    <w:rsid w:val="005A767C"/>
    <w:rsid w:val="005B08E9"/>
    <w:rsid w:val="005B685D"/>
    <w:rsid w:val="005C726E"/>
    <w:rsid w:val="005C7762"/>
    <w:rsid w:val="005E0E8C"/>
    <w:rsid w:val="005E3D14"/>
    <w:rsid w:val="005E45D8"/>
    <w:rsid w:val="005E674D"/>
    <w:rsid w:val="005F01F9"/>
    <w:rsid w:val="005F0C01"/>
    <w:rsid w:val="005F1428"/>
    <w:rsid w:val="005F2061"/>
    <w:rsid w:val="005F28A6"/>
    <w:rsid w:val="005F2BB3"/>
    <w:rsid w:val="005F521E"/>
    <w:rsid w:val="005F585A"/>
    <w:rsid w:val="005F7CC1"/>
    <w:rsid w:val="005F7DD5"/>
    <w:rsid w:val="006010CA"/>
    <w:rsid w:val="00605E58"/>
    <w:rsid w:val="0060652A"/>
    <w:rsid w:val="00606EC6"/>
    <w:rsid w:val="00607351"/>
    <w:rsid w:val="006123FB"/>
    <w:rsid w:val="006131FE"/>
    <w:rsid w:val="00613384"/>
    <w:rsid w:val="00613BE2"/>
    <w:rsid w:val="00615CFD"/>
    <w:rsid w:val="00617355"/>
    <w:rsid w:val="0062219F"/>
    <w:rsid w:val="006239DA"/>
    <w:rsid w:val="0062518A"/>
    <w:rsid w:val="00627D2D"/>
    <w:rsid w:val="006302D3"/>
    <w:rsid w:val="0063164A"/>
    <w:rsid w:val="00634AEF"/>
    <w:rsid w:val="0063588F"/>
    <w:rsid w:val="006441D8"/>
    <w:rsid w:val="00646394"/>
    <w:rsid w:val="00651DBA"/>
    <w:rsid w:val="00654273"/>
    <w:rsid w:val="00657383"/>
    <w:rsid w:val="00657424"/>
    <w:rsid w:val="006720D4"/>
    <w:rsid w:val="0067276B"/>
    <w:rsid w:val="006746CA"/>
    <w:rsid w:val="00675F7A"/>
    <w:rsid w:val="00676410"/>
    <w:rsid w:val="00680962"/>
    <w:rsid w:val="00682B06"/>
    <w:rsid w:val="00695214"/>
    <w:rsid w:val="006A14A3"/>
    <w:rsid w:val="006B209B"/>
    <w:rsid w:val="006B2ADF"/>
    <w:rsid w:val="006B6845"/>
    <w:rsid w:val="006C0DE9"/>
    <w:rsid w:val="006D21F8"/>
    <w:rsid w:val="006D347F"/>
    <w:rsid w:val="006D40F3"/>
    <w:rsid w:val="006D4353"/>
    <w:rsid w:val="006D7C94"/>
    <w:rsid w:val="006E6574"/>
    <w:rsid w:val="006F0025"/>
    <w:rsid w:val="006F4560"/>
    <w:rsid w:val="0070020C"/>
    <w:rsid w:val="00701045"/>
    <w:rsid w:val="007022A6"/>
    <w:rsid w:val="00705F4B"/>
    <w:rsid w:val="007100A5"/>
    <w:rsid w:val="00711742"/>
    <w:rsid w:val="00711BC5"/>
    <w:rsid w:val="0072204D"/>
    <w:rsid w:val="0072207E"/>
    <w:rsid w:val="00724807"/>
    <w:rsid w:val="007250A3"/>
    <w:rsid w:val="007330DD"/>
    <w:rsid w:val="00736F1D"/>
    <w:rsid w:val="00746788"/>
    <w:rsid w:val="00746C40"/>
    <w:rsid w:val="007520FD"/>
    <w:rsid w:val="00760419"/>
    <w:rsid w:val="007630A8"/>
    <w:rsid w:val="00772457"/>
    <w:rsid w:val="00773B13"/>
    <w:rsid w:val="00774E71"/>
    <w:rsid w:val="0077644D"/>
    <w:rsid w:val="0077753A"/>
    <w:rsid w:val="00783C20"/>
    <w:rsid w:val="00784137"/>
    <w:rsid w:val="0079471B"/>
    <w:rsid w:val="007A55C8"/>
    <w:rsid w:val="007A5741"/>
    <w:rsid w:val="007A62CB"/>
    <w:rsid w:val="007A6409"/>
    <w:rsid w:val="007B0FBB"/>
    <w:rsid w:val="007B5068"/>
    <w:rsid w:val="007C0021"/>
    <w:rsid w:val="007C1847"/>
    <w:rsid w:val="007C3216"/>
    <w:rsid w:val="007C353A"/>
    <w:rsid w:val="007C3E45"/>
    <w:rsid w:val="007C41F6"/>
    <w:rsid w:val="007C48C1"/>
    <w:rsid w:val="007D07C9"/>
    <w:rsid w:val="007D295D"/>
    <w:rsid w:val="007D57A5"/>
    <w:rsid w:val="007D6ED9"/>
    <w:rsid w:val="007E081E"/>
    <w:rsid w:val="007E72D0"/>
    <w:rsid w:val="007F352C"/>
    <w:rsid w:val="00800E67"/>
    <w:rsid w:val="00801288"/>
    <w:rsid w:val="0080540C"/>
    <w:rsid w:val="008066BF"/>
    <w:rsid w:val="00806712"/>
    <w:rsid w:val="00821182"/>
    <w:rsid w:val="00822AE5"/>
    <w:rsid w:val="00824508"/>
    <w:rsid w:val="00824F13"/>
    <w:rsid w:val="00827F2D"/>
    <w:rsid w:val="00833A4C"/>
    <w:rsid w:val="00834A9D"/>
    <w:rsid w:val="008358B7"/>
    <w:rsid w:val="00844287"/>
    <w:rsid w:val="00853AFE"/>
    <w:rsid w:val="00854D41"/>
    <w:rsid w:val="00860817"/>
    <w:rsid w:val="00864C2A"/>
    <w:rsid w:val="008663F1"/>
    <w:rsid w:val="0086654B"/>
    <w:rsid w:val="00870AEC"/>
    <w:rsid w:val="0087234E"/>
    <w:rsid w:val="008779A6"/>
    <w:rsid w:val="008806FC"/>
    <w:rsid w:val="00883C4F"/>
    <w:rsid w:val="00884F05"/>
    <w:rsid w:val="00886B1E"/>
    <w:rsid w:val="0089174C"/>
    <w:rsid w:val="0089205F"/>
    <w:rsid w:val="00896701"/>
    <w:rsid w:val="008979AF"/>
    <w:rsid w:val="008A0C96"/>
    <w:rsid w:val="008B195B"/>
    <w:rsid w:val="008B52DF"/>
    <w:rsid w:val="008B7F2C"/>
    <w:rsid w:val="008C2561"/>
    <w:rsid w:val="008C28B0"/>
    <w:rsid w:val="008C51D4"/>
    <w:rsid w:val="008C6A6B"/>
    <w:rsid w:val="008C78B4"/>
    <w:rsid w:val="008D0767"/>
    <w:rsid w:val="008D73DB"/>
    <w:rsid w:val="008D76C2"/>
    <w:rsid w:val="008D78D2"/>
    <w:rsid w:val="008E607A"/>
    <w:rsid w:val="008E67E1"/>
    <w:rsid w:val="008E767B"/>
    <w:rsid w:val="008F10A2"/>
    <w:rsid w:val="008F29C8"/>
    <w:rsid w:val="008F4584"/>
    <w:rsid w:val="008F5409"/>
    <w:rsid w:val="00900464"/>
    <w:rsid w:val="00900802"/>
    <w:rsid w:val="00903C18"/>
    <w:rsid w:val="00910AEF"/>
    <w:rsid w:val="00913212"/>
    <w:rsid w:val="00915098"/>
    <w:rsid w:val="00916C80"/>
    <w:rsid w:val="00931BA1"/>
    <w:rsid w:val="00932529"/>
    <w:rsid w:val="00932D71"/>
    <w:rsid w:val="00933077"/>
    <w:rsid w:val="00935AD4"/>
    <w:rsid w:val="00937731"/>
    <w:rsid w:val="00941871"/>
    <w:rsid w:val="009449FE"/>
    <w:rsid w:val="00945A94"/>
    <w:rsid w:val="00945CD6"/>
    <w:rsid w:val="009475D3"/>
    <w:rsid w:val="00954826"/>
    <w:rsid w:val="0095529D"/>
    <w:rsid w:val="00957AE3"/>
    <w:rsid w:val="00961F35"/>
    <w:rsid w:val="009648CE"/>
    <w:rsid w:val="009668F9"/>
    <w:rsid w:val="0097082E"/>
    <w:rsid w:val="00972EC1"/>
    <w:rsid w:val="0097618A"/>
    <w:rsid w:val="00984CA2"/>
    <w:rsid w:val="00986198"/>
    <w:rsid w:val="00987132"/>
    <w:rsid w:val="00990B42"/>
    <w:rsid w:val="00992535"/>
    <w:rsid w:val="009965A3"/>
    <w:rsid w:val="009A0D3E"/>
    <w:rsid w:val="009A2CEE"/>
    <w:rsid w:val="009A322A"/>
    <w:rsid w:val="009A6F01"/>
    <w:rsid w:val="009B1638"/>
    <w:rsid w:val="009B4322"/>
    <w:rsid w:val="009C1E3D"/>
    <w:rsid w:val="009C3405"/>
    <w:rsid w:val="009C6184"/>
    <w:rsid w:val="009C6435"/>
    <w:rsid w:val="009C6D5D"/>
    <w:rsid w:val="009D0C4A"/>
    <w:rsid w:val="009D12A9"/>
    <w:rsid w:val="009D263D"/>
    <w:rsid w:val="009D47D2"/>
    <w:rsid w:val="009D5FD5"/>
    <w:rsid w:val="009D7A18"/>
    <w:rsid w:val="009E08A4"/>
    <w:rsid w:val="009E1FB8"/>
    <w:rsid w:val="009E28C8"/>
    <w:rsid w:val="009F2E89"/>
    <w:rsid w:val="009F47B7"/>
    <w:rsid w:val="009F72DA"/>
    <w:rsid w:val="00A02187"/>
    <w:rsid w:val="00A05803"/>
    <w:rsid w:val="00A106C3"/>
    <w:rsid w:val="00A123D2"/>
    <w:rsid w:val="00A1441D"/>
    <w:rsid w:val="00A15D1D"/>
    <w:rsid w:val="00A16212"/>
    <w:rsid w:val="00A25C9F"/>
    <w:rsid w:val="00A267E9"/>
    <w:rsid w:val="00A32517"/>
    <w:rsid w:val="00A346C3"/>
    <w:rsid w:val="00A35B0D"/>
    <w:rsid w:val="00A35E23"/>
    <w:rsid w:val="00A40055"/>
    <w:rsid w:val="00A412C5"/>
    <w:rsid w:val="00A4294A"/>
    <w:rsid w:val="00A43DEE"/>
    <w:rsid w:val="00A44209"/>
    <w:rsid w:val="00A47BFE"/>
    <w:rsid w:val="00A60FD6"/>
    <w:rsid w:val="00A611E7"/>
    <w:rsid w:val="00A67D13"/>
    <w:rsid w:val="00A70282"/>
    <w:rsid w:val="00A73955"/>
    <w:rsid w:val="00A83B29"/>
    <w:rsid w:val="00A83C41"/>
    <w:rsid w:val="00A85AF3"/>
    <w:rsid w:val="00A90C54"/>
    <w:rsid w:val="00A90F8E"/>
    <w:rsid w:val="00A91ACC"/>
    <w:rsid w:val="00A9475C"/>
    <w:rsid w:val="00AA29C0"/>
    <w:rsid w:val="00AA4C4D"/>
    <w:rsid w:val="00AA5DDC"/>
    <w:rsid w:val="00AA6A7A"/>
    <w:rsid w:val="00AB12F1"/>
    <w:rsid w:val="00AB262D"/>
    <w:rsid w:val="00AB6527"/>
    <w:rsid w:val="00AC0C63"/>
    <w:rsid w:val="00AC2B5E"/>
    <w:rsid w:val="00AC6322"/>
    <w:rsid w:val="00AC729B"/>
    <w:rsid w:val="00AD2030"/>
    <w:rsid w:val="00AD7796"/>
    <w:rsid w:val="00AE340D"/>
    <w:rsid w:val="00AE4657"/>
    <w:rsid w:val="00AE6496"/>
    <w:rsid w:val="00AE671A"/>
    <w:rsid w:val="00AE6F8C"/>
    <w:rsid w:val="00B037C7"/>
    <w:rsid w:val="00B06940"/>
    <w:rsid w:val="00B141CC"/>
    <w:rsid w:val="00B14396"/>
    <w:rsid w:val="00B21725"/>
    <w:rsid w:val="00B256AA"/>
    <w:rsid w:val="00B34802"/>
    <w:rsid w:val="00B349E5"/>
    <w:rsid w:val="00B36F20"/>
    <w:rsid w:val="00B411B6"/>
    <w:rsid w:val="00B453C7"/>
    <w:rsid w:val="00B453F7"/>
    <w:rsid w:val="00B458DE"/>
    <w:rsid w:val="00B5321A"/>
    <w:rsid w:val="00B54AD3"/>
    <w:rsid w:val="00B6548D"/>
    <w:rsid w:val="00B661EF"/>
    <w:rsid w:val="00B66874"/>
    <w:rsid w:val="00B70AC4"/>
    <w:rsid w:val="00B70DDD"/>
    <w:rsid w:val="00B7292B"/>
    <w:rsid w:val="00B73ACF"/>
    <w:rsid w:val="00B754E4"/>
    <w:rsid w:val="00B80028"/>
    <w:rsid w:val="00B82234"/>
    <w:rsid w:val="00B84547"/>
    <w:rsid w:val="00B863AB"/>
    <w:rsid w:val="00B91D97"/>
    <w:rsid w:val="00B93431"/>
    <w:rsid w:val="00B943AE"/>
    <w:rsid w:val="00B96E25"/>
    <w:rsid w:val="00BA1F8D"/>
    <w:rsid w:val="00BA4818"/>
    <w:rsid w:val="00BA79C0"/>
    <w:rsid w:val="00BB0116"/>
    <w:rsid w:val="00BB13A6"/>
    <w:rsid w:val="00BC2ED7"/>
    <w:rsid w:val="00BD2B6E"/>
    <w:rsid w:val="00BD4CFB"/>
    <w:rsid w:val="00BD7CC3"/>
    <w:rsid w:val="00BE0257"/>
    <w:rsid w:val="00BE3037"/>
    <w:rsid w:val="00BE4169"/>
    <w:rsid w:val="00BE6284"/>
    <w:rsid w:val="00BE6970"/>
    <w:rsid w:val="00BE7952"/>
    <w:rsid w:val="00BF49DA"/>
    <w:rsid w:val="00BF563C"/>
    <w:rsid w:val="00BF78C0"/>
    <w:rsid w:val="00C037C1"/>
    <w:rsid w:val="00C055D2"/>
    <w:rsid w:val="00C102D4"/>
    <w:rsid w:val="00C12B95"/>
    <w:rsid w:val="00C133E0"/>
    <w:rsid w:val="00C141D1"/>
    <w:rsid w:val="00C1674B"/>
    <w:rsid w:val="00C23CB4"/>
    <w:rsid w:val="00C24730"/>
    <w:rsid w:val="00C273FB"/>
    <w:rsid w:val="00C27DBC"/>
    <w:rsid w:val="00C428AC"/>
    <w:rsid w:val="00C43881"/>
    <w:rsid w:val="00C525F1"/>
    <w:rsid w:val="00C52EF2"/>
    <w:rsid w:val="00C546EB"/>
    <w:rsid w:val="00C55143"/>
    <w:rsid w:val="00C56EA9"/>
    <w:rsid w:val="00C6628F"/>
    <w:rsid w:val="00C722FB"/>
    <w:rsid w:val="00C800B0"/>
    <w:rsid w:val="00C915BA"/>
    <w:rsid w:val="00C915C3"/>
    <w:rsid w:val="00C92543"/>
    <w:rsid w:val="00C93C7C"/>
    <w:rsid w:val="00C95170"/>
    <w:rsid w:val="00CB0251"/>
    <w:rsid w:val="00CB15BF"/>
    <w:rsid w:val="00CB3325"/>
    <w:rsid w:val="00CC1E2E"/>
    <w:rsid w:val="00CC257B"/>
    <w:rsid w:val="00CC3F69"/>
    <w:rsid w:val="00CD57F6"/>
    <w:rsid w:val="00CD5BE6"/>
    <w:rsid w:val="00CE5497"/>
    <w:rsid w:val="00CE5828"/>
    <w:rsid w:val="00CE6EFF"/>
    <w:rsid w:val="00CE74C7"/>
    <w:rsid w:val="00CF2909"/>
    <w:rsid w:val="00CF2E49"/>
    <w:rsid w:val="00D012A6"/>
    <w:rsid w:val="00D01A6D"/>
    <w:rsid w:val="00D021E0"/>
    <w:rsid w:val="00D06D5F"/>
    <w:rsid w:val="00D16F56"/>
    <w:rsid w:val="00D2576A"/>
    <w:rsid w:val="00D40FAF"/>
    <w:rsid w:val="00D41109"/>
    <w:rsid w:val="00D41C86"/>
    <w:rsid w:val="00D45B35"/>
    <w:rsid w:val="00D464DD"/>
    <w:rsid w:val="00D519D9"/>
    <w:rsid w:val="00D54D50"/>
    <w:rsid w:val="00D56C73"/>
    <w:rsid w:val="00D62F71"/>
    <w:rsid w:val="00D64A3B"/>
    <w:rsid w:val="00D712C2"/>
    <w:rsid w:val="00D72D37"/>
    <w:rsid w:val="00D74980"/>
    <w:rsid w:val="00D81988"/>
    <w:rsid w:val="00D84E1E"/>
    <w:rsid w:val="00D85CA4"/>
    <w:rsid w:val="00D8701F"/>
    <w:rsid w:val="00D87F7F"/>
    <w:rsid w:val="00D90EF6"/>
    <w:rsid w:val="00DB0FB6"/>
    <w:rsid w:val="00DB4905"/>
    <w:rsid w:val="00DB7EBD"/>
    <w:rsid w:val="00DC6742"/>
    <w:rsid w:val="00DD056E"/>
    <w:rsid w:val="00DD09C5"/>
    <w:rsid w:val="00DD52B2"/>
    <w:rsid w:val="00DD6299"/>
    <w:rsid w:val="00DD6929"/>
    <w:rsid w:val="00DE1DA4"/>
    <w:rsid w:val="00DE2C80"/>
    <w:rsid w:val="00DF444A"/>
    <w:rsid w:val="00DF750B"/>
    <w:rsid w:val="00E004D5"/>
    <w:rsid w:val="00E00860"/>
    <w:rsid w:val="00E03137"/>
    <w:rsid w:val="00E05A0A"/>
    <w:rsid w:val="00E126C7"/>
    <w:rsid w:val="00E131E8"/>
    <w:rsid w:val="00E14F8C"/>
    <w:rsid w:val="00E23598"/>
    <w:rsid w:val="00E25090"/>
    <w:rsid w:val="00E26969"/>
    <w:rsid w:val="00E26D38"/>
    <w:rsid w:val="00E275D3"/>
    <w:rsid w:val="00E41D46"/>
    <w:rsid w:val="00E4570D"/>
    <w:rsid w:val="00E53B02"/>
    <w:rsid w:val="00E570CD"/>
    <w:rsid w:val="00E633D9"/>
    <w:rsid w:val="00E65461"/>
    <w:rsid w:val="00E656E1"/>
    <w:rsid w:val="00E66581"/>
    <w:rsid w:val="00E72BBA"/>
    <w:rsid w:val="00E72E9A"/>
    <w:rsid w:val="00E75136"/>
    <w:rsid w:val="00E7778D"/>
    <w:rsid w:val="00E85F44"/>
    <w:rsid w:val="00E86DB9"/>
    <w:rsid w:val="00E91FAB"/>
    <w:rsid w:val="00E93737"/>
    <w:rsid w:val="00E94900"/>
    <w:rsid w:val="00E96522"/>
    <w:rsid w:val="00EA12DE"/>
    <w:rsid w:val="00EA6CAB"/>
    <w:rsid w:val="00EA76EB"/>
    <w:rsid w:val="00EB59ED"/>
    <w:rsid w:val="00EB5B54"/>
    <w:rsid w:val="00EB5C3A"/>
    <w:rsid w:val="00EC056D"/>
    <w:rsid w:val="00EC329F"/>
    <w:rsid w:val="00EC4527"/>
    <w:rsid w:val="00EC69B5"/>
    <w:rsid w:val="00EC6BDF"/>
    <w:rsid w:val="00ED4D85"/>
    <w:rsid w:val="00ED68D0"/>
    <w:rsid w:val="00EE1D0E"/>
    <w:rsid w:val="00EF263A"/>
    <w:rsid w:val="00EF2BD3"/>
    <w:rsid w:val="00EF6EEA"/>
    <w:rsid w:val="00EF71DB"/>
    <w:rsid w:val="00F013D8"/>
    <w:rsid w:val="00F04109"/>
    <w:rsid w:val="00F10355"/>
    <w:rsid w:val="00F16AED"/>
    <w:rsid w:val="00F24AAE"/>
    <w:rsid w:val="00F35787"/>
    <w:rsid w:val="00F416D7"/>
    <w:rsid w:val="00F44947"/>
    <w:rsid w:val="00F44DB3"/>
    <w:rsid w:val="00F47460"/>
    <w:rsid w:val="00F53A06"/>
    <w:rsid w:val="00F56330"/>
    <w:rsid w:val="00F57B6E"/>
    <w:rsid w:val="00F62CAF"/>
    <w:rsid w:val="00F64F02"/>
    <w:rsid w:val="00F6599E"/>
    <w:rsid w:val="00F707F0"/>
    <w:rsid w:val="00F712F4"/>
    <w:rsid w:val="00F73338"/>
    <w:rsid w:val="00F73374"/>
    <w:rsid w:val="00F80D92"/>
    <w:rsid w:val="00F818FC"/>
    <w:rsid w:val="00F8413E"/>
    <w:rsid w:val="00F90084"/>
    <w:rsid w:val="00F93814"/>
    <w:rsid w:val="00F94E1F"/>
    <w:rsid w:val="00FA05FE"/>
    <w:rsid w:val="00FA72F5"/>
    <w:rsid w:val="00FA7A35"/>
    <w:rsid w:val="00FB2371"/>
    <w:rsid w:val="00FB622C"/>
    <w:rsid w:val="00FC04C5"/>
    <w:rsid w:val="00FC4F25"/>
    <w:rsid w:val="00FD1B70"/>
    <w:rsid w:val="00FD3228"/>
    <w:rsid w:val="00FD6E42"/>
    <w:rsid w:val="00FD7600"/>
    <w:rsid w:val="00FD7978"/>
    <w:rsid w:val="00FE20AA"/>
    <w:rsid w:val="00FE3C8F"/>
    <w:rsid w:val="00FE77EB"/>
    <w:rsid w:val="00FF1BE6"/>
    <w:rsid w:val="00FF3048"/>
    <w:rsid w:val="00FF4642"/>
    <w:rsid w:val="00FF46F5"/>
    <w:rsid w:val="00FF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2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947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Revision">
    <w:name w:val="Revision"/>
    <w:hidden/>
    <w:uiPriority w:val="99"/>
    <w:semiHidden/>
    <w:rsid w:val="00406241"/>
    <w:rPr>
      <w:sz w:val="24"/>
      <w:szCs w:val="24"/>
    </w:rPr>
  </w:style>
  <w:style w:type="paragraph" w:styleId="FootnoteText">
    <w:name w:val="footnote text"/>
    <w:basedOn w:val="Normal"/>
    <w:link w:val="FootnoteTextChar"/>
    <w:uiPriority w:val="99"/>
    <w:unhideWhenUsed/>
    <w:rsid w:val="0027120D"/>
    <w:rPr>
      <w:rFonts w:eastAsia="Calibri"/>
      <w:sz w:val="20"/>
      <w:szCs w:val="20"/>
    </w:rPr>
  </w:style>
  <w:style w:type="character" w:customStyle="1" w:styleId="FootnoteTextChar">
    <w:name w:val="Footnote Text Char"/>
    <w:link w:val="FootnoteText"/>
    <w:uiPriority w:val="99"/>
    <w:rsid w:val="0027120D"/>
    <w:rPr>
      <w:rFonts w:eastAsia="Calibri"/>
    </w:rPr>
  </w:style>
  <w:style w:type="character" w:styleId="FootnoteReference">
    <w:name w:val="footnote reference"/>
    <w:uiPriority w:val="99"/>
    <w:unhideWhenUsed/>
    <w:rsid w:val="0027120D"/>
    <w:rPr>
      <w:vertAlign w:val="superscript"/>
    </w:rPr>
  </w:style>
  <w:style w:type="character" w:styleId="FollowedHyperlink">
    <w:name w:val="FollowedHyperlink"/>
    <w:rsid w:val="00B411B6"/>
    <w:rPr>
      <w:color w:val="954F72"/>
      <w:u w:val="single"/>
    </w:rPr>
  </w:style>
  <w:style w:type="paragraph" w:styleId="ListParagraph">
    <w:name w:val="List Paragraph"/>
    <w:basedOn w:val="Normal"/>
    <w:link w:val="ListParagraphChar"/>
    <w:uiPriority w:val="34"/>
    <w:qFormat/>
    <w:rsid w:val="00E96522"/>
    <w:pPr>
      <w:ind w:left="720"/>
      <w:contextualSpacing/>
    </w:pPr>
  </w:style>
  <w:style w:type="character" w:customStyle="1" w:styleId="ListParagraphChar">
    <w:name w:val="List Paragraph Char"/>
    <w:basedOn w:val="DefaultParagraphFont"/>
    <w:link w:val="ListParagraph"/>
    <w:uiPriority w:val="34"/>
    <w:rsid w:val="009E08A4"/>
    <w:rPr>
      <w:sz w:val="24"/>
      <w:szCs w:val="24"/>
    </w:rPr>
  </w:style>
  <w:style w:type="table" w:styleId="TableGrid">
    <w:name w:val="Table Grid"/>
    <w:basedOn w:val="TableNormal"/>
    <w:unhideWhenUsed/>
    <w:rsid w:val="00746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9475C"/>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947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Revision">
    <w:name w:val="Revision"/>
    <w:hidden/>
    <w:uiPriority w:val="99"/>
    <w:semiHidden/>
    <w:rsid w:val="00406241"/>
    <w:rPr>
      <w:sz w:val="24"/>
      <w:szCs w:val="24"/>
    </w:rPr>
  </w:style>
  <w:style w:type="paragraph" w:styleId="FootnoteText">
    <w:name w:val="footnote text"/>
    <w:basedOn w:val="Normal"/>
    <w:link w:val="FootnoteTextChar"/>
    <w:uiPriority w:val="99"/>
    <w:unhideWhenUsed/>
    <w:rsid w:val="0027120D"/>
    <w:rPr>
      <w:rFonts w:eastAsia="Calibri"/>
      <w:sz w:val="20"/>
      <w:szCs w:val="20"/>
    </w:rPr>
  </w:style>
  <w:style w:type="character" w:customStyle="1" w:styleId="FootnoteTextChar">
    <w:name w:val="Footnote Text Char"/>
    <w:link w:val="FootnoteText"/>
    <w:uiPriority w:val="99"/>
    <w:rsid w:val="0027120D"/>
    <w:rPr>
      <w:rFonts w:eastAsia="Calibri"/>
    </w:rPr>
  </w:style>
  <w:style w:type="character" w:styleId="FootnoteReference">
    <w:name w:val="footnote reference"/>
    <w:uiPriority w:val="99"/>
    <w:unhideWhenUsed/>
    <w:rsid w:val="0027120D"/>
    <w:rPr>
      <w:vertAlign w:val="superscript"/>
    </w:rPr>
  </w:style>
  <w:style w:type="character" w:styleId="FollowedHyperlink">
    <w:name w:val="FollowedHyperlink"/>
    <w:rsid w:val="00B411B6"/>
    <w:rPr>
      <w:color w:val="954F72"/>
      <w:u w:val="single"/>
    </w:rPr>
  </w:style>
  <w:style w:type="paragraph" w:styleId="ListParagraph">
    <w:name w:val="List Paragraph"/>
    <w:basedOn w:val="Normal"/>
    <w:link w:val="ListParagraphChar"/>
    <w:uiPriority w:val="34"/>
    <w:qFormat/>
    <w:rsid w:val="00E96522"/>
    <w:pPr>
      <w:ind w:left="720"/>
      <w:contextualSpacing/>
    </w:pPr>
  </w:style>
  <w:style w:type="character" w:customStyle="1" w:styleId="ListParagraphChar">
    <w:name w:val="List Paragraph Char"/>
    <w:basedOn w:val="DefaultParagraphFont"/>
    <w:link w:val="ListParagraph"/>
    <w:uiPriority w:val="34"/>
    <w:rsid w:val="009E08A4"/>
    <w:rPr>
      <w:sz w:val="24"/>
      <w:szCs w:val="24"/>
    </w:rPr>
  </w:style>
  <w:style w:type="table" w:styleId="TableGrid">
    <w:name w:val="Table Grid"/>
    <w:basedOn w:val="TableNormal"/>
    <w:unhideWhenUsed/>
    <w:rsid w:val="00746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947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1446">
      <w:bodyDiv w:val="1"/>
      <w:marLeft w:val="0"/>
      <w:marRight w:val="0"/>
      <w:marTop w:val="0"/>
      <w:marBottom w:val="0"/>
      <w:divBdr>
        <w:top w:val="none" w:sz="0" w:space="0" w:color="auto"/>
        <w:left w:val="none" w:sz="0" w:space="0" w:color="auto"/>
        <w:bottom w:val="none" w:sz="0" w:space="0" w:color="auto"/>
        <w:right w:val="none" w:sz="0" w:space="0" w:color="auto"/>
      </w:divBdr>
    </w:div>
    <w:div w:id="254943387">
      <w:bodyDiv w:val="1"/>
      <w:marLeft w:val="0"/>
      <w:marRight w:val="0"/>
      <w:marTop w:val="0"/>
      <w:marBottom w:val="0"/>
      <w:divBdr>
        <w:top w:val="none" w:sz="0" w:space="0" w:color="auto"/>
        <w:left w:val="none" w:sz="0" w:space="0" w:color="auto"/>
        <w:bottom w:val="none" w:sz="0" w:space="0" w:color="auto"/>
        <w:right w:val="none" w:sz="0" w:space="0" w:color="auto"/>
      </w:divBdr>
    </w:div>
    <w:div w:id="271330685">
      <w:bodyDiv w:val="1"/>
      <w:marLeft w:val="0"/>
      <w:marRight w:val="0"/>
      <w:marTop w:val="0"/>
      <w:marBottom w:val="0"/>
      <w:divBdr>
        <w:top w:val="none" w:sz="0" w:space="0" w:color="auto"/>
        <w:left w:val="none" w:sz="0" w:space="0" w:color="auto"/>
        <w:bottom w:val="none" w:sz="0" w:space="0" w:color="auto"/>
        <w:right w:val="none" w:sz="0" w:space="0" w:color="auto"/>
      </w:divBdr>
    </w:div>
    <w:div w:id="276957453">
      <w:bodyDiv w:val="1"/>
      <w:marLeft w:val="0"/>
      <w:marRight w:val="0"/>
      <w:marTop w:val="0"/>
      <w:marBottom w:val="0"/>
      <w:divBdr>
        <w:top w:val="none" w:sz="0" w:space="0" w:color="auto"/>
        <w:left w:val="none" w:sz="0" w:space="0" w:color="auto"/>
        <w:bottom w:val="none" w:sz="0" w:space="0" w:color="auto"/>
        <w:right w:val="none" w:sz="0" w:space="0" w:color="auto"/>
      </w:divBdr>
    </w:div>
    <w:div w:id="318390523">
      <w:bodyDiv w:val="1"/>
      <w:marLeft w:val="0"/>
      <w:marRight w:val="0"/>
      <w:marTop w:val="0"/>
      <w:marBottom w:val="0"/>
      <w:divBdr>
        <w:top w:val="none" w:sz="0" w:space="0" w:color="auto"/>
        <w:left w:val="none" w:sz="0" w:space="0" w:color="auto"/>
        <w:bottom w:val="none" w:sz="0" w:space="0" w:color="auto"/>
        <w:right w:val="none" w:sz="0" w:space="0" w:color="auto"/>
      </w:divBdr>
    </w:div>
    <w:div w:id="355353858">
      <w:bodyDiv w:val="1"/>
      <w:marLeft w:val="0"/>
      <w:marRight w:val="0"/>
      <w:marTop w:val="0"/>
      <w:marBottom w:val="0"/>
      <w:divBdr>
        <w:top w:val="none" w:sz="0" w:space="0" w:color="auto"/>
        <w:left w:val="none" w:sz="0" w:space="0" w:color="auto"/>
        <w:bottom w:val="none" w:sz="0" w:space="0" w:color="auto"/>
        <w:right w:val="none" w:sz="0" w:space="0" w:color="auto"/>
      </w:divBdr>
    </w:div>
    <w:div w:id="411126757">
      <w:bodyDiv w:val="1"/>
      <w:marLeft w:val="0"/>
      <w:marRight w:val="0"/>
      <w:marTop w:val="0"/>
      <w:marBottom w:val="0"/>
      <w:divBdr>
        <w:top w:val="none" w:sz="0" w:space="0" w:color="auto"/>
        <w:left w:val="none" w:sz="0" w:space="0" w:color="auto"/>
        <w:bottom w:val="none" w:sz="0" w:space="0" w:color="auto"/>
        <w:right w:val="none" w:sz="0" w:space="0" w:color="auto"/>
      </w:divBdr>
    </w:div>
    <w:div w:id="513229519">
      <w:bodyDiv w:val="1"/>
      <w:marLeft w:val="0"/>
      <w:marRight w:val="0"/>
      <w:marTop w:val="0"/>
      <w:marBottom w:val="0"/>
      <w:divBdr>
        <w:top w:val="none" w:sz="0" w:space="0" w:color="auto"/>
        <w:left w:val="none" w:sz="0" w:space="0" w:color="auto"/>
        <w:bottom w:val="none" w:sz="0" w:space="0" w:color="auto"/>
        <w:right w:val="none" w:sz="0" w:space="0" w:color="auto"/>
      </w:divBdr>
    </w:div>
    <w:div w:id="537670344">
      <w:bodyDiv w:val="1"/>
      <w:marLeft w:val="0"/>
      <w:marRight w:val="0"/>
      <w:marTop w:val="0"/>
      <w:marBottom w:val="0"/>
      <w:divBdr>
        <w:top w:val="none" w:sz="0" w:space="0" w:color="auto"/>
        <w:left w:val="none" w:sz="0" w:space="0" w:color="auto"/>
        <w:bottom w:val="none" w:sz="0" w:space="0" w:color="auto"/>
        <w:right w:val="none" w:sz="0" w:space="0" w:color="auto"/>
      </w:divBdr>
    </w:div>
    <w:div w:id="628240049">
      <w:bodyDiv w:val="1"/>
      <w:marLeft w:val="0"/>
      <w:marRight w:val="0"/>
      <w:marTop w:val="0"/>
      <w:marBottom w:val="0"/>
      <w:divBdr>
        <w:top w:val="none" w:sz="0" w:space="0" w:color="auto"/>
        <w:left w:val="none" w:sz="0" w:space="0" w:color="auto"/>
        <w:bottom w:val="none" w:sz="0" w:space="0" w:color="auto"/>
        <w:right w:val="none" w:sz="0" w:space="0" w:color="auto"/>
      </w:divBdr>
    </w:div>
    <w:div w:id="661198301">
      <w:bodyDiv w:val="1"/>
      <w:marLeft w:val="0"/>
      <w:marRight w:val="0"/>
      <w:marTop w:val="0"/>
      <w:marBottom w:val="0"/>
      <w:divBdr>
        <w:top w:val="none" w:sz="0" w:space="0" w:color="auto"/>
        <w:left w:val="none" w:sz="0" w:space="0" w:color="auto"/>
        <w:bottom w:val="none" w:sz="0" w:space="0" w:color="auto"/>
        <w:right w:val="none" w:sz="0" w:space="0" w:color="auto"/>
      </w:divBdr>
    </w:div>
    <w:div w:id="692148512">
      <w:bodyDiv w:val="1"/>
      <w:marLeft w:val="0"/>
      <w:marRight w:val="0"/>
      <w:marTop w:val="0"/>
      <w:marBottom w:val="0"/>
      <w:divBdr>
        <w:top w:val="none" w:sz="0" w:space="0" w:color="auto"/>
        <w:left w:val="none" w:sz="0" w:space="0" w:color="auto"/>
        <w:bottom w:val="none" w:sz="0" w:space="0" w:color="auto"/>
        <w:right w:val="none" w:sz="0" w:space="0" w:color="auto"/>
      </w:divBdr>
    </w:div>
    <w:div w:id="715544369">
      <w:bodyDiv w:val="1"/>
      <w:marLeft w:val="0"/>
      <w:marRight w:val="0"/>
      <w:marTop w:val="0"/>
      <w:marBottom w:val="0"/>
      <w:divBdr>
        <w:top w:val="none" w:sz="0" w:space="0" w:color="auto"/>
        <w:left w:val="none" w:sz="0" w:space="0" w:color="auto"/>
        <w:bottom w:val="none" w:sz="0" w:space="0" w:color="auto"/>
        <w:right w:val="none" w:sz="0" w:space="0" w:color="auto"/>
      </w:divBdr>
    </w:div>
    <w:div w:id="756632723">
      <w:bodyDiv w:val="1"/>
      <w:marLeft w:val="0"/>
      <w:marRight w:val="0"/>
      <w:marTop w:val="0"/>
      <w:marBottom w:val="0"/>
      <w:divBdr>
        <w:top w:val="none" w:sz="0" w:space="0" w:color="auto"/>
        <w:left w:val="none" w:sz="0" w:space="0" w:color="auto"/>
        <w:bottom w:val="none" w:sz="0" w:space="0" w:color="auto"/>
        <w:right w:val="none" w:sz="0" w:space="0" w:color="auto"/>
      </w:divBdr>
    </w:div>
    <w:div w:id="776216323">
      <w:bodyDiv w:val="1"/>
      <w:marLeft w:val="0"/>
      <w:marRight w:val="0"/>
      <w:marTop w:val="0"/>
      <w:marBottom w:val="0"/>
      <w:divBdr>
        <w:top w:val="none" w:sz="0" w:space="0" w:color="auto"/>
        <w:left w:val="none" w:sz="0" w:space="0" w:color="auto"/>
        <w:bottom w:val="none" w:sz="0" w:space="0" w:color="auto"/>
        <w:right w:val="none" w:sz="0" w:space="0" w:color="auto"/>
      </w:divBdr>
    </w:div>
    <w:div w:id="827936045">
      <w:bodyDiv w:val="1"/>
      <w:marLeft w:val="0"/>
      <w:marRight w:val="0"/>
      <w:marTop w:val="0"/>
      <w:marBottom w:val="0"/>
      <w:divBdr>
        <w:top w:val="none" w:sz="0" w:space="0" w:color="auto"/>
        <w:left w:val="none" w:sz="0" w:space="0" w:color="auto"/>
        <w:bottom w:val="none" w:sz="0" w:space="0" w:color="auto"/>
        <w:right w:val="none" w:sz="0" w:space="0" w:color="auto"/>
      </w:divBdr>
    </w:div>
    <w:div w:id="1145708408">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182629388">
      <w:bodyDiv w:val="1"/>
      <w:marLeft w:val="0"/>
      <w:marRight w:val="0"/>
      <w:marTop w:val="0"/>
      <w:marBottom w:val="0"/>
      <w:divBdr>
        <w:top w:val="none" w:sz="0" w:space="0" w:color="auto"/>
        <w:left w:val="none" w:sz="0" w:space="0" w:color="auto"/>
        <w:bottom w:val="none" w:sz="0" w:space="0" w:color="auto"/>
        <w:right w:val="none" w:sz="0" w:space="0" w:color="auto"/>
      </w:divBdr>
    </w:div>
    <w:div w:id="1218324634">
      <w:bodyDiv w:val="1"/>
      <w:marLeft w:val="0"/>
      <w:marRight w:val="0"/>
      <w:marTop w:val="0"/>
      <w:marBottom w:val="0"/>
      <w:divBdr>
        <w:top w:val="none" w:sz="0" w:space="0" w:color="auto"/>
        <w:left w:val="none" w:sz="0" w:space="0" w:color="auto"/>
        <w:bottom w:val="none" w:sz="0" w:space="0" w:color="auto"/>
        <w:right w:val="none" w:sz="0" w:space="0" w:color="auto"/>
      </w:divBdr>
    </w:div>
    <w:div w:id="1271274889">
      <w:bodyDiv w:val="1"/>
      <w:marLeft w:val="0"/>
      <w:marRight w:val="0"/>
      <w:marTop w:val="0"/>
      <w:marBottom w:val="0"/>
      <w:divBdr>
        <w:top w:val="none" w:sz="0" w:space="0" w:color="auto"/>
        <w:left w:val="none" w:sz="0" w:space="0" w:color="auto"/>
        <w:bottom w:val="none" w:sz="0" w:space="0" w:color="auto"/>
        <w:right w:val="none" w:sz="0" w:space="0" w:color="auto"/>
      </w:divBdr>
    </w:div>
    <w:div w:id="1536112100">
      <w:bodyDiv w:val="1"/>
      <w:marLeft w:val="0"/>
      <w:marRight w:val="0"/>
      <w:marTop w:val="0"/>
      <w:marBottom w:val="0"/>
      <w:divBdr>
        <w:top w:val="none" w:sz="0" w:space="0" w:color="auto"/>
        <w:left w:val="none" w:sz="0" w:space="0" w:color="auto"/>
        <w:bottom w:val="none" w:sz="0" w:space="0" w:color="auto"/>
        <w:right w:val="none" w:sz="0" w:space="0" w:color="auto"/>
      </w:divBdr>
    </w:div>
    <w:div w:id="1539658781">
      <w:bodyDiv w:val="1"/>
      <w:marLeft w:val="0"/>
      <w:marRight w:val="0"/>
      <w:marTop w:val="0"/>
      <w:marBottom w:val="0"/>
      <w:divBdr>
        <w:top w:val="none" w:sz="0" w:space="0" w:color="auto"/>
        <w:left w:val="none" w:sz="0" w:space="0" w:color="auto"/>
        <w:bottom w:val="none" w:sz="0" w:space="0" w:color="auto"/>
        <w:right w:val="none" w:sz="0" w:space="0" w:color="auto"/>
      </w:divBdr>
    </w:div>
    <w:div w:id="1592739011">
      <w:bodyDiv w:val="1"/>
      <w:marLeft w:val="0"/>
      <w:marRight w:val="0"/>
      <w:marTop w:val="0"/>
      <w:marBottom w:val="0"/>
      <w:divBdr>
        <w:top w:val="none" w:sz="0" w:space="0" w:color="auto"/>
        <w:left w:val="none" w:sz="0" w:space="0" w:color="auto"/>
        <w:bottom w:val="none" w:sz="0" w:space="0" w:color="auto"/>
        <w:right w:val="none" w:sz="0" w:space="0" w:color="auto"/>
      </w:divBdr>
    </w:div>
    <w:div w:id="1597519711">
      <w:bodyDiv w:val="1"/>
      <w:marLeft w:val="0"/>
      <w:marRight w:val="0"/>
      <w:marTop w:val="0"/>
      <w:marBottom w:val="0"/>
      <w:divBdr>
        <w:top w:val="none" w:sz="0" w:space="0" w:color="auto"/>
        <w:left w:val="none" w:sz="0" w:space="0" w:color="auto"/>
        <w:bottom w:val="none" w:sz="0" w:space="0" w:color="auto"/>
        <w:right w:val="none" w:sz="0" w:space="0" w:color="auto"/>
      </w:divBdr>
    </w:div>
    <w:div w:id="1702512827">
      <w:bodyDiv w:val="1"/>
      <w:marLeft w:val="0"/>
      <w:marRight w:val="0"/>
      <w:marTop w:val="0"/>
      <w:marBottom w:val="0"/>
      <w:divBdr>
        <w:top w:val="none" w:sz="0" w:space="0" w:color="auto"/>
        <w:left w:val="none" w:sz="0" w:space="0" w:color="auto"/>
        <w:bottom w:val="none" w:sz="0" w:space="0" w:color="auto"/>
        <w:right w:val="none" w:sz="0" w:space="0" w:color="auto"/>
      </w:divBdr>
    </w:div>
    <w:div w:id="1749427100">
      <w:bodyDiv w:val="1"/>
      <w:marLeft w:val="0"/>
      <w:marRight w:val="0"/>
      <w:marTop w:val="0"/>
      <w:marBottom w:val="0"/>
      <w:divBdr>
        <w:top w:val="none" w:sz="0" w:space="0" w:color="auto"/>
        <w:left w:val="none" w:sz="0" w:space="0" w:color="auto"/>
        <w:bottom w:val="none" w:sz="0" w:space="0" w:color="auto"/>
        <w:right w:val="none" w:sz="0" w:space="0" w:color="auto"/>
      </w:divBdr>
    </w:div>
    <w:div w:id="1786919780">
      <w:bodyDiv w:val="1"/>
      <w:marLeft w:val="0"/>
      <w:marRight w:val="0"/>
      <w:marTop w:val="0"/>
      <w:marBottom w:val="0"/>
      <w:divBdr>
        <w:top w:val="none" w:sz="0" w:space="0" w:color="auto"/>
        <w:left w:val="none" w:sz="0" w:space="0" w:color="auto"/>
        <w:bottom w:val="none" w:sz="0" w:space="0" w:color="auto"/>
        <w:right w:val="none" w:sz="0" w:space="0" w:color="auto"/>
      </w:divBdr>
    </w:div>
    <w:div w:id="1789617818">
      <w:bodyDiv w:val="1"/>
      <w:marLeft w:val="0"/>
      <w:marRight w:val="0"/>
      <w:marTop w:val="0"/>
      <w:marBottom w:val="0"/>
      <w:divBdr>
        <w:top w:val="none" w:sz="0" w:space="0" w:color="auto"/>
        <w:left w:val="none" w:sz="0" w:space="0" w:color="auto"/>
        <w:bottom w:val="none" w:sz="0" w:space="0" w:color="auto"/>
        <w:right w:val="none" w:sz="0" w:space="0" w:color="auto"/>
      </w:divBdr>
    </w:div>
    <w:div w:id="1853495205">
      <w:bodyDiv w:val="1"/>
      <w:marLeft w:val="0"/>
      <w:marRight w:val="0"/>
      <w:marTop w:val="0"/>
      <w:marBottom w:val="0"/>
      <w:divBdr>
        <w:top w:val="none" w:sz="0" w:space="0" w:color="auto"/>
        <w:left w:val="none" w:sz="0" w:space="0" w:color="auto"/>
        <w:bottom w:val="none" w:sz="0" w:space="0" w:color="auto"/>
        <w:right w:val="none" w:sz="0" w:space="0" w:color="auto"/>
      </w:divBdr>
    </w:div>
    <w:div w:id="2005089724">
      <w:bodyDiv w:val="1"/>
      <w:marLeft w:val="0"/>
      <w:marRight w:val="0"/>
      <w:marTop w:val="0"/>
      <w:marBottom w:val="0"/>
      <w:divBdr>
        <w:top w:val="none" w:sz="0" w:space="0" w:color="auto"/>
        <w:left w:val="none" w:sz="0" w:space="0" w:color="auto"/>
        <w:bottom w:val="none" w:sz="0" w:space="0" w:color="auto"/>
        <w:right w:val="none" w:sz="0" w:space="0" w:color="auto"/>
      </w:divBdr>
    </w:div>
    <w:div w:id="2011711817">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11915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243FDF1FC884A8059A3593A0C0E5A" ma:contentTypeVersion="6" ma:contentTypeDescription="Create a new document." ma:contentTypeScope="" ma:versionID="7fadb4274f12e0d1450d52fc5ce34458">
  <xsd:schema xmlns:xsd="http://www.w3.org/2001/XMLSchema" xmlns:xs="http://www.w3.org/2001/XMLSchema" xmlns:p="http://schemas.microsoft.com/office/2006/metadata/properties" xmlns:ns2="f7ec8156-2e41-4d07-9799-b9c59df4ac5e" xmlns:ns3="5b1ba423-d5f7-4a98-adf5-dba173af6625" targetNamespace="http://schemas.microsoft.com/office/2006/metadata/properties" ma:root="true" ma:fieldsID="f25a8fca19ac498529701ede7f906cd3" ns2:_="" ns3:_="">
    <xsd:import namespace="f7ec8156-2e41-4d07-9799-b9c59df4ac5e"/>
    <xsd:import namespace="5b1ba423-d5f7-4a98-adf5-dba173af6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8156-2e41-4d07-9799-b9c59df4ac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ba423-d5f7-4a98-adf5-dba173af66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8D85C-7C07-4F63-ABC8-69CB39578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8156-2e41-4d07-9799-b9c59df4ac5e"/>
    <ds:schemaRef ds:uri="5b1ba423-d5f7-4a98-adf5-dba173af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017C9-FD52-4209-B8BD-F0299BEBE2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B4FCBA-D0D6-4B99-A924-9CD10D861B65}">
  <ds:schemaRefs>
    <ds:schemaRef ds:uri="http://schemas.microsoft.com/sharepoint/v3/contenttype/forms"/>
  </ds:schemaRefs>
</ds:datastoreItem>
</file>

<file path=customXml/itemProps4.xml><?xml version="1.0" encoding="utf-8"?>
<ds:datastoreItem xmlns:ds="http://schemas.openxmlformats.org/officeDocument/2006/customXml" ds:itemID="{0DBF367F-6C32-4C11-9F09-15157E307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24653</CharactersWithSpaces>
  <SharedDoc>false</SharedDoc>
  <HLinks>
    <vt:vector size="6" baseType="variant">
      <vt:variant>
        <vt:i4>6684791</vt:i4>
      </vt:variant>
      <vt:variant>
        <vt:i4>0</vt:i4>
      </vt:variant>
      <vt:variant>
        <vt:i4>0</vt:i4>
      </vt:variant>
      <vt:variant>
        <vt:i4>5</vt:i4>
      </vt:variant>
      <vt:variant>
        <vt:lpwstr>http://www.bls.gov/ncs/ocs/sp/nctb1344.pdf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SYSTEM</cp:lastModifiedBy>
  <cp:revision>2</cp:revision>
  <cp:lastPrinted>2018-07-23T14:43:00Z</cp:lastPrinted>
  <dcterms:created xsi:type="dcterms:W3CDTF">2019-02-07T17:52:00Z</dcterms:created>
  <dcterms:modified xsi:type="dcterms:W3CDTF">2019-02-07T17:52:00Z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0x0101000C8243FDF1FC884A8059A3593A0C0E5A</vt:lpwstr>
  </property>
</Properties>
</file>