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8240F" w14:textId="77777777" w:rsidR="00870D59" w:rsidRPr="001A15B6"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_GoBack"/>
      <w:bookmarkEnd w:id="0"/>
      <w:r w:rsidRPr="001A15B6">
        <w:rPr>
          <w:b/>
          <w:bCs/>
          <w:sz w:val="24"/>
        </w:rPr>
        <w:t xml:space="preserve">Supporting Statement </w:t>
      </w:r>
      <w:r w:rsidR="001A15B6">
        <w:rPr>
          <w:b/>
          <w:bCs/>
          <w:sz w:val="24"/>
        </w:rPr>
        <w:t xml:space="preserve">- </w:t>
      </w:r>
      <w:r w:rsidRPr="001A15B6">
        <w:rPr>
          <w:b/>
          <w:bCs/>
          <w:sz w:val="24"/>
        </w:rPr>
        <w:t>Part A</w:t>
      </w:r>
    </w:p>
    <w:p w14:paraId="747C46B0" w14:textId="77777777" w:rsidR="008F1EB4" w:rsidRPr="001A15B6" w:rsidRDefault="00CB3CDF" w:rsidP="00F7304E">
      <w:pPr>
        <w:tabs>
          <w:tab w:val="center" w:pos="4752"/>
          <w:tab w:val="left" w:pos="5040"/>
          <w:tab w:val="left" w:pos="5760"/>
          <w:tab w:val="left" w:pos="6480"/>
          <w:tab w:val="left" w:pos="7200"/>
          <w:tab w:val="left" w:pos="7920"/>
          <w:tab w:val="left" w:pos="8640"/>
          <w:tab w:val="left" w:pos="9360"/>
        </w:tabs>
        <w:jc w:val="center"/>
        <w:rPr>
          <w:b/>
          <w:sz w:val="24"/>
        </w:rPr>
      </w:pPr>
      <w:r w:rsidRPr="001A15B6">
        <w:rPr>
          <w:b/>
          <w:sz w:val="24"/>
        </w:rPr>
        <w:t>Hospice Information for</w:t>
      </w:r>
      <w:r w:rsidR="00AF1276">
        <w:rPr>
          <w:b/>
          <w:sz w:val="24"/>
        </w:rPr>
        <w:t xml:space="preserve"> </w:t>
      </w:r>
      <w:r w:rsidRPr="001A15B6">
        <w:rPr>
          <w:b/>
          <w:sz w:val="24"/>
        </w:rPr>
        <w:t>Medicare Part D Plans</w:t>
      </w:r>
    </w:p>
    <w:p w14:paraId="5EB0B5B6" w14:textId="77777777" w:rsidR="00C96D10" w:rsidRPr="001A15B6" w:rsidRDefault="00143E4B" w:rsidP="00F730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Pr>
          <w:b/>
          <w:bCs/>
          <w:sz w:val="24"/>
        </w:rPr>
        <w:t>CMS-10538, OMB 0938-1269</w:t>
      </w:r>
    </w:p>
    <w:p w14:paraId="3C37F6FC" w14:textId="77777777" w:rsidR="001A15B6" w:rsidRPr="001A15B6" w:rsidRDefault="001A15B6" w:rsidP="00F730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14:paraId="4A0B02A7" w14:textId="77777777" w:rsidR="008F1EB4" w:rsidRPr="001A15B6"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A15B6">
        <w:rPr>
          <w:b/>
          <w:bCs/>
          <w:sz w:val="24"/>
        </w:rPr>
        <w:t>Background</w:t>
      </w:r>
    </w:p>
    <w:p w14:paraId="2371AA18"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9723FF" w14:textId="77777777" w:rsidR="00E464CC" w:rsidRDefault="00E464CC"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w:t>
      </w:r>
      <w:r w:rsidRPr="00E464CC">
        <w:rPr>
          <w:sz w:val="24"/>
        </w:rPr>
        <w:t xml:space="preserve"> Social Security Act in section 1861(dd) and Federal regulations in </w:t>
      </w:r>
      <w:r w:rsidR="00103613">
        <w:rPr>
          <w:sz w:val="24"/>
        </w:rPr>
        <w:t>42 CFR §418.106 and §</w:t>
      </w:r>
      <w:r w:rsidRPr="00E464CC">
        <w:rPr>
          <w:sz w:val="24"/>
        </w:rPr>
        <w:t xml:space="preserve"> 418</w:t>
      </w:r>
      <w:r w:rsidR="00103613">
        <w:rPr>
          <w:sz w:val="24"/>
        </w:rPr>
        <w:t>.202(f)</w:t>
      </w:r>
      <w:r>
        <w:rPr>
          <w:sz w:val="24"/>
        </w:rPr>
        <w:t xml:space="preserve"> require</w:t>
      </w:r>
      <w:r w:rsidRPr="00E464CC">
        <w:rPr>
          <w:sz w:val="24"/>
        </w:rPr>
        <w:t xml:space="preserve"> hospice programs </w:t>
      </w:r>
      <w:r>
        <w:rPr>
          <w:sz w:val="24"/>
        </w:rPr>
        <w:t xml:space="preserve">to </w:t>
      </w:r>
      <w:r w:rsidRPr="00E464CC">
        <w:rPr>
          <w:sz w:val="24"/>
        </w:rPr>
        <w:t>provide individuals under hospice care with drugs and biologicals related to the palliation and management of the terminal illness as defined in the hospice plan of care. Medicare payment is made to the hospice for each day an eligible beneficiary is under the hospice’s care, regardless of the amount of services provided on any given day. Because hospice care is a Medicare Part A benefit, drugs provided by the hospice and covered under the Medicare payment to the hospice program are not covered under Part D</w:t>
      </w:r>
      <w:r>
        <w:rPr>
          <w:sz w:val="24"/>
        </w:rPr>
        <w:t>.</w:t>
      </w:r>
    </w:p>
    <w:p w14:paraId="734CE033" w14:textId="77777777" w:rsidR="00E464CC" w:rsidRDefault="00E464CC"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41FA50" w14:textId="77777777" w:rsidR="00890C5E" w:rsidRDefault="00E464CC"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D00F6">
        <w:rPr>
          <w:sz w:val="24"/>
        </w:rPr>
        <w:t xml:space="preserve">For prescription drugs to be covered under Part D when the enrollee has elected hospice, the drug must be for treatment of a condition that is completely unrelated to the terminal </w:t>
      </w:r>
      <w:r w:rsidR="006F76E2" w:rsidRPr="007D00F6">
        <w:rPr>
          <w:sz w:val="24"/>
        </w:rPr>
        <w:t>illness</w:t>
      </w:r>
      <w:r w:rsidRPr="007D00F6">
        <w:rPr>
          <w:sz w:val="24"/>
        </w:rPr>
        <w:t xml:space="preserve"> </w:t>
      </w:r>
      <w:r w:rsidR="006F76E2" w:rsidRPr="007D00F6">
        <w:rPr>
          <w:sz w:val="24"/>
        </w:rPr>
        <w:t>and/</w:t>
      </w:r>
      <w:r w:rsidRPr="007D00F6">
        <w:rPr>
          <w:sz w:val="24"/>
        </w:rPr>
        <w:t>or related conditions</w:t>
      </w:r>
      <w:r w:rsidR="00E849DE" w:rsidRPr="007D00F6">
        <w:rPr>
          <w:sz w:val="24"/>
        </w:rPr>
        <w:t xml:space="preserve">. </w:t>
      </w:r>
      <w:r w:rsidR="00464B88" w:rsidRPr="007D00F6">
        <w:rPr>
          <w:sz w:val="24"/>
        </w:rPr>
        <w:t xml:space="preserve">The DHHS Office of the Inspector General (OIG) released a report in June 2012 identifying situations </w:t>
      </w:r>
      <w:r w:rsidR="00F65E6B" w:rsidRPr="007D00F6">
        <w:rPr>
          <w:sz w:val="24"/>
        </w:rPr>
        <w:t xml:space="preserve">in which </w:t>
      </w:r>
      <w:r w:rsidR="00464B88" w:rsidRPr="007D00F6">
        <w:rPr>
          <w:sz w:val="24"/>
        </w:rPr>
        <w:t xml:space="preserve">Medicare may be paying twice for prescription drugs for hospice beneficiaries, who in turn could also be paying unnecessary co-payments for prescription drugs.  </w:t>
      </w:r>
      <w:r w:rsidRPr="007D00F6">
        <w:rPr>
          <w:sz w:val="24"/>
        </w:rPr>
        <w:t xml:space="preserve">CMS has issued numerous guidance documents to the industry </w:t>
      </w:r>
      <w:r w:rsidR="00AE218D" w:rsidRPr="007D00F6">
        <w:rPr>
          <w:sz w:val="24"/>
        </w:rPr>
        <w:t xml:space="preserve">expressing concern that </w:t>
      </w:r>
      <w:r w:rsidR="00137A29" w:rsidRPr="007D00F6">
        <w:rPr>
          <w:sz w:val="24"/>
        </w:rPr>
        <w:t>Part D sponsors may be paying for drugs that should be the responsibility of the Medicare hospice provider.</w:t>
      </w:r>
      <w:r w:rsidR="00AE218D" w:rsidRPr="007D00F6">
        <w:rPr>
          <w:sz w:val="24"/>
        </w:rPr>
        <w:t xml:space="preserve"> </w:t>
      </w:r>
      <w:r w:rsidR="00464B88" w:rsidRPr="007D00F6">
        <w:rPr>
          <w:sz w:val="24"/>
        </w:rPr>
        <w:t xml:space="preserve">In the latest guidance released on </w:t>
      </w:r>
      <w:r w:rsidR="00890C5E" w:rsidRPr="007D00F6">
        <w:rPr>
          <w:sz w:val="24"/>
        </w:rPr>
        <w:t>July 18, 2014</w:t>
      </w:r>
      <w:r w:rsidR="00F65E6B" w:rsidRPr="007D00F6">
        <w:rPr>
          <w:sz w:val="24"/>
        </w:rPr>
        <w:t>,</w:t>
      </w:r>
      <w:r w:rsidR="00890C5E" w:rsidRPr="007D00F6">
        <w:rPr>
          <w:sz w:val="24"/>
        </w:rPr>
        <w:t xml:space="preserve"> </w:t>
      </w:r>
      <w:r w:rsidR="00AE218D" w:rsidRPr="007D00F6">
        <w:rPr>
          <w:sz w:val="24"/>
        </w:rPr>
        <w:t xml:space="preserve">CMS </w:t>
      </w:r>
      <w:r w:rsidR="00890C5E" w:rsidRPr="007D00F6">
        <w:rPr>
          <w:sz w:val="24"/>
        </w:rPr>
        <w:t xml:space="preserve">encouraged sponsors to place beneficiary-level </w:t>
      </w:r>
      <w:r w:rsidR="00F65E6B" w:rsidRPr="007D00F6">
        <w:rPr>
          <w:sz w:val="24"/>
        </w:rPr>
        <w:t>prior authorization (</w:t>
      </w:r>
      <w:r w:rsidR="00890C5E" w:rsidRPr="007D00F6">
        <w:rPr>
          <w:sz w:val="24"/>
        </w:rPr>
        <w:t>PA</w:t>
      </w:r>
      <w:r w:rsidR="00F65E6B" w:rsidRPr="007D00F6">
        <w:rPr>
          <w:sz w:val="24"/>
        </w:rPr>
        <w:t>)</w:t>
      </w:r>
      <w:r w:rsidR="00890C5E" w:rsidRPr="007D00F6">
        <w:rPr>
          <w:sz w:val="24"/>
        </w:rPr>
        <w:t xml:space="preserve"> requirements on </w:t>
      </w:r>
      <w:r w:rsidR="00F65E6B" w:rsidRPr="007D00F6">
        <w:rPr>
          <w:sz w:val="24"/>
        </w:rPr>
        <w:t xml:space="preserve">the </w:t>
      </w:r>
      <w:r w:rsidR="00CE54FA" w:rsidRPr="007D00F6">
        <w:rPr>
          <w:sz w:val="24"/>
        </w:rPr>
        <w:t xml:space="preserve">following </w:t>
      </w:r>
      <w:r w:rsidR="00890C5E" w:rsidRPr="007D00F6">
        <w:rPr>
          <w:sz w:val="24"/>
        </w:rPr>
        <w:t xml:space="preserve">four categories of prescription drugs identified by the OIG </w:t>
      </w:r>
      <w:r w:rsidR="00CE54FA" w:rsidRPr="007D00F6">
        <w:rPr>
          <w:sz w:val="24"/>
        </w:rPr>
        <w:t>as typically used to treat the common symptoms generally experienced during the end of life</w:t>
      </w:r>
      <w:r w:rsidR="00890C5E" w:rsidRPr="007D00F6">
        <w:rPr>
          <w:sz w:val="24"/>
        </w:rPr>
        <w:t>: analgesics, antinauseants (antiemetics), laxatives, and antianxiety drugs (anxiolytics).</w:t>
      </w:r>
      <w:r w:rsidR="003861F5" w:rsidRPr="007D00F6" w:rsidDel="003861F5">
        <w:rPr>
          <w:sz w:val="24"/>
        </w:rPr>
        <w:t xml:space="preserve"> </w:t>
      </w:r>
    </w:p>
    <w:p w14:paraId="692CBD94" w14:textId="77777777" w:rsidR="00A72A47" w:rsidRDefault="00A72A47"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471D3E5" w14:textId="092A0FCD" w:rsidR="00A72A47" w:rsidRPr="007D00F6" w:rsidRDefault="004644E5"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is a reinstatement of the existing form. We are revising only the beneficiary’s Medicare Identifier number to accommodate the change from the Health Insurance Claim Number (HICN) which is based on the Social Security Number</w:t>
      </w:r>
      <w:r w:rsidR="00FF6286">
        <w:rPr>
          <w:sz w:val="24"/>
        </w:rPr>
        <w:t xml:space="preserve"> (SSN)</w:t>
      </w:r>
      <w:r>
        <w:rPr>
          <w:sz w:val="24"/>
        </w:rPr>
        <w:t xml:space="preserve">, to the Medicare Beneficiary Identifier (MBI).  This is being done to a statutory mandate to remove the social security number derivative from the beneficiary’s card.  </w:t>
      </w:r>
    </w:p>
    <w:p w14:paraId="4DDADF11" w14:textId="77777777" w:rsidR="003861F5" w:rsidRPr="007D00F6" w:rsidRDefault="003861F5"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AC7826" w14:textId="77777777" w:rsidR="008F1EB4" w:rsidRPr="001A15B6" w:rsidRDefault="001A15B6" w:rsidP="00E21F32">
      <w:pPr>
        <w:pStyle w:val="Default"/>
      </w:pPr>
      <w:r w:rsidRPr="001A15B6">
        <w:rPr>
          <w:b/>
          <w:bCs/>
        </w:rPr>
        <w:t>A</w:t>
      </w:r>
      <w:r w:rsidR="008F1EB4" w:rsidRPr="001A15B6">
        <w:rPr>
          <w:b/>
          <w:bCs/>
        </w:rPr>
        <w:t>.</w:t>
      </w:r>
      <w:r w:rsidR="008F1EB4" w:rsidRPr="001A15B6">
        <w:rPr>
          <w:b/>
          <w:bCs/>
        </w:rPr>
        <w:tab/>
        <w:t>Justification</w:t>
      </w:r>
    </w:p>
    <w:p w14:paraId="538A3600"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4682ED"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r>
        <w:rPr>
          <w:sz w:val="24"/>
        </w:rPr>
        <w:tab/>
      </w:r>
      <w:r>
        <w:rPr>
          <w:sz w:val="24"/>
          <w:u w:val="single"/>
        </w:rPr>
        <w:t>Need and Legal Basis</w:t>
      </w:r>
    </w:p>
    <w:p w14:paraId="4419B1A3"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C097A7" w14:textId="62999C8D" w:rsidR="008F1EB4" w:rsidRDefault="00887042" w:rsidP="00E21F3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In response to </w:t>
      </w:r>
      <w:r w:rsidR="006F76E2">
        <w:rPr>
          <w:sz w:val="24"/>
        </w:rPr>
        <w:t xml:space="preserve">the </w:t>
      </w:r>
      <w:r>
        <w:rPr>
          <w:sz w:val="24"/>
        </w:rPr>
        <w:t xml:space="preserve">CMS </w:t>
      </w:r>
      <w:r w:rsidR="006F76E2">
        <w:rPr>
          <w:sz w:val="24"/>
        </w:rPr>
        <w:t xml:space="preserve">request for comment on the </w:t>
      </w:r>
      <w:r>
        <w:rPr>
          <w:sz w:val="24"/>
        </w:rPr>
        <w:t>guidance</w:t>
      </w:r>
      <w:r w:rsidR="006F76E2">
        <w:rPr>
          <w:sz w:val="24"/>
        </w:rPr>
        <w:t xml:space="preserve"> issued December 6, 2013</w:t>
      </w:r>
      <w:r>
        <w:rPr>
          <w:sz w:val="24"/>
        </w:rPr>
        <w:t>, m</w:t>
      </w:r>
      <w:r w:rsidRPr="00887042">
        <w:rPr>
          <w:sz w:val="24"/>
        </w:rPr>
        <w:t xml:space="preserve">any </w:t>
      </w:r>
      <w:r>
        <w:rPr>
          <w:sz w:val="24"/>
        </w:rPr>
        <w:t xml:space="preserve">industry </w:t>
      </w:r>
      <w:r w:rsidRPr="00887042">
        <w:rPr>
          <w:sz w:val="24"/>
        </w:rPr>
        <w:t>commenters</w:t>
      </w:r>
      <w:r w:rsidR="0080038D">
        <w:rPr>
          <w:sz w:val="24"/>
        </w:rPr>
        <w:t xml:space="preserve"> </w:t>
      </w:r>
      <w:r w:rsidRPr="00887042">
        <w:rPr>
          <w:sz w:val="24"/>
        </w:rPr>
        <w:t xml:space="preserve">recommended that we require the use of a standard PA form to </w:t>
      </w:r>
      <w:r w:rsidR="00F716EF">
        <w:rPr>
          <w:sz w:val="24"/>
        </w:rPr>
        <w:t xml:space="preserve">facilitate </w:t>
      </w:r>
      <w:r>
        <w:rPr>
          <w:sz w:val="24"/>
        </w:rPr>
        <w:t xml:space="preserve">coordination </w:t>
      </w:r>
      <w:r w:rsidR="00F716EF">
        <w:rPr>
          <w:sz w:val="24"/>
        </w:rPr>
        <w:t xml:space="preserve">between </w:t>
      </w:r>
      <w:r>
        <w:rPr>
          <w:sz w:val="24"/>
        </w:rPr>
        <w:t>Part D sponsors</w:t>
      </w:r>
      <w:r w:rsidR="00F716EF">
        <w:rPr>
          <w:sz w:val="24"/>
        </w:rPr>
        <w:t>, hospices</w:t>
      </w:r>
      <w:r>
        <w:rPr>
          <w:sz w:val="24"/>
        </w:rPr>
        <w:t xml:space="preserve"> and prescribers. </w:t>
      </w:r>
      <w:r w:rsidR="00720BFB">
        <w:rPr>
          <w:sz w:val="24"/>
        </w:rPr>
        <w:t xml:space="preserve"> </w:t>
      </w:r>
      <w:r w:rsidR="00CE54FA">
        <w:rPr>
          <w:sz w:val="24"/>
        </w:rPr>
        <w:t>The industry in conjunction with the</w:t>
      </w:r>
      <w:r w:rsidR="0080038D">
        <w:rPr>
          <w:sz w:val="24"/>
        </w:rPr>
        <w:t xml:space="preserve"> </w:t>
      </w:r>
      <w:r w:rsidR="0080038D" w:rsidRPr="00720BFB">
        <w:rPr>
          <w:sz w:val="24"/>
        </w:rPr>
        <w:t>National Council for Prescription Drug Programs, (NCPDP)</w:t>
      </w:r>
      <w:r w:rsidR="0080038D">
        <w:rPr>
          <w:sz w:val="24"/>
        </w:rPr>
        <w:t xml:space="preserve"> has develop</w:t>
      </w:r>
      <w:r w:rsidR="00CE54FA">
        <w:rPr>
          <w:sz w:val="24"/>
        </w:rPr>
        <w:t>ed</w:t>
      </w:r>
      <w:r w:rsidR="0080038D">
        <w:rPr>
          <w:sz w:val="24"/>
        </w:rPr>
        <w:t xml:space="preserve"> a standard form </w:t>
      </w:r>
      <w:r w:rsidR="00F45795">
        <w:rPr>
          <w:sz w:val="24"/>
        </w:rPr>
        <w:t xml:space="preserve">that </w:t>
      </w:r>
      <w:r w:rsidR="00CE54FA">
        <w:rPr>
          <w:sz w:val="24"/>
        </w:rPr>
        <w:t xml:space="preserve">with minor modifications </w:t>
      </w:r>
      <w:r w:rsidR="00F45795">
        <w:rPr>
          <w:sz w:val="24"/>
        </w:rPr>
        <w:t xml:space="preserve">will meet the program needs. </w:t>
      </w:r>
      <w:r w:rsidR="0080038D">
        <w:rPr>
          <w:sz w:val="24"/>
        </w:rPr>
        <w:t xml:space="preserve"> </w:t>
      </w:r>
      <w:r w:rsidR="00F716EF">
        <w:rPr>
          <w:sz w:val="24"/>
        </w:rPr>
        <w:t>CMS encourage</w:t>
      </w:r>
      <w:r w:rsidR="00AE7AFF">
        <w:rPr>
          <w:sz w:val="24"/>
        </w:rPr>
        <w:t>s</w:t>
      </w:r>
      <w:r w:rsidR="00F716EF">
        <w:rPr>
          <w:sz w:val="24"/>
        </w:rPr>
        <w:t xml:space="preserve"> use of </w:t>
      </w:r>
      <w:r w:rsidR="006D5D8E" w:rsidRPr="006D5D8E">
        <w:rPr>
          <w:sz w:val="24"/>
        </w:rPr>
        <w:t xml:space="preserve">this form </w:t>
      </w:r>
      <w:r w:rsidR="00F716EF">
        <w:rPr>
          <w:sz w:val="24"/>
        </w:rPr>
        <w:t xml:space="preserve">and </w:t>
      </w:r>
      <w:r w:rsidR="001E45F5">
        <w:rPr>
          <w:sz w:val="24"/>
        </w:rPr>
        <w:t xml:space="preserve">will </w:t>
      </w:r>
      <w:r w:rsidR="00392791">
        <w:rPr>
          <w:sz w:val="24"/>
        </w:rPr>
        <w:t xml:space="preserve">likely </w:t>
      </w:r>
      <w:r w:rsidR="001E45F5">
        <w:rPr>
          <w:sz w:val="24"/>
        </w:rPr>
        <w:t>propose requiring its use in future rulemaking</w:t>
      </w:r>
      <w:r w:rsidR="006D5D8E" w:rsidRPr="006D5D8E">
        <w:rPr>
          <w:sz w:val="24"/>
        </w:rPr>
        <w:t xml:space="preserve">. </w:t>
      </w:r>
    </w:p>
    <w:p w14:paraId="33927DBC" w14:textId="7EC323E3" w:rsidR="00FF6286" w:rsidRDefault="00FF6286" w:rsidP="00E21F3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are revising the form because t</w:t>
      </w:r>
      <w:r w:rsidRPr="00FF6286">
        <w:rPr>
          <w:sz w:val="24"/>
        </w:rPr>
        <w:t>he Medicare Access and CHIP Reauthorization Act (MACRA) of 2015, requires the Centers for Medicare &amp; Med</w:t>
      </w:r>
      <w:r>
        <w:rPr>
          <w:sz w:val="24"/>
        </w:rPr>
        <w:t xml:space="preserve">icaid Services (CMS) to remove </w:t>
      </w:r>
      <w:r w:rsidRPr="00FF6286">
        <w:rPr>
          <w:sz w:val="24"/>
        </w:rPr>
        <w:t>SSNs from all Medicare cards by April 2019. A new MBI will replace the SSN-based HICN on the new Medicare cards for Medicare transactions, like billing, eligibility status, and claim status.</w:t>
      </w:r>
      <w:r>
        <w:rPr>
          <w:sz w:val="24"/>
        </w:rPr>
        <w:t xml:space="preserve"> Therefore health plans will be moving to use of the MBI on all forms and materials.</w:t>
      </w:r>
    </w:p>
    <w:p w14:paraId="7F86A88C" w14:textId="77777777" w:rsidR="00FE0737" w:rsidRDefault="00FE0737" w:rsidP="00E21F3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FCFC9E"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w:t>
      </w:r>
      <w:r>
        <w:rPr>
          <w:sz w:val="24"/>
        </w:rPr>
        <w:tab/>
      </w:r>
      <w:r>
        <w:rPr>
          <w:sz w:val="24"/>
          <w:u w:val="single"/>
        </w:rPr>
        <w:t>Information Users</w:t>
      </w:r>
    </w:p>
    <w:p w14:paraId="637419AE"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0A11C8" w14:textId="77777777" w:rsidR="00F45795" w:rsidRPr="00DB7166" w:rsidRDefault="00DB7166" w:rsidP="00E21F3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form </w:t>
      </w:r>
      <w:r w:rsidR="00610042">
        <w:rPr>
          <w:sz w:val="24"/>
        </w:rPr>
        <w:t xml:space="preserve">would </w:t>
      </w:r>
      <w:r>
        <w:rPr>
          <w:sz w:val="24"/>
        </w:rPr>
        <w:t xml:space="preserve">be </w:t>
      </w:r>
      <w:r w:rsidR="00583E37">
        <w:rPr>
          <w:sz w:val="24"/>
        </w:rPr>
        <w:t xml:space="preserve">completed </w:t>
      </w:r>
      <w:r w:rsidRPr="00DB7166">
        <w:rPr>
          <w:sz w:val="24"/>
        </w:rPr>
        <w:t xml:space="preserve">by </w:t>
      </w:r>
      <w:r w:rsidR="00395A33">
        <w:rPr>
          <w:sz w:val="24"/>
        </w:rPr>
        <w:t xml:space="preserve">the prescriber or the beneficiary’s hospice, or if the prescriber or hospice provides the information verbally to the </w:t>
      </w:r>
      <w:r>
        <w:rPr>
          <w:sz w:val="24"/>
        </w:rPr>
        <w:t xml:space="preserve">Part D </w:t>
      </w:r>
      <w:r w:rsidR="00395A33">
        <w:rPr>
          <w:sz w:val="24"/>
        </w:rPr>
        <w:t xml:space="preserve">sponsor, the form </w:t>
      </w:r>
      <w:r w:rsidR="00445899">
        <w:rPr>
          <w:sz w:val="24"/>
        </w:rPr>
        <w:t xml:space="preserve">would </w:t>
      </w:r>
      <w:r w:rsidR="00395A33">
        <w:rPr>
          <w:sz w:val="24"/>
        </w:rPr>
        <w:t xml:space="preserve">be completed by the sponsor.  Information </w:t>
      </w:r>
      <w:r w:rsidR="00CE54FA">
        <w:rPr>
          <w:sz w:val="24"/>
        </w:rPr>
        <w:t xml:space="preserve">provided </w:t>
      </w:r>
      <w:r w:rsidR="00395A33">
        <w:rPr>
          <w:sz w:val="24"/>
        </w:rPr>
        <w:t xml:space="preserve">on the form </w:t>
      </w:r>
      <w:r w:rsidR="00915CF3">
        <w:rPr>
          <w:sz w:val="24"/>
        </w:rPr>
        <w:t xml:space="preserve">would </w:t>
      </w:r>
      <w:r w:rsidR="00395A33">
        <w:rPr>
          <w:sz w:val="24"/>
        </w:rPr>
        <w:t xml:space="preserve">be used by the Part D sponsor </w:t>
      </w:r>
      <w:r>
        <w:rPr>
          <w:sz w:val="24"/>
        </w:rPr>
        <w:t xml:space="preserve">to </w:t>
      </w:r>
      <w:r w:rsidR="00395A33">
        <w:rPr>
          <w:sz w:val="24"/>
        </w:rPr>
        <w:t>establish coverage of the drug</w:t>
      </w:r>
      <w:r w:rsidR="007F46E3">
        <w:rPr>
          <w:sz w:val="24"/>
        </w:rPr>
        <w:t xml:space="preserve"> under Medicare Part D.  Per </w:t>
      </w:r>
      <w:r w:rsidR="00395A33">
        <w:rPr>
          <w:sz w:val="24"/>
        </w:rPr>
        <w:t>statute,</w:t>
      </w:r>
      <w:r w:rsidR="007F46E3">
        <w:rPr>
          <w:sz w:val="24"/>
        </w:rPr>
        <w:t xml:space="preserve"> </w:t>
      </w:r>
      <w:r w:rsidR="007F46E3" w:rsidRPr="007F46E3">
        <w:rPr>
          <w:sz w:val="24"/>
        </w:rPr>
        <w:t xml:space="preserve">drugs </w:t>
      </w:r>
      <w:r w:rsidR="007F46E3">
        <w:rPr>
          <w:sz w:val="24"/>
        </w:rPr>
        <w:t xml:space="preserve">that </w:t>
      </w:r>
      <w:r w:rsidR="007F46E3" w:rsidRPr="007F46E3">
        <w:rPr>
          <w:sz w:val="24"/>
        </w:rPr>
        <w:t>are necessary for the palliation and management of the terminal illness and related conditions</w:t>
      </w:r>
      <w:r w:rsidR="007F46E3">
        <w:rPr>
          <w:sz w:val="24"/>
        </w:rPr>
        <w:t xml:space="preserve"> are not eligible for payment under Part D. The </w:t>
      </w:r>
      <w:r w:rsidR="00CE54FA">
        <w:rPr>
          <w:sz w:val="24"/>
        </w:rPr>
        <w:t xml:space="preserve">standard </w:t>
      </w:r>
      <w:r w:rsidR="007F46E3">
        <w:rPr>
          <w:sz w:val="24"/>
        </w:rPr>
        <w:t xml:space="preserve">form provides a vehicle for </w:t>
      </w:r>
      <w:r w:rsidR="00CE54FA">
        <w:rPr>
          <w:sz w:val="24"/>
        </w:rPr>
        <w:t xml:space="preserve">the hospice provider, prescriber or </w:t>
      </w:r>
      <w:r w:rsidR="007F46E3">
        <w:rPr>
          <w:sz w:val="24"/>
        </w:rPr>
        <w:t xml:space="preserve">sponsor to </w:t>
      </w:r>
      <w:r w:rsidR="00610B5E">
        <w:rPr>
          <w:sz w:val="24"/>
        </w:rPr>
        <w:t xml:space="preserve">document </w:t>
      </w:r>
      <w:r w:rsidR="007F46E3">
        <w:rPr>
          <w:sz w:val="24"/>
        </w:rPr>
        <w:t xml:space="preserve">that the drug </w:t>
      </w:r>
      <w:r w:rsidR="00CE54FA">
        <w:rPr>
          <w:sz w:val="24"/>
        </w:rPr>
        <w:t>prescribed</w:t>
      </w:r>
      <w:r w:rsidR="007F46E3">
        <w:rPr>
          <w:sz w:val="24"/>
        </w:rPr>
        <w:t xml:space="preserve"> is “unrelated” to </w:t>
      </w:r>
      <w:r w:rsidR="00610B5E" w:rsidRPr="007F46E3">
        <w:rPr>
          <w:sz w:val="24"/>
        </w:rPr>
        <w:t>the terminal illness and related conditions</w:t>
      </w:r>
      <w:r w:rsidR="007F46E3">
        <w:rPr>
          <w:sz w:val="24"/>
        </w:rPr>
        <w:t xml:space="preserve">.   </w:t>
      </w:r>
      <w:r w:rsidR="00B72DF9">
        <w:rPr>
          <w:sz w:val="24"/>
        </w:rPr>
        <w:t xml:space="preserve">It </w:t>
      </w:r>
      <w:r w:rsidR="00F45795">
        <w:rPr>
          <w:sz w:val="24"/>
        </w:rPr>
        <w:t>also</w:t>
      </w:r>
      <w:r w:rsidR="007B0588">
        <w:rPr>
          <w:sz w:val="24"/>
        </w:rPr>
        <w:t xml:space="preserve"> </w:t>
      </w:r>
      <w:r w:rsidR="00B72DF9">
        <w:rPr>
          <w:sz w:val="24"/>
        </w:rPr>
        <w:t>gives a</w:t>
      </w:r>
      <w:r w:rsidR="007B0588">
        <w:rPr>
          <w:sz w:val="24"/>
        </w:rPr>
        <w:t xml:space="preserve"> hospice organization t</w:t>
      </w:r>
      <w:r w:rsidR="00B72DF9">
        <w:rPr>
          <w:sz w:val="24"/>
        </w:rPr>
        <w:t xml:space="preserve">he option to </w:t>
      </w:r>
      <w:r w:rsidR="007B0588">
        <w:rPr>
          <w:sz w:val="24"/>
        </w:rPr>
        <w:t xml:space="preserve">communicate </w:t>
      </w:r>
      <w:r w:rsidR="00B72DF9">
        <w:rPr>
          <w:sz w:val="24"/>
        </w:rPr>
        <w:t>a beneficiary’s change in hospice status and/care plan to Part D sponsors.</w:t>
      </w:r>
      <w:r w:rsidR="007B0588">
        <w:rPr>
          <w:sz w:val="24"/>
        </w:rPr>
        <w:t xml:space="preserve"> </w:t>
      </w:r>
    </w:p>
    <w:p w14:paraId="3559233D" w14:textId="77777777" w:rsidR="008F1EB4" w:rsidRPr="00DB7166"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A99F1F"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r>
        <w:rPr>
          <w:sz w:val="24"/>
        </w:rPr>
        <w:tab/>
      </w:r>
      <w:r>
        <w:rPr>
          <w:sz w:val="24"/>
          <w:u w:val="single"/>
        </w:rPr>
        <w:t>Use of Information Technology</w:t>
      </w:r>
    </w:p>
    <w:p w14:paraId="014A3870"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63E1CE" w14:textId="77777777" w:rsidR="000C6550" w:rsidRDefault="000F5D73" w:rsidP="00E21F3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F5D73">
        <w:rPr>
          <w:sz w:val="24"/>
        </w:rPr>
        <w:t>This collection is not currently availabl</w:t>
      </w:r>
      <w:r>
        <w:rPr>
          <w:sz w:val="24"/>
        </w:rPr>
        <w:t xml:space="preserve">e for completion electronically. However, </w:t>
      </w:r>
      <w:r w:rsidR="007F46E3">
        <w:rPr>
          <w:sz w:val="24"/>
        </w:rPr>
        <w:t xml:space="preserve">Part D sponsors are encouraged to incorporate </w:t>
      </w:r>
      <w:r w:rsidR="00C91D4E">
        <w:rPr>
          <w:sz w:val="24"/>
        </w:rPr>
        <w:t xml:space="preserve">these </w:t>
      </w:r>
      <w:r w:rsidR="007F46E3" w:rsidRPr="007F46E3">
        <w:rPr>
          <w:sz w:val="24"/>
        </w:rPr>
        <w:t>data in</w:t>
      </w:r>
      <w:r w:rsidR="007F46E3">
        <w:rPr>
          <w:sz w:val="24"/>
        </w:rPr>
        <w:t>to</w:t>
      </w:r>
      <w:r w:rsidR="007F46E3" w:rsidRPr="007F46E3">
        <w:rPr>
          <w:sz w:val="24"/>
        </w:rPr>
        <w:t xml:space="preserve"> electronic health records, bi-directional digital communications with providers, and other aspects of national health information technology</w:t>
      </w:r>
      <w:r w:rsidR="000C6550">
        <w:rPr>
          <w:sz w:val="24"/>
        </w:rPr>
        <w:t>.</w:t>
      </w:r>
    </w:p>
    <w:p w14:paraId="6DDA4964" w14:textId="77777777" w:rsidR="00B72DF9" w:rsidRDefault="00B72DF9"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3E7773"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w:t>
      </w:r>
      <w:r>
        <w:rPr>
          <w:sz w:val="24"/>
        </w:rPr>
        <w:tab/>
      </w:r>
      <w:r>
        <w:rPr>
          <w:sz w:val="24"/>
          <w:u w:val="single"/>
        </w:rPr>
        <w:t>Duplication of Efforts</w:t>
      </w:r>
    </w:p>
    <w:p w14:paraId="79797195"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307562B" w14:textId="77777777" w:rsidR="008F1EB4" w:rsidRDefault="007F46E3"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F46E3">
        <w:rPr>
          <w:sz w:val="24"/>
        </w:rPr>
        <w:t xml:space="preserve">This </w:t>
      </w:r>
      <w:r>
        <w:rPr>
          <w:sz w:val="24"/>
        </w:rPr>
        <w:t xml:space="preserve">is not a duplication of effort </w:t>
      </w:r>
      <w:r w:rsidR="008F1EB4">
        <w:rPr>
          <w:sz w:val="24"/>
        </w:rPr>
        <w:t>and the information cannot be</w:t>
      </w:r>
      <w:r>
        <w:rPr>
          <w:sz w:val="24"/>
        </w:rPr>
        <w:t xml:space="preserve"> obtained from any other source. </w:t>
      </w:r>
    </w:p>
    <w:p w14:paraId="0B817EF9"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F0D7A6"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Pr>
          <w:sz w:val="24"/>
        </w:rPr>
        <w:tab/>
      </w:r>
      <w:r>
        <w:rPr>
          <w:sz w:val="24"/>
          <w:u w:val="single"/>
        </w:rPr>
        <w:t>Small Businesses</w:t>
      </w:r>
    </w:p>
    <w:p w14:paraId="0F8DAFD5" w14:textId="77777777" w:rsidR="008F1EB4" w:rsidRDefault="008F1EB4" w:rsidP="00E21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9F3E85" w14:textId="77777777" w:rsidR="00DE2BB0" w:rsidRPr="00DE52A3" w:rsidRDefault="00DE2BB0" w:rsidP="00E21F32">
      <w:pPr>
        <w:tabs>
          <w:tab w:val="left" w:pos="-2160"/>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Pr>
          <w:sz w:val="24"/>
        </w:rPr>
        <w:t xml:space="preserve">The </w:t>
      </w:r>
      <w:r w:rsidRPr="00DE52A3">
        <w:rPr>
          <w:snapToGrid w:val="0"/>
          <w:sz w:val="24"/>
        </w:rPr>
        <w:t>Small Busi</w:t>
      </w:r>
      <w:r>
        <w:rPr>
          <w:snapToGrid w:val="0"/>
          <w:sz w:val="24"/>
        </w:rPr>
        <w:t>ness Administration (SBA) defines</w:t>
      </w:r>
      <w:r w:rsidRPr="00DE52A3">
        <w:rPr>
          <w:snapToGrid w:val="0"/>
          <w:sz w:val="24"/>
        </w:rPr>
        <w:t xml:space="preserve"> a small business in the service sector, </w:t>
      </w:r>
      <w:r>
        <w:rPr>
          <w:snapToGrid w:val="0"/>
          <w:sz w:val="24"/>
        </w:rPr>
        <w:t xml:space="preserve">as </w:t>
      </w:r>
      <w:r w:rsidRPr="00DE52A3">
        <w:rPr>
          <w:snapToGrid w:val="0"/>
          <w:sz w:val="24"/>
        </w:rPr>
        <w:t xml:space="preserve">having revenues of less than $7.0 million to $34.5 million in any 1 year, or being nonprofit organizations.  While the SBA does not define a size threshold in terms of annual revenues for hospices, it does define one for home health </w:t>
      </w:r>
      <w:r w:rsidRPr="00B161FA">
        <w:rPr>
          <w:snapToGrid w:val="0"/>
          <w:sz w:val="24"/>
        </w:rPr>
        <w:t>agencies ($14 million; see</w:t>
      </w:r>
      <w:r w:rsidR="00B72DF9" w:rsidRPr="00B161FA">
        <w:rPr>
          <w:snapToGrid w:val="0"/>
          <w:sz w:val="24"/>
        </w:rPr>
        <w:t xml:space="preserve"> </w:t>
      </w:r>
      <w:hyperlink r:id="rId8" w:history="1">
        <w:r w:rsidR="00B161FA" w:rsidRPr="00B161FA">
          <w:rPr>
            <w:rStyle w:val="Hyperlink"/>
            <w:sz w:val="24"/>
          </w:rPr>
          <w:t>http://www.sba.gov/content/small-business-size-standards</w:t>
        </w:r>
      </w:hyperlink>
      <w:r w:rsidRPr="00B161FA">
        <w:rPr>
          <w:snapToGrid w:val="0"/>
          <w:sz w:val="24"/>
        </w:rPr>
        <w:t>).   For the purposes of this PRA, because the hospice benefit is a home-based benefit, we are applying</w:t>
      </w:r>
      <w:r w:rsidRPr="00DE52A3">
        <w:rPr>
          <w:snapToGrid w:val="0"/>
          <w:sz w:val="24"/>
        </w:rPr>
        <w:t xml:space="preserve"> the SBA definition of “small” for home health agencies to hospices</w:t>
      </w:r>
      <w:r>
        <w:rPr>
          <w:snapToGrid w:val="0"/>
          <w:sz w:val="24"/>
        </w:rPr>
        <w:t xml:space="preserve">, and </w:t>
      </w:r>
      <w:r w:rsidRPr="00DE52A3">
        <w:rPr>
          <w:snapToGrid w:val="0"/>
          <w:sz w:val="24"/>
        </w:rPr>
        <w:t xml:space="preserve">use this definition of “small” in determining if this </w:t>
      </w:r>
      <w:r w:rsidR="005F282A">
        <w:rPr>
          <w:snapToGrid w:val="0"/>
          <w:sz w:val="24"/>
        </w:rPr>
        <w:t xml:space="preserve">information collection tool (IC) </w:t>
      </w:r>
      <w:r w:rsidRPr="00DE52A3">
        <w:rPr>
          <w:snapToGrid w:val="0"/>
          <w:sz w:val="24"/>
        </w:rPr>
        <w:t xml:space="preserve">has a significant impact on a substantial number of small entities (for example, hospices).  We estimate that 95 percent of hospices have Medicare revenues below $14 million or are nonprofit organizations and therefore are considered small entities. </w:t>
      </w:r>
    </w:p>
    <w:p w14:paraId="7D2E5160" w14:textId="77777777" w:rsidR="00667373" w:rsidRDefault="00667373" w:rsidP="00E21F32">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4F4C0A4" w14:textId="77777777" w:rsidR="00667373" w:rsidRDefault="00667373" w:rsidP="00E21F32">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E52A3">
        <w:rPr>
          <w:snapToGrid w:val="0"/>
          <w:sz w:val="24"/>
        </w:rPr>
        <w:t>HHS’s practice is to consider effects economically “significant” only if they reach a threshold of 3 to 5 percent or more of total revenue or total costs.</w:t>
      </w:r>
      <w:r>
        <w:rPr>
          <w:snapToGrid w:val="0"/>
          <w:sz w:val="24"/>
        </w:rPr>
        <w:t xml:space="preserve">  The estimated impact of this</w:t>
      </w:r>
      <w:r w:rsidR="005F282A">
        <w:rPr>
          <w:snapToGrid w:val="0"/>
          <w:sz w:val="24"/>
        </w:rPr>
        <w:t xml:space="preserve"> IC</w:t>
      </w:r>
      <w:r>
        <w:rPr>
          <w:snapToGrid w:val="0"/>
          <w:sz w:val="24"/>
        </w:rPr>
        <w:t xml:space="preserve"> is below that threshold</w:t>
      </w:r>
      <w:r w:rsidR="00915CF3">
        <w:rPr>
          <w:snapToGrid w:val="0"/>
          <w:sz w:val="24"/>
        </w:rPr>
        <w:t>;</w:t>
      </w:r>
      <w:r>
        <w:rPr>
          <w:snapToGrid w:val="0"/>
          <w:sz w:val="24"/>
        </w:rPr>
        <w:t xml:space="preserve"> </w:t>
      </w:r>
      <w:r w:rsidR="00915CF3">
        <w:rPr>
          <w:snapToGrid w:val="0"/>
          <w:sz w:val="24"/>
        </w:rPr>
        <w:t>t</w:t>
      </w:r>
      <w:r>
        <w:rPr>
          <w:snapToGrid w:val="0"/>
          <w:sz w:val="24"/>
        </w:rPr>
        <w:t xml:space="preserve">herefore, </w:t>
      </w:r>
      <w:r w:rsidR="009A3BA7">
        <w:rPr>
          <w:snapToGrid w:val="0"/>
          <w:sz w:val="24"/>
        </w:rPr>
        <w:t xml:space="preserve">we estimate that </w:t>
      </w:r>
      <w:r w:rsidR="005F282A">
        <w:rPr>
          <w:snapToGrid w:val="0"/>
          <w:sz w:val="24"/>
        </w:rPr>
        <w:t xml:space="preserve">it </w:t>
      </w:r>
      <w:r w:rsidR="007F46E3" w:rsidRPr="007F46E3">
        <w:rPr>
          <w:sz w:val="24"/>
        </w:rPr>
        <w:t xml:space="preserve">will </w:t>
      </w:r>
      <w:r w:rsidR="007D4196">
        <w:rPr>
          <w:sz w:val="24"/>
        </w:rPr>
        <w:t xml:space="preserve">generally </w:t>
      </w:r>
      <w:r w:rsidR="007F46E3" w:rsidRPr="007F46E3">
        <w:rPr>
          <w:sz w:val="24"/>
        </w:rPr>
        <w:t xml:space="preserve">not impose a significant impact on small businesses and other small organizational entities. </w:t>
      </w:r>
    </w:p>
    <w:p w14:paraId="6C8F3BA7" w14:textId="77777777" w:rsidR="00667373" w:rsidRDefault="00667373" w:rsidP="00E21F32">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DF05B0C" w14:textId="77777777" w:rsidR="008A2152" w:rsidRDefault="007F46E3" w:rsidP="00E21F32">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F46E3">
        <w:rPr>
          <w:sz w:val="24"/>
        </w:rPr>
        <w:t xml:space="preserve">Part D </w:t>
      </w:r>
      <w:r w:rsidR="0057143E">
        <w:rPr>
          <w:sz w:val="24"/>
        </w:rPr>
        <w:t>sponsor</w:t>
      </w:r>
      <w:r w:rsidR="0057143E" w:rsidRPr="007F46E3">
        <w:rPr>
          <w:sz w:val="24"/>
        </w:rPr>
        <w:t xml:space="preserve">s </w:t>
      </w:r>
      <w:r w:rsidRPr="007F46E3">
        <w:rPr>
          <w:sz w:val="24"/>
        </w:rPr>
        <w:t xml:space="preserve">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 </w:t>
      </w:r>
      <w:r w:rsidR="009A3BA7">
        <w:rPr>
          <w:sz w:val="24"/>
        </w:rPr>
        <w:t xml:space="preserve">Thus, </w:t>
      </w:r>
      <w:r w:rsidRPr="007F46E3">
        <w:rPr>
          <w:sz w:val="24"/>
        </w:rPr>
        <w:t>Part D prescription benefit plan</w:t>
      </w:r>
      <w:r w:rsidR="00667373">
        <w:rPr>
          <w:sz w:val="24"/>
        </w:rPr>
        <w:t xml:space="preserve"> sponsor</w:t>
      </w:r>
      <w:r w:rsidRPr="007F46E3">
        <w:rPr>
          <w:sz w:val="24"/>
        </w:rPr>
        <w:t>s are not small businesses.</w:t>
      </w:r>
      <w:r w:rsidR="009672EA">
        <w:rPr>
          <w:sz w:val="24"/>
        </w:rPr>
        <w:t xml:space="preserve"> </w:t>
      </w:r>
    </w:p>
    <w:p w14:paraId="18E1AC0F"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9286FB"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w:t>
      </w:r>
      <w:r>
        <w:rPr>
          <w:sz w:val="24"/>
        </w:rPr>
        <w:tab/>
      </w:r>
      <w:r>
        <w:rPr>
          <w:sz w:val="24"/>
          <w:u w:val="single"/>
        </w:rPr>
        <w:t>Less Frequent Collection</w:t>
      </w:r>
    </w:p>
    <w:p w14:paraId="24510242"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2D064DC" w14:textId="77777777" w:rsidR="008F1EB4" w:rsidRDefault="009672EA" w:rsidP="00E21F3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672EA">
        <w:rPr>
          <w:sz w:val="24"/>
        </w:rPr>
        <w:t xml:space="preserve">The form </w:t>
      </w:r>
      <w:r w:rsidR="00915CF3">
        <w:rPr>
          <w:sz w:val="24"/>
        </w:rPr>
        <w:t>would</w:t>
      </w:r>
      <w:r w:rsidRPr="009672EA">
        <w:rPr>
          <w:sz w:val="24"/>
        </w:rPr>
        <w:t xml:space="preserve"> not affect th</w:t>
      </w:r>
      <w:r>
        <w:rPr>
          <w:sz w:val="24"/>
        </w:rPr>
        <w:t xml:space="preserve">e timing of information collected rather it </w:t>
      </w:r>
      <w:r w:rsidR="00915CF3">
        <w:rPr>
          <w:sz w:val="24"/>
        </w:rPr>
        <w:t>would</w:t>
      </w:r>
      <w:r>
        <w:rPr>
          <w:sz w:val="24"/>
        </w:rPr>
        <w:t xml:space="preserve"> provide a standard instrument for collection of the data required. </w:t>
      </w:r>
    </w:p>
    <w:p w14:paraId="1FBA1F52"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5046A2"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w:t>
      </w:r>
      <w:r>
        <w:rPr>
          <w:sz w:val="24"/>
        </w:rPr>
        <w:tab/>
      </w:r>
      <w:r>
        <w:rPr>
          <w:sz w:val="24"/>
          <w:u w:val="single"/>
        </w:rPr>
        <w:t>Special Circumstances</w:t>
      </w:r>
    </w:p>
    <w:p w14:paraId="1CB29762"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10210C" w14:textId="77777777" w:rsidR="003049A9" w:rsidRDefault="003049A9"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05E5">
        <w:rPr>
          <w:sz w:val="24"/>
        </w:rPr>
        <w:t>There are no special circumstances that would require an information collection to be conducted in a manner that requires respondents to:</w:t>
      </w:r>
    </w:p>
    <w:p w14:paraId="1E41F330" w14:textId="77777777" w:rsidR="00C355AD" w:rsidRPr="001205E5" w:rsidRDefault="00C355AD"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D06A67" w14:textId="77777777" w:rsidR="003049A9" w:rsidRPr="001205E5" w:rsidRDefault="003049A9" w:rsidP="00C355AD">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sz w:val="24"/>
        </w:rPr>
      </w:pPr>
      <w:r w:rsidRPr="001205E5">
        <w:rPr>
          <w:sz w:val="24"/>
        </w:rPr>
        <w:t>Report information to the agency more often than quarterly;</w:t>
      </w:r>
    </w:p>
    <w:p w14:paraId="398ECF3B" w14:textId="77777777" w:rsidR="003049A9" w:rsidRPr="001205E5" w:rsidRDefault="003049A9" w:rsidP="00C355AD">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sz w:val="24"/>
        </w:rPr>
      </w:pPr>
      <w:r w:rsidRPr="001205E5">
        <w:rPr>
          <w:sz w:val="24"/>
        </w:rPr>
        <w:t>Prepare a written response to a collection of information in fewer than 30</w:t>
      </w:r>
      <w:r>
        <w:rPr>
          <w:sz w:val="24"/>
        </w:rPr>
        <w:t xml:space="preserve"> d</w:t>
      </w:r>
      <w:r w:rsidRPr="001205E5">
        <w:rPr>
          <w:sz w:val="24"/>
        </w:rPr>
        <w:t xml:space="preserve">ays after receipt of it; </w:t>
      </w:r>
    </w:p>
    <w:p w14:paraId="36B0E4CC" w14:textId="77777777" w:rsidR="003049A9" w:rsidRPr="001205E5" w:rsidRDefault="003049A9" w:rsidP="00C355AD">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sz w:val="24"/>
        </w:rPr>
      </w:pPr>
      <w:r w:rsidRPr="001205E5">
        <w:rPr>
          <w:sz w:val="24"/>
        </w:rPr>
        <w:t>Submit more than an original and two copies of any document;</w:t>
      </w:r>
    </w:p>
    <w:p w14:paraId="3B464232" w14:textId="77777777" w:rsidR="003049A9" w:rsidRPr="001205E5" w:rsidRDefault="003049A9" w:rsidP="00C355AD">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sz w:val="24"/>
        </w:rPr>
      </w:pPr>
      <w:r w:rsidRPr="001205E5">
        <w:rPr>
          <w:sz w:val="24"/>
        </w:rPr>
        <w:t>Retain records, other than health, medical, government contract, grant-in-aid, or tax records for more than three years;</w:t>
      </w:r>
    </w:p>
    <w:p w14:paraId="11665B13" w14:textId="77777777" w:rsidR="003049A9" w:rsidRPr="001205E5" w:rsidRDefault="003049A9" w:rsidP="00C355AD">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sz w:val="24"/>
        </w:rPr>
      </w:pPr>
      <w:r w:rsidRPr="001205E5">
        <w:rPr>
          <w:sz w:val="24"/>
        </w:rPr>
        <w:t>Collect data in connection with a statistical survey that is not designed to produce valid and reliable results that can be generalized to the universe of study,</w:t>
      </w:r>
    </w:p>
    <w:p w14:paraId="1EC09264" w14:textId="77777777" w:rsidR="003049A9" w:rsidRPr="001205E5" w:rsidRDefault="003049A9" w:rsidP="00C355AD">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sz w:val="24"/>
        </w:rPr>
      </w:pPr>
      <w:r w:rsidRPr="001205E5">
        <w:rPr>
          <w:sz w:val="24"/>
        </w:rPr>
        <w:t>Use a statistical data classification that has not been reviewed and approved by the Office of Management and Budget (OMB);</w:t>
      </w:r>
    </w:p>
    <w:p w14:paraId="5CBCB96E" w14:textId="77777777" w:rsidR="003049A9" w:rsidRPr="001205E5" w:rsidRDefault="003049A9" w:rsidP="00C355AD">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sz w:val="24"/>
        </w:rPr>
      </w:pPr>
      <w:r w:rsidRPr="001205E5">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F228627" w14:textId="77777777" w:rsidR="003049A9" w:rsidRPr="001205E5" w:rsidRDefault="003049A9" w:rsidP="00C355AD">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sz w:val="24"/>
        </w:rPr>
      </w:pPr>
      <w:r w:rsidRPr="001205E5">
        <w:rPr>
          <w:sz w:val="24"/>
        </w:rPr>
        <w:t>Submit proprietary trade secret, or other confidential information unless the agency can demonstrate that it has instituted procedures to protect the information's confidentiality to the extent permitted by law.</w:t>
      </w:r>
    </w:p>
    <w:p w14:paraId="14563E2B"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9BA494"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8.</w:t>
      </w:r>
      <w:r>
        <w:rPr>
          <w:sz w:val="24"/>
        </w:rPr>
        <w:tab/>
      </w:r>
      <w:r>
        <w:rPr>
          <w:sz w:val="24"/>
          <w:u w:val="single"/>
        </w:rPr>
        <w:t>Federal Register/Outside Consultation</w:t>
      </w:r>
    </w:p>
    <w:p w14:paraId="2D059B02"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38DC02" w14:textId="20D10A99" w:rsidR="00416E50" w:rsidRDefault="0037384A" w:rsidP="00E21F32">
      <w:pPr>
        <w:rPr>
          <w:sz w:val="24"/>
        </w:rPr>
      </w:pPr>
      <w:r>
        <w:rPr>
          <w:sz w:val="24"/>
        </w:rPr>
        <w:t xml:space="preserve">The 60-day notice published </w:t>
      </w:r>
      <w:r w:rsidR="00BF51D2">
        <w:rPr>
          <w:sz w:val="24"/>
        </w:rPr>
        <w:t xml:space="preserve">in the Federal </w:t>
      </w:r>
      <w:r w:rsidR="00E6384E">
        <w:rPr>
          <w:sz w:val="24"/>
        </w:rPr>
        <w:t>R</w:t>
      </w:r>
      <w:r w:rsidR="00BF51D2">
        <w:rPr>
          <w:sz w:val="24"/>
        </w:rPr>
        <w:t xml:space="preserve">egister </w:t>
      </w:r>
      <w:r>
        <w:rPr>
          <w:sz w:val="24"/>
        </w:rPr>
        <w:t xml:space="preserve">on </w:t>
      </w:r>
      <w:r w:rsidR="00E6384E">
        <w:rPr>
          <w:sz w:val="24"/>
        </w:rPr>
        <w:t>March 27, 2018 (83 FR 13130)</w:t>
      </w:r>
      <w:r w:rsidR="00BF51D2">
        <w:rPr>
          <w:sz w:val="24"/>
        </w:rPr>
        <w:t>.</w:t>
      </w:r>
      <w:r w:rsidR="00E6384E">
        <w:rPr>
          <w:sz w:val="24"/>
        </w:rPr>
        <w:t xml:space="preserve"> We did not receive any comments.</w:t>
      </w:r>
    </w:p>
    <w:p w14:paraId="50930C1E" w14:textId="77777777" w:rsidR="00E6384E" w:rsidRDefault="00E6384E" w:rsidP="00E21F32">
      <w:pPr>
        <w:rPr>
          <w:sz w:val="24"/>
        </w:rPr>
      </w:pPr>
    </w:p>
    <w:p w14:paraId="3A0A98D4" w14:textId="722D7EC6" w:rsidR="00E6384E" w:rsidRDefault="00E6384E" w:rsidP="00E21F32">
      <w:pPr>
        <w:rPr>
          <w:sz w:val="24"/>
        </w:rPr>
      </w:pPr>
      <w:r>
        <w:rPr>
          <w:sz w:val="24"/>
        </w:rPr>
        <w:t>The 30-day notice published in the Federal Register on June 8, 2018 (83 FR 26691). We did not receive any comments.</w:t>
      </w:r>
    </w:p>
    <w:p w14:paraId="375CFA4A"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FACBC1"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w:t>
      </w:r>
      <w:r>
        <w:rPr>
          <w:sz w:val="24"/>
        </w:rPr>
        <w:tab/>
      </w:r>
      <w:r>
        <w:rPr>
          <w:sz w:val="24"/>
          <w:u w:val="single"/>
        </w:rPr>
        <w:t>Payments/Gifts to Respondents</w:t>
      </w:r>
    </w:p>
    <w:p w14:paraId="24674E55"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34D498" w14:textId="60518452" w:rsidR="008F1EB4" w:rsidRDefault="000920C6"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 applicable.</w:t>
      </w:r>
    </w:p>
    <w:p w14:paraId="47CC8A29"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CDD108D"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10.</w:t>
      </w:r>
      <w:r>
        <w:rPr>
          <w:sz w:val="24"/>
        </w:rPr>
        <w:tab/>
      </w:r>
      <w:r>
        <w:rPr>
          <w:sz w:val="24"/>
          <w:u w:val="single"/>
        </w:rPr>
        <w:t>Confidentiality</w:t>
      </w:r>
    </w:p>
    <w:p w14:paraId="17D0B9E8" w14:textId="77777777" w:rsidR="000F3AF4" w:rsidRDefault="000F3AF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78B41A" w14:textId="77777777" w:rsidR="008F1EB4" w:rsidRDefault="000920C6" w:rsidP="00E21F32">
      <w:pPr>
        <w:tabs>
          <w:tab w:val="left" w:pos="90"/>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Part D sponsors, h</w:t>
      </w:r>
      <w:r w:rsidRPr="000920C6">
        <w:rPr>
          <w:sz w:val="24"/>
        </w:rPr>
        <w:t>ealthcare providers,</w:t>
      </w:r>
      <w:r>
        <w:rPr>
          <w:sz w:val="24"/>
        </w:rPr>
        <w:t xml:space="preserve"> and hospice providers are </w:t>
      </w:r>
      <w:r w:rsidRPr="000920C6">
        <w:rPr>
          <w:sz w:val="24"/>
        </w:rPr>
        <w:t>subject to Health Insurance Portability and Accountability Act (HIPAA) privacy and security requirements.</w:t>
      </w:r>
    </w:p>
    <w:p w14:paraId="5AA21379" w14:textId="77777777" w:rsidR="000920C6" w:rsidRDefault="000920C6" w:rsidP="00E21F32">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D1F47B"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11.</w:t>
      </w:r>
      <w:r>
        <w:rPr>
          <w:sz w:val="24"/>
        </w:rPr>
        <w:tab/>
      </w:r>
      <w:r>
        <w:rPr>
          <w:sz w:val="24"/>
          <w:u w:val="single"/>
        </w:rPr>
        <w:t>Sensitive Questions</w:t>
      </w:r>
    </w:p>
    <w:p w14:paraId="0F9CDF43"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02DD93F" w14:textId="77777777" w:rsidR="008F1EB4" w:rsidRDefault="009766EF" w:rsidP="00E21F3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0920C6" w:rsidRPr="000920C6">
        <w:rPr>
          <w:sz w:val="24"/>
        </w:rPr>
        <w:t>he discussion of sensitive issues is inherent in the delivery of health care and interactions between patients and their healthcare providers. For example, th</w:t>
      </w:r>
      <w:r w:rsidR="00C91D4E">
        <w:rPr>
          <w:sz w:val="24"/>
        </w:rPr>
        <w:t>is</w:t>
      </w:r>
      <w:r w:rsidR="000920C6">
        <w:rPr>
          <w:sz w:val="24"/>
        </w:rPr>
        <w:t xml:space="preserve"> form</w:t>
      </w:r>
      <w:r w:rsidR="000920C6" w:rsidRPr="000920C6">
        <w:rPr>
          <w:sz w:val="24"/>
        </w:rPr>
        <w:t xml:space="preserve"> may include certain medications and conditions that are considered “sensitive,” such as mental health disease or HIV/AIDS. These interactions and the use of the standardized format are subject to HIPAA privacy and security requirements.</w:t>
      </w:r>
      <w:r w:rsidR="008F1EB4">
        <w:rPr>
          <w:sz w:val="24"/>
        </w:rPr>
        <w:t xml:space="preserve"> </w:t>
      </w:r>
    </w:p>
    <w:p w14:paraId="49F3F970"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B51654"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12.</w:t>
      </w:r>
      <w:r>
        <w:rPr>
          <w:sz w:val="24"/>
        </w:rPr>
        <w:tab/>
      </w:r>
      <w:r>
        <w:rPr>
          <w:sz w:val="24"/>
          <w:u w:val="single"/>
        </w:rPr>
        <w:t>Burden Estimates (Hours &amp; Wages)</w:t>
      </w:r>
    </w:p>
    <w:p w14:paraId="512669C9"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C54448" w14:textId="77777777" w:rsidR="00253ABC" w:rsidRDefault="00253ABC" w:rsidP="00E21F32">
      <w:pPr>
        <w:pStyle w:val="Default"/>
        <w:rPr>
          <w:i/>
          <w:sz w:val="23"/>
          <w:szCs w:val="23"/>
        </w:rPr>
      </w:pPr>
      <w:r>
        <w:rPr>
          <w:i/>
          <w:sz w:val="23"/>
          <w:szCs w:val="23"/>
        </w:rPr>
        <w:t>Wage Estimates</w:t>
      </w:r>
    </w:p>
    <w:p w14:paraId="04D931DC" w14:textId="77777777" w:rsidR="00253ABC" w:rsidRDefault="00253ABC" w:rsidP="00E21F32">
      <w:pPr>
        <w:pStyle w:val="Default"/>
        <w:rPr>
          <w:i/>
          <w:sz w:val="23"/>
          <w:szCs w:val="23"/>
        </w:rPr>
      </w:pPr>
    </w:p>
    <w:p w14:paraId="1B5A8523" w14:textId="77777777" w:rsidR="00253ABC" w:rsidRDefault="00253ABC" w:rsidP="00E21F32">
      <w:pPr>
        <w:rPr>
          <w:snapToGrid w:val="0"/>
          <w:sz w:val="23"/>
          <w:szCs w:val="23"/>
        </w:rPr>
      </w:pPr>
      <w:r w:rsidRPr="00DF652A">
        <w:rPr>
          <w:snapToGrid w:val="0"/>
          <w:sz w:val="23"/>
          <w:szCs w:val="23"/>
        </w:rPr>
        <w:t>To derive average costs, we used data from the U.S. Bureau of Labor Statistics’ May 201</w:t>
      </w:r>
      <w:r>
        <w:rPr>
          <w:snapToGrid w:val="0"/>
          <w:sz w:val="23"/>
          <w:szCs w:val="23"/>
        </w:rPr>
        <w:t>7</w:t>
      </w:r>
      <w:r w:rsidRPr="00DF652A">
        <w:rPr>
          <w:snapToGrid w:val="0"/>
          <w:sz w:val="23"/>
          <w:szCs w:val="23"/>
        </w:rPr>
        <w:t xml:space="preserve"> National Occupational Employment and Wage Estimates for all salary estimates (</w:t>
      </w:r>
      <w:hyperlink r:id="rId9" w:history="1">
        <w:r w:rsidRPr="0015166F">
          <w:rPr>
            <w:rStyle w:val="Hyperlink"/>
            <w:snapToGrid w:val="0"/>
            <w:sz w:val="23"/>
            <w:szCs w:val="23"/>
          </w:rPr>
          <w:t>http://www.bls.gov/oes/current/oes_nat.htm</w:t>
        </w:r>
      </w:hyperlink>
      <w:r w:rsidRPr="00DF652A">
        <w:rPr>
          <w:snapToGrid w:val="0"/>
          <w:sz w:val="23"/>
          <w:szCs w:val="23"/>
        </w:rPr>
        <w:t xml:space="preserve">). In this regard, the following table presents the median hourly wage, the cost of fringe benefits (calculated at </w:t>
      </w:r>
      <w:r>
        <w:rPr>
          <w:snapToGrid w:val="0"/>
          <w:sz w:val="23"/>
          <w:szCs w:val="23"/>
        </w:rPr>
        <w:t>100</w:t>
      </w:r>
      <w:r w:rsidRPr="00DF652A">
        <w:rPr>
          <w:snapToGrid w:val="0"/>
          <w:sz w:val="23"/>
          <w:szCs w:val="23"/>
        </w:rPr>
        <w:t xml:space="preserve"> percent of salary), and the adjusted hourly wage.</w:t>
      </w:r>
    </w:p>
    <w:p w14:paraId="7AB25CBD" w14:textId="77777777" w:rsidR="00253ABC" w:rsidRPr="00DF652A" w:rsidRDefault="00253ABC" w:rsidP="00E21F32">
      <w:pPr>
        <w:rPr>
          <w:snapToGrid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253ABC" w:rsidRPr="00CD78F1" w14:paraId="6B8D3411" w14:textId="77777777" w:rsidTr="00905265">
        <w:tc>
          <w:tcPr>
            <w:tcW w:w="1809" w:type="dxa"/>
            <w:shd w:val="clear" w:color="auto" w:fill="auto"/>
          </w:tcPr>
          <w:p w14:paraId="279CB460" w14:textId="77777777" w:rsidR="00253ABC" w:rsidRPr="00CD78F1" w:rsidRDefault="00253ABC" w:rsidP="00E21F32">
            <w:pPr>
              <w:rPr>
                <w:snapToGrid w:val="0"/>
                <w:szCs w:val="20"/>
              </w:rPr>
            </w:pPr>
            <w:r w:rsidRPr="00CD78F1">
              <w:rPr>
                <w:snapToGrid w:val="0"/>
                <w:szCs w:val="20"/>
              </w:rPr>
              <w:t>Occupation Title</w:t>
            </w:r>
          </w:p>
        </w:tc>
        <w:tc>
          <w:tcPr>
            <w:tcW w:w="1809" w:type="dxa"/>
            <w:shd w:val="clear" w:color="auto" w:fill="auto"/>
          </w:tcPr>
          <w:p w14:paraId="41C08823" w14:textId="77777777" w:rsidR="00253ABC" w:rsidRPr="00CD78F1" w:rsidRDefault="00253ABC" w:rsidP="00E21F32">
            <w:pPr>
              <w:rPr>
                <w:snapToGrid w:val="0"/>
                <w:szCs w:val="20"/>
              </w:rPr>
            </w:pPr>
            <w:r w:rsidRPr="00CD78F1">
              <w:rPr>
                <w:snapToGrid w:val="0"/>
                <w:szCs w:val="20"/>
              </w:rPr>
              <w:t>Occupation Code</w:t>
            </w:r>
          </w:p>
        </w:tc>
        <w:tc>
          <w:tcPr>
            <w:tcW w:w="1733" w:type="dxa"/>
            <w:shd w:val="clear" w:color="auto" w:fill="auto"/>
          </w:tcPr>
          <w:p w14:paraId="12338893" w14:textId="77777777" w:rsidR="00253ABC" w:rsidRPr="00CD78F1" w:rsidRDefault="00253ABC" w:rsidP="00E21F32">
            <w:pPr>
              <w:rPr>
                <w:snapToGrid w:val="0"/>
                <w:szCs w:val="20"/>
              </w:rPr>
            </w:pPr>
            <w:r w:rsidRPr="00CD78F1">
              <w:rPr>
                <w:snapToGrid w:val="0"/>
                <w:szCs w:val="20"/>
              </w:rPr>
              <w:t>Mean Hourly Wage</w:t>
            </w:r>
          </w:p>
        </w:tc>
        <w:tc>
          <w:tcPr>
            <w:tcW w:w="1738" w:type="dxa"/>
            <w:shd w:val="clear" w:color="auto" w:fill="auto"/>
          </w:tcPr>
          <w:p w14:paraId="5E0B2B6B" w14:textId="77777777" w:rsidR="00253ABC" w:rsidRPr="00CD78F1" w:rsidRDefault="00253ABC" w:rsidP="00E21F32">
            <w:pPr>
              <w:rPr>
                <w:snapToGrid w:val="0"/>
                <w:szCs w:val="20"/>
              </w:rPr>
            </w:pPr>
            <w:r w:rsidRPr="00CD78F1">
              <w:rPr>
                <w:snapToGrid w:val="0"/>
                <w:szCs w:val="20"/>
              </w:rPr>
              <w:t>Fringe Benefit (at 100%)</w:t>
            </w:r>
          </w:p>
        </w:tc>
        <w:tc>
          <w:tcPr>
            <w:tcW w:w="1767" w:type="dxa"/>
            <w:shd w:val="clear" w:color="auto" w:fill="auto"/>
          </w:tcPr>
          <w:p w14:paraId="6D8D94AA" w14:textId="77777777" w:rsidR="00253ABC" w:rsidRPr="00CD78F1" w:rsidRDefault="00253ABC" w:rsidP="00E21F32">
            <w:pPr>
              <w:rPr>
                <w:snapToGrid w:val="0"/>
                <w:szCs w:val="20"/>
              </w:rPr>
            </w:pPr>
            <w:r w:rsidRPr="00CD78F1">
              <w:rPr>
                <w:snapToGrid w:val="0"/>
                <w:szCs w:val="20"/>
              </w:rPr>
              <w:t>Adjusted Hourly Wage</w:t>
            </w:r>
          </w:p>
        </w:tc>
      </w:tr>
      <w:tr w:rsidR="00253ABC" w:rsidRPr="00CD78F1" w14:paraId="0017FB29" w14:textId="77777777" w:rsidTr="00905265">
        <w:tc>
          <w:tcPr>
            <w:tcW w:w="1809" w:type="dxa"/>
            <w:shd w:val="clear" w:color="auto" w:fill="auto"/>
          </w:tcPr>
          <w:p w14:paraId="23136930" w14:textId="77777777" w:rsidR="00253ABC" w:rsidRPr="00CD78F1" w:rsidRDefault="00253ABC" w:rsidP="00E21F32">
            <w:pPr>
              <w:rPr>
                <w:snapToGrid w:val="0"/>
                <w:szCs w:val="20"/>
              </w:rPr>
            </w:pPr>
            <w:r w:rsidRPr="00CD78F1">
              <w:rPr>
                <w:snapToGrid w:val="0"/>
                <w:szCs w:val="20"/>
              </w:rPr>
              <w:t>Pharmacy Technicians</w:t>
            </w:r>
          </w:p>
        </w:tc>
        <w:tc>
          <w:tcPr>
            <w:tcW w:w="1809" w:type="dxa"/>
            <w:shd w:val="clear" w:color="auto" w:fill="auto"/>
          </w:tcPr>
          <w:p w14:paraId="3AB71767" w14:textId="77777777" w:rsidR="00253ABC" w:rsidRPr="00CD78F1" w:rsidRDefault="00253ABC" w:rsidP="00E21F32">
            <w:pPr>
              <w:rPr>
                <w:snapToGrid w:val="0"/>
                <w:szCs w:val="20"/>
              </w:rPr>
            </w:pPr>
            <w:r w:rsidRPr="00CD78F1">
              <w:rPr>
                <w:snapToGrid w:val="0"/>
                <w:szCs w:val="20"/>
              </w:rPr>
              <w:t>29-2052</w:t>
            </w:r>
          </w:p>
        </w:tc>
        <w:tc>
          <w:tcPr>
            <w:tcW w:w="1733" w:type="dxa"/>
            <w:shd w:val="clear" w:color="auto" w:fill="auto"/>
          </w:tcPr>
          <w:p w14:paraId="1D099067" w14:textId="77777777" w:rsidR="00253ABC" w:rsidRPr="00CD78F1" w:rsidRDefault="00253ABC" w:rsidP="00E21F32">
            <w:pPr>
              <w:rPr>
                <w:snapToGrid w:val="0"/>
                <w:szCs w:val="20"/>
              </w:rPr>
            </w:pPr>
            <w:r w:rsidRPr="00CD78F1">
              <w:rPr>
                <w:snapToGrid w:val="0"/>
                <w:szCs w:val="20"/>
              </w:rPr>
              <w:t>$15.90/hr</w:t>
            </w:r>
          </w:p>
        </w:tc>
        <w:tc>
          <w:tcPr>
            <w:tcW w:w="1738" w:type="dxa"/>
            <w:shd w:val="clear" w:color="auto" w:fill="auto"/>
          </w:tcPr>
          <w:p w14:paraId="12F58BEC" w14:textId="77777777" w:rsidR="00253ABC" w:rsidRPr="00CD78F1" w:rsidRDefault="00253ABC" w:rsidP="00E21F32">
            <w:pPr>
              <w:rPr>
                <w:snapToGrid w:val="0"/>
                <w:szCs w:val="20"/>
              </w:rPr>
            </w:pPr>
            <w:r w:rsidRPr="00CD78F1">
              <w:rPr>
                <w:snapToGrid w:val="0"/>
                <w:szCs w:val="20"/>
              </w:rPr>
              <w:t>$15.90/hr</w:t>
            </w:r>
          </w:p>
        </w:tc>
        <w:tc>
          <w:tcPr>
            <w:tcW w:w="1767" w:type="dxa"/>
            <w:shd w:val="clear" w:color="auto" w:fill="auto"/>
          </w:tcPr>
          <w:p w14:paraId="7105A1AA" w14:textId="77777777" w:rsidR="00253ABC" w:rsidRPr="00CD78F1" w:rsidRDefault="00253ABC" w:rsidP="00E21F32">
            <w:pPr>
              <w:rPr>
                <w:snapToGrid w:val="0"/>
                <w:szCs w:val="20"/>
              </w:rPr>
            </w:pPr>
            <w:r w:rsidRPr="00CD78F1">
              <w:rPr>
                <w:snapToGrid w:val="0"/>
                <w:szCs w:val="20"/>
              </w:rPr>
              <w:t>$31.80/hr</w:t>
            </w:r>
          </w:p>
        </w:tc>
      </w:tr>
      <w:tr w:rsidR="00253ABC" w:rsidRPr="00CD78F1" w14:paraId="3C781B16" w14:textId="77777777" w:rsidTr="00905265">
        <w:tc>
          <w:tcPr>
            <w:tcW w:w="1809" w:type="dxa"/>
            <w:shd w:val="clear" w:color="auto" w:fill="auto"/>
          </w:tcPr>
          <w:p w14:paraId="26717A9E" w14:textId="315CD28C" w:rsidR="00253ABC" w:rsidRPr="00CD78F1" w:rsidRDefault="00E20C01" w:rsidP="00E21F32">
            <w:pPr>
              <w:rPr>
                <w:snapToGrid w:val="0"/>
                <w:szCs w:val="20"/>
              </w:rPr>
            </w:pPr>
            <w:r w:rsidRPr="00E20C01">
              <w:rPr>
                <w:snapToGrid w:val="0"/>
                <w:szCs w:val="20"/>
              </w:rPr>
              <w:t>Registered Nurses</w:t>
            </w:r>
          </w:p>
        </w:tc>
        <w:tc>
          <w:tcPr>
            <w:tcW w:w="1809" w:type="dxa"/>
            <w:shd w:val="clear" w:color="auto" w:fill="auto"/>
          </w:tcPr>
          <w:p w14:paraId="6A79C574" w14:textId="6306B247" w:rsidR="00253ABC" w:rsidRPr="00CD78F1" w:rsidRDefault="004E7D5E" w:rsidP="00E21F32">
            <w:pPr>
              <w:rPr>
                <w:snapToGrid w:val="0"/>
                <w:szCs w:val="20"/>
              </w:rPr>
            </w:pPr>
            <w:r w:rsidRPr="004E7D5E">
              <w:rPr>
                <w:snapToGrid w:val="0"/>
                <w:szCs w:val="20"/>
              </w:rPr>
              <w:t>29-1141</w:t>
            </w:r>
          </w:p>
        </w:tc>
        <w:tc>
          <w:tcPr>
            <w:tcW w:w="1733" w:type="dxa"/>
            <w:shd w:val="clear" w:color="auto" w:fill="auto"/>
          </w:tcPr>
          <w:p w14:paraId="5C98ECF9" w14:textId="3D46FF51" w:rsidR="00253ABC" w:rsidRPr="00CD78F1" w:rsidRDefault="00E20C01" w:rsidP="00E21F32">
            <w:pPr>
              <w:rPr>
                <w:snapToGrid w:val="0"/>
                <w:szCs w:val="20"/>
              </w:rPr>
            </w:pPr>
            <w:r w:rsidRPr="00E20C01">
              <w:rPr>
                <w:snapToGrid w:val="0"/>
                <w:szCs w:val="20"/>
              </w:rPr>
              <w:t>$35.36</w:t>
            </w:r>
            <w:r>
              <w:rPr>
                <w:snapToGrid w:val="0"/>
                <w:szCs w:val="20"/>
              </w:rPr>
              <w:t>/hr</w:t>
            </w:r>
          </w:p>
        </w:tc>
        <w:tc>
          <w:tcPr>
            <w:tcW w:w="1738" w:type="dxa"/>
            <w:shd w:val="clear" w:color="auto" w:fill="auto"/>
          </w:tcPr>
          <w:p w14:paraId="71C7F3A1" w14:textId="72D68A0F" w:rsidR="00253ABC" w:rsidRPr="00CD78F1" w:rsidRDefault="00E20C01" w:rsidP="00E21F32">
            <w:pPr>
              <w:rPr>
                <w:snapToGrid w:val="0"/>
                <w:szCs w:val="20"/>
              </w:rPr>
            </w:pPr>
            <w:r w:rsidRPr="00E20C01">
              <w:rPr>
                <w:snapToGrid w:val="0"/>
                <w:szCs w:val="20"/>
              </w:rPr>
              <w:t>$35.36</w:t>
            </w:r>
            <w:r>
              <w:rPr>
                <w:snapToGrid w:val="0"/>
                <w:szCs w:val="20"/>
              </w:rPr>
              <w:t>/hr</w:t>
            </w:r>
          </w:p>
        </w:tc>
        <w:tc>
          <w:tcPr>
            <w:tcW w:w="1767" w:type="dxa"/>
            <w:shd w:val="clear" w:color="auto" w:fill="auto"/>
          </w:tcPr>
          <w:p w14:paraId="1EDA6C43" w14:textId="5A0B99AF" w:rsidR="00253ABC" w:rsidRPr="00CD78F1" w:rsidRDefault="00E20C01" w:rsidP="00E21F32">
            <w:pPr>
              <w:rPr>
                <w:snapToGrid w:val="0"/>
                <w:szCs w:val="20"/>
              </w:rPr>
            </w:pPr>
            <w:r>
              <w:rPr>
                <w:snapToGrid w:val="0"/>
                <w:szCs w:val="20"/>
              </w:rPr>
              <w:t>$</w:t>
            </w:r>
            <w:r w:rsidRPr="00E20C01">
              <w:rPr>
                <w:snapToGrid w:val="0"/>
                <w:szCs w:val="20"/>
              </w:rPr>
              <w:t>70.72</w:t>
            </w:r>
            <w:r>
              <w:rPr>
                <w:snapToGrid w:val="0"/>
                <w:szCs w:val="20"/>
              </w:rPr>
              <w:t>/hr</w:t>
            </w:r>
          </w:p>
        </w:tc>
      </w:tr>
    </w:tbl>
    <w:p w14:paraId="330B05DF" w14:textId="77777777" w:rsidR="00253ABC" w:rsidRDefault="00253ABC" w:rsidP="00E21F32">
      <w:pPr>
        <w:pStyle w:val="Default"/>
        <w:rPr>
          <w:sz w:val="23"/>
          <w:szCs w:val="23"/>
        </w:rPr>
      </w:pPr>
    </w:p>
    <w:p w14:paraId="48ED1BC5" w14:textId="77777777" w:rsidR="00253ABC" w:rsidRPr="001D0898" w:rsidRDefault="00253ABC" w:rsidP="00E21F32">
      <w:pPr>
        <w:pStyle w:val="Default"/>
        <w:rPr>
          <w:i/>
          <w:sz w:val="23"/>
          <w:szCs w:val="23"/>
        </w:rPr>
      </w:pPr>
      <w:r w:rsidRPr="001D0898">
        <w:rPr>
          <w:i/>
          <w:sz w:val="23"/>
          <w:szCs w:val="23"/>
        </w:rPr>
        <w:t>Burden Estimates</w:t>
      </w:r>
    </w:p>
    <w:p w14:paraId="15FFE499" w14:textId="77777777" w:rsidR="001431B2" w:rsidRDefault="001431B2"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B5129E" w14:textId="324E287D" w:rsidR="003544F4" w:rsidRDefault="003544F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following assumptions are used to project the burden associated with th</w:t>
      </w:r>
      <w:r w:rsidR="00C91D4E">
        <w:rPr>
          <w:sz w:val="24"/>
        </w:rPr>
        <w:t>is</w:t>
      </w:r>
      <w:r>
        <w:rPr>
          <w:sz w:val="24"/>
        </w:rPr>
        <w:t xml:space="preserve"> standardized form:</w:t>
      </w:r>
    </w:p>
    <w:p w14:paraId="429825FE" w14:textId="77777777" w:rsidR="003544F4" w:rsidRDefault="003544F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9540" w:type="dxa"/>
        <w:tblInd w:w="460" w:type="dxa"/>
        <w:tblCellMar>
          <w:left w:w="0" w:type="dxa"/>
          <w:right w:w="0" w:type="dxa"/>
        </w:tblCellMar>
        <w:tblLook w:val="04A0" w:firstRow="1" w:lastRow="0" w:firstColumn="1" w:lastColumn="0" w:noHBand="0" w:noVBand="1"/>
      </w:tblPr>
      <w:tblGrid>
        <w:gridCol w:w="6390"/>
        <w:gridCol w:w="3150"/>
      </w:tblGrid>
      <w:tr w:rsidR="003544F4" w:rsidRPr="003544F4" w14:paraId="137701F6" w14:textId="77777777" w:rsidTr="00C475A3">
        <w:tc>
          <w:tcPr>
            <w:tcW w:w="6390" w:type="dxa"/>
            <w:tcBorders>
              <w:top w:val="single" w:sz="8" w:space="0" w:color="C0C0C0"/>
              <w:left w:val="single" w:sz="8" w:space="0" w:color="C0C0C0"/>
              <w:bottom w:val="single" w:sz="8" w:space="0" w:color="C0C0C0"/>
              <w:right w:val="single" w:sz="8" w:space="0" w:color="C0C0C0"/>
            </w:tcBorders>
            <w:hideMark/>
          </w:tcPr>
          <w:p w14:paraId="61F65F02" w14:textId="77777777" w:rsidR="003544F4" w:rsidRPr="00354D3D" w:rsidRDefault="003544F4" w:rsidP="00E21F32">
            <w:pPr>
              <w:widowControl/>
              <w:adjustRightInd/>
              <w:rPr>
                <w:rFonts w:ascii="Calibri" w:eastAsia="Calibri" w:hAnsi="Calibri"/>
                <w:b/>
                <w:sz w:val="22"/>
                <w:szCs w:val="22"/>
              </w:rPr>
            </w:pPr>
            <w:r w:rsidRPr="00354D3D">
              <w:rPr>
                <w:rFonts w:eastAsia="Calibri"/>
                <w:b/>
                <w:sz w:val="24"/>
                <w:szCs w:val="22"/>
              </w:rPr>
              <w:t># of Part D Parent Organizations</w:t>
            </w:r>
          </w:p>
        </w:tc>
        <w:tc>
          <w:tcPr>
            <w:tcW w:w="3150" w:type="dxa"/>
            <w:tcBorders>
              <w:top w:val="single" w:sz="8" w:space="0" w:color="C0C0C0"/>
              <w:left w:val="nil"/>
              <w:bottom w:val="single" w:sz="8" w:space="0" w:color="C0C0C0"/>
              <w:right w:val="single" w:sz="8" w:space="0" w:color="C0C0C0"/>
            </w:tcBorders>
            <w:hideMark/>
          </w:tcPr>
          <w:p w14:paraId="43A7B27B" w14:textId="77777777" w:rsidR="003544F4" w:rsidRPr="00354D3D" w:rsidRDefault="003544F4" w:rsidP="00E21F32">
            <w:pPr>
              <w:widowControl/>
              <w:adjustRightInd/>
              <w:rPr>
                <w:rFonts w:ascii="Calibri" w:eastAsia="Calibri" w:hAnsi="Calibri"/>
                <w:b/>
                <w:sz w:val="22"/>
                <w:szCs w:val="22"/>
              </w:rPr>
            </w:pPr>
            <w:r w:rsidRPr="00354D3D">
              <w:rPr>
                <w:rFonts w:eastAsia="Calibri"/>
                <w:b/>
                <w:sz w:val="24"/>
                <w:szCs w:val="22"/>
              </w:rPr>
              <w:t>424</w:t>
            </w:r>
            <w:r w:rsidR="00354D3D" w:rsidRPr="00354D3D">
              <w:rPr>
                <w:rFonts w:eastAsia="Calibri"/>
                <w:b/>
                <w:sz w:val="24"/>
                <w:szCs w:val="22"/>
              </w:rPr>
              <w:t xml:space="preserve"> (respondents)</w:t>
            </w:r>
          </w:p>
        </w:tc>
      </w:tr>
      <w:tr w:rsidR="003544F4" w:rsidRPr="003544F4" w14:paraId="78D331FC" w14:textId="77777777" w:rsidTr="00C475A3">
        <w:tc>
          <w:tcPr>
            <w:tcW w:w="6390" w:type="dxa"/>
            <w:tcBorders>
              <w:top w:val="nil"/>
              <w:left w:val="single" w:sz="8" w:space="0" w:color="C0C0C0"/>
              <w:bottom w:val="single" w:sz="8" w:space="0" w:color="C0C0C0"/>
              <w:right w:val="single" w:sz="8" w:space="0" w:color="C0C0C0"/>
            </w:tcBorders>
            <w:hideMark/>
          </w:tcPr>
          <w:p w14:paraId="5792F5B6" w14:textId="77777777" w:rsidR="003544F4" w:rsidRPr="003544F4" w:rsidRDefault="003544F4" w:rsidP="00E21F32">
            <w:pPr>
              <w:widowControl/>
              <w:adjustRightInd/>
              <w:rPr>
                <w:rFonts w:ascii="Calibri" w:eastAsia="Calibri" w:hAnsi="Calibri"/>
                <w:sz w:val="22"/>
                <w:szCs w:val="22"/>
              </w:rPr>
            </w:pPr>
            <w:r w:rsidRPr="003544F4">
              <w:rPr>
                <w:rFonts w:eastAsia="Calibri"/>
                <w:sz w:val="24"/>
                <w:szCs w:val="22"/>
              </w:rPr>
              <w:t>Gross covered drug costs under Part D for beneficiaries in hospice, CY 2012</w:t>
            </w:r>
          </w:p>
        </w:tc>
        <w:tc>
          <w:tcPr>
            <w:tcW w:w="3150" w:type="dxa"/>
            <w:tcBorders>
              <w:top w:val="nil"/>
              <w:left w:val="nil"/>
              <w:bottom w:val="single" w:sz="8" w:space="0" w:color="C0C0C0"/>
              <w:right w:val="single" w:sz="8" w:space="0" w:color="C0C0C0"/>
            </w:tcBorders>
            <w:hideMark/>
          </w:tcPr>
          <w:p w14:paraId="3BE91B90" w14:textId="77777777" w:rsidR="003544F4" w:rsidRPr="003544F4" w:rsidRDefault="003544F4" w:rsidP="00E21F32">
            <w:pPr>
              <w:widowControl/>
              <w:adjustRightInd/>
              <w:rPr>
                <w:rFonts w:ascii="Calibri" w:eastAsia="Calibri" w:hAnsi="Calibri"/>
                <w:sz w:val="22"/>
                <w:szCs w:val="22"/>
              </w:rPr>
            </w:pPr>
            <w:r w:rsidRPr="003544F4">
              <w:rPr>
                <w:rFonts w:eastAsia="Calibri"/>
                <w:sz w:val="24"/>
                <w:szCs w:val="22"/>
              </w:rPr>
              <w:t>$417.9 million</w:t>
            </w:r>
          </w:p>
        </w:tc>
      </w:tr>
      <w:tr w:rsidR="003544F4" w:rsidRPr="003544F4" w14:paraId="09D11706" w14:textId="77777777" w:rsidTr="00C475A3">
        <w:tc>
          <w:tcPr>
            <w:tcW w:w="6390" w:type="dxa"/>
            <w:tcBorders>
              <w:top w:val="nil"/>
              <w:left w:val="single" w:sz="8" w:space="0" w:color="C0C0C0"/>
              <w:bottom w:val="single" w:sz="8" w:space="0" w:color="C0C0C0"/>
              <w:right w:val="single" w:sz="8" w:space="0" w:color="C0C0C0"/>
            </w:tcBorders>
            <w:hideMark/>
          </w:tcPr>
          <w:p w14:paraId="5931861C" w14:textId="77777777" w:rsidR="003544F4" w:rsidRPr="003544F4" w:rsidRDefault="003544F4" w:rsidP="00E21F32">
            <w:pPr>
              <w:widowControl/>
              <w:adjustRightInd/>
              <w:rPr>
                <w:rFonts w:ascii="Calibri" w:eastAsia="Calibri" w:hAnsi="Calibri"/>
                <w:sz w:val="22"/>
                <w:szCs w:val="22"/>
              </w:rPr>
            </w:pPr>
            <w:r w:rsidRPr="003544F4">
              <w:rPr>
                <w:rFonts w:eastAsia="Calibri"/>
                <w:sz w:val="24"/>
                <w:szCs w:val="22"/>
              </w:rPr>
              <w:t># paid Part D claims for beneficiaries in hospice, CY 2012</w:t>
            </w:r>
          </w:p>
        </w:tc>
        <w:tc>
          <w:tcPr>
            <w:tcW w:w="3150" w:type="dxa"/>
            <w:tcBorders>
              <w:top w:val="nil"/>
              <w:left w:val="nil"/>
              <w:bottom w:val="single" w:sz="8" w:space="0" w:color="C0C0C0"/>
              <w:right w:val="single" w:sz="8" w:space="0" w:color="C0C0C0"/>
            </w:tcBorders>
            <w:hideMark/>
          </w:tcPr>
          <w:p w14:paraId="5BF2B9DC" w14:textId="77777777" w:rsidR="003544F4" w:rsidRPr="003544F4" w:rsidRDefault="003544F4" w:rsidP="00E21F32">
            <w:pPr>
              <w:widowControl/>
              <w:adjustRightInd/>
              <w:rPr>
                <w:rFonts w:ascii="Calibri" w:eastAsia="Calibri" w:hAnsi="Calibri"/>
                <w:sz w:val="22"/>
                <w:szCs w:val="22"/>
              </w:rPr>
            </w:pPr>
            <w:r w:rsidRPr="003544F4">
              <w:rPr>
                <w:rFonts w:eastAsia="Calibri"/>
                <w:sz w:val="24"/>
                <w:szCs w:val="22"/>
              </w:rPr>
              <w:t>7.2 million</w:t>
            </w:r>
          </w:p>
        </w:tc>
      </w:tr>
      <w:tr w:rsidR="003544F4" w:rsidRPr="003544F4" w14:paraId="56F3B168" w14:textId="77777777" w:rsidTr="00C475A3">
        <w:tc>
          <w:tcPr>
            <w:tcW w:w="6390" w:type="dxa"/>
            <w:tcBorders>
              <w:top w:val="nil"/>
              <w:left w:val="single" w:sz="8" w:space="0" w:color="C0C0C0"/>
              <w:bottom w:val="single" w:sz="8" w:space="0" w:color="C0C0C0"/>
              <w:right w:val="single" w:sz="8" w:space="0" w:color="C0C0C0"/>
            </w:tcBorders>
            <w:hideMark/>
          </w:tcPr>
          <w:p w14:paraId="356CFC73" w14:textId="77777777" w:rsidR="003544F4" w:rsidRPr="003544F4" w:rsidRDefault="003544F4" w:rsidP="00E21F32">
            <w:pPr>
              <w:widowControl/>
              <w:adjustRightInd/>
              <w:rPr>
                <w:rFonts w:ascii="Calibri" w:eastAsia="Calibri" w:hAnsi="Calibri"/>
                <w:sz w:val="22"/>
                <w:szCs w:val="22"/>
              </w:rPr>
            </w:pPr>
            <w:r w:rsidRPr="003544F4">
              <w:rPr>
                <w:rFonts w:eastAsia="Calibri"/>
                <w:sz w:val="24"/>
                <w:szCs w:val="22"/>
              </w:rPr>
              <w:t># beneficiaries in hospice with paid Part D claims during the election period</w:t>
            </w:r>
          </w:p>
        </w:tc>
        <w:tc>
          <w:tcPr>
            <w:tcW w:w="3150" w:type="dxa"/>
            <w:tcBorders>
              <w:top w:val="nil"/>
              <w:left w:val="nil"/>
              <w:bottom w:val="single" w:sz="8" w:space="0" w:color="C0C0C0"/>
              <w:right w:val="single" w:sz="8" w:space="0" w:color="C0C0C0"/>
            </w:tcBorders>
            <w:hideMark/>
          </w:tcPr>
          <w:p w14:paraId="311D9541" w14:textId="77777777" w:rsidR="003544F4" w:rsidRPr="003544F4" w:rsidRDefault="00020BC7" w:rsidP="00E21F32">
            <w:pPr>
              <w:widowControl/>
              <w:adjustRightInd/>
              <w:rPr>
                <w:rFonts w:ascii="Calibri" w:eastAsia="Calibri" w:hAnsi="Calibri"/>
                <w:sz w:val="22"/>
                <w:szCs w:val="22"/>
              </w:rPr>
            </w:pPr>
            <w:r w:rsidRPr="00020BC7">
              <w:rPr>
                <w:rFonts w:eastAsia="Calibri"/>
                <w:sz w:val="24"/>
                <w:szCs w:val="22"/>
              </w:rPr>
              <w:t>478,647</w:t>
            </w:r>
          </w:p>
        </w:tc>
      </w:tr>
      <w:tr w:rsidR="00C475A3" w:rsidRPr="003544F4" w14:paraId="32A102CF" w14:textId="77777777" w:rsidTr="00C475A3">
        <w:tc>
          <w:tcPr>
            <w:tcW w:w="6390" w:type="dxa"/>
            <w:tcBorders>
              <w:top w:val="nil"/>
              <w:left w:val="single" w:sz="8" w:space="0" w:color="C0C0C0"/>
              <w:bottom w:val="single" w:sz="8" w:space="0" w:color="C0C0C0"/>
              <w:right w:val="single" w:sz="8" w:space="0" w:color="C0C0C0"/>
            </w:tcBorders>
          </w:tcPr>
          <w:p w14:paraId="5DE9D7F8" w14:textId="77777777" w:rsidR="00C475A3" w:rsidRPr="003544F4" w:rsidRDefault="00C475A3" w:rsidP="00E21F32">
            <w:pPr>
              <w:widowControl/>
              <w:adjustRightInd/>
              <w:rPr>
                <w:rFonts w:eastAsia="Calibri"/>
                <w:sz w:val="24"/>
                <w:szCs w:val="22"/>
              </w:rPr>
            </w:pPr>
            <w:r>
              <w:rPr>
                <w:rFonts w:eastAsia="Calibri"/>
                <w:sz w:val="24"/>
                <w:szCs w:val="22"/>
              </w:rPr>
              <w:t xml:space="preserve"># of hospice elections </w:t>
            </w:r>
            <w:r w:rsidR="00216154">
              <w:rPr>
                <w:rFonts w:eastAsia="Calibri"/>
                <w:sz w:val="24"/>
                <w:szCs w:val="22"/>
              </w:rPr>
              <w:t xml:space="preserve">for </w:t>
            </w:r>
            <w:r>
              <w:rPr>
                <w:rFonts w:eastAsia="Calibri"/>
                <w:sz w:val="24"/>
                <w:szCs w:val="22"/>
              </w:rPr>
              <w:t xml:space="preserve">beneficiaries </w:t>
            </w:r>
            <w:r w:rsidR="00216154">
              <w:rPr>
                <w:rFonts w:eastAsia="Calibri"/>
                <w:sz w:val="24"/>
                <w:szCs w:val="22"/>
              </w:rPr>
              <w:t xml:space="preserve">who were on the any of the </w:t>
            </w:r>
            <w:r w:rsidR="00216154" w:rsidRPr="00020BC7">
              <w:rPr>
                <w:rFonts w:eastAsia="Calibri"/>
                <w:sz w:val="24"/>
              </w:rPr>
              <w:t xml:space="preserve">four </w:t>
            </w:r>
            <w:r w:rsidR="00216154" w:rsidRPr="00C475A3">
              <w:rPr>
                <w:rFonts w:eastAsia="Calibri"/>
                <w:sz w:val="24"/>
              </w:rPr>
              <w:t>categories of drugs</w:t>
            </w:r>
            <w:r w:rsidR="00890C5E">
              <w:rPr>
                <w:rFonts w:eastAsia="Calibri"/>
                <w:sz w:val="24"/>
              </w:rPr>
              <w:t xml:space="preserve"> identified above</w:t>
            </w:r>
            <w:r w:rsidR="00216154" w:rsidRPr="00C475A3">
              <w:rPr>
                <w:rFonts w:eastAsia="Calibri"/>
                <w:sz w:val="24"/>
              </w:rPr>
              <w:t xml:space="preserve"> (</w:t>
            </w:r>
            <w:r w:rsidR="00216154" w:rsidRPr="00020BC7">
              <w:rPr>
                <w:sz w:val="24"/>
              </w:rPr>
              <w:t>281,764 analgesics; 72,860 antiemetics; 45,452 laxatives; and 59,934 anti-anxiety drugs</w:t>
            </w:r>
            <w:r w:rsidR="00216154">
              <w:rPr>
                <w:sz w:val="24"/>
              </w:rPr>
              <w:t>)</w:t>
            </w:r>
          </w:p>
        </w:tc>
        <w:tc>
          <w:tcPr>
            <w:tcW w:w="3150" w:type="dxa"/>
            <w:tcBorders>
              <w:top w:val="nil"/>
              <w:left w:val="nil"/>
              <w:bottom w:val="single" w:sz="8" w:space="0" w:color="C0C0C0"/>
              <w:right w:val="single" w:sz="8" w:space="0" w:color="C0C0C0"/>
            </w:tcBorders>
          </w:tcPr>
          <w:p w14:paraId="6F0F223A" w14:textId="77777777" w:rsidR="00C475A3" w:rsidRPr="00020BC7" w:rsidRDefault="00216154" w:rsidP="00E21F32">
            <w:pPr>
              <w:widowControl/>
              <w:adjustRightInd/>
              <w:rPr>
                <w:rFonts w:eastAsia="Calibri"/>
                <w:sz w:val="24"/>
                <w:szCs w:val="22"/>
              </w:rPr>
            </w:pPr>
            <w:r w:rsidRPr="00216154">
              <w:rPr>
                <w:rFonts w:eastAsia="Calibri"/>
                <w:sz w:val="24"/>
                <w:szCs w:val="22"/>
              </w:rPr>
              <w:t>152,632</w:t>
            </w:r>
          </w:p>
        </w:tc>
      </w:tr>
      <w:tr w:rsidR="00020BC7" w:rsidRPr="003544F4" w14:paraId="1EB090D7" w14:textId="77777777" w:rsidTr="00C475A3">
        <w:tc>
          <w:tcPr>
            <w:tcW w:w="6390" w:type="dxa"/>
            <w:tcBorders>
              <w:top w:val="nil"/>
              <w:left w:val="single" w:sz="8" w:space="0" w:color="C0C0C0"/>
              <w:bottom w:val="single" w:sz="8" w:space="0" w:color="C0C0C0"/>
              <w:right w:val="single" w:sz="8" w:space="0" w:color="C0C0C0"/>
            </w:tcBorders>
          </w:tcPr>
          <w:p w14:paraId="65F57CDD" w14:textId="77777777" w:rsidR="00020BC7" w:rsidRPr="00354D3D" w:rsidRDefault="008C35F0" w:rsidP="00E21F32">
            <w:pPr>
              <w:widowControl/>
              <w:adjustRightInd/>
              <w:rPr>
                <w:rFonts w:eastAsia="Calibri"/>
                <w:b/>
                <w:sz w:val="24"/>
              </w:rPr>
            </w:pPr>
            <w:r w:rsidRPr="00354D3D">
              <w:rPr>
                <w:rFonts w:eastAsia="Calibri"/>
                <w:b/>
                <w:sz w:val="24"/>
              </w:rPr>
              <w:t>Estimate of number of P</w:t>
            </w:r>
            <w:r w:rsidR="00890C5E" w:rsidRPr="00354D3D">
              <w:rPr>
                <w:rFonts w:eastAsia="Calibri"/>
                <w:b/>
                <w:sz w:val="24"/>
              </w:rPr>
              <w:t>A</w:t>
            </w:r>
            <w:r w:rsidRPr="00354D3D">
              <w:rPr>
                <w:rFonts w:eastAsia="Calibri"/>
                <w:b/>
                <w:sz w:val="24"/>
              </w:rPr>
              <w:t>s required (</w:t>
            </w:r>
            <w:r w:rsidR="00020BC7" w:rsidRPr="00354D3D">
              <w:rPr>
                <w:rFonts w:eastAsia="Calibri"/>
                <w:b/>
                <w:sz w:val="24"/>
              </w:rPr>
              <w:t xml:space="preserve">initial fills of drugs </w:t>
            </w:r>
            <w:r w:rsidRPr="00354D3D">
              <w:rPr>
                <w:rFonts w:eastAsia="Calibri"/>
                <w:b/>
                <w:sz w:val="24"/>
              </w:rPr>
              <w:t>in four categories)</w:t>
            </w:r>
            <w:r w:rsidR="00020BC7" w:rsidRPr="00354D3D">
              <w:rPr>
                <w:rFonts w:eastAsia="Calibri"/>
                <w:b/>
                <w:sz w:val="24"/>
              </w:rPr>
              <w:t xml:space="preserve">  </w:t>
            </w:r>
          </w:p>
        </w:tc>
        <w:tc>
          <w:tcPr>
            <w:tcW w:w="3150" w:type="dxa"/>
            <w:tcBorders>
              <w:top w:val="nil"/>
              <w:left w:val="nil"/>
              <w:bottom w:val="single" w:sz="8" w:space="0" w:color="C0C0C0"/>
              <w:right w:val="single" w:sz="8" w:space="0" w:color="C0C0C0"/>
            </w:tcBorders>
          </w:tcPr>
          <w:p w14:paraId="15C416EF" w14:textId="77777777" w:rsidR="00020BC7" w:rsidRPr="00354D3D" w:rsidRDefault="00020BC7" w:rsidP="00E21F32">
            <w:pPr>
              <w:widowControl/>
              <w:adjustRightInd/>
              <w:rPr>
                <w:rFonts w:eastAsia="Calibri"/>
                <w:b/>
                <w:sz w:val="24"/>
                <w:szCs w:val="22"/>
              </w:rPr>
            </w:pPr>
            <w:r w:rsidRPr="00354D3D">
              <w:rPr>
                <w:rFonts w:eastAsia="Calibri"/>
                <w:b/>
                <w:sz w:val="24"/>
                <w:szCs w:val="22"/>
              </w:rPr>
              <w:t>376,487</w:t>
            </w:r>
            <w:r w:rsidR="00354D3D" w:rsidRPr="00354D3D">
              <w:rPr>
                <w:rFonts w:eastAsia="Calibri"/>
                <w:b/>
                <w:sz w:val="24"/>
                <w:szCs w:val="22"/>
              </w:rPr>
              <w:t xml:space="preserve"> (responses)</w:t>
            </w:r>
          </w:p>
        </w:tc>
      </w:tr>
      <w:tr w:rsidR="003544F4" w:rsidRPr="003544F4" w14:paraId="56B7B684" w14:textId="77777777" w:rsidTr="00C475A3">
        <w:tc>
          <w:tcPr>
            <w:tcW w:w="6390" w:type="dxa"/>
            <w:tcBorders>
              <w:top w:val="nil"/>
              <w:left w:val="single" w:sz="8" w:space="0" w:color="C0C0C0"/>
              <w:bottom w:val="nil"/>
              <w:right w:val="single" w:sz="8" w:space="0" w:color="C0C0C0"/>
            </w:tcBorders>
            <w:hideMark/>
          </w:tcPr>
          <w:p w14:paraId="76B13C8D" w14:textId="77777777" w:rsidR="003544F4" w:rsidRPr="00C355AD" w:rsidRDefault="003544F4" w:rsidP="00E21F32">
            <w:pPr>
              <w:widowControl/>
              <w:adjustRightInd/>
              <w:rPr>
                <w:rFonts w:ascii="Calibri" w:eastAsia="Calibri" w:hAnsi="Calibri"/>
                <w:sz w:val="22"/>
                <w:szCs w:val="22"/>
              </w:rPr>
            </w:pPr>
            <w:r w:rsidRPr="00C355AD">
              <w:rPr>
                <w:rFonts w:eastAsia="Calibri"/>
                <w:sz w:val="24"/>
                <w:szCs w:val="22"/>
              </w:rPr>
              <w:t xml:space="preserve">Hourly rate of </w:t>
            </w:r>
            <w:r w:rsidR="00B602A6" w:rsidRPr="00C355AD">
              <w:rPr>
                <w:rFonts w:eastAsia="Calibri"/>
                <w:sz w:val="24"/>
                <w:szCs w:val="22"/>
              </w:rPr>
              <w:t xml:space="preserve">a </w:t>
            </w:r>
            <w:r w:rsidR="00AE3E36" w:rsidRPr="00C355AD">
              <w:rPr>
                <w:rFonts w:eastAsia="Calibri"/>
                <w:sz w:val="24"/>
                <w:szCs w:val="22"/>
              </w:rPr>
              <w:t xml:space="preserve">pharmacy technician </w:t>
            </w:r>
          </w:p>
        </w:tc>
        <w:tc>
          <w:tcPr>
            <w:tcW w:w="3150" w:type="dxa"/>
            <w:tcBorders>
              <w:top w:val="nil"/>
              <w:left w:val="nil"/>
              <w:bottom w:val="nil"/>
              <w:right w:val="single" w:sz="8" w:space="0" w:color="C0C0C0"/>
            </w:tcBorders>
            <w:hideMark/>
          </w:tcPr>
          <w:p w14:paraId="086CF320" w14:textId="4F20AA20" w:rsidR="003544F4" w:rsidRPr="003544F4" w:rsidRDefault="003544F4" w:rsidP="00E21F32">
            <w:pPr>
              <w:widowControl/>
              <w:adjustRightInd/>
              <w:rPr>
                <w:rFonts w:ascii="Calibri" w:eastAsia="Calibri" w:hAnsi="Calibri"/>
                <w:sz w:val="22"/>
                <w:szCs w:val="22"/>
              </w:rPr>
            </w:pPr>
            <w:r w:rsidRPr="00C355AD">
              <w:rPr>
                <w:rFonts w:eastAsia="Calibri"/>
                <w:sz w:val="24"/>
                <w:szCs w:val="22"/>
              </w:rPr>
              <w:t>$</w:t>
            </w:r>
            <w:r w:rsidR="00C355AD" w:rsidRPr="00C355AD">
              <w:rPr>
                <w:rFonts w:eastAsia="Calibri"/>
                <w:sz w:val="24"/>
                <w:szCs w:val="22"/>
              </w:rPr>
              <w:t>31.80/hr</w:t>
            </w:r>
          </w:p>
        </w:tc>
      </w:tr>
      <w:tr w:rsidR="00AE3E36" w:rsidRPr="003544F4" w14:paraId="6BF53FEE" w14:textId="77777777" w:rsidTr="00C475A3">
        <w:tc>
          <w:tcPr>
            <w:tcW w:w="6390" w:type="dxa"/>
            <w:tcBorders>
              <w:top w:val="single" w:sz="8" w:space="0" w:color="C0C0C0"/>
              <w:left w:val="single" w:sz="8" w:space="0" w:color="C0C0C0"/>
              <w:bottom w:val="single" w:sz="8" w:space="0" w:color="C0C0C0"/>
              <w:right w:val="single" w:sz="8" w:space="0" w:color="C0C0C0"/>
            </w:tcBorders>
          </w:tcPr>
          <w:p w14:paraId="60E1C004" w14:textId="77777777" w:rsidR="00AE3E36" w:rsidRPr="003544F4" w:rsidRDefault="00AE3E36" w:rsidP="00E21F32">
            <w:pPr>
              <w:widowControl/>
              <w:adjustRightInd/>
              <w:rPr>
                <w:rFonts w:eastAsia="Calibri"/>
                <w:sz w:val="24"/>
                <w:szCs w:val="22"/>
              </w:rPr>
            </w:pPr>
            <w:r>
              <w:rPr>
                <w:rFonts w:eastAsia="Calibri"/>
                <w:sz w:val="24"/>
                <w:szCs w:val="22"/>
              </w:rPr>
              <w:t>#  of Medicare-participating hospices, CY 2012</w:t>
            </w:r>
          </w:p>
        </w:tc>
        <w:tc>
          <w:tcPr>
            <w:tcW w:w="3150" w:type="dxa"/>
            <w:tcBorders>
              <w:top w:val="single" w:sz="8" w:space="0" w:color="C0C0C0"/>
              <w:left w:val="nil"/>
              <w:bottom w:val="single" w:sz="8" w:space="0" w:color="C0C0C0"/>
              <w:right w:val="single" w:sz="8" w:space="0" w:color="C0C0C0"/>
            </w:tcBorders>
          </w:tcPr>
          <w:p w14:paraId="4F904008" w14:textId="77777777" w:rsidR="00AE3E36" w:rsidRPr="003544F4" w:rsidRDefault="00AE3E36" w:rsidP="00E21F32">
            <w:pPr>
              <w:widowControl/>
              <w:adjustRightInd/>
              <w:rPr>
                <w:rFonts w:eastAsia="Calibri"/>
                <w:sz w:val="24"/>
                <w:szCs w:val="22"/>
              </w:rPr>
            </w:pPr>
            <w:r>
              <w:rPr>
                <w:rFonts w:eastAsia="Calibri"/>
                <w:sz w:val="24"/>
                <w:szCs w:val="22"/>
              </w:rPr>
              <w:t>3,897</w:t>
            </w:r>
          </w:p>
        </w:tc>
      </w:tr>
      <w:tr w:rsidR="000F02FF" w:rsidRPr="003544F4" w14:paraId="17634088" w14:textId="77777777" w:rsidTr="00C475A3">
        <w:tc>
          <w:tcPr>
            <w:tcW w:w="6390" w:type="dxa"/>
            <w:tcBorders>
              <w:top w:val="single" w:sz="8" w:space="0" w:color="C0C0C0"/>
              <w:left w:val="single" w:sz="8" w:space="0" w:color="C0C0C0"/>
              <w:bottom w:val="single" w:sz="8" w:space="0" w:color="C0C0C0"/>
              <w:right w:val="single" w:sz="8" w:space="0" w:color="C0C0C0"/>
            </w:tcBorders>
          </w:tcPr>
          <w:p w14:paraId="3AA2832D" w14:textId="77777777" w:rsidR="000F02FF" w:rsidRDefault="000F02FF" w:rsidP="00E21F32">
            <w:pPr>
              <w:widowControl/>
              <w:adjustRightInd/>
              <w:rPr>
                <w:rFonts w:eastAsia="Calibri"/>
                <w:sz w:val="24"/>
                <w:szCs w:val="22"/>
              </w:rPr>
            </w:pPr>
            <w:r>
              <w:rPr>
                <w:rFonts w:eastAsia="Calibri"/>
                <w:sz w:val="24"/>
                <w:szCs w:val="22"/>
              </w:rPr>
              <w:t># of Medicare-billing hospices, CY 2012 claims</w:t>
            </w:r>
          </w:p>
        </w:tc>
        <w:tc>
          <w:tcPr>
            <w:tcW w:w="3150" w:type="dxa"/>
            <w:tcBorders>
              <w:top w:val="single" w:sz="8" w:space="0" w:color="C0C0C0"/>
              <w:left w:val="nil"/>
              <w:bottom w:val="single" w:sz="8" w:space="0" w:color="C0C0C0"/>
              <w:right w:val="single" w:sz="8" w:space="0" w:color="C0C0C0"/>
            </w:tcBorders>
          </w:tcPr>
          <w:p w14:paraId="078F169D" w14:textId="77777777" w:rsidR="000F02FF" w:rsidRDefault="000F02FF" w:rsidP="00E21F32">
            <w:pPr>
              <w:widowControl/>
              <w:adjustRightInd/>
              <w:rPr>
                <w:rFonts w:eastAsia="Calibri"/>
                <w:sz w:val="24"/>
                <w:szCs w:val="22"/>
              </w:rPr>
            </w:pPr>
            <w:r>
              <w:rPr>
                <w:rFonts w:eastAsia="Calibri"/>
                <w:sz w:val="24"/>
                <w:szCs w:val="22"/>
              </w:rPr>
              <w:t>3,727</w:t>
            </w:r>
          </w:p>
        </w:tc>
      </w:tr>
      <w:tr w:rsidR="00AE3E36" w:rsidRPr="003544F4" w14:paraId="682233DA" w14:textId="77777777" w:rsidTr="00C475A3">
        <w:tc>
          <w:tcPr>
            <w:tcW w:w="6390" w:type="dxa"/>
            <w:tcBorders>
              <w:top w:val="nil"/>
              <w:left w:val="single" w:sz="8" w:space="0" w:color="C0C0C0"/>
              <w:bottom w:val="nil"/>
              <w:right w:val="single" w:sz="8" w:space="0" w:color="C0C0C0"/>
            </w:tcBorders>
          </w:tcPr>
          <w:p w14:paraId="55AF5D6C" w14:textId="77777777" w:rsidR="00AE3E36" w:rsidRPr="00C355AD" w:rsidRDefault="00AE3E36" w:rsidP="00E21F32">
            <w:pPr>
              <w:widowControl/>
              <w:adjustRightInd/>
              <w:rPr>
                <w:rFonts w:eastAsia="Calibri"/>
                <w:sz w:val="24"/>
                <w:szCs w:val="22"/>
              </w:rPr>
            </w:pPr>
            <w:r w:rsidRPr="00C355AD">
              <w:rPr>
                <w:rFonts w:eastAsia="Calibri"/>
                <w:sz w:val="24"/>
                <w:szCs w:val="22"/>
              </w:rPr>
              <w:t xml:space="preserve">Hourly rate of a </w:t>
            </w:r>
            <w:r w:rsidR="000F02FF" w:rsidRPr="00C355AD">
              <w:rPr>
                <w:rFonts w:eastAsia="Calibri"/>
                <w:sz w:val="24"/>
                <w:szCs w:val="22"/>
              </w:rPr>
              <w:t>registered nurse</w:t>
            </w:r>
          </w:p>
        </w:tc>
        <w:tc>
          <w:tcPr>
            <w:tcW w:w="3150" w:type="dxa"/>
            <w:tcBorders>
              <w:top w:val="nil"/>
              <w:left w:val="nil"/>
              <w:bottom w:val="nil"/>
              <w:right w:val="single" w:sz="8" w:space="0" w:color="C0C0C0"/>
            </w:tcBorders>
          </w:tcPr>
          <w:p w14:paraId="439FE508" w14:textId="797E7EB6" w:rsidR="00AE3E36" w:rsidRPr="003544F4" w:rsidRDefault="00C355AD" w:rsidP="00E21F32">
            <w:pPr>
              <w:widowControl/>
              <w:adjustRightInd/>
              <w:rPr>
                <w:rFonts w:eastAsia="Calibri"/>
                <w:sz w:val="24"/>
                <w:szCs w:val="22"/>
              </w:rPr>
            </w:pPr>
            <w:r w:rsidRPr="00C355AD">
              <w:rPr>
                <w:rFonts w:eastAsia="Calibri"/>
                <w:sz w:val="24"/>
                <w:szCs w:val="22"/>
              </w:rPr>
              <w:t>$</w:t>
            </w:r>
            <w:r w:rsidRPr="00C355AD">
              <w:rPr>
                <w:snapToGrid w:val="0"/>
                <w:szCs w:val="20"/>
              </w:rPr>
              <w:t>70.72/hr</w:t>
            </w:r>
          </w:p>
        </w:tc>
      </w:tr>
    </w:tbl>
    <w:p w14:paraId="032C2B22" w14:textId="77777777" w:rsidR="003544F4" w:rsidRDefault="003544F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7F7145" w14:textId="56B00793" w:rsidR="00091FF8" w:rsidRPr="00234584" w:rsidRDefault="00091FF8" w:rsidP="00E21F32">
      <w:pPr>
        <w:rPr>
          <w:sz w:val="24"/>
        </w:rPr>
      </w:pPr>
      <w:r w:rsidRPr="00234584">
        <w:rPr>
          <w:sz w:val="24"/>
        </w:rPr>
        <w:t xml:space="preserve">We estimate </w:t>
      </w:r>
      <w:r w:rsidR="009766EF" w:rsidRPr="00234584">
        <w:rPr>
          <w:rFonts w:eastAsia="Calibri"/>
          <w:sz w:val="24"/>
          <w:szCs w:val="22"/>
        </w:rPr>
        <w:t xml:space="preserve">478,647 </w:t>
      </w:r>
      <w:r w:rsidRPr="00234584">
        <w:rPr>
          <w:sz w:val="24"/>
        </w:rPr>
        <w:t xml:space="preserve">unique prescriptions were paid under the Part D benefit for beneficiaries in hospice elections in CY 2012. </w:t>
      </w:r>
      <w:r w:rsidR="00234584">
        <w:rPr>
          <w:sz w:val="24"/>
        </w:rPr>
        <w:t xml:space="preserve">Of those prescriptions, </w:t>
      </w:r>
      <w:r w:rsidR="009766EF" w:rsidRPr="00234584">
        <w:rPr>
          <w:rFonts w:eastAsia="Calibri"/>
          <w:b/>
          <w:sz w:val="24"/>
          <w:szCs w:val="22"/>
        </w:rPr>
        <w:t>376,487</w:t>
      </w:r>
      <w:r w:rsidR="009766EF" w:rsidRPr="00234584">
        <w:rPr>
          <w:rFonts w:eastAsia="Calibri"/>
          <w:sz w:val="24"/>
          <w:szCs w:val="22"/>
        </w:rPr>
        <w:t xml:space="preserve"> would require prior authorization because they would be for initial fills for drugs in the four categories </w:t>
      </w:r>
      <w:r w:rsidR="00AF1B8D" w:rsidRPr="00234584">
        <w:rPr>
          <w:rFonts w:eastAsia="Calibri"/>
          <w:sz w:val="24"/>
          <w:szCs w:val="22"/>
        </w:rPr>
        <w:t xml:space="preserve">for which prior authorization is suggested. </w:t>
      </w:r>
      <w:r w:rsidR="009766EF" w:rsidRPr="00234584">
        <w:rPr>
          <w:rFonts w:eastAsia="Calibri"/>
          <w:sz w:val="24"/>
          <w:szCs w:val="22"/>
        </w:rPr>
        <w:t xml:space="preserve"> </w:t>
      </w:r>
      <w:r w:rsidRPr="00234584">
        <w:rPr>
          <w:sz w:val="24"/>
        </w:rPr>
        <w:t xml:space="preserve">To identify unique prescriptions, we used the first 9 digits of the 11-digit NDC code on each Part D record (the first 5 digits is the FDA “labeler” code of the drug’s manufacturer and the next 4 digits are the “product” code for the drug, the last 2 digits are the “package” code giving the package form or the size of the package). </w:t>
      </w:r>
    </w:p>
    <w:p w14:paraId="44294D91" w14:textId="77777777" w:rsidR="00091FF8" w:rsidRPr="00C51126" w:rsidRDefault="00091FF8" w:rsidP="00E21F32">
      <w:pPr>
        <w:rPr>
          <w:sz w:val="24"/>
        </w:rPr>
      </w:pPr>
    </w:p>
    <w:p w14:paraId="11AE450A" w14:textId="77777777" w:rsidR="001E40C5" w:rsidRDefault="00091FF8" w:rsidP="00E21F32">
      <w:pPr>
        <w:rPr>
          <w:sz w:val="24"/>
        </w:rPr>
      </w:pPr>
      <w:r>
        <w:rPr>
          <w:sz w:val="24"/>
        </w:rPr>
        <w:t xml:space="preserve">The form would be used only </w:t>
      </w:r>
      <w:r w:rsidR="00895656">
        <w:rPr>
          <w:sz w:val="24"/>
        </w:rPr>
        <w:t xml:space="preserve">after a beneficiary has elected hospice and when </w:t>
      </w:r>
      <w:r>
        <w:rPr>
          <w:sz w:val="24"/>
        </w:rPr>
        <w:t>a drug as prescribed is unrelated to the beneficiary’s terminal illness and related conditions</w:t>
      </w:r>
      <w:r w:rsidR="00895656">
        <w:rPr>
          <w:sz w:val="24"/>
        </w:rPr>
        <w:t xml:space="preserve">.  </w:t>
      </w:r>
      <w:r w:rsidR="00895656" w:rsidRPr="00354D3D">
        <w:rPr>
          <w:sz w:val="24"/>
        </w:rPr>
        <w:t xml:space="preserve">The form may be completed by a hospice nurse or the prescriber when providing written information to the Part D sponsor prior to a claim being submitted, </w:t>
      </w:r>
      <w:r w:rsidR="00694061" w:rsidRPr="00354D3D">
        <w:rPr>
          <w:sz w:val="24"/>
        </w:rPr>
        <w:t xml:space="preserve">after a claim has rejected due to a hospice PA reject, but prior to the submission of a coverage determination request, </w:t>
      </w:r>
      <w:r w:rsidR="00895656" w:rsidRPr="00354D3D">
        <w:rPr>
          <w:sz w:val="24"/>
        </w:rPr>
        <w:t xml:space="preserve">or in response to a coverage determination request.  When this information is provided verbally, the Part D sponsor would complete the form to document the basis for the coverage </w:t>
      </w:r>
      <w:r w:rsidR="00694061" w:rsidRPr="00354D3D">
        <w:rPr>
          <w:sz w:val="24"/>
        </w:rPr>
        <w:t>of the drug under Part D</w:t>
      </w:r>
      <w:r w:rsidR="00895656" w:rsidRPr="00354D3D">
        <w:rPr>
          <w:sz w:val="24"/>
        </w:rPr>
        <w:t>.</w:t>
      </w:r>
    </w:p>
    <w:p w14:paraId="10C47585" w14:textId="77777777" w:rsidR="001E40C5" w:rsidRDefault="001E40C5" w:rsidP="00E21F32">
      <w:pPr>
        <w:rPr>
          <w:sz w:val="24"/>
        </w:rPr>
      </w:pPr>
    </w:p>
    <w:p w14:paraId="7F919AEC" w14:textId="5FB4C425" w:rsidR="00D33A0B" w:rsidRPr="001E40C5" w:rsidRDefault="00D33A0B" w:rsidP="00E21F32">
      <w:pPr>
        <w:rPr>
          <w:sz w:val="24"/>
        </w:rPr>
      </w:pPr>
      <w:r w:rsidRPr="001E40C5">
        <w:rPr>
          <w:sz w:val="24"/>
        </w:rPr>
        <w:t xml:space="preserve">We estimate that two-thirds of the forms </w:t>
      </w:r>
      <w:r w:rsidR="000C6709" w:rsidRPr="001E40C5">
        <w:rPr>
          <w:sz w:val="24"/>
        </w:rPr>
        <w:t>(</w:t>
      </w:r>
      <w:r w:rsidR="001E40C5" w:rsidRPr="001E40C5">
        <w:rPr>
          <w:b/>
          <w:sz w:val="24"/>
        </w:rPr>
        <w:t>248,481 forms</w:t>
      </w:r>
      <w:r w:rsidR="001E40C5">
        <w:rPr>
          <w:sz w:val="24"/>
        </w:rPr>
        <w:t xml:space="preserve"> = </w:t>
      </w:r>
      <w:r w:rsidR="00AF1B8D" w:rsidRPr="001E40C5">
        <w:rPr>
          <w:sz w:val="24"/>
        </w:rPr>
        <w:t>376,487</w:t>
      </w:r>
      <w:r w:rsidR="000C6709" w:rsidRPr="001E40C5">
        <w:rPr>
          <w:sz w:val="24"/>
        </w:rPr>
        <w:t xml:space="preserve"> x 0.666) </w:t>
      </w:r>
      <w:r w:rsidR="00E05129" w:rsidRPr="001E40C5">
        <w:rPr>
          <w:sz w:val="24"/>
        </w:rPr>
        <w:t>would</w:t>
      </w:r>
      <w:r w:rsidRPr="001E40C5">
        <w:rPr>
          <w:sz w:val="24"/>
        </w:rPr>
        <w:t xml:space="preserve"> be completed by a hospice nurse or a nurse in the prescriber’s office </w:t>
      </w:r>
      <w:r w:rsidR="00091FF8" w:rsidRPr="001E40C5">
        <w:rPr>
          <w:sz w:val="24"/>
        </w:rPr>
        <w:t xml:space="preserve">and </w:t>
      </w:r>
      <w:r w:rsidRPr="001E40C5">
        <w:rPr>
          <w:sz w:val="24"/>
        </w:rPr>
        <w:t>the remain</w:t>
      </w:r>
      <w:r w:rsidR="001E40C5">
        <w:rPr>
          <w:sz w:val="24"/>
        </w:rPr>
        <w:t xml:space="preserve">ing </w:t>
      </w:r>
      <w:r w:rsidR="001E40C5" w:rsidRPr="001E40C5">
        <w:rPr>
          <w:b/>
          <w:sz w:val="24"/>
        </w:rPr>
        <w:t>128,006 forms</w:t>
      </w:r>
      <w:r w:rsidR="001E40C5">
        <w:rPr>
          <w:sz w:val="24"/>
        </w:rPr>
        <w:t xml:space="preserve"> </w:t>
      </w:r>
      <w:r w:rsidR="000C6709" w:rsidRPr="001E40C5">
        <w:rPr>
          <w:sz w:val="24"/>
        </w:rPr>
        <w:t>(</w:t>
      </w:r>
      <w:r w:rsidR="00AF1B8D" w:rsidRPr="001E40C5">
        <w:rPr>
          <w:sz w:val="24"/>
        </w:rPr>
        <w:t xml:space="preserve">376,487 </w:t>
      </w:r>
      <w:r w:rsidR="000C6709" w:rsidRPr="001E40C5">
        <w:rPr>
          <w:sz w:val="24"/>
        </w:rPr>
        <w:t xml:space="preserve">– </w:t>
      </w:r>
      <w:r w:rsidR="00AF1B8D" w:rsidRPr="001E40C5">
        <w:rPr>
          <w:sz w:val="24"/>
        </w:rPr>
        <w:t>248,481</w:t>
      </w:r>
      <w:r w:rsidR="000C6709" w:rsidRPr="001E40C5">
        <w:rPr>
          <w:sz w:val="24"/>
        </w:rPr>
        <w:t xml:space="preserve">) </w:t>
      </w:r>
      <w:r w:rsidR="00E05129" w:rsidRPr="001E40C5">
        <w:rPr>
          <w:sz w:val="24"/>
        </w:rPr>
        <w:t>would</w:t>
      </w:r>
      <w:r w:rsidRPr="001E40C5">
        <w:rPr>
          <w:sz w:val="24"/>
        </w:rPr>
        <w:t xml:space="preserve"> be completed by </w:t>
      </w:r>
      <w:r w:rsidR="000C6709" w:rsidRPr="001E40C5">
        <w:rPr>
          <w:sz w:val="24"/>
        </w:rPr>
        <w:t>the</w:t>
      </w:r>
      <w:r w:rsidRPr="001E40C5">
        <w:rPr>
          <w:sz w:val="24"/>
        </w:rPr>
        <w:t xml:space="preserve"> Part D sponsor</w:t>
      </w:r>
      <w:r w:rsidR="000C6709" w:rsidRPr="001E40C5">
        <w:rPr>
          <w:sz w:val="24"/>
        </w:rPr>
        <w:t>’s</w:t>
      </w:r>
      <w:r w:rsidRPr="001E40C5">
        <w:rPr>
          <w:sz w:val="24"/>
        </w:rPr>
        <w:t xml:space="preserve"> pharmacy technician.</w:t>
      </w:r>
    </w:p>
    <w:p w14:paraId="0FF15B7B" w14:textId="77777777" w:rsidR="00D33A0B" w:rsidRPr="001E40C5" w:rsidRDefault="00D33A0B" w:rsidP="00E21F32">
      <w:pPr>
        <w:rPr>
          <w:sz w:val="24"/>
        </w:rPr>
      </w:pPr>
    </w:p>
    <w:p w14:paraId="394F2805" w14:textId="0BE673AB" w:rsidR="00A23766" w:rsidRPr="001E40C5" w:rsidRDefault="00091FF8" w:rsidP="00E21F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E40C5">
        <w:rPr>
          <w:sz w:val="24"/>
        </w:rPr>
        <w:t xml:space="preserve">We </w:t>
      </w:r>
      <w:r w:rsidR="002B2594">
        <w:rPr>
          <w:sz w:val="24"/>
        </w:rPr>
        <w:t xml:space="preserve">further </w:t>
      </w:r>
      <w:r w:rsidRPr="001E40C5">
        <w:rPr>
          <w:sz w:val="24"/>
        </w:rPr>
        <w:t xml:space="preserve">estimate </w:t>
      </w:r>
      <w:r w:rsidR="002B2594">
        <w:rPr>
          <w:sz w:val="24"/>
        </w:rPr>
        <w:t xml:space="preserve">that </w:t>
      </w:r>
      <w:r w:rsidRPr="001E40C5">
        <w:rPr>
          <w:sz w:val="24"/>
        </w:rPr>
        <w:t>the</w:t>
      </w:r>
      <w:r w:rsidR="006951A2" w:rsidRPr="001E40C5">
        <w:rPr>
          <w:sz w:val="24"/>
        </w:rPr>
        <w:t xml:space="preserve"> hospice or prescriber </w:t>
      </w:r>
      <w:r w:rsidRPr="001E40C5">
        <w:rPr>
          <w:sz w:val="24"/>
        </w:rPr>
        <w:t xml:space="preserve">nurse would </w:t>
      </w:r>
      <w:r w:rsidR="00D33A0B" w:rsidRPr="001E40C5">
        <w:rPr>
          <w:sz w:val="24"/>
        </w:rPr>
        <w:t>require</w:t>
      </w:r>
      <w:r w:rsidRPr="001E40C5">
        <w:rPr>
          <w:sz w:val="24"/>
        </w:rPr>
        <w:t xml:space="preserve"> 5 minutes per prescription</w:t>
      </w:r>
      <w:r w:rsidR="00D33A0B" w:rsidRPr="001E40C5">
        <w:rPr>
          <w:sz w:val="24"/>
        </w:rPr>
        <w:t xml:space="preserve"> to complete the form</w:t>
      </w:r>
      <w:r w:rsidRPr="001E40C5">
        <w:rPr>
          <w:sz w:val="24"/>
        </w:rPr>
        <w:t xml:space="preserve">. </w:t>
      </w:r>
      <w:r w:rsidR="002B2594">
        <w:rPr>
          <w:sz w:val="24"/>
        </w:rPr>
        <w:t xml:space="preserve">For </w:t>
      </w:r>
      <w:r w:rsidR="002B2594" w:rsidRPr="001E40C5">
        <w:rPr>
          <w:sz w:val="24"/>
        </w:rPr>
        <w:t>hospices and prescribers</w:t>
      </w:r>
      <w:r w:rsidR="002B2594">
        <w:rPr>
          <w:sz w:val="24"/>
        </w:rPr>
        <w:t xml:space="preserve"> we estimate a total burden of </w:t>
      </w:r>
      <w:r w:rsidR="002B2594" w:rsidRPr="009033D3">
        <w:rPr>
          <w:b/>
          <w:sz w:val="24"/>
        </w:rPr>
        <w:t>20,707</w:t>
      </w:r>
      <w:r w:rsidR="001E40C5" w:rsidRPr="009033D3">
        <w:rPr>
          <w:b/>
          <w:sz w:val="24"/>
        </w:rPr>
        <w:t xml:space="preserve"> hours</w:t>
      </w:r>
      <w:r w:rsidR="001E40C5" w:rsidRPr="001E40C5">
        <w:rPr>
          <w:sz w:val="24"/>
        </w:rPr>
        <w:t xml:space="preserve"> </w:t>
      </w:r>
      <w:r w:rsidR="00800AF2" w:rsidRPr="001E40C5">
        <w:rPr>
          <w:sz w:val="24"/>
        </w:rPr>
        <w:t>(</w:t>
      </w:r>
      <w:r w:rsidR="001E40C5" w:rsidRPr="001E40C5">
        <w:rPr>
          <w:sz w:val="24"/>
        </w:rPr>
        <w:t>248,481 forms</w:t>
      </w:r>
      <w:r w:rsidR="008C574E" w:rsidRPr="001E40C5">
        <w:rPr>
          <w:sz w:val="24"/>
        </w:rPr>
        <w:t xml:space="preserve"> </w:t>
      </w:r>
      <w:r w:rsidR="006951A2" w:rsidRPr="001E40C5">
        <w:rPr>
          <w:sz w:val="24"/>
        </w:rPr>
        <w:t>x 5 min/60</w:t>
      </w:r>
      <w:r w:rsidRPr="001E40C5">
        <w:rPr>
          <w:sz w:val="24"/>
        </w:rPr>
        <w:t>)</w:t>
      </w:r>
      <w:r w:rsidR="00074791">
        <w:rPr>
          <w:sz w:val="24"/>
        </w:rPr>
        <w:t xml:space="preserve"> at a cost of </w:t>
      </w:r>
      <w:r w:rsidR="00074791" w:rsidRPr="009033D3">
        <w:rPr>
          <w:b/>
          <w:sz w:val="24"/>
        </w:rPr>
        <w:t>$1,464,399</w:t>
      </w:r>
      <w:r w:rsidR="00074791">
        <w:rPr>
          <w:sz w:val="24"/>
        </w:rPr>
        <w:t xml:space="preserve"> (20,707 hr x </w:t>
      </w:r>
      <w:r w:rsidR="00074791" w:rsidRPr="00074791">
        <w:rPr>
          <w:sz w:val="24"/>
        </w:rPr>
        <w:t>$70.72/hr</w:t>
      </w:r>
      <w:r w:rsidR="00074791">
        <w:rPr>
          <w:sz w:val="24"/>
        </w:rPr>
        <w:t>)</w:t>
      </w:r>
      <w:r w:rsidR="001E40C5">
        <w:rPr>
          <w:sz w:val="24"/>
        </w:rPr>
        <w:t>.</w:t>
      </w:r>
    </w:p>
    <w:p w14:paraId="2CBF1358" w14:textId="77777777" w:rsidR="00A23766" w:rsidRPr="00DA6C9E" w:rsidRDefault="00A23766" w:rsidP="00E21F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5E8B160" w14:textId="37BC3B7E" w:rsidR="00A23766" w:rsidRPr="00DA6C9E" w:rsidRDefault="006951A2" w:rsidP="00E21F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6C9E">
        <w:rPr>
          <w:sz w:val="24"/>
        </w:rPr>
        <w:t xml:space="preserve">We </w:t>
      </w:r>
      <w:r w:rsidR="00DA6C9E" w:rsidRPr="00DA6C9E">
        <w:rPr>
          <w:sz w:val="24"/>
        </w:rPr>
        <w:t xml:space="preserve">also </w:t>
      </w:r>
      <w:r w:rsidRPr="00DA6C9E">
        <w:rPr>
          <w:sz w:val="24"/>
        </w:rPr>
        <w:t xml:space="preserve">estimate </w:t>
      </w:r>
      <w:r w:rsidR="00DA6C9E" w:rsidRPr="00DA6C9E">
        <w:rPr>
          <w:sz w:val="24"/>
        </w:rPr>
        <w:t xml:space="preserve">that </w:t>
      </w:r>
      <w:r w:rsidRPr="00DA6C9E">
        <w:rPr>
          <w:sz w:val="24"/>
        </w:rPr>
        <w:t>the pharmacy technician</w:t>
      </w:r>
      <w:r w:rsidR="00FE2156" w:rsidRPr="00DA6C9E">
        <w:rPr>
          <w:sz w:val="24"/>
        </w:rPr>
        <w:t>s</w:t>
      </w:r>
      <w:r w:rsidRPr="00DA6C9E">
        <w:rPr>
          <w:sz w:val="24"/>
        </w:rPr>
        <w:t xml:space="preserve"> who staff e</w:t>
      </w:r>
      <w:r w:rsidR="00C90219" w:rsidRPr="00DA6C9E">
        <w:rPr>
          <w:sz w:val="24"/>
        </w:rPr>
        <w:t xml:space="preserve">ach </w:t>
      </w:r>
      <w:r w:rsidR="00800AF2" w:rsidRPr="00DA6C9E">
        <w:rPr>
          <w:sz w:val="24"/>
        </w:rPr>
        <w:t xml:space="preserve">Part D </w:t>
      </w:r>
      <w:r w:rsidR="00C90219" w:rsidRPr="00DA6C9E">
        <w:rPr>
          <w:sz w:val="24"/>
        </w:rPr>
        <w:t>sponsor</w:t>
      </w:r>
      <w:r w:rsidRPr="00DA6C9E">
        <w:rPr>
          <w:sz w:val="24"/>
        </w:rPr>
        <w:t>’s</w:t>
      </w:r>
      <w:r w:rsidR="00C90219" w:rsidRPr="00DA6C9E">
        <w:rPr>
          <w:sz w:val="24"/>
        </w:rPr>
        <w:t xml:space="preserve"> pharmacy help desk to coordinate with hospice providers in satisfying the sponsor’s PA</w:t>
      </w:r>
      <w:r w:rsidR="00FC47DB" w:rsidRPr="00DA6C9E">
        <w:rPr>
          <w:sz w:val="24"/>
        </w:rPr>
        <w:t xml:space="preserve"> </w:t>
      </w:r>
      <w:r w:rsidR="00C90219" w:rsidRPr="00DA6C9E">
        <w:rPr>
          <w:sz w:val="24"/>
        </w:rPr>
        <w:t xml:space="preserve">requirements </w:t>
      </w:r>
      <w:r w:rsidRPr="00DA6C9E">
        <w:rPr>
          <w:sz w:val="24"/>
        </w:rPr>
        <w:t>would</w:t>
      </w:r>
      <w:r w:rsidR="000C6709" w:rsidRPr="00DA6C9E">
        <w:rPr>
          <w:sz w:val="24"/>
        </w:rPr>
        <w:t xml:space="preserve"> require 5 minutes per prescription to complete the</w:t>
      </w:r>
      <w:r w:rsidR="00FE2156" w:rsidRPr="00DA6C9E">
        <w:rPr>
          <w:sz w:val="24"/>
        </w:rPr>
        <w:t xml:space="preserve"> remaining third of the</w:t>
      </w:r>
      <w:r w:rsidR="000C6709" w:rsidRPr="00DA6C9E">
        <w:rPr>
          <w:sz w:val="24"/>
        </w:rPr>
        <w:t xml:space="preserve"> form</w:t>
      </w:r>
      <w:r w:rsidR="00FE2156" w:rsidRPr="00DA6C9E">
        <w:rPr>
          <w:sz w:val="24"/>
        </w:rPr>
        <w:t>s</w:t>
      </w:r>
      <w:r w:rsidR="000C6709" w:rsidRPr="00DA6C9E">
        <w:rPr>
          <w:sz w:val="24"/>
        </w:rPr>
        <w:t>.</w:t>
      </w:r>
      <w:r w:rsidR="00C90219" w:rsidRPr="00DA6C9E">
        <w:rPr>
          <w:sz w:val="24"/>
        </w:rPr>
        <w:t xml:space="preserve">  </w:t>
      </w:r>
      <w:r w:rsidR="00FC47DB" w:rsidRPr="00DA6C9E">
        <w:rPr>
          <w:sz w:val="24"/>
        </w:rPr>
        <w:t xml:space="preserve">This means that </w:t>
      </w:r>
      <w:r w:rsidR="00561CAD" w:rsidRPr="00DA6C9E">
        <w:rPr>
          <w:sz w:val="24"/>
        </w:rPr>
        <w:t xml:space="preserve">the pharmacy technician </w:t>
      </w:r>
      <w:r w:rsidR="00E30CBE" w:rsidRPr="00DA6C9E">
        <w:rPr>
          <w:sz w:val="24"/>
        </w:rPr>
        <w:t xml:space="preserve">would </w:t>
      </w:r>
      <w:r w:rsidR="00561CAD" w:rsidRPr="00DA6C9E">
        <w:rPr>
          <w:sz w:val="24"/>
        </w:rPr>
        <w:t xml:space="preserve">receive the information verbally from the hospice or prescriber for </w:t>
      </w:r>
      <w:r w:rsidR="00CC3F02">
        <w:rPr>
          <w:sz w:val="24"/>
        </w:rPr>
        <w:t>128,006</w:t>
      </w:r>
      <w:r w:rsidR="00561CAD" w:rsidRPr="00DA6C9E">
        <w:rPr>
          <w:sz w:val="24"/>
        </w:rPr>
        <w:t xml:space="preserve"> </w:t>
      </w:r>
      <w:r w:rsidR="00CC3F02">
        <w:rPr>
          <w:sz w:val="24"/>
        </w:rPr>
        <w:t>forms</w:t>
      </w:r>
      <w:r w:rsidR="00561CAD" w:rsidRPr="00DA6C9E">
        <w:rPr>
          <w:sz w:val="24"/>
        </w:rPr>
        <w:t xml:space="preserve">.  The total time for form completion by the sponsors’ pharmacy technicians is estimated to be </w:t>
      </w:r>
      <w:r w:rsidR="00CC3221" w:rsidRPr="00806440">
        <w:rPr>
          <w:b/>
          <w:sz w:val="24"/>
        </w:rPr>
        <w:t>10,667</w:t>
      </w:r>
      <w:r w:rsidR="00CC3F02" w:rsidRPr="00806440">
        <w:rPr>
          <w:b/>
          <w:sz w:val="24"/>
        </w:rPr>
        <w:t xml:space="preserve"> hours</w:t>
      </w:r>
      <w:r w:rsidR="00CC3F02">
        <w:rPr>
          <w:sz w:val="24"/>
        </w:rPr>
        <w:t xml:space="preserve"> </w:t>
      </w:r>
      <w:r w:rsidR="00561CAD" w:rsidRPr="00DA6C9E">
        <w:rPr>
          <w:sz w:val="24"/>
        </w:rPr>
        <w:t>(</w:t>
      </w:r>
      <w:r w:rsidR="00CC3F02">
        <w:rPr>
          <w:sz w:val="24"/>
        </w:rPr>
        <w:t>128,006</w:t>
      </w:r>
      <w:r w:rsidR="00CC3F02" w:rsidRPr="00DA6C9E">
        <w:rPr>
          <w:sz w:val="24"/>
        </w:rPr>
        <w:t xml:space="preserve"> </w:t>
      </w:r>
      <w:r w:rsidR="00CC3F02">
        <w:rPr>
          <w:sz w:val="24"/>
        </w:rPr>
        <w:t>forms</w:t>
      </w:r>
      <w:r w:rsidR="00CC3F02" w:rsidRPr="00DA6C9E">
        <w:rPr>
          <w:sz w:val="24"/>
        </w:rPr>
        <w:t xml:space="preserve"> </w:t>
      </w:r>
      <w:r w:rsidR="00561CAD" w:rsidRPr="00DA6C9E">
        <w:rPr>
          <w:sz w:val="24"/>
        </w:rPr>
        <w:t xml:space="preserve">x 5 min/60) </w:t>
      </w:r>
      <w:r w:rsidR="00CC3F02">
        <w:rPr>
          <w:sz w:val="24"/>
        </w:rPr>
        <w:t xml:space="preserve">at a cost of </w:t>
      </w:r>
      <w:r w:rsidR="00806440" w:rsidRPr="00CB2D94">
        <w:rPr>
          <w:b/>
          <w:sz w:val="24"/>
        </w:rPr>
        <w:t>$</w:t>
      </w:r>
      <w:r w:rsidR="00CC3221" w:rsidRPr="001A6ED9">
        <w:rPr>
          <w:b/>
          <w:sz w:val="24"/>
        </w:rPr>
        <w:t>339,211</w:t>
      </w:r>
      <w:r w:rsidR="00F22409">
        <w:rPr>
          <w:sz w:val="24"/>
        </w:rPr>
        <w:t xml:space="preserve"> </w:t>
      </w:r>
      <w:r w:rsidR="00806440" w:rsidRPr="00806440">
        <w:rPr>
          <w:sz w:val="24"/>
        </w:rPr>
        <w:t xml:space="preserve">(10,667 </w:t>
      </w:r>
      <w:r w:rsidR="00F22409">
        <w:rPr>
          <w:sz w:val="24"/>
        </w:rPr>
        <w:t>hr x $31.80/hr)</w:t>
      </w:r>
      <w:r w:rsidR="00CC3F02">
        <w:rPr>
          <w:sz w:val="24"/>
        </w:rPr>
        <w:t>.</w:t>
      </w:r>
    </w:p>
    <w:p w14:paraId="2AE99268" w14:textId="77777777" w:rsidR="00A23766" w:rsidRPr="00CB2D94" w:rsidRDefault="00A23766" w:rsidP="00E21F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BD3BB2" w14:textId="059FB7DB" w:rsidR="003861F5" w:rsidRPr="00CB2D94" w:rsidRDefault="00DA6C9E" w:rsidP="00E21F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2D94">
        <w:rPr>
          <w:sz w:val="24"/>
        </w:rPr>
        <w:t>In aggregate we e</w:t>
      </w:r>
      <w:r w:rsidR="00CB2D94">
        <w:rPr>
          <w:sz w:val="24"/>
        </w:rPr>
        <w:t xml:space="preserve">stimate an annual burden of </w:t>
      </w:r>
      <w:r w:rsidR="00CB2D94" w:rsidRPr="003A3A9B">
        <w:rPr>
          <w:b/>
          <w:sz w:val="24"/>
        </w:rPr>
        <w:t>31,374</w:t>
      </w:r>
      <w:r w:rsidRPr="003A3A9B">
        <w:rPr>
          <w:b/>
          <w:sz w:val="24"/>
        </w:rPr>
        <w:t xml:space="preserve"> hours</w:t>
      </w:r>
      <w:r w:rsidRPr="00CB2D94">
        <w:rPr>
          <w:sz w:val="24"/>
        </w:rPr>
        <w:t xml:space="preserve"> </w:t>
      </w:r>
      <w:r w:rsidR="00CB2D94" w:rsidRPr="00CB2D94">
        <w:rPr>
          <w:sz w:val="24"/>
        </w:rPr>
        <w:t xml:space="preserve">(20,707 hr + 10,667 hr) at a cost of </w:t>
      </w:r>
      <w:r w:rsidR="00CB2D94" w:rsidRPr="00CB2D94">
        <w:rPr>
          <w:b/>
          <w:sz w:val="24"/>
        </w:rPr>
        <w:t>$1,803,610</w:t>
      </w:r>
      <w:r w:rsidR="00CB2D94" w:rsidRPr="00CB2D94">
        <w:rPr>
          <w:sz w:val="24"/>
        </w:rPr>
        <w:t xml:space="preserve"> ($1,464,399 + $339,211)</w:t>
      </w:r>
      <w:r w:rsidR="00A6475E" w:rsidRPr="00CB2D94">
        <w:rPr>
          <w:sz w:val="24"/>
        </w:rPr>
        <w:t>.</w:t>
      </w:r>
    </w:p>
    <w:p w14:paraId="5AA7F4E7" w14:textId="77777777" w:rsidR="003F3196" w:rsidRPr="00CB2D94" w:rsidRDefault="003F3196" w:rsidP="00E21F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6B2891"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2D94">
        <w:rPr>
          <w:sz w:val="24"/>
        </w:rPr>
        <w:t>13.</w:t>
      </w:r>
      <w:r w:rsidRPr="00CB2D94">
        <w:rPr>
          <w:sz w:val="24"/>
        </w:rPr>
        <w:tab/>
      </w:r>
      <w:r>
        <w:rPr>
          <w:sz w:val="24"/>
          <w:u w:val="single"/>
        </w:rPr>
        <w:t>Capital Costs</w:t>
      </w:r>
    </w:p>
    <w:p w14:paraId="42003D09"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324D93" w14:textId="77777777" w:rsidR="000F5D73" w:rsidRPr="000F5D73" w:rsidRDefault="000F5D73" w:rsidP="00E21F32">
      <w:pPr>
        <w:rPr>
          <w:sz w:val="24"/>
        </w:rPr>
      </w:pPr>
      <w:r w:rsidRPr="000F5D73">
        <w:rPr>
          <w:sz w:val="24"/>
        </w:rPr>
        <w:t>There are no capital costs associated with the standardized format.</w:t>
      </w:r>
    </w:p>
    <w:p w14:paraId="0AD6C8F0" w14:textId="77777777" w:rsidR="000F5D73" w:rsidRDefault="000F5D73"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E74C11"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14.</w:t>
      </w:r>
      <w:r>
        <w:rPr>
          <w:sz w:val="24"/>
        </w:rPr>
        <w:tab/>
      </w:r>
      <w:r>
        <w:rPr>
          <w:sz w:val="24"/>
          <w:u w:val="single"/>
        </w:rPr>
        <w:t>Cost to Federal Government</w:t>
      </w:r>
    </w:p>
    <w:p w14:paraId="005E20D1"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1D901F" w14:textId="0577D5A3" w:rsidR="000F5D73" w:rsidRPr="000F5D73" w:rsidRDefault="004644E5" w:rsidP="00E21F3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0F5D73" w:rsidRPr="000F5D73">
        <w:rPr>
          <w:sz w:val="24"/>
        </w:rPr>
        <w:t>here are no additional costs to the Federal Government associated with use of the standardized format. CMS will not collect the</w:t>
      </w:r>
      <w:r w:rsidR="000F5D73">
        <w:rPr>
          <w:sz w:val="24"/>
        </w:rPr>
        <w:t xml:space="preserve"> completed forms.</w:t>
      </w:r>
    </w:p>
    <w:p w14:paraId="272ED6D2"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F40B2F"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15.</w:t>
      </w:r>
      <w:r>
        <w:rPr>
          <w:sz w:val="24"/>
        </w:rPr>
        <w:tab/>
      </w:r>
      <w:r>
        <w:rPr>
          <w:sz w:val="24"/>
          <w:u w:val="single"/>
        </w:rPr>
        <w:t>Changes to Burden</w:t>
      </w:r>
    </w:p>
    <w:p w14:paraId="0F5DDC33"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4D4DA3" w14:textId="4989F1AD" w:rsidR="00E21F32" w:rsidRPr="007D00F6" w:rsidRDefault="00E21F32"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With regard to the form, we are revising only the beneficiary’s Medicare Identifier number to accommodate the change from the Health Insurance Claim Number (HICN) which is based on the Social Security Number (SSN), to the Medicare Beneficiary Identifier (MBI).  This is being done to a statutory mandate to remove the social security number derivative from the beneficiary’s card.  </w:t>
      </w:r>
    </w:p>
    <w:p w14:paraId="0745D01B" w14:textId="77777777" w:rsidR="00E21F32" w:rsidRDefault="00E21F32"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7FFDCD" w14:textId="3B677010" w:rsidR="00386564" w:rsidRPr="00386564" w:rsidRDefault="0038656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86564">
        <w:rPr>
          <w:sz w:val="24"/>
        </w:rPr>
        <w:t xml:space="preserve">Our burden estimates remain unchanged with the exception of adjusting costs based on </w:t>
      </w:r>
      <w:r>
        <w:rPr>
          <w:sz w:val="24"/>
        </w:rPr>
        <w:t xml:space="preserve">the most </w:t>
      </w:r>
      <w:r w:rsidRPr="00386564">
        <w:rPr>
          <w:sz w:val="24"/>
        </w:rPr>
        <w:t>recent BLS wage information.</w:t>
      </w:r>
    </w:p>
    <w:p w14:paraId="68DE78BF" w14:textId="77777777" w:rsidR="00386564" w:rsidRPr="00386564" w:rsidRDefault="0038656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B3B3A48"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16.</w:t>
      </w:r>
      <w:r>
        <w:rPr>
          <w:sz w:val="24"/>
        </w:rPr>
        <w:tab/>
      </w:r>
      <w:r>
        <w:rPr>
          <w:sz w:val="24"/>
          <w:u w:val="single"/>
        </w:rPr>
        <w:t>Publication/Tabulation Dates</w:t>
      </w:r>
    </w:p>
    <w:p w14:paraId="2A37DFCF"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91C138" w14:textId="408E013D" w:rsidR="008F1EB4" w:rsidRDefault="0038656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 applicable.</w:t>
      </w:r>
    </w:p>
    <w:p w14:paraId="3EAE63F3"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33D3C9D"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17.</w:t>
      </w:r>
      <w:r>
        <w:rPr>
          <w:sz w:val="24"/>
        </w:rPr>
        <w:tab/>
      </w:r>
      <w:r>
        <w:rPr>
          <w:sz w:val="24"/>
          <w:u w:val="single"/>
        </w:rPr>
        <w:t>Expiration Date</w:t>
      </w:r>
    </w:p>
    <w:p w14:paraId="1F4B3CFC" w14:textId="77777777" w:rsidR="000F3AF4" w:rsidRDefault="000F3AF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6F633E"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w:t>
      </w:r>
      <w:r w:rsidR="00AA3034">
        <w:rPr>
          <w:sz w:val="24"/>
        </w:rPr>
        <w:t xml:space="preserve">e </w:t>
      </w:r>
      <w:r>
        <w:rPr>
          <w:sz w:val="24"/>
        </w:rPr>
        <w:t>expiration date</w:t>
      </w:r>
      <w:r w:rsidR="00AA3034">
        <w:rPr>
          <w:sz w:val="24"/>
        </w:rPr>
        <w:t xml:space="preserve"> is displayed within the PRA Disclosure Statement</w:t>
      </w:r>
    </w:p>
    <w:p w14:paraId="603F173D" w14:textId="77777777" w:rsidR="00AA3034" w:rsidRDefault="00AA303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6B7791"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18.</w:t>
      </w:r>
      <w:r>
        <w:rPr>
          <w:sz w:val="24"/>
        </w:rPr>
        <w:tab/>
      </w:r>
      <w:r>
        <w:rPr>
          <w:sz w:val="24"/>
          <w:u w:val="single"/>
        </w:rPr>
        <w:t>Certification Statement</w:t>
      </w:r>
    </w:p>
    <w:p w14:paraId="08D6F1E9" w14:textId="77777777" w:rsidR="008F1EB4" w:rsidRDefault="008F1EB4"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0B316A" w14:textId="77777777" w:rsidR="000F3AF4" w:rsidRDefault="001A15B6"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w:t>
      </w:r>
      <w:r w:rsidR="000F5D73" w:rsidRPr="000F5D73">
        <w:rPr>
          <w:sz w:val="24"/>
        </w:rPr>
        <w:t xml:space="preserve">o </w:t>
      </w:r>
      <w:r>
        <w:rPr>
          <w:sz w:val="24"/>
        </w:rPr>
        <w:t>deviations</w:t>
      </w:r>
      <w:r w:rsidR="000F5D73" w:rsidRPr="000F5D73">
        <w:rPr>
          <w:sz w:val="24"/>
        </w:rPr>
        <w:t>.</w:t>
      </w:r>
    </w:p>
    <w:p w14:paraId="7D738B11" w14:textId="77777777" w:rsidR="000F5D73" w:rsidRDefault="000F5D73"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AB0A07" w14:textId="77777777" w:rsidR="000F5D73" w:rsidRPr="001A15B6" w:rsidRDefault="001A15B6"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A15B6">
        <w:rPr>
          <w:b/>
          <w:bCs/>
          <w:sz w:val="24"/>
        </w:rPr>
        <w:t>B</w:t>
      </w:r>
      <w:r w:rsidR="000F5D73" w:rsidRPr="001A15B6">
        <w:rPr>
          <w:b/>
          <w:bCs/>
          <w:sz w:val="24"/>
        </w:rPr>
        <w:t>.</w:t>
      </w:r>
      <w:r w:rsidR="000F5D73" w:rsidRPr="001A15B6">
        <w:rPr>
          <w:b/>
          <w:bCs/>
          <w:sz w:val="24"/>
        </w:rPr>
        <w:tab/>
        <w:t>Collections of Information Employing Statistical Methods</w:t>
      </w:r>
      <w:r w:rsidR="000F5D73" w:rsidRPr="001A15B6">
        <w:rPr>
          <w:sz w:val="24"/>
        </w:rPr>
        <w:tab/>
      </w:r>
    </w:p>
    <w:p w14:paraId="40AC9C50" w14:textId="77777777" w:rsidR="003861F5" w:rsidRDefault="003861F5" w:rsidP="00E21F3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F586E0" w14:textId="04F4E516" w:rsidR="000F5D73" w:rsidRPr="000F5D73" w:rsidRDefault="000F5D73" w:rsidP="00E21F3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F5D73">
        <w:rPr>
          <w:sz w:val="24"/>
        </w:rPr>
        <w:t>Th</w:t>
      </w:r>
      <w:r w:rsidR="00A864C6">
        <w:rPr>
          <w:sz w:val="24"/>
        </w:rPr>
        <w:t xml:space="preserve">is </w:t>
      </w:r>
      <w:r w:rsidRPr="000F5D73">
        <w:rPr>
          <w:sz w:val="24"/>
        </w:rPr>
        <w:t xml:space="preserve">form is neither a survey nor questionnaire for statistical analysis.  Rather, </w:t>
      </w:r>
      <w:r w:rsidR="00A864C6">
        <w:rPr>
          <w:sz w:val="24"/>
        </w:rPr>
        <w:t xml:space="preserve">the form </w:t>
      </w:r>
      <w:r w:rsidR="00CB3CDF">
        <w:rPr>
          <w:sz w:val="24"/>
        </w:rPr>
        <w:t>can be</w:t>
      </w:r>
      <w:r w:rsidR="00A864C6">
        <w:rPr>
          <w:sz w:val="24"/>
        </w:rPr>
        <w:t xml:space="preserve"> </w:t>
      </w:r>
      <w:r w:rsidRPr="000F5D73">
        <w:rPr>
          <w:sz w:val="24"/>
        </w:rPr>
        <w:t>used by Part D sponsors to co</w:t>
      </w:r>
      <w:r w:rsidR="00A864C6">
        <w:rPr>
          <w:sz w:val="24"/>
        </w:rPr>
        <w:t xml:space="preserve">llect </w:t>
      </w:r>
      <w:r w:rsidRPr="000F5D73">
        <w:rPr>
          <w:sz w:val="24"/>
        </w:rPr>
        <w:t xml:space="preserve">beneficiary-specific </w:t>
      </w:r>
      <w:r w:rsidR="00A864C6">
        <w:rPr>
          <w:sz w:val="24"/>
        </w:rPr>
        <w:t>drug information so that a determination can be made as to whether the drugs are eligible for coverage under Part D.</w:t>
      </w:r>
      <w:r w:rsidRPr="000F5D73">
        <w:rPr>
          <w:sz w:val="24"/>
        </w:rPr>
        <w:t xml:space="preserve"> </w:t>
      </w:r>
    </w:p>
    <w:p w14:paraId="3E4402BC" w14:textId="77777777" w:rsidR="000F5D73" w:rsidRPr="00A864C6" w:rsidRDefault="000F5D73" w:rsidP="00E21F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sectPr w:rsidR="000F5D73" w:rsidRPr="00A864C6" w:rsidSect="00967E8A">
      <w:footerReference w:type="default" r:id="rId10"/>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7303D" w14:textId="77777777" w:rsidR="007A406B" w:rsidRDefault="007A406B">
      <w:r>
        <w:separator/>
      </w:r>
    </w:p>
  </w:endnote>
  <w:endnote w:type="continuationSeparator" w:id="0">
    <w:p w14:paraId="6E7A1874" w14:textId="77777777" w:rsidR="007A406B" w:rsidRDefault="007A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95CE4" w14:textId="77777777" w:rsidR="008F1EB4" w:rsidRDefault="008F1EB4">
    <w:pPr>
      <w:spacing w:line="240" w:lineRule="exact"/>
    </w:pPr>
  </w:p>
  <w:p w14:paraId="08FD5EB0" w14:textId="77777777"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86564">
      <w:rPr>
        <w:noProof/>
        <w:sz w:val="24"/>
      </w:rPr>
      <w:t>6</w:t>
    </w:r>
    <w:r>
      <w:rPr>
        <w:sz w:val="24"/>
      </w:rPr>
      <w:fldChar w:fldCharType="end"/>
    </w:r>
  </w:p>
  <w:p w14:paraId="7B2640D4" w14:textId="77777777"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38357" w14:textId="77777777" w:rsidR="007A406B" w:rsidRDefault="007A406B">
      <w:r>
        <w:separator/>
      </w:r>
    </w:p>
  </w:footnote>
  <w:footnote w:type="continuationSeparator" w:id="0">
    <w:p w14:paraId="007BB292" w14:textId="77777777" w:rsidR="007A406B" w:rsidRDefault="007A4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D2C1A"/>
    <w:multiLevelType w:val="hybridMultilevel"/>
    <w:tmpl w:val="887678C6"/>
    <w:lvl w:ilvl="0" w:tplc="04090001">
      <w:start w:val="1"/>
      <w:numFmt w:val="bullet"/>
      <w:lvlText w:val=""/>
      <w:lvlJc w:val="left"/>
      <w:pPr>
        <w:ind w:left="2088"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20BC7"/>
    <w:rsid w:val="00031C67"/>
    <w:rsid w:val="000460B1"/>
    <w:rsid w:val="00057970"/>
    <w:rsid w:val="00074791"/>
    <w:rsid w:val="00091FF8"/>
    <w:rsid w:val="000920C6"/>
    <w:rsid w:val="000C6550"/>
    <w:rsid w:val="000C6709"/>
    <w:rsid w:val="000F02FF"/>
    <w:rsid w:val="000F3AF4"/>
    <w:rsid w:val="000F5D73"/>
    <w:rsid w:val="00103613"/>
    <w:rsid w:val="00137A29"/>
    <w:rsid w:val="001431B2"/>
    <w:rsid w:val="00143E4B"/>
    <w:rsid w:val="001A15B6"/>
    <w:rsid w:val="001A22D5"/>
    <w:rsid w:val="001A6ED9"/>
    <w:rsid w:val="001E40C5"/>
    <w:rsid w:val="001E45F5"/>
    <w:rsid w:val="0020485B"/>
    <w:rsid w:val="00213C30"/>
    <w:rsid w:val="00216154"/>
    <w:rsid w:val="00234584"/>
    <w:rsid w:val="00252B3F"/>
    <w:rsid w:val="00253ABC"/>
    <w:rsid w:val="00274148"/>
    <w:rsid w:val="00282A13"/>
    <w:rsid w:val="002B2594"/>
    <w:rsid w:val="002B7E84"/>
    <w:rsid w:val="002D085D"/>
    <w:rsid w:val="002E1ED5"/>
    <w:rsid w:val="0030151C"/>
    <w:rsid w:val="00303987"/>
    <w:rsid w:val="003049A9"/>
    <w:rsid w:val="00306FFA"/>
    <w:rsid w:val="00330D5D"/>
    <w:rsid w:val="003544F4"/>
    <w:rsid w:val="00354D3D"/>
    <w:rsid w:val="00365DBB"/>
    <w:rsid w:val="0037384A"/>
    <w:rsid w:val="00381CA0"/>
    <w:rsid w:val="003861F5"/>
    <w:rsid w:val="00386564"/>
    <w:rsid w:val="00392791"/>
    <w:rsid w:val="00395A33"/>
    <w:rsid w:val="003A3A9B"/>
    <w:rsid w:val="003E25ED"/>
    <w:rsid w:val="003E42CA"/>
    <w:rsid w:val="003F3196"/>
    <w:rsid w:val="00416E50"/>
    <w:rsid w:val="00433F36"/>
    <w:rsid w:val="00445899"/>
    <w:rsid w:val="004644E5"/>
    <w:rsid w:val="00464B88"/>
    <w:rsid w:val="004679CE"/>
    <w:rsid w:val="00483F7F"/>
    <w:rsid w:val="00491913"/>
    <w:rsid w:val="0049661B"/>
    <w:rsid w:val="004D6670"/>
    <w:rsid w:val="004E7D5E"/>
    <w:rsid w:val="004F47C4"/>
    <w:rsid w:val="00561CAD"/>
    <w:rsid w:val="0057143E"/>
    <w:rsid w:val="00583E37"/>
    <w:rsid w:val="005B09B6"/>
    <w:rsid w:val="005F282A"/>
    <w:rsid w:val="0060273F"/>
    <w:rsid w:val="00610042"/>
    <w:rsid w:val="00610B5E"/>
    <w:rsid w:val="0063305E"/>
    <w:rsid w:val="00633C12"/>
    <w:rsid w:val="006348AF"/>
    <w:rsid w:val="00667373"/>
    <w:rsid w:val="00694061"/>
    <w:rsid w:val="006951A2"/>
    <w:rsid w:val="006D5D8E"/>
    <w:rsid w:val="006E44A1"/>
    <w:rsid w:val="006F3A5D"/>
    <w:rsid w:val="006F76E2"/>
    <w:rsid w:val="00720BFB"/>
    <w:rsid w:val="0076558C"/>
    <w:rsid w:val="00766FF7"/>
    <w:rsid w:val="007A406B"/>
    <w:rsid w:val="007B0588"/>
    <w:rsid w:val="007B34D8"/>
    <w:rsid w:val="007D00F6"/>
    <w:rsid w:val="007D4196"/>
    <w:rsid w:val="007F0AF7"/>
    <w:rsid w:val="007F46E3"/>
    <w:rsid w:val="0080038D"/>
    <w:rsid w:val="00800AF2"/>
    <w:rsid w:val="00806440"/>
    <w:rsid w:val="00823B60"/>
    <w:rsid w:val="00834129"/>
    <w:rsid w:val="00862A7F"/>
    <w:rsid w:val="00870D59"/>
    <w:rsid w:val="00887042"/>
    <w:rsid w:val="00887D19"/>
    <w:rsid w:val="00890C5E"/>
    <w:rsid w:val="00895656"/>
    <w:rsid w:val="008A214C"/>
    <w:rsid w:val="008A2152"/>
    <w:rsid w:val="008B59B8"/>
    <w:rsid w:val="008C35F0"/>
    <w:rsid w:val="008C574E"/>
    <w:rsid w:val="008E742C"/>
    <w:rsid w:val="008F1EB4"/>
    <w:rsid w:val="009033D3"/>
    <w:rsid w:val="00915CF3"/>
    <w:rsid w:val="0092428F"/>
    <w:rsid w:val="009672EA"/>
    <w:rsid w:val="00967E8A"/>
    <w:rsid w:val="009766EF"/>
    <w:rsid w:val="00977089"/>
    <w:rsid w:val="009A3BA7"/>
    <w:rsid w:val="009A622A"/>
    <w:rsid w:val="009A62A6"/>
    <w:rsid w:val="00A01FFA"/>
    <w:rsid w:val="00A11DAD"/>
    <w:rsid w:val="00A23766"/>
    <w:rsid w:val="00A3426D"/>
    <w:rsid w:val="00A377A8"/>
    <w:rsid w:val="00A62E50"/>
    <w:rsid w:val="00A6475E"/>
    <w:rsid w:val="00A672F7"/>
    <w:rsid w:val="00A70F09"/>
    <w:rsid w:val="00A72A47"/>
    <w:rsid w:val="00A73929"/>
    <w:rsid w:val="00A80F0B"/>
    <w:rsid w:val="00A864C6"/>
    <w:rsid w:val="00A92552"/>
    <w:rsid w:val="00AA3034"/>
    <w:rsid w:val="00AB5D04"/>
    <w:rsid w:val="00AC12F6"/>
    <w:rsid w:val="00AD49AE"/>
    <w:rsid w:val="00AD6D30"/>
    <w:rsid w:val="00AE218D"/>
    <w:rsid w:val="00AE3E36"/>
    <w:rsid w:val="00AE58CD"/>
    <w:rsid w:val="00AE7AFF"/>
    <w:rsid w:val="00AF1276"/>
    <w:rsid w:val="00AF1B8D"/>
    <w:rsid w:val="00B161FA"/>
    <w:rsid w:val="00B42E6B"/>
    <w:rsid w:val="00B47F54"/>
    <w:rsid w:val="00B602A6"/>
    <w:rsid w:val="00B72DF9"/>
    <w:rsid w:val="00B73204"/>
    <w:rsid w:val="00BD75FB"/>
    <w:rsid w:val="00BF51D2"/>
    <w:rsid w:val="00C03A36"/>
    <w:rsid w:val="00C355AD"/>
    <w:rsid w:val="00C475A3"/>
    <w:rsid w:val="00C564F0"/>
    <w:rsid w:val="00C90219"/>
    <w:rsid w:val="00C91D4E"/>
    <w:rsid w:val="00C96D10"/>
    <w:rsid w:val="00CB2D94"/>
    <w:rsid w:val="00CB3CDF"/>
    <w:rsid w:val="00CC3221"/>
    <w:rsid w:val="00CC3F02"/>
    <w:rsid w:val="00CE11B0"/>
    <w:rsid w:val="00CE54FA"/>
    <w:rsid w:val="00CF11D0"/>
    <w:rsid w:val="00D33A0B"/>
    <w:rsid w:val="00D4690A"/>
    <w:rsid w:val="00D80787"/>
    <w:rsid w:val="00D87B07"/>
    <w:rsid w:val="00D93516"/>
    <w:rsid w:val="00DA6C9E"/>
    <w:rsid w:val="00DB43C6"/>
    <w:rsid w:val="00DB7166"/>
    <w:rsid w:val="00DD46EC"/>
    <w:rsid w:val="00DE2BB0"/>
    <w:rsid w:val="00E05129"/>
    <w:rsid w:val="00E15A69"/>
    <w:rsid w:val="00E20C01"/>
    <w:rsid w:val="00E21F32"/>
    <w:rsid w:val="00E30CBE"/>
    <w:rsid w:val="00E34D8A"/>
    <w:rsid w:val="00E372DF"/>
    <w:rsid w:val="00E464CC"/>
    <w:rsid w:val="00E6384E"/>
    <w:rsid w:val="00E849DE"/>
    <w:rsid w:val="00EA4E76"/>
    <w:rsid w:val="00EB1364"/>
    <w:rsid w:val="00F22409"/>
    <w:rsid w:val="00F2512B"/>
    <w:rsid w:val="00F317DE"/>
    <w:rsid w:val="00F45795"/>
    <w:rsid w:val="00F65E6B"/>
    <w:rsid w:val="00F716EF"/>
    <w:rsid w:val="00F7304E"/>
    <w:rsid w:val="00F74D68"/>
    <w:rsid w:val="00F82C86"/>
    <w:rsid w:val="00F84F1C"/>
    <w:rsid w:val="00F85AEA"/>
    <w:rsid w:val="00FC30BD"/>
    <w:rsid w:val="00FC47DB"/>
    <w:rsid w:val="00FD1135"/>
    <w:rsid w:val="00FE0737"/>
    <w:rsid w:val="00FE2156"/>
    <w:rsid w:val="00FF6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C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DE2BB0"/>
    <w:rPr>
      <w:rFonts w:ascii="Tahoma" w:hAnsi="Tahoma" w:cs="Tahoma"/>
      <w:sz w:val="16"/>
      <w:szCs w:val="16"/>
    </w:rPr>
  </w:style>
  <w:style w:type="character" w:customStyle="1" w:styleId="BalloonTextChar">
    <w:name w:val="Balloon Text Char"/>
    <w:link w:val="BalloonText"/>
    <w:rsid w:val="00DE2BB0"/>
    <w:rPr>
      <w:rFonts w:ascii="Tahoma" w:hAnsi="Tahoma" w:cs="Tahoma"/>
      <w:sz w:val="16"/>
      <w:szCs w:val="16"/>
    </w:rPr>
  </w:style>
  <w:style w:type="character" w:styleId="Hyperlink">
    <w:name w:val="Hyperlink"/>
    <w:rsid w:val="00DE2BB0"/>
    <w:rPr>
      <w:color w:val="0000FF"/>
      <w:u w:val="single"/>
    </w:rPr>
  </w:style>
  <w:style w:type="character" w:styleId="CommentReference">
    <w:name w:val="annotation reference"/>
    <w:rsid w:val="00610042"/>
    <w:rPr>
      <w:sz w:val="16"/>
      <w:szCs w:val="16"/>
    </w:rPr>
  </w:style>
  <w:style w:type="paragraph" w:styleId="CommentText">
    <w:name w:val="annotation text"/>
    <w:basedOn w:val="Normal"/>
    <w:link w:val="CommentTextChar"/>
    <w:rsid w:val="00610042"/>
    <w:rPr>
      <w:szCs w:val="20"/>
    </w:rPr>
  </w:style>
  <w:style w:type="character" w:customStyle="1" w:styleId="CommentTextChar">
    <w:name w:val="Comment Text Char"/>
    <w:basedOn w:val="DefaultParagraphFont"/>
    <w:link w:val="CommentText"/>
    <w:rsid w:val="00610042"/>
  </w:style>
  <w:style w:type="paragraph" w:styleId="CommentSubject">
    <w:name w:val="annotation subject"/>
    <w:basedOn w:val="CommentText"/>
    <w:next w:val="CommentText"/>
    <w:link w:val="CommentSubjectChar"/>
    <w:rsid w:val="00610042"/>
    <w:rPr>
      <w:b/>
      <w:bCs/>
    </w:rPr>
  </w:style>
  <w:style w:type="character" w:customStyle="1" w:styleId="CommentSubjectChar">
    <w:name w:val="Comment Subject Char"/>
    <w:link w:val="CommentSubject"/>
    <w:rsid w:val="00610042"/>
    <w:rPr>
      <w:b/>
      <w:bCs/>
    </w:rPr>
  </w:style>
  <w:style w:type="paragraph" w:customStyle="1" w:styleId="Default">
    <w:name w:val="Default"/>
    <w:rsid w:val="00464B88"/>
    <w:pPr>
      <w:autoSpaceDE w:val="0"/>
      <w:autoSpaceDN w:val="0"/>
      <w:adjustRightInd w:val="0"/>
    </w:pPr>
    <w:rPr>
      <w:color w:val="000000"/>
      <w:sz w:val="24"/>
      <w:szCs w:val="24"/>
    </w:rPr>
  </w:style>
  <w:style w:type="character" w:styleId="FollowedHyperlink">
    <w:name w:val="FollowedHyperlink"/>
    <w:basedOn w:val="DefaultParagraphFont"/>
    <w:rsid w:val="00B161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DE2BB0"/>
    <w:rPr>
      <w:rFonts w:ascii="Tahoma" w:hAnsi="Tahoma" w:cs="Tahoma"/>
      <w:sz w:val="16"/>
      <w:szCs w:val="16"/>
    </w:rPr>
  </w:style>
  <w:style w:type="character" w:customStyle="1" w:styleId="BalloonTextChar">
    <w:name w:val="Balloon Text Char"/>
    <w:link w:val="BalloonText"/>
    <w:rsid w:val="00DE2BB0"/>
    <w:rPr>
      <w:rFonts w:ascii="Tahoma" w:hAnsi="Tahoma" w:cs="Tahoma"/>
      <w:sz w:val="16"/>
      <w:szCs w:val="16"/>
    </w:rPr>
  </w:style>
  <w:style w:type="character" w:styleId="Hyperlink">
    <w:name w:val="Hyperlink"/>
    <w:rsid w:val="00DE2BB0"/>
    <w:rPr>
      <w:color w:val="0000FF"/>
      <w:u w:val="single"/>
    </w:rPr>
  </w:style>
  <w:style w:type="character" w:styleId="CommentReference">
    <w:name w:val="annotation reference"/>
    <w:rsid w:val="00610042"/>
    <w:rPr>
      <w:sz w:val="16"/>
      <w:szCs w:val="16"/>
    </w:rPr>
  </w:style>
  <w:style w:type="paragraph" w:styleId="CommentText">
    <w:name w:val="annotation text"/>
    <w:basedOn w:val="Normal"/>
    <w:link w:val="CommentTextChar"/>
    <w:rsid w:val="00610042"/>
    <w:rPr>
      <w:szCs w:val="20"/>
    </w:rPr>
  </w:style>
  <w:style w:type="character" w:customStyle="1" w:styleId="CommentTextChar">
    <w:name w:val="Comment Text Char"/>
    <w:basedOn w:val="DefaultParagraphFont"/>
    <w:link w:val="CommentText"/>
    <w:rsid w:val="00610042"/>
  </w:style>
  <w:style w:type="paragraph" w:styleId="CommentSubject">
    <w:name w:val="annotation subject"/>
    <w:basedOn w:val="CommentText"/>
    <w:next w:val="CommentText"/>
    <w:link w:val="CommentSubjectChar"/>
    <w:rsid w:val="00610042"/>
    <w:rPr>
      <w:b/>
      <w:bCs/>
    </w:rPr>
  </w:style>
  <w:style w:type="character" w:customStyle="1" w:styleId="CommentSubjectChar">
    <w:name w:val="Comment Subject Char"/>
    <w:link w:val="CommentSubject"/>
    <w:rsid w:val="00610042"/>
    <w:rPr>
      <w:b/>
      <w:bCs/>
    </w:rPr>
  </w:style>
  <w:style w:type="paragraph" w:customStyle="1" w:styleId="Default">
    <w:name w:val="Default"/>
    <w:rsid w:val="00464B88"/>
    <w:pPr>
      <w:autoSpaceDE w:val="0"/>
      <w:autoSpaceDN w:val="0"/>
      <w:adjustRightInd w:val="0"/>
    </w:pPr>
    <w:rPr>
      <w:color w:val="000000"/>
      <w:sz w:val="24"/>
      <w:szCs w:val="24"/>
    </w:rPr>
  </w:style>
  <w:style w:type="character" w:styleId="FollowedHyperlink">
    <w:name w:val="FollowedHyperlink"/>
    <w:basedOn w:val="DefaultParagraphFont"/>
    <w:rsid w:val="00B161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6849">
      <w:bodyDiv w:val="1"/>
      <w:marLeft w:val="0"/>
      <w:marRight w:val="0"/>
      <w:marTop w:val="0"/>
      <w:marBottom w:val="0"/>
      <w:divBdr>
        <w:top w:val="none" w:sz="0" w:space="0" w:color="auto"/>
        <w:left w:val="none" w:sz="0" w:space="0" w:color="auto"/>
        <w:bottom w:val="none" w:sz="0" w:space="0" w:color="auto"/>
        <w:right w:val="none" w:sz="0" w:space="0" w:color="auto"/>
      </w:divBdr>
    </w:div>
    <w:div w:id="1011024902">
      <w:bodyDiv w:val="1"/>
      <w:marLeft w:val="0"/>
      <w:marRight w:val="0"/>
      <w:marTop w:val="0"/>
      <w:marBottom w:val="0"/>
      <w:divBdr>
        <w:top w:val="none" w:sz="0" w:space="0" w:color="auto"/>
        <w:left w:val="none" w:sz="0" w:space="0" w:color="auto"/>
        <w:bottom w:val="none" w:sz="0" w:space="0" w:color="auto"/>
        <w:right w:val="none" w:sz="0" w:space="0" w:color="auto"/>
      </w:divBdr>
    </w:div>
    <w:div w:id="1449086984">
      <w:bodyDiv w:val="1"/>
      <w:marLeft w:val="0"/>
      <w:marRight w:val="0"/>
      <w:marTop w:val="0"/>
      <w:marBottom w:val="0"/>
      <w:divBdr>
        <w:top w:val="none" w:sz="0" w:space="0" w:color="auto"/>
        <w:left w:val="none" w:sz="0" w:space="0" w:color="auto"/>
        <w:bottom w:val="none" w:sz="0" w:space="0" w:color="auto"/>
        <w:right w:val="none" w:sz="0" w:space="0" w:color="auto"/>
      </w:divBdr>
    </w:div>
    <w:div w:id="15055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small-business-size-standard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14231</CharactersWithSpaces>
  <SharedDoc>false</SharedDoc>
  <HLinks>
    <vt:vector size="12" baseType="variant">
      <vt:variant>
        <vt:i4>2949125</vt:i4>
      </vt:variant>
      <vt:variant>
        <vt:i4>3</vt:i4>
      </vt:variant>
      <vt:variant>
        <vt:i4>0</vt:i4>
      </vt:variant>
      <vt:variant>
        <vt:i4>5</vt:i4>
      </vt:variant>
      <vt:variant>
        <vt:lpwstr>http://www.bls.gov/oes/current/naics4_621600.htm</vt:lpwstr>
      </vt:variant>
      <vt:variant>
        <vt:lpwstr/>
      </vt:variant>
      <vt:variant>
        <vt:i4>4456533</vt:i4>
      </vt:variant>
      <vt:variant>
        <vt:i4>0</vt:i4>
      </vt:variant>
      <vt:variant>
        <vt:i4>0</vt:i4>
      </vt:variant>
      <vt:variant>
        <vt:i4>5</vt:i4>
      </vt:variant>
      <vt:variant>
        <vt:lpwstr>http://www.sba.gov/sites/default/files/files/Size_Standards_Table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2018-09-21T15:27:00Z</cp:lastPrinted>
  <dcterms:created xsi:type="dcterms:W3CDTF">2018-09-21T18:12:00Z</dcterms:created>
  <dcterms:modified xsi:type="dcterms:W3CDTF">2018-09-21T18:12:00Z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-2010215149</vt:i4>
  </property>
  <property fmtid="{D5CDD505-2E9C-101B-9397-08002B2CF9AE}" pid="3" name="_NewReviewCycle">
    <vt:lpwstr/>
  </property>
  <property fmtid="{D5CDD505-2E9C-101B-9397-08002B2CF9AE}" pid="4" name="_EmailSubject">
    <vt:lpwstr>***URGENT*** Action Needed ASAP &gt; RE: OMB APPROVAL &gt; Hospice information Form CMS 10538 (revision)</vt:lpwstr>
  </property>
  <property fmtid="{D5CDD505-2E9C-101B-9397-08002B2CF9AE}" pid="5" name="_AuthorEmail">
    <vt:lpwstr>Shelly.Winston@cms.hhs.gov</vt:lpwstr>
  </property>
  <property fmtid="{D5CDD505-2E9C-101B-9397-08002B2CF9AE}" pid="6" name="_AuthorEmailDisplayName">
    <vt:lpwstr>Winston, Shelly (CMS/CM)</vt:lpwstr>
  </property>
  <property fmtid="{D5CDD505-2E9C-101B-9397-08002B2CF9AE}" pid="7" name="_PreviousAdHocReviewCycleID">
    <vt:i4>748835820</vt:i4>
  </property>
  <property fmtid="{D5CDD505-2E9C-101B-9397-08002B2CF9AE}" pid="8" name="_ReviewingToolsShownOnce">
    <vt:lpwstr/>
  </property>
</Properties>
</file>