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E6E26" w14:textId="77777777" w:rsidR="000A20DE" w:rsidRDefault="002B5808" w:rsidP="00560248">
      <w:pPr>
        <w:pStyle w:val="BodyText"/>
        <w:jc w:val="center"/>
      </w:pPr>
      <w:bookmarkStart w:id="0" w:name="_GoBack"/>
      <w:bookmarkEnd w:id="0"/>
      <w:r w:rsidRPr="000A20DE">
        <w:t>Supporting Statement Part A</w:t>
      </w:r>
    </w:p>
    <w:p w14:paraId="214E6E27" w14:textId="77777777" w:rsidR="00D24433" w:rsidRPr="000A20DE" w:rsidRDefault="002B5808" w:rsidP="00560248">
      <w:pPr>
        <w:pStyle w:val="BodyText"/>
        <w:jc w:val="center"/>
      </w:pPr>
      <w:r w:rsidRPr="000A20DE">
        <w:t>Medicaid Drug Use Review (DUR) Program</w:t>
      </w:r>
    </w:p>
    <w:p w14:paraId="214E6E28" w14:textId="77777777" w:rsidR="00D24433" w:rsidRPr="000A20DE" w:rsidRDefault="002B5808" w:rsidP="00560248">
      <w:pPr>
        <w:pStyle w:val="BodyText"/>
        <w:jc w:val="center"/>
      </w:pPr>
      <w:r w:rsidRPr="000A20DE">
        <w:t>CMS-R-153, OMB 0938-0659</w:t>
      </w:r>
    </w:p>
    <w:p w14:paraId="214E6E29" w14:textId="77777777" w:rsidR="00D24433" w:rsidRPr="000A20DE" w:rsidRDefault="00D24433" w:rsidP="00560248">
      <w:pPr>
        <w:pStyle w:val="BodyText"/>
        <w:jc w:val="center"/>
      </w:pPr>
    </w:p>
    <w:p w14:paraId="214E6E2A" w14:textId="77777777" w:rsidR="00D24433" w:rsidRPr="00F90562" w:rsidRDefault="002B5808" w:rsidP="00560248">
      <w:pPr>
        <w:pStyle w:val="Heading1"/>
        <w:ind w:left="0"/>
      </w:pPr>
      <w:bookmarkStart w:id="1" w:name="Background"/>
      <w:bookmarkEnd w:id="1"/>
      <w:r w:rsidRPr="00F90562">
        <w:t>Background</w:t>
      </w:r>
    </w:p>
    <w:p w14:paraId="214E6E2B" w14:textId="77777777" w:rsidR="00D24433" w:rsidRPr="000A20DE" w:rsidRDefault="00D24433" w:rsidP="00560248">
      <w:pPr>
        <w:pStyle w:val="BodyText"/>
      </w:pPr>
    </w:p>
    <w:p w14:paraId="214E6E2C" w14:textId="40F7193C" w:rsidR="00D24433" w:rsidRPr="000A20DE" w:rsidRDefault="002B5808" w:rsidP="00560248">
      <w:pPr>
        <w:pStyle w:val="BodyText"/>
        <w:spacing w:line="249" w:lineRule="auto"/>
      </w:pPr>
      <w:r w:rsidRPr="000A20DE">
        <w:t xml:space="preserve">Section 4401 of the Omnibus Budget Reconciliation Act of 1990 and section 1927(g) of the Social Security Act requires States to provide for a Medicaid Drug Use Review (DUR) program for covered outpatient drugs under fee-for-service. The DUR program is required to assure that prescriptions are appropriate, medically necessary, and are not likely to result in adverse medical </w:t>
      </w:r>
      <w:r w:rsidR="00BF2150">
        <w:t>events</w:t>
      </w:r>
      <w:r w:rsidRPr="000A20DE">
        <w:t>. Each State DUR program must consist of prospective drug use review (ProDUR), retrospective drug use review (RetroDUR), data assessment of drug use against predetermined standards, and ongoing educational outreach activities. In addition, States are required to submit an annual DUR program report that includes a description of the nature and scope of State DUR activities as outlined in the statute and regulations. Effective federal fiscal year 2018, states are required to also report on their Medicaid managed care organization (MCO) DUR processes.</w:t>
      </w:r>
    </w:p>
    <w:p w14:paraId="214E6E2D" w14:textId="77777777" w:rsidR="00D24433" w:rsidRPr="000A20DE" w:rsidRDefault="00D24433" w:rsidP="00560248">
      <w:pPr>
        <w:pStyle w:val="BodyText"/>
      </w:pPr>
    </w:p>
    <w:p w14:paraId="214E6E2E" w14:textId="6F222B59" w:rsidR="00D24433" w:rsidRDefault="002B5808" w:rsidP="00560248">
      <w:pPr>
        <w:pStyle w:val="BodyText"/>
        <w:spacing w:line="249" w:lineRule="auto"/>
      </w:pPr>
      <w:r w:rsidRPr="000A20DE">
        <w:t xml:space="preserve">Over the years, technology has changed as has the practice of pharmacy. Therefore, the Centers for Medicare &amp; Medicaid Services (CMS) has revised the reporting </w:t>
      </w:r>
      <w:r w:rsidR="00955C53">
        <w:t>instrument (a survey)</w:t>
      </w:r>
      <w:r w:rsidRPr="000A20DE">
        <w:t xml:space="preserve"> to address more fully</w:t>
      </w:r>
      <w:r w:rsidR="00955C53">
        <w:t>,</w:t>
      </w:r>
      <w:r w:rsidRPr="000A20DE">
        <w:t xml:space="preserve"> the current practices and areas of concern within the Medicaid Pharmacy Programs. </w:t>
      </w:r>
      <w:r w:rsidR="00FC1CE9" w:rsidRPr="00FC1CE9">
        <w:t xml:space="preserve">This </w:t>
      </w:r>
      <w:r w:rsidR="00955C53">
        <w:t xml:space="preserve">Paperwork Reduction Act (PRA) </w:t>
      </w:r>
      <w:r w:rsidR="00FC1CE9" w:rsidRPr="00FC1CE9">
        <w:t xml:space="preserve">package seeks the authority to survey the states and MCOs using </w:t>
      </w:r>
      <w:r w:rsidR="00EC5813">
        <w:t xml:space="preserve">either </w:t>
      </w:r>
      <w:r w:rsidR="00FC1CE9" w:rsidRPr="00FC1CE9">
        <w:t>a CMS-hosted online information technology system called Medicaid Drug Program (MDP)</w:t>
      </w:r>
      <w:r w:rsidR="00EC5813">
        <w:t>, or SurveyGizmo</w:t>
      </w:r>
      <w:r w:rsidR="00FC1CE9" w:rsidRPr="00FC1CE9">
        <w:t xml:space="preserve">. </w:t>
      </w:r>
      <w:r w:rsidR="00955C53">
        <w:t>To generate the required state DUR reports, s</w:t>
      </w:r>
      <w:r w:rsidR="00FC1CE9" w:rsidRPr="00FC1CE9">
        <w:t>tates submit FFS and MCO responses to the</w:t>
      </w:r>
      <w:r w:rsidR="00EC5813">
        <w:t xml:space="preserve"> survey using the</w:t>
      </w:r>
      <w:r w:rsidR="00FC1CE9" w:rsidRPr="00FC1CE9">
        <w:t xml:space="preserve"> CMS hosted online MDP system</w:t>
      </w:r>
      <w:r w:rsidR="00EC5813">
        <w:t>, or SurveyGizmo.</w:t>
      </w:r>
      <w:r w:rsidR="00FC1CE9" w:rsidRPr="00FC1CE9">
        <w:t xml:space="preserve"> </w:t>
      </w:r>
      <w:r w:rsidR="00EC5813">
        <w:t>Specifically, t</w:t>
      </w:r>
      <w:r w:rsidR="00FC1CE9" w:rsidRPr="00FC1CE9">
        <w:t xml:space="preserve">o account for any unforeseen issues in </w:t>
      </w:r>
      <w:r w:rsidR="00FC1CE9">
        <w:t xml:space="preserve">using MDP, </w:t>
      </w:r>
      <w:r w:rsidR="00FC1CE9" w:rsidRPr="00FC1CE9">
        <w:t>we are seeking approval to use either the MDP system or S</w:t>
      </w:r>
      <w:r w:rsidR="00ED7FFA">
        <w:t>urveyGizmo to survey a respondent</w:t>
      </w:r>
      <w:r w:rsidR="00FC1CE9" w:rsidRPr="00FC1CE9">
        <w:t xml:space="preserve">. </w:t>
      </w:r>
      <w:r w:rsidRPr="000A20DE">
        <w:t>It is our intention to provide non-statistical information, comparisons and trends back to the States based on their reported experiences with DUR. The States may benefit from this information and may fine tune their programs each year based on State reported innovative practices and CMS identified best practices gathered from the DUR annual reports.</w:t>
      </w:r>
    </w:p>
    <w:p w14:paraId="214E6E2F" w14:textId="77777777" w:rsidR="00111869" w:rsidRDefault="00111869" w:rsidP="00560248">
      <w:pPr>
        <w:pStyle w:val="BodyText"/>
        <w:spacing w:line="249" w:lineRule="auto"/>
      </w:pPr>
    </w:p>
    <w:p w14:paraId="7FB9BFBA" w14:textId="77777777" w:rsidR="00B51195" w:rsidRDefault="00B51195" w:rsidP="00B51195">
      <w:pPr>
        <w:pStyle w:val="BodyText"/>
        <w:spacing w:line="249" w:lineRule="auto"/>
      </w:pPr>
      <w:r w:rsidRPr="009F5A83">
        <w:t>In this 2018 iteration, the annual reporting instrument is being revised to allow states to report</w:t>
      </w:r>
      <w:r>
        <w:t xml:space="preserve"> responses to the survey directly into the CMS hosted MDP online system, or a SurveyGizmo weblink. </w:t>
      </w:r>
    </w:p>
    <w:p w14:paraId="733CF706" w14:textId="77777777" w:rsidR="00B51195" w:rsidRDefault="00B51195" w:rsidP="00B51195">
      <w:pPr>
        <w:pStyle w:val="BodyText"/>
        <w:spacing w:line="249" w:lineRule="auto"/>
      </w:pPr>
    </w:p>
    <w:p w14:paraId="7B2782BB" w14:textId="13FD3091" w:rsidR="00B51195" w:rsidRDefault="00B51195" w:rsidP="00B51195">
      <w:pPr>
        <w:pStyle w:val="BodyText"/>
        <w:spacing w:line="249" w:lineRule="auto"/>
      </w:pPr>
      <w:r>
        <w:t>Additionally, for FFY 2018 and beyond, the reporting instrument will include questions for Medicaid MCOs in accordance with the requirement that states are required to report on their MCO DUR processes.</w:t>
      </w:r>
    </w:p>
    <w:p w14:paraId="35CF43F5" w14:textId="77777777" w:rsidR="00B51195" w:rsidRDefault="00B51195" w:rsidP="00B51195">
      <w:pPr>
        <w:pStyle w:val="BodyText"/>
        <w:spacing w:line="249" w:lineRule="auto"/>
      </w:pPr>
    </w:p>
    <w:p w14:paraId="6B6EE9F0" w14:textId="77777777" w:rsidR="00B51195" w:rsidRDefault="00B51195" w:rsidP="00B51195">
      <w:pPr>
        <w:pStyle w:val="BodyText"/>
        <w:spacing w:line="249" w:lineRule="auto"/>
      </w:pPr>
      <w:r>
        <w:t>We have also added some new questions to various sections in the FFS portion of the reporting instrument (a survey), and created an additional set of questions focused on MCO DUR activities. This increased the amount of information collected by about 100 percent. The overall annual report preparation burden will change due to the increase in burden of reporting both Medicaid fee-for-service and MCO DUR activity.</w:t>
      </w:r>
    </w:p>
    <w:p w14:paraId="19119786" w14:textId="77777777" w:rsidR="00B51195" w:rsidRDefault="00B51195" w:rsidP="00B51195">
      <w:pPr>
        <w:pStyle w:val="BodyText"/>
        <w:spacing w:line="249" w:lineRule="auto"/>
      </w:pPr>
    </w:p>
    <w:p w14:paraId="7A7BF749" w14:textId="77777777" w:rsidR="00B51195" w:rsidRDefault="00B51195" w:rsidP="00B51195">
      <w:pPr>
        <w:pStyle w:val="BodyText"/>
        <w:spacing w:line="249" w:lineRule="auto"/>
      </w:pPr>
      <w:r>
        <w:t>Hence, we increased the agency’s estimation of the total annual burden hours from the approved 20,808 hours, to 41,004 proposed hour (see section 15 of this Supporting Statement for details).</w:t>
      </w:r>
    </w:p>
    <w:p w14:paraId="214E6E31" w14:textId="77777777" w:rsidR="00D24433" w:rsidRDefault="00D24433" w:rsidP="00560248">
      <w:pPr>
        <w:pStyle w:val="BodyText"/>
      </w:pPr>
    </w:p>
    <w:p w14:paraId="214E6E32" w14:textId="77777777" w:rsidR="00D24433" w:rsidRPr="00F90562" w:rsidRDefault="002B5808" w:rsidP="00560248">
      <w:pPr>
        <w:pStyle w:val="Heading1"/>
        <w:tabs>
          <w:tab w:val="left" w:pos="944"/>
        </w:tabs>
        <w:ind w:left="0"/>
      </w:pPr>
      <w:bookmarkStart w:id="2" w:name="A.__Justification"/>
      <w:bookmarkEnd w:id="2"/>
      <w:r w:rsidRPr="00F90562">
        <w:t>A.</w:t>
      </w:r>
      <w:r w:rsidRPr="00F90562">
        <w:tab/>
        <w:t>Justification</w:t>
      </w:r>
    </w:p>
    <w:p w14:paraId="214E6E33" w14:textId="77777777" w:rsidR="00D24433" w:rsidRPr="000A20DE" w:rsidRDefault="00D24433" w:rsidP="00560248">
      <w:pPr>
        <w:pStyle w:val="BodyText"/>
      </w:pPr>
    </w:p>
    <w:p w14:paraId="214E6E34" w14:textId="77777777" w:rsidR="00D24433" w:rsidRPr="000A20DE" w:rsidRDefault="002B5808" w:rsidP="00560248">
      <w:pPr>
        <w:pStyle w:val="ListParagraph"/>
        <w:numPr>
          <w:ilvl w:val="0"/>
          <w:numId w:val="2"/>
        </w:numPr>
        <w:tabs>
          <w:tab w:val="left" w:pos="1621"/>
          <w:tab w:val="left" w:pos="1622"/>
        </w:tabs>
        <w:ind w:left="0" w:firstLine="0"/>
        <w:rPr>
          <w:sz w:val="24"/>
          <w:szCs w:val="24"/>
        </w:rPr>
      </w:pPr>
      <w:bookmarkStart w:id="3" w:name="1.__Need_and_Legal_Basis"/>
      <w:bookmarkEnd w:id="3"/>
      <w:r w:rsidRPr="000A20DE">
        <w:rPr>
          <w:sz w:val="24"/>
          <w:szCs w:val="24"/>
          <w:u w:val="single"/>
        </w:rPr>
        <w:t>Need and Legal</w:t>
      </w:r>
      <w:r w:rsidRPr="000A20DE">
        <w:rPr>
          <w:spacing w:val="-7"/>
          <w:sz w:val="24"/>
          <w:szCs w:val="24"/>
          <w:u w:val="single"/>
        </w:rPr>
        <w:t xml:space="preserve"> </w:t>
      </w:r>
      <w:r w:rsidRPr="000A20DE">
        <w:rPr>
          <w:sz w:val="24"/>
          <w:szCs w:val="24"/>
          <w:u w:val="single"/>
        </w:rPr>
        <w:t>Basis</w:t>
      </w:r>
    </w:p>
    <w:p w14:paraId="214E6E35" w14:textId="77777777" w:rsidR="00D24433" w:rsidRPr="000A20DE" w:rsidRDefault="00D24433" w:rsidP="00560248">
      <w:pPr>
        <w:pStyle w:val="BodyText"/>
      </w:pPr>
    </w:p>
    <w:p w14:paraId="214E6E36" w14:textId="77777777" w:rsidR="00D24433" w:rsidRPr="000A20DE" w:rsidRDefault="002B5808" w:rsidP="00560248">
      <w:pPr>
        <w:pStyle w:val="BodyText"/>
        <w:spacing w:line="249" w:lineRule="auto"/>
      </w:pPr>
      <w:r w:rsidRPr="000A20DE">
        <w:t>The authority for requiring States and MCOs to collect data for the DUR program is section 1927(g) of the Social Security Act (the Act), and implementing regulations at 42 CFR 456.700 and 438.3(s).</w:t>
      </w:r>
    </w:p>
    <w:p w14:paraId="214E6E37" w14:textId="77777777" w:rsidR="00D24433" w:rsidRPr="000A20DE" w:rsidRDefault="00D24433" w:rsidP="00560248">
      <w:pPr>
        <w:pStyle w:val="BodyText"/>
      </w:pPr>
    </w:p>
    <w:p w14:paraId="214E6E38" w14:textId="77777777" w:rsidR="00D24433" w:rsidRPr="000A20DE" w:rsidRDefault="002B5808" w:rsidP="00560248">
      <w:pPr>
        <w:pStyle w:val="BodyText"/>
        <w:spacing w:line="249" w:lineRule="auto"/>
      </w:pPr>
      <w:r w:rsidRPr="000A20DE">
        <w:t>The information collection requirement is necessary to establish patient profiles in pharmacies, identify problems in prescribing and/or dispensing, determine each program’s ability to meet minimum standards required for Federal financial participation, and ensure quality pharmaceutical care for Medicaid patients.</w:t>
      </w:r>
    </w:p>
    <w:p w14:paraId="214E6E39" w14:textId="77777777" w:rsidR="00D24433" w:rsidRPr="000A20DE" w:rsidRDefault="00D24433" w:rsidP="00560248">
      <w:pPr>
        <w:pStyle w:val="BodyText"/>
      </w:pPr>
    </w:p>
    <w:p w14:paraId="214E6E3A" w14:textId="77777777" w:rsidR="00D24433" w:rsidRPr="000A20DE" w:rsidRDefault="002B5808" w:rsidP="00560248">
      <w:pPr>
        <w:pStyle w:val="BodyText"/>
        <w:spacing w:line="247" w:lineRule="auto"/>
      </w:pPr>
      <w:r w:rsidRPr="000A20DE">
        <w:t>State Medicaid agencies that have prescription drug programs are required to perform prospective and retrospective DUR in order to identify aberrations in prescribing, dispensing and/or patient behavior.</w:t>
      </w:r>
    </w:p>
    <w:p w14:paraId="214E6E3B" w14:textId="77777777" w:rsidR="00D24433" w:rsidRPr="000A20DE" w:rsidRDefault="00D24433" w:rsidP="00560248">
      <w:pPr>
        <w:pStyle w:val="BodyText"/>
      </w:pPr>
    </w:p>
    <w:p w14:paraId="214E6E3C" w14:textId="77777777" w:rsidR="00D24433" w:rsidRPr="000A20DE" w:rsidRDefault="002B5808" w:rsidP="00560248">
      <w:pPr>
        <w:pStyle w:val="ListParagraph"/>
        <w:numPr>
          <w:ilvl w:val="0"/>
          <w:numId w:val="2"/>
        </w:numPr>
        <w:tabs>
          <w:tab w:val="left" w:pos="1280"/>
          <w:tab w:val="left" w:pos="1281"/>
        </w:tabs>
        <w:ind w:left="0" w:firstLine="0"/>
        <w:rPr>
          <w:sz w:val="24"/>
          <w:szCs w:val="24"/>
        </w:rPr>
      </w:pPr>
      <w:bookmarkStart w:id="4" w:name="2.__Information_Users"/>
      <w:bookmarkEnd w:id="4"/>
      <w:r w:rsidRPr="000A20DE">
        <w:rPr>
          <w:sz w:val="24"/>
          <w:szCs w:val="24"/>
          <w:u w:val="single"/>
        </w:rPr>
        <w:t>Information</w:t>
      </w:r>
      <w:r w:rsidRPr="000A20DE">
        <w:rPr>
          <w:spacing w:val="-8"/>
          <w:sz w:val="24"/>
          <w:szCs w:val="24"/>
          <w:u w:val="single"/>
        </w:rPr>
        <w:t xml:space="preserve"> </w:t>
      </w:r>
      <w:r w:rsidRPr="000A20DE">
        <w:rPr>
          <w:sz w:val="24"/>
          <w:szCs w:val="24"/>
          <w:u w:val="single"/>
        </w:rPr>
        <w:t>Users</w:t>
      </w:r>
    </w:p>
    <w:p w14:paraId="214E6E3D" w14:textId="77777777" w:rsidR="00D24433" w:rsidRPr="000A20DE" w:rsidRDefault="00D24433" w:rsidP="00560248">
      <w:pPr>
        <w:pStyle w:val="BodyText"/>
      </w:pPr>
    </w:p>
    <w:p w14:paraId="214E6E3E" w14:textId="77777777" w:rsidR="00D24433" w:rsidRPr="000A20DE" w:rsidRDefault="002B5808" w:rsidP="00560248">
      <w:pPr>
        <w:pStyle w:val="BodyText"/>
        <w:spacing w:line="247" w:lineRule="auto"/>
      </w:pPr>
      <w:r w:rsidRPr="000A20DE">
        <w:t>States must provide for a review of drug therapy before each prescription is filled or delivered to a Medicaid patient.  This review includes screening for potential drug therapy problems due to</w:t>
      </w:r>
      <w:r w:rsidR="000A20DE" w:rsidRPr="000A20DE">
        <w:t xml:space="preserve"> </w:t>
      </w:r>
      <w:r w:rsidRPr="000A20DE">
        <w:t>therapeutic duplication, drug-disease contraindications, drug-drug interactions, incorrect drug dosage or duration of drug treatment, drug-allergy interactions, and clinical abuse/misuse. Pharmacists must make a reasonable effort to obtain, record, and maintain Medicaid patient profiles. These profiles must reflect at least the patient’s name, address, telephone number, date of birth/age, gender, history, e.g., allergies, drug reactions, list of medications, and pharmacist’s comments relevant to the individual’s drug</w:t>
      </w:r>
      <w:r w:rsidRPr="000A20DE">
        <w:rPr>
          <w:spacing w:val="-6"/>
        </w:rPr>
        <w:t xml:space="preserve"> </w:t>
      </w:r>
      <w:r w:rsidRPr="000A20DE">
        <w:t>therapy.</w:t>
      </w:r>
    </w:p>
    <w:p w14:paraId="214E6E3F" w14:textId="77777777" w:rsidR="00D24433" w:rsidRPr="000A20DE" w:rsidRDefault="00D24433" w:rsidP="00560248">
      <w:pPr>
        <w:pStyle w:val="BodyText"/>
      </w:pPr>
    </w:p>
    <w:p w14:paraId="214E6E40" w14:textId="77777777" w:rsidR="00D24433" w:rsidRPr="000A20DE" w:rsidRDefault="002B5808" w:rsidP="00560248">
      <w:pPr>
        <w:pStyle w:val="BodyText"/>
        <w:spacing w:line="249" w:lineRule="auto"/>
      </w:pPr>
      <w:r w:rsidRPr="000A20DE">
        <w:t>The State must conduct RetroDUR which provides for the ongoing periodic examination of claims data and other records in order to identify patterns of fraud, abuse, inappropriate or medically unnecessary care. Patterns or trends of drug therapy problems are identified and reviewed to determine the need for intervention activity with pharmacists and/or physicians. States may conduct interventions via telephone, correspondence, or face-to-face contact.</w:t>
      </w:r>
    </w:p>
    <w:p w14:paraId="214E6E41" w14:textId="77777777" w:rsidR="00D24433" w:rsidRPr="000A20DE" w:rsidRDefault="00D24433" w:rsidP="00560248">
      <w:pPr>
        <w:pStyle w:val="BodyText"/>
      </w:pPr>
    </w:p>
    <w:p w14:paraId="214E6E42" w14:textId="1C5A4008" w:rsidR="00D24433" w:rsidRPr="000A20DE" w:rsidRDefault="00070222" w:rsidP="00BB0A4C">
      <w:pPr>
        <w:pStyle w:val="BodyText"/>
        <w:spacing w:line="249" w:lineRule="auto"/>
      </w:pPr>
      <w:r w:rsidRPr="00070222">
        <w:t>Th</w:t>
      </w:r>
      <w:r>
        <w:t xml:space="preserve">e states and MCOs are </w:t>
      </w:r>
      <w:r w:rsidR="001D6D10">
        <w:t>provided the reporting instrument (a survey) by CMS, and by</w:t>
      </w:r>
      <w:r>
        <w:t xml:space="preserve"> </w:t>
      </w:r>
      <w:r w:rsidR="001D6D10">
        <w:t xml:space="preserve">responding to the survey, </w:t>
      </w:r>
      <w:r>
        <w:t>the states generate a</w:t>
      </w:r>
      <w:r w:rsidR="002B5808" w:rsidRPr="000A20DE">
        <w:t>nnual reports</w:t>
      </w:r>
      <w:r>
        <w:t xml:space="preserve"> which</w:t>
      </w:r>
      <w:r w:rsidR="002B5808" w:rsidRPr="000A20DE">
        <w:t xml:space="preserve"> are submitted to CMS for the purposes of monitoring compliance and evaluating the progress of </w:t>
      </w:r>
      <w:r w:rsidR="001D6D10">
        <w:t>s</w:t>
      </w:r>
      <w:r w:rsidR="002B5808" w:rsidRPr="000A20DE">
        <w:t xml:space="preserve">tates’ DUR programs. </w:t>
      </w:r>
      <w:r w:rsidR="00BB0A4C">
        <w:t xml:space="preserve">The survey and </w:t>
      </w:r>
      <w:r w:rsidR="00BB0A4C" w:rsidRPr="00BB0A4C">
        <w:t>the annual recordkeeping and reporting requirements under the pertinent regulations</w:t>
      </w:r>
      <w:r w:rsidR="00BB0A4C">
        <w:t xml:space="preserve">, are completed by pharmacists employed by, or contracted with the various state Medicaid programs and their MCOs. </w:t>
      </w:r>
      <w:r w:rsidR="002B5808" w:rsidRPr="000A20DE">
        <w:t xml:space="preserve">The </w:t>
      </w:r>
      <w:r w:rsidR="001D6D10">
        <w:t xml:space="preserve">annual reports </w:t>
      </w:r>
      <w:r w:rsidR="002B5808" w:rsidRPr="000A20DE">
        <w:t xml:space="preserve">submitted by </w:t>
      </w:r>
      <w:r w:rsidR="001D6D10">
        <w:t>s</w:t>
      </w:r>
      <w:r w:rsidR="002B5808" w:rsidRPr="000A20DE">
        <w:t xml:space="preserve">tates </w:t>
      </w:r>
      <w:r w:rsidR="001D6D10">
        <w:t>are</w:t>
      </w:r>
      <w:r w:rsidR="002B5808" w:rsidRPr="000A20DE">
        <w:t xml:space="preserve"> reviewed and results are compiled by CMS in a format intended to provide information, comparisons and trends related to </w:t>
      </w:r>
      <w:r w:rsidR="001D6D10">
        <w:t>s</w:t>
      </w:r>
      <w:r w:rsidR="002B5808" w:rsidRPr="000A20DE">
        <w:t xml:space="preserve">tates’ experiences with DUR. The </w:t>
      </w:r>
      <w:r w:rsidR="001D6D10">
        <w:t>s</w:t>
      </w:r>
      <w:r w:rsidR="002B5808" w:rsidRPr="000A20DE">
        <w:t xml:space="preserve">tates benefit from the information and may enhance their programs each year based on </w:t>
      </w:r>
      <w:r w:rsidR="001D6D10">
        <w:t>s</w:t>
      </w:r>
      <w:r w:rsidR="002B5808" w:rsidRPr="000A20DE">
        <w:t>tate reported innovative practices that are compiled by CMS from the annual reports.</w:t>
      </w:r>
      <w:r w:rsidR="00BB0A4C" w:rsidRPr="00BB0A4C">
        <w:t xml:space="preserve"> </w:t>
      </w:r>
      <w:r w:rsidR="00EC5448">
        <w:t xml:space="preserve">A </w:t>
      </w:r>
      <w:r w:rsidR="001D6D10">
        <w:t>comparison/</w:t>
      </w:r>
      <w:r w:rsidR="00EC5448">
        <w:t>summary of the</w:t>
      </w:r>
      <w:r w:rsidR="00BB0A4C">
        <w:t xml:space="preserve"> </w:t>
      </w:r>
      <w:r w:rsidR="00EC5448">
        <w:t xml:space="preserve">data from the </w:t>
      </w:r>
      <w:r w:rsidR="001D6D10">
        <w:t xml:space="preserve">annual </w:t>
      </w:r>
      <w:r w:rsidR="00BB0A4C">
        <w:t>report</w:t>
      </w:r>
      <w:r w:rsidR="001D6D10">
        <w:t>s</w:t>
      </w:r>
      <w:r w:rsidR="00BB0A4C">
        <w:t xml:space="preserve"> </w:t>
      </w:r>
      <w:r w:rsidR="00EC5448">
        <w:t>is published on Medic</w:t>
      </w:r>
      <w:r w:rsidR="00BB0A4C">
        <w:t>a</w:t>
      </w:r>
      <w:r w:rsidR="00EC5448">
        <w:t>i</w:t>
      </w:r>
      <w:r w:rsidR="00BB0A4C">
        <w:t>d.gov annually</w:t>
      </w:r>
      <w:r w:rsidR="00EC5448">
        <w:t>, and</w:t>
      </w:r>
      <w:r w:rsidR="00BB0A4C">
        <w:t xml:space="preserve"> serves as a resource for stakeholders, including but not limited to states, manufacturers, researchers, congress, CMS, the Office of Inspector General (OIG), non-governmental payers and clinicians on the topic of DUR in state Medicaid programs.</w:t>
      </w:r>
    </w:p>
    <w:p w14:paraId="214E6E43" w14:textId="77777777" w:rsidR="00D24433" w:rsidRPr="000A20DE" w:rsidRDefault="00D24433" w:rsidP="00560248">
      <w:pPr>
        <w:pStyle w:val="BodyText"/>
      </w:pPr>
    </w:p>
    <w:p w14:paraId="214E6E44" w14:textId="77777777" w:rsidR="00D24433" w:rsidRPr="000A20DE" w:rsidRDefault="002B5808" w:rsidP="00560248">
      <w:pPr>
        <w:pStyle w:val="ListParagraph"/>
        <w:numPr>
          <w:ilvl w:val="0"/>
          <w:numId w:val="2"/>
        </w:numPr>
        <w:tabs>
          <w:tab w:val="left" w:pos="1285"/>
          <w:tab w:val="left" w:pos="1286"/>
        </w:tabs>
        <w:ind w:left="0" w:firstLine="0"/>
        <w:rPr>
          <w:sz w:val="24"/>
          <w:szCs w:val="24"/>
        </w:rPr>
      </w:pPr>
      <w:bookmarkStart w:id="5" w:name="3.__Use_of_Information_Technology"/>
      <w:bookmarkEnd w:id="5"/>
      <w:r w:rsidRPr="000A20DE">
        <w:rPr>
          <w:sz w:val="24"/>
          <w:szCs w:val="24"/>
          <w:u w:val="single"/>
        </w:rPr>
        <w:t>Use of Information</w:t>
      </w:r>
      <w:r w:rsidRPr="000A20DE">
        <w:rPr>
          <w:spacing w:val="-6"/>
          <w:sz w:val="24"/>
          <w:szCs w:val="24"/>
          <w:u w:val="single"/>
        </w:rPr>
        <w:t xml:space="preserve"> </w:t>
      </w:r>
      <w:r w:rsidRPr="000A20DE">
        <w:rPr>
          <w:sz w:val="24"/>
          <w:szCs w:val="24"/>
          <w:u w:val="single"/>
        </w:rPr>
        <w:t>Technology</w:t>
      </w:r>
    </w:p>
    <w:p w14:paraId="214E6E45" w14:textId="77777777" w:rsidR="00D24433" w:rsidRPr="000A20DE" w:rsidRDefault="00D24433" w:rsidP="00560248">
      <w:pPr>
        <w:pStyle w:val="BodyText"/>
      </w:pPr>
    </w:p>
    <w:p w14:paraId="62DC088C" w14:textId="255B2BB2" w:rsidR="0046252D" w:rsidRPr="00064097" w:rsidRDefault="002B5808" w:rsidP="00560248">
      <w:pPr>
        <w:pStyle w:val="BodyText"/>
        <w:spacing w:line="249" w:lineRule="auto"/>
      </w:pPr>
      <w:r w:rsidRPr="000A20DE">
        <w:t xml:space="preserve">This </w:t>
      </w:r>
      <w:r w:rsidR="001D6D10">
        <w:t xml:space="preserve">PRA </w:t>
      </w:r>
      <w:r w:rsidRPr="000A20DE">
        <w:t xml:space="preserve">package seeks the authority to </w:t>
      </w:r>
      <w:r w:rsidR="001D6D10">
        <w:t xml:space="preserve">provide states and MCOs with the reporting instrument (a </w:t>
      </w:r>
      <w:r w:rsidRPr="000A20DE">
        <w:t>survey</w:t>
      </w:r>
      <w:r w:rsidR="001D6D10">
        <w:t>)</w:t>
      </w:r>
      <w:r w:rsidRPr="000A20DE">
        <w:t xml:space="preserve"> using a CMS-hosted online information technology system called Medicaid Drug Program (MDP). </w:t>
      </w:r>
      <w:r w:rsidR="001D6D10">
        <w:t>To generate their annual reports, s</w:t>
      </w:r>
      <w:r w:rsidRPr="000A20DE">
        <w:t xml:space="preserve">tates submit </w:t>
      </w:r>
      <w:r w:rsidR="001D6D10">
        <w:t xml:space="preserve">their </w:t>
      </w:r>
      <w:r w:rsidRPr="000A20DE">
        <w:t>FFS and MCO responses to the CMS hosted online MDP system. Screenshots of the system have been included in the PowerPoint document titled "DUR - PRA - MDP System DUR Survey Tool 2018." The electronic copy will facilitate long-term storage capabilities, creation of best practice documents, and the comparison/summary report by CMS.</w:t>
      </w:r>
      <w:r w:rsidR="0046252D" w:rsidRPr="0046252D">
        <w:t xml:space="preserve"> The annual reporting instrument is being revised to allow states to report responses to the survey directly into the CMS hosted MDP online system, or a SurveyGizmo weblink.</w:t>
      </w:r>
      <w:r w:rsidR="0046252D">
        <w:t xml:space="preserve"> To clarify, t</w:t>
      </w:r>
      <w:r w:rsidRPr="000A20DE">
        <w:t>he last iteration used a SurveyGizmo weblink</w:t>
      </w:r>
      <w:r w:rsidR="0046252D">
        <w:t xml:space="preserve"> as the survey instrument</w:t>
      </w:r>
      <w:r w:rsidRPr="000A20DE">
        <w:t>.</w:t>
      </w:r>
      <w:r w:rsidRPr="000A20DE">
        <w:rPr>
          <w:spacing w:val="-3"/>
        </w:rPr>
        <w:t xml:space="preserve"> </w:t>
      </w:r>
      <w:r w:rsidR="0046252D" w:rsidRPr="0046252D">
        <w:rPr>
          <w:spacing w:val="-3"/>
        </w:rPr>
        <w:t xml:space="preserve">We do not expect any issues with the transition to the MDP online system. </w:t>
      </w:r>
      <w:r w:rsidR="0046252D">
        <w:rPr>
          <w:spacing w:val="-3"/>
        </w:rPr>
        <w:t xml:space="preserve">Notwithstanding, </w:t>
      </w:r>
      <w:r w:rsidR="0046252D">
        <w:t>t</w:t>
      </w:r>
      <w:r w:rsidRPr="000A20DE">
        <w:t>o</w:t>
      </w:r>
      <w:r w:rsidRPr="000A20DE">
        <w:rPr>
          <w:spacing w:val="-3"/>
        </w:rPr>
        <w:t xml:space="preserve"> </w:t>
      </w:r>
      <w:r w:rsidRPr="000A20DE">
        <w:t>account</w:t>
      </w:r>
      <w:r w:rsidRPr="000A20DE">
        <w:rPr>
          <w:spacing w:val="-1"/>
        </w:rPr>
        <w:t xml:space="preserve"> </w:t>
      </w:r>
      <w:r w:rsidRPr="000A20DE">
        <w:t>for</w:t>
      </w:r>
      <w:r w:rsidRPr="000A20DE">
        <w:rPr>
          <w:spacing w:val="-4"/>
        </w:rPr>
        <w:t xml:space="preserve"> </w:t>
      </w:r>
      <w:r w:rsidRPr="000A20DE">
        <w:t>any</w:t>
      </w:r>
      <w:r w:rsidRPr="000A20DE">
        <w:rPr>
          <w:spacing w:val="-8"/>
        </w:rPr>
        <w:t xml:space="preserve"> </w:t>
      </w:r>
      <w:r w:rsidRPr="000A20DE">
        <w:t>unforeseen</w:t>
      </w:r>
      <w:r w:rsidRPr="000A20DE">
        <w:rPr>
          <w:spacing w:val="-3"/>
        </w:rPr>
        <w:t xml:space="preserve"> </w:t>
      </w:r>
      <w:r w:rsidRPr="000A20DE">
        <w:t>issues</w:t>
      </w:r>
      <w:r w:rsidRPr="000A20DE">
        <w:rPr>
          <w:spacing w:val="-3"/>
        </w:rPr>
        <w:t xml:space="preserve"> </w:t>
      </w:r>
      <w:r w:rsidRPr="000A20DE">
        <w:t>in</w:t>
      </w:r>
      <w:r w:rsidRPr="000A20DE">
        <w:rPr>
          <w:spacing w:val="-1"/>
        </w:rPr>
        <w:t xml:space="preserve"> </w:t>
      </w:r>
      <w:r w:rsidRPr="000A20DE">
        <w:t>transitioning,</w:t>
      </w:r>
      <w:r w:rsidRPr="000A20DE">
        <w:rPr>
          <w:spacing w:val="-3"/>
        </w:rPr>
        <w:t xml:space="preserve"> </w:t>
      </w:r>
      <w:r w:rsidRPr="000A20DE">
        <w:t>we</w:t>
      </w:r>
      <w:r w:rsidRPr="000A20DE">
        <w:rPr>
          <w:spacing w:val="-4"/>
        </w:rPr>
        <w:t xml:space="preserve"> </w:t>
      </w:r>
      <w:r w:rsidRPr="000A20DE">
        <w:t>are</w:t>
      </w:r>
      <w:r w:rsidRPr="000A20DE">
        <w:rPr>
          <w:spacing w:val="-4"/>
        </w:rPr>
        <w:t xml:space="preserve"> </w:t>
      </w:r>
      <w:r w:rsidRPr="000A20DE">
        <w:t>seeking</w:t>
      </w:r>
      <w:r w:rsidRPr="000A20DE">
        <w:rPr>
          <w:spacing w:val="-6"/>
        </w:rPr>
        <w:t xml:space="preserve"> </w:t>
      </w:r>
      <w:r w:rsidRPr="000A20DE">
        <w:t xml:space="preserve">approval to use either the MDP system </w:t>
      </w:r>
      <w:hyperlink r:id="rId11">
        <w:r w:rsidRPr="000A20DE">
          <w:rPr>
            <w:u w:val="single"/>
          </w:rPr>
          <w:t xml:space="preserve">or </w:t>
        </w:r>
        <w:r w:rsidRPr="000A20DE">
          <w:t xml:space="preserve">SurveyGizmo </w:t>
        </w:r>
        <w:r w:rsidR="0046252D">
          <w:t>as the survey instrument</w:t>
        </w:r>
        <w:r w:rsidRPr="000A20DE">
          <w:t xml:space="preserve">. </w:t>
        </w:r>
        <w:r w:rsidR="009A3578">
          <w:t>Specifically, a respondent</w:t>
        </w:r>
        <w:r w:rsidR="00A538C2" w:rsidRPr="00A538C2">
          <w:t xml:space="preserve"> would only need to respond to the survey questions via SurveyGizmo alone if CMS encounters any issues with the MDP online system. </w:t>
        </w:r>
        <w:r w:rsidRPr="000A20DE">
          <w:t>The SurveyGizmo weblink for a</w:t>
        </w:r>
      </w:hyperlink>
      <w:r w:rsidRPr="000A20DE">
        <w:t xml:space="preserve"> </w:t>
      </w:r>
      <w:hyperlink r:id="rId12" w:history="1">
        <w:r w:rsidR="009A3578" w:rsidRPr="00F70407">
          <w:rPr>
            <w:rStyle w:val="Hyperlink"/>
          </w:rPr>
          <w:t>fee-for-service respondent can</w:t>
        </w:r>
      </w:hyperlink>
      <w:r w:rsidRPr="000A20DE">
        <w:t xml:space="preserve"> be found at </w:t>
      </w:r>
      <w:hyperlink r:id="rId13">
        <w:r w:rsidRPr="000A20DE">
          <w:rPr>
            <w:color w:val="0563C1"/>
            <w:u w:val="single" w:color="0563C1"/>
          </w:rPr>
          <w:t>https://www.surveygizmo.com/s3/4472282/FFY-2018-D</w:t>
        </w:r>
      </w:hyperlink>
      <w:r w:rsidRPr="000A20DE">
        <w:rPr>
          <w:color w:val="0563C1"/>
          <w:u w:val="single" w:color="0563C1"/>
        </w:rPr>
        <w:t xml:space="preserve">rug- </w:t>
      </w:r>
      <w:hyperlink r:id="rId14" w:history="1">
        <w:r w:rsidR="00064097" w:rsidRPr="00F70407">
          <w:rPr>
            <w:rStyle w:val="Hyperlink"/>
            <w:u w:color="0563C1"/>
          </w:rPr>
          <w:t>Utilization-Review-Annual-Report-FFS</w:t>
        </w:r>
        <w:r w:rsidR="00064097" w:rsidRPr="00F70407">
          <w:rPr>
            <w:rStyle w:val="Hyperlink"/>
          </w:rPr>
          <w:t>, while that for a managed care respondent can be found at</w:t>
        </w:r>
      </w:hyperlink>
      <w:r w:rsidRPr="000A20DE">
        <w:t xml:space="preserve"> </w:t>
      </w:r>
      <w:hyperlink r:id="rId15">
        <w:r w:rsidRPr="000A20DE">
          <w:rPr>
            <w:color w:val="0563C1"/>
            <w:spacing w:val="-1"/>
            <w:u w:val="single" w:color="0563C1"/>
          </w:rPr>
          <w:t>https://www.surveygizmo.com/s3/4472286/FFY-2018-D</w:t>
        </w:r>
      </w:hyperlink>
      <w:r w:rsidRPr="000A20DE">
        <w:rPr>
          <w:color w:val="0563C1"/>
          <w:spacing w:val="-1"/>
          <w:u w:val="single" w:color="0563C1"/>
        </w:rPr>
        <w:t>rug-U</w:t>
      </w:r>
      <w:hyperlink r:id="rId16">
        <w:r w:rsidRPr="000A20DE">
          <w:rPr>
            <w:color w:val="0563C1"/>
            <w:spacing w:val="-1"/>
            <w:u w:val="single" w:color="0563C1"/>
          </w:rPr>
          <w:t>tilization</w:t>
        </w:r>
      </w:hyperlink>
      <w:r w:rsidRPr="000A20DE">
        <w:rPr>
          <w:color w:val="0563C1"/>
          <w:spacing w:val="-1"/>
          <w:u w:val="single" w:color="0563C1"/>
        </w:rPr>
        <w:t>-R</w:t>
      </w:r>
      <w:hyperlink r:id="rId17">
        <w:r w:rsidRPr="000A20DE">
          <w:rPr>
            <w:color w:val="0563C1"/>
            <w:spacing w:val="-1"/>
            <w:u w:val="single" w:color="0563C1"/>
          </w:rPr>
          <w:t>eview-Annual-Report-MCO</w:t>
        </w:r>
      </w:hyperlink>
      <w:r w:rsidRPr="000A20DE">
        <w:rPr>
          <w:spacing w:val="-1"/>
        </w:rPr>
        <w:t>.</w:t>
      </w:r>
    </w:p>
    <w:p w14:paraId="214E6E47" w14:textId="77777777" w:rsidR="00D24433" w:rsidRPr="000A20DE" w:rsidRDefault="00D24433" w:rsidP="00560248">
      <w:pPr>
        <w:pStyle w:val="BodyText"/>
      </w:pPr>
    </w:p>
    <w:p w14:paraId="214E6E48" w14:textId="77777777" w:rsidR="00D24433" w:rsidRPr="000A20DE" w:rsidRDefault="002B5808" w:rsidP="00560248">
      <w:pPr>
        <w:pStyle w:val="ListParagraph"/>
        <w:numPr>
          <w:ilvl w:val="0"/>
          <w:numId w:val="2"/>
        </w:numPr>
        <w:tabs>
          <w:tab w:val="left" w:pos="1280"/>
          <w:tab w:val="left" w:pos="1281"/>
        </w:tabs>
        <w:ind w:left="0" w:firstLine="0"/>
        <w:rPr>
          <w:sz w:val="24"/>
          <w:szCs w:val="24"/>
        </w:rPr>
      </w:pPr>
      <w:bookmarkStart w:id="6" w:name="4.__Duplication/Similar_Information"/>
      <w:bookmarkEnd w:id="6"/>
      <w:r w:rsidRPr="000A20DE">
        <w:rPr>
          <w:sz w:val="24"/>
          <w:szCs w:val="24"/>
          <w:u w:val="single"/>
        </w:rPr>
        <w:t>Duplication/Similar Information</w:t>
      </w:r>
    </w:p>
    <w:p w14:paraId="214E6E49" w14:textId="77777777" w:rsidR="00D24433" w:rsidRPr="000A20DE" w:rsidRDefault="00D24433" w:rsidP="00560248">
      <w:pPr>
        <w:pStyle w:val="BodyText"/>
      </w:pPr>
    </w:p>
    <w:p w14:paraId="214E6E4A" w14:textId="77777777" w:rsidR="00D24433" w:rsidRPr="000A20DE" w:rsidRDefault="002B5808" w:rsidP="00CF4B82">
      <w:pPr>
        <w:pStyle w:val="BodyText"/>
        <w:spacing w:line="247" w:lineRule="auto"/>
      </w:pPr>
      <w:r w:rsidRPr="000A20DE">
        <w:t>CMS</w:t>
      </w:r>
      <w:r w:rsidRPr="000A20DE">
        <w:rPr>
          <w:spacing w:val="-6"/>
        </w:rPr>
        <w:t xml:space="preserve"> </w:t>
      </w:r>
      <w:r w:rsidRPr="000A20DE">
        <w:t>is</w:t>
      </w:r>
      <w:r w:rsidRPr="000A20DE">
        <w:rPr>
          <w:spacing w:val="-6"/>
        </w:rPr>
        <w:t xml:space="preserve"> </w:t>
      </w:r>
      <w:r w:rsidRPr="000A20DE">
        <w:t>the</w:t>
      </w:r>
      <w:r w:rsidRPr="000A20DE">
        <w:rPr>
          <w:spacing w:val="-7"/>
        </w:rPr>
        <w:t xml:space="preserve"> </w:t>
      </w:r>
      <w:r w:rsidRPr="000A20DE">
        <w:t>only</w:t>
      </w:r>
      <w:r w:rsidRPr="000A20DE">
        <w:rPr>
          <w:spacing w:val="-13"/>
        </w:rPr>
        <w:t xml:space="preserve"> </w:t>
      </w:r>
      <w:r w:rsidRPr="000A20DE">
        <w:t>Department</w:t>
      </w:r>
      <w:r w:rsidRPr="000A20DE">
        <w:rPr>
          <w:spacing w:val="-6"/>
        </w:rPr>
        <w:t xml:space="preserve"> </w:t>
      </w:r>
      <w:r w:rsidRPr="000A20DE">
        <w:t>of</w:t>
      </w:r>
      <w:r w:rsidRPr="000A20DE">
        <w:rPr>
          <w:spacing w:val="-7"/>
        </w:rPr>
        <w:t xml:space="preserve"> </w:t>
      </w:r>
      <w:r w:rsidRPr="000A20DE">
        <w:t>Health</w:t>
      </w:r>
      <w:r w:rsidRPr="000A20DE">
        <w:rPr>
          <w:spacing w:val="-6"/>
        </w:rPr>
        <w:t xml:space="preserve"> </w:t>
      </w:r>
      <w:r w:rsidRPr="000A20DE">
        <w:t>and</w:t>
      </w:r>
      <w:r w:rsidRPr="000A20DE">
        <w:rPr>
          <w:spacing w:val="-6"/>
        </w:rPr>
        <w:t xml:space="preserve"> </w:t>
      </w:r>
      <w:r w:rsidRPr="000A20DE">
        <w:t>Human</w:t>
      </w:r>
      <w:r w:rsidRPr="000A20DE">
        <w:rPr>
          <w:spacing w:val="-6"/>
        </w:rPr>
        <w:t xml:space="preserve"> </w:t>
      </w:r>
      <w:r w:rsidRPr="000A20DE">
        <w:t>Services</w:t>
      </w:r>
      <w:r w:rsidRPr="000A20DE">
        <w:rPr>
          <w:spacing w:val="-6"/>
        </w:rPr>
        <w:t xml:space="preserve"> </w:t>
      </w:r>
      <w:r w:rsidRPr="000A20DE">
        <w:t>(HHS)</w:t>
      </w:r>
      <w:r w:rsidRPr="000A20DE">
        <w:rPr>
          <w:spacing w:val="-7"/>
        </w:rPr>
        <w:t xml:space="preserve"> </w:t>
      </w:r>
      <w:r w:rsidRPr="000A20DE">
        <w:t>component</w:t>
      </w:r>
      <w:r w:rsidRPr="000A20DE">
        <w:rPr>
          <w:spacing w:val="-6"/>
        </w:rPr>
        <w:t xml:space="preserve"> </w:t>
      </w:r>
      <w:r w:rsidRPr="000A20DE">
        <w:t>collecting</w:t>
      </w:r>
      <w:r w:rsidRPr="000A20DE">
        <w:rPr>
          <w:spacing w:val="-8"/>
        </w:rPr>
        <w:t xml:space="preserve"> </w:t>
      </w:r>
      <w:r w:rsidRPr="000A20DE">
        <w:t>Medicaid DUR data. Therefore, there is no existing initiative which duplicates this data collection that could yield findings in place of DUR</w:t>
      </w:r>
      <w:r w:rsidRPr="000A20DE">
        <w:rPr>
          <w:spacing w:val="-2"/>
        </w:rPr>
        <w:t xml:space="preserve"> </w:t>
      </w:r>
      <w:r w:rsidRPr="000A20DE">
        <w:t>data.</w:t>
      </w:r>
    </w:p>
    <w:p w14:paraId="214E6E4B" w14:textId="77777777" w:rsidR="00D24433" w:rsidRPr="000A20DE" w:rsidRDefault="00D24433" w:rsidP="00560248">
      <w:pPr>
        <w:pStyle w:val="BodyText"/>
      </w:pPr>
    </w:p>
    <w:p w14:paraId="214E6E4C" w14:textId="77777777" w:rsidR="00D24433" w:rsidRPr="000A20DE" w:rsidRDefault="002B5808" w:rsidP="00560248">
      <w:pPr>
        <w:pStyle w:val="ListParagraph"/>
        <w:numPr>
          <w:ilvl w:val="0"/>
          <w:numId w:val="2"/>
        </w:numPr>
        <w:tabs>
          <w:tab w:val="left" w:pos="1283"/>
          <w:tab w:val="left" w:pos="1284"/>
        </w:tabs>
        <w:ind w:left="0" w:firstLine="0"/>
        <w:rPr>
          <w:sz w:val="24"/>
          <w:szCs w:val="24"/>
        </w:rPr>
      </w:pPr>
      <w:bookmarkStart w:id="7" w:name="5.__Small_Business"/>
      <w:bookmarkEnd w:id="7"/>
      <w:r w:rsidRPr="000A20DE">
        <w:rPr>
          <w:sz w:val="24"/>
          <w:szCs w:val="24"/>
          <w:u w:val="single"/>
        </w:rPr>
        <w:t>Small</w:t>
      </w:r>
      <w:r w:rsidRPr="000A20DE">
        <w:rPr>
          <w:spacing w:val="-1"/>
          <w:sz w:val="24"/>
          <w:szCs w:val="24"/>
          <w:u w:val="single"/>
        </w:rPr>
        <w:t xml:space="preserve"> </w:t>
      </w:r>
      <w:r w:rsidRPr="000A20DE">
        <w:rPr>
          <w:sz w:val="24"/>
          <w:szCs w:val="24"/>
          <w:u w:val="single"/>
        </w:rPr>
        <w:t>Business</w:t>
      </w:r>
    </w:p>
    <w:p w14:paraId="214E6E4D" w14:textId="77777777" w:rsidR="00D24433" w:rsidRPr="000A20DE" w:rsidRDefault="00D24433" w:rsidP="00560248">
      <w:pPr>
        <w:pStyle w:val="BodyText"/>
      </w:pPr>
    </w:p>
    <w:p w14:paraId="214E6E4E" w14:textId="77777777" w:rsidR="00D24433" w:rsidRPr="000A20DE" w:rsidRDefault="002B5808" w:rsidP="00560248">
      <w:pPr>
        <w:pStyle w:val="BodyText"/>
        <w:spacing w:line="247" w:lineRule="auto"/>
      </w:pPr>
      <w:r w:rsidRPr="000A20DE">
        <w:t>These information collection requirements do not affect small businesses. When processing prescriptions, pharmacies have an automated system that utilizes the prospective data edits to complete</w:t>
      </w:r>
      <w:r w:rsidR="000A20DE" w:rsidRPr="000A20DE">
        <w:t xml:space="preserve"> </w:t>
      </w:r>
      <w:r w:rsidRPr="000A20DE">
        <w:t>the proper filling of the prescription. The pharmacy itself does not collect the data. The data is submitted to the state as the claim is being processed electronically.</w:t>
      </w:r>
    </w:p>
    <w:p w14:paraId="214E6E4F" w14:textId="77777777" w:rsidR="00D24433" w:rsidRPr="000A20DE" w:rsidRDefault="00D24433" w:rsidP="00560248">
      <w:pPr>
        <w:pStyle w:val="BodyText"/>
      </w:pPr>
    </w:p>
    <w:p w14:paraId="214E6E50" w14:textId="77777777" w:rsidR="00D24433" w:rsidRPr="000A20DE" w:rsidRDefault="002B5808" w:rsidP="00560248">
      <w:pPr>
        <w:pStyle w:val="ListParagraph"/>
        <w:numPr>
          <w:ilvl w:val="0"/>
          <w:numId w:val="2"/>
        </w:numPr>
        <w:tabs>
          <w:tab w:val="left" w:pos="1283"/>
          <w:tab w:val="left" w:pos="1284"/>
        </w:tabs>
        <w:ind w:left="0" w:firstLine="0"/>
        <w:rPr>
          <w:sz w:val="24"/>
          <w:szCs w:val="24"/>
        </w:rPr>
      </w:pPr>
      <w:bookmarkStart w:id="8" w:name="6.__Less_Frequent_Collection"/>
      <w:bookmarkEnd w:id="8"/>
      <w:r w:rsidRPr="000A20DE">
        <w:rPr>
          <w:sz w:val="24"/>
          <w:szCs w:val="24"/>
          <w:u w:val="single"/>
        </w:rPr>
        <w:t>Less Frequent</w:t>
      </w:r>
      <w:r w:rsidRPr="000A20DE">
        <w:rPr>
          <w:spacing w:val="-8"/>
          <w:sz w:val="24"/>
          <w:szCs w:val="24"/>
          <w:u w:val="single"/>
        </w:rPr>
        <w:t xml:space="preserve"> </w:t>
      </w:r>
      <w:r w:rsidRPr="000A20DE">
        <w:rPr>
          <w:sz w:val="24"/>
          <w:szCs w:val="24"/>
          <w:u w:val="single"/>
        </w:rPr>
        <w:t>Collection</w:t>
      </w:r>
    </w:p>
    <w:p w14:paraId="214E6E51" w14:textId="77777777" w:rsidR="00D24433" w:rsidRPr="000A20DE" w:rsidRDefault="00D24433" w:rsidP="00560248">
      <w:pPr>
        <w:pStyle w:val="BodyText"/>
      </w:pPr>
    </w:p>
    <w:p w14:paraId="214E6E52" w14:textId="77777777" w:rsidR="00D24433" w:rsidRDefault="002B5808" w:rsidP="00560248">
      <w:pPr>
        <w:pStyle w:val="BodyText"/>
        <w:spacing w:line="244" w:lineRule="auto"/>
      </w:pPr>
      <w:r w:rsidRPr="000A20DE">
        <w:t>RetroDUR activity is required by regulation at least quarterly according to 42 CFR 456.709(a) and State and MCO reports are required to be submitted annually according to 42 CFR 456.712(b) and 438.3(s)(5) by June 30</w:t>
      </w:r>
      <w:r w:rsidRPr="000A20DE">
        <w:rPr>
          <w:position w:val="9"/>
        </w:rPr>
        <w:t xml:space="preserve">th </w:t>
      </w:r>
      <w:r w:rsidRPr="000A20DE">
        <w:t>of each calendar year for the previous Federal Fiscal Year, as determined by the Secretary.  Less frequent data collection is not applicable.</w:t>
      </w:r>
    </w:p>
    <w:p w14:paraId="214E6E53" w14:textId="77777777" w:rsidR="00F90562" w:rsidRPr="000A20DE" w:rsidRDefault="00F90562" w:rsidP="00560248">
      <w:pPr>
        <w:pStyle w:val="BodyText"/>
        <w:spacing w:line="244" w:lineRule="auto"/>
      </w:pPr>
    </w:p>
    <w:p w14:paraId="214E6E54" w14:textId="77777777" w:rsidR="00D24433" w:rsidRPr="000A20DE" w:rsidRDefault="002B5808" w:rsidP="00560248">
      <w:pPr>
        <w:pStyle w:val="ListParagraph"/>
        <w:numPr>
          <w:ilvl w:val="0"/>
          <w:numId w:val="2"/>
        </w:numPr>
        <w:tabs>
          <w:tab w:val="left" w:pos="1283"/>
          <w:tab w:val="left" w:pos="1284"/>
        </w:tabs>
        <w:ind w:left="0" w:firstLine="0"/>
        <w:rPr>
          <w:sz w:val="24"/>
          <w:szCs w:val="24"/>
        </w:rPr>
      </w:pPr>
      <w:bookmarkStart w:id="9" w:name="7.__Special_Circumstances"/>
      <w:bookmarkEnd w:id="9"/>
      <w:r w:rsidRPr="000A20DE">
        <w:rPr>
          <w:sz w:val="24"/>
          <w:szCs w:val="24"/>
          <w:u w:val="single"/>
        </w:rPr>
        <w:t>Special</w:t>
      </w:r>
      <w:r w:rsidRPr="000A20DE">
        <w:rPr>
          <w:spacing w:val="-10"/>
          <w:sz w:val="24"/>
          <w:szCs w:val="24"/>
          <w:u w:val="single"/>
        </w:rPr>
        <w:t xml:space="preserve"> </w:t>
      </w:r>
      <w:r w:rsidRPr="000A20DE">
        <w:rPr>
          <w:sz w:val="24"/>
          <w:szCs w:val="24"/>
          <w:u w:val="single"/>
        </w:rPr>
        <w:t>Circumstances</w:t>
      </w:r>
    </w:p>
    <w:p w14:paraId="214E6E55" w14:textId="77777777" w:rsidR="00D24433" w:rsidRPr="000A20DE" w:rsidRDefault="00D24433" w:rsidP="00560248">
      <w:pPr>
        <w:pStyle w:val="BodyText"/>
      </w:pPr>
    </w:p>
    <w:p w14:paraId="214E6E56" w14:textId="77777777" w:rsidR="00D24433" w:rsidRPr="000A20DE" w:rsidRDefault="002B5808" w:rsidP="00560248">
      <w:pPr>
        <w:pStyle w:val="BodyText"/>
        <w:spacing w:line="247" w:lineRule="auto"/>
      </w:pPr>
      <w:r w:rsidRPr="000A20DE">
        <w:t>There are no special circumstances that would require an information collection to be conducted in a manner that requires respondents to:</w:t>
      </w:r>
    </w:p>
    <w:p w14:paraId="214E6E57" w14:textId="77777777" w:rsidR="00D24433" w:rsidRPr="000A20DE" w:rsidRDefault="00D24433" w:rsidP="00560248">
      <w:pPr>
        <w:pStyle w:val="BodyText"/>
      </w:pPr>
    </w:p>
    <w:p w14:paraId="214E6E58" w14:textId="77777777" w:rsidR="00D24433" w:rsidRPr="000A20DE" w:rsidRDefault="002B5808" w:rsidP="00560248">
      <w:pPr>
        <w:pStyle w:val="ListParagraph"/>
        <w:numPr>
          <w:ilvl w:val="0"/>
          <w:numId w:val="1"/>
        </w:numPr>
        <w:tabs>
          <w:tab w:val="left" w:pos="555"/>
          <w:tab w:val="left" w:pos="556"/>
        </w:tabs>
        <w:ind w:left="0" w:firstLine="0"/>
        <w:rPr>
          <w:sz w:val="24"/>
          <w:szCs w:val="24"/>
        </w:rPr>
      </w:pPr>
      <w:r w:rsidRPr="000A20DE">
        <w:rPr>
          <w:sz w:val="24"/>
          <w:szCs w:val="24"/>
        </w:rPr>
        <w:t>Report information to the agency more often than</w:t>
      </w:r>
      <w:r w:rsidRPr="000A20DE">
        <w:rPr>
          <w:spacing w:val="-15"/>
          <w:sz w:val="24"/>
          <w:szCs w:val="24"/>
        </w:rPr>
        <w:t xml:space="preserve"> </w:t>
      </w:r>
      <w:r w:rsidRPr="000A20DE">
        <w:rPr>
          <w:sz w:val="24"/>
          <w:szCs w:val="24"/>
        </w:rPr>
        <w:t>quarterly;</w:t>
      </w:r>
    </w:p>
    <w:p w14:paraId="214E6E59" w14:textId="77777777" w:rsidR="00D24433" w:rsidRPr="000A20DE" w:rsidRDefault="002B5808" w:rsidP="00560248">
      <w:pPr>
        <w:pStyle w:val="ListParagraph"/>
        <w:numPr>
          <w:ilvl w:val="0"/>
          <w:numId w:val="1"/>
        </w:numPr>
        <w:tabs>
          <w:tab w:val="left" w:pos="555"/>
          <w:tab w:val="left" w:pos="556"/>
        </w:tabs>
        <w:ind w:left="0" w:firstLine="0"/>
        <w:rPr>
          <w:sz w:val="24"/>
          <w:szCs w:val="24"/>
        </w:rPr>
      </w:pPr>
      <w:r w:rsidRPr="000A20DE">
        <w:rPr>
          <w:sz w:val="24"/>
          <w:szCs w:val="24"/>
        </w:rPr>
        <w:t>Prepare a written response to a collection of information in fewer than 30 days after receipt of</w:t>
      </w:r>
      <w:r w:rsidRPr="000A20DE">
        <w:rPr>
          <w:spacing w:val="-23"/>
          <w:sz w:val="24"/>
          <w:szCs w:val="24"/>
        </w:rPr>
        <w:t xml:space="preserve"> </w:t>
      </w:r>
      <w:r w:rsidRPr="000A20DE">
        <w:rPr>
          <w:sz w:val="24"/>
          <w:szCs w:val="24"/>
        </w:rPr>
        <w:t>it;</w:t>
      </w:r>
    </w:p>
    <w:p w14:paraId="214E6E5A" w14:textId="77777777" w:rsidR="00D24433" w:rsidRPr="000A20DE" w:rsidRDefault="002B5808" w:rsidP="00560248">
      <w:pPr>
        <w:pStyle w:val="ListParagraph"/>
        <w:numPr>
          <w:ilvl w:val="0"/>
          <w:numId w:val="1"/>
        </w:numPr>
        <w:tabs>
          <w:tab w:val="left" w:pos="555"/>
          <w:tab w:val="left" w:pos="556"/>
        </w:tabs>
        <w:ind w:left="0" w:firstLine="0"/>
        <w:rPr>
          <w:sz w:val="24"/>
          <w:szCs w:val="24"/>
        </w:rPr>
      </w:pPr>
      <w:r w:rsidRPr="000A20DE">
        <w:rPr>
          <w:sz w:val="24"/>
          <w:szCs w:val="24"/>
        </w:rPr>
        <w:t>Submit more than an original and two copies of any</w:t>
      </w:r>
      <w:r w:rsidRPr="000A20DE">
        <w:rPr>
          <w:spacing w:val="-12"/>
          <w:sz w:val="24"/>
          <w:szCs w:val="24"/>
        </w:rPr>
        <w:t xml:space="preserve"> </w:t>
      </w:r>
      <w:r w:rsidRPr="000A20DE">
        <w:rPr>
          <w:sz w:val="24"/>
          <w:szCs w:val="24"/>
        </w:rPr>
        <w:t>document;</w:t>
      </w:r>
    </w:p>
    <w:p w14:paraId="214E6E5B" w14:textId="77777777" w:rsidR="00D24433" w:rsidRPr="000A20DE" w:rsidRDefault="002B5808" w:rsidP="00560248">
      <w:pPr>
        <w:pStyle w:val="ListParagraph"/>
        <w:numPr>
          <w:ilvl w:val="0"/>
          <w:numId w:val="1"/>
        </w:numPr>
        <w:tabs>
          <w:tab w:val="left" w:pos="555"/>
          <w:tab w:val="left" w:pos="556"/>
        </w:tabs>
        <w:spacing w:line="249" w:lineRule="auto"/>
        <w:ind w:left="0" w:firstLine="0"/>
        <w:rPr>
          <w:sz w:val="24"/>
          <w:szCs w:val="24"/>
        </w:rPr>
      </w:pPr>
      <w:r w:rsidRPr="000A20DE">
        <w:rPr>
          <w:sz w:val="24"/>
          <w:szCs w:val="24"/>
        </w:rPr>
        <w:t>Retain records, other than health, medical, government contract, grant-in-aid, or tax records</w:t>
      </w:r>
      <w:r w:rsidRPr="000A20DE">
        <w:rPr>
          <w:spacing w:val="-21"/>
          <w:sz w:val="24"/>
          <w:szCs w:val="24"/>
        </w:rPr>
        <w:t xml:space="preserve"> </w:t>
      </w:r>
      <w:r w:rsidRPr="000A20DE">
        <w:rPr>
          <w:sz w:val="24"/>
          <w:szCs w:val="24"/>
        </w:rPr>
        <w:t>for more than three</w:t>
      </w:r>
      <w:r w:rsidRPr="000A20DE">
        <w:rPr>
          <w:spacing w:val="-7"/>
          <w:sz w:val="24"/>
          <w:szCs w:val="24"/>
        </w:rPr>
        <w:t xml:space="preserve"> </w:t>
      </w:r>
      <w:r w:rsidRPr="000A20DE">
        <w:rPr>
          <w:sz w:val="24"/>
          <w:szCs w:val="24"/>
        </w:rPr>
        <w:t>years;</w:t>
      </w:r>
    </w:p>
    <w:p w14:paraId="214E6E5C" w14:textId="77777777" w:rsidR="00D24433" w:rsidRPr="000A20DE" w:rsidRDefault="002B5808" w:rsidP="00560248">
      <w:pPr>
        <w:pStyle w:val="ListParagraph"/>
        <w:numPr>
          <w:ilvl w:val="0"/>
          <w:numId w:val="1"/>
        </w:numPr>
        <w:tabs>
          <w:tab w:val="left" w:pos="555"/>
          <w:tab w:val="left" w:pos="556"/>
        </w:tabs>
        <w:spacing w:line="249" w:lineRule="auto"/>
        <w:ind w:left="0" w:firstLine="0"/>
        <w:rPr>
          <w:sz w:val="24"/>
          <w:szCs w:val="24"/>
        </w:rPr>
      </w:pPr>
      <w:r w:rsidRPr="000A20DE">
        <w:rPr>
          <w:sz w:val="24"/>
          <w:szCs w:val="24"/>
        </w:rPr>
        <w:t>Collect data in connection with a statistical survey that is not designed to produce valid</w:t>
      </w:r>
      <w:r w:rsidRPr="000A20DE">
        <w:rPr>
          <w:spacing w:val="-20"/>
          <w:sz w:val="24"/>
          <w:szCs w:val="24"/>
        </w:rPr>
        <w:t xml:space="preserve"> </w:t>
      </w:r>
      <w:r w:rsidRPr="000A20DE">
        <w:rPr>
          <w:sz w:val="24"/>
          <w:szCs w:val="24"/>
        </w:rPr>
        <w:t>and reliable results that can be generalized to the universe of</w:t>
      </w:r>
      <w:r w:rsidRPr="000A20DE">
        <w:rPr>
          <w:spacing w:val="-15"/>
          <w:sz w:val="24"/>
          <w:szCs w:val="24"/>
        </w:rPr>
        <w:t xml:space="preserve"> </w:t>
      </w:r>
      <w:r w:rsidRPr="000A20DE">
        <w:rPr>
          <w:sz w:val="24"/>
          <w:szCs w:val="24"/>
        </w:rPr>
        <w:t>study,</w:t>
      </w:r>
    </w:p>
    <w:p w14:paraId="214E6E5D" w14:textId="77777777" w:rsidR="00D24433" w:rsidRPr="000A20DE" w:rsidRDefault="002B5808" w:rsidP="00560248">
      <w:pPr>
        <w:pStyle w:val="ListParagraph"/>
        <w:numPr>
          <w:ilvl w:val="0"/>
          <w:numId w:val="1"/>
        </w:numPr>
        <w:tabs>
          <w:tab w:val="left" w:pos="555"/>
          <w:tab w:val="left" w:pos="556"/>
        </w:tabs>
        <w:ind w:left="0" w:firstLine="0"/>
        <w:rPr>
          <w:sz w:val="24"/>
          <w:szCs w:val="24"/>
        </w:rPr>
      </w:pPr>
      <w:r w:rsidRPr="000A20DE">
        <w:rPr>
          <w:sz w:val="24"/>
          <w:szCs w:val="24"/>
        </w:rPr>
        <w:t>Use a statistical data classification that has not been reviewed and approved by</w:t>
      </w:r>
      <w:r w:rsidRPr="000A20DE">
        <w:rPr>
          <w:spacing w:val="-19"/>
          <w:sz w:val="24"/>
          <w:szCs w:val="24"/>
        </w:rPr>
        <w:t xml:space="preserve"> </w:t>
      </w:r>
      <w:r w:rsidRPr="000A20DE">
        <w:rPr>
          <w:sz w:val="24"/>
          <w:szCs w:val="24"/>
        </w:rPr>
        <w:t>OMB;</w:t>
      </w:r>
    </w:p>
    <w:p w14:paraId="214E6E5E" w14:textId="77777777" w:rsidR="00D24433" w:rsidRPr="000A20DE" w:rsidRDefault="002B5808" w:rsidP="00560248">
      <w:pPr>
        <w:pStyle w:val="ListParagraph"/>
        <w:numPr>
          <w:ilvl w:val="0"/>
          <w:numId w:val="1"/>
        </w:numPr>
        <w:tabs>
          <w:tab w:val="left" w:pos="555"/>
          <w:tab w:val="left" w:pos="556"/>
        </w:tabs>
        <w:spacing w:line="249" w:lineRule="auto"/>
        <w:ind w:left="0" w:firstLine="0"/>
        <w:rPr>
          <w:sz w:val="24"/>
          <w:szCs w:val="24"/>
        </w:rPr>
      </w:pPr>
      <w:r w:rsidRPr="000A20DE">
        <w:rPr>
          <w:sz w:val="24"/>
          <w:szCs w:val="24"/>
        </w:rPr>
        <w:t>Include a pledge of confidentiality that is not supported by authority established in statute or regulation that is not supported by disclosure and data security policies that are consistent with</w:t>
      </w:r>
      <w:r w:rsidRPr="000A20DE">
        <w:rPr>
          <w:spacing w:val="-23"/>
          <w:sz w:val="24"/>
          <w:szCs w:val="24"/>
        </w:rPr>
        <w:t xml:space="preserve"> </w:t>
      </w:r>
      <w:r w:rsidRPr="000A20DE">
        <w:rPr>
          <w:sz w:val="24"/>
          <w:szCs w:val="24"/>
        </w:rPr>
        <w:t>the pledge, or which unnecessarily impedes sharing of data with other agencies for compatible confidential use;</w:t>
      </w:r>
      <w:r w:rsidRPr="000A20DE">
        <w:rPr>
          <w:spacing w:val="-6"/>
          <w:sz w:val="24"/>
          <w:szCs w:val="24"/>
        </w:rPr>
        <w:t xml:space="preserve"> </w:t>
      </w:r>
      <w:r w:rsidRPr="000A20DE">
        <w:rPr>
          <w:sz w:val="24"/>
          <w:szCs w:val="24"/>
        </w:rPr>
        <w:t>or</w:t>
      </w:r>
    </w:p>
    <w:p w14:paraId="214E6E5F" w14:textId="77777777" w:rsidR="00D24433" w:rsidRPr="000A20DE" w:rsidRDefault="002B5808" w:rsidP="00560248">
      <w:pPr>
        <w:pStyle w:val="ListParagraph"/>
        <w:numPr>
          <w:ilvl w:val="0"/>
          <w:numId w:val="1"/>
        </w:numPr>
        <w:tabs>
          <w:tab w:val="left" w:pos="555"/>
          <w:tab w:val="left" w:pos="556"/>
        </w:tabs>
        <w:spacing w:line="249" w:lineRule="auto"/>
        <w:ind w:left="0" w:firstLine="0"/>
        <w:rPr>
          <w:sz w:val="24"/>
          <w:szCs w:val="24"/>
        </w:rPr>
      </w:pPr>
      <w:r w:rsidRPr="000A20DE">
        <w:rPr>
          <w:sz w:val="24"/>
          <w:szCs w:val="24"/>
        </w:rPr>
        <w:t>Submit proprietary trade secrets, or other confidential information unless the agency can demonstrate that it has instituted procedures to protect the information's confidentiality to</w:t>
      </w:r>
      <w:r w:rsidRPr="000A20DE">
        <w:rPr>
          <w:spacing w:val="-23"/>
          <w:sz w:val="24"/>
          <w:szCs w:val="24"/>
        </w:rPr>
        <w:t xml:space="preserve"> </w:t>
      </w:r>
      <w:r w:rsidRPr="000A20DE">
        <w:rPr>
          <w:sz w:val="24"/>
          <w:szCs w:val="24"/>
        </w:rPr>
        <w:t>the extent permitted by</w:t>
      </w:r>
      <w:r w:rsidRPr="000A20DE">
        <w:rPr>
          <w:spacing w:val="-9"/>
          <w:sz w:val="24"/>
          <w:szCs w:val="24"/>
        </w:rPr>
        <w:t xml:space="preserve"> </w:t>
      </w:r>
      <w:r w:rsidRPr="000A20DE">
        <w:rPr>
          <w:sz w:val="24"/>
          <w:szCs w:val="24"/>
        </w:rPr>
        <w:t>law.</w:t>
      </w:r>
    </w:p>
    <w:p w14:paraId="214E6E60" w14:textId="77777777" w:rsidR="00D24433" w:rsidRPr="000A20DE" w:rsidRDefault="00D24433" w:rsidP="00560248">
      <w:pPr>
        <w:pStyle w:val="BodyText"/>
      </w:pPr>
    </w:p>
    <w:p w14:paraId="214E6E61" w14:textId="77777777" w:rsidR="00D24433" w:rsidRPr="000A20DE" w:rsidRDefault="002B5808" w:rsidP="00560248">
      <w:pPr>
        <w:pStyle w:val="ListParagraph"/>
        <w:numPr>
          <w:ilvl w:val="0"/>
          <w:numId w:val="2"/>
        </w:numPr>
        <w:tabs>
          <w:tab w:val="left" w:pos="1280"/>
          <w:tab w:val="left" w:pos="1281"/>
        </w:tabs>
        <w:ind w:left="0" w:firstLine="0"/>
        <w:rPr>
          <w:sz w:val="24"/>
          <w:szCs w:val="24"/>
        </w:rPr>
      </w:pPr>
      <w:r w:rsidRPr="000A20DE">
        <w:rPr>
          <w:sz w:val="24"/>
          <w:szCs w:val="24"/>
          <w:u w:val="single"/>
        </w:rPr>
        <w:t>Federal Register Notice/Outside</w:t>
      </w:r>
      <w:r w:rsidRPr="000A20DE">
        <w:rPr>
          <w:spacing w:val="-11"/>
          <w:sz w:val="24"/>
          <w:szCs w:val="24"/>
          <w:u w:val="single"/>
        </w:rPr>
        <w:t xml:space="preserve"> </w:t>
      </w:r>
      <w:r w:rsidRPr="000A20DE">
        <w:rPr>
          <w:sz w:val="24"/>
          <w:szCs w:val="24"/>
          <w:u w:val="single"/>
        </w:rPr>
        <w:t>Consultation</w:t>
      </w:r>
    </w:p>
    <w:p w14:paraId="214E6E62" w14:textId="77777777" w:rsidR="00D24433" w:rsidRPr="000A20DE" w:rsidRDefault="00D24433" w:rsidP="00560248">
      <w:pPr>
        <w:pStyle w:val="BodyText"/>
      </w:pPr>
    </w:p>
    <w:p w14:paraId="214E6E63" w14:textId="77777777" w:rsidR="00D24433" w:rsidRPr="00F90562" w:rsidRDefault="002B5808" w:rsidP="00560248">
      <w:pPr>
        <w:rPr>
          <w:i/>
          <w:sz w:val="24"/>
          <w:szCs w:val="24"/>
        </w:rPr>
      </w:pPr>
      <w:r w:rsidRPr="00F90562">
        <w:rPr>
          <w:i/>
          <w:sz w:val="24"/>
          <w:szCs w:val="24"/>
        </w:rPr>
        <w:t>Federal Register Notice</w:t>
      </w:r>
    </w:p>
    <w:p w14:paraId="214E6E64" w14:textId="77777777" w:rsidR="00D24433" w:rsidRPr="00F90562" w:rsidRDefault="00D24433" w:rsidP="00560248">
      <w:pPr>
        <w:pStyle w:val="BodyText"/>
        <w:rPr>
          <w:i/>
        </w:rPr>
      </w:pPr>
    </w:p>
    <w:p w14:paraId="214E6E65" w14:textId="35A8083F" w:rsidR="00D24433" w:rsidRPr="000A20DE" w:rsidRDefault="002B5808" w:rsidP="00560248">
      <w:pPr>
        <w:pStyle w:val="BodyText"/>
      </w:pPr>
      <w:r w:rsidRPr="000A20DE">
        <w:t>The 60-day notice published in the Federa</w:t>
      </w:r>
      <w:r w:rsidR="00990FEB">
        <w:t>l Register on March 27, 2018 (83</w:t>
      </w:r>
      <w:r w:rsidRPr="000A20DE">
        <w:t xml:space="preserve"> FR 13130).</w:t>
      </w:r>
      <w:r w:rsidR="006E0E32">
        <w:t xml:space="preserve"> </w:t>
      </w:r>
      <w:r w:rsidR="006E0E32" w:rsidRPr="006E0E32">
        <w:t xml:space="preserve">We received one comment </w:t>
      </w:r>
      <w:r w:rsidR="006E0E32">
        <w:t>in support of the changes.</w:t>
      </w:r>
      <w:r w:rsidR="00270E46">
        <w:t xml:space="preserve"> The comment and our response are attached as separate documents.</w:t>
      </w:r>
    </w:p>
    <w:p w14:paraId="214E6E66" w14:textId="77777777" w:rsidR="00D24433" w:rsidRDefault="00D24433" w:rsidP="00560248">
      <w:pPr>
        <w:pStyle w:val="BodyText"/>
      </w:pPr>
    </w:p>
    <w:p w14:paraId="214E6E67" w14:textId="408CCC93" w:rsidR="00EA30C5" w:rsidRDefault="00E93D7F" w:rsidP="00560248">
      <w:pPr>
        <w:pStyle w:val="BodyText"/>
      </w:pPr>
      <w:r w:rsidRPr="000A20DE">
        <w:t xml:space="preserve">The </w:t>
      </w:r>
      <w:r>
        <w:t>3</w:t>
      </w:r>
      <w:r w:rsidRPr="000A20DE">
        <w:t>0-day notice published in the Federa</w:t>
      </w:r>
      <w:r>
        <w:t>l Register on July 17, 2018 (83</w:t>
      </w:r>
      <w:r w:rsidRPr="000A20DE">
        <w:t xml:space="preserve"> FR </w:t>
      </w:r>
      <w:r>
        <w:t>33225</w:t>
      </w:r>
      <w:r w:rsidRPr="000A20DE">
        <w:t>).</w:t>
      </w:r>
      <w:r>
        <w:t xml:space="preserve"> We did </w:t>
      </w:r>
      <w:r w:rsidR="007D5DC6">
        <w:t>n</w:t>
      </w:r>
      <w:r>
        <w:t>ot receive any comments.</w:t>
      </w:r>
    </w:p>
    <w:p w14:paraId="214E6E68" w14:textId="77777777" w:rsidR="00EA30C5" w:rsidRPr="000A20DE" w:rsidRDefault="00EA30C5" w:rsidP="00560248">
      <w:pPr>
        <w:pStyle w:val="BodyText"/>
      </w:pPr>
    </w:p>
    <w:p w14:paraId="214E6E69" w14:textId="77777777" w:rsidR="00D24433" w:rsidRPr="000A20DE" w:rsidRDefault="002B5808" w:rsidP="00560248">
      <w:pPr>
        <w:pStyle w:val="ListParagraph"/>
        <w:numPr>
          <w:ilvl w:val="0"/>
          <w:numId w:val="2"/>
        </w:numPr>
        <w:tabs>
          <w:tab w:val="left" w:pos="1280"/>
          <w:tab w:val="left" w:pos="1281"/>
        </w:tabs>
        <w:ind w:left="0" w:firstLine="0"/>
        <w:rPr>
          <w:sz w:val="24"/>
          <w:szCs w:val="24"/>
        </w:rPr>
      </w:pPr>
      <w:bookmarkStart w:id="10" w:name="Outside_Consultation"/>
      <w:bookmarkEnd w:id="10"/>
      <w:r w:rsidRPr="000A20DE">
        <w:rPr>
          <w:sz w:val="24"/>
          <w:szCs w:val="24"/>
          <w:u w:val="single"/>
        </w:rPr>
        <w:t>Payments/Gift to</w:t>
      </w:r>
      <w:r w:rsidRPr="000A20DE">
        <w:rPr>
          <w:spacing w:val="-8"/>
          <w:sz w:val="24"/>
          <w:szCs w:val="24"/>
          <w:u w:val="single"/>
        </w:rPr>
        <w:t xml:space="preserve"> </w:t>
      </w:r>
      <w:r w:rsidRPr="000A20DE">
        <w:rPr>
          <w:sz w:val="24"/>
          <w:szCs w:val="24"/>
          <w:u w:val="single"/>
        </w:rPr>
        <w:t>Respondents</w:t>
      </w:r>
    </w:p>
    <w:p w14:paraId="214E6E6A" w14:textId="77777777" w:rsidR="00D24433" w:rsidRPr="000A20DE" w:rsidRDefault="00D24433" w:rsidP="00560248">
      <w:pPr>
        <w:pStyle w:val="BodyText"/>
      </w:pPr>
    </w:p>
    <w:p w14:paraId="214E6E6B" w14:textId="77777777" w:rsidR="00D24433" w:rsidRPr="000A20DE" w:rsidRDefault="002B5808" w:rsidP="00560248">
      <w:pPr>
        <w:pStyle w:val="BodyText"/>
      </w:pPr>
      <w:r w:rsidRPr="000A20DE">
        <w:t>There are no payments/gifts to respondents.</w:t>
      </w:r>
    </w:p>
    <w:p w14:paraId="214E6E6C" w14:textId="77777777" w:rsidR="000A20DE" w:rsidRPr="000A20DE" w:rsidRDefault="000A20DE" w:rsidP="00560248">
      <w:pPr>
        <w:pStyle w:val="BodyText"/>
      </w:pPr>
    </w:p>
    <w:p w14:paraId="214E6E6D" w14:textId="77777777" w:rsidR="00D24433" w:rsidRPr="000A20DE" w:rsidRDefault="002B5808" w:rsidP="00560248">
      <w:pPr>
        <w:pStyle w:val="ListParagraph"/>
        <w:numPr>
          <w:ilvl w:val="0"/>
          <w:numId w:val="2"/>
        </w:numPr>
        <w:tabs>
          <w:tab w:val="left" w:pos="1287"/>
          <w:tab w:val="left" w:pos="1288"/>
        </w:tabs>
        <w:ind w:left="0" w:firstLine="0"/>
        <w:rPr>
          <w:sz w:val="24"/>
          <w:szCs w:val="24"/>
        </w:rPr>
      </w:pPr>
      <w:bookmarkStart w:id="11" w:name="10.__Confidentiality"/>
      <w:bookmarkEnd w:id="11"/>
      <w:r w:rsidRPr="000A20DE">
        <w:rPr>
          <w:sz w:val="24"/>
          <w:szCs w:val="24"/>
          <w:u w:val="single"/>
        </w:rPr>
        <w:t>Confidentiality</w:t>
      </w:r>
    </w:p>
    <w:p w14:paraId="214E6E6E" w14:textId="77777777" w:rsidR="00D24433" w:rsidRPr="000A20DE" w:rsidRDefault="00D24433" w:rsidP="00560248">
      <w:pPr>
        <w:pStyle w:val="BodyText"/>
      </w:pPr>
    </w:p>
    <w:p w14:paraId="214E6E6F" w14:textId="77777777" w:rsidR="00D24433" w:rsidRPr="000A20DE" w:rsidRDefault="002B5808" w:rsidP="00560248">
      <w:pPr>
        <w:pStyle w:val="BodyText"/>
        <w:spacing w:line="249" w:lineRule="auto"/>
      </w:pPr>
      <w:r w:rsidRPr="000A20DE">
        <w:t>States are required under 42 CFR 431.300(a) to safeguard recipient protected information. Accordingly, each State maintains a State Plan providing safeguards that restrict the use or disclosure of information concerning applicants and recipients to purposes directly connected with the administration of the plan per Section 1902(a)(7) of the Social Security Act.</w:t>
      </w:r>
    </w:p>
    <w:p w14:paraId="214E6E70" w14:textId="77777777" w:rsidR="00D24433" w:rsidRPr="000A20DE" w:rsidRDefault="00D24433" w:rsidP="00560248">
      <w:pPr>
        <w:pStyle w:val="BodyText"/>
      </w:pPr>
    </w:p>
    <w:p w14:paraId="214E6E71" w14:textId="77777777" w:rsidR="00D24433" w:rsidRPr="000A20DE" w:rsidRDefault="002B5808" w:rsidP="00560248">
      <w:pPr>
        <w:pStyle w:val="ListParagraph"/>
        <w:numPr>
          <w:ilvl w:val="0"/>
          <w:numId w:val="2"/>
        </w:numPr>
        <w:tabs>
          <w:tab w:val="left" w:pos="1283"/>
          <w:tab w:val="left" w:pos="1284"/>
        </w:tabs>
        <w:ind w:left="0" w:firstLine="0"/>
        <w:rPr>
          <w:sz w:val="24"/>
          <w:szCs w:val="24"/>
        </w:rPr>
      </w:pPr>
      <w:r w:rsidRPr="000A20DE">
        <w:rPr>
          <w:sz w:val="24"/>
          <w:szCs w:val="24"/>
          <w:u w:val="single"/>
        </w:rPr>
        <w:t>Sensitive</w:t>
      </w:r>
      <w:r w:rsidRPr="000A20DE">
        <w:rPr>
          <w:spacing w:val="-5"/>
          <w:sz w:val="24"/>
          <w:szCs w:val="24"/>
          <w:u w:val="single"/>
        </w:rPr>
        <w:t xml:space="preserve"> </w:t>
      </w:r>
      <w:r w:rsidRPr="000A20DE">
        <w:rPr>
          <w:sz w:val="24"/>
          <w:szCs w:val="24"/>
          <w:u w:val="single"/>
        </w:rPr>
        <w:t>Questions</w:t>
      </w:r>
    </w:p>
    <w:p w14:paraId="214E6E72" w14:textId="77777777" w:rsidR="00D24433" w:rsidRPr="000A20DE" w:rsidRDefault="00D24433" w:rsidP="00560248">
      <w:pPr>
        <w:pStyle w:val="BodyText"/>
      </w:pPr>
    </w:p>
    <w:p w14:paraId="214E6E73" w14:textId="77777777" w:rsidR="00D24433" w:rsidRPr="000A20DE" w:rsidRDefault="002B5808" w:rsidP="00560248">
      <w:pPr>
        <w:pStyle w:val="BodyText"/>
      </w:pPr>
      <w:r w:rsidRPr="000A20DE">
        <w:t>There are no questions of a sensitive nature associated with this collection.</w:t>
      </w:r>
    </w:p>
    <w:p w14:paraId="214E6E74" w14:textId="77777777" w:rsidR="00D24433" w:rsidRPr="000A20DE" w:rsidRDefault="00D24433" w:rsidP="00560248">
      <w:pPr>
        <w:pStyle w:val="BodyText"/>
      </w:pPr>
    </w:p>
    <w:p w14:paraId="214E6E75" w14:textId="77777777" w:rsidR="00D24433" w:rsidRPr="00064097" w:rsidRDefault="002B5808" w:rsidP="00560248">
      <w:pPr>
        <w:pStyle w:val="ListParagraph"/>
        <w:numPr>
          <w:ilvl w:val="0"/>
          <w:numId w:val="2"/>
        </w:numPr>
        <w:tabs>
          <w:tab w:val="left" w:pos="1283"/>
          <w:tab w:val="left" w:pos="1284"/>
        </w:tabs>
        <w:ind w:left="0" w:firstLine="0"/>
        <w:rPr>
          <w:sz w:val="24"/>
          <w:szCs w:val="24"/>
        </w:rPr>
      </w:pPr>
      <w:bookmarkStart w:id="12" w:name="12.__Burden_of_Estimate_(Hours_and_Wages"/>
      <w:bookmarkEnd w:id="12"/>
      <w:r w:rsidRPr="000A20DE">
        <w:rPr>
          <w:sz w:val="24"/>
          <w:szCs w:val="24"/>
          <w:u w:val="single"/>
        </w:rPr>
        <w:t>Burden of Estimate (Hours and</w:t>
      </w:r>
      <w:r w:rsidRPr="000A20DE">
        <w:rPr>
          <w:spacing w:val="-10"/>
          <w:sz w:val="24"/>
          <w:szCs w:val="24"/>
          <w:u w:val="single"/>
        </w:rPr>
        <w:t xml:space="preserve"> </w:t>
      </w:r>
      <w:r w:rsidRPr="000A20DE">
        <w:rPr>
          <w:sz w:val="24"/>
          <w:szCs w:val="24"/>
          <w:u w:val="single"/>
        </w:rPr>
        <w:t>Wages)</w:t>
      </w:r>
    </w:p>
    <w:p w14:paraId="374DE708" w14:textId="77777777" w:rsidR="00DD4B5B" w:rsidRDefault="00DD4B5B" w:rsidP="00064097">
      <w:pPr>
        <w:pStyle w:val="ListParagraph"/>
        <w:tabs>
          <w:tab w:val="left" w:pos="1283"/>
          <w:tab w:val="left" w:pos="1284"/>
        </w:tabs>
        <w:ind w:left="0" w:firstLine="0"/>
        <w:rPr>
          <w:sz w:val="24"/>
          <w:szCs w:val="24"/>
        </w:rPr>
      </w:pPr>
    </w:p>
    <w:p w14:paraId="214E6E76" w14:textId="39B7ED5B" w:rsidR="00EC5813" w:rsidRPr="000A20DE" w:rsidRDefault="007D5DC6" w:rsidP="00064097">
      <w:pPr>
        <w:pStyle w:val="ListParagraph"/>
        <w:tabs>
          <w:tab w:val="left" w:pos="1283"/>
          <w:tab w:val="left" w:pos="1284"/>
        </w:tabs>
        <w:ind w:left="0" w:firstLine="0"/>
        <w:rPr>
          <w:sz w:val="24"/>
          <w:szCs w:val="24"/>
        </w:rPr>
      </w:pPr>
      <w:r>
        <w:rPr>
          <w:sz w:val="24"/>
          <w:szCs w:val="24"/>
        </w:rPr>
        <w:t xml:space="preserve">In accordance with </w:t>
      </w:r>
      <w:r w:rsidRPr="007D5DC6">
        <w:rPr>
          <w:sz w:val="24"/>
          <w:szCs w:val="24"/>
        </w:rPr>
        <w:t>section 1927(g) of the Social Security Act (the Act), and regulations at 42 CFR 456.700</w:t>
      </w:r>
      <w:r>
        <w:rPr>
          <w:sz w:val="24"/>
          <w:szCs w:val="24"/>
        </w:rPr>
        <w:t>, 456.709, 456.711, 456.712,</w:t>
      </w:r>
      <w:r w:rsidRPr="007D5DC6">
        <w:rPr>
          <w:sz w:val="24"/>
          <w:szCs w:val="24"/>
        </w:rPr>
        <w:t xml:space="preserve"> and 438.3(s)</w:t>
      </w:r>
      <w:r>
        <w:rPr>
          <w:sz w:val="24"/>
          <w:szCs w:val="24"/>
        </w:rPr>
        <w:t>, s</w:t>
      </w:r>
      <w:r w:rsidRPr="007D5DC6">
        <w:rPr>
          <w:sz w:val="24"/>
          <w:szCs w:val="24"/>
        </w:rPr>
        <w:t xml:space="preserve">tates and MCOs </w:t>
      </w:r>
      <w:r>
        <w:rPr>
          <w:sz w:val="24"/>
          <w:szCs w:val="24"/>
        </w:rPr>
        <w:t xml:space="preserve">are required </w:t>
      </w:r>
      <w:r w:rsidRPr="007D5DC6">
        <w:rPr>
          <w:sz w:val="24"/>
          <w:szCs w:val="24"/>
        </w:rPr>
        <w:t>to collect data for the</w:t>
      </w:r>
      <w:r>
        <w:rPr>
          <w:sz w:val="24"/>
          <w:szCs w:val="24"/>
        </w:rPr>
        <w:t>ir</w:t>
      </w:r>
      <w:r w:rsidRPr="007D5DC6">
        <w:rPr>
          <w:sz w:val="24"/>
          <w:szCs w:val="24"/>
        </w:rPr>
        <w:t xml:space="preserve"> DUR</w:t>
      </w:r>
      <w:r>
        <w:rPr>
          <w:sz w:val="24"/>
          <w:szCs w:val="24"/>
        </w:rPr>
        <w:t xml:space="preserve"> programs</w:t>
      </w:r>
      <w:r w:rsidRPr="007D5DC6">
        <w:rPr>
          <w:sz w:val="24"/>
          <w:szCs w:val="24"/>
        </w:rPr>
        <w:t>.</w:t>
      </w:r>
      <w:r>
        <w:rPr>
          <w:sz w:val="24"/>
          <w:szCs w:val="24"/>
        </w:rPr>
        <w:t xml:space="preserve"> </w:t>
      </w:r>
      <w:r w:rsidRPr="007D5DC6">
        <w:rPr>
          <w:sz w:val="24"/>
          <w:szCs w:val="24"/>
        </w:rPr>
        <w:t>State Medicaid agencies that have prescription drug programs are required to perform prospective and retrospective DUR in order to identify aberrations in prescribing, dispensing and/or patient behavior.</w:t>
      </w:r>
      <w:r>
        <w:rPr>
          <w:sz w:val="24"/>
          <w:szCs w:val="24"/>
        </w:rPr>
        <w:t xml:space="preserve"> </w:t>
      </w:r>
      <w:r w:rsidR="004F558D" w:rsidRPr="004F558D">
        <w:rPr>
          <w:sz w:val="24"/>
          <w:szCs w:val="24"/>
        </w:rPr>
        <w:t xml:space="preserve">To generate the required </w:t>
      </w:r>
      <w:r w:rsidR="004F558D">
        <w:rPr>
          <w:sz w:val="24"/>
          <w:szCs w:val="24"/>
        </w:rPr>
        <w:t>annual</w:t>
      </w:r>
      <w:r w:rsidR="004F558D" w:rsidRPr="004F558D">
        <w:rPr>
          <w:sz w:val="24"/>
          <w:szCs w:val="24"/>
        </w:rPr>
        <w:t xml:space="preserve"> reports</w:t>
      </w:r>
      <w:r w:rsidR="004F558D">
        <w:rPr>
          <w:sz w:val="24"/>
          <w:szCs w:val="24"/>
        </w:rPr>
        <w:t>, t</w:t>
      </w:r>
      <w:r w:rsidR="004F558D" w:rsidRPr="004F558D">
        <w:rPr>
          <w:sz w:val="24"/>
          <w:szCs w:val="24"/>
        </w:rPr>
        <w:t xml:space="preserve">his </w:t>
      </w:r>
      <w:r w:rsidR="004F558D">
        <w:rPr>
          <w:sz w:val="24"/>
          <w:szCs w:val="24"/>
        </w:rPr>
        <w:t>PRA</w:t>
      </w:r>
      <w:r w:rsidR="004F558D" w:rsidRPr="004F558D">
        <w:rPr>
          <w:sz w:val="24"/>
          <w:szCs w:val="24"/>
        </w:rPr>
        <w:t xml:space="preserve"> package seeks the authority to survey the states and MCOs using either a CMS-hosted online information technology system called Medicaid Drug Program (MDP), or SurveyGizmo. </w:t>
      </w:r>
      <w:r w:rsidR="00646E82">
        <w:rPr>
          <w:sz w:val="24"/>
          <w:szCs w:val="24"/>
        </w:rPr>
        <w:t xml:space="preserve">We expect pharmacists employed by, or contracted with the individual states to facilitate the states’ responses. </w:t>
      </w:r>
      <w:r w:rsidR="00C74BC0">
        <w:rPr>
          <w:sz w:val="24"/>
          <w:szCs w:val="24"/>
        </w:rPr>
        <w:t>The</w:t>
      </w:r>
      <w:r>
        <w:rPr>
          <w:sz w:val="24"/>
          <w:szCs w:val="24"/>
        </w:rPr>
        <w:t xml:space="preserve"> </w:t>
      </w:r>
      <w:r w:rsidR="00C74BC0">
        <w:rPr>
          <w:sz w:val="24"/>
          <w:szCs w:val="24"/>
        </w:rPr>
        <w:t>sub-</w:t>
      </w:r>
      <w:r w:rsidR="00EC5813">
        <w:rPr>
          <w:sz w:val="24"/>
          <w:szCs w:val="24"/>
        </w:rPr>
        <w:t>section</w:t>
      </w:r>
      <w:r w:rsidR="00C74BC0">
        <w:rPr>
          <w:sz w:val="24"/>
          <w:szCs w:val="24"/>
        </w:rPr>
        <w:t>s</w:t>
      </w:r>
      <w:r w:rsidR="00EC5813">
        <w:rPr>
          <w:sz w:val="24"/>
          <w:szCs w:val="24"/>
        </w:rPr>
        <w:t xml:space="preserve"> </w:t>
      </w:r>
      <w:r>
        <w:rPr>
          <w:sz w:val="24"/>
          <w:szCs w:val="24"/>
        </w:rPr>
        <w:t xml:space="preserve">below </w:t>
      </w:r>
      <w:r w:rsidR="00EC5813">
        <w:rPr>
          <w:sz w:val="24"/>
          <w:szCs w:val="24"/>
        </w:rPr>
        <w:t>est</w:t>
      </w:r>
      <w:r w:rsidR="00C74BC0">
        <w:rPr>
          <w:sz w:val="24"/>
          <w:szCs w:val="24"/>
        </w:rPr>
        <w:t>imate</w:t>
      </w:r>
      <w:r w:rsidR="00EC5813">
        <w:rPr>
          <w:sz w:val="24"/>
          <w:szCs w:val="24"/>
        </w:rPr>
        <w:t xml:space="preserve"> the </w:t>
      </w:r>
      <w:r w:rsidR="00C74BC0">
        <w:rPr>
          <w:sz w:val="24"/>
          <w:szCs w:val="24"/>
        </w:rPr>
        <w:t xml:space="preserve">associated </w:t>
      </w:r>
      <w:r w:rsidR="00EC5813">
        <w:rPr>
          <w:sz w:val="24"/>
          <w:szCs w:val="24"/>
        </w:rPr>
        <w:t xml:space="preserve">costs of </w:t>
      </w:r>
      <w:r w:rsidR="00C74BC0">
        <w:rPr>
          <w:sz w:val="24"/>
          <w:szCs w:val="24"/>
        </w:rPr>
        <w:t>burden</w:t>
      </w:r>
      <w:r>
        <w:rPr>
          <w:sz w:val="24"/>
          <w:szCs w:val="24"/>
        </w:rPr>
        <w:t xml:space="preserve"> of complying with the statutes and regulations</w:t>
      </w:r>
      <w:r w:rsidR="001D0A7B">
        <w:rPr>
          <w:sz w:val="24"/>
          <w:szCs w:val="24"/>
        </w:rPr>
        <w:t xml:space="preserve"> for both FFS</w:t>
      </w:r>
      <w:r w:rsidR="00646E82">
        <w:rPr>
          <w:sz w:val="24"/>
          <w:szCs w:val="24"/>
        </w:rPr>
        <w:t xml:space="preserve"> programs</w:t>
      </w:r>
      <w:r w:rsidR="001D0A7B">
        <w:rPr>
          <w:sz w:val="24"/>
          <w:szCs w:val="24"/>
        </w:rPr>
        <w:t xml:space="preserve"> and MCOs</w:t>
      </w:r>
      <w:r>
        <w:rPr>
          <w:sz w:val="24"/>
          <w:szCs w:val="24"/>
        </w:rPr>
        <w:t>.</w:t>
      </w:r>
      <w:r w:rsidR="000B0A58">
        <w:rPr>
          <w:sz w:val="24"/>
          <w:szCs w:val="24"/>
        </w:rPr>
        <w:t xml:space="preserve"> </w:t>
      </w:r>
      <w:r w:rsidR="00523C49">
        <w:rPr>
          <w:sz w:val="24"/>
          <w:szCs w:val="24"/>
        </w:rPr>
        <w:t>While the content of the FFS survey differs marginally from that of the MCO survey, w</w:t>
      </w:r>
      <w:r w:rsidR="000B0A58">
        <w:rPr>
          <w:sz w:val="24"/>
          <w:szCs w:val="24"/>
        </w:rPr>
        <w:t xml:space="preserve">e estimate that the burden for </w:t>
      </w:r>
      <w:r w:rsidR="00523C49">
        <w:rPr>
          <w:sz w:val="24"/>
          <w:szCs w:val="24"/>
        </w:rPr>
        <w:t xml:space="preserve">individual </w:t>
      </w:r>
      <w:r w:rsidR="000B0A58">
        <w:rPr>
          <w:sz w:val="24"/>
          <w:szCs w:val="24"/>
        </w:rPr>
        <w:t>states’</w:t>
      </w:r>
      <w:r w:rsidR="00523C49">
        <w:rPr>
          <w:sz w:val="24"/>
          <w:szCs w:val="24"/>
        </w:rPr>
        <w:t xml:space="preserve"> combined FFS and MCO reports w</w:t>
      </w:r>
      <w:r w:rsidR="000B0A58">
        <w:rPr>
          <w:sz w:val="24"/>
          <w:szCs w:val="24"/>
        </w:rPr>
        <w:t>ill be identical.</w:t>
      </w:r>
    </w:p>
    <w:p w14:paraId="214E6E77" w14:textId="77777777" w:rsidR="00D24433" w:rsidRPr="000A20DE" w:rsidRDefault="00D24433" w:rsidP="00560248">
      <w:pPr>
        <w:pStyle w:val="BodyText"/>
      </w:pPr>
    </w:p>
    <w:p w14:paraId="214E6E78" w14:textId="77777777" w:rsidR="00D24433" w:rsidRPr="000A20DE" w:rsidRDefault="002B5808" w:rsidP="00560248">
      <w:pPr>
        <w:pStyle w:val="ListParagraph"/>
        <w:numPr>
          <w:ilvl w:val="1"/>
          <w:numId w:val="2"/>
        </w:numPr>
        <w:tabs>
          <w:tab w:val="left" w:pos="592"/>
        </w:tabs>
        <w:ind w:left="0" w:firstLine="0"/>
        <w:rPr>
          <w:sz w:val="24"/>
          <w:szCs w:val="24"/>
        </w:rPr>
      </w:pPr>
      <w:bookmarkStart w:id="13" w:name="12.1_Wages"/>
      <w:bookmarkEnd w:id="13"/>
      <w:r w:rsidRPr="000A20DE">
        <w:rPr>
          <w:sz w:val="24"/>
          <w:szCs w:val="24"/>
        </w:rPr>
        <w:t>Wages</w:t>
      </w:r>
    </w:p>
    <w:p w14:paraId="214E6E79" w14:textId="77777777" w:rsidR="00D24433" w:rsidRPr="000A20DE" w:rsidRDefault="00D24433" w:rsidP="00560248">
      <w:pPr>
        <w:pStyle w:val="BodyText"/>
      </w:pPr>
    </w:p>
    <w:p w14:paraId="214E6E7A" w14:textId="77777777" w:rsidR="00D24433" w:rsidRPr="00962FEB" w:rsidRDefault="002B5808" w:rsidP="00560248">
      <w:pPr>
        <w:pStyle w:val="BodyText"/>
        <w:spacing w:line="249" w:lineRule="auto"/>
      </w:pPr>
      <w:r w:rsidRPr="00962FEB">
        <w:t>To derive average costs, we used data from the U.S. Bure</w:t>
      </w:r>
      <w:r w:rsidR="00772B63" w:rsidRPr="00962FEB">
        <w:t>au of Labor Statistics’ May 2017</w:t>
      </w:r>
      <w:r w:rsidRPr="00962FEB">
        <w:t xml:space="preserve"> National Occupational Employment and Wage Estimates for all salary estimates </w:t>
      </w:r>
      <w:hyperlink r:id="rId18">
        <w:r w:rsidRPr="00962FEB">
          <w:t>(</w:t>
        </w:r>
      </w:hyperlink>
      <w:hyperlink r:id="rId19">
        <w:r w:rsidRPr="00962FEB">
          <w:rPr>
            <w:color w:val="0000FF"/>
            <w:u w:val="single" w:color="0000FF"/>
          </w:rPr>
          <w:t>http://www.bls.gov/oes/current/oes_nat.htm</w:t>
        </w:r>
      </w:hyperlink>
      <w:hyperlink r:id="rId20">
        <w:r w:rsidRPr="00962FEB">
          <w:t>)</w:t>
        </w:r>
      </w:hyperlink>
      <w:r w:rsidRPr="00962FEB">
        <w:t>. In this regard, the following table presents the mean hourly wage, the cost of fringe benefits (calculated at 100 percent of salary), and the adjusted hourly wage.</w:t>
      </w:r>
    </w:p>
    <w:p w14:paraId="214E6E7B" w14:textId="77777777" w:rsidR="00865E43" w:rsidRPr="00962FEB" w:rsidRDefault="00865E43" w:rsidP="00560248">
      <w:pPr>
        <w:pStyle w:val="BodyText"/>
        <w:spacing w:line="249" w:lineRule="auto"/>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810"/>
        <w:gridCol w:w="1733"/>
        <w:gridCol w:w="1738"/>
        <w:gridCol w:w="1766"/>
      </w:tblGrid>
      <w:tr w:rsidR="00D24433" w:rsidRPr="00962FEB" w14:paraId="214E6E81" w14:textId="77777777">
        <w:trPr>
          <w:trHeight w:hRule="exact" w:val="506"/>
        </w:trPr>
        <w:tc>
          <w:tcPr>
            <w:tcW w:w="1810" w:type="dxa"/>
          </w:tcPr>
          <w:p w14:paraId="214E6E7C" w14:textId="77777777" w:rsidR="00D24433" w:rsidRPr="00962FEB" w:rsidRDefault="002B5808" w:rsidP="00560248">
            <w:pPr>
              <w:pStyle w:val="TableParagraph"/>
              <w:spacing w:line="223" w:lineRule="exact"/>
              <w:ind w:left="0"/>
              <w:rPr>
                <w:sz w:val="20"/>
                <w:szCs w:val="20"/>
              </w:rPr>
            </w:pPr>
            <w:r w:rsidRPr="00962FEB">
              <w:rPr>
                <w:sz w:val="20"/>
                <w:szCs w:val="20"/>
              </w:rPr>
              <w:t>Occupation Title</w:t>
            </w:r>
          </w:p>
        </w:tc>
        <w:tc>
          <w:tcPr>
            <w:tcW w:w="1810" w:type="dxa"/>
          </w:tcPr>
          <w:p w14:paraId="214E6E7D" w14:textId="77777777" w:rsidR="00D24433" w:rsidRPr="00962FEB" w:rsidRDefault="002B5808" w:rsidP="00560248">
            <w:pPr>
              <w:pStyle w:val="TableParagraph"/>
              <w:spacing w:line="223" w:lineRule="exact"/>
              <w:ind w:left="0"/>
              <w:rPr>
                <w:sz w:val="20"/>
                <w:szCs w:val="20"/>
              </w:rPr>
            </w:pPr>
            <w:r w:rsidRPr="00962FEB">
              <w:rPr>
                <w:sz w:val="20"/>
                <w:szCs w:val="20"/>
              </w:rPr>
              <w:t>Occupation Code</w:t>
            </w:r>
          </w:p>
        </w:tc>
        <w:tc>
          <w:tcPr>
            <w:tcW w:w="1733" w:type="dxa"/>
          </w:tcPr>
          <w:p w14:paraId="214E6E7E" w14:textId="77777777" w:rsidR="00D24433" w:rsidRPr="00962FEB" w:rsidRDefault="002B5808" w:rsidP="00560248">
            <w:pPr>
              <w:pStyle w:val="TableParagraph"/>
              <w:spacing w:line="261" w:lineRule="auto"/>
              <w:ind w:left="0"/>
              <w:rPr>
                <w:sz w:val="20"/>
                <w:szCs w:val="20"/>
              </w:rPr>
            </w:pPr>
            <w:r w:rsidRPr="00962FEB">
              <w:rPr>
                <w:sz w:val="20"/>
                <w:szCs w:val="20"/>
              </w:rPr>
              <w:t>Mean Hourly Wage ($/hr)</w:t>
            </w:r>
          </w:p>
        </w:tc>
        <w:tc>
          <w:tcPr>
            <w:tcW w:w="1738" w:type="dxa"/>
          </w:tcPr>
          <w:p w14:paraId="214E6E7F" w14:textId="77777777" w:rsidR="00D24433" w:rsidRPr="00962FEB" w:rsidRDefault="002B5808" w:rsidP="00560248">
            <w:pPr>
              <w:pStyle w:val="TableParagraph"/>
              <w:spacing w:line="261" w:lineRule="auto"/>
              <w:ind w:left="0"/>
              <w:rPr>
                <w:sz w:val="20"/>
                <w:szCs w:val="20"/>
              </w:rPr>
            </w:pPr>
            <w:r w:rsidRPr="00962FEB">
              <w:rPr>
                <w:sz w:val="20"/>
                <w:szCs w:val="20"/>
              </w:rPr>
              <w:t>Fringe Benefit ($/hr)</w:t>
            </w:r>
          </w:p>
        </w:tc>
        <w:tc>
          <w:tcPr>
            <w:tcW w:w="1766" w:type="dxa"/>
          </w:tcPr>
          <w:p w14:paraId="214E6E80" w14:textId="77777777" w:rsidR="00D24433" w:rsidRPr="00962FEB" w:rsidRDefault="002B5808" w:rsidP="00560248">
            <w:pPr>
              <w:pStyle w:val="TableParagraph"/>
              <w:spacing w:line="261" w:lineRule="auto"/>
              <w:ind w:left="0"/>
              <w:rPr>
                <w:sz w:val="20"/>
                <w:szCs w:val="20"/>
              </w:rPr>
            </w:pPr>
            <w:r w:rsidRPr="00962FEB">
              <w:rPr>
                <w:sz w:val="20"/>
                <w:szCs w:val="20"/>
              </w:rPr>
              <w:t>Adjusted Hourly Wage ($/hr)</w:t>
            </w:r>
          </w:p>
        </w:tc>
      </w:tr>
      <w:tr w:rsidR="00D24433" w:rsidRPr="00865E43" w14:paraId="214E6E87" w14:textId="77777777">
        <w:trPr>
          <w:trHeight w:hRule="exact" w:val="259"/>
        </w:trPr>
        <w:tc>
          <w:tcPr>
            <w:tcW w:w="1810" w:type="dxa"/>
          </w:tcPr>
          <w:p w14:paraId="214E6E82" w14:textId="77777777" w:rsidR="00D24433" w:rsidRPr="00962FEB" w:rsidRDefault="002B5808" w:rsidP="00560248">
            <w:pPr>
              <w:pStyle w:val="TableParagraph"/>
              <w:spacing w:line="223" w:lineRule="exact"/>
              <w:ind w:left="0"/>
              <w:rPr>
                <w:sz w:val="20"/>
                <w:szCs w:val="20"/>
              </w:rPr>
            </w:pPr>
            <w:r w:rsidRPr="00962FEB">
              <w:rPr>
                <w:sz w:val="20"/>
                <w:szCs w:val="20"/>
              </w:rPr>
              <w:t>Pharmacist</w:t>
            </w:r>
          </w:p>
        </w:tc>
        <w:tc>
          <w:tcPr>
            <w:tcW w:w="1810" w:type="dxa"/>
          </w:tcPr>
          <w:p w14:paraId="214E6E83" w14:textId="77777777" w:rsidR="00D24433" w:rsidRPr="00962FEB" w:rsidRDefault="002B5808" w:rsidP="00560248">
            <w:pPr>
              <w:pStyle w:val="TableParagraph"/>
              <w:spacing w:line="223" w:lineRule="exact"/>
              <w:ind w:left="0"/>
              <w:rPr>
                <w:sz w:val="20"/>
                <w:szCs w:val="20"/>
              </w:rPr>
            </w:pPr>
            <w:r w:rsidRPr="00962FEB">
              <w:rPr>
                <w:sz w:val="20"/>
                <w:szCs w:val="20"/>
              </w:rPr>
              <w:t>29-1051</w:t>
            </w:r>
          </w:p>
        </w:tc>
        <w:tc>
          <w:tcPr>
            <w:tcW w:w="1733" w:type="dxa"/>
          </w:tcPr>
          <w:p w14:paraId="214E6E84" w14:textId="77777777" w:rsidR="00D24433" w:rsidRPr="00962FEB" w:rsidRDefault="00955B1E" w:rsidP="00560248">
            <w:pPr>
              <w:pStyle w:val="TableParagraph"/>
              <w:spacing w:line="223" w:lineRule="exact"/>
              <w:ind w:left="0"/>
              <w:rPr>
                <w:sz w:val="20"/>
                <w:szCs w:val="20"/>
              </w:rPr>
            </w:pPr>
            <w:r w:rsidRPr="00962FEB">
              <w:rPr>
                <w:sz w:val="20"/>
                <w:szCs w:val="20"/>
              </w:rPr>
              <w:t>58.52</w:t>
            </w:r>
          </w:p>
        </w:tc>
        <w:tc>
          <w:tcPr>
            <w:tcW w:w="1738" w:type="dxa"/>
          </w:tcPr>
          <w:p w14:paraId="214E6E85" w14:textId="77777777" w:rsidR="00D24433" w:rsidRPr="00962FEB" w:rsidRDefault="00955B1E" w:rsidP="00560248">
            <w:pPr>
              <w:pStyle w:val="TableParagraph"/>
              <w:spacing w:line="223" w:lineRule="exact"/>
              <w:ind w:left="0"/>
              <w:rPr>
                <w:sz w:val="20"/>
                <w:szCs w:val="20"/>
              </w:rPr>
            </w:pPr>
            <w:r w:rsidRPr="00962FEB">
              <w:rPr>
                <w:sz w:val="20"/>
                <w:szCs w:val="20"/>
              </w:rPr>
              <w:t>58.52</w:t>
            </w:r>
          </w:p>
        </w:tc>
        <w:tc>
          <w:tcPr>
            <w:tcW w:w="1766" w:type="dxa"/>
          </w:tcPr>
          <w:p w14:paraId="214E6E86" w14:textId="77777777" w:rsidR="00D24433" w:rsidRPr="00865E43" w:rsidRDefault="00955B1E" w:rsidP="00560248">
            <w:pPr>
              <w:pStyle w:val="TableParagraph"/>
              <w:spacing w:line="223" w:lineRule="exact"/>
              <w:ind w:left="0"/>
              <w:rPr>
                <w:sz w:val="20"/>
                <w:szCs w:val="20"/>
              </w:rPr>
            </w:pPr>
            <w:r w:rsidRPr="00962FEB">
              <w:rPr>
                <w:sz w:val="20"/>
                <w:szCs w:val="20"/>
              </w:rPr>
              <w:t>117.04</w:t>
            </w:r>
          </w:p>
        </w:tc>
      </w:tr>
    </w:tbl>
    <w:p w14:paraId="214E6E88" w14:textId="77777777" w:rsidR="00D24433" w:rsidRPr="000A20DE" w:rsidRDefault="00D24433" w:rsidP="00560248">
      <w:pPr>
        <w:pStyle w:val="BodyText"/>
      </w:pPr>
    </w:p>
    <w:p w14:paraId="214E6E89" w14:textId="77777777" w:rsidR="00D24433" w:rsidRPr="000A20DE" w:rsidRDefault="002B5808" w:rsidP="00560248">
      <w:pPr>
        <w:pStyle w:val="BodyText"/>
        <w:spacing w:line="249" w:lineRule="auto"/>
      </w:pPr>
      <w:r w:rsidRPr="000A20DE">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214E6E8A" w14:textId="77777777" w:rsidR="00D24433" w:rsidRPr="000A20DE" w:rsidRDefault="00D24433" w:rsidP="00560248">
      <w:pPr>
        <w:pStyle w:val="BodyText"/>
      </w:pPr>
    </w:p>
    <w:p w14:paraId="214E6E8B" w14:textId="77777777" w:rsidR="00D24433" w:rsidRPr="00962FEB" w:rsidRDefault="002B5808" w:rsidP="00560248">
      <w:pPr>
        <w:pStyle w:val="ListParagraph"/>
        <w:numPr>
          <w:ilvl w:val="1"/>
          <w:numId w:val="2"/>
        </w:numPr>
        <w:tabs>
          <w:tab w:val="left" w:pos="590"/>
        </w:tabs>
        <w:ind w:left="0" w:firstLine="0"/>
        <w:rPr>
          <w:i/>
          <w:sz w:val="24"/>
          <w:szCs w:val="24"/>
        </w:rPr>
      </w:pPr>
      <w:r w:rsidRPr="00962FEB">
        <w:rPr>
          <w:i/>
          <w:sz w:val="24"/>
          <w:szCs w:val="24"/>
        </w:rPr>
        <w:t>PRA-Related Requirements and Associated Burden</w:t>
      </w:r>
      <w:r w:rsidRPr="00962FEB">
        <w:rPr>
          <w:i/>
          <w:spacing w:val="-15"/>
          <w:sz w:val="24"/>
          <w:szCs w:val="24"/>
        </w:rPr>
        <w:t xml:space="preserve"> </w:t>
      </w:r>
      <w:r w:rsidRPr="00962FEB">
        <w:rPr>
          <w:i/>
          <w:sz w:val="24"/>
          <w:szCs w:val="24"/>
        </w:rPr>
        <w:t>Estimates</w:t>
      </w:r>
    </w:p>
    <w:p w14:paraId="214E6E8C" w14:textId="77777777" w:rsidR="00D24433" w:rsidRPr="00962FEB" w:rsidRDefault="00D24433" w:rsidP="00560248">
      <w:pPr>
        <w:pStyle w:val="BodyText"/>
        <w:rPr>
          <w:i/>
        </w:rPr>
      </w:pPr>
    </w:p>
    <w:p w14:paraId="214E6E8D" w14:textId="77777777" w:rsidR="00D24433" w:rsidRPr="00962FEB" w:rsidRDefault="002B5808" w:rsidP="00560248">
      <w:pPr>
        <w:pStyle w:val="BodyText"/>
      </w:pPr>
      <w:bookmarkStart w:id="14" w:name="Claims_Data_and_Other_Record_Reports_Pre"/>
      <w:bookmarkEnd w:id="14"/>
      <w:r w:rsidRPr="00962FEB">
        <w:rPr>
          <w:u w:val="single"/>
        </w:rPr>
        <w:t>Claims Data and Other Record Reports Preparation (42 CFR 456.709)</w:t>
      </w:r>
    </w:p>
    <w:p w14:paraId="214E6E8E" w14:textId="77777777" w:rsidR="00D24433" w:rsidRPr="00962FEB" w:rsidRDefault="00D24433" w:rsidP="00560248">
      <w:pPr>
        <w:pStyle w:val="BodyText"/>
      </w:pPr>
    </w:p>
    <w:p w14:paraId="214E6E8F" w14:textId="77777777" w:rsidR="00D24433" w:rsidRPr="00962FEB" w:rsidRDefault="002B5808" w:rsidP="00560248">
      <w:pPr>
        <w:pStyle w:val="BodyText"/>
        <w:spacing w:line="249" w:lineRule="auto"/>
      </w:pPr>
      <w:r w:rsidRPr="00962FEB">
        <w:t>As previously stated above, the pharmacist’s profiling and documentation is primarily an automated function due to the implementation of electronic processing systems. The pharmacist does not produce exception reports.   The details of the prescriptions presented to be filled are what create the data that the State gathers and the State or its vendor produces exception reports and drug claims expenditures reporting from this data.</w:t>
      </w:r>
    </w:p>
    <w:p w14:paraId="214E6E90" w14:textId="77777777" w:rsidR="00D24433" w:rsidRPr="00962FEB" w:rsidRDefault="00D24433" w:rsidP="00560248">
      <w:pPr>
        <w:pStyle w:val="BodyText"/>
      </w:pPr>
    </w:p>
    <w:p w14:paraId="214E6E91" w14:textId="77777777" w:rsidR="00D24433" w:rsidRPr="00962FEB" w:rsidRDefault="002B5808" w:rsidP="00560248">
      <w:pPr>
        <w:pStyle w:val="BodyText"/>
        <w:spacing w:line="249" w:lineRule="auto"/>
      </w:pPr>
      <w:r w:rsidRPr="00962FEB">
        <w:t>States are required to collect prescription drug utilization data from claims and assess the data against predetermined standards in order to identify potential problems in prescribing and/or dispensing. Data collection involves sorting prescription drug claims data through the use of exception reports. These reports generate specific information on claims using predetermined criteria for exceptions, such as</w:t>
      </w:r>
      <w:r w:rsidR="000A20DE" w:rsidRPr="00962FEB">
        <w:t xml:space="preserve"> </w:t>
      </w:r>
      <w:r w:rsidRPr="00962FEB">
        <w:t>prior authorization and types of drug therapy problems. States generally have their pharmacy point-of-sales vendor produce the exception reports.</w:t>
      </w:r>
    </w:p>
    <w:p w14:paraId="214E6E92" w14:textId="77777777" w:rsidR="00D24433" w:rsidRPr="00962FEB" w:rsidRDefault="00D24433" w:rsidP="00560248">
      <w:pPr>
        <w:pStyle w:val="BodyText"/>
      </w:pPr>
    </w:p>
    <w:p w14:paraId="214E6E93" w14:textId="77777777" w:rsidR="009605B9" w:rsidRPr="00962FEB" w:rsidRDefault="002B5808" w:rsidP="00560248">
      <w:pPr>
        <w:pStyle w:val="BodyText"/>
        <w:spacing w:line="247" w:lineRule="auto"/>
      </w:pPr>
      <w:r w:rsidRPr="00962FEB">
        <w:rPr>
          <w:u w:val="single"/>
        </w:rPr>
        <w:t>Hours:</w:t>
      </w:r>
      <w:r w:rsidRPr="00962FEB">
        <w:t xml:space="preserve"> </w:t>
      </w:r>
      <w:r w:rsidR="00951EAD" w:rsidRPr="00962FEB">
        <w:tab/>
        <w:t>1,020 hours annually</w:t>
      </w:r>
    </w:p>
    <w:p w14:paraId="214E6E94" w14:textId="77777777" w:rsidR="00951EAD" w:rsidRPr="00962FEB" w:rsidRDefault="002B5808" w:rsidP="009605B9">
      <w:pPr>
        <w:pStyle w:val="BodyText"/>
        <w:spacing w:line="247" w:lineRule="auto"/>
        <w:ind w:left="720" w:firstLine="720"/>
      </w:pPr>
      <w:r w:rsidRPr="00962FEB">
        <w:t>20 hours per year (or 5 quarterl</w:t>
      </w:r>
      <w:r w:rsidR="00951EAD" w:rsidRPr="00962FEB">
        <w:t>y hours) per State x 51 states</w:t>
      </w:r>
    </w:p>
    <w:p w14:paraId="214E6E95" w14:textId="77777777" w:rsidR="009605B9" w:rsidRPr="00962FEB" w:rsidRDefault="002B5808" w:rsidP="00560248">
      <w:pPr>
        <w:pStyle w:val="BodyText"/>
        <w:spacing w:line="247" w:lineRule="auto"/>
      </w:pPr>
      <w:r w:rsidRPr="00962FEB">
        <w:rPr>
          <w:u w:val="single"/>
        </w:rPr>
        <w:t>Cost:</w:t>
      </w:r>
      <w:r w:rsidRPr="00962FEB">
        <w:t xml:space="preserve"> </w:t>
      </w:r>
      <w:r w:rsidR="00951EAD" w:rsidRPr="00962FEB">
        <w:tab/>
      </w:r>
      <w:r w:rsidR="00951EAD" w:rsidRPr="00962FEB">
        <w:tab/>
      </w:r>
      <w:r w:rsidR="00B30A40" w:rsidRPr="00962FEB">
        <w:t>$119,381</w:t>
      </w:r>
      <w:r w:rsidR="00951EAD" w:rsidRPr="00962FEB">
        <w:t xml:space="preserve"> per year</w:t>
      </w:r>
    </w:p>
    <w:p w14:paraId="214E6E96" w14:textId="77777777" w:rsidR="00D24433" w:rsidRPr="00962FEB" w:rsidRDefault="002B5808" w:rsidP="009605B9">
      <w:pPr>
        <w:pStyle w:val="BodyText"/>
        <w:spacing w:line="247" w:lineRule="auto"/>
        <w:ind w:left="720" w:firstLine="720"/>
      </w:pPr>
      <w:r w:rsidRPr="00962FEB">
        <w:t>1</w:t>
      </w:r>
      <w:r w:rsidR="00951EAD" w:rsidRPr="00962FEB">
        <w:t>,</w:t>
      </w:r>
      <w:r w:rsidRPr="00962FEB">
        <w:t>020 hours x $11</w:t>
      </w:r>
      <w:r w:rsidR="00262F18" w:rsidRPr="00962FEB">
        <w:t>7</w:t>
      </w:r>
      <w:r w:rsidRPr="00962FEB">
        <w:t>.</w:t>
      </w:r>
      <w:r w:rsidR="00262F18" w:rsidRPr="00962FEB">
        <w:t>0</w:t>
      </w:r>
      <w:r w:rsidRPr="00962FEB">
        <w:t>4/hr (point</w:t>
      </w:r>
      <w:r w:rsidR="00951EAD" w:rsidRPr="00962FEB">
        <w:t xml:space="preserve"> of service vendor pharmacist)</w:t>
      </w:r>
      <w:r w:rsidRPr="00962FEB">
        <w:t>.</w:t>
      </w:r>
    </w:p>
    <w:p w14:paraId="214E6E97" w14:textId="77777777" w:rsidR="00D24433" w:rsidRPr="00962FEB" w:rsidRDefault="00D24433" w:rsidP="00560248">
      <w:pPr>
        <w:pStyle w:val="BodyText"/>
      </w:pPr>
    </w:p>
    <w:p w14:paraId="214E6E98" w14:textId="77777777" w:rsidR="00D24433" w:rsidRPr="00962FEB" w:rsidRDefault="002B5808" w:rsidP="00560248">
      <w:pPr>
        <w:pStyle w:val="BodyText"/>
      </w:pPr>
      <w:bookmarkStart w:id="15" w:name="Review_Claims_Data_and_Other_Record_Repo"/>
      <w:bookmarkEnd w:id="15"/>
      <w:r w:rsidRPr="00962FEB">
        <w:rPr>
          <w:u w:val="single"/>
        </w:rPr>
        <w:t>Review Claims Data and Other Record Reports &amp; Interventions (42 CFR 456.711)</w:t>
      </w:r>
    </w:p>
    <w:p w14:paraId="214E6E99" w14:textId="77777777" w:rsidR="00D24433" w:rsidRPr="00962FEB" w:rsidRDefault="00D24433" w:rsidP="00560248">
      <w:pPr>
        <w:pStyle w:val="BodyText"/>
      </w:pPr>
    </w:p>
    <w:p w14:paraId="214E6E9A" w14:textId="77777777" w:rsidR="00D24433" w:rsidRPr="00962FEB" w:rsidRDefault="002B5808" w:rsidP="00560248">
      <w:pPr>
        <w:pStyle w:val="BodyText"/>
        <w:spacing w:line="249" w:lineRule="auto"/>
      </w:pPr>
      <w:r w:rsidRPr="00962FEB">
        <w:t>The DUR Board conducts reviews of the exception reports at their quarterly meetings. As part of the review process, the DUR Board or a specially selected committee determines if intervention is warranted. If intervention is necessary, a pharmacist contractor executes the interventions by form of telephone contact, correspondence, or face-to- face interviews. Interventions are conducted to educate the physician or pharmacist on appropriate prescribing or dispensing practices.</w:t>
      </w:r>
    </w:p>
    <w:p w14:paraId="214E6E9B" w14:textId="77777777" w:rsidR="00D24433" w:rsidRPr="00962FEB" w:rsidRDefault="00D24433" w:rsidP="00560248">
      <w:pPr>
        <w:pStyle w:val="BodyText"/>
      </w:pPr>
    </w:p>
    <w:p w14:paraId="214E6E9C" w14:textId="77777777" w:rsidR="00D24433" w:rsidRPr="00962FEB" w:rsidRDefault="002B5808" w:rsidP="00560248">
      <w:pPr>
        <w:rPr>
          <w:i/>
          <w:sz w:val="24"/>
          <w:szCs w:val="24"/>
        </w:rPr>
      </w:pPr>
      <w:bookmarkStart w:id="16" w:name="Review"/>
      <w:bookmarkEnd w:id="16"/>
      <w:r w:rsidRPr="00962FEB">
        <w:rPr>
          <w:i/>
          <w:sz w:val="24"/>
          <w:szCs w:val="24"/>
        </w:rPr>
        <w:t>Review</w:t>
      </w:r>
    </w:p>
    <w:p w14:paraId="214E6E9D" w14:textId="77777777" w:rsidR="00D24433" w:rsidRPr="00962FEB" w:rsidRDefault="00D24433" w:rsidP="00560248">
      <w:pPr>
        <w:pStyle w:val="BodyText"/>
      </w:pPr>
    </w:p>
    <w:p w14:paraId="214E6E9E" w14:textId="77777777" w:rsidR="009605B9" w:rsidRPr="00962FEB" w:rsidRDefault="002B5808" w:rsidP="00560248">
      <w:pPr>
        <w:pStyle w:val="BodyText"/>
      </w:pPr>
      <w:r w:rsidRPr="00962FEB">
        <w:rPr>
          <w:u w:val="single"/>
        </w:rPr>
        <w:t>Hours:</w:t>
      </w:r>
      <w:r w:rsidR="00C56FB7" w:rsidRPr="00962FEB">
        <w:tab/>
      </w:r>
      <w:r w:rsidR="00C56FB7" w:rsidRPr="00962FEB">
        <w:tab/>
      </w:r>
      <w:r w:rsidR="009605B9" w:rsidRPr="00962FEB">
        <w:t xml:space="preserve">12,240 hours annually </w:t>
      </w:r>
    </w:p>
    <w:p w14:paraId="214E6E9F" w14:textId="77777777" w:rsidR="00D24433" w:rsidRPr="00962FEB" w:rsidRDefault="002B5808" w:rsidP="009605B9">
      <w:pPr>
        <w:pStyle w:val="BodyText"/>
        <w:ind w:left="1440"/>
      </w:pPr>
      <w:r w:rsidRPr="00962FEB">
        <w:t xml:space="preserve">240 hours </w:t>
      </w:r>
      <w:r w:rsidR="009605B9" w:rsidRPr="00962FEB">
        <w:t xml:space="preserve">(10 members at 24 hours per member) </w:t>
      </w:r>
      <w:r w:rsidRPr="00962FEB">
        <w:t>per year per State (or 60 quarterly</w:t>
      </w:r>
      <w:r w:rsidR="009605B9" w:rsidRPr="00962FEB">
        <w:t xml:space="preserve"> hours) x 51 Medicaid programs</w:t>
      </w:r>
    </w:p>
    <w:p w14:paraId="214E6EA0" w14:textId="77777777" w:rsidR="009605B9" w:rsidRPr="00962FEB" w:rsidRDefault="002B5808" w:rsidP="00560248">
      <w:pPr>
        <w:pStyle w:val="BodyText"/>
      </w:pPr>
      <w:r w:rsidRPr="00962FEB">
        <w:rPr>
          <w:u w:val="single"/>
        </w:rPr>
        <w:t>Cost:</w:t>
      </w:r>
      <w:r w:rsidRPr="00962FEB">
        <w:t xml:space="preserve"> </w:t>
      </w:r>
      <w:r w:rsidR="00C56FB7" w:rsidRPr="00962FEB">
        <w:tab/>
      </w:r>
      <w:r w:rsidR="00C56FB7" w:rsidRPr="00962FEB">
        <w:tab/>
      </w:r>
      <w:r w:rsidR="000B43CA">
        <w:t>$612,000</w:t>
      </w:r>
      <w:r w:rsidR="009605B9" w:rsidRPr="00962FEB">
        <w:t xml:space="preserve"> per year </w:t>
      </w:r>
    </w:p>
    <w:p w14:paraId="214E6EA1" w14:textId="77777777" w:rsidR="00D24433" w:rsidRPr="00962FEB" w:rsidRDefault="002B5808" w:rsidP="009605B9">
      <w:pPr>
        <w:pStyle w:val="BodyText"/>
        <w:ind w:left="720" w:firstLine="720"/>
      </w:pPr>
      <w:r w:rsidRPr="00962FEB">
        <w:t>12,240 hour</w:t>
      </w:r>
      <w:r w:rsidR="009605B9" w:rsidRPr="00962FEB">
        <w:t>s x $50/hr (DUR Board members)</w:t>
      </w:r>
      <w:r w:rsidRPr="00962FEB">
        <w:t>.</w:t>
      </w:r>
    </w:p>
    <w:p w14:paraId="214E6EA2" w14:textId="77777777" w:rsidR="00D24433" w:rsidRPr="00962FEB" w:rsidRDefault="00D24433" w:rsidP="00560248">
      <w:pPr>
        <w:pStyle w:val="BodyText"/>
      </w:pPr>
    </w:p>
    <w:p w14:paraId="214E6EA3" w14:textId="77777777" w:rsidR="00D24433" w:rsidRPr="00962FEB" w:rsidRDefault="002B5808" w:rsidP="00560248">
      <w:pPr>
        <w:pStyle w:val="BodyText"/>
        <w:spacing w:line="249" w:lineRule="auto"/>
      </w:pPr>
      <w:r w:rsidRPr="00962FEB">
        <w:t>DUR board members typically receive a nominal honorarium as represented above. Being a member of the DUR board is looked favorably upon by their employers and the medical community, as they provide their medical expertise for public service.</w:t>
      </w:r>
    </w:p>
    <w:p w14:paraId="214E6EA4" w14:textId="77777777" w:rsidR="00D24433" w:rsidRPr="00962FEB" w:rsidRDefault="00D24433" w:rsidP="00560248">
      <w:pPr>
        <w:pStyle w:val="BodyText"/>
      </w:pPr>
    </w:p>
    <w:p w14:paraId="214E6EA5" w14:textId="77777777" w:rsidR="00D24433" w:rsidRPr="00962FEB" w:rsidRDefault="002B5808" w:rsidP="00560248">
      <w:pPr>
        <w:rPr>
          <w:i/>
          <w:sz w:val="24"/>
          <w:szCs w:val="24"/>
        </w:rPr>
      </w:pPr>
      <w:bookmarkStart w:id="17" w:name="Intervention"/>
      <w:bookmarkEnd w:id="17"/>
      <w:r w:rsidRPr="00962FEB">
        <w:rPr>
          <w:i/>
          <w:sz w:val="24"/>
          <w:szCs w:val="24"/>
        </w:rPr>
        <w:t>Intervention</w:t>
      </w:r>
    </w:p>
    <w:p w14:paraId="214E6EA6" w14:textId="77777777" w:rsidR="00D24433" w:rsidRPr="00962FEB" w:rsidRDefault="00D24433" w:rsidP="00560248">
      <w:pPr>
        <w:pStyle w:val="BodyText"/>
      </w:pPr>
    </w:p>
    <w:p w14:paraId="214E6EA7" w14:textId="77777777" w:rsidR="00461004" w:rsidRPr="00962FEB" w:rsidRDefault="002B5808" w:rsidP="00560248">
      <w:pPr>
        <w:pStyle w:val="BodyText"/>
        <w:spacing w:line="249" w:lineRule="auto"/>
      </w:pPr>
      <w:r w:rsidRPr="00962FEB">
        <w:rPr>
          <w:u w:val="single"/>
        </w:rPr>
        <w:t>Hours:</w:t>
      </w:r>
      <w:r w:rsidRPr="00962FEB">
        <w:t xml:space="preserve"> </w:t>
      </w:r>
      <w:r w:rsidR="00461004" w:rsidRPr="00962FEB">
        <w:tab/>
        <w:t xml:space="preserve">24,480 hours annually </w:t>
      </w:r>
    </w:p>
    <w:p w14:paraId="214E6EA8" w14:textId="77777777" w:rsidR="00C56FB7" w:rsidRPr="00962FEB" w:rsidRDefault="002B5808" w:rsidP="00461004">
      <w:pPr>
        <w:pStyle w:val="BodyText"/>
        <w:spacing w:line="249" w:lineRule="auto"/>
        <w:ind w:left="720" w:firstLine="720"/>
      </w:pPr>
      <w:r w:rsidRPr="00962FEB">
        <w:t>480 hours per year (or 120</w:t>
      </w:r>
      <w:r w:rsidR="00461004" w:rsidRPr="00962FEB">
        <w:t xml:space="preserve"> quarterly hours) x 51 states</w:t>
      </w:r>
    </w:p>
    <w:p w14:paraId="214E6EA9" w14:textId="77777777" w:rsidR="00461004" w:rsidRPr="00962FEB" w:rsidRDefault="002B5808" w:rsidP="00560248">
      <w:pPr>
        <w:pStyle w:val="BodyText"/>
        <w:spacing w:line="249" w:lineRule="auto"/>
      </w:pPr>
      <w:r w:rsidRPr="00962FEB">
        <w:rPr>
          <w:u w:val="single"/>
        </w:rPr>
        <w:t>Cost:</w:t>
      </w:r>
      <w:r w:rsidRPr="00962FEB">
        <w:t xml:space="preserve"> </w:t>
      </w:r>
      <w:r w:rsidR="00461004" w:rsidRPr="00962FEB">
        <w:tab/>
      </w:r>
      <w:r w:rsidR="00461004" w:rsidRPr="00962FEB">
        <w:tab/>
      </w:r>
      <w:r w:rsidR="00262F18" w:rsidRPr="00962FEB">
        <w:t>$2,865,139</w:t>
      </w:r>
      <w:r w:rsidR="00461004" w:rsidRPr="00962FEB">
        <w:t xml:space="preserve"> per year</w:t>
      </w:r>
    </w:p>
    <w:p w14:paraId="214E6EAA" w14:textId="77777777" w:rsidR="00D24433" w:rsidRPr="00962FEB" w:rsidRDefault="002B5808" w:rsidP="00461004">
      <w:pPr>
        <w:pStyle w:val="BodyText"/>
        <w:spacing w:line="249" w:lineRule="auto"/>
        <w:ind w:left="720" w:firstLine="720"/>
      </w:pPr>
      <w:r w:rsidRPr="00962FEB">
        <w:t>24,480 hours x $</w:t>
      </w:r>
      <w:r w:rsidR="00831C37" w:rsidRPr="00962FEB">
        <w:t>117.04</w:t>
      </w:r>
      <w:r w:rsidRPr="00962FEB">
        <w:t xml:space="preserve"> per</w:t>
      </w:r>
      <w:r w:rsidR="00461004" w:rsidRPr="00962FEB">
        <w:t xml:space="preserve"> hour (pharmacist contractor)</w:t>
      </w:r>
    </w:p>
    <w:p w14:paraId="214E6EAB" w14:textId="77777777" w:rsidR="00D24433" w:rsidRPr="00962FEB" w:rsidRDefault="00D24433" w:rsidP="00560248">
      <w:pPr>
        <w:pStyle w:val="BodyText"/>
      </w:pPr>
    </w:p>
    <w:p w14:paraId="214E6EAC" w14:textId="77777777" w:rsidR="00D24433" w:rsidRPr="00962FEB" w:rsidRDefault="002B5808" w:rsidP="00560248">
      <w:pPr>
        <w:pStyle w:val="BodyText"/>
      </w:pPr>
      <w:bookmarkStart w:id="18" w:name="Annual_Report_(42_CFR_456.712_and_438.3)"/>
      <w:bookmarkEnd w:id="18"/>
      <w:r w:rsidRPr="00962FEB">
        <w:rPr>
          <w:u w:val="single"/>
        </w:rPr>
        <w:t>Annual Report (42 CFR 456.712 and 438.3)</w:t>
      </w:r>
    </w:p>
    <w:p w14:paraId="214E6EAD" w14:textId="77777777" w:rsidR="00D24433" w:rsidRPr="00962FEB" w:rsidRDefault="00D24433" w:rsidP="00560248">
      <w:pPr>
        <w:pStyle w:val="BodyText"/>
      </w:pPr>
    </w:p>
    <w:p w14:paraId="214E6EAE" w14:textId="77777777" w:rsidR="00D24433" w:rsidRPr="00962FEB" w:rsidRDefault="002B5808" w:rsidP="00560248">
      <w:pPr>
        <w:pStyle w:val="BodyText"/>
        <w:spacing w:line="247" w:lineRule="auto"/>
      </w:pPr>
      <w:r w:rsidRPr="00962FEB">
        <w:t>These sections of the regulation state that the DUR Board and the Medicaid agency are required to report to the Medicaid agency and the Secretary, respectively.  We require annual reporting.</w:t>
      </w:r>
    </w:p>
    <w:p w14:paraId="214E6EAF" w14:textId="77777777" w:rsidR="00D24433" w:rsidRPr="00962FEB" w:rsidRDefault="00D24433" w:rsidP="00560248">
      <w:pPr>
        <w:pStyle w:val="BodyText"/>
      </w:pPr>
    </w:p>
    <w:p w14:paraId="214E6EB0" w14:textId="77777777" w:rsidR="00461004" w:rsidRPr="00962FEB" w:rsidRDefault="002B5808" w:rsidP="00560248">
      <w:pPr>
        <w:pStyle w:val="BodyText"/>
        <w:spacing w:line="249" w:lineRule="auto"/>
      </w:pPr>
      <w:r w:rsidRPr="00962FEB">
        <w:rPr>
          <w:u w:val="single"/>
        </w:rPr>
        <w:t>Hours:</w:t>
      </w:r>
      <w:r w:rsidRPr="00962FEB">
        <w:t xml:space="preserve"> </w:t>
      </w:r>
      <w:r w:rsidR="00461004" w:rsidRPr="00962FEB">
        <w:tab/>
        <w:t xml:space="preserve">3,264 hours </w:t>
      </w:r>
    </w:p>
    <w:p w14:paraId="214E6EB1" w14:textId="77777777" w:rsidR="00D24433" w:rsidRPr="00962FEB" w:rsidRDefault="002B5808" w:rsidP="00461004">
      <w:pPr>
        <w:pStyle w:val="BodyText"/>
        <w:spacing w:line="250" w:lineRule="auto"/>
        <w:ind w:left="1440"/>
      </w:pPr>
      <w:r w:rsidRPr="00962FEB">
        <w:t>It is estimated that the yearly reporting burden is 64 hours per State, making the total burden for 51 Medicaid programs.</w:t>
      </w:r>
    </w:p>
    <w:p w14:paraId="214E6EB2" w14:textId="77777777" w:rsidR="00461004" w:rsidRPr="00962FEB" w:rsidRDefault="002B5808" w:rsidP="00560248">
      <w:pPr>
        <w:pStyle w:val="BodyText"/>
      </w:pPr>
      <w:r w:rsidRPr="00962FEB">
        <w:rPr>
          <w:u w:val="single"/>
        </w:rPr>
        <w:t>Cost:</w:t>
      </w:r>
      <w:r w:rsidRPr="00962FEB">
        <w:t xml:space="preserve"> </w:t>
      </w:r>
      <w:r w:rsidR="00461004" w:rsidRPr="00962FEB">
        <w:tab/>
      </w:r>
      <w:r w:rsidR="00461004" w:rsidRPr="00962FEB">
        <w:tab/>
      </w:r>
      <w:r w:rsidR="00262F18" w:rsidRPr="00962FEB">
        <w:t>$382,019</w:t>
      </w:r>
    </w:p>
    <w:p w14:paraId="214E6EB3" w14:textId="77777777" w:rsidR="00D24433" w:rsidRPr="00962FEB" w:rsidRDefault="002B5808" w:rsidP="00461004">
      <w:pPr>
        <w:pStyle w:val="BodyText"/>
        <w:ind w:left="720" w:firstLine="720"/>
      </w:pPr>
      <w:r w:rsidRPr="00962FEB">
        <w:t>3,264 hours x $</w:t>
      </w:r>
      <w:r w:rsidR="00831C37" w:rsidRPr="00962FEB">
        <w:t>117.04</w:t>
      </w:r>
      <w:r w:rsidRPr="00962FEB">
        <w:t xml:space="preserve"> per hour (pharma</w:t>
      </w:r>
      <w:r w:rsidR="00461004" w:rsidRPr="00962FEB">
        <w:t>cist contractor rate per hour)</w:t>
      </w:r>
    </w:p>
    <w:p w14:paraId="67F2B1D6" w14:textId="77777777" w:rsidR="00EB68FC" w:rsidRDefault="00EB68FC" w:rsidP="00560248">
      <w:pPr>
        <w:pStyle w:val="BodyText"/>
        <w:sectPr w:rsidR="00EB68FC" w:rsidSect="003A310B">
          <w:footerReference w:type="default" r:id="rId21"/>
          <w:pgSz w:w="12240" w:h="15840"/>
          <w:pgMar w:top="1440" w:right="1440" w:bottom="1440" w:left="1440" w:header="0" w:footer="1070" w:gutter="0"/>
          <w:cols w:space="720"/>
          <w:docGrid w:linePitch="299"/>
        </w:sectPr>
      </w:pPr>
    </w:p>
    <w:p w14:paraId="214E6EB5" w14:textId="77777777" w:rsidR="00D24433" w:rsidRPr="00962FEB" w:rsidRDefault="00D24433" w:rsidP="00560248">
      <w:pPr>
        <w:pStyle w:val="BodyText"/>
      </w:pPr>
    </w:p>
    <w:p w14:paraId="214E6EB6" w14:textId="77777777" w:rsidR="00D24433" w:rsidRPr="00962FEB" w:rsidRDefault="002B5808" w:rsidP="00560248">
      <w:pPr>
        <w:pStyle w:val="ListParagraph"/>
        <w:numPr>
          <w:ilvl w:val="1"/>
          <w:numId w:val="2"/>
        </w:numPr>
        <w:tabs>
          <w:tab w:val="left" w:pos="566"/>
        </w:tabs>
        <w:ind w:left="0" w:firstLine="0"/>
        <w:rPr>
          <w:i/>
          <w:sz w:val="24"/>
          <w:szCs w:val="24"/>
        </w:rPr>
      </w:pPr>
      <w:r w:rsidRPr="00962FEB">
        <w:rPr>
          <w:i/>
          <w:sz w:val="24"/>
          <w:szCs w:val="24"/>
        </w:rPr>
        <w:t>Burden</w:t>
      </w:r>
      <w:r w:rsidRPr="00962FEB">
        <w:rPr>
          <w:i/>
          <w:spacing w:val="-3"/>
          <w:sz w:val="24"/>
          <w:szCs w:val="24"/>
        </w:rPr>
        <w:t xml:space="preserve"> </w:t>
      </w:r>
      <w:r w:rsidRPr="00962FEB">
        <w:rPr>
          <w:i/>
          <w:sz w:val="24"/>
          <w:szCs w:val="24"/>
        </w:rPr>
        <w:t>Summary</w:t>
      </w:r>
    </w:p>
    <w:p w14:paraId="214E6EB7" w14:textId="77777777" w:rsidR="00D24433" w:rsidRPr="00F90562" w:rsidRDefault="00D24433" w:rsidP="00560248">
      <w:pPr>
        <w:pStyle w:val="BodyText"/>
        <w:rPr>
          <w:i/>
        </w:rPr>
      </w:pPr>
    </w:p>
    <w:p w14:paraId="214E6EB8" w14:textId="77777777" w:rsidR="00D24433" w:rsidRPr="000A20DE" w:rsidRDefault="002B5808" w:rsidP="00560248">
      <w:pPr>
        <w:rPr>
          <w:sz w:val="24"/>
          <w:szCs w:val="24"/>
        </w:rPr>
      </w:pPr>
      <w:r w:rsidRPr="000A20DE">
        <w:rPr>
          <w:sz w:val="24"/>
          <w:szCs w:val="24"/>
        </w:rPr>
        <w:t>Annual Recordkeeping and Reporting Requirements</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0"/>
        <w:gridCol w:w="1214"/>
        <w:gridCol w:w="1260"/>
        <w:gridCol w:w="1258"/>
        <w:gridCol w:w="1097"/>
        <w:gridCol w:w="1481"/>
        <w:gridCol w:w="710"/>
        <w:gridCol w:w="1320"/>
        <w:gridCol w:w="1303"/>
      </w:tblGrid>
      <w:tr w:rsidR="00D24433" w:rsidRPr="00F90562" w14:paraId="214E6EC2" w14:textId="77777777">
        <w:trPr>
          <w:trHeight w:hRule="exact" w:val="224"/>
        </w:trPr>
        <w:tc>
          <w:tcPr>
            <w:tcW w:w="1190" w:type="dxa"/>
            <w:tcBorders>
              <w:bottom w:val="nil"/>
            </w:tcBorders>
          </w:tcPr>
          <w:p w14:paraId="214E6EB9" w14:textId="77777777" w:rsidR="00D24433" w:rsidRPr="000B43CA" w:rsidRDefault="002B5808" w:rsidP="00560248">
            <w:pPr>
              <w:pStyle w:val="TableParagraph"/>
              <w:spacing w:line="240" w:lineRule="auto"/>
              <w:ind w:left="0"/>
              <w:rPr>
                <w:sz w:val="20"/>
                <w:szCs w:val="20"/>
              </w:rPr>
            </w:pPr>
            <w:r w:rsidRPr="000B43CA">
              <w:rPr>
                <w:sz w:val="20"/>
                <w:szCs w:val="20"/>
              </w:rPr>
              <w:t>Regulation</w:t>
            </w:r>
          </w:p>
        </w:tc>
        <w:tc>
          <w:tcPr>
            <w:tcW w:w="1214" w:type="dxa"/>
            <w:tcBorders>
              <w:bottom w:val="nil"/>
            </w:tcBorders>
          </w:tcPr>
          <w:p w14:paraId="214E6EBA" w14:textId="77777777" w:rsidR="00D24433" w:rsidRPr="000B43CA" w:rsidRDefault="00D24433" w:rsidP="00560248">
            <w:pPr>
              <w:rPr>
                <w:sz w:val="20"/>
                <w:szCs w:val="20"/>
              </w:rPr>
            </w:pPr>
          </w:p>
        </w:tc>
        <w:tc>
          <w:tcPr>
            <w:tcW w:w="1260" w:type="dxa"/>
            <w:tcBorders>
              <w:bottom w:val="nil"/>
            </w:tcBorders>
          </w:tcPr>
          <w:p w14:paraId="214E6EBB" w14:textId="77777777" w:rsidR="00D24433" w:rsidRPr="000B43CA" w:rsidRDefault="002B5808" w:rsidP="00560248">
            <w:pPr>
              <w:pStyle w:val="TableParagraph"/>
              <w:spacing w:line="207" w:lineRule="exact"/>
              <w:ind w:left="0"/>
              <w:rPr>
                <w:sz w:val="20"/>
                <w:szCs w:val="20"/>
              </w:rPr>
            </w:pPr>
            <w:r w:rsidRPr="000B43CA">
              <w:rPr>
                <w:sz w:val="20"/>
                <w:szCs w:val="20"/>
              </w:rPr>
              <w:t>Responses</w:t>
            </w:r>
          </w:p>
        </w:tc>
        <w:tc>
          <w:tcPr>
            <w:tcW w:w="1258" w:type="dxa"/>
            <w:tcBorders>
              <w:bottom w:val="nil"/>
            </w:tcBorders>
          </w:tcPr>
          <w:p w14:paraId="214E6EBC" w14:textId="77777777" w:rsidR="00D24433" w:rsidRPr="000B43CA" w:rsidRDefault="00D24433" w:rsidP="00560248">
            <w:pPr>
              <w:rPr>
                <w:sz w:val="20"/>
                <w:szCs w:val="20"/>
              </w:rPr>
            </w:pPr>
          </w:p>
        </w:tc>
        <w:tc>
          <w:tcPr>
            <w:tcW w:w="1097" w:type="dxa"/>
            <w:tcBorders>
              <w:bottom w:val="nil"/>
            </w:tcBorders>
          </w:tcPr>
          <w:p w14:paraId="214E6EBD" w14:textId="77777777" w:rsidR="00D24433" w:rsidRPr="000B43CA" w:rsidRDefault="00D24433" w:rsidP="00560248">
            <w:pPr>
              <w:rPr>
                <w:sz w:val="20"/>
                <w:szCs w:val="20"/>
              </w:rPr>
            </w:pPr>
          </w:p>
        </w:tc>
        <w:tc>
          <w:tcPr>
            <w:tcW w:w="1481" w:type="dxa"/>
            <w:tcBorders>
              <w:bottom w:val="nil"/>
            </w:tcBorders>
          </w:tcPr>
          <w:p w14:paraId="214E6EBE" w14:textId="77777777" w:rsidR="00D24433" w:rsidRPr="000B43CA" w:rsidRDefault="00D24433" w:rsidP="00560248">
            <w:pPr>
              <w:rPr>
                <w:sz w:val="20"/>
                <w:szCs w:val="20"/>
              </w:rPr>
            </w:pPr>
          </w:p>
        </w:tc>
        <w:tc>
          <w:tcPr>
            <w:tcW w:w="710" w:type="dxa"/>
            <w:tcBorders>
              <w:bottom w:val="nil"/>
            </w:tcBorders>
          </w:tcPr>
          <w:p w14:paraId="214E6EBF" w14:textId="77777777" w:rsidR="00D24433" w:rsidRPr="000B43CA" w:rsidRDefault="002B5808" w:rsidP="00560248">
            <w:pPr>
              <w:pStyle w:val="TableParagraph"/>
              <w:spacing w:line="240" w:lineRule="auto"/>
              <w:ind w:left="0"/>
              <w:rPr>
                <w:sz w:val="20"/>
                <w:szCs w:val="20"/>
              </w:rPr>
            </w:pPr>
            <w:r w:rsidRPr="000B43CA">
              <w:rPr>
                <w:sz w:val="20"/>
                <w:szCs w:val="20"/>
              </w:rPr>
              <w:t>Labor</w:t>
            </w:r>
          </w:p>
        </w:tc>
        <w:tc>
          <w:tcPr>
            <w:tcW w:w="1320" w:type="dxa"/>
            <w:tcBorders>
              <w:bottom w:val="nil"/>
            </w:tcBorders>
          </w:tcPr>
          <w:p w14:paraId="214E6EC0" w14:textId="77777777" w:rsidR="00D24433" w:rsidRPr="000B43CA" w:rsidRDefault="002B5808" w:rsidP="00560248">
            <w:pPr>
              <w:pStyle w:val="TableParagraph"/>
              <w:spacing w:line="240" w:lineRule="auto"/>
              <w:ind w:left="0"/>
              <w:rPr>
                <w:sz w:val="20"/>
                <w:szCs w:val="20"/>
              </w:rPr>
            </w:pPr>
            <w:r w:rsidRPr="000B43CA">
              <w:rPr>
                <w:sz w:val="20"/>
                <w:szCs w:val="20"/>
              </w:rPr>
              <w:t>Total</w:t>
            </w:r>
          </w:p>
        </w:tc>
        <w:tc>
          <w:tcPr>
            <w:tcW w:w="1303" w:type="dxa"/>
            <w:tcBorders>
              <w:bottom w:val="nil"/>
            </w:tcBorders>
          </w:tcPr>
          <w:p w14:paraId="214E6EC1" w14:textId="77777777" w:rsidR="00D24433" w:rsidRPr="000B43CA" w:rsidRDefault="00D24433" w:rsidP="00560248">
            <w:pPr>
              <w:rPr>
                <w:sz w:val="20"/>
                <w:szCs w:val="20"/>
              </w:rPr>
            </w:pPr>
          </w:p>
        </w:tc>
      </w:tr>
      <w:tr w:rsidR="00D24433" w:rsidRPr="00F90562" w14:paraId="214E6ECC" w14:textId="77777777">
        <w:trPr>
          <w:trHeight w:hRule="exact" w:val="449"/>
        </w:trPr>
        <w:tc>
          <w:tcPr>
            <w:tcW w:w="1190" w:type="dxa"/>
            <w:tcBorders>
              <w:top w:val="nil"/>
              <w:bottom w:val="nil"/>
            </w:tcBorders>
          </w:tcPr>
          <w:p w14:paraId="214E6EC3" w14:textId="77777777" w:rsidR="00D24433" w:rsidRPr="000B43CA" w:rsidRDefault="002B5808" w:rsidP="00560248">
            <w:pPr>
              <w:pStyle w:val="TableParagraph"/>
              <w:spacing w:line="261" w:lineRule="auto"/>
              <w:ind w:left="0"/>
              <w:rPr>
                <w:sz w:val="20"/>
                <w:szCs w:val="20"/>
              </w:rPr>
            </w:pPr>
            <w:r w:rsidRPr="000B43CA">
              <w:rPr>
                <w:sz w:val="20"/>
                <w:szCs w:val="20"/>
              </w:rPr>
              <w:t>Under Title 42 of the</w:t>
            </w:r>
          </w:p>
        </w:tc>
        <w:tc>
          <w:tcPr>
            <w:tcW w:w="1214" w:type="dxa"/>
            <w:tcBorders>
              <w:top w:val="nil"/>
              <w:bottom w:val="nil"/>
            </w:tcBorders>
          </w:tcPr>
          <w:p w14:paraId="214E6EC4" w14:textId="77777777" w:rsidR="00D24433" w:rsidRPr="000B43CA" w:rsidRDefault="002B5808" w:rsidP="00560248">
            <w:pPr>
              <w:pStyle w:val="TableParagraph"/>
              <w:spacing w:line="240" w:lineRule="auto"/>
              <w:ind w:left="0"/>
              <w:rPr>
                <w:sz w:val="20"/>
                <w:szCs w:val="20"/>
              </w:rPr>
            </w:pPr>
            <w:r w:rsidRPr="000B43CA">
              <w:rPr>
                <w:sz w:val="20"/>
                <w:szCs w:val="20"/>
              </w:rPr>
              <w:t>Respondents</w:t>
            </w:r>
          </w:p>
        </w:tc>
        <w:tc>
          <w:tcPr>
            <w:tcW w:w="1260" w:type="dxa"/>
            <w:tcBorders>
              <w:top w:val="nil"/>
              <w:bottom w:val="nil"/>
            </w:tcBorders>
          </w:tcPr>
          <w:p w14:paraId="214E6EC5" w14:textId="77777777" w:rsidR="00D24433" w:rsidRPr="000B43CA" w:rsidRDefault="002B5808" w:rsidP="00560248">
            <w:pPr>
              <w:pStyle w:val="TableParagraph"/>
              <w:spacing w:line="261" w:lineRule="auto"/>
              <w:ind w:left="0"/>
              <w:rPr>
                <w:sz w:val="20"/>
                <w:szCs w:val="20"/>
              </w:rPr>
            </w:pPr>
            <w:r w:rsidRPr="000B43CA">
              <w:rPr>
                <w:sz w:val="20"/>
                <w:szCs w:val="20"/>
              </w:rPr>
              <w:t>(per respondent)</w:t>
            </w:r>
          </w:p>
        </w:tc>
        <w:tc>
          <w:tcPr>
            <w:tcW w:w="1258" w:type="dxa"/>
            <w:tcBorders>
              <w:top w:val="nil"/>
              <w:bottom w:val="nil"/>
            </w:tcBorders>
          </w:tcPr>
          <w:p w14:paraId="214E6EC6" w14:textId="77777777" w:rsidR="00D24433" w:rsidRPr="000B43CA" w:rsidRDefault="002B5808" w:rsidP="00560248">
            <w:pPr>
              <w:pStyle w:val="TableParagraph"/>
              <w:spacing w:line="261" w:lineRule="auto"/>
              <w:ind w:left="0"/>
              <w:rPr>
                <w:sz w:val="20"/>
                <w:szCs w:val="20"/>
              </w:rPr>
            </w:pPr>
            <w:r w:rsidRPr="000B43CA">
              <w:rPr>
                <w:sz w:val="20"/>
                <w:szCs w:val="20"/>
              </w:rPr>
              <w:t>Total Responses</w:t>
            </w:r>
          </w:p>
        </w:tc>
        <w:tc>
          <w:tcPr>
            <w:tcW w:w="1097" w:type="dxa"/>
            <w:tcBorders>
              <w:top w:val="nil"/>
              <w:bottom w:val="nil"/>
            </w:tcBorders>
          </w:tcPr>
          <w:p w14:paraId="214E6EC7" w14:textId="77777777" w:rsidR="00D24433" w:rsidRPr="000B43CA" w:rsidRDefault="002B5808" w:rsidP="00560248">
            <w:pPr>
              <w:pStyle w:val="TableParagraph"/>
              <w:spacing w:line="261" w:lineRule="auto"/>
              <w:ind w:left="0"/>
              <w:rPr>
                <w:sz w:val="20"/>
                <w:szCs w:val="20"/>
              </w:rPr>
            </w:pPr>
            <w:r w:rsidRPr="000B43CA">
              <w:rPr>
                <w:sz w:val="20"/>
                <w:szCs w:val="20"/>
              </w:rPr>
              <w:t>Time per Response</w:t>
            </w:r>
          </w:p>
        </w:tc>
        <w:tc>
          <w:tcPr>
            <w:tcW w:w="1481" w:type="dxa"/>
            <w:tcBorders>
              <w:top w:val="nil"/>
              <w:bottom w:val="nil"/>
            </w:tcBorders>
          </w:tcPr>
          <w:p w14:paraId="214E6EC8" w14:textId="77777777" w:rsidR="00D24433" w:rsidRPr="000B43CA" w:rsidRDefault="002B5808" w:rsidP="00560248">
            <w:pPr>
              <w:pStyle w:val="TableParagraph"/>
              <w:tabs>
                <w:tab w:val="left" w:pos="842"/>
              </w:tabs>
              <w:spacing w:line="261" w:lineRule="auto"/>
              <w:ind w:left="0"/>
              <w:rPr>
                <w:sz w:val="20"/>
                <w:szCs w:val="20"/>
              </w:rPr>
            </w:pPr>
            <w:r w:rsidRPr="000B43CA">
              <w:rPr>
                <w:sz w:val="20"/>
                <w:szCs w:val="20"/>
              </w:rPr>
              <w:t>Total</w:t>
            </w:r>
            <w:r w:rsidR="00F90562" w:rsidRPr="000B43CA">
              <w:rPr>
                <w:sz w:val="20"/>
                <w:szCs w:val="20"/>
              </w:rPr>
              <w:t xml:space="preserve"> </w:t>
            </w:r>
            <w:r w:rsidRPr="000B43CA">
              <w:rPr>
                <w:spacing w:val="-1"/>
                <w:sz w:val="20"/>
                <w:szCs w:val="20"/>
              </w:rPr>
              <w:t xml:space="preserve">Annual </w:t>
            </w:r>
            <w:r w:rsidRPr="000B43CA">
              <w:rPr>
                <w:sz w:val="20"/>
                <w:szCs w:val="20"/>
              </w:rPr>
              <w:t>Burden</w:t>
            </w:r>
            <w:r w:rsidRPr="000B43CA">
              <w:rPr>
                <w:spacing w:val="-8"/>
                <w:sz w:val="20"/>
                <w:szCs w:val="20"/>
              </w:rPr>
              <w:t xml:space="preserve"> </w:t>
            </w:r>
            <w:r w:rsidRPr="000B43CA">
              <w:rPr>
                <w:sz w:val="20"/>
                <w:szCs w:val="20"/>
              </w:rPr>
              <w:t>(hr)</w:t>
            </w:r>
          </w:p>
        </w:tc>
        <w:tc>
          <w:tcPr>
            <w:tcW w:w="710" w:type="dxa"/>
            <w:tcBorders>
              <w:top w:val="nil"/>
              <w:bottom w:val="nil"/>
            </w:tcBorders>
          </w:tcPr>
          <w:p w14:paraId="214E6EC9" w14:textId="77777777" w:rsidR="00D24433" w:rsidRPr="000B43CA" w:rsidRDefault="002B5808" w:rsidP="00560248">
            <w:pPr>
              <w:pStyle w:val="TableParagraph"/>
              <w:spacing w:line="261" w:lineRule="auto"/>
              <w:ind w:left="0"/>
              <w:rPr>
                <w:sz w:val="20"/>
                <w:szCs w:val="20"/>
              </w:rPr>
            </w:pPr>
            <w:r w:rsidRPr="000B43CA">
              <w:rPr>
                <w:sz w:val="20"/>
                <w:szCs w:val="20"/>
              </w:rPr>
              <w:t>Rate ($/hr)</w:t>
            </w:r>
          </w:p>
        </w:tc>
        <w:tc>
          <w:tcPr>
            <w:tcW w:w="1320" w:type="dxa"/>
            <w:tcBorders>
              <w:top w:val="nil"/>
              <w:bottom w:val="nil"/>
            </w:tcBorders>
          </w:tcPr>
          <w:p w14:paraId="214E6ECA" w14:textId="77777777" w:rsidR="00D24433" w:rsidRPr="000B43CA" w:rsidRDefault="002B5808" w:rsidP="00560248">
            <w:pPr>
              <w:pStyle w:val="TableParagraph"/>
              <w:spacing w:line="261" w:lineRule="auto"/>
              <w:ind w:left="0"/>
              <w:rPr>
                <w:sz w:val="20"/>
                <w:szCs w:val="20"/>
              </w:rPr>
            </w:pPr>
            <w:r w:rsidRPr="000B43CA">
              <w:rPr>
                <w:sz w:val="20"/>
                <w:szCs w:val="20"/>
              </w:rPr>
              <w:t xml:space="preserve">Capital/ </w:t>
            </w:r>
            <w:r w:rsidRPr="000B43CA">
              <w:rPr>
                <w:w w:val="95"/>
                <w:sz w:val="20"/>
                <w:szCs w:val="20"/>
              </w:rPr>
              <w:t>Maintenance</w:t>
            </w:r>
          </w:p>
        </w:tc>
        <w:tc>
          <w:tcPr>
            <w:tcW w:w="1303" w:type="dxa"/>
            <w:tcBorders>
              <w:top w:val="nil"/>
              <w:bottom w:val="nil"/>
            </w:tcBorders>
          </w:tcPr>
          <w:p w14:paraId="214E6ECB" w14:textId="77777777" w:rsidR="00D24433" w:rsidRPr="000B43CA" w:rsidRDefault="002B5808" w:rsidP="00560248">
            <w:pPr>
              <w:pStyle w:val="TableParagraph"/>
              <w:spacing w:line="261" w:lineRule="auto"/>
              <w:ind w:left="0"/>
              <w:rPr>
                <w:sz w:val="20"/>
                <w:szCs w:val="20"/>
              </w:rPr>
            </w:pPr>
            <w:r w:rsidRPr="000B43CA">
              <w:rPr>
                <w:sz w:val="20"/>
                <w:szCs w:val="20"/>
              </w:rPr>
              <w:t>Total Cost ($)</w:t>
            </w:r>
          </w:p>
        </w:tc>
      </w:tr>
      <w:tr w:rsidR="00D24433" w:rsidRPr="00F90562" w14:paraId="214E6ED6" w14:textId="77777777">
        <w:trPr>
          <w:trHeight w:hRule="exact" w:val="232"/>
        </w:trPr>
        <w:tc>
          <w:tcPr>
            <w:tcW w:w="1190" w:type="dxa"/>
            <w:tcBorders>
              <w:top w:val="nil"/>
            </w:tcBorders>
          </w:tcPr>
          <w:p w14:paraId="214E6ECD" w14:textId="77777777" w:rsidR="00D24433" w:rsidRPr="00F90562" w:rsidRDefault="002B5808" w:rsidP="00560248">
            <w:pPr>
              <w:pStyle w:val="TableParagraph"/>
              <w:spacing w:line="240" w:lineRule="auto"/>
              <w:ind w:left="0"/>
              <w:rPr>
                <w:sz w:val="20"/>
                <w:szCs w:val="20"/>
              </w:rPr>
            </w:pPr>
            <w:r w:rsidRPr="00F90562">
              <w:rPr>
                <w:sz w:val="20"/>
                <w:szCs w:val="20"/>
              </w:rPr>
              <w:t>CFR</w:t>
            </w:r>
          </w:p>
        </w:tc>
        <w:tc>
          <w:tcPr>
            <w:tcW w:w="1214" w:type="dxa"/>
            <w:tcBorders>
              <w:top w:val="nil"/>
            </w:tcBorders>
          </w:tcPr>
          <w:p w14:paraId="214E6ECE" w14:textId="77777777" w:rsidR="00D24433" w:rsidRPr="00F90562" w:rsidRDefault="00D24433" w:rsidP="00560248">
            <w:pPr>
              <w:rPr>
                <w:sz w:val="20"/>
                <w:szCs w:val="20"/>
              </w:rPr>
            </w:pPr>
          </w:p>
        </w:tc>
        <w:tc>
          <w:tcPr>
            <w:tcW w:w="1260" w:type="dxa"/>
            <w:tcBorders>
              <w:top w:val="nil"/>
            </w:tcBorders>
          </w:tcPr>
          <w:p w14:paraId="214E6ECF" w14:textId="77777777" w:rsidR="00D24433" w:rsidRPr="00F90562" w:rsidRDefault="00D24433" w:rsidP="00560248">
            <w:pPr>
              <w:rPr>
                <w:sz w:val="20"/>
                <w:szCs w:val="20"/>
              </w:rPr>
            </w:pPr>
          </w:p>
        </w:tc>
        <w:tc>
          <w:tcPr>
            <w:tcW w:w="1258" w:type="dxa"/>
            <w:tcBorders>
              <w:top w:val="nil"/>
            </w:tcBorders>
          </w:tcPr>
          <w:p w14:paraId="214E6ED0" w14:textId="77777777" w:rsidR="00D24433" w:rsidRPr="00F90562" w:rsidRDefault="00D24433" w:rsidP="00560248">
            <w:pPr>
              <w:rPr>
                <w:sz w:val="20"/>
                <w:szCs w:val="20"/>
              </w:rPr>
            </w:pPr>
          </w:p>
        </w:tc>
        <w:tc>
          <w:tcPr>
            <w:tcW w:w="1097" w:type="dxa"/>
            <w:tcBorders>
              <w:top w:val="nil"/>
            </w:tcBorders>
          </w:tcPr>
          <w:p w14:paraId="214E6ED1" w14:textId="77777777" w:rsidR="00D24433" w:rsidRPr="00F90562" w:rsidRDefault="00D24433" w:rsidP="00560248">
            <w:pPr>
              <w:rPr>
                <w:sz w:val="20"/>
                <w:szCs w:val="20"/>
              </w:rPr>
            </w:pPr>
          </w:p>
        </w:tc>
        <w:tc>
          <w:tcPr>
            <w:tcW w:w="1481" w:type="dxa"/>
            <w:tcBorders>
              <w:top w:val="nil"/>
            </w:tcBorders>
          </w:tcPr>
          <w:p w14:paraId="214E6ED2" w14:textId="77777777" w:rsidR="00D24433" w:rsidRPr="00F90562" w:rsidRDefault="00D24433" w:rsidP="00560248">
            <w:pPr>
              <w:rPr>
                <w:sz w:val="20"/>
                <w:szCs w:val="20"/>
              </w:rPr>
            </w:pPr>
          </w:p>
        </w:tc>
        <w:tc>
          <w:tcPr>
            <w:tcW w:w="710" w:type="dxa"/>
            <w:tcBorders>
              <w:top w:val="nil"/>
            </w:tcBorders>
          </w:tcPr>
          <w:p w14:paraId="214E6ED3" w14:textId="77777777" w:rsidR="00D24433" w:rsidRPr="00461004" w:rsidRDefault="00D24433" w:rsidP="00560248">
            <w:pPr>
              <w:rPr>
                <w:sz w:val="20"/>
                <w:szCs w:val="20"/>
                <w:highlight w:val="yellow"/>
              </w:rPr>
            </w:pPr>
          </w:p>
        </w:tc>
        <w:tc>
          <w:tcPr>
            <w:tcW w:w="1320" w:type="dxa"/>
            <w:tcBorders>
              <w:top w:val="nil"/>
            </w:tcBorders>
          </w:tcPr>
          <w:p w14:paraId="214E6ED4" w14:textId="77777777" w:rsidR="00D24433" w:rsidRPr="00F90562" w:rsidRDefault="002B5808" w:rsidP="00560248">
            <w:pPr>
              <w:pStyle w:val="TableParagraph"/>
              <w:spacing w:line="240" w:lineRule="auto"/>
              <w:ind w:left="0"/>
              <w:rPr>
                <w:sz w:val="20"/>
                <w:szCs w:val="20"/>
              </w:rPr>
            </w:pPr>
            <w:r w:rsidRPr="00F90562">
              <w:rPr>
                <w:sz w:val="20"/>
                <w:szCs w:val="20"/>
              </w:rPr>
              <w:t>Costs ($)</w:t>
            </w:r>
          </w:p>
        </w:tc>
        <w:tc>
          <w:tcPr>
            <w:tcW w:w="1303" w:type="dxa"/>
            <w:tcBorders>
              <w:top w:val="nil"/>
            </w:tcBorders>
          </w:tcPr>
          <w:p w14:paraId="214E6ED5" w14:textId="77777777" w:rsidR="00D24433" w:rsidRPr="00461004" w:rsidRDefault="00D24433" w:rsidP="00560248">
            <w:pPr>
              <w:rPr>
                <w:sz w:val="20"/>
                <w:szCs w:val="20"/>
                <w:highlight w:val="yellow"/>
              </w:rPr>
            </w:pPr>
          </w:p>
        </w:tc>
      </w:tr>
      <w:tr w:rsidR="00D24433" w:rsidRPr="000B43CA" w14:paraId="214E6EE0" w14:textId="77777777">
        <w:trPr>
          <w:trHeight w:hRule="exact" w:val="233"/>
        </w:trPr>
        <w:tc>
          <w:tcPr>
            <w:tcW w:w="1190" w:type="dxa"/>
          </w:tcPr>
          <w:p w14:paraId="214E6ED7" w14:textId="778EF5F2" w:rsidR="00D24433" w:rsidRPr="000B43CA" w:rsidRDefault="002B5808" w:rsidP="00560248">
            <w:pPr>
              <w:pStyle w:val="TableParagraph"/>
              <w:ind w:left="0"/>
              <w:rPr>
                <w:sz w:val="20"/>
                <w:szCs w:val="20"/>
              </w:rPr>
            </w:pPr>
            <w:r w:rsidRPr="000B43CA">
              <w:rPr>
                <w:sz w:val="20"/>
                <w:szCs w:val="20"/>
              </w:rPr>
              <w:t>456.709</w:t>
            </w:r>
          </w:p>
        </w:tc>
        <w:tc>
          <w:tcPr>
            <w:tcW w:w="1214" w:type="dxa"/>
          </w:tcPr>
          <w:p w14:paraId="214E6ED8" w14:textId="77777777" w:rsidR="00D24433" w:rsidRPr="000B43CA" w:rsidRDefault="002B5808" w:rsidP="00560248">
            <w:pPr>
              <w:pStyle w:val="TableParagraph"/>
              <w:ind w:left="0"/>
              <w:rPr>
                <w:sz w:val="20"/>
                <w:szCs w:val="20"/>
              </w:rPr>
            </w:pPr>
            <w:r w:rsidRPr="000B43CA">
              <w:rPr>
                <w:sz w:val="20"/>
                <w:szCs w:val="20"/>
              </w:rPr>
              <w:t>51</w:t>
            </w:r>
          </w:p>
        </w:tc>
        <w:tc>
          <w:tcPr>
            <w:tcW w:w="1260" w:type="dxa"/>
          </w:tcPr>
          <w:p w14:paraId="214E6ED9" w14:textId="77777777" w:rsidR="00D24433" w:rsidRPr="000B43CA" w:rsidRDefault="002B5808" w:rsidP="00560248">
            <w:pPr>
              <w:pStyle w:val="TableParagraph"/>
              <w:ind w:left="0"/>
              <w:rPr>
                <w:sz w:val="20"/>
                <w:szCs w:val="20"/>
              </w:rPr>
            </w:pPr>
            <w:r w:rsidRPr="000B43CA">
              <w:rPr>
                <w:sz w:val="20"/>
                <w:szCs w:val="20"/>
              </w:rPr>
              <w:t>4</w:t>
            </w:r>
          </w:p>
        </w:tc>
        <w:tc>
          <w:tcPr>
            <w:tcW w:w="1258" w:type="dxa"/>
          </w:tcPr>
          <w:p w14:paraId="214E6EDA" w14:textId="77777777" w:rsidR="00D24433" w:rsidRPr="000B43CA" w:rsidRDefault="002B5808" w:rsidP="00560248">
            <w:pPr>
              <w:pStyle w:val="TableParagraph"/>
              <w:ind w:left="0"/>
              <w:rPr>
                <w:sz w:val="20"/>
                <w:szCs w:val="20"/>
              </w:rPr>
            </w:pPr>
            <w:r w:rsidRPr="000B43CA">
              <w:rPr>
                <w:sz w:val="20"/>
                <w:szCs w:val="20"/>
              </w:rPr>
              <w:t>204</w:t>
            </w:r>
          </w:p>
        </w:tc>
        <w:tc>
          <w:tcPr>
            <w:tcW w:w="1097" w:type="dxa"/>
          </w:tcPr>
          <w:p w14:paraId="214E6EDB" w14:textId="77777777" w:rsidR="00D24433" w:rsidRPr="000B43CA" w:rsidRDefault="002B5808" w:rsidP="00560248">
            <w:pPr>
              <w:pStyle w:val="TableParagraph"/>
              <w:ind w:left="0"/>
              <w:rPr>
                <w:sz w:val="20"/>
                <w:szCs w:val="20"/>
              </w:rPr>
            </w:pPr>
            <w:r w:rsidRPr="000B43CA">
              <w:rPr>
                <w:sz w:val="20"/>
                <w:szCs w:val="20"/>
              </w:rPr>
              <w:t>5 hr</w:t>
            </w:r>
          </w:p>
        </w:tc>
        <w:tc>
          <w:tcPr>
            <w:tcW w:w="1481" w:type="dxa"/>
          </w:tcPr>
          <w:p w14:paraId="214E6EDC" w14:textId="77777777" w:rsidR="00D24433" w:rsidRPr="000B43CA" w:rsidRDefault="002B5808" w:rsidP="00560248">
            <w:pPr>
              <w:pStyle w:val="TableParagraph"/>
              <w:ind w:left="0"/>
              <w:rPr>
                <w:sz w:val="20"/>
                <w:szCs w:val="20"/>
              </w:rPr>
            </w:pPr>
            <w:r w:rsidRPr="000B43CA">
              <w:rPr>
                <w:sz w:val="20"/>
                <w:szCs w:val="20"/>
              </w:rPr>
              <w:t>1,020</w:t>
            </w:r>
          </w:p>
        </w:tc>
        <w:tc>
          <w:tcPr>
            <w:tcW w:w="710" w:type="dxa"/>
          </w:tcPr>
          <w:p w14:paraId="214E6EDD" w14:textId="77777777" w:rsidR="00D24433" w:rsidRPr="000B43CA" w:rsidRDefault="00831C37" w:rsidP="00560248">
            <w:pPr>
              <w:pStyle w:val="TableParagraph"/>
              <w:ind w:left="0"/>
              <w:rPr>
                <w:sz w:val="20"/>
                <w:szCs w:val="20"/>
              </w:rPr>
            </w:pPr>
            <w:r w:rsidRPr="000B43CA">
              <w:rPr>
                <w:sz w:val="20"/>
                <w:szCs w:val="20"/>
              </w:rPr>
              <w:t>117.04</w:t>
            </w:r>
          </w:p>
        </w:tc>
        <w:tc>
          <w:tcPr>
            <w:tcW w:w="1320" w:type="dxa"/>
          </w:tcPr>
          <w:p w14:paraId="214E6EDE" w14:textId="77777777" w:rsidR="00D24433" w:rsidRPr="000B43CA" w:rsidRDefault="002B5808" w:rsidP="00560248">
            <w:pPr>
              <w:pStyle w:val="TableParagraph"/>
              <w:ind w:left="0"/>
              <w:rPr>
                <w:sz w:val="20"/>
                <w:szCs w:val="20"/>
              </w:rPr>
            </w:pPr>
            <w:r w:rsidRPr="000B43CA">
              <w:rPr>
                <w:sz w:val="20"/>
                <w:szCs w:val="20"/>
              </w:rPr>
              <w:t>0</w:t>
            </w:r>
          </w:p>
        </w:tc>
        <w:tc>
          <w:tcPr>
            <w:tcW w:w="1303" w:type="dxa"/>
          </w:tcPr>
          <w:p w14:paraId="214E6EDF" w14:textId="77777777" w:rsidR="00D24433" w:rsidRPr="000B43CA" w:rsidRDefault="00962FEB" w:rsidP="00560248">
            <w:pPr>
              <w:pStyle w:val="TableParagraph"/>
              <w:ind w:left="0"/>
              <w:rPr>
                <w:sz w:val="20"/>
                <w:szCs w:val="20"/>
              </w:rPr>
            </w:pPr>
            <w:r w:rsidRPr="000B43CA">
              <w:rPr>
                <w:sz w:val="20"/>
                <w:szCs w:val="20"/>
              </w:rPr>
              <w:t>119,381</w:t>
            </w:r>
          </w:p>
        </w:tc>
      </w:tr>
      <w:tr w:rsidR="00D24433" w:rsidRPr="00306199" w14:paraId="214E6EEA" w14:textId="77777777" w:rsidTr="002B5808">
        <w:trPr>
          <w:trHeight w:hRule="exact" w:val="720"/>
        </w:trPr>
        <w:tc>
          <w:tcPr>
            <w:tcW w:w="1190" w:type="dxa"/>
            <w:vMerge w:val="restart"/>
          </w:tcPr>
          <w:p w14:paraId="214E6EE1" w14:textId="77777777" w:rsidR="00D24433" w:rsidRPr="00306199" w:rsidRDefault="002B5808" w:rsidP="00560248">
            <w:pPr>
              <w:pStyle w:val="TableParagraph"/>
              <w:ind w:left="0"/>
              <w:rPr>
                <w:sz w:val="20"/>
                <w:szCs w:val="20"/>
              </w:rPr>
            </w:pPr>
            <w:r w:rsidRPr="00306199">
              <w:rPr>
                <w:sz w:val="20"/>
                <w:szCs w:val="20"/>
              </w:rPr>
              <w:t>456.711</w:t>
            </w:r>
          </w:p>
        </w:tc>
        <w:tc>
          <w:tcPr>
            <w:tcW w:w="1214" w:type="dxa"/>
            <w:vMerge w:val="restart"/>
          </w:tcPr>
          <w:p w14:paraId="214E6EE2" w14:textId="77777777" w:rsidR="00D24433" w:rsidRPr="00306199" w:rsidRDefault="002B5808" w:rsidP="00560248">
            <w:pPr>
              <w:pStyle w:val="TableParagraph"/>
              <w:ind w:left="0"/>
              <w:rPr>
                <w:sz w:val="20"/>
                <w:szCs w:val="20"/>
              </w:rPr>
            </w:pPr>
            <w:r w:rsidRPr="00306199">
              <w:rPr>
                <w:sz w:val="20"/>
                <w:szCs w:val="20"/>
              </w:rPr>
              <w:t>51</w:t>
            </w:r>
          </w:p>
        </w:tc>
        <w:tc>
          <w:tcPr>
            <w:tcW w:w="1260" w:type="dxa"/>
          </w:tcPr>
          <w:p w14:paraId="214E6EE3" w14:textId="77777777" w:rsidR="00D24433" w:rsidRPr="00306199" w:rsidRDefault="002B5808" w:rsidP="00560248">
            <w:pPr>
              <w:pStyle w:val="TableParagraph"/>
              <w:ind w:left="0"/>
              <w:rPr>
                <w:sz w:val="20"/>
                <w:szCs w:val="20"/>
              </w:rPr>
            </w:pPr>
            <w:r w:rsidRPr="00306199">
              <w:rPr>
                <w:sz w:val="20"/>
                <w:szCs w:val="20"/>
              </w:rPr>
              <w:t>4</w:t>
            </w:r>
          </w:p>
        </w:tc>
        <w:tc>
          <w:tcPr>
            <w:tcW w:w="1258" w:type="dxa"/>
          </w:tcPr>
          <w:p w14:paraId="214E6EE4" w14:textId="77777777" w:rsidR="00D24433" w:rsidRPr="00306199" w:rsidRDefault="002B5808" w:rsidP="00560248">
            <w:pPr>
              <w:pStyle w:val="TableParagraph"/>
              <w:ind w:left="0"/>
              <w:rPr>
                <w:sz w:val="20"/>
                <w:szCs w:val="20"/>
              </w:rPr>
            </w:pPr>
            <w:r w:rsidRPr="00306199">
              <w:rPr>
                <w:sz w:val="20"/>
                <w:szCs w:val="20"/>
              </w:rPr>
              <w:t>204</w:t>
            </w:r>
          </w:p>
        </w:tc>
        <w:tc>
          <w:tcPr>
            <w:tcW w:w="1097" w:type="dxa"/>
          </w:tcPr>
          <w:p w14:paraId="214E6EE5" w14:textId="77777777" w:rsidR="00D24433" w:rsidRPr="00306199" w:rsidRDefault="002B5808" w:rsidP="00560248">
            <w:pPr>
              <w:pStyle w:val="TableParagraph"/>
              <w:ind w:left="0"/>
              <w:rPr>
                <w:sz w:val="20"/>
                <w:szCs w:val="20"/>
              </w:rPr>
            </w:pPr>
            <w:r w:rsidRPr="00306199">
              <w:rPr>
                <w:sz w:val="20"/>
                <w:szCs w:val="20"/>
              </w:rPr>
              <w:t>60 hr (review)</w:t>
            </w:r>
          </w:p>
        </w:tc>
        <w:tc>
          <w:tcPr>
            <w:tcW w:w="1481" w:type="dxa"/>
          </w:tcPr>
          <w:p w14:paraId="214E6EE6" w14:textId="77777777" w:rsidR="00D24433" w:rsidRPr="00306199" w:rsidRDefault="002B5808" w:rsidP="00560248">
            <w:pPr>
              <w:pStyle w:val="TableParagraph"/>
              <w:ind w:left="0"/>
              <w:rPr>
                <w:sz w:val="20"/>
                <w:szCs w:val="20"/>
              </w:rPr>
            </w:pPr>
            <w:r w:rsidRPr="00306199">
              <w:rPr>
                <w:sz w:val="20"/>
                <w:szCs w:val="20"/>
              </w:rPr>
              <w:t>12,240</w:t>
            </w:r>
          </w:p>
        </w:tc>
        <w:tc>
          <w:tcPr>
            <w:tcW w:w="710" w:type="dxa"/>
          </w:tcPr>
          <w:p w14:paraId="214E6EE7" w14:textId="77777777" w:rsidR="00D24433" w:rsidRPr="00306199" w:rsidRDefault="002B5808" w:rsidP="00560248">
            <w:pPr>
              <w:pStyle w:val="TableParagraph"/>
              <w:ind w:left="0"/>
              <w:rPr>
                <w:sz w:val="20"/>
                <w:szCs w:val="20"/>
              </w:rPr>
            </w:pPr>
            <w:r w:rsidRPr="00306199">
              <w:rPr>
                <w:sz w:val="20"/>
                <w:szCs w:val="20"/>
              </w:rPr>
              <w:t>50.00</w:t>
            </w:r>
          </w:p>
        </w:tc>
        <w:tc>
          <w:tcPr>
            <w:tcW w:w="1320" w:type="dxa"/>
          </w:tcPr>
          <w:p w14:paraId="214E6EE8" w14:textId="77777777" w:rsidR="00D24433" w:rsidRPr="00306199" w:rsidRDefault="002B5808" w:rsidP="00560248">
            <w:pPr>
              <w:pStyle w:val="TableParagraph"/>
              <w:ind w:left="0"/>
              <w:rPr>
                <w:sz w:val="20"/>
                <w:szCs w:val="20"/>
              </w:rPr>
            </w:pPr>
            <w:r w:rsidRPr="00306199">
              <w:rPr>
                <w:sz w:val="20"/>
                <w:szCs w:val="20"/>
              </w:rPr>
              <w:t>0</w:t>
            </w:r>
          </w:p>
        </w:tc>
        <w:tc>
          <w:tcPr>
            <w:tcW w:w="1303" w:type="dxa"/>
          </w:tcPr>
          <w:p w14:paraId="214E6EE9" w14:textId="77777777" w:rsidR="00D24433" w:rsidRPr="00306199" w:rsidRDefault="002B5808" w:rsidP="00560248">
            <w:pPr>
              <w:pStyle w:val="TableParagraph"/>
              <w:ind w:left="0"/>
              <w:rPr>
                <w:sz w:val="20"/>
                <w:szCs w:val="20"/>
              </w:rPr>
            </w:pPr>
            <w:r w:rsidRPr="00306199">
              <w:rPr>
                <w:sz w:val="20"/>
                <w:szCs w:val="20"/>
              </w:rPr>
              <w:t>612,000</w:t>
            </w:r>
          </w:p>
        </w:tc>
      </w:tr>
      <w:tr w:rsidR="00D24433" w:rsidRPr="00306199" w14:paraId="214E6EF4" w14:textId="77777777" w:rsidTr="002B5808">
        <w:trPr>
          <w:trHeight w:hRule="exact" w:val="720"/>
        </w:trPr>
        <w:tc>
          <w:tcPr>
            <w:tcW w:w="1190" w:type="dxa"/>
            <w:vMerge/>
          </w:tcPr>
          <w:p w14:paraId="214E6EEB" w14:textId="77777777" w:rsidR="00D24433" w:rsidRPr="00306199" w:rsidRDefault="00D24433" w:rsidP="00560248">
            <w:pPr>
              <w:rPr>
                <w:sz w:val="20"/>
                <w:szCs w:val="20"/>
              </w:rPr>
            </w:pPr>
          </w:p>
        </w:tc>
        <w:tc>
          <w:tcPr>
            <w:tcW w:w="1214" w:type="dxa"/>
            <w:vMerge/>
          </w:tcPr>
          <w:p w14:paraId="214E6EEC" w14:textId="77777777" w:rsidR="00D24433" w:rsidRPr="00306199" w:rsidRDefault="00D24433" w:rsidP="00560248">
            <w:pPr>
              <w:rPr>
                <w:sz w:val="20"/>
                <w:szCs w:val="20"/>
              </w:rPr>
            </w:pPr>
          </w:p>
        </w:tc>
        <w:tc>
          <w:tcPr>
            <w:tcW w:w="1260" w:type="dxa"/>
          </w:tcPr>
          <w:p w14:paraId="214E6EED" w14:textId="77777777" w:rsidR="00D24433" w:rsidRPr="00306199" w:rsidRDefault="002B5808" w:rsidP="00560248">
            <w:pPr>
              <w:pStyle w:val="TableParagraph"/>
              <w:ind w:left="0"/>
              <w:rPr>
                <w:sz w:val="20"/>
                <w:szCs w:val="20"/>
              </w:rPr>
            </w:pPr>
            <w:r w:rsidRPr="00306199">
              <w:rPr>
                <w:sz w:val="20"/>
                <w:szCs w:val="20"/>
              </w:rPr>
              <w:t>4</w:t>
            </w:r>
          </w:p>
        </w:tc>
        <w:tc>
          <w:tcPr>
            <w:tcW w:w="1258" w:type="dxa"/>
          </w:tcPr>
          <w:p w14:paraId="214E6EEE" w14:textId="77777777" w:rsidR="00D24433" w:rsidRPr="00306199" w:rsidRDefault="002B5808" w:rsidP="00560248">
            <w:pPr>
              <w:pStyle w:val="TableParagraph"/>
              <w:ind w:left="0"/>
              <w:rPr>
                <w:sz w:val="20"/>
                <w:szCs w:val="20"/>
              </w:rPr>
            </w:pPr>
            <w:r w:rsidRPr="00306199">
              <w:rPr>
                <w:sz w:val="20"/>
                <w:szCs w:val="20"/>
              </w:rPr>
              <w:t>204</w:t>
            </w:r>
          </w:p>
        </w:tc>
        <w:tc>
          <w:tcPr>
            <w:tcW w:w="1097" w:type="dxa"/>
          </w:tcPr>
          <w:p w14:paraId="214E6EEF" w14:textId="77777777" w:rsidR="00D24433" w:rsidRPr="00306199" w:rsidRDefault="002B5808" w:rsidP="00560248">
            <w:pPr>
              <w:pStyle w:val="TableParagraph"/>
              <w:ind w:left="0"/>
              <w:rPr>
                <w:sz w:val="20"/>
                <w:szCs w:val="20"/>
              </w:rPr>
            </w:pPr>
            <w:r w:rsidRPr="00306199">
              <w:rPr>
                <w:sz w:val="20"/>
                <w:szCs w:val="20"/>
              </w:rPr>
              <w:t>120 hr (intervention)</w:t>
            </w:r>
          </w:p>
        </w:tc>
        <w:tc>
          <w:tcPr>
            <w:tcW w:w="1481" w:type="dxa"/>
          </w:tcPr>
          <w:p w14:paraId="214E6EF0" w14:textId="77777777" w:rsidR="00D24433" w:rsidRPr="00306199" w:rsidRDefault="002B5808" w:rsidP="00560248">
            <w:pPr>
              <w:pStyle w:val="TableParagraph"/>
              <w:ind w:left="0"/>
              <w:rPr>
                <w:sz w:val="20"/>
                <w:szCs w:val="20"/>
              </w:rPr>
            </w:pPr>
            <w:r w:rsidRPr="00306199">
              <w:rPr>
                <w:sz w:val="20"/>
                <w:szCs w:val="20"/>
              </w:rPr>
              <w:t>24,480</w:t>
            </w:r>
          </w:p>
        </w:tc>
        <w:tc>
          <w:tcPr>
            <w:tcW w:w="710" w:type="dxa"/>
          </w:tcPr>
          <w:p w14:paraId="214E6EF1" w14:textId="77777777" w:rsidR="00D24433" w:rsidRPr="00306199" w:rsidRDefault="00831C37" w:rsidP="00560248">
            <w:pPr>
              <w:pStyle w:val="TableParagraph"/>
              <w:ind w:left="0"/>
              <w:rPr>
                <w:sz w:val="20"/>
                <w:szCs w:val="20"/>
              </w:rPr>
            </w:pPr>
            <w:r w:rsidRPr="00306199">
              <w:rPr>
                <w:sz w:val="20"/>
                <w:szCs w:val="20"/>
              </w:rPr>
              <w:t>117.04</w:t>
            </w:r>
          </w:p>
        </w:tc>
        <w:tc>
          <w:tcPr>
            <w:tcW w:w="1320" w:type="dxa"/>
          </w:tcPr>
          <w:p w14:paraId="214E6EF2" w14:textId="77777777" w:rsidR="00D24433" w:rsidRPr="00306199" w:rsidRDefault="00D24433" w:rsidP="00560248">
            <w:pPr>
              <w:rPr>
                <w:sz w:val="20"/>
                <w:szCs w:val="20"/>
              </w:rPr>
            </w:pPr>
          </w:p>
        </w:tc>
        <w:tc>
          <w:tcPr>
            <w:tcW w:w="1303" w:type="dxa"/>
          </w:tcPr>
          <w:p w14:paraId="214E6EF3" w14:textId="77777777" w:rsidR="002B5808" w:rsidRPr="00306199" w:rsidRDefault="000B43CA" w:rsidP="002B5808">
            <w:pPr>
              <w:pStyle w:val="TableParagraph"/>
              <w:ind w:left="0"/>
              <w:rPr>
                <w:sz w:val="20"/>
                <w:szCs w:val="20"/>
              </w:rPr>
            </w:pPr>
            <w:r w:rsidRPr="00306199">
              <w:rPr>
                <w:sz w:val="20"/>
                <w:szCs w:val="20"/>
              </w:rPr>
              <w:t>2,865,139</w:t>
            </w:r>
          </w:p>
        </w:tc>
      </w:tr>
      <w:tr w:rsidR="00D24433" w:rsidRPr="00306199" w14:paraId="214E6EFF" w14:textId="77777777">
        <w:trPr>
          <w:trHeight w:hRule="exact" w:val="456"/>
        </w:trPr>
        <w:tc>
          <w:tcPr>
            <w:tcW w:w="1190" w:type="dxa"/>
          </w:tcPr>
          <w:p w14:paraId="214E6EF5" w14:textId="77777777" w:rsidR="00D24433" w:rsidRPr="00306199" w:rsidRDefault="002B5808" w:rsidP="00560248">
            <w:pPr>
              <w:pStyle w:val="TableParagraph"/>
              <w:ind w:left="0"/>
              <w:rPr>
                <w:sz w:val="20"/>
                <w:szCs w:val="20"/>
              </w:rPr>
            </w:pPr>
            <w:r w:rsidRPr="00306199">
              <w:rPr>
                <w:sz w:val="20"/>
                <w:szCs w:val="20"/>
              </w:rPr>
              <w:t>456.712 &amp;</w:t>
            </w:r>
          </w:p>
          <w:p w14:paraId="214E6EF6" w14:textId="77777777" w:rsidR="00D24433" w:rsidRPr="00306199" w:rsidRDefault="002B5808" w:rsidP="00560248">
            <w:pPr>
              <w:pStyle w:val="TableParagraph"/>
              <w:spacing w:line="240" w:lineRule="auto"/>
              <w:ind w:left="0"/>
              <w:rPr>
                <w:sz w:val="20"/>
                <w:szCs w:val="20"/>
              </w:rPr>
            </w:pPr>
            <w:r w:rsidRPr="00306199">
              <w:rPr>
                <w:sz w:val="20"/>
                <w:szCs w:val="20"/>
              </w:rPr>
              <w:t>438.3</w:t>
            </w:r>
          </w:p>
        </w:tc>
        <w:tc>
          <w:tcPr>
            <w:tcW w:w="1214" w:type="dxa"/>
          </w:tcPr>
          <w:p w14:paraId="214E6EF7" w14:textId="77777777" w:rsidR="00D24433" w:rsidRPr="00306199" w:rsidRDefault="002B5808" w:rsidP="00560248">
            <w:pPr>
              <w:pStyle w:val="TableParagraph"/>
              <w:ind w:left="0"/>
              <w:rPr>
                <w:sz w:val="20"/>
                <w:szCs w:val="20"/>
              </w:rPr>
            </w:pPr>
            <w:r w:rsidRPr="00306199">
              <w:rPr>
                <w:sz w:val="20"/>
                <w:szCs w:val="20"/>
              </w:rPr>
              <w:t>51</w:t>
            </w:r>
          </w:p>
        </w:tc>
        <w:tc>
          <w:tcPr>
            <w:tcW w:w="1260" w:type="dxa"/>
          </w:tcPr>
          <w:p w14:paraId="214E6EF8" w14:textId="77777777" w:rsidR="00D24433" w:rsidRPr="00306199" w:rsidRDefault="002B5808" w:rsidP="00560248">
            <w:pPr>
              <w:pStyle w:val="TableParagraph"/>
              <w:ind w:left="0"/>
              <w:rPr>
                <w:sz w:val="20"/>
                <w:szCs w:val="20"/>
              </w:rPr>
            </w:pPr>
            <w:r w:rsidRPr="00306199">
              <w:rPr>
                <w:sz w:val="20"/>
                <w:szCs w:val="20"/>
              </w:rPr>
              <w:t>1</w:t>
            </w:r>
          </w:p>
        </w:tc>
        <w:tc>
          <w:tcPr>
            <w:tcW w:w="1258" w:type="dxa"/>
          </w:tcPr>
          <w:p w14:paraId="214E6EF9" w14:textId="77777777" w:rsidR="00D24433" w:rsidRPr="00306199" w:rsidRDefault="002B5808" w:rsidP="00560248">
            <w:pPr>
              <w:pStyle w:val="TableParagraph"/>
              <w:ind w:left="0"/>
              <w:rPr>
                <w:sz w:val="20"/>
                <w:szCs w:val="20"/>
              </w:rPr>
            </w:pPr>
            <w:r w:rsidRPr="00306199">
              <w:rPr>
                <w:sz w:val="20"/>
                <w:szCs w:val="20"/>
              </w:rPr>
              <w:t>51</w:t>
            </w:r>
          </w:p>
        </w:tc>
        <w:tc>
          <w:tcPr>
            <w:tcW w:w="1097" w:type="dxa"/>
          </w:tcPr>
          <w:p w14:paraId="214E6EFA" w14:textId="77777777" w:rsidR="00D24433" w:rsidRPr="00306199" w:rsidRDefault="002B5808" w:rsidP="00560248">
            <w:pPr>
              <w:pStyle w:val="TableParagraph"/>
              <w:ind w:left="0"/>
              <w:rPr>
                <w:sz w:val="20"/>
                <w:szCs w:val="20"/>
              </w:rPr>
            </w:pPr>
            <w:r w:rsidRPr="00306199">
              <w:rPr>
                <w:sz w:val="20"/>
                <w:szCs w:val="20"/>
              </w:rPr>
              <w:t>64 hr</w:t>
            </w:r>
          </w:p>
        </w:tc>
        <w:tc>
          <w:tcPr>
            <w:tcW w:w="1481" w:type="dxa"/>
          </w:tcPr>
          <w:p w14:paraId="214E6EFB" w14:textId="77777777" w:rsidR="00D24433" w:rsidRPr="00306199" w:rsidRDefault="002B5808" w:rsidP="00560248">
            <w:pPr>
              <w:pStyle w:val="TableParagraph"/>
              <w:ind w:left="0"/>
              <w:rPr>
                <w:sz w:val="20"/>
                <w:szCs w:val="20"/>
              </w:rPr>
            </w:pPr>
            <w:r w:rsidRPr="00306199">
              <w:rPr>
                <w:sz w:val="20"/>
                <w:szCs w:val="20"/>
              </w:rPr>
              <w:t>3,264</w:t>
            </w:r>
          </w:p>
        </w:tc>
        <w:tc>
          <w:tcPr>
            <w:tcW w:w="710" w:type="dxa"/>
          </w:tcPr>
          <w:p w14:paraId="214E6EFC" w14:textId="77777777" w:rsidR="00D24433" w:rsidRPr="00306199" w:rsidRDefault="00831C37" w:rsidP="00560248">
            <w:pPr>
              <w:pStyle w:val="TableParagraph"/>
              <w:ind w:left="0"/>
              <w:rPr>
                <w:sz w:val="20"/>
                <w:szCs w:val="20"/>
              </w:rPr>
            </w:pPr>
            <w:r w:rsidRPr="00306199">
              <w:rPr>
                <w:sz w:val="20"/>
                <w:szCs w:val="20"/>
              </w:rPr>
              <w:t>117.04</w:t>
            </w:r>
          </w:p>
        </w:tc>
        <w:tc>
          <w:tcPr>
            <w:tcW w:w="1320" w:type="dxa"/>
          </w:tcPr>
          <w:p w14:paraId="214E6EFD" w14:textId="77777777" w:rsidR="00D24433" w:rsidRPr="00306199" w:rsidRDefault="00D24433" w:rsidP="00560248">
            <w:pPr>
              <w:rPr>
                <w:sz w:val="20"/>
                <w:szCs w:val="20"/>
              </w:rPr>
            </w:pPr>
          </w:p>
        </w:tc>
        <w:tc>
          <w:tcPr>
            <w:tcW w:w="1303" w:type="dxa"/>
          </w:tcPr>
          <w:p w14:paraId="214E6EFE" w14:textId="77777777" w:rsidR="00D24433" w:rsidRPr="00306199" w:rsidRDefault="000B43CA" w:rsidP="00560248">
            <w:pPr>
              <w:pStyle w:val="TableParagraph"/>
              <w:ind w:left="0"/>
              <w:rPr>
                <w:sz w:val="20"/>
                <w:szCs w:val="20"/>
              </w:rPr>
            </w:pPr>
            <w:r w:rsidRPr="00306199">
              <w:rPr>
                <w:sz w:val="20"/>
                <w:szCs w:val="20"/>
              </w:rPr>
              <w:t>382,019</w:t>
            </w:r>
          </w:p>
        </w:tc>
      </w:tr>
      <w:tr w:rsidR="00D24433" w:rsidRPr="00F90562" w14:paraId="214E6F09" w14:textId="77777777">
        <w:trPr>
          <w:trHeight w:hRule="exact" w:val="233"/>
        </w:trPr>
        <w:tc>
          <w:tcPr>
            <w:tcW w:w="1190" w:type="dxa"/>
            <w:shd w:val="clear" w:color="auto" w:fill="E7E6E6"/>
          </w:tcPr>
          <w:p w14:paraId="214E6F00" w14:textId="77777777" w:rsidR="00D24433" w:rsidRPr="00306199" w:rsidRDefault="002B5808" w:rsidP="00560248">
            <w:pPr>
              <w:pStyle w:val="TableParagraph"/>
              <w:spacing w:line="240" w:lineRule="auto"/>
              <w:ind w:left="0"/>
              <w:rPr>
                <w:sz w:val="20"/>
                <w:szCs w:val="20"/>
              </w:rPr>
            </w:pPr>
            <w:r w:rsidRPr="00306199">
              <w:rPr>
                <w:sz w:val="20"/>
                <w:szCs w:val="20"/>
              </w:rPr>
              <w:t>TOTAL</w:t>
            </w:r>
          </w:p>
        </w:tc>
        <w:tc>
          <w:tcPr>
            <w:tcW w:w="1214" w:type="dxa"/>
            <w:shd w:val="clear" w:color="auto" w:fill="E7E6E6"/>
          </w:tcPr>
          <w:p w14:paraId="214E6F01" w14:textId="77777777" w:rsidR="00D24433" w:rsidRPr="00306199" w:rsidRDefault="002B5808" w:rsidP="00560248">
            <w:pPr>
              <w:pStyle w:val="TableParagraph"/>
              <w:spacing w:line="240" w:lineRule="auto"/>
              <w:ind w:left="0"/>
              <w:rPr>
                <w:sz w:val="20"/>
                <w:szCs w:val="20"/>
              </w:rPr>
            </w:pPr>
            <w:r w:rsidRPr="00306199">
              <w:rPr>
                <w:sz w:val="20"/>
                <w:szCs w:val="20"/>
              </w:rPr>
              <w:t>51</w:t>
            </w:r>
          </w:p>
        </w:tc>
        <w:tc>
          <w:tcPr>
            <w:tcW w:w="1260" w:type="dxa"/>
            <w:shd w:val="clear" w:color="auto" w:fill="E7E6E6"/>
          </w:tcPr>
          <w:p w14:paraId="214E6F02" w14:textId="77777777" w:rsidR="00D24433" w:rsidRPr="00306199" w:rsidRDefault="002B5808" w:rsidP="00560248">
            <w:pPr>
              <w:pStyle w:val="TableParagraph"/>
              <w:spacing w:line="240" w:lineRule="auto"/>
              <w:ind w:left="0"/>
              <w:rPr>
                <w:sz w:val="20"/>
                <w:szCs w:val="20"/>
              </w:rPr>
            </w:pPr>
            <w:r w:rsidRPr="00306199">
              <w:rPr>
                <w:sz w:val="20"/>
                <w:szCs w:val="20"/>
              </w:rPr>
              <w:t>13</w:t>
            </w:r>
          </w:p>
        </w:tc>
        <w:tc>
          <w:tcPr>
            <w:tcW w:w="1258" w:type="dxa"/>
            <w:shd w:val="clear" w:color="auto" w:fill="E7E6E6"/>
          </w:tcPr>
          <w:p w14:paraId="214E6F03" w14:textId="77777777" w:rsidR="00D24433" w:rsidRPr="00306199" w:rsidRDefault="002B5808" w:rsidP="00560248">
            <w:pPr>
              <w:pStyle w:val="TableParagraph"/>
              <w:spacing w:line="240" w:lineRule="auto"/>
              <w:ind w:left="0"/>
              <w:rPr>
                <w:sz w:val="20"/>
                <w:szCs w:val="20"/>
              </w:rPr>
            </w:pPr>
            <w:r w:rsidRPr="00306199">
              <w:rPr>
                <w:sz w:val="20"/>
                <w:szCs w:val="20"/>
              </w:rPr>
              <w:t>663</w:t>
            </w:r>
          </w:p>
        </w:tc>
        <w:tc>
          <w:tcPr>
            <w:tcW w:w="1097" w:type="dxa"/>
            <w:shd w:val="clear" w:color="auto" w:fill="E7E6E6"/>
          </w:tcPr>
          <w:p w14:paraId="214E6F04" w14:textId="77777777" w:rsidR="00D24433" w:rsidRPr="00306199" w:rsidRDefault="002B5808" w:rsidP="00560248">
            <w:pPr>
              <w:pStyle w:val="TableParagraph"/>
              <w:spacing w:line="240" w:lineRule="auto"/>
              <w:ind w:left="0"/>
              <w:rPr>
                <w:sz w:val="20"/>
                <w:szCs w:val="20"/>
              </w:rPr>
            </w:pPr>
            <w:r w:rsidRPr="00306199">
              <w:rPr>
                <w:sz w:val="20"/>
                <w:szCs w:val="20"/>
              </w:rPr>
              <w:t>249 hr</w:t>
            </w:r>
          </w:p>
        </w:tc>
        <w:tc>
          <w:tcPr>
            <w:tcW w:w="1481" w:type="dxa"/>
            <w:shd w:val="clear" w:color="auto" w:fill="E7E6E6"/>
          </w:tcPr>
          <w:p w14:paraId="214E6F05" w14:textId="77777777" w:rsidR="00D24433" w:rsidRPr="00306199" w:rsidRDefault="002B5808" w:rsidP="00560248">
            <w:pPr>
              <w:pStyle w:val="TableParagraph"/>
              <w:spacing w:line="240" w:lineRule="auto"/>
              <w:ind w:left="0"/>
              <w:rPr>
                <w:sz w:val="20"/>
                <w:szCs w:val="20"/>
              </w:rPr>
            </w:pPr>
            <w:r w:rsidRPr="00306199">
              <w:rPr>
                <w:sz w:val="20"/>
                <w:szCs w:val="20"/>
              </w:rPr>
              <w:t>41,004</w:t>
            </w:r>
          </w:p>
        </w:tc>
        <w:tc>
          <w:tcPr>
            <w:tcW w:w="710" w:type="dxa"/>
            <w:shd w:val="clear" w:color="auto" w:fill="E7E6E6"/>
          </w:tcPr>
          <w:p w14:paraId="214E6F06" w14:textId="77777777" w:rsidR="00D24433" w:rsidRPr="00306199" w:rsidRDefault="000B43CA" w:rsidP="00560248">
            <w:pPr>
              <w:pStyle w:val="TableParagraph"/>
              <w:spacing w:line="240" w:lineRule="auto"/>
              <w:ind w:left="0"/>
              <w:rPr>
                <w:sz w:val="20"/>
                <w:szCs w:val="20"/>
              </w:rPr>
            </w:pPr>
            <w:r w:rsidRPr="00306199">
              <w:rPr>
                <w:sz w:val="20"/>
                <w:szCs w:val="20"/>
              </w:rPr>
              <w:t>V</w:t>
            </w:r>
            <w:r w:rsidR="002B5808" w:rsidRPr="00306199">
              <w:rPr>
                <w:sz w:val="20"/>
                <w:szCs w:val="20"/>
              </w:rPr>
              <w:t>aries</w:t>
            </w:r>
          </w:p>
        </w:tc>
        <w:tc>
          <w:tcPr>
            <w:tcW w:w="1320" w:type="dxa"/>
            <w:shd w:val="clear" w:color="auto" w:fill="E7E6E6"/>
          </w:tcPr>
          <w:p w14:paraId="214E6F07" w14:textId="77777777" w:rsidR="00D24433" w:rsidRPr="00306199" w:rsidRDefault="002B5808" w:rsidP="00560248">
            <w:pPr>
              <w:pStyle w:val="TableParagraph"/>
              <w:spacing w:line="240" w:lineRule="auto"/>
              <w:ind w:left="0"/>
              <w:rPr>
                <w:sz w:val="20"/>
                <w:szCs w:val="20"/>
              </w:rPr>
            </w:pPr>
            <w:r w:rsidRPr="00306199">
              <w:rPr>
                <w:sz w:val="20"/>
                <w:szCs w:val="20"/>
              </w:rPr>
              <w:t>0</w:t>
            </w:r>
          </w:p>
        </w:tc>
        <w:tc>
          <w:tcPr>
            <w:tcW w:w="1303" w:type="dxa"/>
            <w:shd w:val="clear" w:color="auto" w:fill="E7E6E6"/>
          </w:tcPr>
          <w:p w14:paraId="214E6F08" w14:textId="77777777" w:rsidR="00D24433" w:rsidRPr="00306199" w:rsidRDefault="00E207A1" w:rsidP="00560248">
            <w:pPr>
              <w:pStyle w:val="TableParagraph"/>
              <w:spacing w:line="240" w:lineRule="auto"/>
              <w:ind w:left="0"/>
              <w:rPr>
                <w:sz w:val="20"/>
                <w:szCs w:val="20"/>
              </w:rPr>
            </w:pPr>
            <w:r>
              <w:rPr>
                <w:sz w:val="20"/>
                <w:szCs w:val="20"/>
              </w:rPr>
              <w:t>3,978,539</w:t>
            </w:r>
          </w:p>
        </w:tc>
      </w:tr>
    </w:tbl>
    <w:p w14:paraId="214E6F0A" w14:textId="77777777" w:rsidR="00D24433" w:rsidRPr="000A20DE" w:rsidRDefault="00D24433" w:rsidP="00560248">
      <w:pPr>
        <w:pStyle w:val="BodyText"/>
      </w:pPr>
    </w:p>
    <w:p w14:paraId="214E6F0B" w14:textId="77777777" w:rsidR="00E31413" w:rsidRDefault="00E31413" w:rsidP="00560248">
      <w:pPr>
        <w:pStyle w:val="BodyText"/>
        <w:spacing w:line="249" w:lineRule="auto"/>
        <w:sectPr w:rsidR="00E31413" w:rsidSect="00E31413">
          <w:type w:val="continuous"/>
          <w:pgSz w:w="12240" w:h="15840"/>
          <w:pgMar w:top="720" w:right="720" w:bottom="720" w:left="720" w:header="0" w:footer="1070" w:gutter="0"/>
          <w:cols w:space="720"/>
          <w:docGrid w:linePitch="299"/>
        </w:sectPr>
      </w:pPr>
    </w:p>
    <w:p w14:paraId="214E6F0C" w14:textId="77777777" w:rsidR="00D24433" w:rsidRPr="000A20DE" w:rsidRDefault="002B5808" w:rsidP="00560248">
      <w:pPr>
        <w:pStyle w:val="BodyText"/>
        <w:spacing w:line="249" w:lineRule="auto"/>
      </w:pPr>
      <w:r w:rsidRPr="000A20DE">
        <w:t>When processing prescriptions, pharmacies have an automated system that utilizes the prospective data edits to complete the proper filling of the prescription.  The pharmacy itself does not collect the data.</w:t>
      </w:r>
      <w:r w:rsidR="00F90562">
        <w:t xml:space="preserve"> </w:t>
      </w:r>
      <w:r w:rsidRPr="000A20DE">
        <w:t>The data is submitted to the state as the claim is being processed electronically.</w:t>
      </w:r>
    </w:p>
    <w:p w14:paraId="214E6F0D" w14:textId="77777777" w:rsidR="00D24433" w:rsidRPr="000A20DE" w:rsidRDefault="00D24433" w:rsidP="00560248">
      <w:pPr>
        <w:pStyle w:val="BodyText"/>
      </w:pPr>
    </w:p>
    <w:p w14:paraId="214E6F0E" w14:textId="77777777" w:rsidR="00D24433" w:rsidRPr="000A20DE" w:rsidRDefault="002B5808" w:rsidP="00560248">
      <w:pPr>
        <w:pStyle w:val="ListParagraph"/>
        <w:numPr>
          <w:ilvl w:val="0"/>
          <w:numId w:val="2"/>
        </w:numPr>
        <w:tabs>
          <w:tab w:val="left" w:pos="1283"/>
          <w:tab w:val="left" w:pos="1284"/>
        </w:tabs>
        <w:ind w:left="0" w:firstLine="0"/>
        <w:rPr>
          <w:sz w:val="24"/>
          <w:szCs w:val="24"/>
        </w:rPr>
      </w:pPr>
      <w:r w:rsidRPr="000A20DE">
        <w:rPr>
          <w:sz w:val="24"/>
          <w:szCs w:val="24"/>
          <w:u w:val="single"/>
        </w:rPr>
        <w:t>Capital</w:t>
      </w:r>
      <w:r w:rsidRPr="000A20DE">
        <w:rPr>
          <w:spacing w:val="-3"/>
          <w:sz w:val="24"/>
          <w:szCs w:val="24"/>
          <w:u w:val="single"/>
        </w:rPr>
        <w:t xml:space="preserve"> </w:t>
      </w:r>
      <w:r w:rsidRPr="000A20DE">
        <w:rPr>
          <w:sz w:val="24"/>
          <w:szCs w:val="24"/>
          <w:u w:val="single"/>
        </w:rPr>
        <w:t>Costs</w:t>
      </w:r>
    </w:p>
    <w:p w14:paraId="214E6F0F" w14:textId="77777777" w:rsidR="00D24433" w:rsidRPr="000A20DE" w:rsidRDefault="00D24433" w:rsidP="00560248">
      <w:pPr>
        <w:pStyle w:val="BodyText"/>
      </w:pPr>
    </w:p>
    <w:p w14:paraId="214E6F10" w14:textId="77777777" w:rsidR="00D24433" w:rsidRPr="000A20DE" w:rsidRDefault="002B5808" w:rsidP="00560248">
      <w:pPr>
        <w:pStyle w:val="BodyText"/>
      </w:pPr>
      <w:r w:rsidRPr="000A20DE">
        <w:t>There are no capital costs.</w:t>
      </w:r>
    </w:p>
    <w:p w14:paraId="214E6F11" w14:textId="77777777" w:rsidR="00D24433" w:rsidRPr="000A20DE" w:rsidRDefault="00D24433" w:rsidP="00560248">
      <w:pPr>
        <w:pStyle w:val="BodyText"/>
      </w:pPr>
    </w:p>
    <w:p w14:paraId="214E6F12" w14:textId="77777777" w:rsidR="00D24433" w:rsidRPr="000A20DE" w:rsidRDefault="002B5808" w:rsidP="00560248">
      <w:pPr>
        <w:pStyle w:val="ListParagraph"/>
        <w:numPr>
          <w:ilvl w:val="0"/>
          <w:numId w:val="2"/>
        </w:numPr>
        <w:tabs>
          <w:tab w:val="left" w:pos="1283"/>
          <w:tab w:val="left" w:pos="1284"/>
        </w:tabs>
        <w:ind w:left="0" w:firstLine="0"/>
        <w:rPr>
          <w:sz w:val="24"/>
          <w:szCs w:val="24"/>
        </w:rPr>
      </w:pPr>
      <w:r w:rsidRPr="000A20DE">
        <w:rPr>
          <w:sz w:val="24"/>
          <w:szCs w:val="24"/>
          <w:u w:val="single"/>
        </w:rPr>
        <w:t>Cost to Federal</w:t>
      </w:r>
      <w:r w:rsidRPr="000A20DE">
        <w:rPr>
          <w:spacing w:val="-7"/>
          <w:sz w:val="24"/>
          <w:szCs w:val="24"/>
          <w:u w:val="single"/>
        </w:rPr>
        <w:t xml:space="preserve"> </w:t>
      </w:r>
      <w:r w:rsidRPr="000A20DE">
        <w:rPr>
          <w:sz w:val="24"/>
          <w:szCs w:val="24"/>
          <w:u w:val="single"/>
        </w:rPr>
        <w:t>Government</w:t>
      </w:r>
    </w:p>
    <w:p w14:paraId="214E6F13" w14:textId="77777777" w:rsidR="00D24433" w:rsidRPr="000A20DE" w:rsidRDefault="00D24433" w:rsidP="00560248">
      <w:pPr>
        <w:pStyle w:val="BodyText"/>
      </w:pPr>
    </w:p>
    <w:p w14:paraId="214E6F14" w14:textId="6D2BF800" w:rsidR="00D24433" w:rsidRPr="000A20DE" w:rsidRDefault="002B5808" w:rsidP="00560248">
      <w:pPr>
        <w:pStyle w:val="BodyText"/>
      </w:pPr>
      <w:r w:rsidRPr="000A20DE">
        <w:t xml:space="preserve">The federal government pays 50% of the states’ costs, which is </w:t>
      </w:r>
      <w:r w:rsidR="00C03EBC">
        <w:t>$1,989,269</w:t>
      </w:r>
      <w:r w:rsidRPr="000A20DE">
        <w:t>.</w:t>
      </w:r>
    </w:p>
    <w:p w14:paraId="214E6F15" w14:textId="77777777" w:rsidR="00D24433" w:rsidRPr="000A20DE" w:rsidRDefault="00D24433" w:rsidP="00560248">
      <w:pPr>
        <w:pStyle w:val="BodyText"/>
      </w:pPr>
    </w:p>
    <w:p w14:paraId="214E6F16" w14:textId="77777777" w:rsidR="00D24433" w:rsidRPr="000A20DE" w:rsidRDefault="002B5808" w:rsidP="00560248">
      <w:pPr>
        <w:pStyle w:val="ListParagraph"/>
        <w:numPr>
          <w:ilvl w:val="0"/>
          <w:numId w:val="2"/>
        </w:numPr>
        <w:tabs>
          <w:tab w:val="left" w:pos="1280"/>
          <w:tab w:val="left" w:pos="1281"/>
        </w:tabs>
        <w:ind w:left="0" w:firstLine="0"/>
        <w:rPr>
          <w:sz w:val="24"/>
          <w:szCs w:val="24"/>
        </w:rPr>
      </w:pPr>
      <w:bookmarkStart w:id="19" w:name="15.__Changes_in_Burden"/>
      <w:bookmarkEnd w:id="19"/>
      <w:r w:rsidRPr="000A20DE">
        <w:rPr>
          <w:sz w:val="24"/>
          <w:szCs w:val="24"/>
          <w:u w:val="single"/>
        </w:rPr>
        <w:t>Changes in</w:t>
      </w:r>
      <w:r w:rsidRPr="000A20DE">
        <w:rPr>
          <w:spacing w:val="-5"/>
          <w:sz w:val="24"/>
          <w:szCs w:val="24"/>
          <w:u w:val="single"/>
        </w:rPr>
        <w:t xml:space="preserve"> </w:t>
      </w:r>
      <w:r w:rsidRPr="000A20DE">
        <w:rPr>
          <w:sz w:val="24"/>
          <w:szCs w:val="24"/>
          <w:u w:val="single"/>
        </w:rPr>
        <w:t>Burden</w:t>
      </w:r>
    </w:p>
    <w:p w14:paraId="214E6F17" w14:textId="77777777" w:rsidR="00D24433" w:rsidRPr="000A20DE" w:rsidRDefault="00D24433" w:rsidP="00560248">
      <w:pPr>
        <w:pStyle w:val="BodyText"/>
      </w:pPr>
    </w:p>
    <w:p w14:paraId="214E6F18" w14:textId="129C325E" w:rsidR="00D24433" w:rsidRPr="00617426" w:rsidRDefault="002B5808" w:rsidP="00560248">
      <w:pPr>
        <w:pStyle w:val="BodyText"/>
        <w:spacing w:line="249" w:lineRule="auto"/>
      </w:pPr>
      <w:r w:rsidRPr="00617426">
        <w:t>The annual reporting instrument is being revised to allow states to report responses</w:t>
      </w:r>
      <w:r w:rsidR="00282049" w:rsidRPr="00617426">
        <w:t xml:space="preserve"> to the survey</w:t>
      </w:r>
      <w:r w:rsidRPr="00617426">
        <w:t xml:space="preserve"> directly into the CMS hosted MDP online system</w:t>
      </w:r>
      <w:r w:rsidR="00282049" w:rsidRPr="00617426">
        <w:t>, or a SurveyGizmo weblink</w:t>
      </w:r>
      <w:r w:rsidRPr="00617426">
        <w:t xml:space="preserve">. </w:t>
      </w:r>
      <w:r w:rsidR="00282049" w:rsidRPr="00617426">
        <w:t>To clarify, t</w:t>
      </w:r>
      <w:r w:rsidRPr="00617426">
        <w:t>he last iteration used a SurveyGizmo weblink</w:t>
      </w:r>
      <w:r w:rsidR="00282049" w:rsidRPr="00617426">
        <w:t xml:space="preserve"> for the survey instrument</w:t>
      </w:r>
      <w:r w:rsidRPr="00617426">
        <w:t>. We do not expect any issues with th</w:t>
      </w:r>
      <w:r w:rsidR="00282049" w:rsidRPr="00617426">
        <w:t>e</w:t>
      </w:r>
      <w:r w:rsidRPr="00617426">
        <w:t xml:space="preserve"> transition</w:t>
      </w:r>
      <w:r w:rsidR="001F159F" w:rsidRPr="00617426">
        <w:t xml:space="preserve"> to the MDP online system</w:t>
      </w:r>
      <w:r w:rsidR="00282049" w:rsidRPr="00617426">
        <w:t>. Notwithstanding,</w:t>
      </w:r>
      <w:r w:rsidRPr="00617426">
        <w:t xml:space="preserve"> to account for any unforeseen issues </w:t>
      </w:r>
      <w:r w:rsidR="00282049" w:rsidRPr="00617426">
        <w:t>with the transition</w:t>
      </w:r>
      <w:r w:rsidR="001F159F" w:rsidRPr="00617426">
        <w:t>,</w:t>
      </w:r>
      <w:r w:rsidRPr="00617426">
        <w:t xml:space="preserve"> we are seeking approval to use either the MDP system </w:t>
      </w:r>
      <w:r w:rsidRPr="00617426">
        <w:rPr>
          <w:i/>
        </w:rPr>
        <w:t xml:space="preserve">or </w:t>
      </w:r>
      <w:r w:rsidRPr="00617426">
        <w:t xml:space="preserve">SurveyGizmo </w:t>
      </w:r>
      <w:r w:rsidR="0046252D" w:rsidRPr="00617426">
        <w:t>as the survey instrument</w:t>
      </w:r>
      <w:r w:rsidRPr="00617426">
        <w:t>.</w:t>
      </w:r>
      <w:r w:rsidR="004F558D" w:rsidRPr="00617426">
        <w:t xml:space="preserve"> Specifically, a respondent</w:t>
      </w:r>
      <w:r w:rsidR="00282049" w:rsidRPr="00617426">
        <w:t xml:space="preserve"> would only need to respond to the survey questions via SurveyGizmo </w:t>
      </w:r>
      <w:r w:rsidR="00282049" w:rsidRPr="00617426">
        <w:rPr>
          <w:i/>
        </w:rPr>
        <w:t>alone</w:t>
      </w:r>
      <w:r w:rsidR="00282049" w:rsidRPr="00617426">
        <w:t xml:space="preserve"> if CMS encounters any issues with the MDP online system. </w:t>
      </w:r>
      <w:r w:rsidR="004F558D" w:rsidRPr="00617426">
        <w:t>Otherwise, responses would be entered in the MDP online system alone.</w:t>
      </w:r>
    </w:p>
    <w:p w14:paraId="214E6F19" w14:textId="77777777" w:rsidR="00D24433" w:rsidRPr="00617426" w:rsidRDefault="00D24433" w:rsidP="00560248">
      <w:pPr>
        <w:pStyle w:val="BodyText"/>
      </w:pPr>
    </w:p>
    <w:p w14:paraId="214E6F1A" w14:textId="77777777" w:rsidR="00D24433" w:rsidRPr="00617426" w:rsidRDefault="002B5808" w:rsidP="00560248">
      <w:pPr>
        <w:pStyle w:val="BodyText"/>
        <w:spacing w:line="247" w:lineRule="auto"/>
      </w:pPr>
      <w:r w:rsidRPr="00617426">
        <w:t>Additionally, for FFY 2018 and beyond, the reporting instrument will include questions for Medicaid MCOs in accordance with the requirement that states are required to report on their MCO DUR processes.</w:t>
      </w:r>
    </w:p>
    <w:p w14:paraId="214E6F1B" w14:textId="77777777" w:rsidR="00D24433" w:rsidRPr="00617426" w:rsidRDefault="00D24433" w:rsidP="00560248">
      <w:pPr>
        <w:pStyle w:val="BodyText"/>
      </w:pPr>
    </w:p>
    <w:p w14:paraId="214E6F1C" w14:textId="2A31A810" w:rsidR="00D24433" w:rsidRPr="00617426" w:rsidRDefault="002B5808" w:rsidP="00560248">
      <w:pPr>
        <w:pStyle w:val="BodyText"/>
        <w:spacing w:line="249" w:lineRule="auto"/>
      </w:pPr>
      <w:r w:rsidRPr="00617426">
        <w:t xml:space="preserve">We have also added </w:t>
      </w:r>
      <w:r w:rsidR="00FE5221" w:rsidRPr="00617426">
        <w:t xml:space="preserve">some </w:t>
      </w:r>
      <w:r w:rsidRPr="00617426">
        <w:t>new questions to various sections in the</w:t>
      </w:r>
      <w:r w:rsidR="00FE5221" w:rsidRPr="00617426">
        <w:t xml:space="preserve"> FFS portion of the</w:t>
      </w:r>
      <w:r w:rsidRPr="00617426">
        <w:t xml:space="preserve"> </w:t>
      </w:r>
      <w:r w:rsidR="0031324C" w:rsidRPr="00617426">
        <w:t xml:space="preserve">reporting instrument (a </w:t>
      </w:r>
      <w:r w:rsidR="001F159F" w:rsidRPr="00617426">
        <w:t>survey</w:t>
      </w:r>
      <w:r w:rsidR="0031324C" w:rsidRPr="00617426">
        <w:t>)</w:t>
      </w:r>
      <w:r w:rsidRPr="00617426">
        <w:t xml:space="preserve">, and created an additional set of questions focused on MCO DUR activities. This increased the amount of information collected by about </w:t>
      </w:r>
      <w:r w:rsidR="00FB77F2" w:rsidRPr="00617426">
        <w:t>10</w:t>
      </w:r>
      <w:r w:rsidRPr="00617426">
        <w:t>0 percent. The overall annual report preparation burden will change due to the increase in burden of reporting both Medicaid fee-for-service and MCO DUR activity.</w:t>
      </w:r>
    </w:p>
    <w:p w14:paraId="214E6F1D" w14:textId="77777777" w:rsidR="00D24433" w:rsidRPr="00617426" w:rsidRDefault="00D24433" w:rsidP="00560248">
      <w:pPr>
        <w:pStyle w:val="BodyText"/>
      </w:pPr>
    </w:p>
    <w:p w14:paraId="214E6F1E" w14:textId="082D5887" w:rsidR="00D24433" w:rsidRPr="00617426" w:rsidRDefault="002B5808" w:rsidP="00560248">
      <w:pPr>
        <w:pStyle w:val="BodyText"/>
        <w:spacing w:line="249" w:lineRule="auto"/>
      </w:pPr>
      <w:r w:rsidRPr="00617426">
        <w:t>Hence, we increased the agency’s estimation of the</w:t>
      </w:r>
      <w:r w:rsidR="00FB77F2" w:rsidRPr="00617426">
        <w:t xml:space="preserve"> total</w:t>
      </w:r>
      <w:r w:rsidRPr="00617426">
        <w:t xml:space="preserve"> annual burden hours </w:t>
      </w:r>
      <w:r w:rsidR="00FB77F2" w:rsidRPr="00617426">
        <w:t>from the approved 20</w:t>
      </w:r>
      <w:r w:rsidR="00187BD1" w:rsidRPr="00617426">
        <w:t>,</w:t>
      </w:r>
      <w:r w:rsidR="00FB77F2" w:rsidRPr="00617426">
        <w:t>808 hours, to 41</w:t>
      </w:r>
      <w:r w:rsidR="00187BD1" w:rsidRPr="00617426">
        <w:t>,</w:t>
      </w:r>
      <w:r w:rsidR="00FB77F2" w:rsidRPr="00617426">
        <w:t xml:space="preserve">004 </w:t>
      </w:r>
      <w:r w:rsidRPr="00617426">
        <w:t>proposed hours.</w:t>
      </w:r>
      <w:r w:rsidR="00BD2DA0" w:rsidRPr="00617426">
        <w:t xml:space="preserve"> Specifically, for requirements at 42 CFR 456.709 (claims data and other record reports preparation), we have proposed 1</w:t>
      </w:r>
      <w:r w:rsidR="00187BD1" w:rsidRPr="00617426">
        <w:t>,</w:t>
      </w:r>
      <w:r w:rsidR="00BD2DA0" w:rsidRPr="00617426">
        <w:t>020 hours, an increase from the approved 816</w:t>
      </w:r>
      <w:r w:rsidR="006A7040" w:rsidRPr="00617426">
        <w:t xml:space="preserve"> hours</w:t>
      </w:r>
      <w:r w:rsidR="00BD2DA0" w:rsidRPr="00617426">
        <w:t xml:space="preserve">. For requirements at 42 CFR 456.711 (review claims data and record reports and interventions), </w:t>
      </w:r>
      <w:r w:rsidR="006A7040" w:rsidRPr="00617426">
        <w:t xml:space="preserve">related to reviews, </w:t>
      </w:r>
      <w:r w:rsidR="00BD2DA0" w:rsidRPr="00617426">
        <w:t xml:space="preserve">we have proposed </w:t>
      </w:r>
      <w:r w:rsidR="006A7040" w:rsidRPr="00617426">
        <w:t>12</w:t>
      </w:r>
      <w:r w:rsidR="00187BD1" w:rsidRPr="00617426">
        <w:t>,</w:t>
      </w:r>
      <w:r w:rsidR="006A7040" w:rsidRPr="00617426">
        <w:t>240 hours, an increase from the approved 6</w:t>
      </w:r>
      <w:r w:rsidR="00187BD1" w:rsidRPr="00617426">
        <w:t>,</w:t>
      </w:r>
      <w:r w:rsidR="006A7040" w:rsidRPr="00617426">
        <w:t>120 hours. For those related to interventions, we have proposed 24</w:t>
      </w:r>
      <w:r w:rsidR="00187BD1" w:rsidRPr="00617426">
        <w:t>,</w:t>
      </w:r>
      <w:r w:rsidR="006A7040" w:rsidRPr="00617426">
        <w:t>480 hours, an increase from the approved 12</w:t>
      </w:r>
      <w:r w:rsidR="00187BD1" w:rsidRPr="00617426">
        <w:t>,</w:t>
      </w:r>
      <w:r w:rsidR="006A7040" w:rsidRPr="00617426">
        <w:t>240 hours. For requirements at 42 CFR 456.712 and 42 CFR 438.3 (DUR Board and Medicaid agency reporting requirements), we have proposed a total of 3</w:t>
      </w:r>
      <w:r w:rsidR="00187BD1" w:rsidRPr="00617426">
        <w:t>,</w:t>
      </w:r>
      <w:r w:rsidR="006A7040" w:rsidRPr="00617426">
        <w:t>264 hours, an increase from the approved 1</w:t>
      </w:r>
      <w:r w:rsidR="00187BD1" w:rsidRPr="00617426">
        <w:t>,</w:t>
      </w:r>
      <w:r w:rsidR="006A7040" w:rsidRPr="00617426">
        <w:t>632 hours.</w:t>
      </w:r>
    </w:p>
    <w:p w14:paraId="214E6F1F" w14:textId="77777777" w:rsidR="00D24433" w:rsidRPr="00617426" w:rsidRDefault="00D24433" w:rsidP="00560248">
      <w:pPr>
        <w:pStyle w:val="BodyText"/>
      </w:pPr>
    </w:p>
    <w:p w14:paraId="214E6F20" w14:textId="77777777" w:rsidR="00D24433" w:rsidRPr="000A20DE" w:rsidRDefault="002B5808" w:rsidP="00560248">
      <w:pPr>
        <w:pStyle w:val="ListParagraph"/>
        <w:numPr>
          <w:ilvl w:val="0"/>
          <w:numId w:val="2"/>
        </w:numPr>
        <w:tabs>
          <w:tab w:val="left" w:pos="1283"/>
          <w:tab w:val="left" w:pos="1284"/>
        </w:tabs>
        <w:ind w:left="0" w:firstLine="0"/>
        <w:rPr>
          <w:sz w:val="24"/>
          <w:szCs w:val="24"/>
        </w:rPr>
      </w:pPr>
      <w:bookmarkStart w:id="20" w:name="16.__Publication_and_Tabulation_Dates"/>
      <w:bookmarkEnd w:id="20"/>
      <w:r w:rsidRPr="000A20DE">
        <w:rPr>
          <w:sz w:val="24"/>
          <w:szCs w:val="24"/>
          <w:u w:val="single"/>
        </w:rPr>
        <w:t>Publication and Tabulation</w:t>
      </w:r>
      <w:r w:rsidRPr="000A20DE">
        <w:rPr>
          <w:spacing w:val="-10"/>
          <w:sz w:val="24"/>
          <w:szCs w:val="24"/>
          <w:u w:val="single"/>
        </w:rPr>
        <w:t xml:space="preserve"> </w:t>
      </w:r>
      <w:r w:rsidRPr="000A20DE">
        <w:rPr>
          <w:sz w:val="24"/>
          <w:szCs w:val="24"/>
          <w:u w:val="single"/>
        </w:rPr>
        <w:t>Dates</w:t>
      </w:r>
    </w:p>
    <w:p w14:paraId="214E6F21" w14:textId="77777777" w:rsidR="00D24433" w:rsidRPr="000A20DE" w:rsidRDefault="00D24433" w:rsidP="00560248">
      <w:pPr>
        <w:pStyle w:val="BodyText"/>
      </w:pPr>
    </w:p>
    <w:p w14:paraId="214E6F22" w14:textId="775B1FB0" w:rsidR="00D24433" w:rsidRPr="000A20DE" w:rsidRDefault="002B5808" w:rsidP="00560248">
      <w:pPr>
        <w:pStyle w:val="BodyText"/>
      </w:pPr>
      <w:r w:rsidRPr="000A20DE">
        <w:t xml:space="preserve">CMS plans to post the </w:t>
      </w:r>
      <w:r w:rsidR="0031324C">
        <w:t>comparison/summary</w:t>
      </w:r>
      <w:r w:rsidRPr="000A20DE">
        <w:t xml:space="preserve"> on Medicaid.gov within six months from the submission due date.</w:t>
      </w:r>
    </w:p>
    <w:p w14:paraId="214E6F23" w14:textId="77777777" w:rsidR="00D24433" w:rsidRPr="000A20DE" w:rsidRDefault="00D24433" w:rsidP="00560248">
      <w:pPr>
        <w:pStyle w:val="BodyText"/>
      </w:pPr>
    </w:p>
    <w:p w14:paraId="214E6F24" w14:textId="77777777" w:rsidR="00D24433" w:rsidRPr="000A20DE" w:rsidRDefault="002B5808" w:rsidP="00560248">
      <w:pPr>
        <w:pStyle w:val="ListParagraph"/>
        <w:numPr>
          <w:ilvl w:val="0"/>
          <w:numId w:val="2"/>
        </w:numPr>
        <w:tabs>
          <w:tab w:val="left" w:pos="1683"/>
          <w:tab w:val="left" w:pos="1684"/>
        </w:tabs>
        <w:ind w:left="0" w:firstLine="0"/>
        <w:rPr>
          <w:sz w:val="24"/>
          <w:szCs w:val="24"/>
        </w:rPr>
      </w:pPr>
      <w:r w:rsidRPr="000A20DE">
        <w:rPr>
          <w:sz w:val="24"/>
          <w:szCs w:val="24"/>
          <w:u w:val="single"/>
        </w:rPr>
        <w:t>Expiration</w:t>
      </w:r>
      <w:r w:rsidRPr="000A20DE">
        <w:rPr>
          <w:spacing w:val="-5"/>
          <w:sz w:val="24"/>
          <w:szCs w:val="24"/>
          <w:u w:val="single"/>
        </w:rPr>
        <w:t xml:space="preserve"> </w:t>
      </w:r>
      <w:r w:rsidRPr="000A20DE">
        <w:rPr>
          <w:sz w:val="24"/>
          <w:szCs w:val="24"/>
          <w:u w:val="single"/>
        </w:rPr>
        <w:t>Date:</w:t>
      </w:r>
    </w:p>
    <w:p w14:paraId="214E6F25" w14:textId="77777777" w:rsidR="00D24433" w:rsidRPr="000A20DE" w:rsidRDefault="00D24433" w:rsidP="00560248">
      <w:pPr>
        <w:pStyle w:val="BodyText"/>
      </w:pPr>
    </w:p>
    <w:p w14:paraId="214E6F26" w14:textId="77777777" w:rsidR="00D24433" w:rsidRPr="000A20DE" w:rsidRDefault="002B5808" w:rsidP="00560248">
      <w:pPr>
        <w:pStyle w:val="BodyText"/>
      </w:pPr>
      <w:r w:rsidRPr="000A20DE">
        <w:t>CMS is willing to display the expiration date for OMB approval.</w:t>
      </w:r>
    </w:p>
    <w:p w14:paraId="214E6F27" w14:textId="77777777" w:rsidR="000A20DE" w:rsidRPr="000A20DE" w:rsidRDefault="000A20DE" w:rsidP="00560248">
      <w:pPr>
        <w:pStyle w:val="BodyText"/>
      </w:pPr>
    </w:p>
    <w:p w14:paraId="214E6F28" w14:textId="77777777" w:rsidR="00D24433" w:rsidRPr="000A20DE" w:rsidRDefault="002B5808" w:rsidP="00560248">
      <w:pPr>
        <w:pStyle w:val="ListParagraph"/>
        <w:numPr>
          <w:ilvl w:val="0"/>
          <w:numId w:val="2"/>
        </w:numPr>
        <w:tabs>
          <w:tab w:val="left" w:pos="1683"/>
          <w:tab w:val="left" w:pos="1684"/>
        </w:tabs>
        <w:ind w:left="0" w:firstLine="0"/>
        <w:rPr>
          <w:sz w:val="24"/>
          <w:szCs w:val="24"/>
        </w:rPr>
      </w:pPr>
      <w:r w:rsidRPr="000A20DE">
        <w:rPr>
          <w:sz w:val="24"/>
          <w:szCs w:val="24"/>
          <w:u w:val="single"/>
        </w:rPr>
        <w:t>Certification</w:t>
      </w:r>
      <w:r w:rsidRPr="000A20DE">
        <w:rPr>
          <w:spacing w:val="-8"/>
          <w:sz w:val="24"/>
          <w:szCs w:val="24"/>
          <w:u w:val="single"/>
        </w:rPr>
        <w:t xml:space="preserve"> </w:t>
      </w:r>
      <w:r w:rsidRPr="000A20DE">
        <w:rPr>
          <w:sz w:val="24"/>
          <w:szCs w:val="24"/>
          <w:u w:val="single"/>
        </w:rPr>
        <w:t>Statement:</w:t>
      </w:r>
    </w:p>
    <w:p w14:paraId="214E6F29" w14:textId="77777777" w:rsidR="00D24433" w:rsidRPr="000A20DE" w:rsidRDefault="00D24433" w:rsidP="00560248">
      <w:pPr>
        <w:pStyle w:val="BodyText"/>
      </w:pPr>
    </w:p>
    <w:p w14:paraId="214E6F2A" w14:textId="77777777" w:rsidR="00D24433" w:rsidRPr="000A20DE" w:rsidRDefault="002B5808" w:rsidP="00560248">
      <w:pPr>
        <w:pStyle w:val="BodyText"/>
      </w:pPr>
      <w:r w:rsidRPr="000A20DE">
        <w:t>This submission does not contain exceptions to the certification statement.</w:t>
      </w:r>
    </w:p>
    <w:p w14:paraId="214E6F2B" w14:textId="77777777" w:rsidR="00D24433" w:rsidRPr="000A20DE" w:rsidRDefault="00D24433" w:rsidP="00560248">
      <w:pPr>
        <w:pStyle w:val="BodyText"/>
      </w:pPr>
    </w:p>
    <w:p w14:paraId="214E6F2C" w14:textId="77777777" w:rsidR="00D24433" w:rsidRPr="00F90562" w:rsidRDefault="002B5808" w:rsidP="00560248">
      <w:pPr>
        <w:pStyle w:val="Heading1"/>
        <w:tabs>
          <w:tab w:val="left" w:pos="963"/>
        </w:tabs>
        <w:ind w:left="0"/>
      </w:pPr>
      <w:bookmarkStart w:id="21" w:name="B.__Collection_of_Information_Employing_"/>
      <w:bookmarkEnd w:id="21"/>
      <w:r w:rsidRPr="00F90562">
        <w:t>B.</w:t>
      </w:r>
      <w:r w:rsidRPr="00F90562">
        <w:tab/>
        <w:t>Collection of Information Employing Statistical</w:t>
      </w:r>
      <w:r w:rsidRPr="00F90562">
        <w:rPr>
          <w:spacing w:val="-20"/>
        </w:rPr>
        <w:t xml:space="preserve"> </w:t>
      </w:r>
      <w:r w:rsidRPr="00F90562">
        <w:t>Methods</w:t>
      </w:r>
    </w:p>
    <w:p w14:paraId="214E6F2D" w14:textId="77777777" w:rsidR="00D24433" w:rsidRPr="000A20DE" w:rsidRDefault="00D24433" w:rsidP="00560248">
      <w:pPr>
        <w:pStyle w:val="BodyText"/>
      </w:pPr>
    </w:p>
    <w:p w14:paraId="214E6F2E" w14:textId="4FCF5705" w:rsidR="00D24433" w:rsidRDefault="002B5808" w:rsidP="00560248">
      <w:pPr>
        <w:pStyle w:val="BodyText"/>
      </w:pPr>
      <w:r w:rsidRPr="000A20DE">
        <w:t>The use of statistical methods does not apply to this collection of information.</w:t>
      </w:r>
    </w:p>
    <w:p w14:paraId="214E6F2F" w14:textId="77777777" w:rsidR="00F90562" w:rsidRPr="000A20DE" w:rsidRDefault="00F90562">
      <w:pPr>
        <w:pStyle w:val="BodyText"/>
        <w:ind w:left="109"/>
      </w:pPr>
    </w:p>
    <w:sectPr w:rsidR="00F90562" w:rsidRPr="000A20DE" w:rsidSect="00E31413">
      <w:type w:val="continuous"/>
      <w:pgSz w:w="12240" w:h="15840"/>
      <w:pgMar w:top="1440" w:right="1440" w:bottom="1440" w:left="1440" w:header="0" w:footer="10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E6F32" w14:textId="77777777" w:rsidR="008B3D10" w:rsidRDefault="008B3D10">
      <w:r>
        <w:separator/>
      </w:r>
    </w:p>
  </w:endnote>
  <w:endnote w:type="continuationSeparator" w:id="0">
    <w:p w14:paraId="214E6F33" w14:textId="77777777" w:rsidR="008B3D10" w:rsidRDefault="008B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E6F34" w14:textId="77777777" w:rsidR="00D24433" w:rsidRDefault="00F4571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14E6F35" wp14:editId="214E6F36">
              <wp:simplePos x="0" y="0"/>
              <wp:positionH relativeFrom="page">
                <wp:posOffset>3825875</wp:posOffset>
              </wp:positionH>
              <wp:positionV relativeFrom="page">
                <wp:posOffset>9239250</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E6F37" w14:textId="77777777" w:rsidR="00D24433" w:rsidRDefault="002B5808">
                          <w:pPr>
                            <w:spacing w:line="245" w:lineRule="exact"/>
                            <w:ind w:left="40"/>
                            <w:rPr>
                              <w:rFonts w:ascii="Calibri"/>
                            </w:rPr>
                          </w:pPr>
                          <w:r>
                            <w:fldChar w:fldCharType="begin"/>
                          </w:r>
                          <w:r>
                            <w:rPr>
                              <w:rFonts w:ascii="Calibri"/>
                            </w:rPr>
                            <w:instrText xml:space="preserve"> PAGE </w:instrText>
                          </w:r>
                          <w:r>
                            <w:fldChar w:fldCharType="separate"/>
                          </w:r>
                          <w:r w:rsidR="009F5A83">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25pt;margin-top:727.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" filled="f" stroked="f">
              <v:textbox inset="0,0,0,0">
                <w:txbxContent>
                  <w:p w14:paraId="214E6F37" w14:textId="77777777" w:rsidR="00D24433" w:rsidRDefault="002B5808">
                    <w:pPr>
                      <w:spacing w:line="245" w:lineRule="exact"/>
                      <w:ind w:left="40"/>
                      <w:rPr>
                        <w:rFonts w:ascii="Calibri"/>
                      </w:rPr>
                    </w:pPr>
                    <w:r>
                      <w:fldChar w:fldCharType="begin"/>
                    </w:r>
                    <w:r>
                      <w:rPr>
                        <w:rFonts w:ascii="Calibri"/>
                      </w:rPr>
                      <w:instrText xml:space="preserve"> PAGE </w:instrText>
                    </w:r>
                    <w:r>
                      <w:fldChar w:fldCharType="separate"/>
                    </w:r>
                    <w:r w:rsidR="009F5A83">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E6F30" w14:textId="77777777" w:rsidR="008B3D10" w:rsidRDefault="008B3D10">
      <w:r>
        <w:separator/>
      </w:r>
    </w:p>
  </w:footnote>
  <w:footnote w:type="continuationSeparator" w:id="0">
    <w:p w14:paraId="214E6F31" w14:textId="77777777" w:rsidR="008B3D10" w:rsidRDefault="008B3D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C4493"/>
    <w:multiLevelType w:val="hybridMultilevel"/>
    <w:tmpl w:val="00285AE6"/>
    <w:lvl w:ilvl="0" w:tplc="B97A2024">
      <w:numFmt w:val="bullet"/>
      <w:lvlText w:val="•"/>
      <w:lvlJc w:val="left"/>
      <w:pPr>
        <w:ind w:left="556" w:hanging="432"/>
      </w:pPr>
      <w:rPr>
        <w:rFonts w:ascii="Arial" w:eastAsia="Arial" w:hAnsi="Arial" w:cs="Arial" w:hint="default"/>
        <w:w w:val="99"/>
        <w:sz w:val="24"/>
        <w:szCs w:val="24"/>
      </w:rPr>
    </w:lvl>
    <w:lvl w:ilvl="1" w:tplc="7AA46732">
      <w:numFmt w:val="bullet"/>
      <w:lvlText w:val="•"/>
      <w:lvlJc w:val="left"/>
      <w:pPr>
        <w:ind w:left="1514" w:hanging="432"/>
      </w:pPr>
      <w:rPr>
        <w:rFonts w:hint="default"/>
      </w:rPr>
    </w:lvl>
    <w:lvl w:ilvl="2" w:tplc="6E36862A">
      <w:numFmt w:val="bullet"/>
      <w:lvlText w:val="•"/>
      <w:lvlJc w:val="left"/>
      <w:pPr>
        <w:ind w:left="2468" w:hanging="432"/>
      </w:pPr>
      <w:rPr>
        <w:rFonts w:hint="default"/>
      </w:rPr>
    </w:lvl>
    <w:lvl w:ilvl="3" w:tplc="80B41E2C">
      <w:numFmt w:val="bullet"/>
      <w:lvlText w:val="•"/>
      <w:lvlJc w:val="left"/>
      <w:pPr>
        <w:ind w:left="3422" w:hanging="432"/>
      </w:pPr>
      <w:rPr>
        <w:rFonts w:hint="default"/>
      </w:rPr>
    </w:lvl>
    <w:lvl w:ilvl="4" w:tplc="FBCA366C">
      <w:numFmt w:val="bullet"/>
      <w:lvlText w:val="•"/>
      <w:lvlJc w:val="left"/>
      <w:pPr>
        <w:ind w:left="4376" w:hanging="432"/>
      </w:pPr>
      <w:rPr>
        <w:rFonts w:hint="default"/>
      </w:rPr>
    </w:lvl>
    <w:lvl w:ilvl="5" w:tplc="48C05F30">
      <w:numFmt w:val="bullet"/>
      <w:lvlText w:val="•"/>
      <w:lvlJc w:val="left"/>
      <w:pPr>
        <w:ind w:left="5330" w:hanging="432"/>
      </w:pPr>
      <w:rPr>
        <w:rFonts w:hint="default"/>
      </w:rPr>
    </w:lvl>
    <w:lvl w:ilvl="6" w:tplc="3BD4A1B6">
      <w:numFmt w:val="bullet"/>
      <w:lvlText w:val="•"/>
      <w:lvlJc w:val="left"/>
      <w:pPr>
        <w:ind w:left="6284" w:hanging="432"/>
      </w:pPr>
      <w:rPr>
        <w:rFonts w:hint="default"/>
      </w:rPr>
    </w:lvl>
    <w:lvl w:ilvl="7" w:tplc="63285F30">
      <w:numFmt w:val="bullet"/>
      <w:lvlText w:val="•"/>
      <w:lvlJc w:val="left"/>
      <w:pPr>
        <w:ind w:left="7238" w:hanging="432"/>
      </w:pPr>
      <w:rPr>
        <w:rFonts w:hint="default"/>
      </w:rPr>
    </w:lvl>
    <w:lvl w:ilvl="8" w:tplc="20BE961C">
      <w:numFmt w:val="bullet"/>
      <w:lvlText w:val="•"/>
      <w:lvlJc w:val="left"/>
      <w:pPr>
        <w:ind w:left="8192" w:hanging="432"/>
      </w:pPr>
      <w:rPr>
        <w:rFonts w:hint="default"/>
      </w:rPr>
    </w:lvl>
  </w:abstractNum>
  <w:abstractNum w:abstractNumId="1">
    <w:nsid w:val="2EFE7A4F"/>
    <w:multiLevelType w:val="multilevel"/>
    <w:tmpl w:val="59C41928"/>
    <w:lvl w:ilvl="0">
      <w:start w:val="1"/>
      <w:numFmt w:val="decimal"/>
      <w:lvlText w:val="%1."/>
      <w:lvlJc w:val="left"/>
      <w:pPr>
        <w:ind w:left="1621" w:hanging="1512"/>
        <w:jc w:val="left"/>
      </w:pPr>
      <w:rPr>
        <w:rFonts w:ascii="Times New Roman" w:eastAsia="Times New Roman" w:hAnsi="Times New Roman" w:cs="Times New Roman" w:hint="default"/>
        <w:spacing w:val="-3"/>
        <w:w w:val="99"/>
        <w:sz w:val="24"/>
        <w:szCs w:val="24"/>
      </w:rPr>
    </w:lvl>
    <w:lvl w:ilvl="1">
      <w:start w:val="1"/>
      <w:numFmt w:val="decimal"/>
      <w:lvlText w:val="%1.%2"/>
      <w:lvlJc w:val="left"/>
      <w:pPr>
        <w:ind w:left="592" w:hanging="483"/>
        <w:jc w:val="left"/>
      </w:pPr>
      <w:rPr>
        <w:rFonts w:hint="default"/>
        <w:i/>
        <w:w w:val="100"/>
      </w:rPr>
    </w:lvl>
    <w:lvl w:ilvl="2">
      <w:numFmt w:val="bullet"/>
      <w:lvlText w:val="•"/>
      <w:lvlJc w:val="left"/>
      <w:pPr>
        <w:ind w:left="2566" w:hanging="483"/>
      </w:pPr>
      <w:rPr>
        <w:rFonts w:hint="default"/>
      </w:rPr>
    </w:lvl>
    <w:lvl w:ilvl="3">
      <w:numFmt w:val="bullet"/>
      <w:lvlText w:val="•"/>
      <w:lvlJc w:val="left"/>
      <w:pPr>
        <w:ind w:left="3513" w:hanging="483"/>
      </w:pPr>
      <w:rPr>
        <w:rFonts w:hint="default"/>
      </w:rPr>
    </w:lvl>
    <w:lvl w:ilvl="4">
      <w:numFmt w:val="bullet"/>
      <w:lvlText w:val="•"/>
      <w:lvlJc w:val="left"/>
      <w:pPr>
        <w:ind w:left="4460" w:hanging="483"/>
      </w:pPr>
      <w:rPr>
        <w:rFonts w:hint="default"/>
      </w:rPr>
    </w:lvl>
    <w:lvl w:ilvl="5">
      <w:numFmt w:val="bullet"/>
      <w:lvlText w:val="•"/>
      <w:lvlJc w:val="left"/>
      <w:pPr>
        <w:ind w:left="5406" w:hanging="483"/>
      </w:pPr>
      <w:rPr>
        <w:rFonts w:hint="default"/>
      </w:rPr>
    </w:lvl>
    <w:lvl w:ilvl="6">
      <w:numFmt w:val="bullet"/>
      <w:lvlText w:val="•"/>
      <w:lvlJc w:val="left"/>
      <w:pPr>
        <w:ind w:left="6353" w:hanging="483"/>
      </w:pPr>
      <w:rPr>
        <w:rFonts w:hint="default"/>
      </w:rPr>
    </w:lvl>
    <w:lvl w:ilvl="7">
      <w:numFmt w:val="bullet"/>
      <w:lvlText w:val="•"/>
      <w:lvlJc w:val="left"/>
      <w:pPr>
        <w:ind w:left="7300" w:hanging="483"/>
      </w:pPr>
      <w:rPr>
        <w:rFonts w:hint="default"/>
      </w:rPr>
    </w:lvl>
    <w:lvl w:ilvl="8">
      <w:numFmt w:val="bullet"/>
      <w:lvlText w:val="•"/>
      <w:lvlJc w:val="left"/>
      <w:pPr>
        <w:ind w:left="8246" w:hanging="48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433"/>
    <w:rsid w:val="0000087D"/>
    <w:rsid w:val="00064097"/>
    <w:rsid w:val="00070222"/>
    <w:rsid w:val="000A20DE"/>
    <w:rsid w:val="000B0A58"/>
    <w:rsid w:val="000B43CA"/>
    <w:rsid w:val="000C669B"/>
    <w:rsid w:val="00111869"/>
    <w:rsid w:val="00187BD1"/>
    <w:rsid w:val="001D0A7B"/>
    <w:rsid w:val="001D6D10"/>
    <w:rsid w:val="001F159F"/>
    <w:rsid w:val="002217C2"/>
    <w:rsid w:val="0025419E"/>
    <w:rsid w:val="00262F18"/>
    <w:rsid w:val="00270E46"/>
    <w:rsid w:val="00282049"/>
    <w:rsid w:val="002B5808"/>
    <w:rsid w:val="00306199"/>
    <w:rsid w:val="0031324C"/>
    <w:rsid w:val="003A310B"/>
    <w:rsid w:val="00461004"/>
    <w:rsid w:val="0046252D"/>
    <w:rsid w:val="004E4294"/>
    <w:rsid w:val="004F558D"/>
    <w:rsid w:val="00523C49"/>
    <w:rsid w:val="0054721F"/>
    <w:rsid w:val="00560248"/>
    <w:rsid w:val="00617426"/>
    <w:rsid w:val="00646E82"/>
    <w:rsid w:val="006737FE"/>
    <w:rsid w:val="006A7040"/>
    <w:rsid w:val="006E0E32"/>
    <w:rsid w:val="00734E34"/>
    <w:rsid w:val="00772B63"/>
    <w:rsid w:val="007B3A52"/>
    <w:rsid w:val="007D5DC6"/>
    <w:rsid w:val="00831C37"/>
    <w:rsid w:val="00865E43"/>
    <w:rsid w:val="00872BA1"/>
    <w:rsid w:val="008A02D5"/>
    <w:rsid w:val="008B3D10"/>
    <w:rsid w:val="00951EAD"/>
    <w:rsid w:val="00955B1E"/>
    <w:rsid w:val="00955C53"/>
    <w:rsid w:val="009605B9"/>
    <w:rsid w:val="00962FEB"/>
    <w:rsid w:val="00990FEB"/>
    <w:rsid w:val="009A3578"/>
    <w:rsid w:val="009F5A83"/>
    <w:rsid w:val="00A538C2"/>
    <w:rsid w:val="00AE432F"/>
    <w:rsid w:val="00B07038"/>
    <w:rsid w:val="00B30A40"/>
    <w:rsid w:val="00B51195"/>
    <w:rsid w:val="00B635C4"/>
    <w:rsid w:val="00B77C8F"/>
    <w:rsid w:val="00BB0A4C"/>
    <w:rsid w:val="00BD2DA0"/>
    <w:rsid w:val="00BF2150"/>
    <w:rsid w:val="00C03EBC"/>
    <w:rsid w:val="00C21909"/>
    <w:rsid w:val="00C271E0"/>
    <w:rsid w:val="00C56FB7"/>
    <w:rsid w:val="00C74BC0"/>
    <w:rsid w:val="00CA1F58"/>
    <w:rsid w:val="00CB657D"/>
    <w:rsid w:val="00CE28CA"/>
    <w:rsid w:val="00CF4B82"/>
    <w:rsid w:val="00D24433"/>
    <w:rsid w:val="00D3389E"/>
    <w:rsid w:val="00D60036"/>
    <w:rsid w:val="00DD3F0A"/>
    <w:rsid w:val="00DD4B5B"/>
    <w:rsid w:val="00DF575F"/>
    <w:rsid w:val="00E207A1"/>
    <w:rsid w:val="00E31413"/>
    <w:rsid w:val="00E650F6"/>
    <w:rsid w:val="00E93D7F"/>
    <w:rsid w:val="00EA30C5"/>
    <w:rsid w:val="00EB68FC"/>
    <w:rsid w:val="00EC5448"/>
    <w:rsid w:val="00EC5813"/>
    <w:rsid w:val="00ED7FFA"/>
    <w:rsid w:val="00F10A6B"/>
    <w:rsid w:val="00F362E1"/>
    <w:rsid w:val="00F45717"/>
    <w:rsid w:val="00F720D4"/>
    <w:rsid w:val="00F90562"/>
    <w:rsid w:val="00FB77F2"/>
    <w:rsid w:val="00FC1CE9"/>
    <w:rsid w:val="00FE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4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6" w:hanging="432"/>
    </w:pPr>
  </w:style>
  <w:style w:type="paragraph" w:customStyle="1" w:styleId="TableParagraph">
    <w:name w:val="Table Paragraph"/>
    <w:basedOn w:val="Normal"/>
    <w:uiPriority w:val="1"/>
    <w:qFormat/>
    <w:pPr>
      <w:spacing w:line="202" w:lineRule="exact"/>
      <w:ind w:left="103"/>
    </w:pPr>
  </w:style>
  <w:style w:type="paragraph" w:styleId="BalloonText">
    <w:name w:val="Balloon Text"/>
    <w:basedOn w:val="Normal"/>
    <w:link w:val="BalloonTextChar"/>
    <w:uiPriority w:val="99"/>
    <w:semiHidden/>
    <w:unhideWhenUsed/>
    <w:rsid w:val="00070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22"/>
    <w:rPr>
      <w:rFonts w:ascii="Segoe UI" w:eastAsia="Times New Roman" w:hAnsi="Segoe UI" w:cs="Segoe UI"/>
      <w:sz w:val="18"/>
      <w:szCs w:val="18"/>
    </w:rPr>
  </w:style>
  <w:style w:type="character" w:styleId="Hyperlink">
    <w:name w:val="Hyperlink"/>
    <w:basedOn w:val="DefaultParagraphFont"/>
    <w:uiPriority w:val="99"/>
    <w:unhideWhenUsed/>
    <w:rsid w:val="009A35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6" w:hanging="432"/>
    </w:pPr>
  </w:style>
  <w:style w:type="paragraph" w:customStyle="1" w:styleId="TableParagraph">
    <w:name w:val="Table Paragraph"/>
    <w:basedOn w:val="Normal"/>
    <w:uiPriority w:val="1"/>
    <w:qFormat/>
    <w:pPr>
      <w:spacing w:line="202" w:lineRule="exact"/>
      <w:ind w:left="103"/>
    </w:pPr>
  </w:style>
  <w:style w:type="paragraph" w:styleId="BalloonText">
    <w:name w:val="Balloon Text"/>
    <w:basedOn w:val="Normal"/>
    <w:link w:val="BalloonTextChar"/>
    <w:uiPriority w:val="99"/>
    <w:semiHidden/>
    <w:unhideWhenUsed/>
    <w:rsid w:val="00070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22"/>
    <w:rPr>
      <w:rFonts w:ascii="Segoe UI" w:eastAsia="Times New Roman" w:hAnsi="Segoe UI" w:cs="Segoe UI"/>
      <w:sz w:val="18"/>
      <w:szCs w:val="18"/>
    </w:rPr>
  </w:style>
  <w:style w:type="character" w:styleId="Hyperlink">
    <w:name w:val="Hyperlink"/>
    <w:basedOn w:val="DefaultParagraphFont"/>
    <w:uiPriority w:val="99"/>
    <w:unhideWhenUsed/>
    <w:rsid w:val="009A35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rveygizmo.com/s3/4472282/FFY-2018-Drug-" TargetMode="External"/><Relationship Id="rId18" Type="http://schemas.openxmlformats.org/officeDocument/2006/relationships/hyperlink" Target="http://www.bls.gov/oes/current/oes_nat.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hare.cms.gov/center/CMCS/DEHPG/DP/DUR/fee-for-service%20respondent%20can" TargetMode="External"/><Relationship Id="rId17" Type="http://schemas.openxmlformats.org/officeDocument/2006/relationships/hyperlink" Target="http://www.surveygizmo.com/s3/4472286/FFY-2018-Drug-Utilization-Review-Annual-Report-MCO" TargetMode="External"/><Relationship Id="rId2" Type="http://schemas.openxmlformats.org/officeDocument/2006/relationships/customXml" Target="../customXml/item2.xml"/><Relationship Id="rId16" Type="http://schemas.openxmlformats.org/officeDocument/2006/relationships/hyperlink" Target="http://www.surveygizmo.com/s3/4472286/FFY-2018-Drug-Utilization-Review-Annual-Report-MCO" TargetMode="External"/><Relationship Id="rId20"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surveygizmo.com/s3/4472282/FFY-2018-Drug-Utilization-Review-Annual-Report-FFS" TargetMode="External"/><Relationship Id="rId5" Type="http://schemas.openxmlformats.org/officeDocument/2006/relationships/styles" Target="styles.xml"/><Relationship Id="rId15" Type="http://schemas.openxmlformats.org/officeDocument/2006/relationships/hyperlink" Target="http://www.surveygizmo.com/s3/4472286/FFY-2018-Drug-Utilization-Review-Annual-Report-MC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ls.gov/oes/current/oes_nat.ht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share.cms.gov/center/CMCS/DEHPG/DP/DUR/Utilization-Review-Annual-Report-FFS,%20while%20that%20for%20a%20managed%20care%20respondent%20can%20be%20found%20a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9CCCF076F4D74194563B939E265CA3" ma:contentTypeVersion="6" ma:contentTypeDescription="Create a new document." ma:contentTypeScope="" ma:versionID="5aa77d8dd4e16bf80788512b6e8ab086">
  <xsd:schema xmlns:xsd="http://www.w3.org/2001/XMLSchema" xmlns:xs="http://www.w3.org/2001/XMLSchema" xmlns:p="http://schemas.microsoft.com/office/2006/metadata/properties" targetNamespace="http://schemas.microsoft.com/office/2006/metadata/properties" ma:root="true" ma:fieldsID="775fd8736c95ff8b2184c73c2935567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C2746-726A-4751-9251-9644299495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56A2824-7C78-4EB6-BA04-8E75ABAA1868}">
  <ds:schemaRefs>
    <ds:schemaRef ds:uri="http://schemas.microsoft.com/sharepoint/v3/contenttype/forms"/>
  </ds:schemaRefs>
</ds:datastoreItem>
</file>

<file path=customXml/itemProps3.xml><?xml version="1.0" encoding="utf-8"?>
<ds:datastoreItem xmlns:ds="http://schemas.openxmlformats.org/officeDocument/2006/customXml" ds:itemID="{A1CB099E-E030-4F5D-ACEF-0B88A6FD8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DUR_PRA_CMS_R_153</vt:lpstr>
    </vt:vector>
  </TitlesOfParts>
  <Company>CMS</Company>
  <LinksUpToDate>false</LinksUpToDate>
  <CharactersWithSpaces>20860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DUR_PRA_CMS_R_153</dc:title>
  <dc:creator>cms</dc:creator>
  <cp:lastModifiedBy>SYSTEM</cp:lastModifiedBy>
  <cp:revision>2</cp:revision>
  <dcterms:created xsi:type="dcterms:W3CDTF">2018-09-26T18:43:00Z</dcterms:created>
  <dcterms:modified xsi:type="dcterms:W3CDTF">2018-09-26T18:43:00Z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Acrobat PDFMaker 15 for Word</vt:lpwstr>
  </property>
  <property fmtid="{D5CDD505-2E9C-101B-9397-08002B2CF9AE}" pid="4" name="LastSaved">
    <vt:filetime>2018-09-11T00:00:00Z</vt:filetime>
  </property>
  <property fmtid="{D5CDD505-2E9C-101B-9397-08002B2CF9AE}" pid="5" name="_AdHocReviewCycleID">
    <vt:i4>439060973</vt:i4>
  </property>
  <property fmtid="{D5CDD505-2E9C-101B-9397-08002B2CF9AE}" pid="6" name="_NewReviewCycle">
    <vt:lpwstr/>
  </property>
  <property fmtid="{D5CDD505-2E9C-101B-9397-08002B2CF9AE}" pid="7" name="_EmailSubject">
    <vt:lpwstr>Action Needed &gt; RE: 508 Issue &gt; RE: DUR PRA Package (CMS-R-153, OMB 0938-0659)</vt:lpwstr>
  </property>
  <property fmtid="{D5CDD505-2E9C-101B-9397-08002B2CF9AE}" pid="8" name="_AuthorEmail">
    <vt:lpwstr>Yolonda.Williams@cms.hhs.gov</vt:lpwstr>
  </property>
  <property fmtid="{D5CDD505-2E9C-101B-9397-08002B2CF9AE}" pid="9" name="_AuthorEmailDisplayName">
    <vt:lpwstr>Williams, Yolonda R. (CMS/CMCS)</vt:lpwstr>
  </property>
  <property fmtid="{D5CDD505-2E9C-101B-9397-08002B2CF9AE}" pid="10" name="ContentTypeId">
    <vt:lpwstr>0x010100329CCCF076F4D74194563B939E265CA3</vt:lpwstr>
  </property>
  <property fmtid="{D5CDD505-2E9C-101B-9397-08002B2CF9AE}" pid="11" name="_PreviousAdHocReviewCycleID">
    <vt:i4>-1774087046</vt:i4>
  </property>
  <property fmtid="{D5CDD505-2E9C-101B-9397-08002B2CF9AE}" pid="12" name="_ReviewingToolsShownOnce">
    <vt:lpwstr/>
  </property>
</Properties>
</file>