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B290B" w14:textId="77777777" w:rsidR="00D4449D" w:rsidRPr="004B2916" w:rsidRDefault="00D4449D" w:rsidP="00D4449D">
      <w:pPr>
        <w:spacing w:before="293" w:line="436" w:lineRule="exact"/>
        <w:jc w:val="center"/>
        <w:rPr>
          <w:rFonts w:eastAsia="Times New Roman Bold"/>
          <w:b/>
          <w:bCs/>
          <w:color w:val="000000" w:themeColor="text1"/>
          <w:sz w:val="28"/>
          <w:szCs w:val="28"/>
        </w:rPr>
      </w:pPr>
      <w:bookmarkStart w:id="0" w:name="_GoBack"/>
      <w:bookmarkEnd w:id="0"/>
      <w:r>
        <w:rPr>
          <w:rFonts w:eastAsia="Times New Roman Bold"/>
          <w:b/>
          <w:bCs/>
          <w:sz w:val="28"/>
          <w:szCs w:val="28"/>
        </w:rPr>
        <w:t>Supporting Statement B</w:t>
      </w:r>
      <w:r w:rsidRPr="004B2916">
        <w:rPr>
          <w:rFonts w:eastAsia="Times New Roman Bold"/>
          <w:b/>
          <w:bCs/>
          <w:sz w:val="28"/>
          <w:szCs w:val="28"/>
        </w:rPr>
        <w:t xml:space="preserve"> for </w:t>
      </w:r>
      <w:r w:rsidRPr="004B2916">
        <w:rPr>
          <w:rFonts w:eastAsia="Times New Roman Bold"/>
          <w:b/>
          <w:bCs/>
          <w:color w:val="000000" w:themeColor="text1"/>
          <w:sz w:val="28"/>
          <w:szCs w:val="28"/>
        </w:rPr>
        <w:t>the</w:t>
      </w:r>
      <w:r w:rsidRPr="004B2916">
        <w:br/>
      </w:r>
      <w:r w:rsidRPr="004B2916">
        <w:rPr>
          <w:rFonts w:eastAsia="Times New Roman Bold"/>
          <w:b/>
          <w:bCs/>
          <w:color w:val="000000" w:themeColor="text1"/>
          <w:sz w:val="28"/>
          <w:szCs w:val="28"/>
        </w:rPr>
        <w:t>Office of the Assistant Secretary for Health</w:t>
      </w:r>
      <w:r w:rsidRPr="004B2916">
        <w:br/>
      </w:r>
      <w:r w:rsidRPr="004B2916">
        <w:rPr>
          <w:rFonts w:eastAsia="Times New Roman Bold"/>
          <w:b/>
          <w:bCs/>
          <w:color w:val="000000" w:themeColor="text1"/>
          <w:sz w:val="28"/>
          <w:szCs w:val="28"/>
        </w:rPr>
        <w:t>SMARTool Pilot Replication Project</w:t>
      </w:r>
    </w:p>
    <w:p w14:paraId="1202612B" w14:textId="77777777" w:rsidR="00D4449D" w:rsidRPr="004B2916" w:rsidRDefault="00D4449D" w:rsidP="00D4449D">
      <w:pPr>
        <w:spacing w:line="253" w:lineRule="exact"/>
        <w:jc w:val="center"/>
        <w:rPr>
          <w:b/>
          <w:bCs/>
          <w:color w:val="000000"/>
        </w:rPr>
      </w:pPr>
    </w:p>
    <w:p w14:paraId="00565DC1" w14:textId="77777777" w:rsidR="00D4449D" w:rsidRPr="004B2916" w:rsidRDefault="00D4449D" w:rsidP="00D4449D">
      <w:pPr>
        <w:spacing w:line="253" w:lineRule="exact"/>
        <w:jc w:val="center"/>
        <w:rPr>
          <w:b/>
          <w:bCs/>
          <w:color w:val="000000"/>
        </w:rPr>
      </w:pPr>
    </w:p>
    <w:p w14:paraId="0C577242" w14:textId="77777777" w:rsidR="00D4449D" w:rsidRPr="004B2916" w:rsidRDefault="00D4449D" w:rsidP="00D4449D">
      <w:pPr>
        <w:spacing w:line="253" w:lineRule="exact"/>
        <w:jc w:val="center"/>
        <w:rPr>
          <w:b/>
          <w:bCs/>
          <w:color w:val="000000"/>
        </w:rPr>
      </w:pPr>
    </w:p>
    <w:p w14:paraId="11C709D9" w14:textId="77777777" w:rsidR="00D4449D" w:rsidRPr="004B2916" w:rsidRDefault="00D4449D" w:rsidP="00D4449D">
      <w:pPr>
        <w:spacing w:line="253" w:lineRule="exact"/>
        <w:jc w:val="center"/>
        <w:rPr>
          <w:b/>
          <w:bCs/>
          <w:color w:val="000000"/>
        </w:rPr>
      </w:pPr>
    </w:p>
    <w:p w14:paraId="1BD190B5" w14:textId="77777777" w:rsidR="00D4449D" w:rsidRPr="004B2916" w:rsidRDefault="00D4449D" w:rsidP="00D4449D">
      <w:pPr>
        <w:spacing w:line="253" w:lineRule="exact"/>
        <w:jc w:val="center"/>
        <w:rPr>
          <w:b/>
          <w:bCs/>
          <w:color w:val="000000"/>
        </w:rPr>
      </w:pPr>
    </w:p>
    <w:p w14:paraId="51A933E7" w14:textId="77777777" w:rsidR="00D4449D" w:rsidRPr="004B2916" w:rsidRDefault="00D4449D" w:rsidP="00D4449D">
      <w:pPr>
        <w:spacing w:line="253" w:lineRule="exact"/>
        <w:jc w:val="center"/>
        <w:rPr>
          <w:b/>
          <w:bCs/>
          <w:color w:val="000000"/>
        </w:rPr>
      </w:pPr>
    </w:p>
    <w:p w14:paraId="6338F354" w14:textId="77777777" w:rsidR="00D4449D" w:rsidRPr="004B2916" w:rsidRDefault="00D4449D" w:rsidP="00D4449D">
      <w:pPr>
        <w:spacing w:line="253" w:lineRule="exact"/>
        <w:jc w:val="center"/>
        <w:rPr>
          <w:b/>
          <w:bCs/>
          <w:color w:val="000000"/>
        </w:rPr>
      </w:pPr>
    </w:p>
    <w:p w14:paraId="1ADBCDE9" w14:textId="77777777" w:rsidR="00D4449D" w:rsidRPr="004B2916" w:rsidRDefault="00D4449D" w:rsidP="00D4449D">
      <w:pPr>
        <w:spacing w:line="253" w:lineRule="exact"/>
        <w:jc w:val="center"/>
        <w:rPr>
          <w:b/>
          <w:bCs/>
          <w:color w:val="000000"/>
        </w:rPr>
      </w:pPr>
    </w:p>
    <w:p w14:paraId="7D7728CD" w14:textId="77777777" w:rsidR="00D4449D" w:rsidRPr="004B2916" w:rsidRDefault="00D4449D" w:rsidP="00D4449D">
      <w:pPr>
        <w:spacing w:line="253" w:lineRule="exact"/>
        <w:jc w:val="center"/>
        <w:rPr>
          <w:b/>
          <w:bCs/>
          <w:color w:val="000000"/>
        </w:rPr>
      </w:pPr>
    </w:p>
    <w:p w14:paraId="5F653369" w14:textId="77777777" w:rsidR="00D4449D" w:rsidRPr="004B2916" w:rsidRDefault="00D4449D" w:rsidP="00D4449D">
      <w:pPr>
        <w:spacing w:before="120" w:line="280" w:lineRule="atLeast"/>
        <w:jc w:val="center"/>
        <w:rPr>
          <w:b/>
          <w:bCs/>
          <w:color w:val="000000"/>
        </w:rPr>
      </w:pPr>
      <w:r w:rsidRPr="004B2916">
        <w:rPr>
          <w:b/>
          <w:bCs/>
          <w:color w:val="000000"/>
        </w:rPr>
        <w:t>Submitted to</w:t>
      </w:r>
    </w:p>
    <w:p w14:paraId="4872358F" w14:textId="77777777" w:rsidR="00D4449D" w:rsidRPr="004B2916" w:rsidRDefault="00D4449D" w:rsidP="00D4449D">
      <w:pPr>
        <w:spacing w:before="120" w:line="280" w:lineRule="atLeast"/>
        <w:jc w:val="center"/>
        <w:rPr>
          <w:color w:val="000000"/>
        </w:rPr>
      </w:pPr>
      <w:r w:rsidRPr="004B2916">
        <w:rPr>
          <w:color w:val="000000"/>
        </w:rPr>
        <w:t>Office of Management and Budget</w:t>
      </w:r>
      <w:r w:rsidRPr="004B2916">
        <w:rPr>
          <w:color w:val="000000"/>
        </w:rPr>
        <w:br/>
        <w:t>Office of Information and Regulatory Affairs</w:t>
      </w:r>
    </w:p>
    <w:p w14:paraId="607D96CC" w14:textId="77777777" w:rsidR="00D4449D" w:rsidRPr="004B2916" w:rsidRDefault="00D4449D" w:rsidP="00D4449D">
      <w:pPr>
        <w:spacing w:before="120" w:line="280" w:lineRule="atLeast"/>
        <w:jc w:val="center"/>
        <w:rPr>
          <w:b/>
          <w:bCs/>
          <w:color w:val="000000"/>
        </w:rPr>
      </w:pPr>
    </w:p>
    <w:p w14:paraId="4D0F06DF" w14:textId="77777777" w:rsidR="00D4449D" w:rsidRPr="004B2916" w:rsidRDefault="00D4449D" w:rsidP="00D4449D">
      <w:pPr>
        <w:spacing w:before="120" w:line="280" w:lineRule="atLeast"/>
        <w:rPr>
          <w:color w:val="000000"/>
        </w:rPr>
      </w:pPr>
    </w:p>
    <w:p w14:paraId="54876F07" w14:textId="77777777" w:rsidR="00D4449D" w:rsidRPr="004B2916" w:rsidRDefault="00D4449D" w:rsidP="00D4449D">
      <w:pPr>
        <w:spacing w:before="120" w:line="280" w:lineRule="atLeast"/>
        <w:rPr>
          <w:color w:val="000000"/>
        </w:rPr>
      </w:pPr>
    </w:p>
    <w:p w14:paraId="6ABB4D76" w14:textId="77777777" w:rsidR="00D4449D" w:rsidRPr="004B2916" w:rsidRDefault="00D4449D" w:rsidP="00D4449D">
      <w:pPr>
        <w:spacing w:before="120" w:line="280" w:lineRule="atLeast"/>
        <w:jc w:val="center"/>
        <w:rPr>
          <w:b/>
          <w:bCs/>
          <w:color w:val="000000"/>
        </w:rPr>
      </w:pPr>
      <w:r w:rsidRPr="004B2916">
        <w:rPr>
          <w:b/>
          <w:bCs/>
          <w:color w:val="000000"/>
        </w:rPr>
        <w:t>Submitted by</w:t>
      </w:r>
    </w:p>
    <w:p w14:paraId="2E97939E" w14:textId="77777777" w:rsidR="00D4449D" w:rsidRPr="004B2916" w:rsidRDefault="00D4449D" w:rsidP="00D4449D">
      <w:pPr>
        <w:spacing w:before="120" w:line="280" w:lineRule="atLeast"/>
        <w:jc w:val="center"/>
        <w:rPr>
          <w:color w:val="000000"/>
        </w:rPr>
      </w:pPr>
      <w:r w:rsidRPr="004B2916">
        <w:rPr>
          <w:color w:val="000000"/>
        </w:rPr>
        <w:t xml:space="preserve">Department of Health and Human Services </w:t>
      </w:r>
      <w:r w:rsidRPr="004B2916">
        <w:rPr>
          <w:color w:val="000000"/>
        </w:rPr>
        <w:br/>
        <w:t xml:space="preserve">Office of the Assistant Secretary for Health </w:t>
      </w:r>
      <w:r w:rsidRPr="004B2916">
        <w:rPr>
          <w:color w:val="000000"/>
        </w:rPr>
        <w:br/>
      </w:r>
      <w:r w:rsidRPr="004B2916">
        <w:rPr>
          <w:color w:val="000000"/>
        </w:rPr>
        <w:br/>
      </w:r>
    </w:p>
    <w:p w14:paraId="0806CF85" w14:textId="77777777" w:rsidR="00D4449D" w:rsidRPr="004B2916" w:rsidRDefault="00D4449D" w:rsidP="00D4449D">
      <w:pPr>
        <w:spacing w:before="120" w:line="280" w:lineRule="atLeast"/>
        <w:rPr>
          <w:color w:val="000000"/>
        </w:rPr>
      </w:pPr>
    </w:p>
    <w:p w14:paraId="0853E0DC" w14:textId="77777777" w:rsidR="00D4449D" w:rsidRPr="004B2916" w:rsidRDefault="00D4449D" w:rsidP="00D4449D">
      <w:pPr>
        <w:spacing w:before="120" w:line="280" w:lineRule="atLeast"/>
        <w:rPr>
          <w:color w:val="000000"/>
        </w:rPr>
      </w:pPr>
    </w:p>
    <w:p w14:paraId="14E60C99" w14:textId="77777777" w:rsidR="00D4449D" w:rsidRPr="004B2916" w:rsidRDefault="00D4449D" w:rsidP="00D4449D">
      <w:pPr>
        <w:spacing w:before="120" w:line="280" w:lineRule="atLeast"/>
        <w:rPr>
          <w:color w:val="000000"/>
        </w:rPr>
      </w:pPr>
    </w:p>
    <w:p w14:paraId="587E17A8" w14:textId="77777777" w:rsidR="00D4449D" w:rsidRPr="004B2916" w:rsidRDefault="00D4449D" w:rsidP="00D4449D">
      <w:pPr>
        <w:spacing w:before="120" w:line="280" w:lineRule="atLeast"/>
        <w:rPr>
          <w:color w:val="000000"/>
        </w:rPr>
      </w:pPr>
    </w:p>
    <w:p w14:paraId="324750CD" w14:textId="58C10C7B" w:rsidR="00AC70A7" w:rsidRPr="00EC5848" w:rsidRDefault="00E17994" w:rsidP="00D4449D">
      <w:pPr>
        <w:widowControl/>
        <w:autoSpaceDE/>
        <w:autoSpaceDN/>
        <w:adjustRightInd/>
        <w:jc w:val="center"/>
        <w:rPr>
          <w:color w:val="000000"/>
        </w:rPr>
      </w:pPr>
      <w:r>
        <w:rPr>
          <w:color w:val="000000"/>
        </w:rPr>
        <w:t>June</w:t>
      </w:r>
      <w:r w:rsidR="00EC5848" w:rsidRPr="00EC5848">
        <w:rPr>
          <w:color w:val="000000"/>
        </w:rPr>
        <w:t xml:space="preserve"> </w:t>
      </w:r>
      <w:r w:rsidR="0099201D" w:rsidRPr="00EC5848">
        <w:rPr>
          <w:color w:val="000000"/>
        </w:rPr>
        <w:t>2019</w:t>
      </w:r>
    </w:p>
    <w:p w14:paraId="4005DB7D" w14:textId="77777777" w:rsidR="00AC70A7" w:rsidRPr="00EC5848" w:rsidRDefault="00AC70A7">
      <w:pPr>
        <w:widowControl/>
        <w:autoSpaceDE/>
        <w:autoSpaceDN/>
        <w:adjustRightInd/>
        <w:spacing w:after="160" w:line="259" w:lineRule="auto"/>
        <w:rPr>
          <w:color w:val="000000"/>
        </w:rPr>
      </w:pPr>
      <w:r w:rsidRPr="00EC5848">
        <w:rPr>
          <w:color w:val="000000"/>
        </w:rPr>
        <w:br w:type="page"/>
      </w:r>
    </w:p>
    <w:p w14:paraId="792FD65F" w14:textId="306DE06E" w:rsidR="009D4135" w:rsidRDefault="009D4135"/>
    <w:sdt>
      <w:sdtPr>
        <w:rPr>
          <w:rFonts w:ascii="Times New Roman" w:eastAsia="Times New Roman" w:hAnsi="Times New Roman" w:cs="Times New Roman"/>
          <w:color w:val="auto"/>
          <w:sz w:val="24"/>
          <w:szCs w:val="24"/>
        </w:rPr>
        <w:id w:val="2139599709"/>
        <w:docPartObj>
          <w:docPartGallery w:val="Table of Contents"/>
          <w:docPartUnique/>
        </w:docPartObj>
      </w:sdtPr>
      <w:sdtEndPr>
        <w:rPr>
          <w:b/>
          <w:bCs/>
          <w:noProof/>
        </w:rPr>
      </w:sdtEndPr>
      <w:sdtContent>
        <w:p w14:paraId="7D2E618A" w14:textId="1E03612B" w:rsidR="00560FCE" w:rsidRPr="0081411B" w:rsidRDefault="00560FCE" w:rsidP="00560FCE">
          <w:pPr>
            <w:pStyle w:val="TOCHeading"/>
            <w:jc w:val="center"/>
            <w:rPr>
              <w:rFonts w:ascii="Times New Roman" w:hAnsi="Times New Roman"/>
              <w:b/>
              <w:color w:val="auto"/>
              <w:sz w:val="28"/>
            </w:rPr>
          </w:pPr>
          <w:r w:rsidRPr="001A2AF9">
            <w:rPr>
              <w:rFonts w:ascii="Times New Roman" w:hAnsi="Times New Roman" w:cs="Times New Roman"/>
              <w:b/>
              <w:color w:val="auto"/>
              <w:sz w:val="28"/>
              <w:szCs w:val="28"/>
            </w:rPr>
            <w:t>Contents</w:t>
          </w:r>
        </w:p>
        <w:p w14:paraId="02B370A3" w14:textId="6659EF33" w:rsidR="00560FCE" w:rsidRDefault="00560FCE" w:rsidP="00560FCE"/>
        <w:p w14:paraId="233A7688" w14:textId="77777777" w:rsidR="00560FCE" w:rsidRPr="00560FCE" w:rsidRDefault="00560FCE" w:rsidP="00560FCE"/>
        <w:p w14:paraId="13EA0B22" w14:textId="4DC468FF" w:rsidR="00CC6245" w:rsidRDefault="008F2953">
          <w:pPr>
            <w:pStyle w:val="TOC1"/>
            <w:tabs>
              <w:tab w:val="right" w:leader="dot" w:pos="9350"/>
            </w:tabs>
            <w:rPr>
              <w:rFonts w:asciiTheme="minorHAnsi" w:hAnsiTheme="minorHAnsi" w:cstheme="minorBidi"/>
              <w:noProof/>
              <w:sz w:val="22"/>
            </w:rPr>
          </w:pPr>
          <w:r w:rsidRPr="0081411B">
            <w:fldChar w:fldCharType="begin"/>
          </w:r>
          <w:r>
            <w:instrText xml:space="preserve"> TOC \o "1-3" \h \z \u </w:instrText>
          </w:r>
          <w:r w:rsidRPr="0081411B">
            <w:fldChar w:fldCharType="separate"/>
          </w:r>
          <w:hyperlink w:anchor="_Toc8284037" w:history="1">
            <w:r w:rsidR="00CC6245" w:rsidRPr="00BE2C36">
              <w:rPr>
                <w:rStyle w:val="Hyperlink"/>
                <w:noProof/>
              </w:rPr>
              <w:t>Exhibits</w:t>
            </w:r>
            <w:r w:rsidR="00CC6245">
              <w:rPr>
                <w:noProof/>
                <w:webHidden/>
              </w:rPr>
              <w:tab/>
            </w:r>
            <w:r w:rsidR="00CC6245">
              <w:rPr>
                <w:noProof/>
                <w:webHidden/>
              </w:rPr>
              <w:fldChar w:fldCharType="begin"/>
            </w:r>
            <w:r w:rsidR="00CC6245">
              <w:rPr>
                <w:noProof/>
                <w:webHidden/>
              </w:rPr>
              <w:instrText xml:space="preserve"> PAGEREF _Toc8284037 \h </w:instrText>
            </w:r>
            <w:r w:rsidR="00CC6245">
              <w:rPr>
                <w:noProof/>
                <w:webHidden/>
              </w:rPr>
            </w:r>
            <w:r w:rsidR="00CC6245">
              <w:rPr>
                <w:noProof/>
                <w:webHidden/>
              </w:rPr>
              <w:fldChar w:fldCharType="separate"/>
            </w:r>
            <w:r w:rsidR="00CC6245">
              <w:rPr>
                <w:noProof/>
                <w:webHidden/>
              </w:rPr>
              <w:t>iii</w:t>
            </w:r>
            <w:r w:rsidR="00CC6245">
              <w:rPr>
                <w:noProof/>
                <w:webHidden/>
              </w:rPr>
              <w:fldChar w:fldCharType="end"/>
            </w:r>
          </w:hyperlink>
        </w:p>
        <w:p w14:paraId="14B9D35F" w14:textId="7027A450" w:rsidR="00CC6245" w:rsidRDefault="007E28EC">
          <w:pPr>
            <w:pStyle w:val="TOC2"/>
            <w:rPr>
              <w:rFonts w:asciiTheme="minorHAnsi" w:eastAsiaTheme="minorEastAsia" w:hAnsiTheme="minorHAnsi" w:cstheme="minorBidi"/>
              <w:noProof/>
              <w:sz w:val="22"/>
              <w:szCs w:val="22"/>
            </w:rPr>
          </w:pPr>
          <w:hyperlink w:anchor="_Toc8284038" w:history="1">
            <w:r w:rsidR="00CC6245" w:rsidRPr="00BE2C36">
              <w:rPr>
                <w:rStyle w:val="Hyperlink"/>
                <w:noProof/>
              </w:rPr>
              <w:t>B1.</w:t>
            </w:r>
            <w:r w:rsidR="00CC6245">
              <w:rPr>
                <w:rFonts w:asciiTheme="minorHAnsi" w:eastAsiaTheme="minorEastAsia" w:hAnsiTheme="minorHAnsi" w:cstheme="minorBidi"/>
                <w:noProof/>
                <w:sz w:val="22"/>
                <w:szCs w:val="22"/>
              </w:rPr>
              <w:tab/>
            </w:r>
            <w:r w:rsidR="00CC6245" w:rsidRPr="00BE2C36">
              <w:rPr>
                <w:rStyle w:val="Hyperlink"/>
                <w:noProof/>
              </w:rPr>
              <w:t>Respondent Universe and Sampling Methods</w:t>
            </w:r>
            <w:r w:rsidR="00CC6245">
              <w:rPr>
                <w:noProof/>
                <w:webHidden/>
              </w:rPr>
              <w:tab/>
            </w:r>
            <w:r w:rsidR="00CC6245">
              <w:rPr>
                <w:noProof/>
                <w:webHidden/>
              </w:rPr>
              <w:fldChar w:fldCharType="begin"/>
            </w:r>
            <w:r w:rsidR="00CC6245">
              <w:rPr>
                <w:noProof/>
                <w:webHidden/>
              </w:rPr>
              <w:instrText xml:space="preserve"> PAGEREF _Toc8284038 \h </w:instrText>
            </w:r>
            <w:r w:rsidR="00CC6245">
              <w:rPr>
                <w:noProof/>
                <w:webHidden/>
              </w:rPr>
            </w:r>
            <w:r w:rsidR="00CC6245">
              <w:rPr>
                <w:noProof/>
                <w:webHidden/>
              </w:rPr>
              <w:fldChar w:fldCharType="separate"/>
            </w:r>
            <w:r w:rsidR="00CC6245">
              <w:rPr>
                <w:noProof/>
                <w:webHidden/>
              </w:rPr>
              <w:t>1</w:t>
            </w:r>
            <w:r w:rsidR="00CC6245">
              <w:rPr>
                <w:noProof/>
                <w:webHidden/>
              </w:rPr>
              <w:fldChar w:fldCharType="end"/>
            </w:r>
          </w:hyperlink>
        </w:p>
        <w:p w14:paraId="37EEA9F2" w14:textId="65015ED1" w:rsidR="00CC6245" w:rsidRDefault="007E28EC">
          <w:pPr>
            <w:pStyle w:val="TOC2"/>
            <w:rPr>
              <w:rFonts w:asciiTheme="minorHAnsi" w:eastAsiaTheme="minorEastAsia" w:hAnsiTheme="minorHAnsi" w:cstheme="minorBidi"/>
              <w:noProof/>
              <w:sz w:val="22"/>
              <w:szCs w:val="22"/>
            </w:rPr>
          </w:pPr>
          <w:hyperlink w:anchor="_Toc8284039" w:history="1">
            <w:r w:rsidR="00CC6245" w:rsidRPr="00BE2C36">
              <w:rPr>
                <w:rStyle w:val="Hyperlink"/>
                <w:noProof/>
              </w:rPr>
              <w:t>Sample Size Estimates</w:t>
            </w:r>
            <w:r w:rsidR="00CC6245">
              <w:rPr>
                <w:noProof/>
                <w:webHidden/>
              </w:rPr>
              <w:tab/>
            </w:r>
            <w:r w:rsidR="00CC6245">
              <w:rPr>
                <w:noProof/>
                <w:webHidden/>
              </w:rPr>
              <w:fldChar w:fldCharType="begin"/>
            </w:r>
            <w:r w:rsidR="00CC6245">
              <w:rPr>
                <w:noProof/>
                <w:webHidden/>
              </w:rPr>
              <w:instrText xml:space="preserve"> PAGEREF _Toc8284039 \h </w:instrText>
            </w:r>
            <w:r w:rsidR="00CC6245">
              <w:rPr>
                <w:noProof/>
                <w:webHidden/>
              </w:rPr>
            </w:r>
            <w:r w:rsidR="00CC6245">
              <w:rPr>
                <w:noProof/>
                <w:webHidden/>
              </w:rPr>
              <w:fldChar w:fldCharType="separate"/>
            </w:r>
            <w:r w:rsidR="00CC6245">
              <w:rPr>
                <w:noProof/>
                <w:webHidden/>
              </w:rPr>
              <w:t>3</w:t>
            </w:r>
            <w:r w:rsidR="00CC6245">
              <w:rPr>
                <w:noProof/>
                <w:webHidden/>
              </w:rPr>
              <w:fldChar w:fldCharType="end"/>
            </w:r>
          </w:hyperlink>
        </w:p>
        <w:p w14:paraId="59FA78DC" w14:textId="73736834" w:rsidR="00CC6245" w:rsidRDefault="007E28EC">
          <w:pPr>
            <w:pStyle w:val="TOC2"/>
            <w:rPr>
              <w:rFonts w:asciiTheme="minorHAnsi" w:eastAsiaTheme="minorEastAsia" w:hAnsiTheme="minorHAnsi" w:cstheme="minorBidi"/>
              <w:noProof/>
              <w:sz w:val="22"/>
              <w:szCs w:val="22"/>
            </w:rPr>
          </w:pPr>
          <w:hyperlink w:anchor="_Toc8284040" w:history="1">
            <w:r w:rsidR="00CC6245" w:rsidRPr="00BE2C36">
              <w:rPr>
                <w:rStyle w:val="Hyperlink"/>
                <w:noProof/>
              </w:rPr>
              <w:t>B2.</w:t>
            </w:r>
            <w:r w:rsidR="00CC6245">
              <w:rPr>
                <w:rFonts w:asciiTheme="minorHAnsi" w:eastAsiaTheme="minorEastAsia" w:hAnsiTheme="minorHAnsi" w:cstheme="minorBidi"/>
                <w:noProof/>
                <w:sz w:val="22"/>
                <w:szCs w:val="22"/>
              </w:rPr>
              <w:tab/>
            </w:r>
            <w:r w:rsidR="00CC6245" w:rsidRPr="00BE2C36">
              <w:rPr>
                <w:rStyle w:val="Hyperlink"/>
                <w:noProof/>
              </w:rPr>
              <w:t>Procedures for the Collection of Information</w:t>
            </w:r>
            <w:r w:rsidR="00CC6245">
              <w:rPr>
                <w:noProof/>
                <w:webHidden/>
              </w:rPr>
              <w:tab/>
            </w:r>
            <w:r w:rsidR="00CC6245">
              <w:rPr>
                <w:noProof/>
                <w:webHidden/>
              </w:rPr>
              <w:fldChar w:fldCharType="begin"/>
            </w:r>
            <w:r w:rsidR="00CC6245">
              <w:rPr>
                <w:noProof/>
                <w:webHidden/>
              </w:rPr>
              <w:instrText xml:space="preserve"> PAGEREF _Toc8284040 \h </w:instrText>
            </w:r>
            <w:r w:rsidR="00CC6245">
              <w:rPr>
                <w:noProof/>
                <w:webHidden/>
              </w:rPr>
            </w:r>
            <w:r w:rsidR="00CC6245">
              <w:rPr>
                <w:noProof/>
                <w:webHidden/>
              </w:rPr>
              <w:fldChar w:fldCharType="separate"/>
            </w:r>
            <w:r w:rsidR="00CC6245">
              <w:rPr>
                <w:noProof/>
                <w:webHidden/>
              </w:rPr>
              <w:t>7</w:t>
            </w:r>
            <w:r w:rsidR="00CC6245">
              <w:rPr>
                <w:noProof/>
                <w:webHidden/>
              </w:rPr>
              <w:fldChar w:fldCharType="end"/>
            </w:r>
          </w:hyperlink>
        </w:p>
        <w:p w14:paraId="78FB88DA" w14:textId="6333614C" w:rsidR="00CC6245" w:rsidRDefault="007E28EC">
          <w:pPr>
            <w:pStyle w:val="TOC2"/>
            <w:rPr>
              <w:rFonts w:asciiTheme="minorHAnsi" w:eastAsiaTheme="minorEastAsia" w:hAnsiTheme="minorHAnsi" w:cstheme="minorBidi"/>
              <w:noProof/>
              <w:sz w:val="22"/>
              <w:szCs w:val="22"/>
            </w:rPr>
          </w:pPr>
          <w:hyperlink w:anchor="_Toc8284041" w:history="1">
            <w:r w:rsidR="00CC6245" w:rsidRPr="00BE2C36">
              <w:rPr>
                <w:rStyle w:val="Hyperlink"/>
                <w:noProof/>
              </w:rPr>
              <w:t>Parental Consent and Youth Assent</w:t>
            </w:r>
            <w:r w:rsidR="00CC6245">
              <w:rPr>
                <w:noProof/>
                <w:webHidden/>
              </w:rPr>
              <w:tab/>
            </w:r>
            <w:r w:rsidR="00CC6245">
              <w:rPr>
                <w:noProof/>
                <w:webHidden/>
              </w:rPr>
              <w:fldChar w:fldCharType="begin"/>
            </w:r>
            <w:r w:rsidR="00CC6245">
              <w:rPr>
                <w:noProof/>
                <w:webHidden/>
              </w:rPr>
              <w:instrText xml:space="preserve"> PAGEREF _Toc8284041 \h </w:instrText>
            </w:r>
            <w:r w:rsidR="00CC6245">
              <w:rPr>
                <w:noProof/>
                <w:webHidden/>
              </w:rPr>
            </w:r>
            <w:r w:rsidR="00CC6245">
              <w:rPr>
                <w:noProof/>
                <w:webHidden/>
              </w:rPr>
              <w:fldChar w:fldCharType="separate"/>
            </w:r>
            <w:r w:rsidR="00CC6245">
              <w:rPr>
                <w:noProof/>
                <w:webHidden/>
              </w:rPr>
              <w:t>7</w:t>
            </w:r>
            <w:r w:rsidR="00CC6245">
              <w:rPr>
                <w:noProof/>
                <w:webHidden/>
              </w:rPr>
              <w:fldChar w:fldCharType="end"/>
            </w:r>
          </w:hyperlink>
        </w:p>
        <w:p w14:paraId="64BE19D7" w14:textId="6D3C21E4" w:rsidR="00CC6245" w:rsidRDefault="007E28EC">
          <w:pPr>
            <w:pStyle w:val="TOC2"/>
            <w:rPr>
              <w:rFonts w:asciiTheme="minorHAnsi" w:eastAsiaTheme="minorEastAsia" w:hAnsiTheme="minorHAnsi" w:cstheme="minorBidi"/>
              <w:noProof/>
              <w:sz w:val="22"/>
              <w:szCs w:val="22"/>
            </w:rPr>
          </w:pPr>
          <w:hyperlink w:anchor="_Toc8284042" w:history="1">
            <w:r w:rsidR="00CC6245" w:rsidRPr="00BE2C36">
              <w:rPr>
                <w:rStyle w:val="Hyperlink"/>
                <w:noProof/>
              </w:rPr>
              <w:t>Youth Baseline and Follow-up Outcome Surveys</w:t>
            </w:r>
            <w:r w:rsidR="00CC6245">
              <w:rPr>
                <w:noProof/>
                <w:webHidden/>
              </w:rPr>
              <w:tab/>
            </w:r>
            <w:r w:rsidR="00CC6245">
              <w:rPr>
                <w:noProof/>
                <w:webHidden/>
              </w:rPr>
              <w:fldChar w:fldCharType="begin"/>
            </w:r>
            <w:r w:rsidR="00CC6245">
              <w:rPr>
                <w:noProof/>
                <w:webHidden/>
              </w:rPr>
              <w:instrText xml:space="preserve"> PAGEREF _Toc8284042 \h </w:instrText>
            </w:r>
            <w:r w:rsidR="00CC6245">
              <w:rPr>
                <w:noProof/>
                <w:webHidden/>
              </w:rPr>
            </w:r>
            <w:r w:rsidR="00CC6245">
              <w:rPr>
                <w:noProof/>
                <w:webHidden/>
              </w:rPr>
              <w:fldChar w:fldCharType="separate"/>
            </w:r>
            <w:r w:rsidR="00CC6245">
              <w:rPr>
                <w:noProof/>
                <w:webHidden/>
              </w:rPr>
              <w:t>7</w:t>
            </w:r>
            <w:r w:rsidR="00CC6245">
              <w:rPr>
                <w:noProof/>
                <w:webHidden/>
              </w:rPr>
              <w:fldChar w:fldCharType="end"/>
            </w:r>
          </w:hyperlink>
        </w:p>
        <w:p w14:paraId="6BF236AD" w14:textId="531E91A5" w:rsidR="00CC6245" w:rsidRDefault="007E28EC">
          <w:pPr>
            <w:pStyle w:val="TOC2"/>
            <w:rPr>
              <w:rFonts w:asciiTheme="minorHAnsi" w:eastAsiaTheme="minorEastAsia" w:hAnsiTheme="minorHAnsi" w:cstheme="minorBidi"/>
              <w:noProof/>
              <w:sz w:val="22"/>
              <w:szCs w:val="22"/>
            </w:rPr>
          </w:pPr>
          <w:hyperlink w:anchor="_Toc8284043" w:history="1">
            <w:r w:rsidR="00CC6245" w:rsidRPr="00BE2C36">
              <w:rPr>
                <w:rStyle w:val="Hyperlink"/>
                <w:noProof/>
              </w:rPr>
              <w:t>Rosters/Administrative Data Files</w:t>
            </w:r>
            <w:r w:rsidR="00CC6245">
              <w:rPr>
                <w:noProof/>
                <w:webHidden/>
              </w:rPr>
              <w:tab/>
            </w:r>
            <w:r w:rsidR="00CC6245">
              <w:rPr>
                <w:noProof/>
                <w:webHidden/>
              </w:rPr>
              <w:fldChar w:fldCharType="begin"/>
            </w:r>
            <w:r w:rsidR="00CC6245">
              <w:rPr>
                <w:noProof/>
                <w:webHidden/>
              </w:rPr>
              <w:instrText xml:space="preserve"> PAGEREF _Toc8284043 \h </w:instrText>
            </w:r>
            <w:r w:rsidR="00CC6245">
              <w:rPr>
                <w:noProof/>
                <w:webHidden/>
              </w:rPr>
            </w:r>
            <w:r w:rsidR="00CC6245">
              <w:rPr>
                <w:noProof/>
                <w:webHidden/>
              </w:rPr>
              <w:fldChar w:fldCharType="separate"/>
            </w:r>
            <w:r w:rsidR="00CC6245">
              <w:rPr>
                <w:noProof/>
                <w:webHidden/>
              </w:rPr>
              <w:t>8</w:t>
            </w:r>
            <w:r w:rsidR="00CC6245">
              <w:rPr>
                <w:noProof/>
                <w:webHidden/>
              </w:rPr>
              <w:fldChar w:fldCharType="end"/>
            </w:r>
          </w:hyperlink>
        </w:p>
        <w:p w14:paraId="4628886D" w14:textId="458B513B" w:rsidR="00CC6245" w:rsidRDefault="007E28EC">
          <w:pPr>
            <w:pStyle w:val="TOC2"/>
            <w:rPr>
              <w:rFonts w:asciiTheme="minorHAnsi" w:eastAsiaTheme="minorEastAsia" w:hAnsiTheme="minorHAnsi" w:cstheme="minorBidi"/>
              <w:noProof/>
              <w:sz w:val="22"/>
              <w:szCs w:val="22"/>
            </w:rPr>
          </w:pPr>
          <w:hyperlink w:anchor="_Toc8284044" w:history="1">
            <w:r w:rsidR="00CC6245" w:rsidRPr="00BE2C36">
              <w:rPr>
                <w:rStyle w:val="Hyperlink"/>
                <w:noProof/>
              </w:rPr>
              <w:t>Participant Survey</w:t>
            </w:r>
            <w:r w:rsidR="00CC6245">
              <w:rPr>
                <w:noProof/>
                <w:webHidden/>
              </w:rPr>
              <w:tab/>
            </w:r>
            <w:r w:rsidR="00CC6245">
              <w:rPr>
                <w:noProof/>
                <w:webHidden/>
              </w:rPr>
              <w:fldChar w:fldCharType="begin"/>
            </w:r>
            <w:r w:rsidR="00CC6245">
              <w:rPr>
                <w:noProof/>
                <w:webHidden/>
              </w:rPr>
              <w:instrText xml:space="preserve"> PAGEREF _Toc8284044 \h </w:instrText>
            </w:r>
            <w:r w:rsidR="00CC6245">
              <w:rPr>
                <w:noProof/>
                <w:webHidden/>
              </w:rPr>
            </w:r>
            <w:r w:rsidR="00CC6245">
              <w:rPr>
                <w:noProof/>
                <w:webHidden/>
              </w:rPr>
              <w:fldChar w:fldCharType="separate"/>
            </w:r>
            <w:r w:rsidR="00CC6245">
              <w:rPr>
                <w:noProof/>
                <w:webHidden/>
              </w:rPr>
              <w:t>8</w:t>
            </w:r>
            <w:r w:rsidR="00CC6245">
              <w:rPr>
                <w:noProof/>
                <w:webHidden/>
              </w:rPr>
              <w:fldChar w:fldCharType="end"/>
            </w:r>
          </w:hyperlink>
        </w:p>
        <w:p w14:paraId="1C06A7EC" w14:textId="6A814D3F" w:rsidR="00CC6245" w:rsidRDefault="007E28EC">
          <w:pPr>
            <w:pStyle w:val="TOC2"/>
            <w:rPr>
              <w:rFonts w:asciiTheme="minorHAnsi" w:eastAsiaTheme="minorEastAsia" w:hAnsiTheme="minorHAnsi" w:cstheme="minorBidi"/>
              <w:noProof/>
              <w:sz w:val="22"/>
              <w:szCs w:val="22"/>
            </w:rPr>
          </w:pPr>
          <w:hyperlink w:anchor="_Toc8284045" w:history="1">
            <w:r w:rsidR="00CC6245" w:rsidRPr="00BE2C36">
              <w:rPr>
                <w:rStyle w:val="Hyperlink"/>
                <w:noProof/>
              </w:rPr>
              <w:t>Facilitator Survey</w:t>
            </w:r>
            <w:r w:rsidR="00CC6245">
              <w:rPr>
                <w:noProof/>
                <w:webHidden/>
              </w:rPr>
              <w:tab/>
            </w:r>
            <w:r w:rsidR="00CC6245">
              <w:rPr>
                <w:noProof/>
                <w:webHidden/>
              </w:rPr>
              <w:fldChar w:fldCharType="begin"/>
            </w:r>
            <w:r w:rsidR="00CC6245">
              <w:rPr>
                <w:noProof/>
                <w:webHidden/>
              </w:rPr>
              <w:instrText xml:space="preserve"> PAGEREF _Toc8284045 \h </w:instrText>
            </w:r>
            <w:r w:rsidR="00CC6245">
              <w:rPr>
                <w:noProof/>
                <w:webHidden/>
              </w:rPr>
            </w:r>
            <w:r w:rsidR="00CC6245">
              <w:rPr>
                <w:noProof/>
                <w:webHidden/>
              </w:rPr>
              <w:fldChar w:fldCharType="separate"/>
            </w:r>
            <w:r w:rsidR="00CC6245">
              <w:rPr>
                <w:noProof/>
                <w:webHidden/>
              </w:rPr>
              <w:t>8</w:t>
            </w:r>
            <w:r w:rsidR="00CC6245">
              <w:rPr>
                <w:noProof/>
                <w:webHidden/>
              </w:rPr>
              <w:fldChar w:fldCharType="end"/>
            </w:r>
          </w:hyperlink>
        </w:p>
        <w:p w14:paraId="4664D8E8" w14:textId="7B68311C" w:rsidR="00CC6245" w:rsidRDefault="007E28EC">
          <w:pPr>
            <w:pStyle w:val="TOC2"/>
            <w:rPr>
              <w:rFonts w:asciiTheme="minorHAnsi" w:eastAsiaTheme="minorEastAsia" w:hAnsiTheme="minorHAnsi" w:cstheme="minorBidi"/>
              <w:noProof/>
              <w:sz w:val="22"/>
              <w:szCs w:val="22"/>
            </w:rPr>
          </w:pPr>
          <w:hyperlink w:anchor="_Toc8284046" w:history="1">
            <w:r w:rsidR="00CC6245" w:rsidRPr="00BE2C36">
              <w:rPr>
                <w:rStyle w:val="Hyperlink"/>
                <w:noProof/>
              </w:rPr>
              <w:t>Facilitator Key Informant Interviews</w:t>
            </w:r>
            <w:r w:rsidR="00CC6245">
              <w:rPr>
                <w:noProof/>
                <w:webHidden/>
              </w:rPr>
              <w:tab/>
            </w:r>
            <w:r w:rsidR="00CC6245">
              <w:rPr>
                <w:noProof/>
                <w:webHidden/>
              </w:rPr>
              <w:fldChar w:fldCharType="begin"/>
            </w:r>
            <w:r w:rsidR="00CC6245">
              <w:rPr>
                <w:noProof/>
                <w:webHidden/>
              </w:rPr>
              <w:instrText xml:space="preserve"> PAGEREF _Toc8284046 \h </w:instrText>
            </w:r>
            <w:r w:rsidR="00CC6245">
              <w:rPr>
                <w:noProof/>
                <w:webHidden/>
              </w:rPr>
            </w:r>
            <w:r w:rsidR="00CC6245">
              <w:rPr>
                <w:noProof/>
                <w:webHidden/>
              </w:rPr>
              <w:fldChar w:fldCharType="separate"/>
            </w:r>
            <w:r w:rsidR="00CC6245">
              <w:rPr>
                <w:noProof/>
                <w:webHidden/>
              </w:rPr>
              <w:t>9</w:t>
            </w:r>
            <w:r w:rsidR="00CC6245">
              <w:rPr>
                <w:noProof/>
                <w:webHidden/>
              </w:rPr>
              <w:fldChar w:fldCharType="end"/>
            </w:r>
          </w:hyperlink>
        </w:p>
        <w:p w14:paraId="25E223C2" w14:textId="1D504F2A" w:rsidR="00CC6245" w:rsidRDefault="007E28EC">
          <w:pPr>
            <w:pStyle w:val="TOC2"/>
            <w:rPr>
              <w:rFonts w:asciiTheme="minorHAnsi" w:eastAsiaTheme="minorEastAsia" w:hAnsiTheme="minorHAnsi" w:cstheme="minorBidi"/>
              <w:noProof/>
              <w:sz w:val="22"/>
              <w:szCs w:val="22"/>
            </w:rPr>
          </w:pPr>
          <w:hyperlink w:anchor="_Toc8284047" w:history="1">
            <w:r w:rsidR="00CC6245" w:rsidRPr="00BE2C36">
              <w:rPr>
                <w:rStyle w:val="Hyperlink"/>
                <w:noProof/>
              </w:rPr>
              <w:t>School Representative Key Informant Interview</w:t>
            </w:r>
            <w:r w:rsidR="00CC6245">
              <w:rPr>
                <w:noProof/>
                <w:webHidden/>
              </w:rPr>
              <w:tab/>
            </w:r>
            <w:r w:rsidR="00CC6245">
              <w:rPr>
                <w:noProof/>
                <w:webHidden/>
              </w:rPr>
              <w:fldChar w:fldCharType="begin"/>
            </w:r>
            <w:r w:rsidR="00CC6245">
              <w:rPr>
                <w:noProof/>
                <w:webHidden/>
              </w:rPr>
              <w:instrText xml:space="preserve"> PAGEREF _Toc8284047 \h </w:instrText>
            </w:r>
            <w:r w:rsidR="00CC6245">
              <w:rPr>
                <w:noProof/>
                <w:webHidden/>
              </w:rPr>
            </w:r>
            <w:r w:rsidR="00CC6245">
              <w:rPr>
                <w:noProof/>
                <w:webHidden/>
              </w:rPr>
              <w:fldChar w:fldCharType="separate"/>
            </w:r>
            <w:r w:rsidR="00CC6245">
              <w:rPr>
                <w:noProof/>
                <w:webHidden/>
              </w:rPr>
              <w:t>9</w:t>
            </w:r>
            <w:r w:rsidR="00CC6245">
              <w:rPr>
                <w:noProof/>
                <w:webHidden/>
              </w:rPr>
              <w:fldChar w:fldCharType="end"/>
            </w:r>
          </w:hyperlink>
        </w:p>
        <w:p w14:paraId="6F829D65" w14:textId="5E9FF9FA" w:rsidR="00CC6245" w:rsidRDefault="007E28EC">
          <w:pPr>
            <w:pStyle w:val="TOC2"/>
            <w:rPr>
              <w:rFonts w:asciiTheme="minorHAnsi" w:eastAsiaTheme="minorEastAsia" w:hAnsiTheme="minorHAnsi" w:cstheme="minorBidi"/>
              <w:noProof/>
              <w:sz w:val="22"/>
              <w:szCs w:val="22"/>
            </w:rPr>
          </w:pPr>
          <w:hyperlink w:anchor="_Toc8284048" w:history="1">
            <w:r w:rsidR="00CC6245" w:rsidRPr="00BE2C36">
              <w:rPr>
                <w:rStyle w:val="Hyperlink"/>
                <w:noProof/>
              </w:rPr>
              <w:t>Facilitator Session Log</w:t>
            </w:r>
            <w:r w:rsidR="00CC6245">
              <w:rPr>
                <w:noProof/>
                <w:webHidden/>
              </w:rPr>
              <w:tab/>
            </w:r>
            <w:r w:rsidR="00CC6245">
              <w:rPr>
                <w:noProof/>
                <w:webHidden/>
              </w:rPr>
              <w:fldChar w:fldCharType="begin"/>
            </w:r>
            <w:r w:rsidR="00CC6245">
              <w:rPr>
                <w:noProof/>
                <w:webHidden/>
              </w:rPr>
              <w:instrText xml:space="preserve"> PAGEREF _Toc8284048 \h </w:instrText>
            </w:r>
            <w:r w:rsidR="00CC6245">
              <w:rPr>
                <w:noProof/>
                <w:webHidden/>
              </w:rPr>
            </w:r>
            <w:r w:rsidR="00CC6245">
              <w:rPr>
                <w:noProof/>
                <w:webHidden/>
              </w:rPr>
              <w:fldChar w:fldCharType="separate"/>
            </w:r>
            <w:r w:rsidR="00CC6245">
              <w:rPr>
                <w:noProof/>
                <w:webHidden/>
              </w:rPr>
              <w:t>9</w:t>
            </w:r>
            <w:r w:rsidR="00CC6245">
              <w:rPr>
                <w:noProof/>
                <w:webHidden/>
              </w:rPr>
              <w:fldChar w:fldCharType="end"/>
            </w:r>
          </w:hyperlink>
        </w:p>
        <w:p w14:paraId="00DD1652" w14:textId="797C947C" w:rsidR="00CC6245" w:rsidRDefault="007E28EC">
          <w:pPr>
            <w:pStyle w:val="TOC2"/>
            <w:rPr>
              <w:rFonts w:asciiTheme="minorHAnsi" w:eastAsiaTheme="minorEastAsia" w:hAnsiTheme="minorHAnsi" w:cstheme="minorBidi"/>
              <w:noProof/>
              <w:sz w:val="22"/>
              <w:szCs w:val="22"/>
            </w:rPr>
          </w:pPr>
          <w:hyperlink w:anchor="_Toc8284049" w:history="1">
            <w:r w:rsidR="00CC6245" w:rsidRPr="00BE2C36">
              <w:rPr>
                <w:rStyle w:val="Hyperlink"/>
                <w:noProof/>
              </w:rPr>
              <w:t>Attendance Forms</w:t>
            </w:r>
            <w:r w:rsidR="00CC6245">
              <w:rPr>
                <w:noProof/>
                <w:webHidden/>
              </w:rPr>
              <w:tab/>
            </w:r>
            <w:r w:rsidR="00CC6245">
              <w:rPr>
                <w:noProof/>
                <w:webHidden/>
              </w:rPr>
              <w:fldChar w:fldCharType="begin"/>
            </w:r>
            <w:r w:rsidR="00CC6245">
              <w:rPr>
                <w:noProof/>
                <w:webHidden/>
              </w:rPr>
              <w:instrText xml:space="preserve"> PAGEREF _Toc8284049 \h </w:instrText>
            </w:r>
            <w:r w:rsidR="00CC6245">
              <w:rPr>
                <w:noProof/>
                <w:webHidden/>
              </w:rPr>
            </w:r>
            <w:r w:rsidR="00CC6245">
              <w:rPr>
                <w:noProof/>
                <w:webHidden/>
              </w:rPr>
              <w:fldChar w:fldCharType="separate"/>
            </w:r>
            <w:r w:rsidR="00CC6245">
              <w:rPr>
                <w:noProof/>
                <w:webHidden/>
              </w:rPr>
              <w:t>9</w:t>
            </w:r>
            <w:r w:rsidR="00CC6245">
              <w:rPr>
                <w:noProof/>
                <w:webHidden/>
              </w:rPr>
              <w:fldChar w:fldCharType="end"/>
            </w:r>
          </w:hyperlink>
        </w:p>
        <w:p w14:paraId="3CADE72F" w14:textId="22ECAB20" w:rsidR="00CC6245" w:rsidRDefault="007E28EC">
          <w:pPr>
            <w:pStyle w:val="TOC2"/>
            <w:rPr>
              <w:rFonts w:asciiTheme="minorHAnsi" w:eastAsiaTheme="minorEastAsia" w:hAnsiTheme="minorHAnsi" w:cstheme="minorBidi"/>
              <w:noProof/>
              <w:sz w:val="22"/>
              <w:szCs w:val="22"/>
            </w:rPr>
          </w:pPr>
          <w:hyperlink w:anchor="_Toc8284050" w:history="1">
            <w:r w:rsidR="00CC6245" w:rsidRPr="00BE2C36">
              <w:rPr>
                <w:rStyle w:val="Hyperlink"/>
                <w:noProof/>
              </w:rPr>
              <w:t>B3.</w:t>
            </w:r>
            <w:r w:rsidR="00CC6245">
              <w:rPr>
                <w:rFonts w:asciiTheme="minorHAnsi" w:eastAsiaTheme="minorEastAsia" w:hAnsiTheme="minorHAnsi" w:cstheme="minorBidi"/>
                <w:noProof/>
                <w:sz w:val="22"/>
                <w:szCs w:val="22"/>
              </w:rPr>
              <w:tab/>
            </w:r>
            <w:r w:rsidR="00CC6245" w:rsidRPr="00BE2C36">
              <w:rPr>
                <w:rStyle w:val="Hyperlink"/>
                <w:noProof/>
              </w:rPr>
              <w:t>Methods to Maximize Response Rates and Address Nonresponse</w:t>
            </w:r>
            <w:r w:rsidR="00CC6245">
              <w:rPr>
                <w:noProof/>
                <w:webHidden/>
              </w:rPr>
              <w:tab/>
            </w:r>
            <w:r w:rsidR="00CC6245">
              <w:rPr>
                <w:noProof/>
                <w:webHidden/>
              </w:rPr>
              <w:fldChar w:fldCharType="begin"/>
            </w:r>
            <w:r w:rsidR="00CC6245">
              <w:rPr>
                <w:noProof/>
                <w:webHidden/>
              </w:rPr>
              <w:instrText xml:space="preserve"> PAGEREF _Toc8284050 \h </w:instrText>
            </w:r>
            <w:r w:rsidR="00CC6245">
              <w:rPr>
                <w:noProof/>
                <w:webHidden/>
              </w:rPr>
            </w:r>
            <w:r w:rsidR="00CC6245">
              <w:rPr>
                <w:noProof/>
                <w:webHidden/>
              </w:rPr>
              <w:fldChar w:fldCharType="separate"/>
            </w:r>
            <w:r w:rsidR="00CC6245">
              <w:rPr>
                <w:noProof/>
                <w:webHidden/>
              </w:rPr>
              <w:t>9</w:t>
            </w:r>
            <w:r w:rsidR="00CC6245">
              <w:rPr>
                <w:noProof/>
                <w:webHidden/>
              </w:rPr>
              <w:fldChar w:fldCharType="end"/>
            </w:r>
          </w:hyperlink>
        </w:p>
        <w:p w14:paraId="768AD408" w14:textId="21B80E68" w:rsidR="00CC6245" w:rsidRDefault="007E28EC">
          <w:pPr>
            <w:pStyle w:val="TOC2"/>
            <w:rPr>
              <w:rFonts w:asciiTheme="minorHAnsi" w:eastAsiaTheme="minorEastAsia" w:hAnsiTheme="minorHAnsi" w:cstheme="minorBidi"/>
              <w:noProof/>
              <w:sz w:val="22"/>
              <w:szCs w:val="22"/>
            </w:rPr>
          </w:pPr>
          <w:hyperlink w:anchor="_Toc8284051" w:history="1">
            <w:r w:rsidR="00CC6245" w:rsidRPr="00BE2C36">
              <w:rPr>
                <w:rStyle w:val="Hyperlink"/>
                <w:noProof/>
              </w:rPr>
              <w:t>Parental Consent and Youth Assent Process</w:t>
            </w:r>
            <w:r w:rsidR="00CC6245">
              <w:rPr>
                <w:noProof/>
                <w:webHidden/>
              </w:rPr>
              <w:tab/>
            </w:r>
            <w:r w:rsidR="00CC6245">
              <w:rPr>
                <w:noProof/>
                <w:webHidden/>
              </w:rPr>
              <w:fldChar w:fldCharType="begin"/>
            </w:r>
            <w:r w:rsidR="00CC6245">
              <w:rPr>
                <w:noProof/>
                <w:webHidden/>
              </w:rPr>
              <w:instrText xml:space="preserve"> PAGEREF _Toc8284051 \h </w:instrText>
            </w:r>
            <w:r w:rsidR="00CC6245">
              <w:rPr>
                <w:noProof/>
                <w:webHidden/>
              </w:rPr>
            </w:r>
            <w:r w:rsidR="00CC6245">
              <w:rPr>
                <w:noProof/>
                <w:webHidden/>
              </w:rPr>
              <w:fldChar w:fldCharType="separate"/>
            </w:r>
            <w:r w:rsidR="00CC6245">
              <w:rPr>
                <w:noProof/>
                <w:webHidden/>
              </w:rPr>
              <w:t>10</w:t>
            </w:r>
            <w:r w:rsidR="00CC6245">
              <w:rPr>
                <w:noProof/>
                <w:webHidden/>
              </w:rPr>
              <w:fldChar w:fldCharType="end"/>
            </w:r>
          </w:hyperlink>
        </w:p>
        <w:p w14:paraId="46F53A08" w14:textId="0078A716" w:rsidR="00CC6245" w:rsidRDefault="007E28EC">
          <w:pPr>
            <w:pStyle w:val="TOC2"/>
            <w:rPr>
              <w:rFonts w:asciiTheme="minorHAnsi" w:eastAsiaTheme="minorEastAsia" w:hAnsiTheme="minorHAnsi" w:cstheme="minorBidi"/>
              <w:noProof/>
              <w:sz w:val="22"/>
              <w:szCs w:val="22"/>
            </w:rPr>
          </w:pPr>
          <w:hyperlink w:anchor="_Toc8284052" w:history="1">
            <w:r w:rsidR="00CC6245" w:rsidRPr="00BE2C36">
              <w:rPr>
                <w:rStyle w:val="Hyperlink"/>
                <w:noProof/>
              </w:rPr>
              <w:t>Methods to Deal With Nonresponse</w:t>
            </w:r>
            <w:r w:rsidR="00CC6245">
              <w:rPr>
                <w:noProof/>
                <w:webHidden/>
              </w:rPr>
              <w:tab/>
            </w:r>
            <w:r w:rsidR="00CC6245">
              <w:rPr>
                <w:noProof/>
                <w:webHidden/>
              </w:rPr>
              <w:fldChar w:fldCharType="begin"/>
            </w:r>
            <w:r w:rsidR="00CC6245">
              <w:rPr>
                <w:noProof/>
                <w:webHidden/>
              </w:rPr>
              <w:instrText xml:space="preserve"> PAGEREF _Toc8284052 \h </w:instrText>
            </w:r>
            <w:r w:rsidR="00CC6245">
              <w:rPr>
                <w:noProof/>
                <w:webHidden/>
              </w:rPr>
            </w:r>
            <w:r w:rsidR="00CC6245">
              <w:rPr>
                <w:noProof/>
                <w:webHidden/>
              </w:rPr>
              <w:fldChar w:fldCharType="separate"/>
            </w:r>
            <w:r w:rsidR="00CC6245">
              <w:rPr>
                <w:noProof/>
                <w:webHidden/>
              </w:rPr>
              <w:t>11</w:t>
            </w:r>
            <w:r w:rsidR="00CC6245">
              <w:rPr>
                <w:noProof/>
                <w:webHidden/>
              </w:rPr>
              <w:fldChar w:fldCharType="end"/>
            </w:r>
          </w:hyperlink>
        </w:p>
        <w:p w14:paraId="48C019F3" w14:textId="45AB5E92" w:rsidR="00CC6245" w:rsidRDefault="007E28EC">
          <w:pPr>
            <w:pStyle w:val="TOC2"/>
            <w:rPr>
              <w:rFonts w:asciiTheme="minorHAnsi" w:eastAsiaTheme="minorEastAsia" w:hAnsiTheme="minorHAnsi" w:cstheme="minorBidi"/>
              <w:noProof/>
              <w:sz w:val="22"/>
              <w:szCs w:val="22"/>
            </w:rPr>
          </w:pPr>
          <w:hyperlink w:anchor="_Toc8284053" w:history="1">
            <w:r w:rsidR="00CC6245" w:rsidRPr="00BE2C36">
              <w:rPr>
                <w:rStyle w:val="Hyperlink"/>
                <w:noProof/>
              </w:rPr>
              <w:t>B4.</w:t>
            </w:r>
            <w:r w:rsidR="00CC6245">
              <w:rPr>
                <w:rFonts w:asciiTheme="minorHAnsi" w:eastAsiaTheme="minorEastAsia" w:hAnsiTheme="minorHAnsi" w:cstheme="minorBidi"/>
                <w:noProof/>
                <w:sz w:val="22"/>
                <w:szCs w:val="22"/>
              </w:rPr>
              <w:tab/>
            </w:r>
            <w:r w:rsidR="00CC6245" w:rsidRPr="00BE2C36">
              <w:rPr>
                <w:rStyle w:val="Hyperlink"/>
                <w:noProof/>
              </w:rPr>
              <w:t>Tests of Procedures or Methods to Be Undertaken</w:t>
            </w:r>
            <w:r w:rsidR="00CC6245">
              <w:rPr>
                <w:noProof/>
                <w:webHidden/>
              </w:rPr>
              <w:tab/>
            </w:r>
            <w:r w:rsidR="00CC6245">
              <w:rPr>
                <w:noProof/>
                <w:webHidden/>
              </w:rPr>
              <w:fldChar w:fldCharType="begin"/>
            </w:r>
            <w:r w:rsidR="00CC6245">
              <w:rPr>
                <w:noProof/>
                <w:webHidden/>
              </w:rPr>
              <w:instrText xml:space="preserve"> PAGEREF _Toc8284053 \h </w:instrText>
            </w:r>
            <w:r w:rsidR="00CC6245">
              <w:rPr>
                <w:noProof/>
                <w:webHidden/>
              </w:rPr>
            </w:r>
            <w:r w:rsidR="00CC6245">
              <w:rPr>
                <w:noProof/>
                <w:webHidden/>
              </w:rPr>
              <w:fldChar w:fldCharType="separate"/>
            </w:r>
            <w:r w:rsidR="00CC6245">
              <w:rPr>
                <w:noProof/>
                <w:webHidden/>
              </w:rPr>
              <w:t>12</w:t>
            </w:r>
            <w:r w:rsidR="00CC6245">
              <w:rPr>
                <w:noProof/>
                <w:webHidden/>
              </w:rPr>
              <w:fldChar w:fldCharType="end"/>
            </w:r>
          </w:hyperlink>
        </w:p>
        <w:p w14:paraId="0CB05F57" w14:textId="0B9771EF" w:rsidR="00CC6245" w:rsidRDefault="007E28EC">
          <w:pPr>
            <w:pStyle w:val="TOC2"/>
            <w:rPr>
              <w:rFonts w:asciiTheme="minorHAnsi" w:eastAsiaTheme="minorEastAsia" w:hAnsiTheme="minorHAnsi" w:cstheme="minorBidi"/>
              <w:noProof/>
              <w:sz w:val="22"/>
              <w:szCs w:val="22"/>
            </w:rPr>
          </w:pPr>
          <w:hyperlink w:anchor="_Toc8284054" w:history="1">
            <w:r w:rsidR="00CC6245" w:rsidRPr="00BE2C36">
              <w:rPr>
                <w:rStyle w:val="Hyperlink"/>
                <w:noProof/>
              </w:rPr>
              <w:t>B5.</w:t>
            </w:r>
            <w:r w:rsidR="00CC6245">
              <w:rPr>
                <w:rFonts w:asciiTheme="minorHAnsi" w:eastAsiaTheme="minorEastAsia" w:hAnsiTheme="minorHAnsi" w:cstheme="minorBidi"/>
                <w:noProof/>
                <w:sz w:val="22"/>
                <w:szCs w:val="22"/>
              </w:rPr>
              <w:tab/>
            </w:r>
            <w:r w:rsidR="00CC6245" w:rsidRPr="00BE2C36">
              <w:rPr>
                <w:rStyle w:val="Hyperlink"/>
                <w:noProof/>
              </w:rPr>
              <w:t>Individuals Consulted on Statistical Aspects and Individuals Collecting and/or Analyzing Data</w:t>
            </w:r>
            <w:r w:rsidR="00CC6245">
              <w:rPr>
                <w:noProof/>
                <w:webHidden/>
              </w:rPr>
              <w:tab/>
            </w:r>
            <w:r w:rsidR="00CC6245">
              <w:rPr>
                <w:noProof/>
                <w:webHidden/>
              </w:rPr>
              <w:fldChar w:fldCharType="begin"/>
            </w:r>
            <w:r w:rsidR="00CC6245">
              <w:rPr>
                <w:noProof/>
                <w:webHidden/>
              </w:rPr>
              <w:instrText xml:space="preserve"> PAGEREF _Toc8284054 \h </w:instrText>
            </w:r>
            <w:r w:rsidR="00CC6245">
              <w:rPr>
                <w:noProof/>
                <w:webHidden/>
              </w:rPr>
            </w:r>
            <w:r w:rsidR="00CC6245">
              <w:rPr>
                <w:noProof/>
                <w:webHidden/>
              </w:rPr>
              <w:fldChar w:fldCharType="separate"/>
            </w:r>
            <w:r w:rsidR="00CC6245">
              <w:rPr>
                <w:noProof/>
                <w:webHidden/>
              </w:rPr>
              <w:t>14</w:t>
            </w:r>
            <w:r w:rsidR="00CC6245">
              <w:rPr>
                <w:noProof/>
                <w:webHidden/>
              </w:rPr>
              <w:fldChar w:fldCharType="end"/>
            </w:r>
          </w:hyperlink>
        </w:p>
        <w:p w14:paraId="65463AD6" w14:textId="682B8517" w:rsidR="00CC6245" w:rsidRDefault="007E28EC">
          <w:pPr>
            <w:pStyle w:val="TOC1"/>
            <w:tabs>
              <w:tab w:val="right" w:leader="dot" w:pos="9350"/>
            </w:tabs>
            <w:rPr>
              <w:rFonts w:asciiTheme="minorHAnsi" w:hAnsiTheme="minorHAnsi" w:cstheme="minorBidi"/>
              <w:noProof/>
              <w:sz w:val="22"/>
            </w:rPr>
          </w:pPr>
          <w:hyperlink w:anchor="_Toc8284055" w:history="1">
            <w:r w:rsidR="00CC6245" w:rsidRPr="00BE2C36">
              <w:rPr>
                <w:rStyle w:val="Hyperlink"/>
                <w:noProof/>
              </w:rPr>
              <w:t>References</w:t>
            </w:r>
            <w:r w:rsidR="00CC6245">
              <w:rPr>
                <w:noProof/>
                <w:webHidden/>
              </w:rPr>
              <w:tab/>
            </w:r>
            <w:r w:rsidR="00CC6245">
              <w:rPr>
                <w:noProof/>
                <w:webHidden/>
              </w:rPr>
              <w:fldChar w:fldCharType="begin"/>
            </w:r>
            <w:r w:rsidR="00CC6245">
              <w:rPr>
                <w:noProof/>
                <w:webHidden/>
              </w:rPr>
              <w:instrText xml:space="preserve"> PAGEREF _Toc8284055 \h </w:instrText>
            </w:r>
            <w:r w:rsidR="00CC6245">
              <w:rPr>
                <w:noProof/>
                <w:webHidden/>
              </w:rPr>
            </w:r>
            <w:r w:rsidR="00CC6245">
              <w:rPr>
                <w:noProof/>
                <w:webHidden/>
              </w:rPr>
              <w:fldChar w:fldCharType="separate"/>
            </w:r>
            <w:r w:rsidR="00CC6245">
              <w:rPr>
                <w:noProof/>
                <w:webHidden/>
              </w:rPr>
              <w:t>16</w:t>
            </w:r>
            <w:r w:rsidR="00CC6245">
              <w:rPr>
                <w:noProof/>
                <w:webHidden/>
              </w:rPr>
              <w:fldChar w:fldCharType="end"/>
            </w:r>
          </w:hyperlink>
        </w:p>
        <w:p w14:paraId="69552343" w14:textId="10CFEDFF" w:rsidR="00560FCE" w:rsidRPr="0081411B" w:rsidRDefault="008F2953" w:rsidP="00560FCE">
          <w:pPr>
            <w:rPr>
              <w:b/>
            </w:rPr>
          </w:pPr>
          <w:r w:rsidRPr="0081411B">
            <w:rPr>
              <w:rFonts w:eastAsiaTheme="minorEastAsia"/>
            </w:rPr>
            <w:fldChar w:fldCharType="end"/>
          </w:r>
        </w:p>
      </w:sdtContent>
    </w:sdt>
    <w:p w14:paraId="0247B97A" w14:textId="77777777" w:rsidR="00560FCE" w:rsidRPr="009E2A3C" w:rsidRDefault="00560FCE"/>
    <w:p w14:paraId="785E6C35" w14:textId="74F39772" w:rsidR="00D4449D" w:rsidRPr="00FE70F8" w:rsidRDefault="00D4449D" w:rsidP="00D4449D">
      <w:pPr>
        <w:widowControl/>
        <w:autoSpaceDE/>
        <w:autoSpaceDN/>
        <w:adjustRightInd/>
        <w:jc w:val="center"/>
        <w:rPr>
          <w:b/>
          <w:bCs/>
        </w:rPr>
      </w:pPr>
      <w:r w:rsidRPr="009E2A3C">
        <w:rPr>
          <w:b/>
          <w:bCs/>
        </w:rPr>
        <w:br/>
      </w:r>
    </w:p>
    <w:p w14:paraId="29223740" w14:textId="77777777" w:rsidR="008F2D82" w:rsidRDefault="008F2D82" w:rsidP="008F2D82">
      <w:pPr>
        <w:pStyle w:val="OMBheading-1"/>
      </w:pPr>
      <w:bookmarkStart w:id="1" w:name="_Toc521514996"/>
      <w:bookmarkStart w:id="2" w:name="_Toc523154565"/>
    </w:p>
    <w:p w14:paraId="5AD229ED" w14:textId="77777777" w:rsidR="008F2D82" w:rsidRDefault="008F2D82">
      <w:pPr>
        <w:widowControl/>
        <w:autoSpaceDE/>
        <w:autoSpaceDN/>
        <w:adjustRightInd/>
        <w:spacing w:after="160" w:line="259" w:lineRule="auto"/>
        <w:rPr>
          <w:b/>
          <w:sz w:val="28"/>
          <w:szCs w:val="28"/>
        </w:rPr>
      </w:pPr>
      <w:r>
        <w:br w:type="page"/>
      </w:r>
    </w:p>
    <w:p w14:paraId="390E4F42" w14:textId="7E8CB86C" w:rsidR="00560FCE" w:rsidRPr="009D1B91" w:rsidRDefault="00560FCE" w:rsidP="00560FCE">
      <w:pPr>
        <w:pStyle w:val="OMBheading-1"/>
      </w:pPr>
      <w:bookmarkStart w:id="3" w:name="_Toc7075937"/>
      <w:bookmarkStart w:id="4" w:name="_Toc523339229"/>
      <w:bookmarkStart w:id="5" w:name="_Toc8284037"/>
      <w:bookmarkStart w:id="6" w:name="_Hlk523338961"/>
      <w:bookmarkEnd w:id="1"/>
      <w:bookmarkEnd w:id="2"/>
      <w:r w:rsidRPr="009D1B91">
        <w:lastRenderedPageBreak/>
        <w:t>Exhibits</w:t>
      </w:r>
      <w:bookmarkEnd w:id="3"/>
      <w:bookmarkEnd w:id="4"/>
      <w:bookmarkEnd w:id="5"/>
    </w:p>
    <w:bookmarkEnd w:id="6"/>
    <w:p w14:paraId="504C9208" w14:textId="7DFEBAA7" w:rsidR="00CC6245" w:rsidRDefault="00560FCE">
      <w:pPr>
        <w:pStyle w:val="TableofFigures"/>
        <w:tabs>
          <w:tab w:val="right" w:leader="dot" w:pos="9350"/>
        </w:tabs>
        <w:rPr>
          <w:rFonts w:asciiTheme="minorHAnsi" w:eastAsiaTheme="minorEastAsia" w:hAnsiTheme="minorHAnsi" w:cstheme="minorBidi"/>
          <w:noProof/>
          <w:sz w:val="22"/>
          <w:szCs w:val="22"/>
        </w:rPr>
      </w:pPr>
      <w:r w:rsidRPr="009D1B91">
        <w:rPr>
          <w:rFonts w:eastAsiaTheme="minorEastAsia"/>
        </w:rPr>
        <w:fldChar w:fldCharType="begin"/>
      </w:r>
      <w:r w:rsidRPr="009D1B91">
        <w:rPr>
          <w:rFonts w:eastAsiaTheme="minorEastAsia"/>
        </w:rPr>
        <w:instrText xml:space="preserve"> TOC \h \z \t "OMB Exhibit Title" \c </w:instrText>
      </w:r>
      <w:r w:rsidRPr="009D1B91">
        <w:rPr>
          <w:rFonts w:eastAsiaTheme="minorEastAsia"/>
        </w:rPr>
        <w:fldChar w:fldCharType="separate"/>
      </w:r>
      <w:hyperlink w:anchor="_Toc8284056" w:history="1">
        <w:r w:rsidR="00CC6245" w:rsidRPr="00572FC6">
          <w:rPr>
            <w:rStyle w:val="Hyperlink"/>
            <w:noProof/>
          </w:rPr>
          <w:t>Exhibit 1. Numbers of Respondents</w:t>
        </w:r>
        <w:r w:rsidR="00CC6245">
          <w:rPr>
            <w:noProof/>
            <w:webHidden/>
          </w:rPr>
          <w:tab/>
        </w:r>
        <w:r w:rsidR="00CC6245">
          <w:rPr>
            <w:noProof/>
            <w:webHidden/>
          </w:rPr>
          <w:fldChar w:fldCharType="begin"/>
        </w:r>
        <w:r w:rsidR="00CC6245">
          <w:rPr>
            <w:noProof/>
            <w:webHidden/>
          </w:rPr>
          <w:instrText xml:space="preserve"> PAGEREF _Toc8284056 \h </w:instrText>
        </w:r>
        <w:r w:rsidR="00CC6245">
          <w:rPr>
            <w:noProof/>
            <w:webHidden/>
          </w:rPr>
        </w:r>
        <w:r w:rsidR="00CC6245">
          <w:rPr>
            <w:noProof/>
            <w:webHidden/>
          </w:rPr>
          <w:fldChar w:fldCharType="separate"/>
        </w:r>
        <w:r w:rsidR="00CC6245">
          <w:rPr>
            <w:noProof/>
            <w:webHidden/>
          </w:rPr>
          <w:t>3</w:t>
        </w:r>
        <w:r w:rsidR="00CC6245">
          <w:rPr>
            <w:noProof/>
            <w:webHidden/>
          </w:rPr>
          <w:fldChar w:fldCharType="end"/>
        </w:r>
      </w:hyperlink>
    </w:p>
    <w:p w14:paraId="248B0F68" w14:textId="1A3DA35A" w:rsidR="00CC6245" w:rsidRDefault="007E28EC">
      <w:pPr>
        <w:pStyle w:val="TableofFigures"/>
        <w:tabs>
          <w:tab w:val="right" w:leader="dot" w:pos="9350"/>
        </w:tabs>
        <w:rPr>
          <w:rFonts w:asciiTheme="minorHAnsi" w:eastAsiaTheme="minorEastAsia" w:hAnsiTheme="minorHAnsi" w:cstheme="minorBidi"/>
          <w:noProof/>
          <w:sz w:val="22"/>
          <w:szCs w:val="22"/>
        </w:rPr>
      </w:pPr>
      <w:hyperlink w:anchor="_Toc8284057" w:history="1">
        <w:r w:rsidR="00CC6245" w:rsidRPr="00572FC6">
          <w:rPr>
            <w:rStyle w:val="Hyperlink"/>
            <w:noProof/>
          </w:rPr>
          <w:t>Exhibit 2: Estimated Sample Sizes and Minimal Detectable Effect Sizes for Each of the IOs</w:t>
        </w:r>
        <w:r w:rsidR="00CC6245">
          <w:rPr>
            <w:noProof/>
            <w:webHidden/>
          </w:rPr>
          <w:tab/>
        </w:r>
        <w:r w:rsidR="00CC6245">
          <w:rPr>
            <w:noProof/>
            <w:webHidden/>
          </w:rPr>
          <w:fldChar w:fldCharType="begin"/>
        </w:r>
        <w:r w:rsidR="00CC6245">
          <w:rPr>
            <w:noProof/>
            <w:webHidden/>
          </w:rPr>
          <w:instrText xml:space="preserve"> PAGEREF _Toc8284057 \h </w:instrText>
        </w:r>
        <w:r w:rsidR="00CC6245">
          <w:rPr>
            <w:noProof/>
            <w:webHidden/>
          </w:rPr>
        </w:r>
        <w:r w:rsidR="00CC6245">
          <w:rPr>
            <w:noProof/>
            <w:webHidden/>
          </w:rPr>
          <w:fldChar w:fldCharType="separate"/>
        </w:r>
        <w:r w:rsidR="00CC6245">
          <w:rPr>
            <w:noProof/>
            <w:webHidden/>
          </w:rPr>
          <w:t>5</w:t>
        </w:r>
        <w:r w:rsidR="00CC6245">
          <w:rPr>
            <w:noProof/>
            <w:webHidden/>
          </w:rPr>
          <w:fldChar w:fldCharType="end"/>
        </w:r>
      </w:hyperlink>
    </w:p>
    <w:p w14:paraId="05DABBBD" w14:textId="62EC10FF" w:rsidR="00CC6245" w:rsidRDefault="007E28EC">
      <w:pPr>
        <w:pStyle w:val="TableofFigures"/>
        <w:tabs>
          <w:tab w:val="right" w:leader="dot" w:pos="9350"/>
        </w:tabs>
        <w:rPr>
          <w:rFonts w:asciiTheme="minorHAnsi" w:eastAsiaTheme="minorEastAsia" w:hAnsiTheme="minorHAnsi" w:cstheme="minorBidi"/>
          <w:noProof/>
          <w:sz w:val="22"/>
          <w:szCs w:val="22"/>
        </w:rPr>
      </w:pPr>
      <w:hyperlink w:anchor="_Toc8284058" w:history="1">
        <w:r w:rsidR="00CC6245" w:rsidRPr="00572FC6">
          <w:rPr>
            <w:rStyle w:val="Hyperlink"/>
            <w:noProof/>
          </w:rPr>
          <w:t>Exhibit 3. Demographic Information on Schools Included in Study</w:t>
        </w:r>
        <w:r w:rsidR="00CC6245">
          <w:rPr>
            <w:noProof/>
            <w:webHidden/>
          </w:rPr>
          <w:tab/>
        </w:r>
        <w:r w:rsidR="00CC6245">
          <w:rPr>
            <w:noProof/>
            <w:webHidden/>
          </w:rPr>
          <w:fldChar w:fldCharType="begin"/>
        </w:r>
        <w:r w:rsidR="00CC6245">
          <w:rPr>
            <w:noProof/>
            <w:webHidden/>
          </w:rPr>
          <w:instrText xml:space="preserve"> PAGEREF _Toc8284058 \h </w:instrText>
        </w:r>
        <w:r w:rsidR="00CC6245">
          <w:rPr>
            <w:noProof/>
            <w:webHidden/>
          </w:rPr>
        </w:r>
        <w:r w:rsidR="00CC6245">
          <w:rPr>
            <w:noProof/>
            <w:webHidden/>
          </w:rPr>
          <w:fldChar w:fldCharType="separate"/>
        </w:r>
        <w:r w:rsidR="00CC6245">
          <w:rPr>
            <w:noProof/>
            <w:webHidden/>
          </w:rPr>
          <w:t>6</w:t>
        </w:r>
        <w:r w:rsidR="00CC6245">
          <w:rPr>
            <w:noProof/>
            <w:webHidden/>
          </w:rPr>
          <w:fldChar w:fldCharType="end"/>
        </w:r>
      </w:hyperlink>
    </w:p>
    <w:p w14:paraId="3360E28E" w14:textId="563685E8" w:rsidR="00CC6245" w:rsidRDefault="007E28EC">
      <w:pPr>
        <w:pStyle w:val="TableofFigures"/>
        <w:tabs>
          <w:tab w:val="right" w:leader="dot" w:pos="9350"/>
        </w:tabs>
        <w:rPr>
          <w:rFonts w:asciiTheme="minorHAnsi" w:eastAsiaTheme="minorEastAsia" w:hAnsiTheme="minorHAnsi" w:cstheme="minorBidi"/>
          <w:noProof/>
          <w:sz w:val="22"/>
          <w:szCs w:val="22"/>
        </w:rPr>
      </w:pPr>
      <w:hyperlink w:anchor="_Toc8284059" w:history="1">
        <w:r w:rsidR="00CC6245" w:rsidRPr="00572FC6">
          <w:rPr>
            <w:rStyle w:val="Hyperlink"/>
            <w:noProof/>
          </w:rPr>
          <w:t>Exhibit 4. Individuals Consulted on Statistical Design</w:t>
        </w:r>
        <w:r w:rsidR="00CC6245">
          <w:rPr>
            <w:noProof/>
            <w:webHidden/>
          </w:rPr>
          <w:tab/>
        </w:r>
        <w:r w:rsidR="00CC6245">
          <w:rPr>
            <w:noProof/>
            <w:webHidden/>
          </w:rPr>
          <w:fldChar w:fldCharType="begin"/>
        </w:r>
        <w:r w:rsidR="00CC6245">
          <w:rPr>
            <w:noProof/>
            <w:webHidden/>
          </w:rPr>
          <w:instrText xml:space="preserve"> PAGEREF _Toc8284059 \h </w:instrText>
        </w:r>
        <w:r w:rsidR="00CC6245">
          <w:rPr>
            <w:noProof/>
            <w:webHidden/>
          </w:rPr>
        </w:r>
        <w:r w:rsidR="00CC6245">
          <w:rPr>
            <w:noProof/>
            <w:webHidden/>
          </w:rPr>
          <w:fldChar w:fldCharType="separate"/>
        </w:r>
        <w:r w:rsidR="00CC6245">
          <w:rPr>
            <w:noProof/>
            <w:webHidden/>
          </w:rPr>
          <w:t>14</w:t>
        </w:r>
        <w:r w:rsidR="00CC6245">
          <w:rPr>
            <w:noProof/>
            <w:webHidden/>
          </w:rPr>
          <w:fldChar w:fldCharType="end"/>
        </w:r>
      </w:hyperlink>
    </w:p>
    <w:p w14:paraId="26E03176" w14:textId="129E8B18" w:rsidR="00CC6245" w:rsidRDefault="007E28EC">
      <w:pPr>
        <w:pStyle w:val="TableofFigures"/>
        <w:tabs>
          <w:tab w:val="right" w:leader="dot" w:pos="9350"/>
        </w:tabs>
        <w:rPr>
          <w:rFonts w:asciiTheme="minorHAnsi" w:eastAsiaTheme="minorEastAsia" w:hAnsiTheme="minorHAnsi" w:cstheme="minorBidi"/>
          <w:noProof/>
          <w:sz w:val="22"/>
          <w:szCs w:val="22"/>
        </w:rPr>
      </w:pPr>
      <w:hyperlink w:anchor="_Toc8284060" w:history="1">
        <w:r w:rsidR="00CC6245" w:rsidRPr="00572FC6">
          <w:rPr>
            <w:rStyle w:val="Hyperlink"/>
            <w:noProof/>
          </w:rPr>
          <w:t>Exhibit 5. Individuals Responsible for Design, Data Collection, and Analysis</w:t>
        </w:r>
        <w:r w:rsidR="00CC6245">
          <w:rPr>
            <w:noProof/>
            <w:webHidden/>
          </w:rPr>
          <w:tab/>
        </w:r>
        <w:r w:rsidR="00CC6245">
          <w:rPr>
            <w:noProof/>
            <w:webHidden/>
          </w:rPr>
          <w:fldChar w:fldCharType="begin"/>
        </w:r>
        <w:r w:rsidR="00CC6245">
          <w:rPr>
            <w:noProof/>
            <w:webHidden/>
          </w:rPr>
          <w:instrText xml:space="preserve"> PAGEREF _Toc8284060 \h </w:instrText>
        </w:r>
        <w:r w:rsidR="00CC6245">
          <w:rPr>
            <w:noProof/>
            <w:webHidden/>
          </w:rPr>
        </w:r>
        <w:r w:rsidR="00CC6245">
          <w:rPr>
            <w:noProof/>
            <w:webHidden/>
          </w:rPr>
          <w:fldChar w:fldCharType="separate"/>
        </w:r>
        <w:r w:rsidR="00CC6245">
          <w:rPr>
            <w:noProof/>
            <w:webHidden/>
          </w:rPr>
          <w:t>15</w:t>
        </w:r>
        <w:r w:rsidR="00CC6245">
          <w:rPr>
            <w:noProof/>
            <w:webHidden/>
          </w:rPr>
          <w:fldChar w:fldCharType="end"/>
        </w:r>
      </w:hyperlink>
    </w:p>
    <w:p w14:paraId="4BA774A6" w14:textId="40DBEE2A" w:rsidR="009E2A3C" w:rsidRPr="009E2A3C" w:rsidRDefault="00560FCE" w:rsidP="00560FCE">
      <w:pPr>
        <w:pStyle w:val="OMBheading-1"/>
        <w:ind w:left="0" w:firstLine="0"/>
      </w:pPr>
      <w:r w:rsidRPr="009D1B91">
        <w:rPr>
          <w:rFonts w:eastAsiaTheme="minorEastAsia"/>
        </w:rPr>
        <w:fldChar w:fldCharType="end"/>
      </w:r>
    </w:p>
    <w:p w14:paraId="596A27D6" w14:textId="77777777" w:rsidR="00D4449D" w:rsidRPr="00FE70F8" w:rsidRDefault="00D4449D" w:rsidP="00D4449D">
      <w:pPr>
        <w:widowControl/>
        <w:autoSpaceDE/>
        <w:autoSpaceDN/>
        <w:adjustRightInd/>
        <w:rPr>
          <w:b/>
          <w:bCs/>
        </w:rPr>
      </w:pPr>
      <w:r w:rsidRPr="00FE70F8">
        <w:rPr>
          <w:b/>
          <w:bCs/>
        </w:rPr>
        <w:br w:type="page"/>
      </w:r>
    </w:p>
    <w:p w14:paraId="28FA3251" w14:textId="77777777" w:rsidR="006C08D8" w:rsidRDefault="006C08D8" w:rsidP="006C08D8">
      <w:pPr>
        <w:pStyle w:val="Header1"/>
        <w:sectPr w:rsidR="006C08D8" w:rsidSect="006C08D8">
          <w:footerReference w:type="default" r:id="rId14"/>
          <w:footerReference w:type="first" r:id="rId15"/>
          <w:pgSz w:w="12240" w:h="15840"/>
          <w:pgMar w:top="1440" w:right="1440" w:bottom="1440" w:left="1440" w:header="720" w:footer="720" w:gutter="0"/>
          <w:pgNumType w:fmt="lowerRoman" w:start="1"/>
          <w:cols w:space="720"/>
          <w:titlePg/>
          <w:docGrid w:linePitch="360"/>
        </w:sectPr>
      </w:pPr>
    </w:p>
    <w:p w14:paraId="029A5C58" w14:textId="71717749" w:rsidR="00D4449D" w:rsidRPr="00566333" w:rsidRDefault="00D4449D" w:rsidP="0081411B">
      <w:pPr>
        <w:pStyle w:val="Header1"/>
      </w:pPr>
      <w:bookmarkStart w:id="7" w:name="_Toc523339230"/>
      <w:bookmarkStart w:id="8" w:name="_Toc8284038"/>
      <w:r w:rsidRPr="00566333">
        <w:lastRenderedPageBreak/>
        <w:t>B</w:t>
      </w:r>
      <w:r>
        <w:t>1</w:t>
      </w:r>
      <w:r w:rsidRPr="00566333">
        <w:t>.</w:t>
      </w:r>
      <w:r w:rsidRPr="00566333">
        <w:tab/>
      </w:r>
      <w:bookmarkStart w:id="9" w:name="_Toc66688728"/>
      <w:bookmarkStart w:id="10" w:name="_Toc152464666"/>
      <w:bookmarkStart w:id="11" w:name="_Toc186528698"/>
      <w:bookmarkStart w:id="12" w:name="_Toc216078526"/>
      <w:bookmarkStart w:id="13" w:name="_Toc216149335"/>
      <w:bookmarkStart w:id="14" w:name="_Toc66688729"/>
      <w:bookmarkStart w:id="15" w:name="_Toc152464667"/>
      <w:r w:rsidRPr="00566333">
        <w:t>Respondent Universe and Sampling Methods</w:t>
      </w:r>
      <w:bookmarkEnd w:id="7"/>
      <w:bookmarkEnd w:id="9"/>
      <w:bookmarkEnd w:id="10"/>
      <w:bookmarkEnd w:id="11"/>
      <w:bookmarkEnd w:id="12"/>
      <w:bookmarkEnd w:id="13"/>
      <w:bookmarkEnd w:id="8"/>
      <w:r w:rsidRPr="00566333">
        <w:t xml:space="preserve"> </w:t>
      </w:r>
    </w:p>
    <w:p w14:paraId="6A19C2CC" w14:textId="5DBC6064" w:rsidR="00565E8B" w:rsidRDefault="004911C6" w:rsidP="00C8696E">
      <w:pPr>
        <w:pStyle w:val="OMBbodytext"/>
        <w:rPr>
          <w:b/>
        </w:rPr>
      </w:pPr>
      <w:r w:rsidRPr="00F47FCD">
        <w:t xml:space="preserve">The project includes two </w:t>
      </w:r>
      <w:r w:rsidR="00364193" w:rsidRPr="00F47FCD">
        <w:t>I</w:t>
      </w:r>
      <w:r w:rsidRPr="00F47FCD">
        <w:t xml:space="preserve">mplementing </w:t>
      </w:r>
      <w:r w:rsidR="00364193" w:rsidRPr="00F47FCD">
        <w:t>O</w:t>
      </w:r>
      <w:r w:rsidRPr="00F47FCD">
        <w:t>rganizations</w:t>
      </w:r>
      <w:r w:rsidR="00364193" w:rsidRPr="00F47FCD">
        <w:t xml:space="preserve"> (IOs)</w:t>
      </w:r>
      <w:r w:rsidRPr="00F47FCD">
        <w:t xml:space="preserve"> </w:t>
      </w:r>
      <w:r w:rsidR="00C8696E" w:rsidRPr="00F47FCD">
        <w:t>delivering</w:t>
      </w:r>
      <w:r w:rsidRPr="00F47FCD">
        <w:t xml:space="preserve"> two different SRA programs; one </w:t>
      </w:r>
      <w:r w:rsidR="00364193" w:rsidRPr="00F47FCD">
        <w:t>IO</w:t>
      </w:r>
      <w:r w:rsidRPr="00F47FCD">
        <w:t xml:space="preserve"> is delivering its SRA </w:t>
      </w:r>
      <w:r w:rsidR="0062522A" w:rsidRPr="00F47FCD">
        <w:t>program</w:t>
      </w:r>
      <w:r w:rsidRPr="00F47FCD">
        <w:t xml:space="preserve"> in 4 schools, and the second </w:t>
      </w:r>
      <w:r w:rsidR="00364193" w:rsidRPr="00F47FCD">
        <w:t xml:space="preserve">is </w:t>
      </w:r>
      <w:r w:rsidRPr="00F47FCD">
        <w:t xml:space="preserve">implementing its SRA program in </w:t>
      </w:r>
      <w:r w:rsidR="0062522A" w:rsidRPr="00F47FCD">
        <w:t>10</w:t>
      </w:r>
      <w:r w:rsidRPr="00F47FCD">
        <w:t xml:space="preserve"> schools.  The </w:t>
      </w:r>
      <w:r w:rsidR="00364193" w:rsidRPr="00F47FCD">
        <w:t>IOs</w:t>
      </w:r>
      <w:r w:rsidRPr="00F47FCD">
        <w:t xml:space="preserve"> were chosen</w:t>
      </w:r>
      <w:r w:rsidR="00364193" w:rsidRPr="00F47FCD">
        <w:t>, in part,</w:t>
      </w:r>
      <w:r w:rsidRPr="00F47FCD">
        <w:t xml:space="preserve"> </w:t>
      </w:r>
      <w:r w:rsidR="00364193" w:rsidRPr="00F47FCD">
        <w:t>because of</w:t>
      </w:r>
      <w:r w:rsidR="00C8696E" w:rsidRPr="00F47FCD">
        <w:t xml:space="preserve"> their significant experience in </w:t>
      </w:r>
      <w:r w:rsidRPr="00F47FCD">
        <w:t>implementing SMARTool-aligned SRA curricula</w:t>
      </w:r>
      <w:r w:rsidR="00364193" w:rsidRPr="00F47FCD">
        <w:t>.</w:t>
      </w:r>
      <w:r w:rsidR="00C8696E" w:rsidRPr="00F47FCD">
        <w:t xml:space="preserve"> </w:t>
      </w:r>
      <w:r w:rsidR="00364193" w:rsidRPr="00F47FCD">
        <w:t xml:space="preserve">The IOs were also chosen </w:t>
      </w:r>
      <w:r w:rsidR="00C8696E" w:rsidRPr="00F47FCD">
        <w:t>because they met other requirements of the evaluation</w:t>
      </w:r>
      <w:r w:rsidR="00364193" w:rsidRPr="00F47FCD">
        <w:t>, including</w:t>
      </w:r>
      <w:r w:rsidR="00F47FCD" w:rsidRPr="00F47FCD">
        <w:t xml:space="preserve"> </w:t>
      </w:r>
      <w:r w:rsidR="00C8696E" w:rsidRPr="00F47FCD">
        <w:t>a large enough sample size of student</w:t>
      </w:r>
      <w:r w:rsidR="00364193" w:rsidRPr="00F47FCD">
        <w:t>s</w:t>
      </w:r>
      <w:r w:rsidR="00C8696E" w:rsidRPr="00F47FCD">
        <w:t>, feasibility of a within-school comparison group, and their SRA programs served 9</w:t>
      </w:r>
      <w:r w:rsidR="00C8696E" w:rsidRPr="00F47FCD">
        <w:rPr>
          <w:vertAlign w:val="superscript"/>
        </w:rPr>
        <w:t>th</w:t>
      </w:r>
      <w:r w:rsidR="00C8696E" w:rsidRPr="00F47FCD">
        <w:t xml:space="preserve"> or 10</w:t>
      </w:r>
      <w:r w:rsidR="00C8696E" w:rsidRPr="00F47FCD">
        <w:rPr>
          <w:vertAlign w:val="superscript"/>
        </w:rPr>
        <w:t>th</w:t>
      </w:r>
      <w:r w:rsidR="00C8696E" w:rsidRPr="00F47FCD">
        <w:t xml:space="preserve"> graders and lasted less than 4 months. The respondent universe for the youth proximal evaluation includes intervention and comparison group youth in the 1</w:t>
      </w:r>
      <w:r w:rsidR="00F47FCD" w:rsidRPr="00F47FCD">
        <w:t>4</w:t>
      </w:r>
      <w:r w:rsidR="00C8696E" w:rsidRPr="00F47FCD">
        <w:t xml:space="preserve"> schools (across the two IOs). </w:t>
      </w:r>
      <w:r w:rsidR="008C614B" w:rsidRPr="00F47FCD">
        <w:t>Y</w:t>
      </w:r>
      <w:r w:rsidR="0022205A" w:rsidRPr="00F47FCD">
        <w:t>outh must be in either the 9th or 10th grade</w:t>
      </w:r>
      <w:r w:rsidR="009A7065">
        <w:t xml:space="preserve"> </w:t>
      </w:r>
      <w:r w:rsidR="001A6003">
        <w:t xml:space="preserve">to be eligible </w:t>
      </w:r>
      <w:r w:rsidR="009A7065">
        <w:t xml:space="preserve">to participate in the </w:t>
      </w:r>
      <w:r w:rsidR="001A6003">
        <w:t xml:space="preserve">program and the </w:t>
      </w:r>
      <w:r w:rsidR="009A7065">
        <w:t>evaluation</w:t>
      </w:r>
      <w:r w:rsidR="0022205A">
        <w:t xml:space="preserve">. </w:t>
      </w:r>
    </w:p>
    <w:p w14:paraId="357916F6" w14:textId="34EA12C4" w:rsidR="007439B4" w:rsidRDefault="00D55584" w:rsidP="007D0A0E">
      <w:pPr>
        <w:pStyle w:val="ListBullet"/>
        <w:spacing w:after="120"/>
        <w:contextualSpacing w:val="0"/>
      </w:pPr>
      <w:r w:rsidRPr="00D55584">
        <w:rPr>
          <w:u w:val="single"/>
        </w:rPr>
        <w:t>Parental consent/</w:t>
      </w:r>
      <w:r w:rsidR="001D74E6" w:rsidRPr="00D55584">
        <w:rPr>
          <w:u w:val="single"/>
        </w:rPr>
        <w:t xml:space="preserve">youth </w:t>
      </w:r>
      <w:r w:rsidRPr="00D55584">
        <w:rPr>
          <w:u w:val="single"/>
        </w:rPr>
        <w:t>assent</w:t>
      </w:r>
      <w:r>
        <w:t>.</w:t>
      </w:r>
      <w:r w:rsidR="009265C5">
        <w:t xml:space="preserve"> </w:t>
      </w:r>
      <w:r w:rsidR="00D81F72">
        <w:t xml:space="preserve">In each </w:t>
      </w:r>
      <w:r w:rsidR="001A6003">
        <w:t xml:space="preserve">of </w:t>
      </w:r>
      <w:r w:rsidR="001A6003" w:rsidRPr="000D0C17">
        <w:t xml:space="preserve">the </w:t>
      </w:r>
      <w:r w:rsidR="0099201D">
        <w:t xml:space="preserve">two </w:t>
      </w:r>
      <w:r w:rsidR="00D81F72" w:rsidRPr="000D0C17">
        <w:t>IO</w:t>
      </w:r>
      <w:r w:rsidR="001A6003" w:rsidRPr="000D0C17">
        <w:t>s</w:t>
      </w:r>
      <w:r w:rsidR="00D81F72" w:rsidRPr="000D0C17">
        <w:t xml:space="preserve">, we expect to have </w:t>
      </w:r>
      <w:r w:rsidR="00CE4606">
        <w:t>approximately</w:t>
      </w:r>
      <w:r w:rsidR="00D81F72" w:rsidRPr="000D0C17">
        <w:t xml:space="preserve"> </w:t>
      </w:r>
      <w:r w:rsidR="00CE4606">
        <w:t>600</w:t>
      </w:r>
      <w:r w:rsidR="004A4E1B" w:rsidRPr="000D0C17">
        <w:t xml:space="preserve"> </w:t>
      </w:r>
      <w:r w:rsidR="00D81F72" w:rsidRPr="000D0C17">
        <w:t>youth enrolled in the intervention</w:t>
      </w:r>
      <w:r w:rsidR="004A4E1B" w:rsidRPr="000D0C17">
        <w:t xml:space="preserve"> and </w:t>
      </w:r>
      <w:r w:rsidR="00CE4606">
        <w:t>600</w:t>
      </w:r>
      <w:r w:rsidR="004A4E1B" w:rsidRPr="000D0C17">
        <w:t xml:space="preserve"> youth in the</w:t>
      </w:r>
      <w:r w:rsidR="00BB5DCC" w:rsidRPr="000D0C17">
        <w:t xml:space="preserve"> comparison</w:t>
      </w:r>
      <w:r w:rsidR="004A4E1B" w:rsidRPr="000D0C17">
        <w:t xml:space="preserve"> group,</w:t>
      </w:r>
      <w:r w:rsidR="00D81F72" w:rsidRPr="000D0C17">
        <w:t xml:space="preserve"> for a total of </w:t>
      </w:r>
      <w:r w:rsidR="00CE4606">
        <w:t>2</w:t>
      </w:r>
      <w:r w:rsidR="00074276">
        <w:t>,</w:t>
      </w:r>
      <w:r w:rsidR="00CE4606">
        <w:t>400</w:t>
      </w:r>
      <w:r w:rsidR="00D81F72" w:rsidRPr="000D0C17">
        <w:t xml:space="preserve"> youth across all IOs. </w:t>
      </w:r>
    </w:p>
    <w:p w14:paraId="105A9FC6" w14:textId="07604980" w:rsidR="00D55584" w:rsidRPr="000D0C17" w:rsidRDefault="00751424" w:rsidP="0081411B">
      <w:pPr>
        <w:pStyle w:val="ListBullet"/>
        <w:numPr>
          <w:ilvl w:val="0"/>
          <w:numId w:val="0"/>
        </w:numPr>
        <w:spacing w:after="120"/>
        <w:ind w:left="360"/>
        <w:contextualSpacing w:val="0"/>
      </w:pPr>
      <w:r w:rsidRPr="000D0C17">
        <w:t xml:space="preserve">We expect that </w:t>
      </w:r>
      <w:r w:rsidR="007439B4">
        <w:t>50-</w:t>
      </w:r>
      <w:r w:rsidRPr="000D0C17">
        <w:t>70% of those youth will receive parental consent to participate in the evaluation</w:t>
      </w:r>
      <w:r>
        <w:t xml:space="preserve"> (s</w:t>
      </w:r>
      <w:r w:rsidRPr="000D0C17">
        <w:t xml:space="preserve">ee </w:t>
      </w:r>
      <w:r w:rsidRPr="000D0C17">
        <w:rPr>
          <w:b/>
          <w:i/>
        </w:rPr>
        <w:t xml:space="preserve">Exhibit </w:t>
      </w:r>
      <w:r>
        <w:rPr>
          <w:b/>
          <w:i/>
        </w:rPr>
        <w:t>1</w:t>
      </w:r>
      <w:r w:rsidRPr="004C3C96">
        <w:rPr>
          <w:i/>
        </w:rPr>
        <w:t>)</w:t>
      </w:r>
      <w:r w:rsidRPr="000D0C17">
        <w:t>. We base these assumptions on consent rates for previous teen pregnancy prevention evaluations, including the e</w:t>
      </w:r>
      <w:r w:rsidRPr="000D0C17">
        <w:rPr>
          <w:bCs/>
        </w:rPr>
        <w:t xml:space="preserve">valuation of </w:t>
      </w:r>
      <w:r w:rsidRPr="000D0C17">
        <w:rPr>
          <w:bCs/>
          <w:i/>
          <w:iCs/>
        </w:rPr>
        <w:t>It’s Your Game…</w:t>
      </w:r>
      <w:r>
        <w:rPr>
          <w:bCs/>
          <w:i/>
          <w:iCs/>
        </w:rPr>
        <w:t xml:space="preserve"> </w:t>
      </w:r>
      <w:r w:rsidRPr="000D0C17">
        <w:rPr>
          <w:bCs/>
          <w:i/>
          <w:iCs/>
        </w:rPr>
        <w:t xml:space="preserve">Keep It Real </w:t>
      </w:r>
      <w:r w:rsidRPr="000D0C17">
        <w:rPr>
          <w:bCs/>
        </w:rPr>
        <w:t>in South Carolina</w:t>
      </w:r>
      <w:r>
        <w:rPr>
          <w:bCs/>
        </w:rPr>
        <w:t xml:space="preserve"> (</w:t>
      </w:r>
      <w:r>
        <w:t>Coyle, Potter, Glassman, McDade-Montez, &amp; Unti, 2015)</w:t>
      </w:r>
      <w:r w:rsidRPr="000D0C17">
        <w:rPr>
          <w:bCs/>
        </w:rPr>
        <w:t xml:space="preserve">, the evaluation of </w:t>
      </w:r>
      <w:r w:rsidRPr="000D0C17">
        <w:rPr>
          <w:bCs/>
          <w:i/>
          <w:iCs/>
        </w:rPr>
        <w:t>It’s Your Game…</w:t>
      </w:r>
      <w:r>
        <w:rPr>
          <w:bCs/>
          <w:i/>
          <w:iCs/>
        </w:rPr>
        <w:t xml:space="preserve"> </w:t>
      </w:r>
      <w:r w:rsidRPr="000D0C17">
        <w:rPr>
          <w:bCs/>
          <w:i/>
          <w:iCs/>
        </w:rPr>
        <w:t xml:space="preserve">Keep It Real </w:t>
      </w:r>
      <w:r w:rsidRPr="000D0C17">
        <w:rPr>
          <w:bCs/>
        </w:rPr>
        <w:t xml:space="preserve">in Houston, Texas </w:t>
      </w:r>
      <w:r>
        <w:rPr>
          <w:bCs/>
        </w:rPr>
        <w:t>(</w:t>
      </w:r>
      <w:r>
        <w:t xml:space="preserve">Coyle, Anderson, Laris, Unti, Franks, &amp; Glassman, 2016), </w:t>
      </w:r>
      <w:r w:rsidRPr="000D0C17">
        <w:rPr>
          <w:bCs/>
        </w:rPr>
        <w:t xml:space="preserve">and the evaluation of </w:t>
      </w:r>
      <w:r w:rsidRPr="000D0C17">
        <w:rPr>
          <w:bCs/>
          <w:i/>
        </w:rPr>
        <w:t>Healthy Futures</w:t>
      </w:r>
      <w:r>
        <w:rPr>
          <w:bCs/>
          <w:i/>
        </w:rPr>
        <w:t xml:space="preserve"> </w:t>
      </w:r>
      <w:r w:rsidRPr="0033623E">
        <w:rPr>
          <w:bCs/>
        </w:rPr>
        <w:t>(</w:t>
      </w:r>
      <w:r>
        <w:t>Calise, Chow, Doré, &amp; JSI Research &amp; Training Institute, Inc., 2015)</w:t>
      </w:r>
      <w:r w:rsidRPr="000D0C17">
        <w:rPr>
          <w:bCs/>
        </w:rPr>
        <w:t xml:space="preserve">. Parental consent rates for these evaluations ranged from 57% to 73%. </w:t>
      </w:r>
      <w:r w:rsidR="007439B4">
        <w:rPr>
          <w:bCs/>
        </w:rPr>
        <w:t>For our burden estimates in Supporting Statement Part A, w</w:t>
      </w:r>
      <w:r w:rsidRPr="000D0C17">
        <w:rPr>
          <w:bCs/>
        </w:rPr>
        <w:t xml:space="preserve">e assume 70%, which is on the high end of this range, to avoid </w:t>
      </w:r>
      <w:r w:rsidRPr="0081411B">
        <w:rPr>
          <w:i/>
        </w:rPr>
        <w:t xml:space="preserve">underestimating </w:t>
      </w:r>
      <w:r w:rsidR="007439B4">
        <w:rPr>
          <w:bCs/>
        </w:rPr>
        <w:t>respondent</w:t>
      </w:r>
      <w:r w:rsidRPr="000D0C17">
        <w:rPr>
          <w:bCs/>
        </w:rPr>
        <w:t xml:space="preserve"> burden.</w:t>
      </w:r>
      <w:r w:rsidR="007439B4">
        <w:rPr>
          <w:bCs/>
        </w:rPr>
        <w:t xml:space="preserve"> For our power calculations below, we assume 50% consent, which is on the low end of this range, to avoid </w:t>
      </w:r>
      <w:r w:rsidR="007439B4" w:rsidRPr="007439B4">
        <w:rPr>
          <w:bCs/>
          <w:i/>
        </w:rPr>
        <w:t>overstating</w:t>
      </w:r>
      <w:r w:rsidR="007439B4">
        <w:rPr>
          <w:bCs/>
        </w:rPr>
        <w:t xml:space="preserve"> statistical power. </w:t>
      </w:r>
    </w:p>
    <w:p w14:paraId="5DCF7800" w14:textId="659D14F4" w:rsidR="00D55584" w:rsidRPr="000D0C17" w:rsidRDefault="00D90333" w:rsidP="007D0A0E">
      <w:pPr>
        <w:pStyle w:val="ListBullet"/>
        <w:spacing w:after="120"/>
        <w:contextualSpacing w:val="0"/>
        <w:rPr>
          <w:b/>
        </w:rPr>
      </w:pPr>
      <w:r w:rsidRPr="000D0C17">
        <w:rPr>
          <w:u w:val="single"/>
        </w:rPr>
        <w:t>Classroom rosters</w:t>
      </w:r>
      <w:r w:rsidRPr="000D0C17">
        <w:t>.</w:t>
      </w:r>
      <w:r w:rsidR="009265C5">
        <w:rPr>
          <w:b/>
        </w:rPr>
        <w:t xml:space="preserve"> </w:t>
      </w:r>
      <w:r w:rsidR="00D55584" w:rsidRPr="000D0C17">
        <w:t xml:space="preserve">Each </w:t>
      </w:r>
      <w:r w:rsidR="008B2753">
        <w:t xml:space="preserve">of the 14 </w:t>
      </w:r>
      <w:r w:rsidR="0099201D">
        <w:t>school</w:t>
      </w:r>
      <w:r w:rsidR="008B2753">
        <w:t>s</w:t>
      </w:r>
      <w:r w:rsidR="0099201D" w:rsidRPr="000D0C17">
        <w:t xml:space="preserve"> </w:t>
      </w:r>
      <w:r w:rsidR="00D55584" w:rsidRPr="000D0C17">
        <w:t xml:space="preserve">participating in the study will need to provide a roster </w:t>
      </w:r>
      <w:r w:rsidR="00A70290">
        <w:t>and administrative data</w:t>
      </w:r>
      <w:r w:rsidR="00A70290" w:rsidRPr="000D0C17">
        <w:t xml:space="preserve"> </w:t>
      </w:r>
      <w:r w:rsidR="00A62789">
        <w:t>for</w:t>
      </w:r>
      <w:r w:rsidR="00D55584" w:rsidRPr="000D0C17">
        <w:t xml:space="preserve"> eligible youth.</w:t>
      </w:r>
      <w:r w:rsidR="009265C5" w:rsidRPr="0081411B">
        <w:rPr>
          <w:b/>
        </w:rPr>
        <w:t xml:space="preserve"> </w:t>
      </w:r>
    </w:p>
    <w:p w14:paraId="43EB5D9C" w14:textId="0B4F061B" w:rsidR="00D710B0" w:rsidRDefault="00D90333" w:rsidP="007D0A0E">
      <w:pPr>
        <w:pStyle w:val="ListBullet"/>
        <w:spacing w:after="240"/>
        <w:contextualSpacing w:val="0"/>
        <w:rPr>
          <w:bCs/>
        </w:rPr>
      </w:pPr>
      <w:r w:rsidRPr="000D0C17">
        <w:rPr>
          <w:u w:val="single"/>
        </w:rPr>
        <w:t xml:space="preserve">Baseline and follow-up </w:t>
      </w:r>
      <w:r w:rsidR="00C27AC6">
        <w:rPr>
          <w:u w:val="single"/>
        </w:rPr>
        <w:t>youth</w:t>
      </w:r>
      <w:r w:rsidR="004C3C96">
        <w:rPr>
          <w:u w:val="single"/>
        </w:rPr>
        <w:t xml:space="preserve"> </w:t>
      </w:r>
      <w:r w:rsidRPr="000D0C17">
        <w:rPr>
          <w:u w:val="single"/>
        </w:rPr>
        <w:t>surveys.</w:t>
      </w:r>
      <w:r w:rsidR="009265C5">
        <w:t xml:space="preserve"> </w:t>
      </w:r>
      <w:r w:rsidR="00C570B4" w:rsidRPr="000D0C17">
        <w:t xml:space="preserve">All youth who receive parental consent will be invited to participate in the baseline and follow-up </w:t>
      </w:r>
      <w:r w:rsidR="00C27AC6">
        <w:t>youth</w:t>
      </w:r>
      <w:r w:rsidR="004C3C96">
        <w:t xml:space="preserve"> </w:t>
      </w:r>
      <w:r w:rsidR="00C570B4" w:rsidRPr="000D0C17">
        <w:t xml:space="preserve">surveys. </w:t>
      </w:r>
      <w:r w:rsidR="003C72D1" w:rsidRPr="000D0C17">
        <w:t>W</w:t>
      </w:r>
      <w:r w:rsidR="006F66F8" w:rsidRPr="000D0C17">
        <w:t xml:space="preserve">e expect that </w:t>
      </w:r>
      <w:r w:rsidR="00A44286">
        <w:t>95</w:t>
      </w:r>
      <w:r w:rsidR="006F66F8" w:rsidRPr="000D0C17">
        <w:t xml:space="preserve">% of the </w:t>
      </w:r>
      <w:r w:rsidR="0011791F" w:rsidRPr="000D0C17">
        <w:t>youth</w:t>
      </w:r>
      <w:r w:rsidR="006F66F8" w:rsidRPr="000D0C17">
        <w:t xml:space="preserve"> </w:t>
      </w:r>
      <w:r w:rsidR="003C72D1" w:rsidRPr="000D0C17">
        <w:t>with parental consent</w:t>
      </w:r>
      <w:r w:rsidR="006F66F8" w:rsidRPr="000D0C17">
        <w:t xml:space="preserve"> </w:t>
      </w:r>
      <w:r w:rsidR="003B3FED" w:rsidRPr="000D0C17">
        <w:t>will</w:t>
      </w:r>
      <w:r w:rsidR="0011791F" w:rsidRPr="000D0C17">
        <w:t xml:space="preserve"> parti</w:t>
      </w:r>
      <w:bookmarkStart w:id="16" w:name="_Hlk520205647"/>
      <w:r w:rsidR="00F750E7" w:rsidRPr="000D0C17">
        <w:t>cipate in the baseline survey</w:t>
      </w:r>
      <w:r w:rsidR="003C72D1" w:rsidRPr="000D0C17">
        <w:t xml:space="preserve">, and </w:t>
      </w:r>
      <w:r w:rsidR="00A44286">
        <w:t>95</w:t>
      </w:r>
      <w:r w:rsidR="00296430" w:rsidRPr="000D0C17">
        <w:t xml:space="preserve">% in the follow-up </w:t>
      </w:r>
      <w:r w:rsidR="00296430" w:rsidRPr="000D0C17">
        <w:rPr>
          <w:bCs/>
        </w:rPr>
        <w:t>survey</w:t>
      </w:r>
      <w:r w:rsidR="00F750E7" w:rsidRPr="000D0C17">
        <w:t xml:space="preserve">. </w:t>
      </w:r>
      <w:r w:rsidR="00296430" w:rsidRPr="000D0C17">
        <w:rPr>
          <w:bCs/>
        </w:rPr>
        <w:t>These</w:t>
      </w:r>
      <w:r w:rsidR="00D710B0" w:rsidRPr="000D0C17">
        <w:rPr>
          <w:bCs/>
        </w:rPr>
        <w:t xml:space="preserve"> assumption</w:t>
      </w:r>
      <w:r w:rsidR="00296430" w:rsidRPr="000D0C17">
        <w:rPr>
          <w:bCs/>
        </w:rPr>
        <w:t>s</w:t>
      </w:r>
      <w:r w:rsidR="00D710B0" w:rsidRPr="000D0C17">
        <w:rPr>
          <w:bCs/>
        </w:rPr>
        <w:t xml:space="preserve"> </w:t>
      </w:r>
      <w:r w:rsidR="00296430" w:rsidRPr="000D0C17">
        <w:rPr>
          <w:bCs/>
        </w:rPr>
        <w:t>are</w:t>
      </w:r>
      <w:r w:rsidR="00D710B0" w:rsidRPr="000D0C17">
        <w:rPr>
          <w:bCs/>
        </w:rPr>
        <w:t xml:space="preserve"> based on </w:t>
      </w:r>
      <w:r w:rsidR="009B1781">
        <w:rPr>
          <w:bCs/>
        </w:rPr>
        <w:t>RTI</w:t>
      </w:r>
      <w:r w:rsidR="009B1781" w:rsidRPr="000D0C17">
        <w:rPr>
          <w:bCs/>
        </w:rPr>
        <w:t xml:space="preserve"> </w:t>
      </w:r>
      <w:r w:rsidR="00D710B0" w:rsidRPr="000D0C17">
        <w:rPr>
          <w:bCs/>
        </w:rPr>
        <w:t>experience with similar studies such as the School Safety and School-Based Mental Health Services in a Large Metropolitan School District and the Shelby School Safety Study (</w:t>
      </w:r>
      <w:r w:rsidR="003D1CAB" w:rsidRPr="000D0C17">
        <w:rPr>
          <w:bCs/>
        </w:rPr>
        <w:t xml:space="preserve">both </w:t>
      </w:r>
      <w:r w:rsidR="00D710B0" w:rsidRPr="000D0C17">
        <w:rPr>
          <w:bCs/>
        </w:rPr>
        <w:t>funded by the National Institute of Justice).</w:t>
      </w:r>
      <w:r w:rsidR="006F1C3E" w:rsidRPr="000D0C17">
        <w:rPr>
          <w:bCs/>
        </w:rPr>
        <w:t xml:space="preserve"> Thus</w:t>
      </w:r>
      <w:r w:rsidR="0008545E" w:rsidRPr="000D0C17">
        <w:rPr>
          <w:bCs/>
        </w:rPr>
        <w:t>,</w:t>
      </w:r>
      <w:r w:rsidR="006F1C3E" w:rsidRPr="000D0C17">
        <w:rPr>
          <w:bCs/>
        </w:rPr>
        <w:t xml:space="preserve"> we expect to obtain </w:t>
      </w:r>
      <w:r w:rsidR="00CE4606">
        <w:t>1</w:t>
      </w:r>
      <w:r w:rsidR="00074276">
        <w:t>,</w:t>
      </w:r>
      <w:r w:rsidR="00CE4606">
        <w:t>596</w:t>
      </w:r>
      <w:r w:rsidR="003979E4" w:rsidRPr="000D0C17">
        <w:rPr>
          <w:bCs/>
        </w:rPr>
        <w:t xml:space="preserve"> </w:t>
      </w:r>
      <w:r w:rsidR="006F1C3E" w:rsidRPr="000D0C17">
        <w:rPr>
          <w:bCs/>
        </w:rPr>
        <w:t>responses to the baseline</w:t>
      </w:r>
      <w:r w:rsidR="006F1C3E">
        <w:rPr>
          <w:bCs/>
        </w:rPr>
        <w:t xml:space="preserve"> survey and </w:t>
      </w:r>
      <w:r w:rsidR="00CE4606">
        <w:t>1</w:t>
      </w:r>
      <w:r w:rsidR="00074276">
        <w:t>,</w:t>
      </w:r>
      <w:r w:rsidR="00CE4606">
        <w:t>596</w:t>
      </w:r>
      <w:r w:rsidR="00CE4606" w:rsidRPr="000D0C17">
        <w:rPr>
          <w:bCs/>
        </w:rPr>
        <w:t xml:space="preserve"> </w:t>
      </w:r>
      <w:r w:rsidR="00AF3554">
        <w:rPr>
          <w:bCs/>
        </w:rPr>
        <w:t xml:space="preserve">responses to the </w:t>
      </w:r>
      <w:r w:rsidR="006F1C3E">
        <w:rPr>
          <w:bCs/>
        </w:rPr>
        <w:t>follow-up survey</w:t>
      </w:r>
      <w:r w:rsidR="003C72D1">
        <w:rPr>
          <w:bCs/>
        </w:rPr>
        <w:t>s</w:t>
      </w:r>
      <w:r w:rsidR="006F1C3E">
        <w:rPr>
          <w:bCs/>
        </w:rPr>
        <w:t>.</w:t>
      </w:r>
    </w:p>
    <w:p w14:paraId="3698CD08" w14:textId="2F2655CE" w:rsidR="003A7705" w:rsidRPr="00D8211C" w:rsidRDefault="003A7705" w:rsidP="003A7705">
      <w:pPr>
        <w:pStyle w:val="OMBbodytext"/>
        <w:rPr>
          <w:b/>
        </w:rPr>
      </w:pPr>
      <w:r w:rsidRPr="00D8211C">
        <w:t xml:space="preserve">Data for the process evaluation </w:t>
      </w:r>
      <w:r>
        <w:t xml:space="preserve">will come from two surveys, key informant interviews, an attendance </w:t>
      </w:r>
      <w:r w:rsidRPr="00F504A0">
        <w:t>form, and a session log.</w:t>
      </w:r>
      <w:r>
        <w:t xml:space="preserve"> </w:t>
      </w:r>
      <w:r w:rsidRPr="00F504A0">
        <w:t>The respondent</w:t>
      </w:r>
      <w:r>
        <w:t xml:space="preserve"> universes are as follows:</w:t>
      </w:r>
    </w:p>
    <w:p w14:paraId="1EFE7CAE" w14:textId="2A1F1283" w:rsidR="003A7705" w:rsidRPr="000D0C17" w:rsidRDefault="003A7705" w:rsidP="003A7705">
      <w:pPr>
        <w:pStyle w:val="ListBullet"/>
        <w:spacing w:after="120"/>
        <w:contextualSpacing w:val="0"/>
        <w:rPr>
          <w:b/>
        </w:rPr>
      </w:pPr>
      <w:r w:rsidRPr="00F25786">
        <w:rPr>
          <w:u w:val="single"/>
        </w:rPr>
        <w:t>Participant survey</w:t>
      </w:r>
      <w:r>
        <w:t xml:space="preserve">. The respondent universe will be all youth receiving the intervention. We anticipate that half of the </w:t>
      </w:r>
      <w:r w:rsidR="00580235">
        <w:t>1,680</w:t>
      </w:r>
      <w:r w:rsidR="006956EC">
        <w:t xml:space="preserve"> </w:t>
      </w:r>
      <w:r>
        <w:t xml:space="preserve">youth who receive parental consent to participate, or </w:t>
      </w:r>
      <w:r w:rsidR="00580235">
        <w:t>840</w:t>
      </w:r>
      <w:r>
        <w:t xml:space="preserve">, will be in the intervention group. We </w:t>
      </w:r>
      <w:r w:rsidRPr="000D0C17">
        <w:t>anticipate that 9</w:t>
      </w:r>
      <w:r w:rsidR="00BB2C5B">
        <w:t>0</w:t>
      </w:r>
      <w:r w:rsidRPr="000D0C17">
        <w:t>% of these youth</w:t>
      </w:r>
      <w:r w:rsidR="00657623">
        <w:t xml:space="preserve"> </w:t>
      </w:r>
      <w:r w:rsidRPr="000D0C17">
        <w:t xml:space="preserve">will participate in the process evaluation participant survey. All members of the respondent universe whose parents </w:t>
      </w:r>
      <w:r w:rsidRPr="000D0C17">
        <w:lastRenderedPageBreak/>
        <w:t xml:space="preserve">have consented and who themselves have assented will be asked to complete the survey; there will be no sampling. </w:t>
      </w:r>
      <w:r w:rsidRPr="000D0C17">
        <w:rPr>
          <w:bCs/>
        </w:rPr>
        <w:t xml:space="preserve">Thus, we expect to obtain </w:t>
      </w:r>
      <w:r w:rsidR="006855EF">
        <w:t>756</w:t>
      </w:r>
      <w:r w:rsidR="006956EC" w:rsidRPr="000D0C17">
        <w:rPr>
          <w:bCs/>
        </w:rPr>
        <w:t xml:space="preserve"> </w:t>
      </w:r>
      <w:r w:rsidRPr="000D0C17">
        <w:rPr>
          <w:bCs/>
        </w:rPr>
        <w:t>responses to the participant survey</w:t>
      </w:r>
      <w:r>
        <w:rPr>
          <w:bCs/>
        </w:rPr>
        <w:t>.</w:t>
      </w:r>
    </w:p>
    <w:p w14:paraId="2401F1B6" w14:textId="6AA29C94" w:rsidR="003A7705" w:rsidRPr="00102205" w:rsidRDefault="003A7705" w:rsidP="003A7705">
      <w:pPr>
        <w:pStyle w:val="ListBullet"/>
        <w:spacing w:after="120"/>
        <w:contextualSpacing w:val="0"/>
        <w:rPr>
          <w:b/>
        </w:rPr>
      </w:pPr>
      <w:r w:rsidRPr="00F25786">
        <w:rPr>
          <w:u w:val="single"/>
        </w:rPr>
        <w:t>Facilitator survey</w:t>
      </w:r>
      <w:r>
        <w:t>. The respondent universe comprises all facilitators who deliver the SMARTool-aligned curricula to the youth</w:t>
      </w:r>
      <w:r w:rsidR="009B1781">
        <w:t>.</w:t>
      </w:r>
      <w:r>
        <w:t xml:space="preserve">. We anticipate that </w:t>
      </w:r>
      <w:r w:rsidR="001D225D">
        <w:t xml:space="preserve">approximately </w:t>
      </w:r>
      <w:r w:rsidR="00167500">
        <w:t>4</w:t>
      </w:r>
      <w:r>
        <w:t xml:space="preserve"> facilitators will be involved with the intervention per IO, for a total of </w:t>
      </w:r>
      <w:r w:rsidR="005C09C6">
        <w:t>8</w:t>
      </w:r>
      <w:r>
        <w:t xml:space="preserve"> facilitators. All members of the respondent universe will be asked to complete the survey; there will be no sampling. </w:t>
      </w:r>
      <w:r w:rsidRPr="00102205">
        <w:t xml:space="preserve">Because all facilitators will be staff employed by the IOs, we expect the response rate to be </w:t>
      </w:r>
      <w:r w:rsidR="00623248">
        <w:t>10</w:t>
      </w:r>
      <w:r w:rsidRPr="00102205">
        <w:t xml:space="preserve">0%. </w:t>
      </w:r>
      <w:r w:rsidRPr="00102205">
        <w:rPr>
          <w:bCs/>
        </w:rPr>
        <w:t xml:space="preserve">Thus, we expect to obtain </w:t>
      </w:r>
      <w:r w:rsidR="003B67A8">
        <w:rPr>
          <w:bCs/>
        </w:rPr>
        <w:t>8</w:t>
      </w:r>
      <w:r w:rsidRPr="00102205">
        <w:rPr>
          <w:bCs/>
        </w:rPr>
        <w:t xml:space="preserve"> responses to the facilitator survey.</w:t>
      </w:r>
    </w:p>
    <w:p w14:paraId="79A28611" w14:textId="0DC0B3BE" w:rsidR="003A7705" w:rsidRPr="00102205" w:rsidRDefault="003A7705" w:rsidP="003A7705">
      <w:pPr>
        <w:pStyle w:val="ListBullet"/>
        <w:spacing w:after="120"/>
        <w:contextualSpacing w:val="0"/>
        <w:rPr>
          <w:b/>
        </w:rPr>
      </w:pPr>
      <w:r w:rsidRPr="00102205">
        <w:rPr>
          <w:u w:val="single"/>
        </w:rPr>
        <w:t>Facilitator key informant interviews</w:t>
      </w:r>
      <w:r w:rsidRPr="00102205">
        <w:t>.</w:t>
      </w:r>
      <w:r>
        <w:t xml:space="preserve"> </w:t>
      </w:r>
      <w:r w:rsidRPr="00102205">
        <w:t xml:space="preserve">The respondent universe consists of all 8 facilitators involved in the intervention. A sample of </w:t>
      </w:r>
      <w:r w:rsidR="00426A0E">
        <w:t>3</w:t>
      </w:r>
      <w:r w:rsidRPr="00102205">
        <w:t xml:space="preserve"> facilitators will be selected from each IO for the interviews, for a total of </w:t>
      </w:r>
      <w:r w:rsidR="00426A0E">
        <w:t>6</w:t>
      </w:r>
      <w:r w:rsidRPr="00102205">
        <w:t xml:space="preserve"> facilitators. Facilitators will be purposively selected to ensure representation of the sites’ sociodemographic and geographic characteristics. These characteristics are defined by population density (rural, suburban, urban), racial and ethnic profiles, and socioeconomic status (e.g., the percent</w:t>
      </w:r>
      <w:r>
        <w:t>age</w:t>
      </w:r>
      <w:r w:rsidRPr="00102205">
        <w:t xml:space="preserve"> of youth in the school lunch program). Because all facilitators will be staff employed by the IOs, we expect the response rate to be 100%. </w:t>
      </w:r>
      <w:r w:rsidRPr="00102205">
        <w:rPr>
          <w:bCs/>
        </w:rPr>
        <w:t xml:space="preserve">Thus, we expect to obtain </w:t>
      </w:r>
      <w:r w:rsidR="00426A0E">
        <w:rPr>
          <w:bCs/>
        </w:rPr>
        <w:t>6</w:t>
      </w:r>
      <w:r w:rsidRPr="00102205">
        <w:rPr>
          <w:bCs/>
        </w:rPr>
        <w:t xml:space="preserve"> responses to the facilitator key informant interviews.</w:t>
      </w:r>
    </w:p>
    <w:p w14:paraId="6AFE27CB" w14:textId="7102B611" w:rsidR="003A7705" w:rsidRPr="00613988" w:rsidRDefault="000B493D" w:rsidP="003A7705">
      <w:pPr>
        <w:pStyle w:val="ListBullet"/>
        <w:spacing w:after="120"/>
        <w:contextualSpacing w:val="0"/>
        <w:rPr>
          <w:b/>
        </w:rPr>
      </w:pPr>
      <w:r>
        <w:rPr>
          <w:u w:val="single"/>
        </w:rPr>
        <w:t>School</w:t>
      </w:r>
      <w:r w:rsidR="003A7705" w:rsidRPr="00F25786">
        <w:rPr>
          <w:u w:val="single"/>
        </w:rPr>
        <w:t xml:space="preserve"> representative key informant interviews</w:t>
      </w:r>
      <w:r w:rsidR="003A7705">
        <w:t xml:space="preserve">. The respondent universe consists of administrators or managers of all the schools where the interventions take place who have responsibility for overseeing a </w:t>
      </w:r>
      <w:r>
        <w:t xml:space="preserve">school’s </w:t>
      </w:r>
      <w:r w:rsidR="003A7705">
        <w:t xml:space="preserve">involvement in the intervention. </w:t>
      </w:r>
      <w:r>
        <w:t>T</w:t>
      </w:r>
      <w:r w:rsidR="003A7705">
        <w:t xml:space="preserve">he </w:t>
      </w:r>
      <w:r>
        <w:t xml:space="preserve">school </w:t>
      </w:r>
      <w:r w:rsidR="003A7705">
        <w:t xml:space="preserve">representatives are expected to be a school principal, vice principal, or </w:t>
      </w:r>
      <w:r>
        <w:t xml:space="preserve">school </w:t>
      </w:r>
      <w:r w:rsidR="003A7705">
        <w:t xml:space="preserve">liaison </w:t>
      </w:r>
      <w:r w:rsidR="003A7705" w:rsidRPr="00083BD3">
        <w:t xml:space="preserve">who has been </w:t>
      </w:r>
      <w:r>
        <w:t>approved</w:t>
      </w:r>
      <w:r w:rsidR="003A7705" w:rsidRPr="00083BD3">
        <w:t xml:space="preserve"> by the school principal to help facil</w:t>
      </w:r>
      <w:r w:rsidR="003A7705">
        <w:t xml:space="preserve">itate logistics for the data collection. A sample of </w:t>
      </w:r>
      <w:r w:rsidR="00B12282">
        <w:t>2</w:t>
      </w:r>
      <w:r w:rsidR="003A7705">
        <w:t xml:space="preserve"> </w:t>
      </w:r>
      <w:r w:rsidR="000F4C71">
        <w:t xml:space="preserve">schools </w:t>
      </w:r>
      <w:r w:rsidR="003A7705">
        <w:t xml:space="preserve">will be purposively selected from each IO to ensure that </w:t>
      </w:r>
      <w:r w:rsidR="00B12282">
        <w:t>some</w:t>
      </w:r>
      <w:r w:rsidR="003A7705">
        <w:t xml:space="preserve"> variety of </w:t>
      </w:r>
      <w:r w:rsidR="000F4C71">
        <w:t xml:space="preserve">schools </w:t>
      </w:r>
      <w:r w:rsidR="003A7705">
        <w:t xml:space="preserve">are represented. The total number of </w:t>
      </w:r>
      <w:r w:rsidR="000F4C71">
        <w:t xml:space="preserve">school </w:t>
      </w:r>
      <w:r w:rsidR="003A7705">
        <w:t xml:space="preserve">representatives to be </w:t>
      </w:r>
      <w:r w:rsidR="003A7705" w:rsidRPr="00102205">
        <w:t xml:space="preserve">selected across </w:t>
      </w:r>
      <w:r w:rsidR="000F4C71">
        <w:t>both</w:t>
      </w:r>
      <w:r w:rsidR="003A7705" w:rsidRPr="00102205">
        <w:t xml:space="preserve"> IOs is </w:t>
      </w:r>
      <w:r w:rsidR="003A7705" w:rsidRPr="00613988">
        <w:t xml:space="preserve">therefore </w:t>
      </w:r>
      <w:r w:rsidR="00B12282">
        <w:t>4</w:t>
      </w:r>
      <w:r w:rsidR="003A7705" w:rsidRPr="00613988">
        <w:t xml:space="preserve">. We anticipate that all </w:t>
      </w:r>
      <w:r w:rsidR="000F4C71">
        <w:t xml:space="preserve">school </w:t>
      </w:r>
      <w:r w:rsidR="003A7705" w:rsidRPr="00613988">
        <w:t xml:space="preserve">representatives will agree to participate in the interview because of their role in the intervention, and if any are unable to participate for any reason, we will select representatives from back-up </w:t>
      </w:r>
      <w:r w:rsidR="000F4C71">
        <w:t>schools</w:t>
      </w:r>
      <w:r w:rsidR="003A7705" w:rsidRPr="00613988">
        <w:t xml:space="preserve">. </w:t>
      </w:r>
      <w:r w:rsidR="003A7705" w:rsidRPr="00613988">
        <w:rPr>
          <w:bCs/>
        </w:rPr>
        <w:t xml:space="preserve">Thus, we expect to obtain </w:t>
      </w:r>
      <w:r w:rsidR="009B3EC9">
        <w:rPr>
          <w:bCs/>
        </w:rPr>
        <w:t>4</w:t>
      </w:r>
      <w:r w:rsidR="003A7705" w:rsidRPr="00613988">
        <w:rPr>
          <w:bCs/>
        </w:rPr>
        <w:t xml:space="preserve"> responses to the </w:t>
      </w:r>
      <w:r w:rsidR="000F4C71">
        <w:t xml:space="preserve">school </w:t>
      </w:r>
      <w:r w:rsidR="003A7705" w:rsidRPr="00613988">
        <w:rPr>
          <w:bCs/>
        </w:rPr>
        <w:t>representative key informant interviews.</w:t>
      </w:r>
      <w:r w:rsidR="003A7705" w:rsidRPr="00613988">
        <w:t xml:space="preserve"> </w:t>
      </w:r>
    </w:p>
    <w:p w14:paraId="33498D0F" w14:textId="105D9DE8" w:rsidR="003A7705" w:rsidRPr="00102205" w:rsidRDefault="003A7705" w:rsidP="003A7705">
      <w:pPr>
        <w:pStyle w:val="ListBullet"/>
        <w:spacing w:after="120"/>
        <w:contextualSpacing w:val="0"/>
        <w:rPr>
          <w:b/>
        </w:rPr>
      </w:pPr>
      <w:r w:rsidRPr="00102205">
        <w:rPr>
          <w:u w:val="single"/>
        </w:rPr>
        <w:t>Facilitator session log</w:t>
      </w:r>
      <w:r w:rsidRPr="00102205">
        <w:t>.</w:t>
      </w:r>
      <w:r>
        <w:t xml:space="preserve"> </w:t>
      </w:r>
      <w:r w:rsidRPr="00102205">
        <w:t xml:space="preserve">The respondent universe for the session logs consists of all of the estimated 8 facilitators participating in the intervention. We anticipate that </w:t>
      </w:r>
      <w:r w:rsidR="00EE1C25">
        <w:t xml:space="preserve">each facilitator will teach </w:t>
      </w:r>
      <w:r w:rsidRPr="00102205">
        <w:t xml:space="preserve">a total of </w:t>
      </w:r>
      <w:r w:rsidR="00FD4B78">
        <w:t>75</w:t>
      </w:r>
      <w:r w:rsidRPr="00102205">
        <w:t xml:space="preserve"> </w:t>
      </w:r>
      <w:r w:rsidR="00EE1C25">
        <w:t>session</w:t>
      </w:r>
      <w:r w:rsidRPr="00102205">
        <w:t xml:space="preserve">s as part of the intervention. We estimate that a total of </w:t>
      </w:r>
      <w:r w:rsidR="005D436B">
        <w:t>600</w:t>
      </w:r>
      <w:r w:rsidRPr="00102205">
        <w:t xml:space="preserve"> sessions will be held across all IOs during the intervention. Because all facilitators will be staff employed by their IO, we expect the response rate to be </w:t>
      </w:r>
      <w:r w:rsidR="009C4263">
        <w:t>100</w:t>
      </w:r>
      <w:r w:rsidRPr="00102205">
        <w:t>%.</w:t>
      </w:r>
      <w:r>
        <w:t xml:space="preserve"> </w:t>
      </w:r>
      <w:r w:rsidRPr="00102205">
        <w:t xml:space="preserve">We thus expect to obtain </w:t>
      </w:r>
      <w:r w:rsidR="00FD4B78">
        <w:t>600</w:t>
      </w:r>
      <w:r w:rsidRPr="00102205">
        <w:t xml:space="preserve"> session logs.</w:t>
      </w:r>
    </w:p>
    <w:p w14:paraId="01A59C6F" w14:textId="56AD9E3F" w:rsidR="003A7705" w:rsidRPr="003A7705" w:rsidRDefault="003A7705" w:rsidP="003A7705">
      <w:pPr>
        <w:pStyle w:val="ListBullet"/>
        <w:spacing w:after="120"/>
        <w:contextualSpacing w:val="0"/>
        <w:rPr>
          <w:b/>
        </w:rPr>
      </w:pPr>
      <w:r w:rsidRPr="00102205">
        <w:rPr>
          <w:u w:val="single"/>
        </w:rPr>
        <w:t>Attendance form</w:t>
      </w:r>
      <w:r w:rsidRPr="00102205">
        <w:t>.</w:t>
      </w:r>
      <w:r>
        <w:t xml:space="preserve"> </w:t>
      </w:r>
      <w:r w:rsidRPr="00102205">
        <w:rPr>
          <w:iCs/>
        </w:rPr>
        <w:t xml:space="preserve">Depending on the </w:t>
      </w:r>
      <w:r w:rsidR="00C01C08">
        <w:rPr>
          <w:iCs/>
        </w:rPr>
        <w:t>school</w:t>
      </w:r>
      <w:r w:rsidRPr="00102205">
        <w:rPr>
          <w:iCs/>
        </w:rPr>
        <w:t xml:space="preserve">, attendance data may be obtainable from a centralized school system before the end of the school year. Otherwise, we would ask </w:t>
      </w:r>
      <w:r w:rsidR="00C01C08">
        <w:rPr>
          <w:iCs/>
        </w:rPr>
        <w:t>school</w:t>
      </w:r>
      <w:r w:rsidR="00C01C08" w:rsidRPr="00102205">
        <w:rPr>
          <w:iCs/>
        </w:rPr>
        <w:t xml:space="preserve"> </w:t>
      </w:r>
      <w:r w:rsidRPr="00102205">
        <w:rPr>
          <w:iCs/>
        </w:rPr>
        <w:t xml:space="preserve">staff (e.g., classroom teachers) or program facilitators to complete an attendance form for each session offered. To be conservative, our burden estimate assumes that all attendance data would be provided by </w:t>
      </w:r>
      <w:r w:rsidR="00C01C08">
        <w:rPr>
          <w:iCs/>
        </w:rPr>
        <w:t>school</w:t>
      </w:r>
      <w:r w:rsidR="00C01C08" w:rsidRPr="00102205">
        <w:rPr>
          <w:iCs/>
        </w:rPr>
        <w:t xml:space="preserve"> </w:t>
      </w:r>
      <w:r w:rsidRPr="00102205">
        <w:rPr>
          <w:iCs/>
        </w:rPr>
        <w:t xml:space="preserve">staff. </w:t>
      </w:r>
      <w:r w:rsidRPr="00102205">
        <w:t xml:space="preserve">We expect the response rate to be 100%. We expect to obtain one attendance form per session, or </w:t>
      </w:r>
      <w:r w:rsidR="00954F2D">
        <w:t>600</w:t>
      </w:r>
      <w:r w:rsidRPr="00102205">
        <w:t xml:space="preserve"> forms.</w:t>
      </w:r>
    </w:p>
    <w:p w14:paraId="26C908DB" w14:textId="77777777" w:rsidR="003A7705" w:rsidRPr="003C72D1" w:rsidRDefault="003A7705" w:rsidP="0081411B">
      <w:pPr>
        <w:pStyle w:val="OMBExhibitTitle"/>
        <w:ind w:left="1152" w:hanging="1152"/>
      </w:pPr>
      <w:bookmarkStart w:id="17" w:name="_Toc2955852"/>
      <w:bookmarkStart w:id="18" w:name="_Toc523339231"/>
      <w:bookmarkStart w:id="19" w:name="_Toc8284056"/>
      <w:bookmarkEnd w:id="16"/>
      <w:r w:rsidRPr="003C72D1">
        <w:lastRenderedPageBreak/>
        <w:t>Exhibit 1.</w:t>
      </w:r>
      <w:r>
        <w:t xml:space="preserve"> </w:t>
      </w:r>
      <w:r w:rsidRPr="003C72D1">
        <w:t>Numbers of Respondents</w:t>
      </w:r>
      <w:bookmarkEnd w:id="17"/>
      <w:bookmarkEnd w:id="18"/>
      <w:bookmarkEnd w:id="19"/>
    </w:p>
    <w:tbl>
      <w:tblPr>
        <w:tblStyle w:val="TableGrid"/>
        <w:tblW w:w="5000" w:type="pct"/>
        <w:tblLook w:val="04A0" w:firstRow="1" w:lastRow="0" w:firstColumn="1" w:lastColumn="0" w:noHBand="0" w:noVBand="1"/>
      </w:tblPr>
      <w:tblGrid>
        <w:gridCol w:w="3310"/>
        <w:gridCol w:w="1565"/>
        <w:gridCol w:w="1567"/>
        <w:gridCol w:w="1567"/>
        <w:gridCol w:w="1567"/>
      </w:tblGrid>
      <w:tr w:rsidR="004C4DA8" w:rsidRPr="00E2788B" w14:paraId="7E04D8D8" w14:textId="77777777" w:rsidTr="00C27AC6">
        <w:trPr>
          <w:cantSplit/>
          <w:tblHeader/>
        </w:trPr>
        <w:tc>
          <w:tcPr>
            <w:tcW w:w="1728" w:type="pct"/>
            <w:shd w:val="clear" w:color="auto" w:fill="D9D9D9" w:themeFill="background1" w:themeFillShade="D9"/>
            <w:vAlign w:val="bottom"/>
          </w:tcPr>
          <w:p w14:paraId="09657A00" w14:textId="77777777" w:rsidR="003A7705" w:rsidRPr="00E2788B" w:rsidRDefault="003A7705" w:rsidP="00D6538B">
            <w:pPr>
              <w:pStyle w:val="OMBheading-2"/>
              <w:keepLines/>
              <w:spacing w:after="120"/>
              <w:ind w:left="0" w:firstLine="0"/>
              <w:jc w:val="center"/>
              <w:outlineLvl w:val="9"/>
              <w:rPr>
                <w:rFonts w:ascii="Arial" w:hAnsi="Arial" w:cs="Arial"/>
                <w:b w:val="0"/>
                <w:bCs/>
                <w:sz w:val="20"/>
              </w:rPr>
            </w:pPr>
            <w:bookmarkStart w:id="20" w:name="_Toc523339232"/>
            <w:r w:rsidRPr="00D339B6">
              <w:rPr>
                <w:bCs/>
                <w:sz w:val="20"/>
              </w:rPr>
              <w:t>Instrument</w:t>
            </w:r>
            <w:bookmarkEnd w:id="20"/>
          </w:p>
        </w:tc>
        <w:tc>
          <w:tcPr>
            <w:tcW w:w="817" w:type="pct"/>
            <w:shd w:val="clear" w:color="auto" w:fill="D9D9D9" w:themeFill="background1" w:themeFillShade="D9"/>
            <w:vAlign w:val="bottom"/>
          </w:tcPr>
          <w:p w14:paraId="15060D92" w14:textId="77777777" w:rsidR="003A7705" w:rsidRPr="00675442" w:rsidRDefault="003A7705" w:rsidP="00D6538B">
            <w:pPr>
              <w:pStyle w:val="TableHeaders"/>
              <w:keepNext/>
              <w:keepLines/>
              <w:rPr>
                <w:rFonts w:ascii="Times New Roman" w:hAnsi="Times New Roman" w:cs="Times New Roman"/>
              </w:rPr>
            </w:pPr>
            <w:r>
              <w:rPr>
                <w:rFonts w:ascii="Times New Roman" w:hAnsi="Times New Roman" w:cs="Times New Roman"/>
              </w:rPr>
              <w:t>Respondent Universe</w:t>
            </w:r>
          </w:p>
        </w:tc>
        <w:tc>
          <w:tcPr>
            <w:tcW w:w="818" w:type="pct"/>
            <w:shd w:val="clear" w:color="auto" w:fill="D9D9D9" w:themeFill="background1" w:themeFillShade="D9"/>
            <w:vAlign w:val="bottom"/>
          </w:tcPr>
          <w:p w14:paraId="24435D07" w14:textId="77777777" w:rsidR="003A7705" w:rsidRPr="00675442" w:rsidRDefault="003A7705" w:rsidP="00D6538B">
            <w:pPr>
              <w:pStyle w:val="TableHeaders"/>
              <w:keepNext/>
              <w:keepLines/>
              <w:rPr>
                <w:rFonts w:ascii="Times New Roman" w:hAnsi="Times New Roman" w:cs="Times New Roman"/>
              </w:rPr>
            </w:pPr>
            <w:r>
              <w:rPr>
                <w:rFonts w:ascii="Times New Roman" w:hAnsi="Times New Roman" w:cs="Times New Roman"/>
              </w:rPr>
              <w:t xml:space="preserve">Expected </w:t>
            </w:r>
            <w:r w:rsidRPr="00675442">
              <w:rPr>
                <w:rFonts w:ascii="Times New Roman" w:hAnsi="Times New Roman" w:cs="Times New Roman"/>
              </w:rPr>
              <w:t xml:space="preserve">Response </w:t>
            </w:r>
            <w:r>
              <w:rPr>
                <w:rFonts w:ascii="Times New Roman" w:hAnsi="Times New Roman" w:cs="Times New Roman"/>
              </w:rPr>
              <w:t>R</w:t>
            </w:r>
            <w:r w:rsidRPr="00675442">
              <w:rPr>
                <w:rFonts w:ascii="Times New Roman" w:hAnsi="Times New Roman" w:cs="Times New Roman"/>
              </w:rPr>
              <w:t>ate</w:t>
            </w:r>
          </w:p>
        </w:tc>
        <w:tc>
          <w:tcPr>
            <w:tcW w:w="818" w:type="pct"/>
            <w:shd w:val="clear" w:color="auto" w:fill="D9D9D9" w:themeFill="background1" w:themeFillShade="D9"/>
            <w:vAlign w:val="bottom"/>
          </w:tcPr>
          <w:p w14:paraId="475497DB" w14:textId="77777777" w:rsidR="003A7705" w:rsidRPr="00675442" w:rsidRDefault="003A7705" w:rsidP="00D6538B">
            <w:pPr>
              <w:pStyle w:val="TableHeaders"/>
              <w:keepNext/>
              <w:keepLines/>
              <w:rPr>
                <w:rFonts w:ascii="Times New Roman" w:hAnsi="Times New Roman" w:cs="Times New Roman"/>
              </w:rPr>
            </w:pPr>
            <w:r>
              <w:rPr>
                <w:rFonts w:ascii="Times New Roman" w:hAnsi="Times New Roman" w:cs="Times New Roman"/>
              </w:rPr>
              <w:t>Total Expected Completed Instruments</w:t>
            </w:r>
          </w:p>
        </w:tc>
        <w:tc>
          <w:tcPr>
            <w:tcW w:w="818" w:type="pct"/>
            <w:shd w:val="clear" w:color="auto" w:fill="D9D9D9" w:themeFill="background1" w:themeFillShade="D9"/>
            <w:vAlign w:val="bottom"/>
          </w:tcPr>
          <w:p w14:paraId="13527CE3" w14:textId="77777777" w:rsidR="003A7705" w:rsidRPr="00675442" w:rsidRDefault="003A7705" w:rsidP="00D6538B">
            <w:pPr>
              <w:pStyle w:val="TableHeaders"/>
              <w:keepNext/>
              <w:keepLines/>
              <w:rPr>
                <w:rFonts w:ascii="Times New Roman" w:hAnsi="Times New Roman" w:cs="Times New Roman"/>
              </w:rPr>
            </w:pPr>
            <w:r>
              <w:rPr>
                <w:rFonts w:ascii="Times New Roman" w:hAnsi="Times New Roman" w:cs="Times New Roman"/>
              </w:rPr>
              <w:t>Expected Completed Instruments</w:t>
            </w:r>
            <w:r w:rsidRPr="00675442">
              <w:rPr>
                <w:rFonts w:ascii="Times New Roman" w:hAnsi="Times New Roman" w:cs="Times New Roman"/>
              </w:rPr>
              <w:t xml:space="preserve"> Per IO</w:t>
            </w:r>
          </w:p>
          <w:p w14:paraId="5E8DB926" w14:textId="5D9CB020" w:rsidR="003A7705" w:rsidRPr="00675442" w:rsidRDefault="003A7705" w:rsidP="00D6538B">
            <w:pPr>
              <w:pStyle w:val="TableHeaders"/>
              <w:keepNext/>
              <w:keepLines/>
              <w:rPr>
                <w:rFonts w:ascii="Times New Roman" w:hAnsi="Times New Roman" w:cs="Times New Roman"/>
              </w:rPr>
            </w:pPr>
            <w:r w:rsidRPr="00675442">
              <w:rPr>
                <w:rFonts w:ascii="Times New Roman" w:hAnsi="Times New Roman" w:cs="Times New Roman"/>
              </w:rPr>
              <w:t>(</w:t>
            </w:r>
            <w:r>
              <w:rPr>
                <w:rFonts w:ascii="Times New Roman" w:hAnsi="Times New Roman" w:cs="Times New Roman"/>
              </w:rPr>
              <w:t>N</w:t>
            </w:r>
            <w:r w:rsidRPr="00675442">
              <w:rPr>
                <w:rFonts w:ascii="Times New Roman" w:hAnsi="Times New Roman" w:cs="Times New Roman"/>
              </w:rPr>
              <w:t>=</w:t>
            </w:r>
            <w:r>
              <w:rPr>
                <w:rFonts w:ascii="Times New Roman" w:hAnsi="Times New Roman" w:cs="Times New Roman"/>
              </w:rPr>
              <w:t xml:space="preserve"> </w:t>
            </w:r>
            <w:r w:rsidR="00497423">
              <w:rPr>
                <w:rFonts w:ascii="Times New Roman" w:hAnsi="Times New Roman" w:cs="Times New Roman"/>
              </w:rPr>
              <w:t>2</w:t>
            </w:r>
            <w:r w:rsidRPr="00675442">
              <w:rPr>
                <w:rFonts w:ascii="Times New Roman" w:hAnsi="Times New Roman" w:cs="Times New Roman"/>
              </w:rPr>
              <w:t xml:space="preserve"> IOs)</w:t>
            </w:r>
          </w:p>
        </w:tc>
      </w:tr>
      <w:tr w:rsidR="003A7705" w:rsidRPr="00E2788B" w14:paraId="3A58319E" w14:textId="77777777" w:rsidTr="0081411B">
        <w:tc>
          <w:tcPr>
            <w:tcW w:w="1728" w:type="pct"/>
          </w:tcPr>
          <w:p w14:paraId="1AFFC1D8" w14:textId="77777777" w:rsidR="003A7705" w:rsidRPr="004A18BF" w:rsidRDefault="003A7705" w:rsidP="00D6538B">
            <w:pPr>
              <w:pStyle w:val="TableText"/>
              <w:rPr>
                <w:rFonts w:ascii="Times New Roman" w:hAnsi="Times New Roman" w:cs="Times New Roman"/>
              </w:rPr>
            </w:pPr>
            <w:r w:rsidRPr="004A18BF">
              <w:rPr>
                <w:rFonts w:ascii="Times New Roman" w:hAnsi="Times New Roman" w:cs="Times New Roman"/>
              </w:rPr>
              <w:t>Parental consent</w:t>
            </w:r>
            <w:r>
              <w:rPr>
                <w:rFonts w:ascii="Times New Roman" w:hAnsi="Times New Roman" w:cs="Times New Roman"/>
              </w:rPr>
              <w:t xml:space="preserve"> form</w:t>
            </w:r>
            <w:r w:rsidRPr="004A18BF">
              <w:rPr>
                <w:rFonts w:ascii="Times New Roman" w:hAnsi="Times New Roman" w:cs="Times New Roman"/>
              </w:rPr>
              <w:t xml:space="preserve"> </w:t>
            </w:r>
            <w:r>
              <w:rPr>
                <w:rFonts w:ascii="Times New Roman" w:hAnsi="Times New Roman" w:cs="Times New Roman"/>
              </w:rPr>
              <w:t>(</w:t>
            </w:r>
            <w:r w:rsidRPr="004A18BF">
              <w:rPr>
                <w:rFonts w:ascii="Times New Roman" w:hAnsi="Times New Roman" w:cs="Times New Roman"/>
              </w:rPr>
              <w:t>to participate in the evaluation</w:t>
            </w:r>
            <w:r>
              <w:rPr>
                <w:rFonts w:ascii="Times New Roman" w:hAnsi="Times New Roman" w:cs="Times New Roman"/>
              </w:rPr>
              <w:t>)</w:t>
            </w:r>
          </w:p>
        </w:tc>
        <w:tc>
          <w:tcPr>
            <w:tcW w:w="817" w:type="pct"/>
            <w:vAlign w:val="center"/>
          </w:tcPr>
          <w:p w14:paraId="60BC3A2F" w14:textId="5F1DA246" w:rsidR="003A7705" w:rsidRPr="004A18BF" w:rsidRDefault="00657291" w:rsidP="00D6538B">
            <w:pPr>
              <w:pStyle w:val="TableText"/>
              <w:tabs>
                <w:tab w:val="decimal" w:pos="841"/>
              </w:tabs>
              <w:rPr>
                <w:rFonts w:ascii="Times New Roman" w:hAnsi="Times New Roman" w:cs="Times New Roman"/>
              </w:rPr>
            </w:pPr>
            <w:r>
              <w:rPr>
                <w:rFonts w:ascii="Times New Roman" w:hAnsi="Times New Roman" w:cs="Times New Roman"/>
              </w:rPr>
              <w:t>2,400</w:t>
            </w:r>
          </w:p>
        </w:tc>
        <w:tc>
          <w:tcPr>
            <w:tcW w:w="818" w:type="pct"/>
            <w:vAlign w:val="center"/>
          </w:tcPr>
          <w:p w14:paraId="3010F830" w14:textId="53FB366F" w:rsidR="003A7705" w:rsidRPr="004A18BF" w:rsidRDefault="000460ED" w:rsidP="00D6538B">
            <w:pPr>
              <w:pStyle w:val="TableText"/>
              <w:jc w:val="center"/>
              <w:rPr>
                <w:rFonts w:ascii="Times New Roman" w:hAnsi="Times New Roman" w:cs="Times New Roman"/>
              </w:rPr>
            </w:pPr>
            <w:r>
              <w:rPr>
                <w:rFonts w:ascii="Times New Roman" w:hAnsi="Times New Roman" w:cs="Times New Roman"/>
              </w:rPr>
              <w:t>50-</w:t>
            </w:r>
            <w:r w:rsidR="00724C4A">
              <w:rPr>
                <w:rFonts w:ascii="Times New Roman" w:hAnsi="Times New Roman" w:cs="Times New Roman"/>
              </w:rPr>
              <w:t>70</w:t>
            </w:r>
            <w:r w:rsidR="003A7705" w:rsidRPr="000D0C17">
              <w:rPr>
                <w:rFonts w:ascii="Times New Roman" w:hAnsi="Times New Roman" w:cs="Times New Roman"/>
              </w:rPr>
              <w:t>%</w:t>
            </w:r>
          </w:p>
        </w:tc>
        <w:tc>
          <w:tcPr>
            <w:tcW w:w="818" w:type="pct"/>
            <w:shd w:val="clear" w:color="auto" w:fill="auto"/>
            <w:vAlign w:val="center"/>
          </w:tcPr>
          <w:p w14:paraId="160E1E7C" w14:textId="0EE751CA" w:rsidR="003A7705" w:rsidRPr="0081411B" w:rsidRDefault="000460ED" w:rsidP="00D6538B">
            <w:pPr>
              <w:pStyle w:val="TableText"/>
              <w:jc w:val="center"/>
              <w:rPr>
                <w:rFonts w:ascii="Times New Roman" w:hAnsi="Times New Roman"/>
              </w:rPr>
            </w:pPr>
            <w:r>
              <w:rPr>
                <w:rFonts w:ascii="Times New Roman" w:hAnsi="Times New Roman" w:cs="Times New Roman"/>
              </w:rPr>
              <w:t>1,200-</w:t>
            </w:r>
            <w:r w:rsidR="00657291" w:rsidRPr="00657291">
              <w:rPr>
                <w:rFonts w:ascii="Times New Roman" w:hAnsi="Times New Roman" w:cs="Times New Roman"/>
              </w:rPr>
              <w:t>1,680</w:t>
            </w:r>
          </w:p>
        </w:tc>
        <w:tc>
          <w:tcPr>
            <w:tcW w:w="818" w:type="pct"/>
            <w:shd w:val="clear" w:color="auto" w:fill="auto"/>
            <w:vAlign w:val="center"/>
          </w:tcPr>
          <w:p w14:paraId="36B434BE" w14:textId="5B397D9C" w:rsidR="003A7705" w:rsidRPr="0081411B" w:rsidRDefault="000460ED" w:rsidP="00D6538B">
            <w:pPr>
              <w:pStyle w:val="TableText"/>
              <w:jc w:val="center"/>
              <w:rPr>
                <w:rFonts w:ascii="Times New Roman" w:hAnsi="Times New Roman"/>
              </w:rPr>
            </w:pPr>
            <w:r>
              <w:rPr>
                <w:rFonts w:ascii="Times New Roman" w:hAnsi="Times New Roman" w:cs="Times New Roman"/>
              </w:rPr>
              <w:t>600-</w:t>
            </w:r>
            <w:r w:rsidR="00657291" w:rsidRPr="00657291">
              <w:rPr>
                <w:rFonts w:ascii="Times New Roman" w:hAnsi="Times New Roman" w:cs="Times New Roman"/>
              </w:rPr>
              <w:t>840</w:t>
            </w:r>
          </w:p>
        </w:tc>
      </w:tr>
      <w:tr w:rsidR="003A7705" w:rsidRPr="00E2788B" w14:paraId="295197EB" w14:textId="77777777" w:rsidTr="0081411B">
        <w:tc>
          <w:tcPr>
            <w:tcW w:w="1728" w:type="pct"/>
          </w:tcPr>
          <w:p w14:paraId="64745702" w14:textId="77777777" w:rsidR="003A7705" w:rsidRPr="004A18BF" w:rsidRDefault="003A7705" w:rsidP="00D6538B">
            <w:pPr>
              <w:pStyle w:val="TableText"/>
              <w:rPr>
                <w:rFonts w:ascii="Times New Roman" w:hAnsi="Times New Roman" w:cs="Times New Roman"/>
              </w:rPr>
            </w:pPr>
            <w:r w:rsidRPr="004A18BF">
              <w:rPr>
                <w:rFonts w:ascii="Times New Roman" w:hAnsi="Times New Roman" w:cs="Times New Roman"/>
              </w:rPr>
              <w:t>Classroom roster report</w:t>
            </w:r>
          </w:p>
        </w:tc>
        <w:tc>
          <w:tcPr>
            <w:tcW w:w="817" w:type="pct"/>
          </w:tcPr>
          <w:p w14:paraId="5E3AD50C" w14:textId="4794B199" w:rsidR="003A7705" w:rsidRPr="000D0C17" w:rsidRDefault="00D83649" w:rsidP="00D6538B">
            <w:pPr>
              <w:pStyle w:val="TableText"/>
              <w:tabs>
                <w:tab w:val="decimal" w:pos="841"/>
              </w:tabs>
              <w:rPr>
                <w:rFonts w:ascii="Times New Roman" w:hAnsi="Times New Roman" w:cs="Times New Roman"/>
              </w:rPr>
            </w:pPr>
            <w:r>
              <w:rPr>
                <w:rFonts w:ascii="Times New Roman" w:hAnsi="Times New Roman" w:cs="Times New Roman"/>
              </w:rPr>
              <w:t>14</w:t>
            </w:r>
          </w:p>
        </w:tc>
        <w:tc>
          <w:tcPr>
            <w:tcW w:w="818" w:type="pct"/>
          </w:tcPr>
          <w:p w14:paraId="120C07BA" w14:textId="77777777" w:rsidR="003A7705" w:rsidRPr="000D0C17" w:rsidRDefault="003A7705" w:rsidP="00D6538B">
            <w:pPr>
              <w:pStyle w:val="TableText"/>
              <w:tabs>
                <w:tab w:val="decimal" w:pos="526"/>
              </w:tabs>
              <w:rPr>
                <w:rFonts w:ascii="Times New Roman" w:hAnsi="Times New Roman" w:cs="Times New Roman"/>
              </w:rPr>
            </w:pPr>
            <w:r w:rsidRPr="000D0C17">
              <w:rPr>
                <w:rFonts w:ascii="Times New Roman" w:hAnsi="Times New Roman" w:cs="Times New Roman"/>
              </w:rPr>
              <w:t>100%</w:t>
            </w:r>
          </w:p>
        </w:tc>
        <w:tc>
          <w:tcPr>
            <w:tcW w:w="818" w:type="pct"/>
          </w:tcPr>
          <w:p w14:paraId="7291204B" w14:textId="2E6E11F3" w:rsidR="003A7705" w:rsidRPr="000D0C17" w:rsidRDefault="00D83649" w:rsidP="00D6538B">
            <w:pPr>
              <w:pStyle w:val="TableText"/>
              <w:tabs>
                <w:tab w:val="decimal" w:pos="736"/>
              </w:tabs>
              <w:rPr>
                <w:rFonts w:ascii="Times New Roman" w:hAnsi="Times New Roman" w:cs="Times New Roman"/>
              </w:rPr>
            </w:pPr>
            <w:r>
              <w:rPr>
                <w:rFonts w:ascii="Times New Roman" w:hAnsi="Times New Roman" w:cs="Times New Roman"/>
              </w:rPr>
              <w:t>14</w:t>
            </w:r>
          </w:p>
        </w:tc>
        <w:tc>
          <w:tcPr>
            <w:tcW w:w="818" w:type="pct"/>
          </w:tcPr>
          <w:p w14:paraId="00286905" w14:textId="3A1600E9" w:rsidR="003A7705" w:rsidRPr="000D0C17" w:rsidRDefault="00D83649" w:rsidP="00D83649">
            <w:pPr>
              <w:pStyle w:val="TableText"/>
              <w:tabs>
                <w:tab w:val="decimal" w:pos="736"/>
              </w:tabs>
              <w:rPr>
                <w:rFonts w:ascii="Times New Roman" w:hAnsi="Times New Roman" w:cs="Times New Roman"/>
              </w:rPr>
            </w:pPr>
            <w:r>
              <w:rPr>
                <w:rFonts w:ascii="Times New Roman" w:hAnsi="Times New Roman" w:cs="Times New Roman"/>
              </w:rPr>
              <w:t>7</w:t>
            </w:r>
          </w:p>
        </w:tc>
      </w:tr>
      <w:tr w:rsidR="003A7705" w:rsidRPr="00E2788B" w14:paraId="02DB1F6A" w14:textId="77777777" w:rsidTr="0081411B">
        <w:tc>
          <w:tcPr>
            <w:tcW w:w="1728" w:type="pct"/>
          </w:tcPr>
          <w:p w14:paraId="5F3B2338" w14:textId="77777777" w:rsidR="003A7705" w:rsidRPr="004A18BF" w:rsidRDefault="003A7705" w:rsidP="00D6538B">
            <w:pPr>
              <w:pStyle w:val="TableText"/>
              <w:rPr>
                <w:rFonts w:ascii="Times New Roman" w:hAnsi="Times New Roman" w:cs="Times New Roman"/>
              </w:rPr>
            </w:pPr>
            <w:r w:rsidRPr="004A18BF">
              <w:rPr>
                <w:rFonts w:ascii="Times New Roman" w:hAnsi="Times New Roman" w:cs="Times New Roman"/>
              </w:rPr>
              <w:t>Outcome baseline survey</w:t>
            </w:r>
          </w:p>
        </w:tc>
        <w:tc>
          <w:tcPr>
            <w:tcW w:w="817" w:type="pct"/>
          </w:tcPr>
          <w:p w14:paraId="7AC3072A" w14:textId="0C131D19" w:rsidR="003A7705" w:rsidRPr="000D0C17" w:rsidRDefault="004767BB" w:rsidP="00D6538B">
            <w:pPr>
              <w:pStyle w:val="TableText"/>
              <w:tabs>
                <w:tab w:val="decimal" w:pos="841"/>
              </w:tabs>
              <w:rPr>
                <w:rFonts w:ascii="Times New Roman" w:hAnsi="Times New Roman" w:cs="Times New Roman"/>
              </w:rPr>
            </w:pPr>
            <w:r>
              <w:rPr>
                <w:rFonts w:ascii="Times New Roman" w:hAnsi="Times New Roman" w:cs="Times New Roman"/>
              </w:rPr>
              <w:t>1,680</w:t>
            </w:r>
          </w:p>
        </w:tc>
        <w:tc>
          <w:tcPr>
            <w:tcW w:w="818" w:type="pct"/>
          </w:tcPr>
          <w:p w14:paraId="26F6BEB6" w14:textId="544FF1AB" w:rsidR="003A7705" w:rsidRPr="000D0C17" w:rsidRDefault="004767BB" w:rsidP="00D6538B">
            <w:pPr>
              <w:pStyle w:val="TableText"/>
              <w:tabs>
                <w:tab w:val="decimal" w:pos="526"/>
              </w:tabs>
              <w:rPr>
                <w:rFonts w:ascii="Times New Roman" w:hAnsi="Times New Roman" w:cs="Times New Roman"/>
              </w:rPr>
            </w:pPr>
            <w:r>
              <w:rPr>
                <w:rFonts w:ascii="Times New Roman" w:hAnsi="Times New Roman" w:cs="Times New Roman"/>
              </w:rPr>
              <w:t>95%</w:t>
            </w:r>
          </w:p>
        </w:tc>
        <w:tc>
          <w:tcPr>
            <w:tcW w:w="818" w:type="pct"/>
          </w:tcPr>
          <w:p w14:paraId="62FF07AF" w14:textId="19F6FFB2" w:rsidR="003A7705" w:rsidRPr="000D0C17" w:rsidRDefault="00EA1068" w:rsidP="00D6538B">
            <w:pPr>
              <w:pStyle w:val="TableText"/>
              <w:tabs>
                <w:tab w:val="decimal" w:pos="736"/>
              </w:tabs>
              <w:rPr>
                <w:rFonts w:ascii="Times New Roman" w:hAnsi="Times New Roman" w:cs="Times New Roman"/>
              </w:rPr>
            </w:pPr>
            <w:r>
              <w:rPr>
                <w:rFonts w:ascii="Times New Roman" w:hAnsi="Times New Roman" w:cs="Times New Roman"/>
              </w:rPr>
              <w:t>1,596</w:t>
            </w:r>
          </w:p>
        </w:tc>
        <w:tc>
          <w:tcPr>
            <w:tcW w:w="818" w:type="pct"/>
          </w:tcPr>
          <w:p w14:paraId="6CD6ADEC" w14:textId="33BC0996" w:rsidR="003A7705" w:rsidRPr="000D0C17" w:rsidRDefault="0021430E" w:rsidP="00D6538B">
            <w:pPr>
              <w:pStyle w:val="TableText"/>
              <w:tabs>
                <w:tab w:val="decimal" w:pos="736"/>
              </w:tabs>
              <w:rPr>
                <w:rFonts w:ascii="Times New Roman" w:hAnsi="Times New Roman" w:cs="Times New Roman"/>
              </w:rPr>
            </w:pPr>
            <w:r>
              <w:rPr>
                <w:rFonts w:ascii="Times New Roman" w:hAnsi="Times New Roman" w:cs="Times New Roman"/>
              </w:rPr>
              <w:t>804</w:t>
            </w:r>
          </w:p>
        </w:tc>
      </w:tr>
      <w:tr w:rsidR="003A7705" w:rsidRPr="00E2788B" w14:paraId="20052657" w14:textId="77777777" w:rsidTr="0081411B">
        <w:tc>
          <w:tcPr>
            <w:tcW w:w="1728" w:type="pct"/>
          </w:tcPr>
          <w:p w14:paraId="2B50CF8B" w14:textId="77777777" w:rsidR="003A7705" w:rsidRPr="004A18BF" w:rsidRDefault="003A7705" w:rsidP="00D6538B">
            <w:pPr>
              <w:pStyle w:val="TableText"/>
              <w:rPr>
                <w:rFonts w:ascii="Times New Roman" w:hAnsi="Times New Roman" w:cs="Times New Roman"/>
              </w:rPr>
            </w:pPr>
            <w:r w:rsidRPr="004A18BF">
              <w:rPr>
                <w:rFonts w:ascii="Times New Roman" w:hAnsi="Times New Roman" w:cs="Times New Roman"/>
              </w:rPr>
              <w:t>Outcome follow-up survey</w:t>
            </w:r>
          </w:p>
        </w:tc>
        <w:tc>
          <w:tcPr>
            <w:tcW w:w="817" w:type="pct"/>
          </w:tcPr>
          <w:p w14:paraId="5636DD84" w14:textId="4FC882A1" w:rsidR="003A7705" w:rsidRPr="000D0C17" w:rsidRDefault="004767BB" w:rsidP="00D6538B">
            <w:pPr>
              <w:pStyle w:val="TableText"/>
              <w:tabs>
                <w:tab w:val="decimal" w:pos="841"/>
              </w:tabs>
              <w:rPr>
                <w:rFonts w:ascii="Times New Roman" w:hAnsi="Times New Roman" w:cs="Times New Roman"/>
              </w:rPr>
            </w:pPr>
            <w:r>
              <w:rPr>
                <w:rFonts w:ascii="Times New Roman" w:hAnsi="Times New Roman" w:cs="Times New Roman"/>
              </w:rPr>
              <w:t>1,680</w:t>
            </w:r>
          </w:p>
        </w:tc>
        <w:tc>
          <w:tcPr>
            <w:tcW w:w="818" w:type="pct"/>
          </w:tcPr>
          <w:p w14:paraId="11DCEF84" w14:textId="5A482ABC" w:rsidR="003A7705" w:rsidRPr="000D0C17" w:rsidRDefault="004767BB" w:rsidP="00D6538B">
            <w:pPr>
              <w:pStyle w:val="TableText"/>
              <w:tabs>
                <w:tab w:val="decimal" w:pos="526"/>
              </w:tabs>
              <w:rPr>
                <w:rFonts w:ascii="Times New Roman" w:hAnsi="Times New Roman" w:cs="Times New Roman"/>
              </w:rPr>
            </w:pPr>
            <w:r>
              <w:rPr>
                <w:rFonts w:ascii="Times New Roman" w:hAnsi="Times New Roman" w:cs="Times New Roman"/>
              </w:rPr>
              <w:t>95%</w:t>
            </w:r>
          </w:p>
        </w:tc>
        <w:tc>
          <w:tcPr>
            <w:tcW w:w="818" w:type="pct"/>
          </w:tcPr>
          <w:p w14:paraId="63DD5745" w14:textId="1D9C5CBE" w:rsidR="003A7705" w:rsidRPr="000D0C17" w:rsidRDefault="00EA1068" w:rsidP="00D6538B">
            <w:pPr>
              <w:pStyle w:val="TableText"/>
              <w:tabs>
                <w:tab w:val="decimal" w:pos="736"/>
              </w:tabs>
              <w:rPr>
                <w:rFonts w:ascii="Times New Roman" w:hAnsi="Times New Roman" w:cs="Times New Roman"/>
              </w:rPr>
            </w:pPr>
            <w:r>
              <w:rPr>
                <w:rFonts w:ascii="Times New Roman" w:hAnsi="Times New Roman" w:cs="Times New Roman"/>
              </w:rPr>
              <w:t>1,596</w:t>
            </w:r>
          </w:p>
        </w:tc>
        <w:tc>
          <w:tcPr>
            <w:tcW w:w="818" w:type="pct"/>
          </w:tcPr>
          <w:p w14:paraId="3D69D45F" w14:textId="129EB4D3" w:rsidR="003A7705" w:rsidRPr="000D0C17" w:rsidRDefault="0021430E" w:rsidP="00D6538B">
            <w:pPr>
              <w:pStyle w:val="TableText"/>
              <w:tabs>
                <w:tab w:val="decimal" w:pos="736"/>
              </w:tabs>
              <w:rPr>
                <w:rFonts w:ascii="Times New Roman" w:hAnsi="Times New Roman" w:cs="Times New Roman"/>
              </w:rPr>
            </w:pPr>
            <w:r>
              <w:rPr>
                <w:rFonts w:ascii="Times New Roman" w:hAnsi="Times New Roman" w:cs="Times New Roman"/>
              </w:rPr>
              <w:t>804</w:t>
            </w:r>
          </w:p>
        </w:tc>
      </w:tr>
      <w:tr w:rsidR="003A7705" w:rsidRPr="00E2788B" w14:paraId="6739821F" w14:textId="77777777" w:rsidTr="0081411B">
        <w:tc>
          <w:tcPr>
            <w:tcW w:w="1728" w:type="pct"/>
          </w:tcPr>
          <w:p w14:paraId="72BD2FCD" w14:textId="77777777" w:rsidR="003A7705" w:rsidRPr="004A18BF" w:rsidRDefault="003A7705" w:rsidP="00D6538B">
            <w:pPr>
              <w:pStyle w:val="TableText"/>
              <w:rPr>
                <w:rFonts w:ascii="Times New Roman" w:hAnsi="Times New Roman" w:cs="Times New Roman"/>
              </w:rPr>
            </w:pPr>
            <w:r w:rsidRPr="004A18BF">
              <w:rPr>
                <w:rFonts w:ascii="Times New Roman" w:hAnsi="Times New Roman" w:cs="Times New Roman"/>
              </w:rPr>
              <w:t xml:space="preserve">Facilitator </w:t>
            </w:r>
            <w:r>
              <w:rPr>
                <w:rFonts w:ascii="Times New Roman" w:hAnsi="Times New Roman" w:cs="Times New Roman"/>
              </w:rPr>
              <w:t>s</w:t>
            </w:r>
            <w:r w:rsidRPr="004A18BF">
              <w:rPr>
                <w:rFonts w:ascii="Times New Roman" w:hAnsi="Times New Roman" w:cs="Times New Roman"/>
              </w:rPr>
              <w:t xml:space="preserve">ession </w:t>
            </w:r>
            <w:r>
              <w:rPr>
                <w:rFonts w:ascii="Times New Roman" w:hAnsi="Times New Roman" w:cs="Times New Roman"/>
              </w:rPr>
              <w:t>l</w:t>
            </w:r>
            <w:r w:rsidRPr="004A18BF">
              <w:rPr>
                <w:rFonts w:ascii="Times New Roman" w:hAnsi="Times New Roman" w:cs="Times New Roman"/>
              </w:rPr>
              <w:t>ogs</w:t>
            </w:r>
          </w:p>
        </w:tc>
        <w:tc>
          <w:tcPr>
            <w:tcW w:w="817" w:type="pct"/>
          </w:tcPr>
          <w:p w14:paraId="5EDFAEB7" w14:textId="0E725809" w:rsidR="003A7705" w:rsidRPr="000D0C17" w:rsidRDefault="002C1F05" w:rsidP="00D6538B">
            <w:pPr>
              <w:pStyle w:val="TableText"/>
              <w:tabs>
                <w:tab w:val="decimal" w:pos="841"/>
              </w:tabs>
              <w:rPr>
                <w:rFonts w:ascii="Times New Roman" w:hAnsi="Times New Roman" w:cs="Times New Roman"/>
              </w:rPr>
            </w:pPr>
            <w:r w:rsidRPr="002C1F05">
              <w:rPr>
                <w:rFonts w:ascii="Times New Roman" w:hAnsi="Times New Roman" w:cs="Times New Roman"/>
              </w:rPr>
              <w:t>600</w:t>
            </w:r>
          </w:p>
        </w:tc>
        <w:tc>
          <w:tcPr>
            <w:tcW w:w="818" w:type="pct"/>
          </w:tcPr>
          <w:p w14:paraId="463E7F9E" w14:textId="53A7F755" w:rsidR="003A7705" w:rsidRPr="000D0C17" w:rsidRDefault="0067478E" w:rsidP="00D6538B">
            <w:pPr>
              <w:pStyle w:val="TableText"/>
              <w:tabs>
                <w:tab w:val="decimal" w:pos="526"/>
              </w:tabs>
              <w:rPr>
                <w:rFonts w:ascii="Times New Roman" w:hAnsi="Times New Roman" w:cs="Times New Roman"/>
              </w:rPr>
            </w:pPr>
            <w:r>
              <w:rPr>
                <w:rFonts w:ascii="Times New Roman" w:hAnsi="Times New Roman" w:cs="Times New Roman"/>
              </w:rPr>
              <w:t>100%</w:t>
            </w:r>
          </w:p>
        </w:tc>
        <w:tc>
          <w:tcPr>
            <w:tcW w:w="818" w:type="pct"/>
          </w:tcPr>
          <w:p w14:paraId="66B2A1C5" w14:textId="6DC85C35" w:rsidR="003A7705" w:rsidRPr="000D0C17" w:rsidRDefault="002C1F05" w:rsidP="00D6538B">
            <w:pPr>
              <w:pStyle w:val="TableText"/>
              <w:tabs>
                <w:tab w:val="decimal" w:pos="736"/>
              </w:tabs>
              <w:rPr>
                <w:rFonts w:ascii="Times New Roman" w:hAnsi="Times New Roman" w:cs="Times New Roman"/>
              </w:rPr>
            </w:pPr>
            <w:r w:rsidRPr="002C1F05">
              <w:rPr>
                <w:rFonts w:ascii="Times New Roman" w:hAnsi="Times New Roman" w:cs="Times New Roman"/>
              </w:rPr>
              <w:t>600</w:t>
            </w:r>
          </w:p>
        </w:tc>
        <w:tc>
          <w:tcPr>
            <w:tcW w:w="818" w:type="pct"/>
          </w:tcPr>
          <w:p w14:paraId="6DF4E671" w14:textId="3A863F69" w:rsidR="003A7705" w:rsidRPr="000D0C17" w:rsidRDefault="006456EA" w:rsidP="00D6538B">
            <w:pPr>
              <w:pStyle w:val="TableText"/>
              <w:tabs>
                <w:tab w:val="decimal" w:pos="736"/>
              </w:tabs>
              <w:rPr>
                <w:rFonts w:ascii="Times New Roman" w:hAnsi="Times New Roman" w:cs="Times New Roman"/>
              </w:rPr>
            </w:pPr>
            <w:r>
              <w:rPr>
                <w:rFonts w:ascii="Times New Roman" w:hAnsi="Times New Roman" w:cs="Times New Roman"/>
              </w:rPr>
              <w:t>300</w:t>
            </w:r>
          </w:p>
        </w:tc>
      </w:tr>
      <w:tr w:rsidR="003A7705" w:rsidRPr="00E2788B" w14:paraId="153EDDA3" w14:textId="77777777" w:rsidTr="0081411B">
        <w:tc>
          <w:tcPr>
            <w:tcW w:w="1728" w:type="pct"/>
          </w:tcPr>
          <w:p w14:paraId="2441CFE2" w14:textId="77777777" w:rsidR="003A7705" w:rsidRPr="004A18BF" w:rsidRDefault="003A7705" w:rsidP="00D6538B">
            <w:pPr>
              <w:pStyle w:val="TableText"/>
              <w:rPr>
                <w:rFonts w:ascii="Times New Roman" w:hAnsi="Times New Roman" w:cs="Times New Roman"/>
              </w:rPr>
            </w:pPr>
            <w:r w:rsidRPr="004A18BF">
              <w:rPr>
                <w:rFonts w:ascii="Times New Roman" w:hAnsi="Times New Roman" w:cs="Times New Roman"/>
              </w:rPr>
              <w:t xml:space="preserve">Facilitator </w:t>
            </w:r>
            <w:r>
              <w:rPr>
                <w:rFonts w:ascii="Times New Roman" w:hAnsi="Times New Roman" w:cs="Times New Roman"/>
              </w:rPr>
              <w:t>s</w:t>
            </w:r>
            <w:r w:rsidRPr="004A18BF">
              <w:rPr>
                <w:rFonts w:ascii="Times New Roman" w:hAnsi="Times New Roman" w:cs="Times New Roman"/>
              </w:rPr>
              <w:t>urvey</w:t>
            </w:r>
          </w:p>
        </w:tc>
        <w:tc>
          <w:tcPr>
            <w:tcW w:w="817" w:type="pct"/>
          </w:tcPr>
          <w:p w14:paraId="0BD0C4CE" w14:textId="4B3B772F" w:rsidR="003A7705" w:rsidRPr="000D0C17" w:rsidRDefault="003A7705" w:rsidP="00D6538B">
            <w:pPr>
              <w:pStyle w:val="TableText"/>
              <w:tabs>
                <w:tab w:val="decimal" w:pos="841"/>
              </w:tabs>
              <w:rPr>
                <w:rFonts w:ascii="Times New Roman" w:hAnsi="Times New Roman" w:cs="Times New Roman"/>
              </w:rPr>
            </w:pPr>
            <w:r w:rsidRPr="000D0C17">
              <w:rPr>
                <w:rFonts w:ascii="Times New Roman" w:hAnsi="Times New Roman" w:cs="Times New Roman"/>
              </w:rPr>
              <w:t>8</w:t>
            </w:r>
          </w:p>
        </w:tc>
        <w:tc>
          <w:tcPr>
            <w:tcW w:w="818" w:type="pct"/>
          </w:tcPr>
          <w:p w14:paraId="631AD30C" w14:textId="43583053" w:rsidR="003A7705" w:rsidRPr="000D0C17" w:rsidRDefault="00826048" w:rsidP="00D6538B">
            <w:pPr>
              <w:pStyle w:val="TableText"/>
              <w:tabs>
                <w:tab w:val="decimal" w:pos="526"/>
              </w:tabs>
              <w:rPr>
                <w:rFonts w:ascii="Times New Roman" w:hAnsi="Times New Roman" w:cs="Times New Roman"/>
              </w:rPr>
            </w:pPr>
            <w:r>
              <w:rPr>
                <w:rFonts w:ascii="Times New Roman" w:hAnsi="Times New Roman" w:cs="Times New Roman"/>
              </w:rPr>
              <w:t>10</w:t>
            </w:r>
            <w:r w:rsidR="003A7705" w:rsidRPr="000D0C17">
              <w:rPr>
                <w:rFonts w:ascii="Times New Roman" w:hAnsi="Times New Roman" w:cs="Times New Roman"/>
              </w:rPr>
              <w:t>0</w:t>
            </w:r>
            <w:r w:rsidR="003A7705">
              <w:rPr>
                <w:rFonts w:ascii="Times New Roman" w:hAnsi="Times New Roman" w:cs="Times New Roman"/>
              </w:rPr>
              <w:t>%</w:t>
            </w:r>
          </w:p>
        </w:tc>
        <w:tc>
          <w:tcPr>
            <w:tcW w:w="818" w:type="pct"/>
          </w:tcPr>
          <w:p w14:paraId="171F66C0" w14:textId="2942A95C" w:rsidR="003A7705" w:rsidRPr="000D0C17" w:rsidRDefault="00826048" w:rsidP="00D6538B">
            <w:pPr>
              <w:pStyle w:val="TableText"/>
              <w:tabs>
                <w:tab w:val="decimal" w:pos="736"/>
              </w:tabs>
              <w:rPr>
                <w:rFonts w:ascii="Times New Roman" w:hAnsi="Times New Roman" w:cs="Times New Roman"/>
              </w:rPr>
            </w:pPr>
            <w:r>
              <w:rPr>
                <w:rFonts w:ascii="Times New Roman" w:hAnsi="Times New Roman" w:cs="Times New Roman"/>
              </w:rPr>
              <w:t>8</w:t>
            </w:r>
          </w:p>
        </w:tc>
        <w:tc>
          <w:tcPr>
            <w:tcW w:w="818" w:type="pct"/>
          </w:tcPr>
          <w:p w14:paraId="2AB5A31A" w14:textId="7D67F3A7" w:rsidR="003A7705" w:rsidRPr="000D0C17" w:rsidRDefault="005F660B" w:rsidP="00D6538B">
            <w:pPr>
              <w:pStyle w:val="TableText"/>
              <w:tabs>
                <w:tab w:val="decimal" w:pos="736"/>
              </w:tabs>
              <w:rPr>
                <w:rFonts w:ascii="Times New Roman" w:hAnsi="Times New Roman" w:cs="Times New Roman"/>
              </w:rPr>
            </w:pPr>
            <w:r>
              <w:rPr>
                <w:rFonts w:ascii="Times New Roman" w:hAnsi="Times New Roman" w:cs="Times New Roman"/>
              </w:rPr>
              <w:t>4</w:t>
            </w:r>
          </w:p>
        </w:tc>
      </w:tr>
      <w:tr w:rsidR="003A7705" w:rsidRPr="00E2788B" w14:paraId="479CDC73" w14:textId="77777777" w:rsidTr="0081411B">
        <w:tc>
          <w:tcPr>
            <w:tcW w:w="1728" w:type="pct"/>
          </w:tcPr>
          <w:p w14:paraId="27C96ABE" w14:textId="77777777" w:rsidR="003A7705" w:rsidRPr="004A18BF" w:rsidRDefault="003A7705" w:rsidP="00D6538B">
            <w:pPr>
              <w:pStyle w:val="TableText"/>
              <w:rPr>
                <w:rFonts w:ascii="Times New Roman" w:hAnsi="Times New Roman" w:cs="Times New Roman"/>
              </w:rPr>
            </w:pPr>
            <w:r w:rsidRPr="004A18BF">
              <w:rPr>
                <w:rFonts w:ascii="Times New Roman" w:hAnsi="Times New Roman" w:cs="Times New Roman"/>
              </w:rPr>
              <w:t xml:space="preserve">Facilitator </w:t>
            </w:r>
            <w:r>
              <w:rPr>
                <w:rFonts w:ascii="Times New Roman" w:hAnsi="Times New Roman" w:cs="Times New Roman"/>
              </w:rPr>
              <w:t>k</w:t>
            </w:r>
            <w:r w:rsidRPr="004A18BF">
              <w:rPr>
                <w:rFonts w:ascii="Times New Roman" w:hAnsi="Times New Roman" w:cs="Times New Roman"/>
              </w:rPr>
              <w:t xml:space="preserve">ey </w:t>
            </w:r>
            <w:r>
              <w:rPr>
                <w:rFonts w:ascii="Times New Roman" w:hAnsi="Times New Roman" w:cs="Times New Roman"/>
              </w:rPr>
              <w:t>i</w:t>
            </w:r>
            <w:r w:rsidRPr="004A18BF">
              <w:rPr>
                <w:rFonts w:ascii="Times New Roman" w:hAnsi="Times New Roman" w:cs="Times New Roman"/>
              </w:rPr>
              <w:t xml:space="preserve">nformant </w:t>
            </w:r>
            <w:r>
              <w:rPr>
                <w:rFonts w:ascii="Times New Roman" w:hAnsi="Times New Roman" w:cs="Times New Roman"/>
              </w:rPr>
              <w:t>i</w:t>
            </w:r>
            <w:r w:rsidRPr="004A18BF">
              <w:rPr>
                <w:rFonts w:ascii="Times New Roman" w:hAnsi="Times New Roman" w:cs="Times New Roman"/>
              </w:rPr>
              <w:t>nterviews</w:t>
            </w:r>
          </w:p>
        </w:tc>
        <w:tc>
          <w:tcPr>
            <w:tcW w:w="817" w:type="pct"/>
          </w:tcPr>
          <w:p w14:paraId="7510BB29" w14:textId="17FB4794" w:rsidR="003A7705" w:rsidRPr="000D0C17" w:rsidRDefault="00AC0FBB" w:rsidP="00D6538B">
            <w:pPr>
              <w:pStyle w:val="TableText"/>
              <w:tabs>
                <w:tab w:val="decimal" w:pos="841"/>
              </w:tabs>
              <w:rPr>
                <w:rFonts w:ascii="Times New Roman" w:hAnsi="Times New Roman" w:cs="Times New Roman"/>
              </w:rPr>
            </w:pPr>
            <w:r>
              <w:rPr>
                <w:rFonts w:ascii="Times New Roman" w:hAnsi="Times New Roman" w:cs="Times New Roman"/>
              </w:rPr>
              <w:t>6</w:t>
            </w:r>
          </w:p>
        </w:tc>
        <w:tc>
          <w:tcPr>
            <w:tcW w:w="818" w:type="pct"/>
          </w:tcPr>
          <w:p w14:paraId="1DE90051" w14:textId="77777777" w:rsidR="003A7705" w:rsidRPr="000D0C17" w:rsidRDefault="003A7705" w:rsidP="00D6538B">
            <w:pPr>
              <w:pStyle w:val="TableText"/>
              <w:tabs>
                <w:tab w:val="decimal" w:pos="526"/>
              </w:tabs>
              <w:rPr>
                <w:rFonts w:ascii="Times New Roman" w:hAnsi="Times New Roman" w:cs="Times New Roman"/>
              </w:rPr>
            </w:pPr>
            <w:r w:rsidRPr="000D0C17">
              <w:rPr>
                <w:rFonts w:ascii="Times New Roman" w:hAnsi="Times New Roman" w:cs="Times New Roman"/>
              </w:rPr>
              <w:t>100</w:t>
            </w:r>
            <w:r>
              <w:rPr>
                <w:rFonts w:ascii="Times New Roman" w:hAnsi="Times New Roman" w:cs="Times New Roman"/>
              </w:rPr>
              <w:t>%</w:t>
            </w:r>
          </w:p>
        </w:tc>
        <w:tc>
          <w:tcPr>
            <w:tcW w:w="818" w:type="pct"/>
          </w:tcPr>
          <w:p w14:paraId="0EBDF6F9" w14:textId="1DF5C0A0" w:rsidR="003A7705" w:rsidRPr="000D0C17" w:rsidRDefault="005F660B" w:rsidP="00D6538B">
            <w:pPr>
              <w:pStyle w:val="TableText"/>
              <w:tabs>
                <w:tab w:val="decimal" w:pos="736"/>
              </w:tabs>
              <w:rPr>
                <w:rFonts w:ascii="Times New Roman" w:hAnsi="Times New Roman" w:cs="Times New Roman"/>
              </w:rPr>
            </w:pPr>
            <w:r>
              <w:rPr>
                <w:rFonts w:ascii="Times New Roman" w:hAnsi="Times New Roman" w:cs="Times New Roman"/>
              </w:rPr>
              <w:t>6</w:t>
            </w:r>
          </w:p>
        </w:tc>
        <w:tc>
          <w:tcPr>
            <w:tcW w:w="818" w:type="pct"/>
          </w:tcPr>
          <w:p w14:paraId="28B8763D" w14:textId="77EB7504" w:rsidR="003A7705" w:rsidRPr="000D0C17" w:rsidRDefault="005F660B" w:rsidP="00D6538B">
            <w:pPr>
              <w:pStyle w:val="TableText"/>
              <w:tabs>
                <w:tab w:val="decimal" w:pos="736"/>
              </w:tabs>
              <w:rPr>
                <w:rFonts w:ascii="Times New Roman" w:hAnsi="Times New Roman" w:cs="Times New Roman"/>
              </w:rPr>
            </w:pPr>
            <w:r>
              <w:rPr>
                <w:rFonts w:ascii="Times New Roman" w:hAnsi="Times New Roman" w:cs="Times New Roman"/>
              </w:rPr>
              <w:t>3</w:t>
            </w:r>
          </w:p>
        </w:tc>
      </w:tr>
      <w:tr w:rsidR="003A7705" w:rsidRPr="00E2788B" w14:paraId="4B61052C" w14:textId="77777777" w:rsidTr="0081411B">
        <w:tc>
          <w:tcPr>
            <w:tcW w:w="1728" w:type="pct"/>
          </w:tcPr>
          <w:p w14:paraId="67C1FCE5" w14:textId="1EF511D1" w:rsidR="003A7705" w:rsidRPr="004A18BF" w:rsidRDefault="0031311B" w:rsidP="00D6538B">
            <w:pPr>
              <w:pStyle w:val="TableText"/>
              <w:rPr>
                <w:rFonts w:ascii="Times New Roman" w:hAnsi="Times New Roman" w:cs="Times New Roman"/>
              </w:rPr>
            </w:pPr>
            <w:r>
              <w:rPr>
                <w:rFonts w:ascii="Times New Roman" w:hAnsi="Times New Roman" w:cs="Times New Roman"/>
              </w:rPr>
              <w:t>School</w:t>
            </w:r>
            <w:r w:rsidR="003A7705" w:rsidRPr="004A18BF">
              <w:rPr>
                <w:rFonts w:ascii="Times New Roman" w:hAnsi="Times New Roman" w:cs="Times New Roman"/>
              </w:rPr>
              <w:t xml:space="preserve"> </w:t>
            </w:r>
            <w:r w:rsidR="003A7705">
              <w:rPr>
                <w:rFonts w:ascii="Times New Roman" w:hAnsi="Times New Roman" w:cs="Times New Roman"/>
              </w:rPr>
              <w:t>r</w:t>
            </w:r>
            <w:r w:rsidR="003A7705" w:rsidRPr="004A18BF">
              <w:rPr>
                <w:rFonts w:ascii="Times New Roman" w:hAnsi="Times New Roman" w:cs="Times New Roman"/>
              </w:rPr>
              <w:t xml:space="preserve">epresentative </w:t>
            </w:r>
            <w:r w:rsidR="003A7705">
              <w:rPr>
                <w:rFonts w:ascii="Times New Roman" w:hAnsi="Times New Roman" w:cs="Times New Roman"/>
              </w:rPr>
              <w:t>k</w:t>
            </w:r>
            <w:r w:rsidR="003A7705" w:rsidRPr="004A18BF">
              <w:rPr>
                <w:rFonts w:ascii="Times New Roman" w:hAnsi="Times New Roman" w:cs="Times New Roman"/>
              </w:rPr>
              <w:t xml:space="preserve">ey </w:t>
            </w:r>
            <w:r w:rsidR="003A7705">
              <w:rPr>
                <w:rFonts w:ascii="Times New Roman" w:hAnsi="Times New Roman" w:cs="Times New Roman"/>
              </w:rPr>
              <w:t>i</w:t>
            </w:r>
            <w:r w:rsidR="003A7705" w:rsidRPr="004A18BF">
              <w:rPr>
                <w:rFonts w:ascii="Times New Roman" w:hAnsi="Times New Roman" w:cs="Times New Roman"/>
              </w:rPr>
              <w:t xml:space="preserve">nformant </w:t>
            </w:r>
            <w:r w:rsidR="003A7705">
              <w:rPr>
                <w:rFonts w:ascii="Times New Roman" w:hAnsi="Times New Roman" w:cs="Times New Roman"/>
              </w:rPr>
              <w:t>i</w:t>
            </w:r>
            <w:r w:rsidR="003A7705" w:rsidRPr="004A18BF">
              <w:rPr>
                <w:rFonts w:ascii="Times New Roman" w:hAnsi="Times New Roman" w:cs="Times New Roman"/>
              </w:rPr>
              <w:t>nterviews</w:t>
            </w:r>
          </w:p>
        </w:tc>
        <w:tc>
          <w:tcPr>
            <w:tcW w:w="817" w:type="pct"/>
            <w:vAlign w:val="center"/>
          </w:tcPr>
          <w:p w14:paraId="180FC438" w14:textId="3AB9400A" w:rsidR="003A7705" w:rsidRPr="000D0C17" w:rsidRDefault="00AC0FBB" w:rsidP="00D6538B">
            <w:pPr>
              <w:pStyle w:val="TableText"/>
              <w:tabs>
                <w:tab w:val="decimal" w:pos="841"/>
              </w:tabs>
              <w:rPr>
                <w:rFonts w:ascii="Times New Roman" w:hAnsi="Times New Roman" w:cs="Times New Roman"/>
              </w:rPr>
            </w:pPr>
            <w:r>
              <w:rPr>
                <w:rFonts w:ascii="Times New Roman" w:hAnsi="Times New Roman" w:cs="Times New Roman"/>
              </w:rPr>
              <w:t>4</w:t>
            </w:r>
          </w:p>
        </w:tc>
        <w:tc>
          <w:tcPr>
            <w:tcW w:w="818" w:type="pct"/>
            <w:vAlign w:val="center"/>
          </w:tcPr>
          <w:p w14:paraId="2FE768D1" w14:textId="77777777" w:rsidR="003A7705" w:rsidRPr="000D0C17" w:rsidRDefault="003A7705" w:rsidP="00D6538B">
            <w:pPr>
              <w:pStyle w:val="TableText"/>
              <w:tabs>
                <w:tab w:val="decimal" w:pos="526"/>
              </w:tabs>
              <w:rPr>
                <w:rFonts w:ascii="Times New Roman" w:hAnsi="Times New Roman" w:cs="Times New Roman"/>
              </w:rPr>
            </w:pPr>
            <w:r w:rsidRPr="000D0C17">
              <w:rPr>
                <w:rFonts w:ascii="Times New Roman" w:hAnsi="Times New Roman" w:cs="Times New Roman"/>
              </w:rPr>
              <w:t>100</w:t>
            </w:r>
            <w:r>
              <w:rPr>
                <w:rFonts w:ascii="Times New Roman" w:hAnsi="Times New Roman" w:cs="Times New Roman"/>
              </w:rPr>
              <w:t>%</w:t>
            </w:r>
          </w:p>
        </w:tc>
        <w:tc>
          <w:tcPr>
            <w:tcW w:w="818" w:type="pct"/>
            <w:vAlign w:val="center"/>
          </w:tcPr>
          <w:p w14:paraId="5BACF6E9" w14:textId="6FDA938D" w:rsidR="003A7705" w:rsidRPr="000D0C17" w:rsidRDefault="005F660B" w:rsidP="00D6538B">
            <w:pPr>
              <w:pStyle w:val="TableText"/>
              <w:tabs>
                <w:tab w:val="decimal" w:pos="736"/>
              </w:tabs>
              <w:rPr>
                <w:rFonts w:ascii="Times New Roman" w:hAnsi="Times New Roman" w:cs="Times New Roman"/>
              </w:rPr>
            </w:pPr>
            <w:r>
              <w:rPr>
                <w:rFonts w:ascii="Times New Roman" w:hAnsi="Times New Roman" w:cs="Times New Roman"/>
              </w:rPr>
              <w:t>4</w:t>
            </w:r>
          </w:p>
        </w:tc>
        <w:tc>
          <w:tcPr>
            <w:tcW w:w="818" w:type="pct"/>
            <w:vAlign w:val="center"/>
          </w:tcPr>
          <w:p w14:paraId="15893272" w14:textId="74B076B2" w:rsidR="003A7705" w:rsidRPr="000D0C17" w:rsidRDefault="005F660B" w:rsidP="00D6538B">
            <w:pPr>
              <w:pStyle w:val="TableText"/>
              <w:tabs>
                <w:tab w:val="decimal" w:pos="736"/>
              </w:tabs>
              <w:rPr>
                <w:rFonts w:ascii="Times New Roman" w:hAnsi="Times New Roman" w:cs="Times New Roman"/>
              </w:rPr>
            </w:pPr>
            <w:r>
              <w:rPr>
                <w:rFonts w:ascii="Times New Roman" w:hAnsi="Times New Roman" w:cs="Times New Roman"/>
              </w:rPr>
              <w:t>2</w:t>
            </w:r>
          </w:p>
        </w:tc>
      </w:tr>
      <w:tr w:rsidR="003A7705" w:rsidRPr="00E2788B" w14:paraId="7DDF2632" w14:textId="77777777" w:rsidTr="0081411B">
        <w:tc>
          <w:tcPr>
            <w:tcW w:w="1728" w:type="pct"/>
          </w:tcPr>
          <w:p w14:paraId="641046F1" w14:textId="77777777" w:rsidR="003A7705" w:rsidRPr="004A18BF" w:rsidRDefault="003A7705" w:rsidP="00D6538B">
            <w:pPr>
              <w:pStyle w:val="TableText"/>
              <w:rPr>
                <w:rFonts w:ascii="Times New Roman" w:hAnsi="Times New Roman" w:cs="Times New Roman"/>
              </w:rPr>
            </w:pPr>
            <w:r w:rsidRPr="004A18BF">
              <w:rPr>
                <w:rFonts w:ascii="Times New Roman" w:hAnsi="Times New Roman" w:cs="Times New Roman"/>
              </w:rPr>
              <w:t>Participant survey</w:t>
            </w:r>
          </w:p>
        </w:tc>
        <w:tc>
          <w:tcPr>
            <w:tcW w:w="817" w:type="pct"/>
          </w:tcPr>
          <w:p w14:paraId="5F7E8336" w14:textId="2F5B72D9" w:rsidR="003A7705" w:rsidRPr="000D0C17" w:rsidRDefault="00932E8B" w:rsidP="00D6538B">
            <w:pPr>
              <w:pStyle w:val="TableText"/>
              <w:tabs>
                <w:tab w:val="decimal" w:pos="841"/>
              </w:tabs>
              <w:rPr>
                <w:rFonts w:ascii="Times New Roman" w:hAnsi="Times New Roman" w:cs="Times New Roman"/>
              </w:rPr>
            </w:pPr>
            <w:r>
              <w:rPr>
                <w:rFonts w:ascii="Times New Roman" w:hAnsi="Times New Roman" w:cs="Times New Roman"/>
              </w:rPr>
              <w:t>840</w:t>
            </w:r>
          </w:p>
        </w:tc>
        <w:tc>
          <w:tcPr>
            <w:tcW w:w="818" w:type="pct"/>
          </w:tcPr>
          <w:p w14:paraId="137C8B88" w14:textId="6E720459" w:rsidR="003A7705" w:rsidRPr="000D0C17" w:rsidRDefault="00932E8B" w:rsidP="00D6538B">
            <w:pPr>
              <w:pStyle w:val="TableText"/>
              <w:tabs>
                <w:tab w:val="decimal" w:pos="526"/>
              </w:tabs>
              <w:rPr>
                <w:rFonts w:ascii="Times New Roman" w:hAnsi="Times New Roman" w:cs="Times New Roman"/>
              </w:rPr>
            </w:pPr>
            <w:r>
              <w:rPr>
                <w:rFonts w:ascii="Times New Roman" w:hAnsi="Times New Roman" w:cs="Times New Roman"/>
              </w:rPr>
              <w:t>90%</w:t>
            </w:r>
          </w:p>
        </w:tc>
        <w:tc>
          <w:tcPr>
            <w:tcW w:w="818" w:type="pct"/>
          </w:tcPr>
          <w:p w14:paraId="2C019CE0" w14:textId="6251B497" w:rsidR="003A7705" w:rsidRPr="000D0C17" w:rsidRDefault="005226F3" w:rsidP="00D6538B">
            <w:pPr>
              <w:pStyle w:val="TableText"/>
              <w:tabs>
                <w:tab w:val="decimal" w:pos="736"/>
              </w:tabs>
              <w:rPr>
                <w:rFonts w:ascii="Times New Roman" w:hAnsi="Times New Roman" w:cs="Times New Roman"/>
              </w:rPr>
            </w:pPr>
            <w:r>
              <w:rPr>
                <w:rFonts w:ascii="Times New Roman" w:hAnsi="Times New Roman" w:cs="Times New Roman"/>
              </w:rPr>
              <w:t>756</w:t>
            </w:r>
          </w:p>
        </w:tc>
        <w:tc>
          <w:tcPr>
            <w:tcW w:w="818" w:type="pct"/>
          </w:tcPr>
          <w:p w14:paraId="54EC0741" w14:textId="7389E2D0" w:rsidR="003A7705" w:rsidRPr="000D0C17" w:rsidRDefault="005226F3" w:rsidP="00D6538B">
            <w:pPr>
              <w:pStyle w:val="TableText"/>
              <w:tabs>
                <w:tab w:val="decimal" w:pos="736"/>
              </w:tabs>
              <w:rPr>
                <w:rFonts w:ascii="Times New Roman" w:hAnsi="Times New Roman" w:cs="Times New Roman"/>
              </w:rPr>
            </w:pPr>
            <w:r>
              <w:rPr>
                <w:rFonts w:ascii="Times New Roman" w:hAnsi="Times New Roman" w:cs="Times New Roman"/>
              </w:rPr>
              <w:t>378</w:t>
            </w:r>
          </w:p>
        </w:tc>
      </w:tr>
      <w:tr w:rsidR="003A7705" w:rsidRPr="00E2788B" w14:paraId="26397D80" w14:textId="77777777" w:rsidTr="0081411B">
        <w:tc>
          <w:tcPr>
            <w:tcW w:w="1728" w:type="pct"/>
          </w:tcPr>
          <w:p w14:paraId="74C94758" w14:textId="77777777" w:rsidR="003A7705" w:rsidRPr="004A18BF" w:rsidRDefault="003A7705" w:rsidP="00D6538B">
            <w:pPr>
              <w:pStyle w:val="TableText"/>
              <w:rPr>
                <w:rFonts w:ascii="Times New Roman" w:hAnsi="Times New Roman" w:cs="Times New Roman"/>
              </w:rPr>
            </w:pPr>
            <w:r w:rsidRPr="004A18BF">
              <w:rPr>
                <w:rFonts w:ascii="Times New Roman" w:hAnsi="Times New Roman" w:cs="Times New Roman"/>
              </w:rPr>
              <w:t>Attendance forms</w:t>
            </w:r>
          </w:p>
        </w:tc>
        <w:tc>
          <w:tcPr>
            <w:tcW w:w="817" w:type="pct"/>
          </w:tcPr>
          <w:p w14:paraId="68C2EC7C" w14:textId="0BCF3D3A" w:rsidR="003A7705" w:rsidRPr="000D0C17" w:rsidRDefault="00175299" w:rsidP="00D6538B">
            <w:pPr>
              <w:pStyle w:val="TableText"/>
              <w:tabs>
                <w:tab w:val="decimal" w:pos="841"/>
              </w:tabs>
              <w:rPr>
                <w:rFonts w:ascii="Times New Roman" w:hAnsi="Times New Roman" w:cs="Times New Roman"/>
              </w:rPr>
            </w:pPr>
            <w:r>
              <w:rPr>
                <w:rFonts w:ascii="Times New Roman" w:hAnsi="Times New Roman" w:cs="Times New Roman"/>
              </w:rPr>
              <w:t>600</w:t>
            </w:r>
          </w:p>
        </w:tc>
        <w:tc>
          <w:tcPr>
            <w:tcW w:w="818" w:type="pct"/>
          </w:tcPr>
          <w:p w14:paraId="18F73215" w14:textId="77777777" w:rsidR="003A7705" w:rsidRPr="000D0C17" w:rsidRDefault="003A7705" w:rsidP="00D6538B">
            <w:pPr>
              <w:pStyle w:val="TableText"/>
              <w:tabs>
                <w:tab w:val="decimal" w:pos="526"/>
              </w:tabs>
              <w:rPr>
                <w:rFonts w:ascii="Times New Roman" w:hAnsi="Times New Roman" w:cs="Times New Roman"/>
              </w:rPr>
            </w:pPr>
            <w:r w:rsidRPr="000D0C17">
              <w:rPr>
                <w:rFonts w:ascii="Times New Roman" w:hAnsi="Times New Roman" w:cs="Times New Roman"/>
              </w:rPr>
              <w:t>100%</w:t>
            </w:r>
          </w:p>
        </w:tc>
        <w:tc>
          <w:tcPr>
            <w:tcW w:w="818" w:type="pct"/>
          </w:tcPr>
          <w:p w14:paraId="5E490BB8" w14:textId="286C90B2" w:rsidR="003A7705" w:rsidRPr="000D0C17" w:rsidRDefault="00175299" w:rsidP="00D6538B">
            <w:pPr>
              <w:pStyle w:val="TableText"/>
              <w:tabs>
                <w:tab w:val="decimal" w:pos="736"/>
              </w:tabs>
              <w:rPr>
                <w:rFonts w:ascii="Times New Roman" w:hAnsi="Times New Roman" w:cs="Times New Roman"/>
              </w:rPr>
            </w:pPr>
            <w:r>
              <w:rPr>
                <w:rFonts w:ascii="Times New Roman" w:hAnsi="Times New Roman" w:cs="Times New Roman"/>
              </w:rPr>
              <w:t>600</w:t>
            </w:r>
          </w:p>
        </w:tc>
        <w:tc>
          <w:tcPr>
            <w:tcW w:w="818" w:type="pct"/>
          </w:tcPr>
          <w:p w14:paraId="3353859C" w14:textId="67F7C019" w:rsidR="003A7705" w:rsidRPr="000D0C17" w:rsidRDefault="00175299" w:rsidP="00D6538B">
            <w:pPr>
              <w:pStyle w:val="TableText"/>
              <w:tabs>
                <w:tab w:val="decimal" w:pos="736"/>
              </w:tabs>
              <w:rPr>
                <w:rFonts w:ascii="Times New Roman" w:hAnsi="Times New Roman" w:cs="Times New Roman"/>
              </w:rPr>
            </w:pPr>
            <w:r>
              <w:rPr>
                <w:rFonts w:ascii="Times New Roman" w:hAnsi="Times New Roman" w:cs="Times New Roman"/>
              </w:rPr>
              <w:t>300</w:t>
            </w:r>
          </w:p>
        </w:tc>
      </w:tr>
    </w:tbl>
    <w:p w14:paraId="06906A73" w14:textId="77777777" w:rsidR="003A7705" w:rsidRDefault="003A7705" w:rsidP="003A7705">
      <w:pPr>
        <w:pStyle w:val="OMBbodytext"/>
        <w:rPr>
          <w:b/>
        </w:rPr>
      </w:pPr>
    </w:p>
    <w:p w14:paraId="6D601C97" w14:textId="77777777" w:rsidR="008201DF" w:rsidRPr="00ED7965" w:rsidRDefault="008201DF" w:rsidP="006C08D8">
      <w:pPr>
        <w:pStyle w:val="Header2"/>
      </w:pPr>
      <w:bookmarkStart w:id="21" w:name="_Toc8284039"/>
      <w:bookmarkStart w:id="22" w:name="_Toc186528699"/>
      <w:bookmarkStart w:id="23" w:name="_Toc195508848"/>
      <w:bookmarkStart w:id="24" w:name="_Toc216078527"/>
      <w:bookmarkStart w:id="25" w:name="_Toc216149336"/>
      <w:bookmarkEnd w:id="14"/>
      <w:bookmarkEnd w:id="15"/>
      <w:r w:rsidRPr="00ED7965">
        <w:t>Sample Size Estimates</w:t>
      </w:r>
      <w:bookmarkEnd w:id="21"/>
    </w:p>
    <w:p w14:paraId="023D11B9" w14:textId="6C34124C" w:rsidR="00C25AED" w:rsidRDefault="008201DF" w:rsidP="008201DF">
      <w:r>
        <w:t xml:space="preserve">We developed our sample size requirements for each of our </w:t>
      </w:r>
      <w:r w:rsidR="00C9389F">
        <w:t>IOs</w:t>
      </w:r>
      <w:r>
        <w:t xml:space="preserve"> so that </w:t>
      </w:r>
      <w:r w:rsidR="00CA436C">
        <w:t xml:space="preserve">the planned statistical tests for </w:t>
      </w:r>
      <w:r>
        <w:t xml:space="preserve">the evaluation </w:t>
      </w:r>
      <w:r w:rsidR="00CA436C">
        <w:t xml:space="preserve">will have enough power to </w:t>
      </w:r>
      <w:r>
        <w:t>detect statistically meaningful difference</w:t>
      </w:r>
      <w:r w:rsidR="00CA436C">
        <w:t>s</w:t>
      </w:r>
      <w:r>
        <w:t xml:space="preserve"> in outcomes between treatment and comparison group members</w:t>
      </w:r>
      <w:r w:rsidR="00CA436C">
        <w:t xml:space="preserve"> if those differences do in fact exist</w:t>
      </w:r>
      <w:r>
        <w:t>.</w:t>
      </w:r>
      <w:r w:rsidR="00C25AED">
        <w:t xml:space="preserve"> </w:t>
      </w:r>
      <w:r w:rsidR="00C25AED" w:rsidRPr="00C67AF8">
        <w:t xml:space="preserve">Given that each IO is implementing a different SRA program, the study is powered </w:t>
      </w:r>
      <w:r w:rsidR="004911C6" w:rsidRPr="00C67AF8">
        <w:t>to measure the effect of each of program separately.</w:t>
      </w:r>
      <w:r w:rsidR="004911C6">
        <w:t xml:space="preserve"> </w:t>
      </w:r>
    </w:p>
    <w:p w14:paraId="24AEE546" w14:textId="77777777" w:rsidR="00C67AF8" w:rsidRDefault="00C67AF8" w:rsidP="008201DF"/>
    <w:p w14:paraId="15FE054A" w14:textId="0272A1A8" w:rsidR="008201DF" w:rsidRDefault="008201DF" w:rsidP="008201DF">
      <w:r>
        <w:t>We selected a sample size that could detect impacts within each of our two IOs comparable to those seen in other evaluations of pregnancy prevention programs for adolescents. Our sample size estimates were based on using a standardized “effect size,” which involves dividing the intervention’s impact by the standard deviation of the outcome.</w:t>
      </w:r>
    </w:p>
    <w:p w14:paraId="22F1F581" w14:textId="77777777" w:rsidR="008201DF" w:rsidRDefault="008201DF" w:rsidP="008201DF"/>
    <w:p w14:paraId="4D1DA459" w14:textId="7BCA877D" w:rsidR="008201DF" w:rsidRPr="00A46754" w:rsidRDefault="008201DF" w:rsidP="008201DF">
      <w:pPr>
        <w:pStyle w:val="OMBbodytext"/>
      </w:pPr>
      <w:r>
        <w:t xml:space="preserve">Sample requirements were estimated using an ANCOVA or regressor model approach (Allison, 1990) using excel workbooks developed by International Initiative for Impact Evaluation (Djimeau &amp; Houdolo, 2016).  The workbook incorporates well-established formulae and methods for power calculation for simple and multilevel (clustered) research designs for both categorical and continuous outcome variables (Hayes &amp; Bennet, 1999; Raudenbush, Lieu, Congdon, &amp; Martinez, 2011). Power calculations focused on determining the minimal detectable effect size (MDES, Bloom, 1995) that this model could find statistically significant with 0.80 power and a two-tailed test of the difference between treatment groups means at follow-up controlling for baseline values. </w:t>
      </w:r>
    </w:p>
    <w:p w14:paraId="0536DA94" w14:textId="1CAEDABC" w:rsidR="008201DF" w:rsidRDefault="008201DF" w:rsidP="008201DF">
      <w:pPr>
        <w:pStyle w:val="OMBbodytext"/>
      </w:pPr>
      <w:r>
        <w:t>The power estimates required several assumptions. First, based on previous SRA-related research at the classroom level (Scull, T.M., Kupersmidt, J.B., Malik, C.V., &amp; Morgan-Lopez, A.A. (in press)), an intraclass correlation (ICC) of 0.03 was used. This magnitude ICC is not large but is sufficient to potentially bias results if not accounted for in the sample design and analysis. Second, a base correlation over time from baseline to follow-up of 0.6 was assumed. A scan of test-retest reliability for behaviors, knowledge, and attitudes related to sexual activity in school-age samples yielded a range of values from about 0.25 to 1.0. In general, the correlation was higher for behaviors such as vaginal intercourse, substance use, and parent-related measures such as communication. Correlations were consistent across varied samples within and outside the United States. The assumed value of 0.6 falls midway in the range of values reported, making it a reasonable value to use as a representative test-retest coefficient. This correlation results in a level 1 covariate R</w:t>
      </w:r>
      <w:r>
        <w:rPr>
          <w:vertAlign w:val="superscript"/>
        </w:rPr>
        <w:t>2</w:t>
      </w:r>
      <w:r>
        <w:t xml:space="preserve"> of 0.36. Class, the level of assignment and the level 2 unit for multilevel analysis, would vary in size within schools but was assumed to be 20 for the power calculation. This is expected to be a floor estimate, with few classes lower in size than that value and many expected to exceed it.</w:t>
      </w:r>
      <w:r w:rsidR="001513CC">
        <w:t xml:space="preserve"> </w:t>
      </w:r>
    </w:p>
    <w:p w14:paraId="2753338B" w14:textId="3DED3363" w:rsidR="00CB06B8" w:rsidRDefault="00CB06B8" w:rsidP="008201DF">
      <w:pPr>
        <w:pStyle w:val="OMBbodytext"/>
      </w:pPr>
    </w:p>
    <w:p w14:paraId="7F7DCE5F" w14:textId="63416613" w:rsidR="007439B4" w:rsidRDefault="008201DF" w:rsidP="008201DF">
      <w:pPr>
        <w:pStyle w:val="OMBbodytext"/>
      </w:pPr>
      <w:r w:rsidRPr="00107731">
        <w:rPr>
          <w:b/>
          <w:i/>
        </w:rPr>
        <w:t xml:space="preserve">Exhibit </w:t>
      </w:r>
      <w:r w:rsidR="001B0422">
        <w:rPr>
          <w:b/>
          <w:i/>
        </w:rPr>
        <w:t>2</w:t>
      </w:r>
      <w:r w:rsidR="00CB06B8">
        <w:t xml:space="preserve"> </w:t>
      </w:r>
      <w:r>
        <w:t>shows</w:t>
      </w:r>
      <w:r w:rsidR="00FF528F">
        <w:t xml:space="preserve"> </w:t>
      </w:r>
      <w:r w:rsidR="00CB06B8">
        <w:t xml:space="preserve">the Minimal Detectable Effect Sizes or smallest effect that a given sample will have adequate power </w:t>
      </w:r>
      <w:r w:rsidR="005F590A">
        <w:t xml:space="preserve">to detect in each of the IOs. </w:t>
      </w:r>
      <w:r>
        <w:t xml:space="preserve">The </w:t>
      </w:r>
      <w:r w:rsidR="005B651B">
        <w:t xml:space="preserve">estimated analytic </w:t>
      </w:r>
      <w:r>
        <w:t xml:space="preserve">sample size </w:t>
      </w:r>
      <w:r w:rsidR="005B651B">
        <w:t>for each of the two IOs (</w:t>
      </w:r>
      <w:r w:rsidR="00224E36">
        <w:t>6</w:t>
      </w:r>
      <w:r w:rsidR="005B651B">
        <w:t xml:space="preserve">00 youth) </w:t>
      </w:r>
      <w:r>
        <w:t xml:space="preserve">represents </w:t>
      </w:r>
      <w:r w:rsidR="00224E36">
        <w:t xml:space="preserve">a conservative estimate of the total number of students enrolled in the classrooms, </w:t>
      </w:r>
      <w:r w:rsidR="007439B4">
        <w:t xml:space="preserve">receiving parent consent, and completing the baseline and follow-up youth surveys. </w:t>
      </w:r>
    </w:p>
    <w:p w14:paraId="0D59B523" w14:textId="4052E8C4" w:rsidR="005F590A" w:rsidRDefault="005F590A" w:rsidP="008201DF">
      <w:pPr>
        <w:pStyle w:val="OMBbodytext"/>
      </w:pPr>
      <w:r w:rsidRPr="00CD603D">
        <w:t xml:space="preserve">The </w:t>
      </w:r>
      <w:r w:rsidR="00394ACC" w:rsidRPr="00CD603D">
        <w:t>component</w:t>
      </w:r>
      <w:r w:rsidRPr="00CD603D">
        <w:t xml:space="preserve"> of the study that examines the impact of </w:t>
      </w:r>
      <w:r w:rsidR="001B0422" w:rsidRPr="00CD603D">
        <w:t>the ‘</w:t>
      </w:r>
      <w:r w:rsidR="007F4008" w:rsidRPr="00CD603D">
        <w:t>REAL Essentials’</w:t>
      </w:r>
      <w:r w:rsidR="001B0422" w:rsidRPr="00CD603D">
        <w:t xml:space="preserve"> </w:t>
      </w:r>
      <w:r w:rsidRPr="00CD603D">
        <w:t xml:space="preserve">curriculum in IO </w:t>
      </w:r>
      <w:r w:rsidR="009B1781">
        <w:t>A</w:t>
      </w:r>
      <w:r w:rsidRPr="00CD603D">
        <w:t xml:space="preserve"> will have a </w:t>
      </w:r>
      <w:r w:rsidR="00330209" w:rsidRPr="00CD603D">
        <w:t>larger</w:t>
      </w:r>
      <w:r w:rsidRPr="00CD603D">
        <w:t xml:space="preserve"> MDE</w:t>
      </w:r>
      <w:r w:rsidR="00EA1EDE" w:rsidRPr="00CD603D">
        <w:t>S</w:t>
      </w:r>
      <w:r w:rsidRPr="00CD603D">
        <w:t xml:space="preserve"> due to the </w:t>
      </w:r>
      <w:r w:rsidR="00330209" w:rsidRPr="00CD603D">
        <w:t>smaller</w:t>
      </w:r>
      <w:r w:rsidRPr="00CD603D">
        <w:t xml:space="preserve"> number of classrooms and </w:t>
      </w:r>
      <w:r w:rsidR="00330209" w:rsidRPr="00CD603D">
        <w:t>larger</w:t>
      </w:r>
      <w:r w:rsidRPr="00CD603D">
        <w:t xml:space="preserve"> class sizes. </w:t>
      </w:r>
      <w:r w:rsidR="00394ACC" w:rsidRPr="00CD603D">
        <w:t xml:space="preserve">The component of the study that examines the impact of </w:t>
      </w:r>
      <w:r w:rsidR="001B0422" w:rsidRPr="00CD603D">
        <w:t>the ‘Represent ®’</w:t>
      </w:r>
      <w:r w:rsidR="00394ACC" w:rsidRPr="00CD603D">
        <w:t xml:space="preserve">curriculum in IO </w:t>
      </w:r>
      <w:r w:rsidR="009B1781">
        <w:t>B</w:t>
      </w:r>
      <w:r w:rsidR="00394ACC" w:rsidRPr="00CD603D">
        <w:t xml:space="preserve"> will have a smaller MDE</w:t>
      </w:r>
      <w:r w:rsidR="00330209" w:rsidRPr="00CD603D">
        <w:t>S</w:t>
      </w:r>
      <w:r w:rsidR="00394ACC" w:rsidRPr="00CD603D">
        <w:t xml:space="preserve"> due to the larger number of classrooms and smaller class sizes.</w:t>
      </w:r>
    </w:p>
    <w:p w14:paraId="31E78A9D" w14:textId="1ABD7F81" w:rsidR="0085370F" w:rsidRDefault="0085370F" w:rsidP="008201DF">
      <w:pPr>
        <w:pStyle w:val="OMBbodytext"/>
      </w:pPr>
    </w:p>
    <w:p w14:paraId="60FF11AB" w14:textId="769193A9" w:rsidR="0085370F" w:rsidRDefault="0085370F" w:rsidP="0006560C">
      <w:pPr>
        <w:pStyle w:val="OMBExhibitTitle"/>
        <w:ind w:left="1152" w:hanging="1152"/>
      </w:pPr>
      <w:bookmarkStart w:id="26" w:name="_Toc8284057"/>
      <w:r>
        <w:t>Exhibit 2: Estimated Sample Sizes and Minimal Detectable Effect Sizes for Each of the IOs</w:t>
      </w:r>
      <w:bookmarkEnd w:id="26"/>
    </w:p>
    <w:tbl>
      <w:tblPr>
        <w:tblStyle w:val="TableGrid"/>
        <w:tblW w:w="5000" w:type="pct"/>
        <w:tblLook w:val="04A0" w:firstRow="1" w:lastRow="0" w:firstColumn="1" w:lastColumn="0" w:noHBand="0" w:noVBand="1"/>
      </w:tblPr>
      <w:tblGrid>
        <w:gridCol w:w="2007"/>
        <w:gridCol w:w="1862"/>
        <w:gridCol w:w="1938"/>
        <w:gridCol w:w="1894"/>
        <w:gridCol w:w="1875"/>
      </w:tblGrid>
      <w:tr w:rsidR="00017B14" w14:paraId="1C594AA9" w14:textId="77777777" w:rsidTr="00486FA1">
        <w:trPr>
          <w:trHeight w:val="845"/>
        </w:trPr>
        <w:tc>
          <w:tcPr>
            <w:tcW w:w="1048" w:type="pct"/>
            <w:shd w:val="clear" w:color="auto" w:fill="808080" w:themeFill="background1" w:themeFillShade="80"/>
          </w:tcPr>
          <w:p w14:paraId="3455B0DA" w14:textId="64932E6C" w:rsidR="0085370F" w:rsidRPr="001F0FA5" w:rsidRDefault="0085370F" w:rsidP="001F0FA5">
            <w:pPr>
              <w:pStyle w:val="OMBbodytext"/>
              <w:keepNext/>
              <w:keepLines/>
              <w:jc w:val="center"/>
              <w:rPr>
                <w:b/>
                <w:color w:val="FFFFFF" w:themeColor="background1"/>
              </w:rPr>
            </w:pPr>
            <w:r w:rsidRPr="00486FA1">
              <w:rPr>
                <w:b/>
                <w:color w:val="FFFFFF" w:themeColor="background1"/>
              </w:rPr>
              <w:t>SRA program</w:t>
            </w:r>
          </w:p>
        </w:tc>
        <w:tc>
          <w:tcPr>
            <w:tcW w:w="972" w:type="pct"/>
            <w:shd w:val="clear" w:color="auto" w:fill="808080" w:themeFill="background1" w:themeFillShade="80"/>
          </w:tcPr>
          <w:p w14:paraId="566E6BF8" w14:textId="395CAC35" w:rsidR="0085370F" w:rsidRPr="001F0FA5" w:rsidRDefault="0085370F" w:rsidP="001F0FA5">
            <w:pPr>
              <w:pStyle w:val="OMBbodytext"/>
              <w:keepNext/>
              <w:keepLines/>
              <w:jc w:val="center"/>
              <w:rPr>
                <w:b/>
                <w:color w:val="FFFFFF" w:themeColor="background1"/>
              </w:rPr>
            </w:pPr>
            <w:r w:rsidRPr="00486FA1">
              <w:rPr>
                <w:b/>
                <w:color w:val="FFFFFF" w:themeColor="background1"/>
              </w:rPr>
              <w:t>Expected #</w:t>
            </w:r>
            <w:r w:rsidRPr="001F0FA5">
              <w:rPr>
                <w:b/>
                <w:color w:val="FFFFFF" w:themeColor="background1"/>
              </w:rPr>
              <w:t xml:space="preserve"> of </w:t>
            </w:r>
            <w:r w:rsidRPr="00486FA1">
              <w:rPr>
                <w:b/>
                <w:color w:val="FFFFFF" w:themeColor="background1"/>
              </w:rPr>
              <w:t>schools</w:t>
            </w:r>
          </w:p>
        </w:tc>
        <w:tc>
          <w:tcPr>
            <w:tcW w:w="1012" w:type="pct"/>
            <w:shd w:val="clear" w:color="auto" w:fill="808080" w:themeFill="background1" w:themeFillShade="80"/>
          </w:tcPr>
          <w:p w14:paraId="6530DB96" w14:textId="09B1FF6A" w:rsidR="0085370F" w:rsidRPr="001F0FA5" w:rsidRDefault="0085370F" w:rsidP="001F0FA5">
            <w:pPr>
              <w:pStyle w:val="OMBbodytext"/>
              <w:keepNext/>
              <w:keepLines/>
              <w:jc w:val="center"/>
              <w:rPr>
                <w:b/>
                <w:color w:val="FFFFFF" w:themeColor="background1"/>
              </w:rPr>
            </w:pPr>
            <w:r w:rsidRPr="00486FA1">
              <w:rPr>
                <w:b/>
                <w:color w:val="FFFFFF" w:themeColor="background1"/>
              </w:rPr>
              <w:t>Estimated # of classrooms</w:t>
            </w:r>
          </w:p>
        </w:tc>
        <w:tc>
          <w:tcPr>
            <w:tcW w:w="989" w:type="pct"/>
            <w:shd w:val="clear" w:color="auto" w:fill="808080" w:themeFill="background1" w:themeFillShade="80"/>
          </w:tcPr>
          <w:p w14:paraId="1E65092C" w14:textId="0CA03B76" w:rsidR="0085370F" w:rsidRPr="001F0FA5" w:rsidRDefault="0085370F" w:rsidP="001F0FA5">
            <w:pPr>
              <w:pStyle w:val="OMBbodytext"/>
              <w:keepNext/>
              <w:keepLines/>
              <w:jc w:val="center"/>
              <w:rPr>
                <w:b/>
                <w:color w:val="FFFFFF" w:themeColor="background1"/>
              </w:rPr>
            </w:pPr>
            <w:r w:rsidRPr="00486FA1">
              <w:rPr>
                <w:b/>
                <w:color w:val="FFFFFF" w:themeColor="background1"/>
              </w:rPr>
              <w:t>Estimated # of students</w:t>
            </w:r>
          </w:p>
        </w:tc>
        <w:tc>
          <w:tcPr>
            <w:tcW w:w="979" w:type="pct"/>
            <w:shd w:val="clear" w:color="auto" w:fill="808080" w:themeFill="background1" w:themeFillShade="80"/>
          </w:tcPr>
          <w:p w14:paraId="251DA43E" w14:textId="30CAFD20" w:rsidR="0085370F" w:rsidRPr="00486FA1" w:rsidRDefault="0085370F" w:rsidP="00486FA1">
            <w:pPr>
              <w:pStyle w:val="OMBbodytext"/>
              <w:keepNext/>
              <w:keepLines/>
              <w:jc w:val="center"/>
              <w:rPr>
                <w:b/>
                <w:color w:val="FFFFFF" w:themeColor="background1"/>
              </w:rPr>
            </w:pPr>
            <w:r w:rsidRPr="00486FA1">
              <w:rPr>
                <w:b/>
                <w:color w:val="FFFFFF" w:themeColor="background1"/>
              </w:rPr>
              <w:t>MDES in standard deviation units: attitudes/beliefs</w:t>
            </w:r>
          </w:p>
          <w:p w14:paraId="7D32AE65" w14:textId="77777777" w:rsidR="0085370F" w:rsidRPr="001F0FA5" w:rsidRDefault="0085370F" w:rsidP="001F0FA5">
            <w:pPr>
              <w:pStyle w:val="OMBbodytext"/>
              <w:keepNext/>
              <w:keepLines/>
              <w:jc w:val="center"/>
              <w:rPr>
                <w:b/>
                <w:color w:val="FFFFFF" w:themeColor="background1"/>
              </w:rPr>
            </w:pPr>
          </w:p>
        </w:tc>
      </w:tr>
      <w:tr w:rsidR="0085370F" w14:paraId="63168863" w14:textId="77777777" w:rsidTr="001F0FA5">
        <w:tc>
          <w:tcPr>
            <w:tcW w:w="1048" w:type="pct"/>
          </w:tcPr>
          <w:p w14:paraId="2891F383" w14:textId="47B86EC2" w:rsidR="0085370F" w:rsidRPr="001F0FA5" w:rsidRDefault="0085370F" w:rsidP="001F0FA5">
            <w:pPr>
              <w:pStyle w:val="OMBbodytext"/>
              <w:keepNext/>
              <w:keepLines/>
            </w:pPr>
            <w:r w:rsidRPr="001F0FA5">
              <w:t xml:space="preserve">IO </w:t>
            </w:r>
            <w:r w:rsidR="009B1781">
              <w:t>A</w:t>
            </w:r>
            <w:r w:rsidRPr="001F0FA5">
              <w:t xml:space="preserve"> (</w:t>
            </w:r>
            <w:r w:rsidR="001F0FA5" w:rsidRPr="001F0FA5">
              <w:t>REAL Essentials</w:t>
            </w:r>
            <w:r w:rsidRPr="001F0FA5">
              <w:t xml:space="preserve">) </w:t>
            </w:r>
          </w:p>
        </w:tc>
        <w:tc>
          <w:tcPr>
            <w:tcW w:w="972" w:type="pct"/>
          </w:tcPr>
          <w:p w14:paraId="0237B253" w14:textId="7E51BB59" w:rsidR="0085370F" w:rsidRDefault="0085370F" w:rsidP="001F0FA5">
            <w:pPr>
              <w:pStyle w:val="OMBbodytext"/>
              <w:keepNext/>
              <w:keepLines/>
            </w:pPr>
            <w:r>
              <w:t>4</w:t>
            </w:r>
          </w:p>
        </w:tc>
        <w:tc>
          <w:tcPr>
            <w:tcW w:w="1012" w:type="pct"/>
          </w:tcPr>
          <w:p w14:paraId="2DC0C370" w14:textId="208D3A26" w:rsidR="0085370F" w:rsidRPr="00670BA7" w:rsidRDefault="0085370F" w:rsidP="00486FA1">
            <w:pPr>
              <w:pStyle w:val="OMBbodytext"/>
              <w:keepNext/>
              <w:keepLines/>
            </w:pPr>
            <w:r w:rsidRPr="00670BA7">
              <w:t xml:space="preserve">17-20 classrooms </w:t>
            </w:r>
            <w:r w:rsidRPr="00670BA7">
              <w:rPr>
                <w:i/>
                <w:iCs/>
              </w:rPr>
              <w:t>(30-35 students per classroom)</w:t>
            </w:r>
          </w:p>
          <w:p w14:paraId="57167CC0" w14:textId="77777777" w:rsidR="0085370F" w:rsidRDefault="0085370F" w:rsidP="001F0FA5">
            <w:pPr>
              <w:pStyle w:val="OMBbodytext"/>
              <w:keepNext/>
              <w:keepLines/>
            </w:pPr>
          </w:p>
        </w:tc>
        <w:tc>
          <w:tcPr>
            <w:tcW w:w="989" w:type="pct"/>
          </w:tcPr>
          <w:p w14:paraId="14BCB329" w14:textId="64FC7E2C" w:rsidR="0085370F" w:rsidRDefault="0085370F" w:rsidP="001F0FA5">
            <w:pPr>
              <w:pStyle w:val="OMBbodytext"/>
              <w:keepNext/>
              <w:keepLines/>
            </w:pPr>
            <w:r>
              <w:t>1,200</w:t>
            </w:r>
          </w:p>
        </w:tc>
        <w:tc>
          <w:tcPr>
            <w:tcW w:w="979" w:type="pct"/>
          </w:tcPr>
          <w:p w14:paraId="2631E478" w14:textId="1F5DBD21" w:rsidR="0085370F" w:rsidRDefault="0085370F" w:rsidP="001F0FA5">
            <w:pPr>
              <w:pStyle w:val="OMBbodytext"/>
              <w:keepNext/>
              <w:keepLines/>
            </w:pPr>
            <w:r>
              <w:t>0.30</w:t>
            </w:r>
          </w:p>
        </w:tc>
      </w:tr>
      <w:tr w:rsidR="0085370F" w14:paraId="24E629DD" w14:textId="77777777" w:rsidTr="001F0FA5">
        <w:trPr>
          <w:trHeight w:val="1223"/>
        </w:trPr>
        <w:tc>
          <w:tcPr>
            <w:tcW w:w="1048" w:type="pct"/>
          </w:tcPr>
          <w:p w14:paraId="727B3207" w14:textId="097DF43A" w:rsidR="0085370F" w:rsidRPr="001F0FA5" w:rsidRDefault="0085370F" w:rsidP="001F0FA5">
            <w:pPr>
              <w:pStyle w:val="OMBbodytext"/>
              <w:keepNext/>
              <w:keepLines/>
            </w:pPr>
            <w:r w:rsidRPr="001F0FA5">
              <w:t xml:space="preserve">IO </w:t>
            </w:r>
            <w:r w:rsidR="009B1781">
              <w:t>B</w:t>
            </w:r>
            <w:r w:rsidRPr="001F0FA5">
              <w:t xml:space="preserve"> (</w:t>
            </w:r>
            <w:r w:rsidR="00486FA1" w:rsidRPr="001F0FA5">
              <w:t>Represent®</w:t>
            </w:r>
            <w:r w:rsidRPr="001F0FA5">
              <w:t xml:space="preserve">) </w:t>
            </w:r>
          </w:p>
        </w:tc>
        <w:tc>
          <w:tcPr>
            <w:tcW w:w="972" w:type="pct"/>
          </w:tcPr>
          <w:p w14:paraId="7B3B1E3E" w14:textId="6BEDA5F0" w:rsidR="0085370F" w:rsidRDefault="0085370F" w:rsidP="001F0FA5">
            <w:pPr>
              <w:pStyle w:val="OMBbodytext"/>
              <w:keepNext/>
              <w:keepLines/>
            </w:pPr>
            <w:r>
              <w:t>10</w:t>
            </w:r>
          </w:p>
        </w:tc>
        <w:tc>
          <w:tcPr>
            <w:tcW w:w="1012" w:type="pct"/>
          </w:tcPr>
          <w:p w14:paraId="2604195A" w14:textId="1703CED8" w:rsidR="0085370F" w:rsidRDefault="0085370F" w:rsidP="001F0FA5">
            <w:pPr>
              <w:pStyle w:val="OMBbodytext"/>
              <w:keepNext/>
              <w:keepLines/>
            </w:pPr>
            <w:r w:rsidRPr="00670BA7">
              <w:t>56-60 classrooms</w:t>
            </w:r>
            <w:r w:rsidRPr="00670BA7">
              <w:br/>
            </w:r>
            <w:r w:rsidRPr="00670BA7">
              <w:rPr>
                <w:i/>
                <w:iCs/>
              </w:rPr>
              <w:t>(20-25 students per classroom)</w:t>
            </w:r>
          </w:p>
        </w:tc>
        <w:tc>
          <w:tcPr>
            <w:tcW w:w="989" w:type="pct"/>
          </w:tcPr>
          <w:p w14:paraId="064D49AC" w14:textId="0822E241" w:rsidR="0085370F" w:rsidRDefault="0085370F" w:rsidP="001F0FA5">
            <w:pPr>
              <w:pStyle w:val="OMBbodytext"/>
              <w:keepNext/>
              <w:keepLines/>
            </w:pPr>
            <w:r>
              <w:t>1,200</w:t>
            </w:r>
          </w:p>
        </w:tc>
        <w:tc>
          <w:tcPr>
            <w:tcW w:w="979" w:type="pct"/>
          </w:tcPr>
          <w:p w14:paraId="5E0FF2E5" w14:textId="11CD6EC5" w:rsidR="0085370F" w:rsidRDefault="0085370F" w:rsidP="001F0FA5">
            <w:pPr>
              <w:pStyle w:val="OMBbodytext"/>
              <w:keepNext/>
              <w:keepLines/>
            </w:pPr>
            <w:r>
              <w:t>0.20</w:t>
            </w:r>
          </w:p>
        </w:tc>
      </w:tr>
    </w:tbl>
    <w:p w14:paraId="72D142DD" w14:textId="12A924AC" w:rsidR="0085370F" w:rsidRPr="001F0FA5" w:rsidRDefault="0085370F" w:rsidP="008201DF">
      <w:pPr>
        <w:pStyle w:val="OMBbodytext"/>
      </w:pPr>
    </w:p>
    <w:p w14:paraId="5A96DFB2" w14:textId="1CECE758" w:rsidR="008201DF" w:rsidRDefault="00F22C03" w:rsidP="008201DF">
      <w:pPr>
        <w:pStyle w:val="OMBbodytext"/>
      </w:pPr>
      <w:r>
        <w:t xml:space="preserve">The estimated effect size of </w:t>
      </w:r>
      <w:r w:rsidR="009B1781">
        <w:t>0</w:t>
      </w:r>
      <w:r>
        <w:t xml:space="preserve">.30 in IO </w:t>
      </w:r>
      <w:r w:rsidR="009B1781">
        <w:t>A</w:t>
      </w:r>
      <w:r>
        <w:t xml:space="preserve"> </w:t>
      </w:r>
      <w:r w:rsidR="006C4314">
        <w:t xml:space="preserve">(REAL Essentials Curriculum) </w:t>
      </w:r>
      <w:r>
        <w:t>is consistent with changes in attitudes and beliefs observed in several studies, but is larger than the average effect size.</w:t>
      </w:r>
      <w:r w:rsidRPr="00F22C03">
        <w:t xml:space="preserve"> </w:t>
      </w:r>
      <w:r w:rsidR="006418E2" w:rsidRPr="00CB06B8">
        <w:t>Th</w:t>
      </w:r>
      <w:r w:rsidR="006418E2">
        <w:t>e</w:t>
      </w:r>
      <w:r w:rsidR="006418E2" w:rsidRPr="00CB06B8">
        <w:t xml:space="preserve"> </w:t>
      </w:r>
      <w:r w:rsidR="002E3D7D" w:rsidRPr="00CB06B8">
        <w:t>estimate</w:t>
      </w:r>
      <w:r w:rsidR="00DF2CC3" w:rsidRPr="00CB06B8">
        <w:t>d effect size</w:t>
      </w:r>
      <w:r w:rsidR="0085370F">
        <w:t xml:space="preserve"> of </w:t>
      </w:r>
      <w:r w:rsidR="006C4314">
        <w:t>0</w:t>
      </w:r>
      <w:r w:rsidR="0085370F">
        <w:t>.20 in IO</w:t>
      </w:r>
      <w:r w:rsidR="00DF2CC3" w:rsidRPr="00CB06B8">
        <w:t xml:space="preserve"> </w:t>
      </w:r>
      <w:r w:rsidR="006C4314">
        <w:t>B (Represent Curriculum)</w:t>
      </w:r>
      <w:r w:rsidR="002E3D7D" w:rsidRPr="00CB06B8">
        <w:t xml:space="preserve"> is also </w:t>
      </w:r>
      <w:r w:rsidR="00DF2CC3" w:rsidRPr="00CB06B8">
        <w:t>similar to</w:t>
      </w:r>
      <w:r w:rsidR="002E3D7D" w:rsidRPr="00CB06B8">
        <w:t xml:space="preserve"> the average effect size</w:t>
      </w:r>
      <w:r w:rsidR="00110D5D" w:rsidRPr="00CB06B8">
        <w:t>s</w:t>
      </w:r>
      <w:r w:rsidR="002E3D7D" w:rsidRPr="00CB06B8">
        <w:t xml:space="preserve"> observed in previous studies for both knowledge/attitude/belief and behavioral outcomes. </w:t>
      </w:r>
      <w:r w:rsidRPr="00CB06B8">
        <w:t>Previous studies examined included:</w:t>
      </w:r>
    </w:p>
    <w:p w14:paraId="2B539E5B" w14:textId="5E9490C7" w:rsidR="002E3D7D" w:rsidRPr="002E3D7D" w:rsidRDefault="002E3D7D" w:rsidP="002E3D7D">
      <w:pPr>
        <w:pStyle w:val="OMBbodytext"/>
        <w:numPr>
          <w:ilvl w:val="0"/>
          <w:numId w:val="46"/>
        </w:numPr>
      </w:pPr>
      <w:r w:rsidRPr="002B76C0">
        <w:t>Scull, T.</w:t>
      </w:r>
      <w:r>
        <w:t xml:space="preserve"> </w:t>
      </w:r>
      <w:r w:rsidRPr="002B76C0">
        <w:t>M., Kupersmidt, J.</w:t>
      </w:r>
      <w:r>
        <w:t xml:space="preserve"> </w:t>
      </w:r>
      <w:r w:rsidRPr="002B76C0">
        <w:t>B., Malik, C.</w:t>
      </w:r>
      <w:r>
        <w:t xml:space="preserve"> </w:t>
      </w:r>
      <w:r w:rsidRPr="002B76C0">
        <w:t>V., &amp; Morgan-Lopez, A.</w:t>
      </w:r>
      <w:r>
        <w:t xml:space="preserve"> </w:t>
      </w:r>
      <w:r w:rsidRPr="002B76C0">
        <w:t>A. (</w:t>
      </w:r>
      <w:r>
        <w:t>Accepted</w:t>
      </w:r>
      <w:r w:rsidRPr="002B76C0">
        <w:t xml:space="preserve">). Media literacy education to promote adolescent sexual health: </w:t>
      </w:r>
      <w:r>
        <w:t>A</w:t>
      </w:r>
      <w:r w:rsidRPr="002B76C0">
        <w:t xml:space="preserve"> short-term randomized control trial of media aware, a comprehensive sexual health program for middle school students. </w:t>
      </w:r>
      <w:r w:rsidRPr="00034DD1">
        <w:rPr>
          <w:i/>
        </w:rPr>
        <w:t>Journal of Health Communication</w:t>
      </w:r>
      <w:r>
        <w:rPr>
          <w:i/>
        </w:rPr>
        <w:t>.</w:t>
      </w:r>
    </w:p>
    <w:p w14:paraId="0482F877" w14:textId="473092E8" w:rsidR="002E3D7D" w:rsidRDefault="002E3D7D" w:rsidP="002E3D7D">
      <w:pPr>
        <w:pStyle w:val="OMBbodytext"/>
        <w:numPr>
          <w:ilvl w:val="0"/>
          <w:numId w:val="46"/>
        </w:numPr>
      </w:pPr>
      <w:r w:rsidRPr="00AC69FB">
        <w:t xml:space="preserve">Lieberman, L., &amp; Su, H. (2012). Impact of the </w:t>
      </w:r>
      <w:r>
        <w:t>c</w:t>
      </w:r>
      <w:r w:rsidRPr="00AC69FB">
        <w:t xml:space="preserve">hoosing the </w:t>
      </w:r>
      <w:r>
        <w:t>b</w:t>
      </w:r>
      <w:r w:rsidRPr="00AC69FB">
        <w:t xml:space="preserve">est </w:t>
      </w:r>
      <w:r>
        <w:t>p</w:t>
      </w:r>
      <w:r w:rsidRPr="00AC69FB">
        <w:t xml:space="preserve">rogram in </w:t>
      </w:r>
      <w:r>
        <w:t>c</w:t>
      </w:r>
      <w:r w:rsidRPr="00AC69FB">
        <w:t xml:space="preserve">ommunities </w:t>
      </w:r>
      <w:r>
        <w:t>c</w:t>
      </w:r>
      <w:r w:rsidRPr="00AC69FB">
        <w:t xml:space="preserve">ommitted to </w:t>
      </w:r>
      <w:r>
        <w:t>a</w:t>
      </w:r>
      <w:r w:rsidRPr="00AC69FB">
        <w:t xml:space="preserve">bstinence </w:t>
      </w:r>
      <w:r>
        <w:t>e</w:t>
      </w:r>
      <w:r w:rsidRPr="00AC69FB">
        <w:t xml:space="preserve">ducation. SAGE Open. </w:t>
      </w:r>
      <w:hyperlink r:id="rId16" w:history="1">
        <w:r w:rsidRPr="001751D2">
          <w:rPr>
            <w:rStyle w:val="Hyperlink"/>
          </w:rPr>
          <w:t>https://doi.org/10.1177/2158244012442938</w:t>
        </w:r>
      </w:hyperlink>
    </w:p>
    <w:p w14:paraId="7EC7125A" w14:textId="44B69DF9" w:rsidR="002E3D7D" w:rsidRDefault="002E3D7D" w:rsidP="002E3D7D">
      <w:pPr>
        <w:pStyle w:val="OMBbodytext"/>
        <w:numPr>
          <w:ilvl w:val="0"/>
          <w:numId w:val="46"/>
        </w:numPr>
      </w:pPr>
      <w:r w:rsidRPr="00AC69FB">
        <w:t>Borawski</w:t>
      </w:r>
      <w:r>
        <w:t>,</w:t>
      </w:r>
      <w:r w:rsidRPr="00AC69FB">
        <w:t xml:space="preserve"> E</w:t>
      </w:r>
      <w:r>
        <w:t xml:space="preserve">. </w:t>
      </w:r>
      <w:r w:rsidRPr="00AC69FB">
        <w:t>A</w:t>
      </w:r>
      <w:r>
        <w:t>.</w:t>
      </w:r>
      <w:r w:rsidRPr="00AC69FB">
        <w:t>, Trapl</w:t>
      </w:r>
      <w:r>
        <w:t>,</w:t>
      </w:r>
      <w:r w:rsidRPr="00AC69FB">
        <w:t xml:space="preserve"> E</w:t>
      </w:r>
      <w:r>
        <w:t xml:space="preserve">. </w:t>
      </w:r>
      <w:r w:rsidRPr="00AC69FB">
        <w:t>S</w:t>
      </w:r>
      <w:r>
        <w:t>.</w:t>
      </w:r>
      <w:r w:rsidRPr="00AC69FB">
        <w:t>, Lovegreen</w:t>
      </w:r>
      <w:r>
        <w:t>,</w:t>
      </w:r>
      <w:r w:rsidRPr="00AC69FB">
        <w:t xml:space="preserve"> L</w:t>
      </w:r>
      <w:r>
        <w:t xml:space="preserve">. </w:t>
      </w:r>
      <w:r w:rsidRPr="00AC69FB">
        <w:t>D</w:t>
      </w:r>
      <w:r>
        <w:t>.</w:t>
      </w:r>
      <w:r w:rsidRPr="00AC69FB">
        <w:t>, Colabianchi</w:t>
      </w:r>
      <w:r>
        <w:t>,</w:t>
      </w:r>
      <w:r w:rsidRPr="00AC69FB">
        <w:t xml:space="preserve"> N</w:t>
      </w:r>
      <w:r>
        <w:t>.</w:t>
      </w:r>
      <w:r w:rsidRPr="00AC69FB">
        <w:t>,</w:t>
      </w:r>
      <w:r>
        <w:t xml:space="preserve"> &amp;</w:t>
      </w:r>
      <w:r w:rsidRPr="00AC69FB">
        <w:t xml:space="preserve"> Block</w:t>
      </w:r>
      <w:r>
        <w:t>,</w:t>
      </w:r>
      <w:r w:rsidRPr="00AC69FB">
        <w:t xml:space="preserve"> T.</w:t>
      </w:r>
      <w:r>
        <w:t xml:space="preserve"> (2005).</w:t>
      </w:r>
      <w:r w:rsidRPr="00AC69FB">
        <w:t xml:space="preserve"> Effectiveness of </w:t>
      </w:r>
      <w:r>
        <w:t>a</w:t>
      </w:r>
      <w:r w:rsidRPr="00AC69FB">
        <w:t>bstinence-</w:t>
      </w:r>
      <w:r>
        <w:t>o</w:t>
      </w:r>
      <w:r w:rsidRPr="00AC69FB">
        <w:t xml:space="preserve">nly </w:t>
      </w:r>
      <w:r>
        <w:t>i</w:t>
      </w:r>
      <w:r w:rsidRPr="00AC69FB">
        <w:t xml:space="preserve">ntervention in </w:t>
      </w:r>
      <w:r>
        <w:t>m</w:t>
      </w:r>
      <w:r w:rsidRPr="00AC69FB">
        <w:t xml:space="preserve">iddle </w:t>
      </w:r>
      <w:r>
        <w:t>s</w:t>
      </w:r>
      <w:r w:rsidRPr="00AC69FB">
        <w:t xml:space="preserve">chool </w:t>
      </w:r>
      <w:r>
        <w:t>t</w:t>
      </w:r>
      <w:r w:rsidRPr="00AC69FB">
        <w:t xml:space="preserve">eens. </w:t>
      </w:r>
      <w:r w:rsidRPr="006A018E">
        <w:rPr>
          <w:i/>
        </w:rPr>
        <w:t>American Journal of Health Behavior</w:t>
      </w:r>
      <w:r>
        <w:t>,</w:t>
      </w:r>
      <w:r w:rsidRPr="00AC69FB">
        <w:t xml:space="preserve"> 29</w:t>
      </w:r>
      <w:r>
        <w:t xml:space="preserve">, </w:t>
      </w:r>
      <w:r w:rsidRPr="00AC69FB">
        <w:t>423–434</w:t>
      </w:r>
      <w:r>
        <w:t>.</w:t>
      </w:r>
    </w:p>
    <w:p w14:paraId="2CD730D3" w14:textId="458712CA" w:rsidR="002E3D7D" w:rsidRDefault="002E3D7D" w:rsidP="002E3D7D">
      <w:pPr>
        <w:pStyle w:val="OMBbodytext"/>
        <w:numPr>
          <w:ilvl w:val="0"/>
          <w:numId w:val="46"/>
        </w:numPr>
      </w:pPr>
      <w:r>
        <w:t>Clark, M. A., &amp; Devaney, B. (2006). First-year impacts of the Heritage Keepers® Life Skills Education Component. Princeton, NJ: Mathematica Policy Research, Inc.</w:t>
      </w:r>
    </w:p>
    <w:p w14:paraId="69E8A1BA" w14:textId="0716A00A" w:rsidR="002E3D7D" w:rsidRDefault="002E3D7D" w:rsidP="002E3D7D">
      <w:pPr>
        <w:pStyle w:val="OMBbodytext"/>
        <w:numPr>
          <w:ilvl w:val="0"/>
          <w:numId w:val="46"/>
        </w:numPr>
      </w:pPr>
      <w:r>
        <w:t>Clark, M. A., Trenhold, C., Devaney, B., Wheeler, J., &amp; Quay, L. (2007). Impacts of the Heritage Keepers® Life Skills Education Component. Final Report. Princeton, NJ: Mathematica Policy Research, Inc.</w:t>
      </w:r>
    </w:p>
    <w:p w14:paraId="4B53D310" w14:textId="7BCE46D1" w:rsidR="0085370F" w:rsidRDefault="0085370F" w:rsidP="00964ED2">
      <w:pPr>
        <w:pStyle w:val="OMBbodytext"/>
        <w:sectPr w:rsidR="0085370F" w:rsidSect="006C08D8">
          <w:type w:val="continuous"/>
          <w:pgSz w:w="12240" w:h="15840"/>
          <w:pgMar w:top="1440" w:right="1440" w:bottom="1440" w:left="1440" w:header="720" w:footer="720" w:gutter="0"/>
          <w:pgNumType w:start="1"/>
          <w:cols w:space="720"/>
          <w:titlePg/>
          <w:docGrid w:linePitch="360"/>
        </w:sectPr>
      </w:pPr>
    </w:p>
    <w:p w14:paraId="692FA90D" w14:textId="61AED56F" w:rsidR="00964ED2" w:rsidRDefault="00964ED2" w:rsidP="00964ED2">
      <w:pPr>
        <w:pStyle w:val="OMBbodytext"/>
      </w:pPr>
      <w:r>
        <w:t>Notably, demographic information for each school is available from the National Center for Education Statistics (NCES)</w:t>
      </w:r>
      <w:r w:rsidR="00E70F6B" w:rsidRPr="00E70F6B">
        <w:rPr>
          <w:rStyle w:val="FootnoteReference"/>
          <w:vertAlign w:val="superscript"/>
        </w:rPr>
        <w:footnoteReference w:id="2"/>
      </w:r>
      <w:r w:rsidR="00681ED8">
        <w:t>.</w:t>
      </w:r>
      <w:r w:rsidR="006A1764">
        <w:t xml:space="preserve"> </w:t>
      </w:r>
      <w:r w:rsidR="006A1764">
        <w:rPr>
          <w:b/>
          <w:i/>
        </w:rPr>
        <w:t xml:space="preserve">Exhibit </w:t>
      </w:r>
      <w:r w:rsidR="00E03FAA">
        <w:rPr>
          <w:b/>
          <w:i/>
        </w:rPr>
        <w:t>3</w:t>
      </w:r>
      <w:r w:rsidR="006A1764">
        <w:t xml:space="preserve"> provides demographic information for the schools </w:t>
      </w:r>
      <w:r w:rsidR="00F4444A">
        <w:t xml:space="preserve">that will be </w:t>
      </w:r>
      <w:r w:rsidR="006A1764">
        <w:t>included in this study.</w:t>
      </w:r>
    </w:p>
    <w:p w14:paraId="72E2483A" w14:textId="369111E1" w:rsidR="00216D82" w:rsidRDefault="00216D82" w:rsidP="00ED7965">
      <w:pPr>
        <w:pStyle w:val="OMBExhibitTitle"/>
        <w:ind w:left="1152" w:hanging="1152"/>
      </w:pPr>
      <w:bookmarkStart w:id="27" w:name="_Toc8284058"/>
      <w:r>
        <w:t>Exhibit 3. Demographic Information on Schools Included in Study</w:t>
      </w:r>
      <w:bookmarkEnd w:id="27"/>
    </w:p>
    <w:tbl>
      <w:tblPr>
        <w:tblStyle w:val="TableGrid"/>
        <w:tblW w:w="5000" w:type="pct"/>
        <w:tblLook w:val="04A0" w:firstRow="1" w:lastRow="0" w:firstColumn="1" w:lastColumn="0" w:noHBand="0" w:noVBand="1"/>
      </w:tblPr>
      <w:tblGrid>
        <w:gridCol w:w="1234"/>
        <w:gridCol w:w="857"/>
        <w:gridCol w:w="951"/>
        <w:gridCol w:w="1526"/>
        <w:gridCol w:w="775"/>
        <w:gridCol w:w="764"/>
        <w:gridCol w:w="1067"/>
        <w:gridCol w:w="1713"/>
        <w:gridCol w:w="856"/>
        <w:gridCol w:w="1333"/>
        <w:gridCol w:w="951"/>
        <w:gridCol w:w="1149"/>
      </w:tblGrid>
      <w:tr w:rsidR="00216D82" w:rsidRPr="00216D82" w14:paraId="7FD33274" w14:textId="10FE9DB5" w:rsidTr="000449F6">
        <w:tc>
          <w:tcPr>
            <w:tcW w:w="468" w:type="pct"/>
            <w:shd w:val="clear" w:color="auto" w:fill="767171" w:themeFill="background2" w:themeFillShade="80"/>
            <w:hideMark/>
          </w:tcPr>
          <w:p w14:paraId="1B311A26" w14:textId="65ED87F1" w:rsidR="00216D82" w:rsidRPr="00216D82" w:rsidRDefault="00216D82" w:rsidP="002C1F05">
            <w:pPr>
              <w:rPr>
                <w:rFonts w:ascii="Arial" w:hAnsi="Arial" w:cs="Arial"/>
                <w:b/>
                <w:color w:val="FFFFFF" w:themeColor="background1"/>
                <w:sz w:val="20"/>
                <w:szCs w:val="20"/>
              </w:rPr>
            </w:pPr>
            <w:r w:rsidRPr="00216D82">
              <w:rPr>
                <w:rFonts w:ascii="Arial" w:hAnsi="Arial" w:cs="Arial"/>
                <w:b/>
                <w:color w:val="FFFFFF" w:themeColor="background1"/>
                <w:sz w:val="20"/>
                <w:szCs w:val="20"/>
              </w:rPr>
              <w:t>School*</w:t>
            </w:r>
          </w:p>
        </w:tc>
        <w:tc>
          <w:tcPr>
            <w:tcW w:w="325" w:type="pct"/>
            <w:shd w:val="clear" w:color="auto" w:fill="767171" w:themeFill="background2" w:themeFillShade="80"/>
          </w:tcPr>
          <w:p w14:paraId="45C4E18C" w14:textId="62E0ECA3" w:rsidR="00216D82" w:rsidRPr="00216D82" w:rsidRDefault="00216D82" w:rsidP="002C1F05">
            <w:pPr>
              <w:rPr>
                <w:rFonts w:ascii="Arial" w:hAnsi="Arial" w:cs="Arial"/>
                <w:b/>
                <w:color w:val="FFFFFF" w:themeColor="background1"/>
                <w:sz w:val="20"/>
                <w:szCs w:val="20"/>
              </w:rPr>
            </w:pPr>
            <w:r w:rsidRPr="00216D82">
              <w:rPr>
                <w:rFonts w:ascii="Arial" w:hAnsi="Arial" w:cs="Arial"/>
                <w:b/>
                <w:color w:val="FFFFFF" w:themeColor="background1"/>
                <w:sz w:val="20"/>
                <w:szCs w:val="20"/>
              </w:rPr>
              <w:t>Male</w:t>
            </w:r>
          </w:p>
        </w:tc>
        <w:tc>
          <w:tcPr>
            <w:tcW w:w="361" w:type="pct"/>
            <w:shd w:val="clear" w:color="auto" w:fill="767171" w:themeFill="background2" w:themeFillShade="80"/>
          </w:tcPr>
          <w:p w14:paraId="2D0D851D" w14:textId="48E4349F" w:rsidR="00216D82" w:rsidRPr="00216D82" w:rsidRDefault="00216D82" w:rsidP="002C1F05">
            <w:pPr>
              <w:rPr>
                <w:rFonts w:ascii="Arial" w:hAnsi="Arial" w:cs="Arial"/>
                <w:b/>
                <w:color w:val="FFFFFF" w:themeColor="background1"/>
                <w:sz w:val="20"/>
                <w:szCs w:val="20"/>
              </w:rPr>
            </w:pPr>
            <w:r w:rsidRPr="00216D82">
              <w:rPr>
                <w:rFonts w:ascii="Arial" w:hAnsi="Arial" w:cs="Arial"/>
                <w:b/>
                <w:color w:val="FFFFFF" w:themeColor="background1"/>
                <w:sz w:val="20"/>
                <w:szCs w:val="20"/>
              </w:rPr>
              <w:t>Female</w:t>
            </w:r>
          </w:p>
        </w:tc>
        <w:tc>
          <w:tcPr>
            <w:tcW w:w="579" w:type="pct"/>
            <w:shd w:val="clear" w:color="auto" w:fill="767171" w:themeFill="background2" w:themeFillShade="80"/>
          </w:tcPr>
          <w:p w14:paraId="7AB8676C" w14:textId="6D9291A3" w:rsidR="00216D82" w:rsidRPr="00216D82" w:rsidRDefault="00216D82" w:rsidP="002C1F05">
            <w:pPr>
              <w:rPr>
                <w:rFonts w:ascii="Arial" w:hAnsi="Arial" w:cs="Arial"/>
                <w:b/>
                <w:color w:val="FFFFFF" w:themeColor="background1"/>
                <w:sz w:val="20"/>
                <w:szCs w:val="20"/>
              </w:rPr>
            </w:pPr>
            <w:r w:rsidRPr="00216D82">
              <w:rPr>
                <w:rFonts w:ascii="Arial" w:hAnsi="Arial" w:cs="Arial"/>
                <w:b/>
                <w:color w:val="FFFFFF" w:themeColor="background1"/>
                <w:sz w:val="20"/>
                <w:szCs w:val="20"/>
              </w:rPr>
              <w:t>Am. Indian/ Alaska Native</w:t>
            </w:r>
          </w:p>
        </w:tc>
        <w:tc>
          <w:tcPr>
            <w:tcW w:w="294" w:type="pct"/>
            <w:shd w:val="clear" w:color="auto" w:fill="767171" w:themeFill="background2" w:themeFillShade="80"/>
          </w:tcPr>
          <w:p w14:paraId="0F649BCA" w14:textId="6FB42742" w:rsidR="00216D82" w:rsidRPr="00216D82" w:rsidRDefault="00216D82" w:rsidP="002C1F05">
            <w:pPr>
              <w:rPr>
                <w:rFonts w:ascii="Arial" w:hAnsi="Arial" w:cs="Arial"/>
                <w:b/>
                <w:color w:val="FFFFFF" w:themeColor="background1"/>
                <w:sz w:val="20"/>
                <w:szCs w:val="20"/>
              </w:rPr>
            </w:pPr>
            <w:r w:rsidRPr="00216D82">
              <w:rPr>
                <w:rFonts w:ascii="Arial" w:hAnsi="Arial" w:cs="Arial"/>
                <w:b/>
                <w:color w:val="FFFFFF" w:themeColor="background1"/>
                <w:sz w:val="20"/>
                <w:szCs w:val="20"/>
              </w:rPr>
              <w:t>Asian</w:t>
            </w:r>
          </w:p>
        </w:tc>
        <w:tc>
          <w:tcPr>
            <w:tcW w:w="290" w:type="pct"/>
            <w:shd w:val="clear" w:color="auto" w:fill="767171" w:themeFill="background2" w:themeFillShade="80"/>
          </w:tcPr>
          <w:p w14:paraId="21B94A1C" w14:textId="227237D0" w:rsidR="00216D82" w:rsidRPr="00216D82" w:rsidRDefault="00216D82" w:rsidP="002C1F05">
            <w:pPr>
              <w:rPr>
                <w:rFonts w:ascii="Arial" w:hAnsi="Arial" w:cs="Arial"/>
                <w:b/>
                <w:color w:val="FFFFFF" w:themeColor="background1"/>
                <w:sz w:val="20"/>
                <w:szCs w:val="20"/>
              </w:rPr>
            </w:pPr>
            <w:r w:rsidRPr="00216D82">
              <w:rPr>
                <w:rFonts w:ascii="Arial" w:hAnsi="Arial" w:cs="Arial"/>
                <w:b/>
                <w:color w:val="FFFFFF" w:themeColor="background1"/>
                <w:sz w:val="20"/>
                <w:szCs w:val="20"/>
              </w:rPr>
              <w:t xml:space="preserve">Black </w:t>
            </w:r>
          </w:p>
        </w:tc>
        <w:tc>
          <w:tcPr>
            <w:tcW w:w="405" w:type="pct"/>
            <w:shd w:val="clear" w:color="auto" w:fill="767171" w:themeFill="background2" w:themeFillShade="80"/>
            <w:hideMark/>
          </w:tcPr>
          <w:p w14:paraId="5C5CD0B6" w14:textId="6790DE93" w:rsidR="00216D82" w:rsidRPr="00216D82" w:rsidRDefault="00216D82" w:rsidP="002C1F05">
            <w:pPr>
              <w:rPr>
                <w:rFonts w:ascii="Arial" w:hAnsi="Arial" w:cs="Arial"/>
                <w:b/>
                <w:color w:val="FFFFFF" w:themeColor="background1"/>
                <w:sz w:val="20"/>
                <w:szCs w:val="20"/>
              </w:rPr>
            </w:pPr>
            <w:r w:rsidRPr="00216D82">
              <w:rPr>
                <w:rFonts w:ascii="Arial" w:hAnsi="Arial" w:cs="Arial"/>
                <w:b/>
                <w:color w:val="FFFFFF" w:themeColor="background1"/>
                <w:sz w:val="20"/>
                <w:szCs w:val="20"/>
              </w:rPr>
              <w:t>Hispanic</w:t>
            </w:r>
          </w:p>
        </w:tc>
        <w:tc>
          <w:tcPr>
            <w:tcW w:w="650" w:type="pct"/>
            <w:shd w:val="clear" w:color="auto" w:fill="767171" w:themeFill="background2" w:themeFillShade="80"/>
          </w:tcPr>
          <w:p w14:paraId="6FBFCD53" w14:textId="0D8F4762" w:rsidR="00216D82" w:rsidRPr="00216D82" w:rsidRDefault="00216D82" w:rsidP="002C1F05">
            <w:pPr>
              <w:rPr>
                <w:rFonts w:ascii="Arial" w:hAnsi="Arial" w:cs="Arial"/>
                <w:b/>
                <w:color w:val="FFFFFF" w:themeColor="background1"/>
                <w:sz w:val="20"/>
                <w:szCs w:val="20"/>
              </w:rPr>
            </w:pPr>
            <w:r w:rsidRPr="00216D82">
              <w:rPr>
                <w:rFonts w:ascii="Arial" w:hAnsi="Arial" w:cs="Arial"/>
                <w:b/>
                <w:color w:val="FFFFFF" w:themeColor="background1"/>
                <w:sz w:val="20"/>
                <w:szCs w:val="20"/>
              </w:rPr>
              <w:t>Hawaiian/</w:t>
            </w:r>
          </w:p>
          <w:p w14:paraId="2C34E8FB" w14:textId="6DDA61B0" w:rsidR="00216D82" w:rsidRPr="00216D82" w:rsidRDefault="00216D82" w:rsidP="002C1F05">
            <w:pPr>
              <w:rPr>
                <w:rFonts w:ascii="Arial" w:hAnsi="Arial" w:cs="Arial"/>
                <w:b/>
                <w:color w:val="FFFFFF" w:themeColor="background1"/>
                <w:sz w:val="20"/>
                <w:szCs w:val="20"/>
              </w:rPr>
            </w:pPr>
            <w:r w:rsidRPr="00216D82">
              <w:rPr>
                <w:rFonts w:ascii="Arial" w:hAnsi="Arial" w:cs="Arial"/>
                <w:b/>
                <w:color w:val="FFFFFF" w:themeColor="background1"/>
                <w:sz w:val="20"/>
                <w:szCs w:val="20"/>
              </w:rPr>
              <w:t>Pacific Islander</w:t>
            </w:r>
          </w:p>
        </w:tc>
        <w:tc>
          <w:tcPr>
            <w:tcW w:w="325" w:type="pct"/>
            <w:shd w:val="clear" w:color="auto" w:fill="767171" w:themeFill="background2" w:themeFillShade="80"/>
            <w:hideMark/>
          </w:tcPr>
          <w:p w14:paraId="04DABA88" w14:textId="29FDFC77" w:rsidR="00216D82" w:rsidRPr="00216D82" w:rsidRDefault="00216D82" w:rsidP="002C1F05">
            <w:pPr>
              <w:rPr>
                <w:rFonts w:ascii="Arial" w:hAnsi="Arial" w:cs="Arial"/>
                <w:b/>
                <w:color w:val="FFFFFF" w:themeColor="background1"/>
                <w:sz w:val="20"/>
                <w:szCs w:val="20"/>
              </w:rPr>
            </w:pPr>
            <w:r w:rsidRPr="00216D82">
              <w:rPr>
                <w:rFonts w:ascii="Arial" w:hAnsi="Arial" w:cs="Arial"/>
                <w:b/>
                <w:color w:val="FFFFFF" w:themeColor="background1"/>
                <w:sz w:val="20"/>
                <w:szCs w:val="20"/>
              </w:rPr>
              <w:t>White</w:t>
            </w:r>
          </w:p>
        </w:tc>
        <w:tc>
          <w:tcPr>
            <w:tcW w:w="506" w:type="pct"/>
            <w:shd w:val="clear" w:color="auto" w:fill="767171" w:themeFill="background2" w:themeFillShade="80"/>
          </w:tcPr>
          <w:p w14:paraId="5632A29C" w14:textId="37F8AEC7" w:rsidR="00216D82" w:rsidRPr="00216D82" w:rsidRDefault="00216D82" w:rsidP="002C1F05">
            <w:pPr>
              <w:rPr>
                <w:rFonts w:ascii="Arial" w:hAnsi="Arial" w:cs="Arial"/>
                <w:b/>
                <w:color w:val="FFFFFF" w:themeColor="background1"/>
                <w:sz w:val="20"/>
                <w:szCs w:val="20"/>
              </w:rPr>
            </w:pPr>
            <w:r w:rsidRPr="00216D82">
              <w:rPr>
                <w:rFonts w:ascii="Arial" w:hAnsi="Arial" w:cs="Arial"/>
                <w:b/>
                <w:color w:val="FFFFFF" w:themeColor="background1"/>
                <w:sz w:val="20"/>
                <w:szCs w:val="20"/>
              </w:rPr>
              <w:t>Two or more races</w:t>
            </w:r>
          </w:p>
        </w:tc>
        <w:tc>
          <w:tcPr>
            <w:tcW w:w="361" w:type="pct"/>
            <w:shd w:val="clear" w:color="auto" w:fill="767171" w:themeFill="background2" w:themeFillShade="80"/>
          </w:tcPr>
          <w:p w14:paraId="6F952524" w14:textId="297B1EED" w:rsidR="00216D82" w:rsidRPr="00216D82" w:rsidRDefault="00216D82" w:rsidP="002C1F05">
            <w:pPr>
              <w:rPr>
                <w:rFonts w:ascii="Arial" w:hAnsi="Arial" w:cs="Arial"/>
                <w:b/>
                <w:color w:val="FFFFFF" w:themeColor="background1"/>
                <w:sz w:val="20"/>
                <w:szCs w:val="20"/>
              </w:rPr>
            </w:pPr>
            <w:r w:rsidRPr="00216D82">
              <w:rPr>
                <w:rFonts w:ascii="Arial" w:hAnsi="Arial" w:cs="Arial"/>
                <w:b/>
                <w:color w:val="FFFFFF" w:themeColor="background1"/>
                <w:sz w:val="20"/>
                <w:szCs w:val="20"/>
              </w:rPr>
              <w:t>Free Lunch</w:t>
            </w:r>
          </w:p>
        </w:tc>
        <w:tc>
          <w:tcPr>
            <w:tcW w:w="436" w:type="pct"/>
            <w:shd w:val="clear" w:color="auto" w:fill="767171" w:themeFill="background2" w:themeFillShade="80"/>
          </w:tcPr>
          <w:p w14:paraId="47BEDA8D" w14:textId="7E8A0C16" w:rsidR="00216D82" w:rsidRPr="00216D82" w:rsidRDefault="00216D82" w:rsidP="002C1F05">
            <w:pPr>
              <w:rPr>
                <w:rFonts w:ascii="Arial" w:hAnsi="Arial" w:cs="Arial"/>
                <w:b/>
                <w:color w:val="FFFFFF" w:themeColor="background1"/>
                <w:sz w:val="20"/>
                <w:szCs w:val="20"/>
              </w:rPr>
            </w:pPr>
            <w:r w:rsidRPr="00216D82">
              <w:rPr>
                <w:rFonts w:ascii="Arial" w:hAnsi="Arial" w:cs="Arial"/>
                <w:b/>
                <w:color w:val="FFFFFF" w:themeColor="background1"/>
                <w:sz w:val="20"/>
                <w:szCs w:val="20"/>
              </w:rPr>
              <w:t>Reduced Lunch</w:t>
            </w:r>
          </w:p>
        </w:tc>
      </w:tr>
      <w:tr w:rsidR="00216D82" w:rsidRPr="00216D82" w14:paraId="0DA586B8" w14:textId="384E2215" w:rsidTr="00216D82">
        <w:tc>
          <w:tcPr>
            <w:tcW w:w="5000" w:type="pct"/>
            <w:gridSpan w:val="12"/>
            <w:shd w:val="clear" w:color="auto" w:fill="E7E6E6" w:themeFill="background2"/>
          </w:tcPr>
          <w:p w14:paraId="6443872C" w14:textId="14A06CA3" w:rsidR="00216D82" w:rsidRPr="00216D82" w:rsidRDefault="00216D82" w:rsidP="002C1F05">
            <w:pPr>
              <w:rPr>
                <w:rFonts w:ascii="Arial" w:hAnsi="Arial" w:cs="Arial"/>
                <w:b/>
                <w:sz w:val="20"/>
                <w:szCs w:val="20"/>
              </w:rPr>
            </w:pPr>
            <w:r w:rsidRPr="00216D82">
              <w:rPr>
                <w:rFonts w:ascii="Arial" w:hAnsi="Arial" w:cs="Arial"/>
                <w:b/>
                <w:sz w:val="20"/>
                <w:szCs w:val="20"/>
              </w:rPr>
              <w:t xml:space="preserve">Schools in </w:t>
            </w:r>
            <w:r w:rsidR="0019383F">
              <w:rPr>
                <w:rFonts w:ascii="Arial" w:hAnsi="Arial" w:cs="Arial"/>
                <w:b/>
                <w:sz w:val="20"/>
                <w:szCs w:val="20"/>
              </w:rPr>
              <w:t>IO</w:t>
            </w:r>
            <w:r w:rsidRPr="00216D82">
              <w:rPr>
                <w:rFonts w:ascii="Arial" w:hAnsi="Arial" w:cs="Arial"/>
                <w:b/>
                <w:sz w:val="20"/>
                <w:szCs w:val="20"/>
              </w:rPr>
              <w:t xml:space="preserve"> A</w:t>
            </w:r>
            <w:r w:rsidR="0019383F">
              <w:rPr>
                <w:rFonts w:ascii="Arial" w:hAnsi="Arial" w:cs="Arial"/>
                <w:b/>
                <w:sz w:val="20"/>
                <w:szCs w:val="20"/>
              </w:rPr>
              <w:t xml:space="preserve"> (Real Essentials Curriculum)</w:t>
            </w:r>
          </w:p>
        </w:tc>
      </w:tr>
      <w:tr w:rsidR="000449F6" w:rsidRPr="00216D82" w14:paraId="7D581D12" w14:textId="30580940" w:rsidTr="000449F6">
        <w:tc>
          <w:tcPr>
            <w:tcW w:w="468" w:type="pct"/>
            <w:hideMark/>
          </w:tcPr>
          <w:p w14:paraId="222DEB41" w14:textId="0F52A3C4" w:rsidR="000449F6" w:rsidRPr="00216D82" w:rsidRDefault="000449F6" w:rsidP="000449F6">
            <w:pPr>
              <w:rPr>
                <w:rFonts w:ascii="Arial" w:hAnsi="Arial" w:cs="Arial"/>
                <w:b/>
                <w:color w:val="222222"/>
                <w:sz w:val="20"/>
                <w:szCs w:val="20"/>
              </w:rPr>
            </w:pPr>
            <w:r w:rsidRPr="00216D82">
              <w:rPr>
                <w:rFonts w:ascii="Arial" w:hAnsi="Arial" w:cs="Arial"/>
                <w:b/>
                <w:sz w:val="20"/>
                <w:szCs w:val="20"/>
              </w:rPr>
              <w:t>School 1</w:t>
            </w:r>
          </w:p>
        </w:tc>
        <w:tc>
          <w:tcPr>
            <w:tcW w:w="325" w:type="pct"/>
            <w:hideMark/>
          </w:tcPr>
          <w:p w14:paraId="56A6EF1C" w14:textId="5E3D966D" w:rsidR="000449F6" w:rsidRPr="00216D82" w:rsidRDefault="000449F6" w:rsidP="000449F6">
            <w:pPr>
              <w:rPr>
                <w:rFonts w:ascii="Arial" w:hAnsi="Arial" w:cs="Arial"/>
                <w:sz w:val="20"/>
                <w:szCs w:val="20"/>
              </w:rPr>
            </w:pPr>
            <w:r w:rsidRPr="00216D82">
              <w:rPr>
                <w:rFonts w:ascii="Arial" w:hAnsi="Arial" w:cs="Arial"/>
                <w:sz w:val="20"/>
                <w:szCs w:val="20"/>
              </w:rPr>
              <w:t>52%</w:t>
            </w:r>
          </w:p>
          <w:p w14:paraId="5D2FDE7C" w14:textId="7BC0BD2B" w:rsidR="000449F6" w:rsidRPr="00216D82" w:rsidRDefault="000449F6" w:rsidP="000449F6">
            <w:pPr>
              <w:rPr>
                <w:rFonts w:ascii="Arial" w:hAnsi="Arial" w:cs="Arial"/>
                <w:color w:val="222222"/>
                <w:sz w:val="20"/>
                <w:szCs w:val="20"/>
              </w:rPr>
            </w:pPr>
          </w:p>
        </w:tc>
        <w:tc>
          <w:tcPr>
            <w:tcW w:w="361" w:type="pct"/>
          </w:tcPr>
          <w:p w14:paraId="107728AC" w14:textId="4C7B46DA" w:rsidR="000449F6" w:rsidRPr="00216D82" w:rsidRDefault="000449F6" w:rsidP="000449F6">
            <w:pPr>
              <w:rPr>
                <w:rFonts w:ascii="Arial" w:hAnsi="Arial" w:cs="Arial"/>
                <w:sz w:val="20"/>
                <w:szCs w:val="20"/>
              </w:rPr>
            </w:pPr>
            <w:r w:rsidRPr="00216D82">
              <w:rPr>
                <w:rFonts w:ascii="Arial" w:hAnsi="Arial" w:cs="Arial"/>
                <w:sz w:val="20"/>
                <w:szCs w:val="20"/>
              </w:rPr>
              <w:t>48%</w:t>
            </w:r>
          </w:p>
          <w:p w14:paraId="465FF7FF" w14:textId="3059E95F" w:rsidR="000449F6" w:rsidRPr="00216D82" w:rsidRDefault="000449F6" w:rsidP="000449F6">
            <w:pPr>
              <w:rPr>
                <w:rFonts w:ascii="Arial" w:hAnsi="Arial" w:cs="Arial"/>
                <w:sz w:val="20"/>
                <w:szCs w:val="20"/>
              </w:rPr>
            </w:pPr>
          </w:p>
        </w:tc>
        <w:tc>
          <w:tcPr>
            <w:tcW w:w="579" w:type="pct"/>
          </w:tcPr>
          <w:p w14:paraId="6AB9BD3D" w14:textId="20C4989F" w:rsidR="000449F6" w:rsidRPr="00216D82" w:rsidRDefault="000449F6" w:rsidP="000449F6">
            <w:pPr>
              <w:rPr>
                <w:rFonts w:ascii="Arial" w:hAnsi="Arial" w:cs="Arial"/>
                <w:sz w:val="20"/>
                <w:szCs w:val="20"/>
              </w:rPr>
            </w:pPr>
            <w:r>
              <w:rPr>
                <w:rFonts w:ascii="Arial" w:hAnsi="Arial" w:cs="Arial"/>
                <w:sz w:val="20"/>
                <w:szCs w:val="20"/>
              </w:rPr>
              <w:t>&lt;</w:t>
            </w:r>
            <w:r w:rsidRPr="00216D82">
              <w:rPr>
                <w:rFonts w:ascii="Arial" w:hAnsi="Arial" w:cs="Arial"/>
                <w:sz w:val="20"/>
                <w:szCs w:val="20"/>
              </w:rPr>
              <w:t>1%</w:t>
            </w:r>
          </w:p>
        </w:tc>
        <w:tc>
          <w:tcPr>
            <w:tcW w:w="294" w:type="pct"/>
          </w:tcPr>
          <w:p w14:paraId="729DB190" w14:textId="644B4033" w:rsidR="000449F6" w:rsidRPr="00216D82" w:rsidRDefault="000449F6" w:rsidP="000449F6">
            <w:pPr>
              <w:rPr>
                <w:rFonts w:ascii="Arial" w:hAnsi="Arial" w:cs="Arial"/>
                <w:sz w:val="20"/>
                <w:szCs w:val="20"/>
              </w:rPr>
            </w:pPr>
            <w:r>
              <w:rPr>
                <w:rFonts w:ascii="Arial" w:hAnsi="Arial" w:cs="Arial"/>
                <w:sz w:val="20"/>
                <w:szCs w:val="20"/>
              </w:rPr>
              <w:t>&lt;</w:t>
            </w:r>
            <w:r w:rsidRPr="00216D82">
              <w:rPr>
                <w:rFonts w:ascii="Arial" w:hAnsi="Arial" w:cs="Arial"/>
                <w:sz w:val="20"/>
                <w:szCs w:val="20"/>
              </w:rPr>
              <w:t>1%</w:t>
            </w:r>
          </w:p>
        </w:tc>
        <w:tc>
          <w:tcPr>
            <w:tcW w:w="290" w:type="pct"/>
          </w:tcPr>
          <w:p w14:paraId="26B1CA70" w14:textId="09FD692B" w:rsidR="000449F6" w:rsidRPr="00216D82" w:rsidRDefault="000449F6" w:rsidP="000449F6">
            <w:pPr>
              <w:rPr>
                <w:rFonts w:ascii="Arial" w:hAnsi="Arial" w:cs="Arial"/>
                <w:sz w:val="20"/>
                <w:szCs w:val="20"/>
              </w:rPr>
            </w:pPr>
            <w:r w:rsidRPr="00216D82">
              <w:rPr>
                <w:rFonts w:ascii="Arial" w:hAnsi="Arial" w:cs="Arial"/>
                <w:sz w:val="20"/>
                <w:szCs w:val="20"/>
              </w:rPr>
              <w:t>68%</w:t>
            </w:r>
          </w:p>
        </w:tc>
        <w:tc>
          <w:tcPr>
            <w:tcW w:w="405" w:type="pct"/>
            <w:hideMark/>
          </w:tcPr>
          <w:p w14:paraId="0DAFFE89" w14:textId="0EB1AABD" w:rsidR="000449F6" w:rsidRPr="00216D82" w:rsidRDefault="000449F6" w:rsidP="000449F6">
            <w:pPr>
              <w:rPr>
                <w:rFonts w:ascii="Arial" w:hAnsi="Arial" w:cs="Arial"/>
                <w:color w:val="222222"/>
                <w:sz w:val="20"/>
                <w:szCs w:val="20"/>
              </w:rPr>
            </w:pPr>
            <w:r w:rsidRPr="00216D82">
              <w:rPr>
                <w:rFonts w:ascii="Arial" w:hAnsi="Arial" w:cs="Arial"/>
                <w:sz w:val="20"/>
                <w:szCs w:val="20"/>
              </w:rPr>
              <w:t>23%</w:t>
            </w:r>
          </w:p>
        </w:tc>
        <w:tc>
          <w:tcPr>
            <w:tcW w:w="650" w:type="pct"/>
          </w:tcPr>
          <w:p w14:paraId="33C48B10" w14:textId="1BC0A2AA" w:rsidR="000449F6" w:rsidRPr="00216D82" w:rsidRDefault="000449F6" w:rsidP="000449F6">
            <w:pPr>
              <w:rPr>
                <w:rFonts w:ascii="Arial" w:hAnsi="Arial" w:cs="Arial"/>
                <w:sz w:val="20"/>
                <w:szCs w:val="20"/>
              </w:rPr>
            </w:pPr>
            <w:r w:rsidRPr="00EB6E99">
              <w:rPr>
                <w:rFonts w:ascii="Arial" w:hAnsi="Arial" w:cs="Arial"/>
                <w:sz w:val="20"/>
                <w:szCs w:val="20"/>
              </w:rPr>
              <w:t>&lt;1%</w:t>
            </w:r>
          </w:p>
        </w:tc>
        <w:tc>
          <w:tcPr>
            <w:tcW w:w="325" w:type="pct"/>
            <w:hideMark/>
          </w:tcPr>
          <w:p w14:paraId="1617AE9F" w14:textId="02251E5A" w:rsidR="000449F6" w:rsidRPr="00216D82" w:rsidRDefault="000449F6" w:rsidP="000449F6">
            <w:pPr>
              <w:rPr>
                <w:rFonts w:ascii="Arial" w:hAnsi="Arial" w:cs="Arial"/>
                <w:color w:val="222222"/>
                <w:sz w:val="20"/>
                <w:szCs w:val="20"/>
              </w:rPr>
            </w:pPr>
            <w:r w:rsidRPr="00216D82">
              <w:rPr>
                <w:rFonts w:ascii="Arial" w:hAnsi="Arial" w:cs="Arial"/>
                <w:sz w:val="20"/>
                <w:szCs w:val="20"/>
              </w:rPr>
              <w:t>6%</w:t>
            </w:r>
          </w:p>
        </w:tc>
        <w:tc>
          <w:tcPr>
            <w:tcW w:w="506" w:type="pct"/>
          </w:tcPr>
          <w:p w14:paraId="2592BA04" w14:textId="5037D9B1" w:rsidR="000449F6" w:rsidRPr="00216D82" w:rsidRDefault="000449F6" w:rsidP="000449F6">
            <w:pPr>
              <w:rPr>
                <w:rFonts w:ascii="Arial" w:hAnsi="Arial" w:cs="Arial"/>
                <w:sz w:val="20"/>
                <w:szCs w:val="20"/>
              </w:rPr>
            </w:pPr>
            <w:r w:rsidRPr="00216D82">
              <w:rPr>
                <w:rFonts w:ascii="Arial" w:hAnsi="Arial" w:cs="Arial"/>
                <w:sz w:val="20"/>
                <w:szCs w:val="20"/>
              </w:rPr>
              <w:t>2%</w:t>
            </w:r>
          </w:p>
        </w:tc>
        <w:tc>
          <w:tcPr>
            <w:tcW w:w="361" w:type="pct"/>
          </w:tcPr>
          <w:p w14:paraId="08F70466" w14:textId="6E9A58A7" w:rsidR="000449F6" w:rsidRPr="00216D82" w:rsidRDefault="000449F6" w:rsidP="000449F6">
            <w:pPr>
              <w:rPr>
                <w:rFonts w:ascii="Arial" w:hAnsi="Arial" w:cs="Arial"/>
                <w:sz w:val="20"/>
                <w:szCs w:val="20"/>
              </w:rPr>
            </w:pPr>
            <w:r w:rsidRPr="00216D82">
              <w:rPr>
                <w:rFonts w:ascii="Arial" w:hAnsi="Arial" w:cs="Arial"/>
                <w:sz w:val="20"/>
                <w:szCs w:val="20"/>
              </w:rPr>
              <w:t>77%</w:t>
            </w:r>
          </w:p>
        </w:tc>
        <w:tc>
          <w:tcPr>
            <w:tcW w:w="436" w:type="pct"/>
          </w:tcPr>
          <w:p w14:paraId="07706179" w14:textId="0D8B340A" w:rsidR="000449F6" w:rsidRPr="00216D82" w:rsidRDefault="000449F6" w:rsidP="000449F6">
            <w:pPr>
              <w:rPr>
                <w:rFonts w:ascii="Arial" w:hAnsi="Arial" w:cs="Arial"/>
                <w:sz w:val="20"/>
                <w:szCs w:val="20"/>
              </w:rPr>
            </w:pPr>
            <w:r w:rsidRPr="00216D82">
              <w:rPr>
                <w:rFonts w:ascii="Arial" w:hAnsi="Arial" w:cs="Arial"/>
                <w:sz w:val="20"/>
                <w:szCs w:val="20"/>
              </w:rPr>
              <w:t>7%</w:t>
            </w:r>
          </w:p>
        </w:tc>
      </w:tr>
      <w:tr w:rsidR="000449F6" w:rsidRPr="00216D82" w14:paraId="45E8E69F" w14:textId="33752F6B" w:rsidTr="000449F6">
        <w:tc>
          <w:tcPr>
            <w:tcW w:w="468" w:type="pct"/>
            <w:hideMark/>
          </w:tcPr>
          <w:p w14:paraId="38602BA2" w14:textId="6D0FD815" w:rsidR="000449F6" w:rsidRPr="00216D82" w:rsidRDefault="000449F6" w:rsidP="000449F6">
            <w:pPr>
              <w:rPr>
                <w:rFonts w:ascii="Arial" w:hAnsi="Arial" w:cs="Arial"/>
                <w:b/>
                <w:color w:val="222222"/>
                <w:sz w:val="20"/>
                <w:szCs w:val="20"/>
              </w:rPr>
            </w:pPr>
            <w:r w:rsidRPr="00216D82">
              <w:rPr>
                <w:rFonts w:ascii="Arial" w:hAnsi="Arial" w:cs="Arial"/>
                <w:b/>
                <w:sz w:val="20"/>
                <w:szCs w:val="20"/>
              </w:rPr>
              <w:t>School 2</w:t>
            </w:r>
          </w:p>
        </w:tc>
        <w:tc>
          <w:tcPr>
            <w:tcW w:w="325" w:type="pct"/>
            <w:hideMark/>
          </w:tcPr>
          <w:p w14:paraId="5C76B580" w14:textId="50CFCD5E" w:rsidR="000449F6" w:rsidRPr="00216D82" w:rsidRDefault="000449F6" w:rsidP="000449F6">
            <w:pPr>
              <w:rPr>
                <w:rFonts w:ascii="Arial" w:hAnsi="Arial" w:cs="Arial"/>
                <w:color w:val="222222"/>
                <w:sz w:val="20"/>
                <w:szCs w:val="20"/>
              </w:rPr>
            </w:pPr>
            <w:r w:rsidRPr="00216D82">
              <w:rPr>
                <w:rFonts w:ascii="Arial" w:hAnsi="Arial" w:cs="Arial"/>
                <w:sz w:val="20"/>
                <w:szCs w:val="20"/>
              </w:rPr>
              <w:t>47%</w:t>
            </w:r>
          </w:p>
        </w:tc>
        <w:tc>
          <w:tcPr>
            <w:tcW w:w="361" w:type="pct"/>
          </w:tcPr>
          <w:p w14:paraId="511DCC8F" w14:textId="4507974C" w:rsidR="000449F6" w:rsidRPr="00216D82" w:rsidRDefault="000449F6" w:rsidP="000449F6">
            <w:pPr>
              <w:rPr>
                <w:rFonts w:ascii="Arial" w:hAnsi="Arial" w:cs="Arial"/>
                <w:sz w:val="20"/>
                <w:szCs w:val="20"/>
              </w:rPr>
            </w:pPr>
            <w:r w:rsidRPr="00216D82">
              <w:rPr>
                <w:rFonts w:ascii="Arial" w:hAnsi="Arial" w:cs="Arial"/>
                <w:sz w:val="20"/>
                <w:szCs w:val="20"/>
              </w:rPr>
              <w:t>53%</w:t>
            </w:r>
          </w:p>
        </w:tc>
        <w:tc>
          <w:tcPr>
            <w:tcW w:w="579" w:type="pct"/>
          </w:tcPr>
          <w:p w14:paraId="7F3D7AB6" w14:textId="049DBC4F" w:rsidR="000449F6" w:rsidRPr="00216D82" w:rsidRDefault="000449F6" w:rsidP="000449F6">
            <w:pPr>
              <w:rPr>
                <w:rFonts w:ascii="Arial" w:hAnsi="Arial" w:cs="Arial"/>
                <w:sz w:val="20"/>
                <w:szCs w:val="20"/>
              </w:rPr>
            </w:pPr>
            <w:r>
              <w:rPr>
                <w:rFonts w:ascii="Arial" w:hAnsi="Arial" w:cs="Arial"/>
                <w:sz w:val="20"/>
                <w:szCs w:val="20"/>
              </w:rPr>
              <w:t>&lt;</w:t>
            </w:r>
            <w:r w:rsidRPr="00216D82">
              <w:rPr>
                <w:rFonts w:ascii="Arial" w:hAnsi="Arial" w:cs="Arial"/>
                <w:sz w:val="20"/>
                <w:szCs w:val="20"/>
              </w:rPr>
              <w:t>1%</w:t>
            </w:r>
          </w:p>
        </w:tc>
        <w:tc>
          <w:tcPr>
            <w:tcW w:w="294" w:type="pct"/>
          </w:tcPr>
          <w:p w14:paraId="7499A67A" w14:textId="6CE5331F" w:rsidR="000449F6" w:rsidRPr="00216D82" w:rsidRDefault="000449F6" w:rsidP="000449F6">
            <w:pPr>
              <w:rPr>
                <w:rFonts w:ascii="Arial" w:hAnsi="Arial" w:cs="Arial"/>
                <w:sz w:val="20"/>
                <w:szCs w:val="20"/>
              </w:rPr>
            </w:pPr>
            <w:r w:rsidRPr="00216D82">
              <w:rPr>
                <w:rFonts w:ascii="Arial" w:hAnsi="Arial" w:cs="Arial"/>
                <w:sz w:val="20"/>
                <w:szCs w:val="20"/>
              </w:rPr>
              <w:t>1%</w:t>
            </w:r>
          </w:p>
        </w:tc>
        <w:tc>
          <w:tcPr>
            <w:tcW w:w="290" w:type="pct"/>
          </w:tcPr>
          <w:p w14:paraId="45949B05" w14:textId="4F6A1811" w:rsidR="000449F6" w:rsidRPr="00216D82" w:rsidRDefault="000449F6" w:rsidP="000449F6">
            <w:pPr>
              <w:rPr>
                <w:rFonts w:ascii="Arial" w:hAnsi="Arial" w:cs="Arial"/>
                <w:sz w:val="20"/>
                <w:szCs w:val="20"/>
              </w:rPr>
            </w:pPr>
            <w:r w:rsidRPr="00216D82">
              <w:rPr>
                <w:rFonts w:ascii="Arial" w:hAnsi="Arial" w:cs="Arial"/>
                <w:sz w:val="20"/>
                <w:szCs w:val="20"/>
              </w:rPr>
              <w:t>90%</w:t>
            </w:r>
          </w:p>
        </w:tc>
        <w:tc>
          <w:tcPr>
            <w:tcW w:w="405" w:type="pct"/>
            <w:hideMark/>
          </w:tcPr>
          <w:p w14:paraId="710BDCAA" w14:textId="4F04EEAB" w:rsidR="000449F6" w:rsidRPr="00216D82" w:rsidRDefault="000449F6" w:rsidP="000449F6">
            <w:pPr>
              <w:rPr>
                <w:rFonts w:ascii="Arial" w:hAnsi="Arial" w:cs="Arial"/>
                <w:color w:val="222222"/>
                <w:sz w:val="20"/>
                <w:szCs w:val="20"/>
              </w:rPr>
            </w:pPr>
            <w:r w:rsidRPr="00216D82">
              <w:rPr>
                <w:rFonts w:ascii="Arial" w:hAnsi="Arial" w:cs="Arial"/>
                <w:sz w:val="20"/>
                <w:szCs w:val="20"/>
              </w:rPr>
              <w:t> 5%</w:t>
            </w:r>
          </w:p>
        </w:tc>
        <w:tc>
          <w:tcPr>
            <w:tcW w:w="650" w:type="pct"/>
          </w:tcPr>
          <w:p w14:paraId="6F1D5B65" w14:textId="6E68E587" w:rsidR="000449F6" w:rsidRPr="00216D82" w:rsidRDefault="000449F6" w:rsidP="000449F6">
            <w:pPr>
              <w:rPr>
                <w:rFonts w:ascii="Arial" w:hAnsi="Arial" w:cs="Arial"/>
                <w:sz w:val="20"/>
                <w:szCs w:val="20"/>
              </w:rPr>
            </w:pPr>
            <w:r w:rsidRPr="00EB6E99">
              <w:rPr>
                <w:rFonts w:ascii="Arial" w:hAnsi="Arial" w:cs="Arial"/>
                <w:sz w:val="20"/>
                <w:szCs w:val="20"/>
              </w:rPr>
              <w:t>&lt;1%</w:t>
            </w:r>
          </w:p>
        </w:tc>
        <w:tc>
          <w:tcPr>
            <w:tcW w:w="325" w:type="pct"/>
            <w:hideMark/>
          </w:tcPr>
          <w:p w14:paraId="5448126C" w14:textId="60B3A614" w:rsidR="000449F6" w:rsidRPr="00216D82" w:rsidRDefault="000449F6" w:rsidP="000449F6">
            <w:pPr>
              <w:rPr>
                <w:rFonts w:ascii="Arial" w:hAnsi="Arial" w:cs="Arial"/>
                <w:color w:val="222222"/>
                <w:sz w:val="20"/>
                <w:szCs w:val="20"/>
              </w:rPr>
            </w:pPr>
            <w:r w:rsidRPr="00216D82">
              <w:rPr>
                <w:rFonts w:ascii="Arial" w:hAnsi="Arial" w:cs="Arial"/>
                <w:sz w:val="20"/>
                <w:szCs w:val="20"/>
              </w:rPr>
              <w:t>3%</w:t>
            </w:r>
          </w:p>
        </w:tc>
        <w:tc>
          <w:tcPr>
            <w:tcW w:w="506" w:type="pct"/>
          </w:tcPr>
          <w:p w14:paraId="6BF7A641" w14:textId="355E890E" w:rsidR="000449F6" w:rsidRPr="00216D82" w:rsidRDefault="000449F6" w:rsidP="000449F6">
            <w:pPr>
              <w:rPr>
                <w:rFonts w:ascii="Arial" w:hAnsi="Arial" w:cs="Arial"/>
                <w:sz w:val="20"/>
                <w:szCs w:val="20"/>
              </w:rPr>
            </w:pPr>
            <w:r w:rsidRPr="00216D82">
              <w:rPr>
                <w:rFonts w:ascii="Arial" w:hAnsi="Arial" w:cs="Arial"/>
                <w:sz w:val="20"/>
                <w:szCs w:val="20"/>
              </w:rPr>
              <w:t>1%</w:t>
            </w:r>
          </w:p>
        </w:tc>
        <w:tc>
          <w:tcPr>
            <w:tcW w:w="361" w:type="pct"/>
          </w:tcPr>
          <w:p w14:paraId="16B1F078" w14:textId="103F3867" w:rsidR="000449F6" w:rsidRPr="00216D82" w:rsidRDefault="000449F6" w:rsidP="000449F6">
            <w:pPr>
              <w:rPr>
                <w:rFonts w:ascii="Arial" w:hAnsi="Arial" w:cs="Arial"/>
                <w:sz w:val="20"/>
                <w:szCs w:val="20"/>
              </w:rPr>
            </w:pPr>
            <w:r w:rsidRPr="00216D82">
              <w:rPr>
                <w:rFonts w:ascii="Arial" w:hAnsi="Arial" w:cs="Arial"/>
                <w:sz w:val="20"/>
                <w:szCs w:val="20"/>
              </w:rPr>
              <w:t>78%</w:t>
            </w:r>
          </w:p>
        </w:tc>
        <w:tc>
          <w:tcPr>
            <w:tcW w:w="436" w:type="pct"/>
          </w:tcPr>
          <w:p w14:paraId="4362F1F4" w14:textId="594E7F44" w:rsidR="000449F6" w:rsidRPr="00216D82" w:rsidRDefault="000449F6" w:rsidP="000449F6">
            <w:pPr>
              <w:rPr>
                <w:rFonts w:ascii="Arial" w:hAnsi="Arial" w:cs="Arial"/>
                <w:sz w:val="20"/>
                <w:szCs w:val="20"/>
              </w:rPr>
            </w:pPr>
            <w:r w:rsidRPr="00216D82">
              <w:rPr>
                <w:rFonts w:ascii="Arial" w:hAnsi="Arial" w:cs="Arial"/>
                <w:sz w:val="20"/>
                <w:szCs w:val="20"/>
              </w:rPr>
              <w:t>5%</w:t>
            </w:r>
          </w:p>
        </w:tc>
      </w:tr>
      <w:tr w:rsidR="000449F6" w:rsidRPr="00216D82" w14:paraId="20E92145" w14:textId="54E891DD" w:rsidTr="000449F6">
        <w:tc>
          <w:tcPr>
            <w:tcW w:w="468" w:type="pct"/>
            <w:hideMark/>
          </w:tcPr>
          <w:p w14:paraId="12E43875" w14:textId="360A4547" w:rsidR="000449F6" w:rsidRPr="00216D82" w:rsidRDefault="000449F6" w:rsidP="000449F6">
            <w:pPr>
              <w:rPr>
                <w:rFonts w:ascii="Arial" w:hAnsi="Arial" w:cs="Arial"/>
                <w:b/>
                <w:color w:val="222222"/>
                <w:sz w:val="20"/>
                <w:szCs w:val="20"/>
              </w:rPr>
            </w:pPr>
            <w:r w:rsidRPr="00216D82">
              <w:rPr>
                <w:rFonts w:ascii="Arial" w:hAnsi="Arial" w:cs="Arial"/>
                <w:b/>
                <w:sz w:val="20"/>
                <w:szCs w:val="20"/>
              </w:rPr>
              <w:t>School 3</w:t>
            </w:r>
          </w:p>
        </w:tc>
        <w:tc>
          <w:tcPr>
            <w:tcW w:w="325" w:type="pct"/>
            <w:hideMark/>
          </w:tcPr>
          <w:p w14:paraId="58569A0C" w14:textId="6CE67267" w:rsidR="000449F6" w:rsidRPr="00216D82" w:rsidRDefault="000449F6" w:rsidP="000449F6">
            <w:pPr>
              <w:rPr>
                <w:rFonts w:ascii="Arial" w:hAnsi="Arial" w:cs="Arial"/>
                <w:color w:val="222222"/>
                <w:sz w:val="20"/>
                <w:szCs w:val="20"/>
              </w:rPr>
            </w:pPr>
            <w:r w:rsidRPr="00216D82">
              <w:rPr>
                <w:rFonts w:ascii="Arial" w:hAnsi="Arial" w:cs="Arial"/>
                <w:color w:val="222222"/>
                <w:sz w:val="20"/>
                <w:szCs w:val="20"/>
              </w:rPr>
              <w:t>55%</w:t>
            </w:r>
          </w:p>
        </w:tc>
        <w:tc>
          <w:tcPr>
            <w:tcW w:w="361" w:type="pct"/>
          </w:tcPr>
          <w:p w14:paraId="0D60AB62" w14:textId="59832EC1" w:rsidR="000449F6" w:rsidRPr="00216D82" w:rsidRDefault="000449F6" w:rsidP="000449F6">
            <w:pPr>
              <w:rPr>
                <w:rFonts w:ascii="Arial" w:hAnsi="Arial" w:cs="Arial"/>
                <w:sz w:val="20"/>
                <w:szCs w:val="20"/>
              </w:rPr>
            </w:pPr>
            <w:r w:rsidRPr="00216D82">
              <w:rPr>
                <w:rFonts w:ascii="Arial" w:hAnsi="Arial" w:cs="Arial"/>
                <w:sz w:val="20"/>
                <w:szCs w:val="20"/>
              </w:rPr>
              <w:t>45%</w:t>
            </w:r>
          </w:p>
        </w:tc>
        <w:tc>
          <w:tcPr>
            <w:tcW w:w="579" w:type="pct"/>
          </w:tcPr>
          <w:p w14:paraId="509B8D17" w14:textId="22D58BAE" w:rsidR="000449F6" w:rsidRPr="00216D82" w:rsidRDefault="000449F6" w:rsidP="000449F6">
            <w:pPr>
              <w:rPr>
                <w:rFonts w:ascii="Arial" w:hAnsi="Arial" w:cs="Arial"/>
                <w:sz w:val="20"/>
                <w:szCs w:val="20"/>
              </w:rPr>
            </w:pPr>
            <w:r w:rsidRPr="00216D82">
              <w:rPr>
                <w:rFonts w:ascii="Arial" w:hAnsi="Arial" w:cs="Arial"/>
                <w:sz w:val="20"/>
                <w:szCs w:val="20"/>
              </w:rPr>
              <w:t>1%</w:t>
            </w:r>
          </w:p>
        </w:tc>
        <w:tc>
          <w:tcPr>
            <w:tcW w:w="294" w:type="pct"/>
          </w:tcPr>
          <w:p w14:paraId="7A8097EC" w14:textId="741A725E" w:rsidR="000449F6" w:rsidRPr="00216D82" w:rsidRDefault="000449F6" w:rsidP="000449F6">
            <w:pPr>
              <w:rPr>
                <w:rFonts w:ascii="Arial" w:hAnsi="Arial" w:cs="Arial"/>
                <w:sz w:val="20"/>
                <w:szCs w:val="20"/>
              </w:rPr>
            </w:pPr>
            <w:r w:rsidRPr="00216D82">
              <w:rPr>
                <w:rFonts w:ascii="Arial" w:hAnsi="Arial" w:cs="Arial"/>
                <w:sz w:val="20"/>
                <w:szCs w:val="20"/>
              </w:rPr>
              <w:t>4%</w:t>
            </w:r>
          </w:p>
        </w:tc>
        <w:tc>
          <w:tcPr>
            <w:tcW w:w="290" w:type="pct"/>
          </w:tcPr>
          <w:p w14:paraId="32514081" w14:textId="35AFD39E" w:rsidR="000449F6" w:rsidRPr="00216D82" w:rsidRDefault="000449F6" w:rsidP="000449F6">
            <w:pPr>
              <w:rPr>
                <w:rFonts w:ascii="Arial" w:hAnsi="Arial" w:cs="Arial"/>
                <w:sz w:val="20"/>
                <w:szCs w:val="20"/>
              </w:rPr>
            </w:pPr>
            <w:r w:rsidRPr="00216D82">
              <w:rPr>
                <w:rFonts w:ascii="Arial" w:hAnsi="Arial" w:cs="Arial"/>
                <w:sz w:val="20"/>
                <w:szCs w:val="20"/>
              </w:rPr>
              <w:t>26%</w:t>
            </w:r>
          </w:p>
        </w:tc>
        <w:tc>
          <w:tcPr>
            <w:tcW w:w="405" w:type="pct"/>
            <w:hideMark/>
          </w:tcPr>
          <w:p w14:paraId="722473CB" w14:textId="4327EF23" w:rsidR="000449F6" w:rsidRPr="00216D82" w:rsidRDefault="000449F6" w:rsidP="000449F6">
            <w:pPr>
              <w:rPr>
                <w:rFonts w:ascii="Arial" w:hAnsi="Arial" w:cs="Arial"/>
                <w:color w:val="222222"/>
                <w:sz w:val="20"/>
                <w:szCs w:val="20"/>
              </w:rPr>
            </w:pPr>
            <w:r w:rsidRPr="00216D82">
              <w:rPr>
                <w:rFonts w:ascii="Arial" w:hAnsi="Arial" w:cs="Arial"/>
                <w:sz w:val="20"/>
                <w:szCs w:val="20"/>
              </w:rPr>
              <w:t>45%</w:t>
            </w:r>
          </w:p>
        </w:tc>
        <w:tc>
          <w:tcPr>
            <w:tcW w:w="650" w:type="pct"/>
          </w:tcPr>
          <w:p w14:paraId="7B7B3844" w14:textId="28E14370" w:rsidR="000449F6" w:rsidRPr="00216D82" w:rsidRDefault="000449F6" w:rsidP="000449F6">
            <w:pPr>
              <w:rPr>
                <w:rFonts w:ascii="Arial" w:hAnsi="Arial" w:cs="Arial"/>
                <w:sz w:val="20"/>
                <w:szCs w:val="20"/>
              </w:rPr>
            </w:pPr>
            <w:r w:rsidRPr="00EB6E99">
              <w:rPr>
                <w:rFonts w:ascii="Arial" w:hAnsi="Arial" w:cs="Arial"/>
                <w:sz w:val="20"/>
                <w:szCs w:val="20"/>
              </w:rPr>
              <w:t>&lt;1%</w:t>
            </w:r>
          </w:p>
        </w:tc>
        <w:tc>
          <w:tcPr>
            <w:tcW w:w="325" w:type="pct"/>
            <w:hideMark/>
          </w:tcPr>
          <w:p w14:paraId="412A7CEB" w14:textId="3D8515E4" w:rsidR="000449F6" w:rsidRPr="00216D82" w:rsidRDefault="000449F6" w:rsidP="000449F6">
            <w:pPr>
              <w:rPr>
                <w:rFonts w:ascii="Arial" w:hAnsi="Arial" w:cs="Arial"/>
                <w:color w:val="222222"/>
                <w:sz w:val="20"/>
                <w:szCs w:val="20"/>
              </w:rPr>
            </w:pPr>
            <w:r w:rsidRPr="00216D82">
              <w:rPr>
                <w:rFonts w:ascii="Arial" w:hAnsi="Arial" w:cs="Arial"/>
                <w:sz w:val="20"/>
                <w:szCs w:val="20"/>
              </w:rPr>
              <w:t>21%</w:t>
            </w:r>
          </w:p>
        </w:tc>
        <w:tc>
          <w:tcPr>
            <w:tcW w:w="506" w:type="pct"/>
          </w:tcPr>
          <w:p w14:paraId="160712B9" w14:textId="2D5BB39B" w:rsidR="000449F6" w:rsidRPr="00216D82" w:rsidRDefault="000449F6" w:rsidP="000449F6">
            <w:pPr>
              <w:rPr>
                <w:rFonts w:ascii="Arial" w:hAnsi="Arial" w:cs="Arial"/>
                <w:sz w:val="20"/>
                <w:szCs w:val="20"/>
              </w:rPr>
            </w:pPr>
            <w:r w:rsidRPr="00216D82">
              <w:rPr>
                <w:rFonts w:ascii="Arial" w:hAnsi="Arial" w:cs="Arial"/>
                <w:sz w:val="20"/>
                <w:szCs w:val="20"/>
              </w:rPr>
              <w:t>2%</w:t>
            </w:r>
          </w:p>
        </w:tc>
        <w:tc>
          <w:tcPr>
            <w:tcW w:w="361" w:type="pct"/>
          </w:tcPr>
          <w:p w14:paraId="28660465" w14:textId="2F075595" w:rsidR="000449F6" w:rsidRPr="00216D82" w:rsidRDefault="000449F6" w:rsidP="000449F6">
            <w:pPr>
              <w:rPr>
                <w:rFonts w:ascii="Arial" w:hAnsi="Arial" w:cs="Arial"/>
                <w:sz w:val="20"/>
                <w:szCs w:val="20"/>
              </w:rPr>
            </w:pPr>
            <w:r w:rsidRPr="00216D82">
              <w:rPr>
                <w:rFonts w:ascii="Arial" w:hAnsi="Arial" w:cs="Arial"/>
                <w:sz w:val="20"/>
                <w:szCs w:val="20"/>
              </w:rPr>
              <w:t>66%</w:t>
            </w:r>
          </w:p>
        </w:tc>
        <w:tc>
          <w:tcPr>
            <w:tcW w:w="436" w:type="pct"/>
          </w:tcPr>
          <w:p w14:paraId="6CC37194" w14:textId="6EABEE79" w:rsidR="000449F6" w:rsidRPr="00216D82" w:rsidRDefault="000449F6" w:rsidP="000449F6">
            <w:pPr>
              <w:rPr>
                <w:rFonts w:ascii="Arial" w:hAnsi="Arial" w:cs="Arial"/>
                <w:sz w:val="20"/>
                <w:szCs w:val="20"/>
              </w:rPr>
            </w:pPr>
            <w:r w:rsidRPr="00216D82">
              <w:rPr>
                <w:rFonts w:ascii="Arial" w:hAnsi="Arial" w:cs="Arial"/>
                <w:sz w:val="20"/>
                <w:szCs w:val="20"/>
              </w:rPr>
              <w:t>8%</w:t>
            </w:r>
          </w:p>
        </w:tc>
      </w:tr>
      <w:tr w:rsidR="00216D82" w:rsidRPr="00216D82" w14:paraId="742D1118" w14:textId="649F5568" w:rsidTr="00216D82">
        <w:tc>
          <w:tcPr>
            <w:tcW w:w="5000" w:type="pct"/>
            <w:gridSpan w:val="12"/>
            <w:shd w:val="clear" w:color="auto" w:fill="E7E6E6" w:themeFill="background2"/>
          </w:tcPr>
          <w:p w14:paraId="2AAE1A20" w14:textId="69745712" w:rsidR="00216D82" w:rsidRPr="00216D82" w:rsidRDefault="00216D82" w:rsidP="002C1F05">
            <w:pPr>
              <w:rPr>
                <w:rFonts w:ascii="Arial" w:hAnsi="Arial" w:cs="Arial"/>
                <w:b/>
                <w:sz w:val="20"/>
                <w:szCs w:val="20"/>
              </w:rPr>
            </w:pPr>
            <w:r w:rsidRPr="00216D82">
              <w:rPr>
                <w:rFonts w:ascii="Arial" w:hAnsi="Arial" w:cs="Arial"/>
                <w:b/>
                <w:sz w:val="20"/>
                <w:szCs w:val="20"/>
              </w:rPr>
              <w:t xml:space="preserve">Schools in </w:t>
            </w:r>
            <w:r w:rsidR="0019383F">
              <w:rPr>
                <w:rFonts w:ascii="Arial" w:hAnsi="Arial" w:cs="Arial"/>
                <w:b/>
                <w:sz w:val="20"/>
                <w:szCs w:val="20"/>
              </w:rPr>
              <w:t>IO</w:t>
            </w:r>
            <w:r w:rsidRPr="00216D82">
              <w:rPr>
                <w:rFonts w:ascii="Arial" w:hAnsi="Arial" w:cs="Arial"/>
                <w:b/>
                <w:sz w:val="20"/>
                <w:szCs w:val="20"/>
              </w:rPr>
              <w:t xml:space="preserve"> B</w:t>
            </w:r>
            <w:r w:rsidR="0019383F">
              <w:rPr>
                <w:rFonts w:ascii="Arial" w:hAnsi="Arial" w:cs="Arial"/>
                <w:b/>
                <w:sz w:val="20"/>
                <w:szCs w:val="20"/>
              </w:rPr>
              <w:t xml:space="preserve"> (Represent Curriculum)</w:t>
            </w:r>
          </w:p>
        </w:tc>
      </w:tr>
      <w:tr w:rsidR="000449F6" w:rsidRPr="00216D82" w14:paraId="7E61D809" w14:textId="1D1CDE57" w:rsidTr="000449F6">
        <w:tc>
          <w:tcPr>
            <w:tcW w:w="468" w:type="pct"/>
            <w:hideMark/>
          </w:tcPr>
          <w:p w14:paraId="7FF5ACE4" w14:textId="3EECA5F9" w:rsidR="000449F6" w:rsidRPr="00216D82" w:rsidRDefault="000449F6" w:rsidP="000449F6">
            <w:pPr>
              <w:rPr>
                <w:rFonts w:ascii="Arial" w:hAnsi="Arial" w:cs="Arial"/>
                <w:b/>
                <w:color w:val="222222"/>
                <w:sz w:val="20"/>
                <w:szCs w:val="20"/>
              </w:rPr>
            </w:pPr>
            <w:r w:rsidRPr="00216D82">
              <w:rPr>
                <w:rFonts w:ascii="Arial" w:hAnsi="Arial" w:cs="Arial"/>
                <w:b/>
                <w:sz w:val="20"/>
                <w:szCs w:val="20"/>
              </w:rPr>
              <w:t>School 1</w:t>
            </w:r>
          </w:p>
        </w:tc>
        <w:tc>
          <w:tcPr>
            <w:tcW w:w="325" w:type="pct"/>
            <w:hideMark/>
          </w:tcPr>
          <w:p w14:paraId="0EF6ABAE" w14:textId="24AB011F" w:rsidR="000449F6" w:rsidRPr="00216D82" w:rsidRDefault="000449F6" w:rsidP="000449F6">
            <w:pPr>
              <w:rPr>
                <w:rFonts w:ascii="Arial" w:hAnsi="Arial" w:cs="Arial"/>
                <w:color w:val="222222"/>
                <w:sz w:val="20"/>
                <w:szCs w:val="20"/>
              </w:rPr>
            </w:pPr>
            <w:r w:rsidRPr="00216D82">
              <w:rPr>
                <w:rFonts w:ascii="Arial" w:hAnsi="Arial" w:cs="Arial"/>
                <w:sz w:val="20"/>
                <w:szCs w:val="20"/>
              </w:rPr>
              <w:t>49%</w:t>
            </w:r>
          </w:p>
        </w:tc>
        <w:tc>
          <w:tcPr>
            <w:tcW w:w="361" w:type="pct"/>
          </w:tcPr>
          <w:p w14:paraId="2824E7A3" w14:textId="51F346DE" w:rsidR="000449F6" w:rsidRPr="00216D82" w:rsidRDefault="000449F6" w:rsidP="000449F6">
            <w:pPr>
              <w:rPr>
                <w:rFonts w:ascii="Arial" w:hAnsi="Arial" w:cs="Arial"/>
                <w:sz w:val="20"/>
                <w:szCs w:val="20"/>
              </w:rPr>
            </w:pPr>
            <w:r w:rsidRPr="00216D82">
              <w:rPr>
                <w:rFonts w:ascii="Arial" w:hAnsi="Arial" w:cs="Arial"/>
                <w:sz w:val="20"/>
                <w:szCs w:val="20"/>
              </w:rPr>
              <w:t>51%</w:t>
            </w:r>
          </w:p>
        </w:tc>
        <w:tc>
          <w:tcPr>
            <w:tcW w:w="579" w:type="pct"/>
          </w:tcPr>
          <w:p w14:paraId="2AD71F40" w14:textId="009CC23B" w:rsidR="000449F6" w:rsidRPr="00216D82" w:rsidRDefault="000449F6" w:rsidP="000449F6">
            <w:pPr>
              <w:rPr>
                <w:rFonts w:ascii="Arial" w:hAnsi="Arial" w:cs="Arial"/>
                <w:sz w:val="20"/>
                <w:szCs w:val="20"/>
              </w:rPr>
            </w:pPr>
            <w:r w:rsidRPr="004745B0">
              <w:rPr>
                <w:rFonts w:ascii="Arial" w:hAnsi="Arial" w:cs="Arial"/>
                <w:sz w:val="20"/>
                <w:szCs w:val="20"/>
              </w:rPr>
              <w:t>&lt;1%</w:t>
            </w:r>
          </w:p>
        </w:tc>
        <w:tc>
          <w:tcPr>
            <w:tcW w:w="294" w:type="pct"/>
          </w:tcPr>
          <w:p w14:paraId="19D69539" w14:textId="0C9257B3" w:rsidR="000449F6" w:rsidRPr="00216D82" w:rsidRDefault="000449F6" w:rsidP="000449F6">
            <w:pPr>
              <w:rPr>
                <w:rFonts w:ascii="Arial" w:hAnsi="Arial" w:cs="Arial"/>
                <w:sz w:val="20"/>
                <w:szCs w:val="20"/>
              </w:rPr>
            </w:pPr>
            <w:r>
              <w:rPr>
                <w:rFonts w:ascii="Arial" w:hAnsi="Arial" w:cs="Arial"/>
                <w:sz w:val="20"/>
                <w:szCs w:val="20"/>
              </w:rPr>
              <w:t>&lt;</w:t>
            </w:r>
            <w:r w:rsidRPr="00216D82">
              <w:rPr>
                <w:rFonts w:ascii="Arial" w:hAnsi="Arial" w:cs="Arial"/>
                <w:sz w:val="20"/>
                <w:szCs w:val="20"/>
              </w:rPr>
              <w:t>1%</w:t>
            </w:r>
          </w:p>
        </w:tc>
        <w:tc>
          <w:tcPr>
            <w:tcW w:w="290" w:type="pct"/>
          </w:tcPr>
          <w:p w14:paraId="58275D4F" w14:textId="2BBE6E3A" w:rsidR="000449F6" w:rsidRPr="00216D82" w:rsidRDefault="000449F6" w:rsidP="000449F6">
            <w:pPr>
              <w:rPr>
                <w:rFonts w:ascii="Arial" w:hAnsi="Arial" w:cs="Arial"/>
                <w:sz w:val="20"/>
                <w:szCs w:val="20"/>
              </w:rPr>
            </w:pPr>
            <w:r w:rsidRPr="00216D82">
              <w:rPr>
                <w:rFonts w:ascii="Arial" w:hAnsi="Arial" w:cs="Arial"/>
                <w:sz w:val="20"/>
                <w:szCs w:val="20"/>
              </w:rPr>
              <w:t>85%</w:t>
            </w:r>
          </w:p>
        </w:tc>
        <w:tc>
          <w:tcPr>
            <w:tcW w:w="405" w:type="pct"/>
            <w:hideMark/>
          </w:tcPr>
          <w:p w14:paraId="793382FA" w14:textId="23567D8E" w:rsidR="000449F6" w:rsidRPr="00216D82" w:rsidRDefault="000449F6" w:rsidP="000449F6">
            <w:pPr>
              <w:rPr>
                <w:rFonts w:ascii="Arial" w:hAnsi="Arial" w:cs="Arial"/>
                <w:sz w:val="20"/>
                <w:szCs w:val="20"/>
              </w:rPr>
            </w:pPr>
            <w:r w:rsidRPr="00216D82">
              <w:rPr>
                <w:rFonts w:ascii="Arial" w:hAnsi="Arial" w:cs="Arial"/>
                <w:sz w:val="20"/>
                <w:szCs w:val="20"/>
              </w:rPr>
              <w:t>3%</w:t>
            </w:r>
          </w:p>
          <w:p w14:paraId="4834A482" w14:textId="481B7AEA" w:rsidR="000449F6" w:rsidRPr="00216D82" w:rsidRDefault="000449F6" w:rsidP="000449F6">
            <w:pPr>
              <w:rPr>
                <w:rFonts w:ascii="Arial" w:hAnsi="Arial" w:cs="Arial"/>
                <w:color w:val="222222"/>
                <w:sz w:val="20"/>
                <w:szCs w:val="20"/>
              </w:rPr>
            </w:pPr>
          </w:p>
        </w:tc>
        <w:tc>
          <w:tcPr>
            <w:tcW w:w="650" w:type="pct"/>
          </w:tcPr>
          <w:p w14:paraId="2697FA73" w14:textId="060A1618" w:rsidR="000449F6" w:rsidRPr="00216D82" w:rsidRDefault="000449F6" w:rsidP="000449F6">
            <w:pPr>
              <w:rPr>
                <w:rFonts w:ascii="Arial" w:hAnsi="Arial" w:cs="Arial"/>
                <w:sz w:val="20"/>
                <w:szCs w:val="20"/>
              </w:rPr>
            </w:pPr>
            <w:r w:rsidRPr="00705FF4">
              <w:rPr>
                <w:rFonts w:ascii="Arial" w:hAnsi="Arial" w:cs="Arial"/>
                <w:sz w:val="20"/>
                <w:szCs w:val="20"/>
              </w:rPr>
              <w:t>&lt;1%</w:t>
            </w:r>
          </w:p>
        </w:tc>
        <w:tc>
          <w:tcPr>
            <w:tcW w:w="325" w:type="pct"/>
            <w:hideMark/>
          </w:tcPr>
          <w:p w14:paraId="2F6FE4D8" w14:textId="7394074D" w:rsidR="000449F6" w:rsidRPr="00216D82" w:rsidRDefault="000449F6" w:rsidP="000449F6">
            <w:pPr>
              <w:rPr>
                <w:rFonts w:ascii="Arial" w:hAnsi="Arial" w:cs="Arial"/>
                <w:color w:val="222222"/>
                <w:sz w:val="20"/>
                <w:szCs w:val="20"/>
              </w:rPr>
            </w:pPr>
            <w:r w:rsidRPr="00216D82">
              <w:rPr>
                <w:rFonts w:ascii="Arial" w:hAnsi="Arial" w:cs="Arial"/>
                <w:sz w:val="20"/>
                <w:szCs w:val="20"/>
              </w:rPr>
              <w:t>8%</w:t>
            </w:r>
          </w:p>
        </w:tc>
        <w:tc>
          <w:tcPr>
            <w:tcW w:w="506" w:type="pct"/>
          </w:tcPr>
          <w:p w14:paraId="72AB0EDA" w14:textId="57D5BCFE" w:rsidR="000449F6" w:rsidRPr="00216D82" w:rsidRDefault="000449F6" w:rsidP="000449F6">
            <w:pPr>
              <w:rPr>
                <w:rFonts w:ascii="Arial" w:hAnsi="Arial" w:cs="Arial"/>
                <w:sz w:val="20"/>
                <w:szCs w:val="20"/>
              </w:rPr>
            </w:pPr>
            <w:r w:rsidRPr="00216D82">
              <w:rPr>
                <w:rFonts w:ascii="Arial" w:hAnsi="Arial" w:cs="Arial"/>
                <w:sz w:val="20"/>
                <w:szCs w:val="20"/>
              </w:rPr>
              <w:t>4%</w:t>
            </w:r>
          </w:p>
        </w:tc>
        <w:tc>
          <w:tcPr>
            <w:tcW w:w="361" w:type="pct"/>
          </w:tcPr>
          <w:p w14:paraId="2765BFFA" w14:textId="123664B8" w:rsidR="000449F6" w:rsidRPr="00216D82" w:rsidRDefault="000449F6" w:rsidP="000449F6">
            <w:pPr>
              <w:rPr>
                <w:rFonts w:ascii="Arial" w:hAnsi="Arial" w:cs="Arial"/>
                <w:sz w:val="20"/>
                <w:szCs w:val="20"/>
              </w:rPr>
            </w:pPr>
            <w:r w:rsidRPr="00216D82">
              <w:rPr>
                <w:rFonts w:ascii="Arial" w:hAnsi="Arial" w:cs="Arial"/>
                <w:sz w:val="20"/>
                <w:szCs w:val="20"/>
              </w:rPr>
              <w:t>55%</w:t>
            </w:r>
          </w:p>
        </w:tc>
        <w:tc>
          <w:tcPr>
            <w:tcW w:w="436" w:type="pct"/>
          </w:tcPr>
          <w:p w14:paraId="05829A30" w14:textId="042867A5" w:rsidR="000449F6" w:rsidRPr="00216D82" w:rsidRDefault="000449F6" w:rsidP="000449F6">
            <w:pPr>
              <w:rPr>
                <w:rFonts w:ascii="Arial" w:hAnsi="Arial" w:cs="Arial"/>
                <w:sz w:val="20"/>
                <w:szCs w:val="20"/>
              </w:rPr>
            </w:pPr>
            <w:r w:rsidRPr="00216D82">
              <w:rPr>
                <w:rFonts w:ascii="Arial" w:hAnsi="Arial" w:cs="Arial"/>
                <w:sz w:val="20"/>
                <w:szCs w:val="20"/>
              </w:rPr>
              <w:t>10%</w:t>
            </w:r>
          </w:p>
        </w:tc>
      </w:tr>
      <w:tr w:rsidR="000449F6" w:rsidRPr="00216D82" w14:paraId="1265CFC3" w14:textId="6BB26D3A" w:rsidTr="000449F6">
        <w:tc>
          <w:tcPr>
            <w:tcW w:w="468" w:type="pct"/>
            <w:hideMark/>
          </w:tcPr>
          <w:p w14:paraId="0AA9BEBE" w14:textId="13D12540" w:rsidR="000449F6" w:rsidRPr="00216D82" w:rsidRDefault="000449F6" w:rsidP="000449F6">
            <w:pPr>
              <w:rPr>
                <w:rFonts w:ascii="Arial" w:hAnsi="Arial" w:cs="Arial"/>
                <w:b/>
                <w:color w:val="222222"/>
                <w:sz w:val="20"/>
                <w:szCs w:val="20"/>
              </w:rPr>
            </w:pPr>
            <w:r w:rsidRPr="00216D82">
              <w:rPr>
                <w:rFonts w:ascii="Arial" w:hAnsi="Arial" w:cs="Arial"/>
                <w:b/>
                <w:sz w:val="20"/>
                <w:szCs w:val="20"/>
              </w:rPr>
              <w:t>School 2</w:t>
            </w:r>
          </w:p>
        </w:tc>
        <w:tc>
          <w:tcPr>
            <w:tcW w:w="325" w:type="pct"/>
            <w:hideMark/>
          </w:tcPr>
          <w:p w14:paraId="2D074109" w14:textId="56768134" w:rsidR="000449F6" w:rsidRPr="00216D82" w:rsidRDefault="000449F6" w:rsidP="000449F6">
            <w:pPr>
              <w:rPr>
                <w:rFonts w:ascii="Arial" w:hAnsi="Arial" w:cs="Arial"/>
                <w:color w:val="222222"/>
                <w:sz w:val="20"/>
                <w:szCs w:val="20"/>
              </w:rPr>
            </w:pPr>
            <w:r w:rsidRPr="00216D82">
              <w:rPr>
                <w:rFonts w:ascii="Arial" w:hAnsi="Arial" w:cs="Arial"/>
                <w:sz w:val="20"/>
                <w:szCs w:val="20"/>
              </w:rPr>
              <w:t>52%</w:t>
            </w:r>
          </w:p>
        </w:tc>
        <w:tc>
          <w:tcPr>
            <w:tcW w:w="361" w:type="pct"/>
          </w:tcPr>
          <w:p w14:paraId="0A56D116" w14:textId="227966E6" w:rsidR="000449F6" w:rsidRPr="00216D82" w:rsidRDefault="000449F6" w:rsidP="000449F6">
            <w:pPr>
              <w:rPr>
                <w:rFonts w:ascii="Arial" w:hAnsi="Arial" w:cs="Arial"/>
                <w:sz w:val="20"/>
                <w:szCs w:val="20"/>
              </w:rPr>
            </w:pPr>
            <w:r w:rsidRPr="00216D82">
              <w:rPr>
                <w:rFonts w:ascii="Arial" w:hAnsi="Arial" w:cs="Arial"/>
                <w:sz w:val="20"/>
                <w:szCs w:val="20"/>
              </w:rPr>
              <w:t>48%</w:t>
            </w:r>
          </w:p>
        </w:tc>
        <w:tc>
          <w:tcPr>
            <w:tcW w:w="579" w:type="pct"/>
          </w:tcPr>
          <w:p w14:paraId="3F9FF22A" w14:textId="4AA711BF" w:rsidR="000449F6" w:rsidRPr="00216D82" w:rsidRDefault="000449F6" w:rsidP="000449F6">
            <w:pPr>
              <w:rPr>
                <w:rFonts w:ascii="Arial" w:hAnsi="Arial" w:cs="Arial"/>
                <w:sz w:val="20"/>
                <w:szCs w:val="20"/>
              </w:rPr>
            </w:pPr>
            <w:r w:rsidRPr="004745B0">
              <w:rPr>
                <w:rFonts w:ascii="Arial" w:hAnsi="Arial" w:cs="Arial"/>
                <w:sz w:val="20"/>
                <w:szCs w:val="20"/>
              </w:rPr>
              <w:t>&lt;1%</w:t>
            </w:r>
          </w:p>
        </w:tc>
        <w:tc>
          <w:tcPr>
            <w:tcW w:w="294" w:type="pct"/>
          </w:tcPr>
          <w:p w14:paraId="7619FF6F" w14:textId="44461735" w:rsidR="000449F6" w:rsidRPr="00216D82" w:rsidRDefault="000449F6" w:rsidP="000449F6">
            <w:pPr>
              <w:rPr>
                <w:rFonts w:ascii="Arial" w:hAnsi="Arial" w:cs="Arial"/>
                <w:sz w:val="20"/>
                <w:szCs w:val="20"/>
              </w:rPr>
            </w:pPr>
            <w:r w:rsidRPr="00216D82">
              <w:rPr>
                <w:rFonts w:ascii="Arial" w:hAnsi="Arial" w:cs="Arial"/>
                <w:sz w:val="20"/>
                <w:szCs w:val="20"/>
              </w:rPr>
              <w:t>3%</w:t>
            </w:r>
          </w:p>
        </w:tc>
        <w:tc>
          <w:tcPr>
            <w:tcW w:w="290" w:type="pct"/>
          </w:tcPr>
          <w:p w14:paraId="5E693EC8" w14:textId="0CD42099" w:rsidR="000449F6" w:rsidRPr="00216D82" w:rsidRDefault="000449F6" w:rsidP="000449F6">
            <w:pPr>
              <w:rPr>
                <w:rFonts w:ascii="Arial" w:hAnsi="Arial" w:cs="Arial"/>
                <w:sz w:val="20"/>
                <w:szCs w:val="20"/>
              </w:rPr>
            </w:pPr>
            <w:r w:rsidRPr="00216D82">
              <w:rPr>
                <w:rFonts w:ascii="Arial" w:hAnsi="Arial" w:cs="Arial"/>
                <w:sz w:val="20"/>
                <w:szCs w:val="20"/>
              </w:rPr>
              <w:t>5%</w:t>
            </w:r>
          </w:p>
        </w:tc>
        <w:tc>
          <w:tcPr>
            <w:tcW w:w="405" w:type="pct"/>
            <w:hideMark/>
          </w:tcPr>
          <w:p w14:paraId="069A696F" w14:textId="505B5F61" w:rsidR="000449F6" w:rsidRPr="00216D82" w:rsidRDefault="000449F6" w:rsidP="000449F6">
            <w:pPr>
              <w:rPr>
                <w:rFonts w:ascii="Arial" w:hAnsi="Arial" w:cs="Arial"/>
                <w:color w:val="222222"/>
                <w:sz w:val="20"/>
                <w:szCs w:val="20"/>
              </w:rPr>
            </w:pPr>
            <w:r w:rsidRPr="00216D82">
              <w:rPr>
                <w:rFonts w:ascii="Arial" w:hAnsi="Arial" w:cs="Arial"/>
                <w:sz w:val="20"/>
                <w:szCs w:val="20"/>
              </w:rPr>
              <w:t>5%</w:t>
            </w:r>
          </w:p>
        </w:tc>
        <w:tc>
          <w:tcPr>
            <w:tcW w:w="650" w:type="pct"/>
          </w:tcPr>
          <w:p w14:paraId="6CCB7494" w14:textId="7119F001" w:rsidR="000449F6" w:rsidRPr="00216D82" w:rsidRDefault="000449F6" w:rsidP="000449F6">
            <w:pPr>
              <w:rPr>
                <w:rFonts w:ascii="Arial" w:hAnsi="Arial" w:cs="Arial"/>
                <w:sz w:val="20"/>
                <w:szCs w:val="20"/>
              </w:rPr>
            </w:pPr>
            <w:r w:rsidRPr="00705FF4">
              <w:rPr>
                <w:rFonts w:ascii="Arial" w:hAnsi="Arial" w:cs="Arial"/>
                <w:sz w:val="20"/>
                <w:szCs w:val="20"/>
              </w:rPr>
              <w:t>&lt;1%</w:t>
            </w:r>
          </w:p>
        </w:tc>
        <w:tc>
          <w:tcPr>
            <w:tcW w:w="325" w:type="pct"/>
            <w:hideMark/>
          </w:tcPr>
          <w:p w14:paraId="544446E1" w14:textId="6711FF4C" w:rsidR="000449F6" w:rsidRPr="00216D82" w:rsidRDefault="000449F6" w:rsidP="000449F6">
            <w:pPr>
              <w:rPr>
                <w:rFonts w:ascii="Arial" w:hAnsi="Arial" w:cs="Arial"/>
                <w:color w:val="222222"/>
                <w:sz w:val="20"/>
                <w:szCs w:val="20"/>
              </w:rPr>
            </w:pPr>
            <w:r w:rsidRPr="00216D82">
              <w:rPr>
                <w:rFonts w:ascii="Arial" w:hAnsi="Arial" w:cs="Arial"/>
                <w:sz w:val="20"/>
                <w:szCs w:val="20"/>
              </w:rPr>
              <w:t>78%</w:t>
            </w:r>
          </w:p>
        </w:tc>
        <w:tc>
          <w:tcPr>
            <w:tcW w:w="506" w:type="pct"/>
          </w:tcPr>
          <w:p w14:paraId="5A5FFBFB" w14:textId="08B98FC4" w:rsidR="000449F6" w:rsidRPr="00216D82" w:rsidRDefault="000449F6" w:rsidP="000449F6">
            <w:pPr>
              <w:rPr>
                <w:rFonts w:ascii="Arial" w:hAnsi="Arial" w:cs="Arial"/>
                <w:sz w:val="20"/>
                <w:szCs w:val="20"/>
              </w:rPr>
            </w:pPr>
            <w:r w:rsidRPr="00216D82">
              <w:rPr>
                <w:rFonts w:ascii="Arial" w:hAnsi="Arial" w:cs="Arial"/>
                <w:sz w:val="20"/>
                <w:szCs w:val="20"/>
              </w:rPr>
              <w:t>8%</w:t>
            </w:r>
          </w:p>
        </w:tc>
        <w:tc>
          <w:tcPr>
            <w:tcW w:w="361" w:type="pct"/>
          </w:tcPr>
          <w:p w14:paraId="2F52A8A5" w14:textId="3FECE691" w:rsidR="000449F6" w:rsidRPr="00216D82" w:rsidRDefault="000449F6" w:rsidP="000449F6">
            <w:pPr>
              <w:rPr>
                <w:rFonts w:ascii="Arial" w:hAnsi="Arial" w:cs="Arial"/>
                <w:sz w:val="20"/>
                <w:szCs w:val="20"/>
              </w:rPr>
            </w:pPr>
            <w:r w:rsidRPr="00216D82">
              <w:rPr>
                <w:rFonts w:ascii="Arial" w:hAnsi="Arial" w:cs="Arial"/>
                <w:sz w:val="20"/>
                <w:szCs w:val="20"/>
              </w:rPr>
              <w:t>25%</w:t>
            </w:r>
          </w:p>
        </w:tc>
        <w:tc>
          <w:tcPr>
            <w:tcW w:w="436" w:type="pct"/>
          </w:tcPr>
          <w:p w14:paraId="111CA154" w14:textId="4893DDD7" w:rsidR="000449F6" w:rsidRPr="00216D82" w:rsidRDefault="000449F6" w:rsidP="000449F6">
            <w:pPr>
              <w:rPr>
                <w:rFonts w:ascii="Arial" w:hAnsi="Arial" w:cs="Arial"/>
                <w:sz w:val="20"/>
                <w:szCs w:val="20"/>
              </w:rPr>
            </w:pPr>
            <w:r w:rsidRPr="00216D82">
              <w:rPr>
                <w:rFonts w:ascii="Arial" w:hAnsi="Arial" w:cs="Arial"/>
                <w:sz w:val="20"/>
                <w:szCs w:val="20"/>
              </w:rPr>
              <w:t>5%</w:t>
            </w:r>
          </w:p>
        </w:tc>
      </w:tr>
      <w:tr w:rsidR="000449F6" w:rsidRPr="00216D82" w14:paraId="313ECBF7" w14:textId="49A549D6" w:rsidTr="000449F6">
        <w:tc>
          <w:tcPr>
            <w:tcW w:w="468" w:type="pct"/>
            <w:hideMark/>
          </w:tcPr>
          <w:p w14:paraId="66E020D0" w14:textId="41AD8C5B" w:rsidR="000449F6" w:rsidRPr="00216D82" w:rsidRDefault="000449F6" w:rsidP="000449F6">
            <w:pPr>
              <w:rPr>
                <w:rFonts w:ascii="Arial" w:hAnsi="Arial" w:cs="Arial"/>
                <w:b/>
                <w:color w:val="222222"/>
                <w:sz w:val="20"/>
                <w:szCs w:val="20"/>
              </w:rPr>
            </w:pPr>
            <w:r w:rsidRPr="00216D82">
              <w:rPr>
                <w:rFonts w:ascii="Arial" w:hAnsi="Arial" w:cs="Arial"/>
                <w:b/>
                <w:sz w:val="20"/>
                <w:szCs w:val="20"/>
              </w:rPr>
              <w:t>School 3</w:t>
            </w:r>
          </w:p>
        </w:tc>
        <w:tc>
          <w:tcPr>
            <w:tcW w:w="325" w:type="pct"/>
            <w:hideMark/>
          </w:tcPr>
          <w:p w14:paraId="3F57B583" w14:textId="04A20617" w:rsidR="000449F6" w:rsidRPr="00216D82" w:rsidRDefault="000449F6" w:rsidP="000449F6">
            <w:pPr>
              <w:rPr>
                <w:rFonts w:ascii="Arial" w:hAnsi="Arial" w:cs="Arial"/>
                <w:color w:val="222222"/>
                <w:sz w:val="20"/>
                <w:szCs w:val="20"/>
              </w:rPr>
            </w:pPr>
            <w:r w:rsidRPr="00216D82">
              <w:rPr>
                <w:rFonts w:ascii="Arial" w:hAnsi="Arial" w:cs="Arial"/>
                <w:sz w:val="20"/>
                <w:szCs w:val="20"/>
              </w:rPr>
              <w:t>54%</w:t>
            </w:r>
          </w:p>
        </w:tc>
        <w:tc>
          <w:tcPr>
            <w:tcW w:w="361" w:type="pct"/>
          </w:tcPr>
          <w:p w14:paraId="22DB3649" w14:textId="0EE55E4F" w:rsidR="000449F6" w:rsidRPr="00216D82" w:rsidRDefault="000449F6" w:rsidP="000449F6">
            <w:pPr>
              <w:rPr>
                <w:rFonts w:ascii="Arial" w:hAnsi="Arial" w:cs="Arial"/>
                <w:sz w:val="20"/>
                <w:szCs w:val="20"/>
              </w:rPr>
            </w:pPr>
            <w:r w:rsidRPr="00216D82">
              <w:rPr>
                <w:rFonts w:ascii="Arial" w:hAnsi="Arial" w:cs="Arial"/>
                <w:sz w:val="20"/>
                <w:szCs w:val="20"/>
              </w:rPr>
              <w:t>46%</w:t>
            </w:r>
          </w:p>
        </w:tc>
        <w:tc>
          <w:tcPr>
            <w:tcW w:w="579" w:type="pct"/>
          </w:tcPr>
          <w:p w14:paraId="4EBE643D" w14:textId="40C8AD99" w:rsidR="000449F6" w:rsidRPr="00216D82" w:rsidRDefault="000449F6" w:rsidP="000449F6">
            <w:pPr>
              <w:rPr>
                <w:rFonts w:ascii="Arial" w:hAnsi="Arial" w:cs="Arial"/>
                <w:sz w:val="20"/>
                <w:szCs w:val="20"/>
              </w:rPr>
            </w:pPr>
            <w:r w:rsidRPr="004745B0">
              <w:rPr>
                <w:rFonts w:ascii="Arial" w:hAnsi="Arial" w:cs="Arial"/>
                <w:sz w:val="20"/>
                <w:szCs w:val="20"/>
              </w:rPr>
              <w:t>&lt;1%</w:t>
            </w:r>
          </w:p>
        </w:tc>
        <w:tc>
          <w:tcPr>
            <w:tcW w:w="294" w:type="pct"/>
          </w:tcPr>
          <w:p w14:paraId="79184A34" w14:textId="1A7CE8C5" w:rsidR="000449F6" w:rsidRPr="00216D82" w:rsidRDefault="000449F6" w:rsidP="000449F6">
            <w:pPr>
              <w:rPr>
                <w:rFonts w:ascii="Arial" w:hAnsi="Arial" w:cs="Arial"/>
                <w:sz w:val="20"/>
                <w:szCs w:val="20"/>
              </w:rPr>
            </w:pPr>
            <w:r>
              <w:rPr>
                <w:rFonts w:ascii="Arial" w:hAnsi="Arial" w:cs="Arial"/>
                <w:sz w:val="20"/>
                <w:szCs w:val="20"/>
              </w:rPr>
              <w:t>&lt;</w:t>
            </w:r>
            <w:r w:rsidRPr="00216D82">
              <w:rPr>
                <w:rFonts w:ascii="Arial" w:hAnsi="Arial" w:cs="Arial"/>
                <w:sz w:val="20"/>
                <w:szCs w:val="20"/>
              </w:rPr>
              <w:t>1%</w:t>
            </w:r>
          </w:p>
        </w:tc>
        <w:tc>
          <w:tcPr>
            <w:tcW w:w="290" w:type="pct"/>
          </w:tcPr>
          <w:p w14:paraId="33E3A91F" w14:textId="5A746650" w:rsidR="000449F6" w:rsidRPr="00216D82" w:rsidRDefault="000449F6" w:rsidP="000449F6">
            <w:pPr>
              <w:rPr>
                <w:rFonts w:ascii="Arial" w:hAnsi="Arial" w:cs="Arial"/>
                <w:sz w:val="20"/>
                <w:szCs w:val="20"/>
              </w:rPr>
            </w:pPr>
            <w:r w:rsidRPr="00216D82">
              <w:rPr>
                <w:rFonts w:ascii="Arial" w:hAnsi="Arial" w:cs="Arial"/>
                <w:sz w:val="20"/>
                <w:szCs w:val="20"/>
              </w:rPr>
              <w:t>31%</w:t>
            </w:r>
          </w:p>
        </w:tc>
        <w:tc>
          <w:tcPr>
            <w:tcW w:w="405" w:type="pct"/>
            <w:hideMark/>
          </w:tcPr>
          <w:p w14:paraId="3FDBEA65" w14:textId="320A1F53" w:rsidR="000449F6" w:rsidRPr="00216D82" w:rsidRDefault="000449F6" w:rsidP="000449F6">
            <w:pPr>
              <w:rPr>
                <w:rFonts w:ascii="Arial" w:hAnsi="Arial" w:cs="Arial"/>
                <w:color w:val="222222"/>
                <w:sz w:val="20"/>
                <w:szCs w:val="20"/>
              </w:rPr>
            </w:pPr>
            <w:r w:rsidRPr="00216D82">
              <w:rPr>
                <w:rFonts w:ascii="Arial" w:hAnsi="Arial" w:cs="Arial"/>
                <w:sz w:val="20"/>
                <w:szCs w:val="20"/>
              </w:rPr>
              <w:t>26%</w:t>
            </w:r>
          </w:p>
        </w:tc>
        <w:tc>
          <w:tcPr>
            <w:tcW w:w="650" w:type="pct"/>
          </w:tcPr>
          <w:p w14:paraId="72BC0040" w14:textId="14DA82CE" w:rsidR="000449F6" w:rsidRPr="00216D82" w:rsidRDefault="000449F6" w:rsidP="000449F6">
            <w:pPr>
              <w:rPr>
                <w:rFonts w:ascii="Arial" w:hAnsi="Arial" w:cs="Arial"/>
                <w:sz w:val="20"/>
                <w:szCs w:val="20"/>
              </w:rPr>
            </w:pPr>
            <w:r w:rsidRPr="00705FF4">
              <w:rPr>
                <w:rFonts w:ascii="Arial" w:hAnsi="Arial" w:cs="Arial"/>
                <w:sz w:val="20"/>
                <w:szCs w:val="20"/>
              </w:rPr>
              <w:t>&lt;1%</w:t>
            </w:r>
          </w:p>
        </w:tc>
        <w:tc>
          <w:tcPr>
            <w:tcW w:w="325" w:type="pct"/>
            <w:hideMark/>
          </w:tcPr>
          <w:p w14:paraId="3162961B" w14:textId="249B22C6" w:rsidR="000449F6" w:rsidRPr="00216D82" w:rsidRDefault="000449F6" w:rsidP="000449F6">
            <w:pPr>
              <w:rPr>
                <w:rFonts w:ascii="Arial" w:hAnsi="Arial" w:cs="Arial"/>
                <w:color w:val="222222"/>
                <w:sz w:val="20"/>
                <w:szCs w:val="20"/>
              </w:rPr>
            </w:pPr>
            <w:r w:rsidRPr="00216D82">
              <w:rPr>
                <w:rFonts w:ascii="Arial" w:hAnsi="Arial" w:cs="Arial"/>
                <w:color w:val="222222"/>
                <w:sz w:val="20"/>
                <w:szCs w:val="20"/>
              </w:rPr>
              <w:t>36%</w:t>
            </w:r>
          </w:p>
        </w:tc>
        <w:tc>
          <w:tcPr>
            <w:tcW w:w="506" w:type="pct"/>
          </w:tcPr>
          <w:p w14:paraId="2E255137" w14:textId="6C1487D1" w:rsidR="000449F6" w:rsidRPr="00216D82" w:rsidRDefault="000449F6" w:rsidP="000449F6">
            <w:pPr>
              <w:rPr>
                <w:rFonts w:ascii="Arial" w:hAnsi="Arial" w:cs="Arial"/>
                <w:sz w:val="20"/>
                <w:szCs w:val="20"/>
              </w:rPr>
            </w:pPr>
            <w:r w:rsidRPr="00216D82">
              <w:rPr>
                <w:rFonts w:ascii="Arial" w:hAnsi="Arial" w:cs="Arial"/>
                <w:sz w:val="20"/>
                <w:szCs w:val="20"/>
              </w:rPr>
              <w:t>7%</w:t>
            </w:r>
          </w:p>
        </w:tc>
        <w:tc>
          <w:tcPr>
            <w:tcW w:w="361" w:type="pct"/>
          </w:tcPr>
          <w:p w14:paraId="68A988CA" w14:textId="46ED7D1A" w:rsidR="000449F6" w:rsidRPr="00216D82" w:rsidRDefault="000449F6" w:rsidP="000449F6">
            <w:pPr>
              <w:rPr>
                <w:rFonts w:ascii="Arial" w:hAnsi="Arial" w:cs="Arial"/>
                <w:sz w:val="20"/>
                <w:szCs w:val="20"/>
              </w:rPr>
            </w:pPr>
            <w:r w:rsidRPr="00216D82">
              <w:rPr>
                <w:rFonts w:ascii="Arial" w:hAnsi="Arial" w:cs="Arial"/>
                <w:sz w:val="20"/>
                <w:szCs w:val="20"/>
              </w:rPr>
              <w:t>67%</w:t>
            </w:r>
          </w:p>
        </w:tc>
        <w:tc>
          <w:tcPr>
            <w:tcW w:w="436" w:type="pct"/>
          </w:tcPr>
          <w:p w14:paraId="4AF1971B" w14:textId="3744134D" w:rsidR="000449F6" w:rsidRPr="00216D82" w:rsidRDefault="000449F6" w:rsidP="000449F6">
            <w:pPr>
              <w:rPr>
                <w:rFonts w:ascii="Arial" w:hAnsi="Arial" w:cs="Arial"/>
                <w:sz w:val="20"/>
                <w:szCs w:val="20"/>
              </w:rPr>
            </w:pPr>
            <w:r w:rsidRPr="00216D82">
              <w:rPr>
                <w:rFonts w:ascii="Arial" w:hAnsi="Arial" w:cs="Arial"/>
                <w:sz w:val="20"/>
                <w:szCs w:val="20"/>
              </w:rPr>
              <w:t>4%</w:t>
            </w:r>
          </w:p>
        </w:tc>
      </w:tr>
      <w:tr w:rsidR="000449F6" w:rsidRPr="00216D82" w14:paraId="6A0962B9" w14:textId="5B288DE3" w:rsidTr="000449F6">
        <w:tc>
          <w:tcPr>
            <w:tcW w:w="468" w:type="pct"/>
            <w:hideMark/>
          </w:tcPr>
          <w:p w14:paraId="51237E73" w14:textId="7874799B" w:rsidR="000449F6" w:rsidRPr="00216D82" w:rsidRDefault="000449F6" w:rsidP="000449F6">
            <w:pPr>
              <w:rPr>
                <w:rFonts w:ascii="Arial" w:hAnsi="Arial" w:cs="Arial"/>
                <w:b/>
                <w:color w:val="222222"/>
                <w:sz w:val="20"/>
                <w:szCs w:val="20"/>
              </w:rPr>
            </w:pPr>
            <w:r w:rsidRPr="00216D82">
              <w:rPr>
                <w:rFonts w:ascii="Arial" w:hAnsi="Arial" w:cs="Arial"/>
                <w:b/>
                <w:sz w:val="20"/>
                <w:szCs w:val="20"/>
              </w:rPr>
              <w:t>School 4</w:t>
            </w:r>
          </w:p>
        </w:tc>
        <w:tc>
          <w:tcPr>
            <w:tcW w:w="325" w:type="pct"/>
            <w:hideMark/>
          </w:tcPr>
          <w:p w14:paraId="59B6D2B3" w14:textId="2D3522CA" w:rsidR="000449F6" w:rsidRPr="00216D82" w:rsidRDefault="000449F6" w:rsidP="000449F6">
            <w:pPr>
              <w:rPr>
                <w:rFonts w:ascii="Arial" w:hAnsi="Arial" w:cs="Arial"/>
                <w:color w:val="222222"/>
                <w:sz w:val="20"/>
                <w:szCs w:val="20"/>
              </w:rPr>
            </w:pPr>
            <w:r w:rsidRPr="00216D82">
              <w:rPr>
                <w:rFonts w:ascii="Arial" w:hAnsi="Arial" w:cs="Arial"/>
                <w:sz w:val="20"/>
                <w:szCs w:val="20"/>
              </w:rPr>
              <w:t>52%</w:t>
            </w:r>
          </w:p>
        </w:tc>
        <w:tc>
          <w:tcPr>
            <w:tcW w:w="361" w:type="pct"/>
          </w:tcPr>
          <w:p w14:paraId="55BDFD76" w14:textId="7608FE70" w:rsidR="000449F6" w:rsidRPr="00216D82" w:rsidRDefault="000449F6" w:rsidP="000449F6">
            <w:pPr>
              <w:rPr>
                <w:rFonts w:ascii="Arial" w:hAnsi="Arial" w:cs="Arial"/>
                <w:sz w:val="20"/>
                <w:szCs w:val="20"/>
              </w:rPr>
            </w:pPr>
            <w:r w:rsidRPr="00216D82">
              <w:rPr>
                <w:rFonts w:ascii="Arial" w:hAnsi="Arial" w:cs="Arial"/>
                <w:sz w:val="20"/>
                <w:szCs w:val="20"/>
              </w:rPr>
              <w:t>48%</w:t>
            </w:r>
          </w:p>
        </w:tc>
        <w:tc>
          <w:tcPr>
            <w:tcW w:w="579" w:type="pct"/>
          </w:tcPr>
          <w:p w14:paraId="74B168F0" w14:textId="32577D3C" w:rsidR="000449F6" w:rsidRPr="00216D82" w:rsidRDefault="000449F6" w:rsidP="000449F6">
            <w:pPr>
              <w:rPr>
                <w:rFonts w:ascii="Arial" w:hAnsi="Arial" w:cs="Arial"/>
                <w:sz w:val="20"/>
                <w:szCs w:val="20"/>
              </w:rPr>
            </w:pPr>
            <w:r w:rsidRPr="004745B0">
              <w:rPr>
                <w:rFonts w:ascii="Arial" w:hAnsi="Arial" w:cs="Arial"/>
                <w:sz w:val="20"/>
                <w:szCs w:val="20"/>
              </w:rPr>
              <w:t>&lt;1%</w:t>
            </w:r>
          </w:p>
        </w:tc>
        <w:tc>
          <w:tcPr>
            <w:tcW w:w="294" w:type="pct"/>
          </w:tcPr>
          <w:p w14:paraId="5513AD8E" w14:textId="106BA53A" w:rsidR="000449F6" w:rsidRPr="00216D82" w:rsidRDefault="000449F6" w:rsidP="000449F6">
            <w:pPr>
              <w:rPr>
                <w:rFonts w:ascii="Arial" w:hAnsi="Arial" w:cs="Arial"/>
                <w:sz w:val="20"/>
                <w:szCs w:val="20"/>
              </w:rPr>
            </w:pPr>
            <w:r w:rsidRPr="00216D82">
              <w:rPr>
                <w:rFonts w:ascii="Arial" w:hAnsi="Arial" w:cs="Arial"/>
                <w:sz w:val="20"/>
                <w:szCs w:val="20"/>
              </w:rPr>
              <w:t>1%</w:t>
            </w:r>
          </w:p>
        </w:tc>
        <w:tc>
          <w:tcPr>
            <w:tcW w:w="290" w:type="pct"/>
          </w:tcPr>
          <w:p w14:paraId="6EF60FDA" w14:textId="18877CDA" w:rsidR="000449F6" w:rsidRPr="00216D82" w:rsidRDefault="000449F6" w:rsidP="000449F6">
            <w:pPr>
              <w:rPr>
                <w:rFonts w:ascii="Arial" w:hAnsi="Arial" w:cs="Arial"/>
                <w:sz w:val="20"/>
                <w:szCs w:val="20"/>
              </w:rPr>
            </w:pPr>
            <w:r w:rsidRPr="00216D82">
              <w:rPr>
                <w:rFonts w:ascii="Arial" w:hAnsi="Arial" w:cs="Arial"/>
                <w:sz w:val="20"/>
                <w:szCs w:val="20"/>
              </w:rPr>
              <w:t>3%</w:t>
            </w:r>
          </w:p>
        </w:tc>
        <w:tc>
          <w:tcPr>
            <w:tcW w:w="405" w:type="pct"/>
            <w:hideMark/>
          </w:tcPr>
          <w:p w14:paraId="70CB1448" w14:textId="0442B17F" w:rsidR="000449F6" w:rsidRPr="00216D82" w:rsidRDefault="000449F6" w:rsidP="000449F6">
            <w:pPr>
              <w:rPr>
                <w:rFonts w:ascii="Arial" w:hAnsi="Arial" w:cs="Arial"/>
                <w:color w:val="222222"/>
                <w:sz w:val="20"/>
                <w:szCs w:val="20"/>
              </w:rPr>
            </w:pPr>
            <w:r w:rsidRPr="00216D82">
              <w:rPr>
                <w:rFonts w:ascii="Arial" w:hAnsi="Arial" w:cs="Arial"/>
                <w:sz w:val="20"/>
                <w:szCs w:val="20"/>
              </w:rPr>
              <w:t>1%</w:t>
            </w:r>
          </w:p>
        </w:tc>
        <w:tc>
          <w:tcPr>
            <w:tcW w:w="650" w:type="pct"/>
          </w:tcPr>
          <w:p w14:paraId="39D5F230" w14:textId="4E43AE8B" w:rsidR="000449F6" w:rsidRPr="00216D82" w:rsidRDefault="000449F6" w:rsidP="000449F6">
            <w:pPr>
              <w:rPr>
                <w:rFonts w:ascii="Arial" w:hAnsi="Arial" w:cs="Arial"/>
                <w:sz w:val="20"/>
                <w:szCs w:val="20"/>
              </w:rPr>
            </w:pPr>
            <w:r w:rsidRPr="00705FF4">
              <w:rPr>
                <w:rFonts w:ascii="Arial" w:hAnsi="Arial" w:cs="Arial"/>
                <w:sz w:val="20"/>
                <w:szCs w:val="20"/>
              </w:rPr>
              <w:t>&lt;1%</w:t>
            </w:r>
          </w:p>
        </w:tc>
        <w:tc>
          <w:tcPr>
            <w:tcW w:w="325" w:type="pct"/>
            <w:hideMark/>
          </w:tcPr>
          <w:p w14:paraId="5FB8E1CB" w14:textId="358988F9" w:rsidR="000449F6" w:rsidRPr="00216D82" w:rsidRDefault="000449F6" w:rsidP="000449F6">
            <w:pPr>
              <w:rPr>
                <w:rFonts w:ascii="Arial" w:hAnsi="Arial" w:cs="Arial"/>
                <w:color w:val="222222"/>
                <w:sz w:val="20"/>
                <w:szCs w:val="20"/>
              </w:rPr>
            </w:pPr>
            <w:r w:rsidRPr="00216D82">
              <w:rPr>
                <w:rFonts w:ascii="Arial" w:hAnsi="Arial" w:cs="Arial"/>
                <w:sz w:val="20"/>
                <w:szCs w:val="20"/>
              </w:rPr>
              <w:t>91%</w:t>
            </w:r>
          </w:p>
        </w:tc>
        <w:tc>
          <w:tcPr>
            <w:tcW w:w="506" w:type="pct"/>
          </w:tcPr>
          <w:p w14:paraId="52BB1817" w14:textId="75CF435C" w:rsidR="000449F6" w:rsidRPr="00216D82" w:rsidRDefault="000449F6" w:rsidP="000449F6">
            <w:pPr>
              <w:rPr>
                <w:rFonts w:ascii="Arial" w:hAnsi="Arial" w:cs="Arial"/>
                <w:sz w:val="20"/>
                <w:szCs w:val="20"/>
              </w:rPr>
            </w:pPr>
            <w:r w:rsidRPr="00216D82">
              <w:rPr>
                <w:rFonts w:ascii="Arial" w:hAnsi="Arial" w:cs="Arial"/>
                <w:sz w:val="20"/>
                <w:szCs w:val="20"/>
              </w:rPr>
              <w:t>3%</w:t>
            </w:r>
          </w:p>
        </w:tc>
        <w:tc>
          <w:tcPr>
            <w:tcW w:w="361" w:type="pct"/>
          </w:tcPr>
          <w:p w14:paraId="6E98010C" w14:textId="6EAEEE75" w:rsidR="000449F6" w:rsidRPr="00216D82" w:rsidRDefault="000449F6" w:rsidP="000449F6">
            <w:pPr>
              <w:rPr>
                <w:rFonts w:ascii="Arial" w:hAnsi="Arial" w:cs="Arial"/>
                <w:sz w:val="20"/>
                <w:szCs w:val="20"/>
              </w:rPr>
            </w:pPr>
            <w:r w:rsidRPr="00216D82">
              <w:rPr>
                <w:rFonts w:ascii="Arial" w:hAnsi="Arial" w:cs="Arial"/>
                <w:sz w:val="20"/>
                <w:szCs w:val="20"/>
              </w:rPr>
              <w:t>28%</w:t>
            </w:r>
          </w:p>
        </w:tc>
        <w:tc>
          <w:tcPr>
            <w:tcW w:w="436" w:type="pct"/>
          </w:tcPr>
          <w:p w14:paraId="586D0944" w14:textId="189304B7" w:rsidR="000449F6" w:rsidRPr="00216D82" w:rsidRDefault="000449F6" w:rsidP="000449F6">
            <w:pPr>
              <w:rPr>
                <w:rFonts w:ascii="Arial" w:hAnsi="Arial" w:cs="Arial"/>
                <w:sz w:val="20"/>
                <w:szCs w:val="20"/>
              </w:rPr>
            </w:pPr>
            <w:r w:rsidRPr="00216D82">
              <w:rPr>
                <w:rFonts w:ascii="Arial" w:hAnsi="Arial" w:cs="Arial"/>
                <w:sz w:val="20"/>
                <w:szCs w:val="20"/>
              </w:rPr>
              <w:t>6%</w:t>
            </w:r>
          </w:p>
        </w:tc>
      </w:tr>
      <w:tr w:rsidR="000449F6" w:rsidRPr="00216D82" w14:paraId="071EFA71" w14:textId="0651103D" w:rsidTr="000449F6">
        <w:tc>
          <w:tcPr>
            <w:tcW w:w="468" w:type="pct"/>
            <w:hideMark/>
          </w:tcPr>
          <w:p w14:paraId="051D3810" w14:textId="26701818" w:rsidR="000449F6" w:rsidRPr="00216D82" w:rsidRDefault="000449F6" w:rsidP="000449F6">
            <w:pPr>
              <w:rPr>
                <w:rFonts w:ascii="Arial" w:hAnsi="Arial" w:cs="Arial"/>
                <w:b/>
                <w:color w:val="222222"/>
                <w:sz w:val="20"/>
                <w:szCs w:val="20"/>
              </w:rPr>
            </w:pPr>
            <w:r w:rsidRPr="00216D82">
              <w:rPr>
                <w:rFonts w:ascii="Arial" w:hAnsi="Arial" w:cs="Arial"/>
                <w:b/>
                <w:sz w:val="20"/>
                <w:szCs w:val="20"/>
              </w:rPr>
              <w:t>School 5</w:t>
            </w:r>
          </w:p>
        </w:tc>
        <w:tc>
          <w:tcPr>
            <w:tcW w:w="325" w:type="pct"/>
            <w:hideMark/>
          </w:tcPr>
          <w:p w14:paraId="4CFC8405" w14:textId="383887D4" w:rsidR="000449F6" w:rsidRPr="00216D82" w:rsidRDefault="000449F6" w:rsidP="000449F6">
            <w:pPr>
              <w:rPr>
                <w:rFonts w:ascii="Arial" w:hAnsi="Arial" w:cs="Arial"/>
                <w:color w:val="222222"/>
                <w:sz w:val="20"/>
                <w:szCs w:val="20"/>
              </w:rPr>
            </w:pPr>
            <w:r w:rsidRPr="00216D82">
              <w:rPr>
                <w:rFonts w:ascii="Arial" w:hAnsi="Arial" w:cs="Arial"/>
                <w:sz w:val="20"/>
                <w:szCs w:val="20"/>
              </w:rPr>
              <w:t>48%</w:t>
            </w:r>
          </w:p>
        </w:tc>
        <w:tc>
          <w:tcPr>
            <w:tcW w:w="361" w:type="pct"/>
          </w:tcPr>
          <w:p w14:paraId="0E61953A" w14:textId="33B8BEA9" w:rsidR="000449F6" w:rsidRPr="00216D82" w:rsidRDefault="000449F6" w:rsidP="000449F6">
            <w:pPr>
              <w:rPr>
                <w:rFonts w:ascii="Arial" w:hAnsi="Arial" w:cs="Arial"/>
                <w:sz w:val="20"/>
                <w:szCs w:val="20"/>
              </w:rPr>
            </w:pPr>
            <w:r w:rsidRPr="00216D82">
              <w:rPr>
                <w:rFonts w:ascii="Arial" w:hAnsi="Arial" w:cs="Arial"/>
                <w:sz w:val="20"/>
                <w:szCs w:val="20"/>
              </w:rPr>
              <w:t>52%</w:t>
            </w:r>
          </w:p>
        </w:tc>
        <w:tc>
          <w:tcPr>
            <w:tcW w:w="579" w:type="pct"/>
          </w:tcPr>
          <w:p w14:paraId="50A68AA4" w14:textId="652ED3E1" w:rsidR="000449F6" w:rsidRPr="00216D82" w:rsidRDefault="000449F6" w:rsidP="000449F6">
            <w:pPr>
              <w:rPr>
                <w:rFonts w:ascii="Arial" w:hAnsi="Arial" w:cs="Arial"/>
                <w:sz w:val="20"/>
                <w:szCs w:val="20"/>
              </w:rPr>
            </w:pPr>
            <w:r w:rsidRPr="004745B0">
              <w:rPr>
                <w:rFonts w:ascii="Arial" w:hAnsi="Arial" w:cs="Arial"/>
                <w:sz w:val="20"/>
                <w:szCs w:val="20"/>
              </w:rPr>
              <w:t>&lt;1%</w:t>
            </w:r>
          </w:p>
        </w:tc>
        <w:tc>
          <w:tcPr>
            <w:tcW w:w="294" w:type="pct"/>
          </w:tcPr>
          <w:p w14:paraId="202194BD" w14:textId="42531A10" w:rsidR="000449F6" w:rsidRPr="00216D82" w:rsidRDefault="000449F6" w:rsidP="000449F6">
            <w:pPr>
              <w:rPr>
                <w:rFonts w:ascii="Arial" w:hAnsi="Arial" w:cs="Arial"/>
                <w:sz w:val="20"/>
                <w:szCs w:val="20"/>
              </w:rPr>
            </w:pPr>
            <w:r>
              <w:rPr>
                <w:rFonts w:ascii="Arial" w:hAnsi="Arial" w:cs="Arial"/>
                <w:sz w:val="20"/>
                <w:szCs w:val="20"/>
              </w:rPr>
              <w:t>&lt;</w:t>
            </w:r>
            <w:r w:rsidRPr="00216D82">
              <w:rPr>
                <w:rFonts w:ascii="Arial" w:hAnsi="Arial" w:cs="Arial"/>
                <w:sz w:val="20"/>
                <w:szCs w:val="20"/>
              </w:rPr>
              <w:t>1%</w:t>
            </w:r>
          </w:p>
        </w:tc>
        <w:tc>
          <w:tcPr>
            <w:tcW w:w="290" w:type="pct"/>
          </w:tcPr>
          <w:p w14:paraId="4353E45C" w14:textId="68C067CA" w:rsidR="000449F6" w:rsidRPr="00216D82" w:rsidRDefault="000449F6" w:rsidP="000449F6">
            <w:pPr>
              <w:rPr>
                <w:rFonts w:ascii="Arial" w:hAnsi="Arial" w:cs="Arial"/>
                <w:sz w:val="20"/>
                <w:szCs w:val="20"/>
              </w:rPr>
            </w:pPr>
            <w:r>
              <w:rPr>
                <w:rFonts w:ascii="Arial" w:hAnsi="Arial" w:cs="Arial"/>
                <w:sz w:val="20"/>
                <w:szCs w:val="20"/>
              </w:rPr>
              <w:t>&lt;</w:t>
            </w:r>
            <w:r w:rsidRPr="00216D82">
              <w:rPr>
                <w:rFonts w:ascii="Arial" w:hAnsi="Arial" w:cs="Arial"/>
                <w:sz w:val="20"/>
                <w:szCs w:val="20"/>
              </w:rPr>
              <w:t>1%</w:t>
            </w:r>
          </w:p>
        </w:tc>
        <w:tc>
          <w:tcPr>
            <w:tcW w:w="405" w:type="pct"/>
            <w:hideMark/>
          </w:tcPr>
          <w:p w14:paraId="046C8520" w14:textId="4BCC3691" w:rsidR="000449F6" w:rsidRPr="00216D82" w:rsidRDefault="000449F6" w:rsidP="000449F6">
            <w:pPr>
              <w:rPr>
                <w:rFonts w:ascii="Arial" w:hAnsi="Arial" w:cs="Arial"/>
                <w:color w:val="222222"/>
                <w:sz w:val="20"/>
                <w:szCs w:val="20"/>
              </w:rPr>
            </w:pPr>
            <w:r>
              <w:rPr>
                <w:rFonts w:ascii="Arial" w:hAnsi="Arial" w:cs="Arial"/>
                <w:sz w:val="20"/>
                <w:szCs w:val="20"/>
              </w:rPr>
              <w:t>&lt;</w:t>
            </w:r>
            <w:r w:rsidRPr="00216D82">
              <w:rPr>
                <w:rFonts w:ascii="Arial" w:hAnsi="Arial" w:cs="Arial"/>
                <w:sz w:val="20"/>
                <w:szCs w:val="20"/>
              </w:rPr>
              <w:t>1%</w:t>
            </w:r>
          </w:p>
        </w:tc>
        <w:tc>
          <w:tcPr>
            <w:tcW w:w="650" w:type="pct"/>
          </w:tcPr>
          <w:p w14:paraId="523BDF16" w14:textId="2D497C2F" w:rsidR="000449F6" w:rsidRPr="00216D82" w:rsidRDefault="000449F6" w:rsidP="000449F6">
            <w:pPr>
              <w:rPr>
                <w:rFonts w:ascii="Arial" w:hAnsi="Arial" w:cs="Arial"/>
                <w:sz w:val="20"/>
                <w:szCs w:val="20"/>
              </w:rPr>
            </w:pPr>
            <w:r w:rsidRPr="00705FF4">
              <w:rPr>
                <w:rFonts w:ascii="Arial" w:hAnsi="Arial" w:cs="Arial"/>
                <w:sz w:val="20"/>
                <w:szCs w:val="20"/>
              </w:rPr>
              <w:t>&lt;1%</w:t>
            </w:r>
          </w:p>
        </w:tc>
        <w:tc>
          <w:tcPr>
            <w:tcW w:w="325" w:type="pct"/>
            <w:hideMark/>
          </w:tcPr>
          <w:p w14:paraId="5DEA2D40" w14:textId="340DC5E5" w:rsidR="000449F6" w:rsidRPr="00216D82" w:rsidRDefault="000449F6" w:rsidP="000449F6">
            <w:pPr>
              <w:rPr>
                <w:rFonts w:ascii="Arial" w:hAnsi="Arial" w:cs="Arial"/>
                <w:color w:val="222222"/>
                <w:sz w:val="20"/>
                <w:szCs w:val="20"/>
              </w:rPr>
            </w:pPr>
            <w:r w:rsidRPr="00216D82">
              <w:rPr>
                <w:rFonts w:ascii="Arial" w:hAnsi="Arial" w:cs="Arial"/>
                <w:sz w:val="20"/>
                <w:szCs w:val="20"/>
              </w:rPr>
              <w:t>98%</w:t>
            </w:r>
          </w:p>
        </w:tc>
        <w:tc>
          <w:tcPr>
            <w:tcW w:w="506" w:type="pct"/>
          </w:tcPr>
          <w:p w14:paraId="7BD6DD6B" w14:textId="7D216F9D" w:rsidR="000449F6" w:rsidRPr="00216D82" w:rsidRDefault="000449F6" w:rsidP="000449F6">
            <w:pPr>
              <w:rPr>
                <w:rFonts w:ascii="Arial" w:hAnsi="Arial" w:cs="Arial"/>
                <w:sz w:val="20"/>
                <w:szCs w:val="20"/>
              </w:rPr>
            </w:pPr>
            <w:r w:rsidRPr="00216D82">
              <w:rPr>
                <w:rFonts w:ascii="Arial" w:hAnsi="Arial" w:cs="Arial"/>
                <w:sz w:val="20"/>
                <w:szCs w:val="20"/>
              </w:rPr>
              <w:t>1%</w:t>
            </w:r>
          </w:p>
        </w:tc>
        <w:tc>
          <w:tcPr>
            <w:tcW w:w="361" w:type="pct"/>
          </w:tcPr>
          <w:p w14:paraId="7CF944A8" w14:textId="2144F72B" w:rsidR="000449F6" w:rsidRPr="00216D82" w:rsidRDefault="000449F6" w:rsidP="000449F6">
            <w:pPr>
              <w:rPr>
                <w:rFonts w:ascii="Arial" w:hAnsi="Arial" w:cs="Arial"/>
                <w:sz w:val="20"/>
                <w:szCs w:val="20"/>
              </w:rPr>
            </w:pPr>
            <w:r w:rsidRPr="00216D82">
              <w:rPr>
                <w:rFonts w:ascii="Arial" w:hAnsi="Arial" w:cs="Arial"/>
                <w:sz w:val="20"/>
                <w:szCs w:val="20"/>
              </w:rPr>
              <w:t>44%</w:t>
            </w:r>
          </w:p>
        </w:tc>
        <w:tc>
          <w:tcPr>
            <w:tcW w:w="436" w:type="pct"/>
          </w:tcPr>
          <w:p w14:paraId="01CBEBBA" w14:textId="1FE098C2" w:rsidR="000449F6" w:rsidRPr="00216D82" w:rsidRDefault="000449F6" w:rsidP="000449F6">
            <w:pPr>
              <w:rPr>
                <w:rFonts w:ascii="Arial" w:hAnsi="Arial" w:cs="Arial"/>
                <w:sz w:val="20"/>
                <w:szCs w:val="20"/>
              </w:rPr>
            </w:pPr>
            <w:r w:rsidRPr="00216D82">
              <w:rPr>
                <w:rFonts w:ascii="Arial" w:hAnsi="Arial" w:cs="Arial"/>
                <w:sz w:val="20"/>
                <w:szCs w:val="20"/>
              </w:rPr>
              <w:t>17%</w:t>
            </w:r>
          </w:p>
        </w:tc>
      </w:tr>
      <w:tr w:rsidR="000449F6" w:rsidRPr="00216D82" w14:paraId="524FE71A" w14:textId="48638A01" w:rsidTr="000449F6">
        <w:tc>
          <w:tcPr>
            <w:tcW w:w="468" w:type="pct"/>
            <w:hideMark/>
          </w:tcPr>
          <w:p w14:paraId="4A7A798C" w14:textId="6F1202C5" w:rsidR="000449F6" w:rsidRPr="00216D82" w:rsidRDefault="000449F6" w:rsidP="000449F6">
            <w:pPr>
              <w:rPr>
                <w:rFonts w:ascii="Arial" w:hAnsi="Arial" w:cs="Arial"/>
                <w:b/>
                <w:color w:val="222222"/>
                <w:sz w:val="20"/>
                <w:szCs w:val="20"/>
              </w:rPr>
            </w:pPr>
            <w:r w:rsidRPr="00216D82">
              <w:rPr>
                <w:rFonts w:ascii="Arial" w:hAnsi="Arial" w:cs="Arial"/>
                <w:b/>
                <w:sz w:val="20"/>
                <w:szCs w:val="20"/>
              </w:rPr>
              <w:t>School 6</w:t>
            </w:r>
          </w:p>
        </w:tc>
        <w:tc>
          <w:tcPr>
            <w:tcW w:w="325" w:type="pct"/>
            <w:hideMark/>
          </w:tcPr>
          <w:p w14:paraId="5795DF0B" w14:textId="4870F4E2" w:rsidR="000449F6" w:rsidRPr="00216D82" w:rsidRDefault="000449F6" w:rsidP="000449F6">
            <w:pPr>
              <w:rPr>
                <w:rFonts w:ascii="Arial" w:hAnsi="Arial" w:cs="Arial"/>
                <w:color w:val="222222"/>
                <w:sz w:val="20"/>
                <w:szCs w:val="20"/>
              </w:rPr>
            </w:pPr>
            <w:r w:rsidRPr="00216D82">
              <w:rPr>
                <w:rFonts w:ascii="Arial" w:hAnsi="Arial" w:cs="Arial"/>
                <w:sz w:val="20"/>
                <w:szCs w:val="20"/>
              </w:rPr>
              <w:t>52%</w:t>
            </w:r>
          </w:p>
        </w:tc>
        <w:tc>
          <w:tcPr>
            <w:tcW w:w="361" w:type="pct"/>
          </w:tcPr>
          <w:p w14:paraId="2B9A88D5" w14:textId="392FF4DB" w:rsidR="000449F6" w:rsidRPr="00216D82" w:rsidRDefault="000449F6" w:rsidP="000449F6">
            <w:pPr>
              <w:rPr>
                <w:rFonts w:ascii="Arial" w:hAnsi="Arial" w:cs="Arial"/>
                <w:sz w:val="20"/>
                <w:szCs w:val="20"/>
              </w:rPr>
            </w:pPr>
            <w:r w:rsidRPr="00216D82">
              <w:rPr>
                <w:rFonts w:ascii="Arial" w:hAnsi="Arial" w:cs="Arial"/>
                <w:sz w:val="20"/>
                <w:szCs w:val="20"/>
              </w:rPr>
              <w:t>48%</w:t>
            </w:r>
          </w:p>
        </w:tc>
        <w:tc>
          <w:tcPr>
            <w:tcW w:w="579" w:type="pct"/>
          </w:tcPr>
          <w:p w14:paraId="62801311" w14:textId="1AA67BD3" w:rsidR="000449F6" w:rsidRPr="00216D82" w:rsidRDefault="000449F6" w:rsidP="000449F6">
            <w:pPr>
              <w:rPr>
                <w:rFonts w:ascii="Arial" w:hAnsi="Arial" w:cs="Arial"/>
                <w:sz w:val="20"/>
                <w:szCs w:val="20"/>
              </w:rPr>
            </w:pPr>
            <w:r w:rsidRPr="004745B0">
              <w:rPr>
                <w:rFonts w:ascii="Arial" w:hAnsi="Arial" w:cs="Arial"/>
                <w:sz w:val="20"/>
                <w:szCs w:val="20"/>
              </w:rPr>
              <w:t>&lt;1%</w:t>
            </w:r>
          </w:p>
        </w:tc>
        <w:tc>
          <w:tcPr>
            <w:tcW w:w="294" w:type="pct"/>
          </w:tcPr>
          <w:p w14:paraId="66685C26" w14:textId="7CB2E1A3" w:rsidR="000449F6" w:rsidRPr="00216D82" w:rsidRDefault="000449F6" w:rsidP="000449F6">
            <w:pPr>
              <w:rPr>
                <w:rFonts w:ascii="Arial" w:hAnsi="Arial" w:cs="Arial"/>
                <w:sz w:val="20"/>
                <w:szCs w:val="20"/>
              </w:rPr>
            </w:pPr>
            <w:r w:rsidRPr="00216D82">
              <w:rPr>
                <w:rFonts w:ascii="Arial" w:hAnsi="Arial" w:cs="Arial"/>
                <w:sz w:val="20"/>
                <w:szCs w:val="20"/>
              </w:rPr>
              <w:t>1%</w:t>
            </w:r>
          </w:p>
        </w:tc>
        <w:tc>
          <w:tcPr>
            <w:tcW w:w="290" w:type="pct"/>
          </w:tcPr>
          <w:p w14:paraId="4CA40A00" w14:textId="5E8FAFE3" w:rsidR="000449F6" w:rsidRPr="00216D82" w:rsidRDefault="000449F6" w:rsidP="000449F6">
            <w:pPr>
              <w:rPr>
                <w:rFonts w:ascii="Arial" w:hAnsi="Arial" w:cs="Arial"/>
                <w:sz w:val="20"/>
                <w:szCs w:val="20"/>
              </w:rPr>
            </w:pPr>
            <w:r w:rsidRPr="00216D82">
              <w:rPr>
                <w:rFonts w:ascii="Arial" w:hAnsi="Arial" w:cs="Arial"/>
                <w:sz w:val="20"/>
                <w:szCs w:val="20"/>
              </w:rPr>
              <w:t>5%</w:t>
            </w:r>
          </w:p>
        </w:tc>
        <w:tc>
          <w:tcPr>
            <w:tcW w:w="405" w:type="pct"/>
            <w:hideMark/>
          </w:tcPr>
          <w:p w14:paraId="4C2086EE" w14:textId="58385F6A" w:rsidR="000449F6" w:rsidRPr="00216D82" w:rsidRDefault="000449F6" w:rsidP="000449F6">
            <w:pPr>
              <w:rPr>
                <w:rFonts w:ascii="Arial" w:hAnsi="Arial" w:cs="Arial"/>
                <w:color w:val="222222"/>
                <w:sz w:val="20"/>
                <w:szCs w:val="20"/>
              </w:rPr>
            </w:pPr>
            <w:r w:rsidRPr="00216D82">
              <w:rPr>
                <w:rFonts w:ascii="Arial" w:hAnsi="Arial" w:cs="Arial"/>
                <w:sz w:val="20"/>
                <w:szCs w:val="20"/>
              </w:rPr>
              <w:t>2%</w:t>
            </w:r>
          </w:p>
        </w:tc>
        <w:tc>
          <w:tcPr>
            <w:tcW w:w="650" w:type="pct"/>
          </w:tcPr>
          <w:p w14:paraId="16E525A4" w14:textId="7E78ACBD" w:rsidR="000449F6" w:rsidRPr="00216D82" w:rsidRDefault="000449F6" w:rsidP="000449F6">
            <w:pPr>
              <w:rPr>
                <w:rFonts w:ascii="Arial" w:hAnsi="Arial" w:cs="Arial"/>
                <w:sz w:val="20"/>
                <w:szCs w:val="20"/>
              </w:rPr>
            </w:pPr>
            <w:r w:rsidRPr="00705FF4">
              <w:rPr>
                <w:rFonts w:ascii="Arial" w:hAnsi="Arial" w:cs="Arial"/>
                <w:sz w:val="20"/>
                <w:szCs w:val="20"/>
              </w:rPr>
              <w:t>&lt;1%</w:t>
            </w:r>
          </w:p>
        </w:tc>
        <w:tc>
          <w:tcPr>
            <w:tcW w:w="325" w:type="pct"/>
            <w:hideMark/>
          </w:tcPr>
          <w:p w14:paraId="6FE1BB7F" w14:textId="523D4FDC" w:rsidR="000449F6" w:rsidRPr="00216D82" w:rsidRDefault="000449F6" w:rsidP="000449F6">
            <w:pPr>
              <w:rPr>
                <w:rFonts w:ascii="Arial" w:hAnsi="Arial" w:cs="Arial"/>
                <w:color w:val="222222"/>
                <w:sz w:val="20"/>
                <w:szCs w:val="20"/>
              </w:rPr>
            </w:pPr>
            <w:r w:rsidRPr="00216D82">
              <w:rPr>
                <w:rFonts w:ascii="Arial" w:hAnsi="Arial" w:cs="Arial"/>
                <w:sz w:val="20"/>
                <w:szCs w:val="20"/>
              </w:rPr>
              <w:t>89%</w:t>
            </w:r>
          </w:p>
        </w:tc>
        <w:tc>
          <w:tcPr>
            <w:tcW w:w="506" w:type="pct"/>
          </w:tcPr>
          <w:p w14:paraId="41E2FCCF" w14:textId="10396845" w:rsidR="000449F6" w:rsidRPr="00216D82" w:rsidRDefault="000449F6" w:rsidP="000449F6">
            <w:pPr>
              <w:rPr>
                <w:rFonts w:ascii="Arial" w:hAnsi="Arial" w:cs="Arial"/>
                <w:sz w:val="20"/>
                <w:szCs w:val="20"/>
              </w:rPr>
            </w:pPr>
            <w:r w:rsidRPr="00216D82">
              <w:rPr>
                <w:rFonts w:ascii="Arial" w:hAnsi="Arial" w:cs="Arial"/>
                <w:sz w:val="20"/>
                <w:szCs w:val="20"/>
              </w:rPr>
              <w:t>3%</w:t>
            </w:r>
          </w:p>
        </w:tc>
        <w:tc>
          <w:tcPr>
            <w:tcW w:w="361" w:type="pct"/>
          </w:tcPr>
          <w:p w14:paraId="3C096CD6" w14:textId="17C80E4A" w:rsidR="000449F6" w:rsidRPr="00216D82" w:rsidRDefault="000449F6" w:rsidP="000449F6">
            <w:pPr>
              <w:rPr>
                <w:rFonts w:ascii="Arial" w:hAnsi="Arial" w:cs="Arial"/>
                <w:sz w:val="20"/>
                <w:szCs w:val="20"/>
              </w:rPr>
            </w:pPr>
            <w:r w:rsidRPr="00216D82">
              <w:rPr>
                <w:rFonts w:ascii="Arial" w:hAnsi="Arial" w:cs="Arial"/>
                <w:sz w:val="20"/>
                <w:szCs w:val="20"/>
              </w:rPr>
              <w:t>**</w:t>
            </w:r>
          </w:p>
        </w:tc>
        <w:tc>
          <w:tcPr>
            <w:tcW w:w="436" w:type="pct"/>
          </w:tcPr>
          <w:p w14:paraId="50A12D33" w14:textId="4A3E0571" w:rsidR="000449F6" w:rsidRPr="00216D82" w:rsidRDefault="000449F6" w:rsidP="000449F6">
            <w:pPr>
              <w:rPr>
                <w:rFonts w:ascii="Arial" w:hAnsi="Arial" w:cs="Arial"/>
                <w:sz w:val="20"/>
                <w:szCs w:val="20"/>
              </w:rPr>
            </w:pPr>
            <w:r w:rsidRPr="00216D82">
              <w:rPr>
                <w:rFonts w:ascii="Arial" w:hAnsi="Arial" w:cs="Arial"/>
                <w:sz w:val="20"/>
                <w:szCs w:val="20"/>
              </w:rPr>
              <w:t>**</w:t>
            </w:r>
          </w:p>
        </w:tc>
      </w:tr>
      <w:tr w:rsidR="000449F6" w:rsidRPr="00216D82" w14:paraId="2D9EF203" w14:textId="20C65C14" w:rsidTr="000449F6">
        <w:tc>
          <w:tcPr>
            <w:tcW w:w="468" w:type="pct"/>
            <w:hideMark/>
          </w:tcPr>
          <w:p w14:paraId="5E61A7A9" w14:textId="27720412" w:rsidR="000449F6" w:rsidRPr="00216D82" w:rsidRDefault="000449F6" w:rsidP="000449F6">
            <w:pPr>
              <w:rPr>
                <w:rFonts w:ascii="Arial" w:hAnsi="Arial" w:cs="Arial"/>
                <w:b/>
                <w:color w:val="222222"/>
                <w:sz w:val="20"/>
                <w:szCs w:val="20"/>
              </w:rPr>
            </w:pPr>
            <w:r w:rsidRPr="00216D82">
              <w:rPr>
                <w:rFonts w:ascii="Arial" w:hAnsi="Arial" w:cs="Arial"/>
                <w:b/>
                <w:sz w:val="20"/>
                <w:szCs w:val="20"/>
              </w:rPr>
              <w:t>School 7</w:t>
            </w:r>
          </w:p>
        </w:tc>
        <w:tc>
          <w:tcPr>
            <w:tcW w:w="325" w:type="pct"/>
            <w:hideMark/>
          </w:tcPr>
          <w:p w14:paraId="6369E8B7" w14:textId="5DDD539C" w:rsidR="000449F6" w:rsidRPr="00216D82" w:rsidRDefault="000449F6" w:rsidP="000449F6">
            <w:pPr>
              <w:rPr>
                <w:rFonts w:ascii="Arial" w:hAnsi="Arial" w:cs="Arial"/>
                <w:color w:val="222222"/>
                <w:sz w:val="20"/>
                <w:szCs w:val="20"/>
              </w:rPr>
            </w:pPr>
            <w:r w:rsidRPr="00216D82">
              <w:rPr>
                <w:rFonts w:ascii="Arial" w:hAnsi="Arial" w:cs="Arial"/>
                <w:sz w:val="20"/>
                <w:szCs w:val="20"/>
              </w:rPr>
              <w:t>50%</w:t>
            </w:r>
          </w:p>
        </w:tc>
        <w:tc>
          <w:tcPr>
            <w:tcW w:w="361" w:type="pct"/>
          </w:tcPr>
          <w:p w14:paraId="7111AB04" w14:textId="60DB2EC4" w:rsidR="000449F6" w:rsidRPr="00216D82" w:rsidRDefault="000449F6" w:rsidP="000449F6">
            <w:pPr>
              <w:rPr>
                <w:rFonts w:ascii="Arial" w:hAnsi="Arial" w:cs="Arial"/>
                <w:sz w:val="20"/>
                <w:szCs w:val="20"/>
              </w:rPr>
            </w:pPr>
            <w:r w:rsidRPr="00216D82">
              <w:rPr>
                <w:rFonts w:ascii="Arial" w:hAnsi="Arial" w:cs="Arial"/>
                <w:sz w:val="20"/>
                <w:szCs w:val="20"/>
              </w:rPr>
              <w:t>50%</w:t>
            </w:r>
          </w:p>
        </w:tc>
        <w:tc>
          <w:tcPr>
            <w:tcW w:w="579" w:type="pct"/>
          </w:tcPr>
          <w:p w14:paraId="4DDA9FEE" w14:textId="6DDC9FAC" w:rsidR="000449F6" w:rsidRPr="00216D82" w:rsidRDefault="000449F6" w:rsidP="000449F6">
            <w:pPr>
              <w:rPr>
                <w:rFonts w:ascii="Arial" w:hAnsi="Arial" w:cs="Arial"/>
                <w:sz w:val="20"/>
                <w:szCs w:val="20"/>
              </w:rPr>
            </w:pPr>
            <w:r w:rsidRPr="004745B0">
              <w:rPr>
                <w:rFonts w:ascii="Arial" w:hAnsi="Arial" w:cs="Arial"/>
                <w:sz w:val="20"/>
                <w:szCs w:val="20"/>
              </w:rPr>
              <w:t>&lt;1%</w:t>
            </w:r>
          </w:p>
        </w:tc>
        <w:tc>
          <w:tcPr>
            <w:tcW w:w="294" w:type="pct"/>
          </w:tcPr>
          <w:p w14:paraId="57364174" w14:textId="7D6B2032" w:rsidR="000449F6" w:rsidRPr="00216D82" w:rsidRDefault="000449F6" w:rsidP="000449F6">
            <w:pPr>
              <w:rPr>
                <w:rFonts w:ascii="Arial" w:hAnsi="Arial" w:cs="Arial"/>
                <w:sz w:val="20"/>
                <w:szCs w:val="20"/>
              </w:rPr>
            </w:pPr>
            <w:r w:rsidRPr="00216D82">
              <w:rPr>
                <w:rFonts w:ascii="Arial" w:hAnsi="Arial" w:cs="Arial"/>
                <w:sz w:val="20"/>
                <w:szCs w:val="20"/>
              </w:rPr>
              <w:t>1%</w:t>
            </w:r>
          </w:p>
        </w:tc>
        <w:tc>
          <w:tcPr>
            <w:tcW w:w="290" w:type="pct"/>
          </w:tcPr>
          <w:p w14:paraId="5779F0BB" w14:textId="6D19612A" w:rsidR="000449F6" w:rsidRPr="00216D82" w:rsidRDefault="000449F6" w:rsidP="000449F6">
            <w:pPr>
              <w:rPr>
                <w:rFonts w:ascii="Arial" w:hAnsi="Arial" w:cs="Arial"/>
                <w:sz w:val="20"/>
                <w:szCs w:val="20"/>
              </w:rPr>
            </w:pPr>
            <w:r w:rsidRPr="00216D82">
              <w:rPr>
                <w:rFonts w:ascii="Arial" w:hAnsi="Arial" w:cs="Arial"/>
                <w:sz w:val="20"/>
                <w:szCs w:val="20"/>
              </w:rPr>
              <w:t>17%</w:t>
            </w:r>
          </w:p>
        </w:tc>
        <w:tc>
          <w:tcPr>
            <w:tcW w:w="405" w:type="pct"/>
            <w:hideMark/>
          </w:tcPr>
          <w:p w14:paraId="7C151DDB" w14:textId="112C1B72" w:rsidR="000449F6" w:rsidRPr="00216D82" w:rsidRDefault="000449F6" w:rsidP="000449F6">
            <w:pPr>
              <w:rPr>
                <w:rFonts w:ascii="Arial" w:hAnsi="Arial" w:cs="Arial"/>
                <w:color w:val="222222"/>
                <w:sz w:val="20"/>
                <w:szCs w:val="20"/>
              </w:rPr>
            </w:pPr>
            <w:r w:rsidRPr="00216D82">
              <w:rPr>
                <w:rFonts w:ascii="Arial" w:hAnsi="Arial" w:cs="Arial"/>
                <w:sz w:val="20"/>
                <w:szCs w:val="20"/>
              </w:rPr>
              <w:t>2%</w:t>
            </w:r>
          </w:p>
        </w:tc>
        <w:tc>
          <w:tcPr>
            <w:tcW w:w="650" w:type="pct"/>
          </w:tcPr>
          <w:p w14:paraId="5127584A" w14:textId="10D6934B" w:rsidR="000449F6" w:rsidRPr="00216D82" w:rsidRDefault="000449F6" w:rsidP="000449F6">
            <w:pPr>
              <w:rPr>
                <w:rFonts w:ascii="Arial" w:hAnsi="Arial" w:cs="Arial"/>
                <w:sz w:val="20"/>
                <w:szCs w:val="20"/>
              </w:rPr>
            </w:pPr>
            <w:r w:rsidRPr="00216D82">
              <w:rPr>
                <w:rFonts w:ascii="Arial" w:hAnsi="Arial" w:cs="Arial"/>
                <w:sz w:val="20"/>
                <w:szCs w:val="20"/>
              </w:rPr>
              <w:t>1%</w:t>
            </w:r>
          </w:p>
        </w:tc>
        <w:tc>
          <w:tcPr>
            <w:tcW w:w="325" w:type="pct"/>
            <w:hideMark/>
          </w:tcPr>
          <w:p w14:paraId="6D72E0ED" w14:textId="4EE8B7FC" w:rsidR="000449F6" w:rsidRPr="00216D82" w:rsidRDefault="000449F6" w:rsidP="000449F6">
            <w:pPr>
              <w:rPr>
                <w:rFonts w:ascii="Arial" w:hAnsi="Arial" w:cs="Arial"/>
                <w:color w:val="222222"/>
                <w:sz w:val="20"/>
                <w:szCs w:val="20"/>
              </w:rPr>
            </w:pPr>
            <w:r w:rsidRPr="00216D82">
              <w:rPr>
                <w:rFonts w:ascii="Arial" w:hAnsi="Arial" w:cs="Arial"/>
                <w:sz w:val="20"/>
                <w:szCs w:val="20"/>
              </w:rPr>
              <w:t>74%</w:t>
            </w:r>
          </w:p>
        </w:tc>
        <w:tc>
          <w:tcPr>
            <w:tcW w:w="506" w:type="pct"/>
          </w:tcPr>
          <w:p w14:paraId="6B2BE054" w14:textId="4CC79DD3" w:rsidR="000449F6" w:rsidRPr="00216D82" w:rsidRDefault="000449F6" w:rsidP="000449F6">
            <w:pPr>
              <w:rPr>
                <w:rFonts w:ascii="Arial" w:hAnsi="Arial" w:cs="Arial"/>
                <w:sz w:val="20"/>
                <w:szCs w:val="20"/>
              </w:rPr>
            </w:pPr>
            <w:r w:rsidRPr="00216D82">
              <w:rPr>
                <w:rFonts w:ascii="Arial" w:hAnsi="Arial" w:cs="Arial"/>
                <w:sz w:val="20"/>
                <w:szCs w:val="20"/>
              </w:rPr>
              <w:t>4%</w:t>
            </w:r>
          </w:p>
        </w:tc>
        <w:tc>
          <w:tcPr>
            <w:tcW w:w="361" w:type="pct"/>
          </w:tcPr>
          <w:p w14:paraId="0D49D6A7" w14:textId="6183705F" w:rsidR="000449F6" w:rsidRPr="00216D82" w:rsidRDefault="000449F6" w:rsidP="000449F6">
            <w:pPr>
              <w:rPr>
                <w:rFonts w:ascii="Arial" w:hAnsi="Arial" w:cs="Arial"/>
                <w:sz w:val="20"/>
                <w:szCs w:val="20"/>
              </w:rPr>
            </w:pPr>
            <w:r w:rsidRPr="00216D82">
              <w:rPr>
                <w:rFonts w:ascii="Arial" w:hAnsi="Arial" w:cs="Arial"/>
                <w:sz w:val="20"/>
                <w:szCs w:val="20"/>
              </w:rPr>
              <w:t>25%</w:t>
            </w:r>
          </w:p>
        </w:tc>
        <w:tc>
          <w:tcPr>
            <w:tcW w:w="436" w:type="pct"/>
          </w:tcPr>
          <w:p w14:paraId="64BC79F1" w14:textId="2517E559" w:rsidR="000449F6" w:rsidRPr="00216D82" w:rsidRDefault="000449F6" w:rsidP="000449F6">
            <w:pPr>
              <w:rPr>
                <w:rFonts w:ascii="Arial" w:hAnsi="Arial" w:cs="Arial"/>
                <w:sz w:val="20"/>
                <w:szCs w:val="20"/>
              </w:rPr>
            </w:pPr>
            <w:r w:rsidRPr="00216D82">
              <w:rPr>
                <w:rFonts w:ascii="Arial" w:hAnsi="Arial" w:cs="Arial"/>
                <w:sz w:val="20"/>
                <w:szCs w:val="20"/>
              </w:rPr>
              <w:t>8%</w:t>
            </w:r>
          </w:p>
        </w:tc>
      </w:tr>
      <w:tr w:rsidR="000449F6" w:rsidRPr="00216D82" w14:paraId="2F96F24F" w14:textId="4EF97A49" w:rsidTr="000449F6">
        <w:tc>
          <w:tcPr>
            <w:tcW w:w="468" w:type="pct"/>
            <w:hideMark/>
          </w:tcPr>
          <w:p w14:paraId="45B7204D" w14:textId="187433DC" w:rsidR="000449F6" w:rsidRPr="00216D82" w:rsidRDefault="000449F6" w:rsidP="000449F6">
            <w:pPr>
              <w:rPr>
                <w:rFonts w:ascii="Arial" w:hAnsi="Arial" w:cs="Arial"/>
                <w:b/>
                <w:color w:val="222222"/>
                <w:sz w:val="20"/>
                <w:szCs w:val="20"/>
              </w:rPr>
            </w:pPr>
            <w:r w:rsidRPr="00216D82">
              <w:rPr>
                <w:rFonts w:ascii="Arial" w:hAnsi="Arial" w:cs="Arial"/>
                <w:b/>
                <w:sz w:val="20"/>
                <w:szCs w:val="20"/>
              </w:rPr>
              <w:t>School 8</w:t>
            </w:r>
          </w:p>
        </w:tc>
        <w:tc>
          <w:tcPr>
            <w:tcW w:w="325" w:type="pct"/>
            <w:hideMark/>
          </w:tcPr>
          <w:p w14:paraId="1D5F0131" w14:textId="4C2C0266" w:rsidR="000449F6" w:rsidRPr="00216D82" w:rsidRDefault="000449F6" w:rsidP="000449F6">
            <w:pPr>
              <w:rPr>
                <w:rFonts w:ascii="Arial" w:hAnsi="Arial" w:cs="Arial"/>
                <w:color w:val="222222"/>
                <w:sz w:val="20"/>
                <w:szCs w:val="20"/>
              </w:rPr>
            </w:pPr>
            <w:r w:rsidRPr="00216D82">
              <w:rPr>
                <w:rFonts w:ascii="Arial" w:hAnsi="Arial" w:cs="Arial"/>
                <w:sz w:val="20"/>
                <w:szCs w:val="20"/>
              </w:rPr>
              <w:t>49%</w:t>
            </w:r>
          </w:p>
        </w:tc>
        <w:tc>
          <w:tcPr>
            <w:tcW w:w="361" w:type="pct"/>
          </w:tcPr>
          <w:p w14:paraId="60BD78C2" w14:textId="6BCB8B3D" w:rsidR="000449F6" w:rsidRPr="00216D82" w:rsidRDefault="000449F6" w:rsidP="000449F6">
            <w:pPr>
              <w:rPr>
                <w:rFonts w:ascii="Arial" w:hAnsi="Arial" w:cs="Arial"/>
                <w:sz w:val="20"/>
                <w:szCs w:val="20"/>
              </w:rPr>
            </w:pPr>
            <w:r w:rsidRPr="00216D82">
              <w:rPr>
                <w:rFonts w:ascii="Arial" w:hAnsi="Arial" w:cs="Arial"/>
                <w:sz w:val="20"/>
                <w:szCs w:val="20"/>
              </w:rPr>
              <w:t>51%</w:t>
            </w:r>
          </w:p>
        </w:tc>
        <w:tc>
          <w:tcPr>
            <w:tcW w:w="579" w:type="pct"/>
          </w:tcPr>
          <w:p w14:paraId="5FCEA103" w14:textId="58D039D3" w:rsidR="000449F6" w:rsidRPr="00216D82" w:rsidRDefault="000449F6" w:rsidP="000449F6">
            <w:pPr>
              <w:rPr>
                <w:rFonts w:ascii="Arial" w:hAnsi="Arial" w:cs="Arial"/>
                <w:sz w:val="20"/>
                <w:szCs w:val="20"/>
              </w:rPr>
            </w:pPr>
            <w:r w:rsidRPr="004745B0">
              <w:rPr>
                <w:rFonts w:ascii="Arial" w:hAnsi="Arial" w:cs="Arial"/>
                <w:sz w:val="20"/>
                <w:szCs w:val="20"/>
              </w:rPr>
              <w:t>&lt;1%</w:t>
            </w:r>
          </w:p>
        </w:tc>
        <w:tc>
          <w:tcPr>
            <w:tcW w:w="294" w:type="pct"/>
          </w:tcPr>
          <w:p w14:paraId="1503D792" w14:textId="12133C27" w:rsidR="000449F6" w:rsidRPr="00216D82" w:rsidRDefault="000449F6" w:rsidP="000449F6">
            <w:pPr>
              <w:rPr>
                <w:rFonts w:ascii="Arial" w:hAnsi="Arial" w:cs="Arial"/>
                <w:sz w:val="20"/>
                <w:szCs w:val="20"/>
              </w:rPr>
            </w:pPr>
            <w:r w:rsidRPr="00216D82">
              <w:rPr>
                <w:rFonts w:ascii="Arial" w:hAnsi="Arial" w:cs="Arial"/>
                <w:sz w:val="20"/>
                <w:szCs w:val="20"/>
              </w:rPr>
              <w:t>1%</w:t>
            </w:r>
          </w:p>
        </w:tc>
        <w:tc>
          <w:tcPr>
            <w:tcW w:w="290" w:type="pct"/>
          </w:tcPr>
          <w:p w14:paraId="4F71A998" w14:textId="76A8250E" w:rsidR="000449F6" w:rsidRPr="00216D82" w:rsidRDefault="000449F6" w:rsidP="000449F6">
            <w:pPr>
              <w:rPr>
                <w:rFonts w:ascii="Arial" w:hAnsi="Arial" w:cs="Arial"/>
                <w:sz w:val="20"/>
                <w:szCs w:val="20"/>
              </w:rPr>
            </w:pPr>
            <w:r>
              <w:rPr>
                <w:rFonts w:ascii="Arial" w:hAnsi="Arial" w:cs="Arial"/>
                <w:sz w:val="20"/>
                <w:szCs w:val="20"/>
              </w:rPr>
              <w:t>&lt;</w:t>
            </w:r>
            <w:r w:rsidRPr="00216D82">
              <w:rPr>
                <w:rFonts w:ascii="Arial" w:hAnsi="Arial" w:cs="Arial"/>
                <w:sz w:val="20"/>
                <w:szCs w:val="20"/>
              </w:rPr>
              <w:t>1%</w:t>
            </w:r>
          </w:p>
        </w:tc>
        <w:tc>
          <w:tcPr>
            <w:tcW w:w="405" w:type="pct"/>
            <w:hideMark/>
          </w:tcPr>
          <w:p w14:paraId="568416D7" w14:textId="15696D04" w:rsidR="000449F6" w:rsidRPr="00216D82" w:rsidRDefault="000449F6" w:rsidP="000449F6">
            <w:pPr>
              <w:rPr>
                <w:rFonts w:ascii="Arial" w:hAnsi="Arial" w:cs="Arial"/>
                <w:color w:val="222222"/>
                <w:sz w:val="20"/>
                <w:szCs w:val="20"/>
              </w:rPr>
            </w:pPr>
            <w:r w:rsidRPr="00166488">
              <w:rPr>
                <w:rFonts w:ascii="Arial" w:hAnsi="Arial" w:cs="Arial"/>
                <w:sz w:val="20"/>
                <w:szCs w:val="20"/>
              </w:rPr>
              <w:t>&lt;1%</w:t>
            </w:r>
          </w:p>
        </w:tc>
        <w:tc>
          <w:tcPr>
            <w:tcW w:w="650" w:type="pct"/>
          </w:tcPr>
          <w:p w14:paraId="246D2227" w14:textId="60B7CB31" w:rsidR="000449F6" w:rsidRPr="00216D82" w:rsidRDefault="000449F6" w:rsidP="000449F6">
            <w:pPr>
              <w:rPr>
                <w:rFonts w:ascii="Arial" w:hAnsi="Arial" w:cs="Arial"/>
                <w:sz w:val="20"/>
                <w:szCs w:val="20"/>
              </w:rPr>
            </w:pPr>
            <w:r w:rsidRPr="00084D79">
              <w:rPr>
                <w:rFonts w:ascii="Arial" w:hAnsi="Arial" w:cs="Arial"/>
                <w:sz w:val="20"/>
                <w:szCs w:val="20"/>
              </w:rPr>
              <w:t>&lt;1%</w:t>
            </w:r>
          </w:p>
        </w:tc>
        <w:tc>
          <w:tcPr>
            <w:tcW w:w="325" w:type="pct"/>
            <w:hideMark/>
          </w:tcPr>
          <w:p w14:paraId="09C4092A" w14:textId="09195C4B" w:rsidR="000449F6" w:rsidRPr="00216D82" w:rsidRDefault="000449F6" w:rsidP="000449F6">
            <w:pPr>
              <w:rPr>
                <w:rFonts w:ascii="Arial" w:hAnsi="Arial" w:cs="Arial"/>
                <w:color w:val="222222"/>
                <w:sz w:val="20"/>
                <w:szCs w:val="20"/>
              </w:rPr>
            </w:pPr>
            <w:r w:rsidRPr="00216D82">
              <w:rPr>
                <w:rFonts w:ascii="Arial" w:hAnsi="Arial" w:cs="Arial"/>
                <w:sz w:val="20"/>
                <w:szCs w:val="20"/>
              </w:rPr>
              <w:t>98%</w:t>
            </w:r>
          </w:p>
        </w:tc>
        <w:tc>
          <w:tcPr>
            <w:tcW w:w="506" w:type="pct"/>
          </w:tcPr>
          <w:p w14:paraId="40A03F50" w14:textId="03C885F1" w:rsidR="000449F6" w:rsidRPr="00216D82" w:rsidRDefault="000449F6" w:rsidP="000449F6">
            <w:pPr>
              <w:rPr>
                <w:rFonts w:ascii="Arial" w:hAnsi="Arial" w:cs="Arial"/>
                <w:sz w:val="20"/>
                <w:szCs w:val="20"/>
              </w:rPr>
            </w:pPr>
            <w:r w:rsidRPr="00216D82">
              <w:rPr>
                <w:rFonts w:ascii="Arial" w:hAnsi="Arial" w:cs="Arial"/>
                <w:sz w:val="20"/>
                <w:szCs w:val="20"/>
              </w:rPr>
              <w:t>1%</w:t>
            </w:r>
          </w:p>
        </w:tc>
        <w:tc>
          <w:tcPr>
            <w:tcW w:w="361" w:type="pct"/>
          </w:tcPr>
          <w:p w14:paraId="5EA9BC99" w14:textId="77F59DC6" w:rsidR="000449F6" w:rsidRPr="00216D82" w:rsidRDefault="000449F6" w:rsidP="000449F6">
            <w:pPr>
              <w:rPr>
                <w:rFonts w:ascii="Arial" w:hAnsi="Arial" w:cs="Arial"/>
                <w:sz w:val="20"/>
                <w:szCs w:val="20"/>
              </w:rPr>
            </w:pPr>
            <w:r w:rsidRPr="00216D82">
              <w:rPr>
                <w:rFonts w:ascii="Arial" w:hAnsi="Arial" w:cs="Arial"/>
                <w:sz w:val="20"/>
                <w:szCs w:val="20"/>
              </w:rPr>
              <w:t>28%</w:t>
            </w:r>
          </w:p>
        </w:tc>
        <w:tc>
          <w:tcPr>
            <w:tcW w:w="436" w:type="pct"/>
          </w:tcPr>
          <w:p w14:paraId="30B51FEF" w14:textId="7499E52A" w:rsidR="000449F6" w:rsidRPr="00216D82" w:rsidRDefault="000449F6" w:rsidP="000449F6">
            <w:pPr>
              <w:rPr>
                <w:rFonts w:ascii="Arial" w:hAnsi="Arial" w:cs="Arial"/>
                <w:sz w:val="20"/>
                <w:szCs w:val="20"/>
              </w:rPr>
            </w:pPr>
            <w:r w:rsidRPr="00216D82">
              <w:rPr>
                <w:rFonts w:ascii="Arial" w:hAnsi="Arial" w:cs="Arial"/>
                <w:sz w:val="20"/>
                <w:szCs w:val="20"/>
              </w:rPr>
              <w:t>9%</w:t>
            </w:r>
          </w:p>
        </w:tc>
      </w:tr>
      <w:tr w:rsidR="000449F6" w:rsidRPr="00216D82" w14:paraId="2101072E" w14:textId="70ED12D0" w:rsidTr="000449F6">
        <w:tc>
          <w:tcPr>
            <w:tcW w:w="468" w:type="pct"/>
            <w:hideMark/>
          </w:tcPr>
          <w:p w14:paraId="4CDA9C69" w14:textId="34B0246F" w:rsidR="000449F6" w:rsidRPr="00216D82" w:rsidRDefault="000449F6" w:rsidP="000449F6">
            <w:pPr>
              <w:rPr>
                <w:rFonts w:ascii="Arial" w:hAnsi="Arial" w:cs="Arial"/>
                <w:b/>
                <w:color w:val="222222"/>
                <w:sz w:val="20"/>
                <w:szCs w:val="20"/>
              </w:rPr>
            </w:pPr>
            <w:r w:rsidRPr="00216D82">
              <w:rPr>
                <w:rFonts w:ascii="Arial" w:hAnsi="Arial" w:cs="Arial"/>
                <w:b/>
                <w:sz w:val="20"/>
                <w:szCs w:val="20"/>
              </w:rPr>
              <w:t>School 9</w:t>
            </w:r>
          </w:p>
        </w:tc>
        <w:tc>
          <w:tcPr>
            <w:tcW w:w="325" w:type="pct"/>
            <w:hideMark/>
          </w:tcPr>
          <w:p w14:paraId="79AF4E91" w14:textId="1B369FBE" w:rsidR="000449F6" w:rsidRPr="00216D82" w:rsidRDefault="000449F6" w:rsidP="000449F6">
            <w:pPr>
              <w:rPr>
                <w:rFonts w:ascii="Arial" w:hAnsi="Arial" w:cs="Arial"/>
                <w:color w:val="222222"/>
                <w:sz w:val="20"/>
                <w:szCs w:val="20"/>
              </w:rPr>
            </w:pPr>
            <w:r w:rsidRPr="00216D82">
              <w:rPr>
                <w:rFonts w:ascii="Arial" w:hAnsi="Arial" w:cs="Arial"/>
                <w:sz w:val="20"/>
                <w:szCs w:val="20"/>
              </w:rPr>
              <w:t>53%</w:t>
            </w:r>
          </w:p>
        </w:tc>
        <w:tc>
          <w:tcPr>
            <w:tcW w:w="361" w:type="pct"/>
          </w:tcPr>
          <w:p w14:paraId="55661C7E" w14:textId="6810D11A" w:rsidR="000449F6" w:rsidRPr="00216D82" w:rsidRDefault="000449F6" w:rsidP="000449F6">
            <w:pPr>
              <w:rPr>
                <w:rFonts w:ascii="Arial" w:hAnsi="Arial" w:cs="Arial"/>
                <w:sz w:val="20"/>
                <w:szCs w:val="20"/>
              </w:rPr>
            </w:pPr>
            <w:r w:rsidRPr="00216D82">
              <w:rPr>
                <w:rFonts w:ascii="Arial" w:hAnsi="Arial" w:cs="Arial"/>
                <w:sz w:val="20"/>
                <w:szCs w:val="20"/>
              </w:rPr>
              <w:t>47%</w:t>
            </w:r>
          </w:p>
        </w:tc>
        <w:tc>
          <w:tcPr>
            <w:tcW w:w="579" w:type="pct"/>
          </w:tcPr>
          <w:p w14:paraId="495FE584" w14:textId="7C94EC57" w:rsidR="000449F6" w:rsidRPr="00216D82" w:rsidRDefault="000449F6" w:rsidP="000449F6">
            <w:pPr>
              <w:rPr>
                <w:rFonts w:ascii="Arial" w:hAnsi="Arial" w:cs="Arial"/>
                <w:sz w:val="20"/>
                <w:szCs w:val="20"/>
              </w:rPr>
            </w:pPr>
            <w:r w:rsidRPr="004745B0">
              <w:rPr>
                <w:rFonts w:ascii="Arial" w:hAnsi="Arial" w:cs="Arial"/>
                <w:sz w:val="20"/>
                <w:szCs w:val="20"/>
              </w:rPr>
              <w:t>&lt;1%</w:t>
            </w:r>
          </w:p>
        </w:tc>
        <w:tc>
          <w:tcPr>
            <w:tcW w:w="294" w:type="pct"/>
          </w:tcPr>
          <w:p w14:paraId="7EF4C753" w14:textId="2D5B4E2A" w:rsidR="000449F6" w:rsidRPr="00216D82" w:rsidRDefault="000449F6" w:rsidP="000449F6">
            <w:pPr>
              <w:rPr>
                <w:rFonts w:ascii="Arial" w:hAnsi="Arial" w:cs="Arial"/>
                <w:sz w:val="20"/>
                <w:szCs w:val="20"/>
              </w:rPr>
            </w:pPr>
            <w:r>
              <w:rPr>
                <w:rFonts w:ascii="Arial" w:hAnsi="Arial" w:cs="Arial"/>
                <w:sz w:val="20"/>
                <w:szCs w:val="20"/>
              </w:rPr>
              <w:t>&lt;</w:t>
            </w:r>
            <w:r w:rsidRPr="00216D82">
              <w:rPr>
                <w:rFonts w:ascii="Arial" w:hAnsi="Arial" w:cs="Arial"/>
                <w:sz w:val="20"/>
                <w:szCs w:val="20"/>
              </w:rPr>
              <w:t>1%</w:t>
            </w:r>
          </w:p>
        </w:tc>
        <w:tc>
          <w:tcPr>
            <w:tcW w:w="290" w:type="pct"/>
          </w:tcPr>
          <w:p w14:paraId="0F8FBB35" w14:textId="7D707AC8" w:rsidR="000449F6" w:rsidRPr="00216D82" w:rsidRDefault="000449F6" w:rsidP="000449F6">
            <w:pPr>
              <w:rPr>
                <w:rFonts w:ascii="Arial" w:hAnsi="Arial" w:cs="Arial"/>
                <w:sz w:val="20"/>
                <w:szCs w:val="20"/>
              </w:rPr>
            </w:pPr>
            <w:r w:rsidRPr="00216D82">
              <w:rPr>
                <w:rFonts w:ascii="Arial" w:hAnsi="Arial" w:cs="Arial"/>
                <w:sz w:val="20"/>
                <w:szCs w:val="20"/>
              </w:rPr>
              <w:t>1%</w:t>
            </w:r>
          </w:p>
        </w:tc>
        <w:tc>
          <w:tcPr>
            <w:tcW w:w="405" w:type="pct"/>
            <w:hideMark/>
          </w:tcPr>
          <w:p w14:paraId="180DA411" w14:textId="64C2B0B5" w:rsidR="000449F6" w:rsidRPr="00216D82" w:rsidRDefault="000449F6" w:rsidP="000449F6">
            <w:pPr>
              <w:rPr>
                <w:rFonts w:ascii="Arial" w:hAnsi="Arial" w:cs="Arial"/>
                <w:color w:val="222222"/>
                <w:sz w:val="20"/>
                <w:szCs w:val="20"/>
              </w:rPr>
            </w:pPr>
            <w:r w:rsidRPr="00166488">
              <w:rPr>
                <w:rFonts w:ascii="Arial" w:hAnsi="Arial" w:cs="Arial"/>
                <w:sz w:val="20"/>
                <w:szCs w:val="20"/>
              </w:rPr>
              <w:t>&lt;1%</w:t>
            </w:r>
          </w:p>
        </w:tc>
        <w:tc>
          <w:tcPr>
            <w:tcW w:w="650" w:type="pct"/>
          </w:tcPr>
          <w:p w14:paraId="5E5BE269" w14:textId="151FA7B5" w:rsidR="000449F6" w:rsidRPr="00216D82" w:rsidRDefault="000449F6" w:rsidP="000449F6">
            <w:pPr>
              <w:rPr>
                <w:rFonts w:ascii="Arial" w:hAnsi="Arial" w:cs="Arial"/>
                <w:sz w:val="20"/>
                <w:szCs w:val="20"/>
              </w:rPr>
            </w:pPr>
            <w:r w:rsidRPr="00084D79">
              <w:rPr>
                <w:rFonts w:ascii="Arial" w:hAnsi="Arial" w:cs="Arial"/>
                <w:sz w:val="20"/>
                <w:szCs w:val="20"/>
              </w:rPr>
              <w:t>&lt;1%</w:t>
            </w:r>
          </w:p>
        </w:tc>
        <w:tc>
          <w:tcPr>
            <w:tcW w:w="325" w:type="pct"/>
            <w:hideMark/>
          </w:tcPr>
          <w:p w14:paraId="0609C5DE" w14:textId="6EE4D087" w:rsidR="000449F6" w:rsidRPr="00216D82" w:rsidRDefault="000449F6" w:rsidP="000449F6">
            <w:pPr>
              <w:rPr>
                <w:rFonts w:ascii="Arial" w:hAnsi="Arial" w:cs="Arial"/>
                <w:color w:val="222222"/>
                <w:sz w:val="20"/>
                <w:szCs w:val="20"/>
              </w:rPr>
            </w:pPr>
            <w:r w:rsidRPr="00216D82">
              <w:rPr>
                <w:rFonts w:ascii="Arial" w:hAnsi="Arial" w:cs="Arial"/>
                <w:sz w:val="20"/>
                <w:szCs w:val="20"/>
              </w:rPr>
              <w:t>97%</w:t>
            </w:r>
          </w:p>
        </w:tc>
        <w:tc>
          <w:tcPr>
            <w:tcW w:w="506" w:type="pct"/>
          </w:tcPr>
          <w:p w14:paraId="3FF88275" w14:textId="0F5F3879" w:rsidR="000449F6" w:rsidRPr="00216D82" w:rsidRDefault="000449F6" w:rsidP="000449F6">
            <w:pPr>
              <w:rPr>
                <w:rFonts w:ascii="Arial" w:hAnsi="Arial" w:cs="Arial"/>
                <w:sz w:val="20"/>
                <w:szCs w:val="20"/>
              </w:rPr>
            </w:pPr>
            <w:r w:rsidRPr="00216D82">
              <w:rPr>
                <w:rFonts w:ascii="Arial" w:hAnsi="Arial" w:cs="Arial"/>
                <w:sz w:val="20"/>
                <w:szCs w:val="20"/>
              </w:rPr>
              <w:t>1%</w:t>
            </w:r>
          </w:p>
        </w:tc>
        <w:tc>
          <w:tcPr>
            <w:tcW w:w="361" w:type="pct"/>
          </w:tcPr>
          <w:p w14:paraId="3BB18DCF" w14:textId="2D68FFC0" w:rsidR="000449F6" w:rsidRPr="00216D82" w:rsidRDefault="000449F6" w:rsidP="000449F6">
            <w:pPr>
              <w:rPr>
                <w:rFonts w:ascii="Arial" w:hAnsi="Arial" w:cs="Arial"/>
                <w:sz w:val="20"/>
                <w:szCs w:val="20"/>
              </w:rPr>
            </w:pPr>
            <w:r w:rsidRPr="00216D82">
              <w:rPr>
                <w:rFonts w:ascii="Arial" w:hAnsi="Arial" w:cs="Arial"/>
                <w:sz w:val="20"/>
                <w:szCs w:val="20"/>
              </w:rPr>
              <w:t>65%</w:t>
            </w:r>
          </w:p>
        </w:tc>
        <w:tc>
          <w:tcPr>
            <w:tcW w:w="436" w:type="pct"/>
          </w:tcPr>
          <w:p w14:paraId="259A06BB" w14:textId="110E695F" w:rsidR="000449F6" w:rsidRPr="00216D82" w:rsidRDefault="000449F6" w:rsidP="000449F6">
            <w:pPr>
              <w:rPr>
                <w:rFonts w:ascii="Arial" w:hAnsi="Arial" w:cs="Arial"/>
                <w:sz w:val="20"/>
                <w:szCs w:val="20"/>
              </w:rPr>
            </w:pPr>
            <w:r w:rsidRPr="00216D82">
              <w:rPr>
                <w:rFonts w:ascii="Arial" w:hAnsi="Arial" w:cs="Arial"/>
                <w:sz w:val="20"/>
                <w:szCs w:val="20"/>
              </w:rPr>
              <w:t>29%</w:t>
            </w:r>
          </w:p>
        </w:tc>
      </w:tr>
      <w:tr w:rsidR="000449F6" w:rsidRPr="00216D82" w14:paraId="10BE2448" w14:textId="2E92AC22" w:rsidTr="000449F6">
        <w:tc>
          <w:tcPr>
            <w:tcW w:w="468" w:type="pct"/>
            <w:hideMark/>
          </w:tcPr>
          <w:p w14:paraId="3F7D41FC" w14:textId="2441D1C4" w:rsidR="000449F6" w:rsidRPr="00216D82" w:rsidRDefault="000449F6" w:rsidP="000449F6">
            <w:pPr>
              <w:rPr>
                <w:rFonts w:ascii="Arial" w:hAnsi="Arial" w:cs="Arial"/>
                <w:b/>
                <w:color w:val="222222"/>
                <w:sz w:val="20"/>
                <w:szCs w:val="20"/>
              </w:rPr>
            </w:pPr>
            <w:r w:rsidRPr="00216D82">
              <w:rPr>
                <w:rFonts w:ascii="Arial" w:hAnsi="Arial" w:cs="Arial"/>
                <w:b/>
                <w:sz w:val="20"/>
                <w:szCs w:val="20"/>
              </w:rPr>
              <w:t>School 10</w:t>
            </w:r>
          </w:p>
        </w:tc>
        <w:tc>
          <w:tcPr>
            <w:tcW w:w="325" w:type="pct"/>
            <w:hideMark/>
          </w:tcPr>
          <w:p w14:paraId="435924F5" w14:textId="39824070" w:rsidR="000449F6" w:rsidRPr="00216D82" w:rsidRDefault="000449F6" w:rsidP="000449F6">
            <w:pPr>
              <w:rPr>
                <w:rFonts w:ascii="Arial" w:hAnsi="Arial" w:cs="Arial"/>
                <w:color w:val="222222"/>
                <w:sz w:val="20"/>
                <w:szCs w:val="20"/>
              </w:rPr>
            </w:pPr>
            <w:r w:rsidRPr="00216D82">
              <w:rPr>
                <w:rFonts w:ascii="Arial" w:hAnsi="Arial" w:cs="Arial"/>
                <w:sz w:val="20"/>
                <w:szCs w:val="20"/>
              </w:rPr>
              <w:t>47%</w:t>
            </w:r>
          </w:p>
        </w:tc>
        <w:tc>
          <w:tcPr>
            <w:tcW w:w="361" w:type="pct"/>
          </w:tcPr>
          <w:p w14:paraId="4DEB9EA0" w14:textId="6CBFB7D7" w:rsidR="000449F6" w:rsidRPr="00216D82" w:rsidRDefault="000449F6" w:rsidP="000449F6">
            <w:pPr>
              <w:rPr>
                <w:rFonts w:ascii="Arial" w:hAnsi="Arial" w:cs="Arial"/>
                <w:sz w:val="20"/>
                <w:szCs w:val="20"/>
              </w:rPr>
            </w:pPr>
            <w:r w:rsidRPr="00216D82">
              <w:rPr>
                <w:rFonts w:ascii="Arial" w:hAnsi="Arial" w:cs="Arial"/>
                <w:sz w:val="20"/>
                <w:szCs w:val="20"/>
              </w:rPr>
              <w:t>53%</w:t>
            </w:r>
          </w:p>
        </w:tc>
        <w:tc>
          <w:tcPr>
            <w:tcW w:w="579" w:type="pct"/>
          </w:tcPr>
          <w:p w14:paraId="63312EDF" w14:textId="245E278F" w:rsidR="000449F6" w:rsidRPr="00216D82" w:rsidRDefault="000449F6" w:rsidP="000449F6">
            <w:pPr>
              <w:rPr>
                <w:rFonts w:ascii="Arial" w:hAnsi="Arial" w:cs="Arial"/>
                <w:sz w:val="20"/>
                <w:szCs w:val="20"/>
              </w:rPr>
            </w:pPr>
            <w:r w:rsidRPr="004745B0">
              <w:rPr>
                <w:rFonts w:ascii="Arial" w:hAnsi="Arial" w:cs="Arial"/>
                <w:sz w:val="20"/>
                <w:szCs w:val="20"/>
              </w:rPr>
              <w:t>&lt;1%</w:t>
            </w:r>
          </w:p>
        </w:tc>
        <w:tc>
          <w:tcPr>
            <w:tcW w:w="294" w:type="pct"/>
          </w:tcPr>
          <w:p w14:paraId="70E01D8A" w14:textId="3190DE3A" w:rsidR="000449F6" w:rsidRPr="00216D82" w:rsidRDefault="000449F6" w:rsidP="000449F6">
            <w:pPr>
              <w:rPr>
                <w:rFonts w:ascii="Arial" w:hAnsi="Arial" w:cs="Arial"/>
                <w:sz w:val="20"/>
                <w:szCs w:val="20"/>
              </w:rPr>
            </w:pPr>
            <w:r w:rsidRPr="00216D82">
              <w:rPr>
                <w:rFonts w:ascii="Arial" w:hAnsi="Arial" w:cs="Arial"/>
                <w:sz w:val="20"/>
                <w:szCs w:val="20"/>
              </w:rPr>
              <w:t>5%</w:t>
            </w:r>
          </w:p>
        </w:tc>
        <w:tc>
          <w:tcPr>
            <w:tcW w:w="290" w:type="pct"/>
          </w:tcPr>
          <w:p w14:paraId="60DA32FD" w14:textId="23FB19A4" w:rsidR="000449F6" w:rsidRPr="00216D82" w:rsidRDefault="000449F6" w:rsidP="000449F6">
            <w:pPr>
              <w:rPr>
                <w:rFonts w:ascii="Arial" w:hAnsi="Arial" w:cs="Arial"/>
                <w:sz w:val="20"/>
                <w:szCs w:val="20"/>
              </w:rPr>
            </w:pPr>
            <w:r w:rsidRPr="00216D82">
              <w:rPr>
                <w:rFonts w:ascii="Arial" w:hAnsi="Arial" w:cs="Arial"/>
                <w:sz w:val="20"/>
                <w:szCs w:val="20"/>
              </w:rPr>
              <w:t>6%</w:t>
            </w:r>
          </w:p>
        </w:tc>
        <w:tc>
          <w:tcPr>
            <w:tcW w:w="405" w:type="pct"/>
            <w:hideMark/>
          </w:tcPr>
          <w:p w14:paraId="2DE2F77E" w14:textId="490CF344" w:rsidR="000449F6" w:rsidRPr="00216D82" w:rsidRDefault="000449F6" w:rsidP="000449F6">
            <w:pPr>
              <w:rPr>
                <w:rFonts w:ascii="Arial" w:hAnsi="Arial" w:cs="Arial"/>
                <w:color w:val="222222"/>
                <w:sz w:val="20"/>
                <w:szCs w:val="20"/>
              </w:rPr>
            </w:pPr>
            <w:r w:rsidRPr="00216D82">
              <w:rPr>
                <w:rFonts w:ascii="Arial" w:hAnsi="Arial" w:cs="Arial"/>
                <w:sz w:val="20"/>
                <w:szCs w:val="20"/>
              </w:rPr>
              <w:t>19%</w:t>
            </w:r>
          </w:p>
        </w:tc>
        <w:tc>
          <w:tcPr>
            <w:tcW w:w="650" w:type="pct"/>
          </w:tcPr>
          <w:p w14:paraId="773D5F9B" w14:textId="16124D39" w:rsidR="000449F6" w:rsidRPr="00216D82" w:rsidRDefault="000449F6" w:rsidP="000449F6">
            <w:pPr>
              <w:rPr>
                <w:rFonts w:ascii="Arial" w:hAnsi="Arial" w:cs="Arial"/>
                <w:sz w:val="20"/>
                <w:szCs w:val="20"/>
              </w:rPr>
            </w:pPr>
            <w:r w:rsidRPr="00084D79">
              <w:rPr>
                <w:rFonts w:ascii="Arial" w:hAnsi="Arial" w:cs="Arial"/>
                <w:sz w:val="20"/>
                <w:szCs w:val="20"/>
              </w:rPr>
              <w:t>&lt;1%</w:t>
            </w:r>
          </w:p>
        </w:tc>
        <w:tc>
          <w:tcPr>
            <w:tcW w:w="325" w:type="pct"/>
            <w:hideMark/>
          </w:tcPr>
          <w:p w14:paraId="0889BE6A" w14:textId="637BD4A4" w:rsidR="000449F6" w:rsidRPr="00216D82" w:rsidRDefault="000449F6" w:rsidP="000449F6">
            <w:pPr>
              <w:rPr>
                <w:rFonts w:ascii="Arial" w:hAnsi="Arial" w:cs="Arial"/>
                <w:color w:val="222222"/>
                <w:sz w:val="20"/>
                <w:szCs w:val="20"/>
              </w:rPr>
            </w:pPr>
            <w:r w:rsidRPr="00216D82">
              <w:rPr>
                <w:rFonts w:ascii="Arial" w:hAnsi="Arial" w:cs="Arial"/>
                <w:sz w:val="20"/>
                <w:szCs w:val="20"/>
              </w:rPr>
              <w:t>64%</w:t>
            </w:r>
          </w:p>
        </w:tc>
        <w:tc>
          <w:tcPr>
            <w:tcW w:w="506" w:type="pct"/>
          </w:tcPr>
          <w:p w14:paraId="275A9AC9" w14:textId="3BFC8C63" w:rsidR="000449F6" w:rsidRPr="00216D82" w:rsidRDefault="000449F6" w:rsidP="000449F6">
            <w:pPr>
              <w:rPr>
                <w:rFonts w:ascii="Arial" w:hAnsi="Arial" w:cs="Arial"/>
                <w:sz w:val="20"/>
                <w:szCs w:val="20"/>
              </w:rPr>
            </w:pPr>
            <w:r w:rsidRPr="00216D82">
              <w:rPr>
                <w:rFonts w:ascii="Arial" w:hAnsi="Arial" w:cs="Arial"/>
                <w:sz w:val="20"/>
                <w:szCs w:val="20"/>
              </w:rPr>
              <w:t>6%</w:t>
            </w:r>
          </w:p>
        </w:tc>
        <w:tc>
          <w:tcPr>
            <w:tcW w:w="361" w:type="pct"/>
          </w:tcPr>
          <w:p w14:paraId="59F0E649" w14:textId="0D92D546" w:rsidR="000449F6" w:rsidRPr="00216D82" w:rsidRDefault="000449F6" w:rsidP="000449F6">
            <w:pPr>
              <w:rPr>
                <w:rFonts w:ascii="Arial" w:hAnsi="Arial" w:cs="Arial"/>
                <w:sz w:val="20"/>
                <w:szCs w:val="20"/>
              </w:rPr>
            </w:pPr>
            <w:r w:rsidRPr="00216D82">
              <w:rPr>
                <w:rFonts w:ascii="Arial" w:hAnsi="Arial" w:cs="Arial"/>
                <w:sz w:val="20"/>
                <w:szCs w:val="20"/>
              </w:rPr>
              <w:t>52%</w:t>
            </w:r>
          </w:p>
        </w:tc>
        <w:tc>
          <w:tcPr>
            <w:tcW w:w="436" w:type="pct"/>
          </w:tcPr>
          <w:p w14:paraId="09BF737C" w14:textId="60516B6A" w:rsidR="000449F6" w:rsidRPr="00216D82" w:rsidRDefault="000449F6" w:rsidP="000449F6">
            <w:pPr>
              <w:rPr>
                <w:rFonts w:ascii="Arial" w:hAnsi="Arial" w:cs="Arial"/>
                <w:sz w:val="20"/>
                <w:szCs w:val="20"/>
              </w:rPr>
            </w:pPr>
            <w:r w:rsidRPr="00216D82">
              <w:rPr>
                <w:rFonts w:ascii="Arial" w:hAnsi="Arial" w:cs="Arial"/>
                <w:sz w:val="20"/>
                <w:szCs w:val="20"/>
              </w:rPr>
              <w:t>11%</w:t>
            </w:r>
          </w:p>
        </w:tc>
      </w:tr>
    </w:tbl>
    <w:p w14:paraId="69829587" w14:textId="5EE26403" w:rsidR="00216D82" w:rsidRPr="00216D82" w:rsidRDefault="00216D82" w:rsidP="00216D82">
      <w:pPr>
        <w:rPr>
          <w:rFonts w:ascii="Arial" w:hAnsi="Arial" w:cs="Arial"/>
          <w:sz w:val="20"/>
          <w:szCs w:val="20"/>
        </w:rPr>
      </w:pPr>
      <w:r w:rsidRPr="00216D82">
        <w:rPr>
          <w:rFonts w:ascii="Arial" w:hAnsi="Arial" w:cs="Arial"/>
          <w:sz w:val="20"/>
          <w:szCs w:val="20"/>
        </w:rPr>
        <w:t>* Table Data Source: National Center for Educational Statistics. School directory data (2017 -2018) School Demographic data (2016 -2017)</w:t>
      </w:r>
    </w:p>
    <w:p w14:paraId="51AF3ECC" w14:textId="29C1A689" w:rsidR="00216D82" w:rsidRPr="00216D82" w:rsidRDefault="00216D82" w:rsidP="00216D82">
      <w:pPr>
        <w:rPr>
          <w:rFonts w:ascii="Arial" w:hAnsi="Arial" w:cs="Arial"/>
          <w:sz w:val="20"/>
          <w:szCs w:val="20"/>
        </w:rPr>
      </w:pPr>
      <w:r w:rsidRPr="00216D82">
        <w:rPr>
          <w:rFonts w:ascii="Arial" w:hAnsi="Arial" w:cs="Arial"/>
          <w:sz w:val="20"/>
          <w:szCs w:val="20"/>
        </w:rPr>
        <w:t>** Missing data (Data unavailable in NCES 2016- 2017 data and unavailable in the FY 2019 State B Department of Education Database)</w:t>
      </w:r>
    </w:p>
    <w:p w14:paraId="2BA58484" w14:textId="051EB17C" w:rsidR="00C25AED" w:rsidRDefault="00C25AED" w:rsidP="002262A7">
      <w:pPr>
        <w:pStyle w:val="OMBbodytext"/>
      </w:pPr>
    </w:p>
    <w:p w14:paraId="63A2573D" w14:textId="1A688FC7" w:rsidR="00216D82" w:rsidRPr="0081411B" w:rsidRDefault="00216D82" w:rsidP="00216D82">
      <w:pPr>
        <w:pStyle w:val="OMBbodytext"/>
      </w:pPr>
    </w:p>
    <w:p w14:paraId="7E84AB0C" w14:textId="77777777" w:rsidR="00D24A2A" w:rsidRDefault="00D24A2A" w:rsidP="0081411B">
      <w:pPr>
        <w:pStyle w:val="OMBheading-1"/>
        <w:ind w:left="360" w:hanging="360"/>
        <w:outlineLvl w:val="1"/>
        <w:sectPr w:rsidR="00D24A2A" w:rsidSect="00CC6245">
          <w:pgSz w:w="15840" w:h="12240" w:orient="landscape"/>
          <w:pgMar w:top="1440" w:right="1440" w:bottom="1440" w:left="1440" w:header="720" w:footer="720" w:gutter="0"/>
          <w:cols w:space="720"/>
          <w:titlePg/>
          <w:docGrid w:linePitch="360"/>
        </w:sectPr>
      </w:pPr>
      <w:bookmarkStart w:id="28" w:name="_Toc523339233"/>
    </w:p>
    <w:p w14:paraId="7C1A50C8" w14:textId="7E0AC717" w:rsidR="00D4449D" w:rsidRPr="00933EF1" w:rsidRDefault="00D4449D" w:rsidP="0081411B">
      <w:pPr>
        <w:pStyle w:val="OMBheading-1"/>
        <w:ind w:left="360" w:hanging="360"/>
        <w:outlineLvl w:val="1"/>
      </w:pPr>
      <w:bookmarkStart w:id="29" w:name="_Toc8284040"/>
      <w:r w:rsidRPr="00933EF1">
        <w:t>B2.</w:t>
      </w:r>
      <w:r w:rsidRPr="00933EF1">
        <w:tab/>
        <w:t>Procedures for the Collection of Information</w:t>
      </w:r>
      <w:bookmarkEnd w:id="22"/>
      <w:bookmarkEnd w:id="23"/>
      <w:bookmarkEnd w:id="24"/>
      <w:bookmarkEnd w:id="25"/>
      <w:bookmarkEnd w:id="28"/>
      <w:bookmarkEnd w:id="29"/>
      <w:r w:rsidRPr="00933EF1">
        <w:t xml:space="preserve"> </w:t>
      </w:r>
    </w:p>
    <w:p w14:paraId="29BA915C" w14:textId="49A18640" w:rsidR="00384305" w:rsidRPr="0081411B" w:rsidRDefault="00384305" w:rsidP="0081411B">
      <w:pPr>
        <w:pStyle w:val="OMBHeading-20"/>
        <w:ind w:left="720" w:hanging="360"/>
        <w:outlineLvl w:val="1"/>
        <w:rPr>
          <w:u w:val="single"/>
        </w:rPr>
      </w:pPr>
      <w:bookmarkStart w:id="30" w:name="_Toc523339234"/>
      <w:bookmarkStart w:id="31" w:name="_Toc2955854"/>
      <w:bookmarkStart w:id="32" w:name="_Toc8284041"/>
      <w:r w:rsidRPr="0081411B">
        <w:rPr>
          <w:u w:val="single"/>
        </w:rPr>
        <w:t xml:space="preserve">Parental </w:t>
      </w:r>
      <w:r w:rsidR="007D091C" w:rsidRPr="0081411B">
        <w:rPr>
          <w:u w:val="single"/>
        </w:rPr>
        <w:t>Consent</w:t>
      </w:r>
      <w:r w:rsidRPr="0081411B">
        <w:rPr>
          <w:u w:val="single"/>
        </w:rPr>
        <w:t xml:space="preserve"> and </w:t>
      </w:r>
      <w:r w:rsidR="007D091C" w:rsidRPr="0081411B">
        <w:rPr>
          <w:u w:val="single"/>
        </w:rPr>
        <w:t>Youth</w:t>
      </w:r>
      <w:r w:rsidRPr="0081411B">
        <w:rPr>
          <w:u w:val="single"/>
        </w:rPr>
        <w:t xml:space="preserve"> </w:t>
      </w:r>
      <w:r w:rsidR="007D091C" w:rsidRPr="0081411B">
        <w:rPr>
          <w:u w:val="single"/>
        </w:rPr>
        <w:t>Assent</w:t>
      </w:r>
      <w:bookmarkEnd w:id="30"/>
      <w:bookmarkEnd w:id="31"/>
      <w:bookmarkEnd w:id="32"/>
    </w:p>
    <w:p w14:paraId="7BE87F5F" w14:textId="6AFAB0F4" w:rsidR="00384305" w:rsidRDefault="00384305" w:rsidP="0033623E">
      <w:pPr>
        <w:pStyle w:val="OMBbodytext"/>
      </w:pPr>
      <w:r w:rsidRPr="002806F0">
        <w:t xml:space="preserve">The </w:t>
      </w:r>
      <w:r>
        <w:t>study team</w:t>
      </w:r>
      <w:r w:rsidRPr="002806F0">
        <w:t xml:space="preserve"> will provide each participating </w:t>
      </w:r>
      <w:r w:rsidR="00967107">
        <w:t>school</w:t>
      </w:r>
      <w:r w:rsidR="00967107" w:rsidRPr="002806F0">
        <w:t xml:space="preserve"> </w:t>
      </w:r>
      <w:r w:rsidRPr="002806F0">
        <w:t xml:space="preserve">with parental </w:t>
      </w:r>
      <w:r w:rsidR="0099202C">
        <w:t>consent</w:t>
      </w:r>
      <w:r w:rsidRPr="002806F0">
        <w:t xml:space="preserve"> forms to be distributed by the classroom teacher or other </w:t>
      </w:r>
      <w:r w:rsidR="00967107">
        <w:t>school</w:t>
      </w:r>
      <w:r w:rsidR="00967107" w:rsidRPr="002806F0">
        <w:t xml:space="preserve"> </w:t>
      </w:r>
      <w:r w:rsidRPr="002806F0">
        <w:t xml:space="preserve">staff. </w:t>
      </w:r>
      <w:r w:rsidR="0099202C">
        <w:t>Consent</w:t>
      </w:r>
      <w:r w:rsidRPr="002806F0">
        <w:t xml:space="preserve"> forms will be </w:t>
      </w:r>
      <w:r w:rsidRPr="00397E6F">
        <w:t xml:space="preserve">double-sided. </w:t>
      </w:r>
      <w:r>
        <w:t>The parental consent form</w:t>
      </w:r>
      <w:r w:rsidR="006D738E">
        <w:t xml:space="preserve"> i</w:t>
      </w:r>
      <w:r w:rsidR="001D630C">
        <w:t>s</w:t>
      </w:r>
      <w:r>
        <w:t xml:space="preserve"> </w:t>
      </w:r>
      <w:r w:rsidRPr="006274F8">
        <w:rPr>
          <w:bCs/>
        </w:rPr>
        <w:t xml:space="preserve">provided </w:t>
      </w:r>
      <w:r w:rsidR="00214B5F">
        <w:rPr>
          <w:bCs/>
        </w:rPr>
        <w:t>in</w:t>
      </w:r>
      <w:r w:rsidRPr="006274F8">
        <w:rPr>
          <w:b/>
          <w:bCs/>
        </w:rPr>
        <w:t xml:space="preserve"> </w:t>
      </w:r>
      <w:r w:rsidR="00534F0F" w:rsidRPr="00FC6B7B">
        <w:rPr>
          <w:b/>
          <w:bCs/>
        </w:rPr>
        <w:t>Appendix A</w:t>
      </w:r>
      <w:r w:rsidRPr="00FC6B7B">
        <w:rPr>
          <w:bCs/>
        </w:rPr>
        <w:t>.</w:t>
      </w:r>
      <w:r w:rsidR="009265C5" w:rsidRPr="00FC6B7B">
        <w:rPr>
          <w:b/>
          <w:bCs/>
        </w:rPr>
        <w:t xml:space="preserve"> </w:t>
      </w:r>
      <w:r w:rsidR="007804A7" w:rsidRPr="007804A7">
        <w:rPr>
          <w:bCs/>
        </w:rPr>
        <w:t>The consent forms will be tailored for the schools being served by each IO.</w:t>
      </w:r>
      <w:r w:rsidR="009265C5" w:rsidRPr="002262A7">
        <w:t xml:space="preserve"> </w:t>
      </w:r>
      <w:r w:rsidR="002A3743" w:rsidRPr="00FC6B7B">
        <w:rPr>
          <w:bCs/>
          <w:szCs w:val="24"/>
        </w:rPr>
        <w:t>A</w:t>
      </w:r>
      <w:r w:rsidR="002A3743">
        <w:rPr>
          <w:bCs/>
          <w:szCs w:val="24"/>
        </w:rPr>
        <w:t>pproximately</w:t>
      </w:r>
      <w:r w:rsidRPr="00D13531">
        <w:rPr>
          <w:szCs w:val="24"/>
        </w:rPr>
        <w:t xml:space="preserve"> 4</w:t>
      </w:r>
      <w:r w:rsidR="00754BB2" w:rsidRPr="00D13531">
        <w:rPr>
          <w:szCs w:val="24"/>
        </w:rPr>
        <w:t> </w:t>
      </w:r>
      <w:r w:rsidRPr="00D13531">
        <w:rPr>
          <w:szCs w:val="24"/>
        </w:rPr>
        <w:t xml:space="preserve">weeks </w:t>
      </w:r>
      <w:r w:rsidR="009A1ECE" w:rsidRPr="00D13531">
        <w:rPr>
          <w:szCs w:val="24"/>
        </w:rPr>
        <w:t>before</w:t>
      </w:r>
      <w:r w:rsidRPr="00D13531">
        <w:rPr>
          <w:szCs w:val="24"/>
        </w:rPr>
        <w:t xml:space="preserve"> the baseline survey date,</w:t>
      </w:r>
      <w:r w:rsidRPr="00D13531">
        <w:rPr>
          <w:bCs/>
          <w:szCs w:val="24"/>
        </w:rPr>
        <w:t xml:space="preserve"> the y</w:t>
      </w:r>
      <w:r w:rsidRPr="00D13531">
        <w:rPr>
          <w:szCs w:val="24"/>
        </w:rPr>
        <w:t xml:space="preserve">outh’s classroom teacher </w:t>
      </w:r>
      <w:r w:rsidR="000850CA" w:rsidRPr="00D13531">
        <w:rPr>
          <w:szCs w:val="24"/>
        </w:rPr>
        <w:t xml:space="preserve">or other </w:t>
      </w:r>
      <w:r w:rsidR="00F25CF4">
        <w:rPr>
          <w:szCs w:val="24"/>
        </w:rPr>
        <w:t>school</w:t>
      </w:r>
      <w:r w:rsidR="00F25CF4" w:rsidRPr="00D13531">
        <w:rPr>
          <w:szCs w:val="24"/>
        </w:rPr>
        <w:t xml:space="preserve"> </w:t>
      </w:r>
      <w:r w:rsidR="000850CA" w:rsidRPr="00D13531">
        <w:rPr>
          <w:szCs w:val="24"/>
        </w:rPr>
        <w:t>staff</w:t>
      </w:r>
      <w:r w:rsidR="000850CA">
        <w:t xml:space="preserve"> </w:t>
      </w:r>
      <w:r w:rsidRPr="002806F0">
        <w:t>will give</w:t>
      </w:r>
      <w:r>
        <w:t xml:space="preserve"> the youth</w:t>
      </w:r>
      <w:r w:rsidRPr="002806F0">
        <w:t xml:space="preserve"> a parental </w:t>
      </w:r>
      <w:r>
        <w:t>consent</w:t>
      </w:r>
      <w:r w:rsidRPr="002806F0">
        <w:t xml:space="preserve"> form to take home.</w:t>
      </w:r>
      <w:r w:rsidR="003642B6">
        <w:t xml:space="preserve"> </w:t>
      </w:r>
      <w:r w:rsidRPr="00402F91">
        <w:rPr>
          <w:bCs/>
        </w:rPr>
        <w:t xml:space="preserve">The form </w:t>
      </w:r>
      <w:r>
        <w:t>explain</w:t>
      </w:r>
      <w:r w:rsidR="00534F0F">
        <w:t>s</w:t>
      </w:r>
      <w:r>
        <w:t xml:space="preserve"> the evaluation and requests the parent to </w:t>
      </w:r>
      <w:r w:rsidR="00946735">
        <w:t xml:space="preserve">sign the form </w:t>
      </w:r>
      <w:r w:rsidR="00E71FD0">
        <w:t>and have the</w:t>
      </w:r>
      <w:r w:rsidR="00293A27">
        <w:t xml:space="preserve"> youth</w:t>
      </w:r>
      <w:r w:rsidR="00E71FD0">
        <w:t xml:space="preserve"> return it to the classroom teacher or other </w:t>
      </w:r>
      <w:r w:rsidR="00F25CF4">
        <w:t xml:space="preserve">school </w:t>
      </w:r>
      <w:r w:rsidR="00E71FD0">
        <w:t>staff</w:t>
      </w:r>
      <w:r>
        <w:t>.</w:t>
      </w:r>
      <w:r w:rsidRPr="00402F91">
        <w:t xml:space="preserve"> </w:t>
      </w:r>
      <w:r w:rsidR="00D13531" w:rsidRPr="00D13531">
        <w:rPr>
          <w:szCs w:val="24"/>
        </w:rPr>
        <w:t xml:space="preserve">To facilitate improved response rates, the study team will work with the IOs and their partner schools to provide parent consent forms in packets sent home to parents at the beginning of the school year (or over the summer). Teachers or school staff will </w:t>
      </w:r>
      <w:r w:rsidR="0029371F">
        <w:rPr>
          <w:szCs w:val="24"/>
        </w:rPr>
        <w:t xml:space="preserve">also </w:t>
      </w:r>
      <w:r w:rsidR="00D13531" w:rsidRPr="00D13531">
        <w:rPr>
          <w:szCs w:val="24"/>
        </w:rPr>
        <w:t>distribute parent consent forms to participating youth to take home, or to parents during orientation or other in-person events such as parent meetings.</w:t>
      </w:r>
    </w:p>
    <w:p w14:paraId="1FF0C744" w14:textId="0C8BF143" w:rsidR="00384305" w:rsidRDefault="00384305" w:rsidP="0033623E">
      <w:pPr>
        <w:pStyle w:val="OMBbodytext"/>
      </w:pPr>
      <w:r w:rsidRPr="002806F0">
        <w:t xml:space="preserve">The consent form will ask parents to consent to </w:t>
      </w:r>
      <w:r w:rsidR="006E6615">
        <w:t xml:space="preserve">the </w:t>
      </w:r>
      <w:r w:rsidRPr="002806F0">
        <w:t>baseline</w:t>
      </w:r>
      <w:r w:rsidR="00D13531">
        <w:t xml:space="preserve"> and </w:t>
      </w:r>
      <w:r w:rsidRPr="002806F0">
        <w:t>follow-up</w:t>
      </w:r>
      <w:r w:rsidR="00D13531">
        <w:t xml:space="preserve"> surveys</w:t>
      </w:r>
      <w:r w:rsidRPr="002806F0">
        <w:t xml:space="preserve">, so the forms will need to be distributed </w:t>
      </w:r>
      <w:r w:rsidR="00293A27" w:rsidRPr="002806F0">
        <w:t xml:space="preserve">only </w:t>
      </w:r>
      <w:r w:rsidRPr="002806F0">
        <w:t xml:space="preserve">once, </w:t>
      </w:r>
      <w:r w:rsidR="00D86093">
        <w:t>before the</w:t>
      </w:r>
      <w:r w:rsidRPr="002806F0">
        <w:t xml:space="preserve"> baseline</w:t>
      </w:r>
      <w:r w:rsidR="00D86093">
        <w:t xml:space="preserve"> survey</w:t>
      </w:r>
      <w:r w:rsidRPr="002806F0">
        <w:t xml:space="preserve">. </w:t>
      </w:r>
    </w:p>
    <w:p w14:paraId="298C6C2E" w14:textId="53AA2961" w:rsidR="009D5E98" w:rsidRPr="008F2D82" w:rsidRDefault="009B5D59" w:rsidP="0033623E">
      <w:pPr>
        <w:pStyle w:val="ombbodytext0"/>
      </w:pPr>
      <w:bookmarkStart w:id="33" w:name="_Hlk523325087"/>
      <w:r w:rsidRPr="00102205">
        <w:t xml:space="preserve">Youth will provide </w:t>
      </w:r>
      <w:r w:rsidR="006D1C54">
        <w:t>written</w:t>
      </w:r>
      <w:r w:rsidR="006D1C54" w:rsidRPr="00102205">
        <w:t xml:space="preserve"> </w:t>
      </w:r>
      <w:r w:rsidRPr="00102205">
        <w:t xml:space="preserve">assent to </w:t>
      </w:r>
      <w:r w:rsidR="00F75195" w:rsidRPr="00102205">
        <w:t xml:space="preserve">participate in the evaluation. </w:t>
      </w:r>
      <w:r w:rsidR="009A1ECE" w:rsidRPr="00102205">
        <w:t>The</w:t>
      </w:r>
      <w:r w:rsidR="00D07186">
        <w:t xml:space="preserve"> youth a</w:t>
      </w:r>
      <w:r w:rsidR="009A1ECE" w:rsidRPr="00102205">
        <w:t>s</w:t>
      </w:r>
      <w:r w:rsidR="00D07186">
        <w:t>s</w:t>
      </w:r>
      <w:r w:rsidR="009A1ECE" w:rsidRPr="00102205">
        <w:t>e</w:t>
      </w:r>
      <w:r w:rsidR="00D07186">
        <w:t>nt</w:t>
      </w:r>
      <w:r w:rsidR="009A1ECE" w:rsidRPr="00102205">
        <w:t xml:space="preserve"> form</w:t>
      </w:r>
      <w:r w:rsidR="00D07186">
        <w:t xml:space="preserve"> i</w:t>
      </w:r>
      <w:r w:rsidR="009A1ECE" w:rsidRPr="00102205">
        <w:t xml:space="preserve">s </w:t>
      </w:r>
      <w:r w:rsidR="009A1ECE" w:rsidRPr="00102205">
        <w:rPr>
          <w:bCs/>
        </w:rPr>
        <w:t xml:space="preserve">provided </w:t>
      </w:r>
      <w:r w:rsidR="009A1ECE" w:rsidRPr="00726570">
        <w:rPr>
          <w:bCs/>
        </w:rPr>
        <w:t>in</w:t>
      </w:r>
      <w:r w:rsidR="009A1ECE" w:rsidRPr="00726570">
        <w:rPr>
          <w:b/>
          <w:bCs/>
          <w:i/>
        </w:rPr>
        <w:t xml:space="preserve"> </w:t>
      </w:r>
      <w:r w:rsidR="00534F0F" w:rsidRPr="00726570">
        <w:rPr>
          <w:b/>
          <w:bCs/>
        </w:rPr>
        <w:t>Appendix B.</w:t>
      </w:r>
      <w:r w:rsidR="009A1ECE" w:rsidRPr="00726570">
        <w:rPr>
          <w:b/>
          <w:bCs/>
        </w:rPr>
        <w:t xml:space="preserve"> </w:t>
      </w:r>
      <w:r w:rsidRPr="00726570">
        <w:t xml:space="preserve">The </w:t>
      </w:r>
      <w:r w:rsidR="00784D0C" w:rsidRPr="00726570">
        <w:t>study staff</w:t>
      </w:r>
      <w:r w:rsidRPr="00726570">
        <w:t xml:space="preserve"> will distribute the a</w:t>
      </w:r>
      <w:r w:rsidR="00F75195" w:rsidRPr="00726570">
        <w:t xml:space="preserve">ssent form to the youth </w:t>
      </w:r>
      <w:r w:rsidRPr="00726570">
        <w:t xml:space="preserve">who have parental consent before the baseline </w:t>
      </w:r>
      <w:r w:rsidR="00F74330" w:rsidRPr="00726570">
        <w:t xml:space="preserve">and follow-up </w:t>
      </w:r>
      <w:r w:rsidRPr="00726570">
        <w:t>survey</w:t>
      </w:r>
      <w:r w:rsidR="00F74330" w:rsidRPr="00726570">
        <w:t>s</w:t>
      </w:r>
      <w:r w:rsidRPr="00726570">
        <w:t xml:space="preserve">. The youth will read along while the </w:t>
      </w:r>
      <w:r w:rsidR="00784D0C" w:rsidRPr="00726570">
        <w:t xml:space="preserve">study staff </w:t>
      </w:r>
      <w:r w:rsidRPr="00726570">
        <w:t>reads aloud.</w:t>
      </w:r>
      <w:r w:rsidR="009265C5" w:rsidRPr="00726570">
        <w:t xml:space="preserve"> </w:t>
      </w:r>
      <w:r w:rsidRPr="00726570">
        <w:t xml:space="preserve">Any youth who do not </w:t>
      </w:r>
      <w:r w:rsidR="007942E7" w:rsidRPr="00726570">
        <w:t>assent</w:t>
      </w:r>
      <w:r w:rsidR="007942E7">
        <w:t xml:space="preserve"> to participate</w:t>
      </w:r>
      <w:r w:rsidRPr="00102205">
        <w:t xml:space="preserve"> will be given an </w:t>
      </w:r>
      <w:r w:rsidRPr="008F2D82">
        <w:t xml:space="preserve">alternative task that the teacher or other </w:t>
      </w:r>
      <w:r w:rsidR="00F25CF4">
        <w:t>school</w:t>
      </w:r>
      <w:r w:rsidR="00F25CF4" w:rsidRPr="008F2D82">
        <w:t xml:space="preserve"> </w:t>
      </w:r>
      <w:r w:rsidRPr="008F2D82">
        <w:t xml:space="preserve">staff has identified for that class ahead of time. </w:t>
      </w:r>
    </w:p>
    <w:p w14:paraId="56CF9931" w14:textId="77777777" w:rsidR="00854C5F" w:rsidRDefault="00854C5F" w:rsidP="00854C5F">
      <w:pPr>
        <w:pStyle w:val="ombbodytext0"/>
      </w:pPr>
      <w:bookmarkStart w:id="34" w:name="_Toc523339236"/>
      <w:bookmarkEnd w:id="33"/>
      <w:r w:rsidRPr="008F2D82">
        <w:t>Before the follow-up survey and the process evaluation participant survey, data collectors will review the portions of the assent that are relevant to those surveys and provide youth the opportunity to opt out if they do not want to participate.</w:t>
      </w:r>
    </w:p>
    <w:p w14:paraId="51DC5890" w14:textId="70C24F53" w:rsidR="00D4441D" w:rsidRPr="0081411B" w:rsidRDefault="00926742" w:rsidP="0081411B">
      <w:pPr>
        <w:pStyle w:val="OMBHeading-20"/>
        <w:ind w:left="720" w:hanging="360"/>
        <w:outlineLvl w:val="1"/>
        <w:rPr>
          <w:u w:val="single"/>
        </w:rPr>
      </w:pPr>
      <w:bookmarkStart w:id="35" w:name="_Toc2955855"/>
      <w:bookmarkStart w:id="36" w:name="_Toc8284042"/>
      <w:r w:rsidRPr="00ED7965">
        <w:rPr>
          <w:u w:val="single"/>
        </w:rPr>
        <w:t xml:space="preserve">Youth </w:t>
      </w:r>
      <w:r w:rsidR="00EF4B40" w:rsidRPr="0081411B">
        <w:rPr>
          <w:u w:val="single"/>
        </w:rPr>
        <w:t>B</w:t>
      </w:r>
      <w:r w:rsidR="00A576FC" w:rsidRPr="0081411B">
        <w:rPr>
          <w:u w:val="single"/>
        </w:rPr>
        <w:t xml:space="preserve">aseline and </w:t>
      </w:r>
      <w:r w:rsidR="007D091C" w:rsidRPr="0081411B">
        <w:rPr>
          <w:u w:val="single"/>
        </w:rPr>
        <w:t>Follow</w:t>
      </w:r>
      <w:r w:rsidR="00A576FC" w:rsidRPr="0081411B">
        <w:rPr>
          <w:u w:val="single"/>
        </w:rPr>
        <w:t xml:space="preserve">-up </w:t>
      </w:r>
      <w:r w:rsidR="007B0957" w:rsidRPr="00ED7965">
        <w:rPr>
          <w:u w:val="single"/>
        </w:rPr>
        <w:t xml:space="preserve">Outcome </w:t>
      </w:r>
      <w:r w:rsidR="007D091C" w:rsidRPr="0081411B">
        <w:rPr>
          <w:u w:val="single"/>
        </w:rPr>
        <w:t>Surveys</w:t>
      </w:r>
      <w:bookmarkEnd w:id="34"/>
      <w:bookmarkEnd w:id="35"/>
      <w:bookmarkEnd w:id="36"/>
      <w:r w:rsidR="00EF4B40" w:rsidRPr="0081411B">
        <w:rPr>
          <w:u w:val="single"/>
        </w:rPr>
        <w:t xml:space="preserve"> </w:t>
      </w:r>
    </w:p>
    <w:p w14:paraId="3FF50F87" w14:textId="51F991E6" w:rsidR="004A4A08" w:rsidRDefault="00EF4B40" w:rsidP="0033623E">
      <w:pPr>
        <w:pStyle w:val="OMBbodytext"/>
      </w:pPr>
      <w:r w:rsidRPr="00ED33CD">
        <w:t xml:space="preserve">The </w:t>
      </w:r>
      <w:r w:rsidR="007B0957">
        <w:t xml:space="preserve">youth </w:t>
      </w:r>
      <w:r w:rsidRPr="00ED33CD">
        <w:t xml:space="preserve">baseline and follow-up </w:t>
      </w:r>
      <w:r w:rsidR="007B0957">
        <w:t xml:space="preserve">outcome </w:t>
      </w:r>
      <w:r w:rsidRPr="00ED33CD">
        <w:t>surveys</w:t>
      </w:r>
      <w:r w:rsidR="00A576FC" w:rsidRPr="00ED33CD">
        <w:t xml:space="preserve"> will be </w:t>
      </w:r>
      <w:r w:rsidR="000D0451">
        <w:t xml:space="preserve">in </w:t>
      </w:r>
      <w:r w:rsidR="00217412" w:rsidRPr="00ED33CD">
        <w:t xml:space="preserve">paper-and-pencil </w:t>
      </w:r>
      <w:r w:rsidR="000D0451">
        <w:t xml:space="preserve">form </w:t>
      </w:r>
      <w:r w:rsidR="00217412" w:rsidRPr="00ED33CD">
        <w:t xml:space="preserve">and will be </w:t>
      </w:r>
      <w:r w:rsidR="00A576FC" w:rsidRPr="00ED33CD">
        <w:t xml:space="preserve">administered in </w:t>
      </w:r>
      <w:r w:rsidR="00324CC6">
        <w:t>school settings (e.g., classroom, library, cafeteria)</w:t>
      </w:r>
      <w:r w:rsidR="00D13531">
        <w:t xml:space="preserve"> during the school day. </w:t>
      </w:r>
      <w:r w:rsidR="00C3502A">
        <w:rPr>
          <w:bCs/>
        </w:rPr>
        <w:t>The questionnaire</w:t>
      </w:r>
      <w:r w:rsidR="00C925B5">
        <w:rPr>
          <w:bCs/>
        </w:rPr>
        <w:t>s</w:t>
      </w:r>
      <w:r w:rsidR="00C3502A">
        <w:rPr>
          <w:bCs/>
        </w:rPr>
        <w:t>, along with an intro</w:t>
      </w:r>
      <w:r w:rsidR="00C925B5">
        <w:rPr>
          <w:bCs/>
        </w:rPr>
        <w:t>duction</w:t>
      </w:r>
      <w:r w:rsidR="00D77F08">
        <w:rPr>
          <w:bCs/>
        </w:rPr>
        <w:t>,</w:t>
      </w:r>
      <w:r w:rsidR="00C925B5">
        <w:rPr>
          <w:bCs/>
        </w:rPr>
        <w:t xml:space="preserve"> are</w:t>
      </w:r>
      <w:r w:rsidR="00C3502A">
        <w:rPr>
          <w:bCs/>
        </w:rPr>
        <w:t xml:space="preserve"> provided as </w:t>
      </w:r>
      <w:r w:rsidR="00C3502A" w:rsidRPr="009B466F">
        <w:rPr>
          <w:b/>
          <w:bCs/>
        </w:rPr>
        <w:t>A</w:t>
      </w:r>
      <w:r w:rsidR="00534F0F" w:rsidRPr="009B466F">
        <w:rPr>
          <w:b/>
          <w:bCs/>
        </w:rPr>
        <w:t xml:space="preserve">ppendices </w:t>
      </w:r>
      <w:r w:rsidR="00F4298F" w:rsidRPr="009B466F">
        <w:rPr>
          <w:b/>
          <w:bCs/>
        </w:rPr>
        <w:t>I</w:t>
      </w:r>
      <w:r w:rsidR="009B466F">
        <w:rPr>
          <w:b/>
          <w:bCs/>
        </w:rPr>
        <w:t xml:space="preserve"> </w:t>
      </w:r>
      <w:r w:rsidR="009B466F" w:rsidRPr="0081411B">
        <w:rPr>
          <w:b/>
        </w:rPr>
        <w:t>and</w:t>
      </w:r>
      <w:r w:rsidR="005539BF" w:rsidRPr="009B466F">
        <w:rPr>
          <w:b/>
          <w:bCs/>
        </w:rPr>
        <w:t xml:space="preserve"> </w:t>
      </w:r>
      <w:r w:rsidR="00F4298F" w:rsidRPr="009B466F">
        <w:rPr>
          <w:b/>
          <w:bCs/>
        </w:rPr>
        <w:t>J</w:t>
      </w:r>
      <w:r w:rsidR="00E54700" w:rsidRPr="009B466F">
        <w:rPr>
          <w:bCs/>
        </w:rPr>
        <w:t>.</w:t>
      </w:r>
      <w:r w:rsidR="009265C5">
        <w:rPr>
          <w:bCs/>
        </w:rPr>
        <w:t xml:space="preserve"> </w:t>
      </w:r>
      <w:r w:rsidR="00E71FD0">
        <w:rPr>
          <w:bCs/>
        </w:rPr>
        <w:t>The</w:t>
      </w:r>
      <w:r w:rsidR="005539BF">
        <w:rPr>
          <w:bCs/>
        </w:rPr>
        <w:t xml:space="preserve"> </w:t>
      </w:r>
      <w:r w:rsidR="006704C2">
        <w:rPr>
          <w:bCs/>
        </w:rPr>
        <w:t xml:space="preserve">youth </w:t>
      </w:r>
      <w:r w:rsidR="005539BF">
        <w:rPr>
          <w:bCs/>
        </w:rPr>
        <w:t xml:space="preserve">baseline and follow-up </w:t>
      </w:r>
      <w:r w:rsidR="00926742">
        <w:rPr>
          <w:bCs/>
        </w:rPr>
        <w:t xml:space="preserve">outcome </w:t>
      </w:r>
      <w:r w:rsidR="005539BF">
        <w:rPr>
          <w:bCs/>
        </w:rPr>
        <w:t>surveys</w:t>
      </w:r>
      <w:r w:rsidR="00E71FD0">
        <w:rPr>
          <w:bCs/>
        </w:rPr>
        <w:t xml:space="preserve"> are </w:t>
      </w:r>
      <w:r w:rsidR="00E54700">
        <w:rPr>
          <w:bCs/>
        </w:rPr>
        <w:t xml:space="preserve">designed to take 30 minutes to complete. </w:t>
      </w:r>
      <w:r w:rsidR="00157CF8">
        <w:rPr>
          <w:bCs/>
        </w:rPr>
        <w:t xml:space="preserve">The baseline survey will be administered immediately </w:t>
      </w:r>
      <w:r w:rsidR="00157CF8">
        <w:t xml:space="preserve">(within a week) </w:t>
      </w:r>
      <w:r w:rsidR="00157CF8">
        <w:rPr>
          <w:bCs/>
        </w:rPr>
        <w:t>before the intervention begins, and t</w:t>
      </w:r>
      <w:r w:rsidR="00217412">
        <w:t xml:space="preserve">he follow-up survey will be administered </w:t>
      </w:r>
      <w:r w:rsidR="005539BF">
        <w:t>immediately (within a week)</w:t>
      </w:r>
      <w:r w:rsidR="00217412">
        <w:t xml:space="preserve"> after the </w:t>
      </w:r>
      <w:r w:rsidR="005539BF">
        <w:t>intervention is complete.</w:t>
      </w:r>
      <w:r w:rsidR="00217412">
        <w:t xml:space="preserve"> </w:t>
      </w:r>
    </w:p>
    <w:p w14:paraId="3C3FAD2E" w14:textId="62A877EC" w:rsidR="00EF4B40" w:rsidRDefault="00576921" w:rsidP="0033623E">
      <w:pPr>
        <w:pStyle w:val="OMBbodytext"/>
      </w:pPr>
      <w:r>
        <w:t xml:space="preserve">As part of planning for data collection, a staff person at each school will be identified to serve as </w:t>
      </w:r>
      <w:r w:rsidR="00D87741">
        <w:t xml:space="preserve">school </w:t>
      </w:r>
      <w:r>
        <w:t xml:space="preserve">liaison and assist the study team with logistics. </w:t>
      </w:r>
      <w:r w:rsidR="004A4A08" w:rsidRPr="00EE5B8A">
        <w:t xml:space="preserve">Study team field staff </w:t>
      </w:r>
      <w:r w:rsidR="008F78BC">
        <w:t>will be</w:t>
      </w:r>
      <w:r w:rsidR="00FE0D7D">
        <w:t xml:space="preserve"> </w:t>
      </w:r>
      <w:r>
        <w:t xml:space="preserve">hired and trained by RTI </w:t>
      </w:r>
      <w:r w:rsidR="000D0451">
        <w:t xml:space="preserve">International </w:t>
      </w:r>
      <w:r w:rsidR="001D630C">
        <w:t xml:space="preserve">(RTI) </w:t>
      </w:r>
      <w:r>
        <w:t xml:space="preserve">to work locally in assigned </w:t>
      </w:r>
      <w:r w:rsidR="005539BF">
        <w:t xml:space="preserve">schools </w:t>
      </w:r>
      <w:r w:rsidR="008F78BC">
        <w:t>and will be supervised by an RTI study team site coordinator at RTI’s headquarters. The study team field staff</w:t>
      </w:r>
      <w:r>
        <w:t xml:space="preserve"> </w:t>
      </w:r>
      <w:r w:rsidR="004A4A08" w:rsidRPr="00EE5B8A">
        <w:t xml:space="preserve">will administer the </w:t>
      </w:r>
      <w:r w:rsidR="001C5C17">
        <w:t xml:space="preserve">baseline and follow-up </w:t>
      </w:r>
      <w:r w:rsidR="004A4A08" w:rsidRPr="00EE5B8A">
        <w:t>surveys</w:t>
      </w:r>
      <w:r w:rsidR="007B1A3D">
        <w:t xml:space="preserve"> </w:t>
      </w:r>
      <w:bookmarkStart w:id="37" w:name="_Hlk519845724"/>
      <w:r w:rsidR="007B1A3D">
        <w:t xml:space="preserve">and will coordinate with IO staff and the </w:t>
      </w:r>
      <w:r w:rsidR="00272EDA">
        <w:t>site liaison</w:t>
      </w:r>
      <w:r w:rsidR="007B1A3D">
        <w:t>s to schedule the times for survey administration</w:t>
      </w:r>
      <w:r w:rsidR="004A4A08" w:rsidRPr="00EE5B8A">
        <w:t xml:space="preserve">. </w:t>
      </w:r>
      <w:bookmarkEnd w:id="37"/>
      <w:r w:rsidR="004A4A08" w:rsidRPr="00EE5B8A">
        <w:t xml:space="preserve">The </w:t>
      </w:r>
      <w:bookmarkStart w:id="38" w:name="_Hlk519849500"/>
      <w:r w:rsidR="00FA13E0">
        <w:t>s</w:t>
      </w:r>
      <w:r w:rsidR="004A4A08" w:rsidRPr="001C5C17">
        <w:t>tudy team field staff will</w:t>
      </w:r>
      <w:r w:rsidR="00FA13E0">
        <w:t xml:space="preserve"> follow</w:t>
      </w:r>
      <w:r w:rsidR="004A4A08" w:rsidRPr="001C5C17">
        <w:t xml:space="preserve"> all security protocols for entering the </w:t>
      </w:r>
      <w:r w:rsidR="005539BF">
        <w:t>school</w:t>
      </w:r>
      <w:r w:rsidR="005539BF" w:rsidRPr="001C5C17">
        <w:t xml:space="preserve"> </w:t>
      </w:r>
      <w:r w:rsidR="004A4A08" w:rsidRPr="001C5C17">
        <w:t xml:space="preserve">and </w:t>
      </w:r>
      <w:r w:rsidR="00E456C2">
        <w:t xml:space="preserve">will </w:t>
      </w:r>
      <w:bookmarkEnd w:id="38"/>
      <w:r w:rsidR="004A4A08" w:rsidRPr="001C5C17">
        <w:t xml:space="preserve">set up the survey </w:t>
      </w:r>
      <w:r w:rsidR="00E456C2" w:rsidRPr="001C5C17">
        <w:t>location</w:t>
      </w:r>
      <w:r w:rsidR="00FA13E0">
        <w:t xml:space="preserve">. </w:t>
      </w:r>
      <w:bookmarkStart w:id="39" w:name="_Hlk519849593"/>
      <w:r w:rsidR="00FA13E0">
        <w:t>T</w:t>
      </w:r>
      <w:r w:rsidR="004A4A08" w:rsidRPr="001C5C17">
        <w:t xml:space="preserve">he study team field staff </w:t>
      </w:r>
      <w:r w:rsidR="007B1A3D">
        <w:t xml:space="preserve">will </w:t>
      </w:r>
      <w:r w:rsidR="004A4A08" w:rsidRPr="001C5C17">
        <w:t xml:space="preserve">provide instructions </w:t>
      </w:r>
      <w:r w:rsidR="00FA13E0">
        <w:t xml:space="preserve">to the youth </w:t>
      </w:r>
      <w:r w:rsidR="004A4A08" w:rsidRPr="001C5C17">
        <w:t xml:space="preserve">for completing the survey, including </w:t>
      </w:r>
      <w:r w:rsidR="00E456C2">
        <w:t>steps to take</w:t>
      </w:r>
      <w:r w:rsidR="004A4A08" w:rsidRPr="001C5C17">
        <w:t xml:space="preserve"> once they have completed the survey (e.g., </w:t>
      </w:r>
      <w:r w:rsidR="001C5C17" w:rsidRPr="001C5C17">
        <w:t>placing</w:t>
      </w:r>
      <w:r w:rsidR="004A4A08" w:rsidRPr="001C5C17">
        <w:t xml:space="preserve"> the </w:t>
      </w:r>
      <w:r w:rsidR="001C5C17" w:rsidRPr="001C5C17">
        <w:t>questionnaire</w:t>
      </w:r>
      <w:r w:rsidR="000D0451">
        <w:t>s</w:t>
      </w:r>
      <w:r w:rsidR="004A4A08" w:rsidRPr="001C5C17">
        <w:t xml:space="preserve"> in </w:t>
      </w:r>
      <w:r w:rsidR="001C5C17" w:rsidRPr="001C5C17">
        <w:t>the envelope</w:t>
      </w:r>
      <w:r w:rsidR="000D0451">
        <w:t>s</w:t>
      </w:r>
      <w:r w:rsidR="001C5C17" w:rsidRPr="001C5C17">
        <w:t xml:space="preserve"> provided and leaving </w:t>
      </w:r>
      <w:r w:rsidR="000D0451">
        <w:t>them</w:t>
      </w:r>
      <w:r w:rsidR="000D0451" w:rsidRPr="001C5C17">
        <w:t xml:space="preserve"> </w:t>
      </w:r>
      <w:r w:rsidR="001C5C17" w:rsidRPr="001C5C17">
        <w:t>on their desk</w:t>
      </w:r>
      <w:bookmarkEnd w:id="39"/>
      <w:r w:rsidR="000D0451">
        <w:t>s</w:t>
      </w:r>
      <w:r w:rsidR="004E2666" w:rsidRPr="000D0451">
        <w:rPr>
          <w:rStyle w:val="CommentReference"/>
          <w:sz w:val="24"/>
          <w:szCs w:val="24"/>
        </w:rPr>
        <w:t>)</w:t>
      </w:r>
      <w:r w:rsidR="004A4A08" w:rsidRPr="001C5C17">
        <w:t>.</w:t>
      </w:r>
    </w:p>
    <w:p w14:paraId="73EC670B" w14:textId="20BB6554" w:rsidR="00A156FA" w:rsidRPr="0081411B" w:rsidRDefault="00B6200A" w:rsidP="0081411B">
      <w:pPr>
        <w:pStyle w:val="OMBHeading-20"/>
        <w:ind w:left="720" w:hanging="360"/>
        <w:outlineLvl w:val="1"/>
        <w:rPr>
          <w:u w:val="single"/>
        </w:rPr>
      </w:pPr>
      <w:bookmarkStart w:id="40" w:name="_Toc523339237"/>
      <w:bookmarkStart w:id="41" w:name="_Toc2955856"/>
      <w:bookmarkStart w:id="42" w:name="_Toc8284043"/>
      <w:bookmarkStart w:id="43" w:name="_Hlk523322550"/>
      <w:r w:rsidRPr="0081411B">
        <w:rPr>
          <w:u w:val="single"/>
        </w:rPr>
        <w:t>R</w:t>
      </w:r>
      <w:r w:rsidR="00EF4B40" w:rsidRPr="0081411B">
        <w:rPr>
          <w:u w:val="single"/>
        </w:rPr>
        <w:t>osters/</w:t>
      </w:r>
      <w:r w:rsidR="007D091C" w:rsidRPr="0081411B">
        <w:rPr>
          <w:u w:val="single"/>
        </w:rPr>
        <w:t>Administrative</w:t>
      </w:r>
      <w:r w:rsidR="00EF4B40" w:rsidRPr="0081411B">
        <w:rPr>
          <w:u w:val="single"/>
        </w:rPr>
        <w:t xml:space="preserve"> </w:t>
      </w:r>
      <w:r w:rsidR="007D091C" w:rsidRPr="0081411B">
        <w:rPr>
          <w:u w:val="single"/>
        </w:rPr>
        <w:t>Data</w:t>
      </w:r>
      <w:r w:rsidR="00EF4B40" w:rsidRPr="0081411B">
        <w:rPr>
          <w:u w:val="single"/>
        </w:rPr>
        <w:t xml:space="preserve"> </w:t>
      </w:r>
      <w:r w:rsidR="007D091C" w:rsidRPr="0081411B">
        <w:rPr>
          <w:u w:val="single"/>
        </w:rPr>
        <w:t>Files</w:t>
      </w:r>
      <w:bookmarkEnd w:id="40"/>
      <w:bookmarkEnd w:id="41"/>
      <w:bookmarkEnd w:id="42"/>
      <w:r w:rsidR="00EF4B40" w:rsidRPr="0081411B">
        <w:rPr>
          <w:u w:val="single"/>
        </w:rPr>
        <w:t xml:space="preserve"> </w:t>
      </w:r>
    </w:p>
    <w:p w14:paraId="6EB91915" w14:textId="29F517AC" w:rsidR="00EF4B40" w:rsidRDefault="00A3465E" w:rsidP="0033623E">
      <w:pPr>
        <w:pStyle w:val="OMBbodytext"/>
      </w:pPr>
      <w:r>
        <w:t xml:space="preserve">The </w:t>
      </w:r>
      <w:r w:rsidR="002A3743">
        <w:t xml:space="preserve">RTI </w:t>
      </w:r>
      <w:r>
        <w:t>s</w:t>
      </w:r>
      <w:r w:rsidR="00E61C3E">
        <w:t xml:space="preserve">tudy team </w:t>
      </w:r>
      <w:r w:rsidR="008826A7">
        <w:t xml:space="preserve">site </w:t>
      </w:r>
      <w:r>
        <w:t>coordinator</w:t>
      </w:r>
      <w:r w:rsidR="00EF4B40" w:rsidRPr="00EF4B40">
        <w:t xml:space="preserve"> will request rosters/administrative data from the school office</w:t>
      </w:r>
      <w:r w:rsidR="008826A7">
        <w:t xml:space="preserve"> </w:t>
      </w:r>
      <w:r w:rsidR="0057793D">
        <w:t>on all youth</w:t>
      </w:r>
      <w:r w:rsidR="009265C5">
        <w:t xml:space="preserve"> </w:t>
      </w:r>
      <w:r w:rsidR="00DD3AA6">
        <w:t>targeted to receive the program</w:t>
      </w:r>
      <w:r w:rsidR="008D16D9">
        <w:t xml:space="preserve"> in intervention classrooms and all youth in comparison classrooms</w:t>
      </w:r>
      <w:r w:rsidR="005539BF">
        <w:t xml:space="preserve">. </w:t>
      </w:r>
      <w:r w:rsidR="00EF4B40" w:rsidRPr="00EF4B40">
        <w:t xml:space="preserve"> </w:t>
      </w:r>
      <w:r w:rsidR="00EF4B40">
        <w:t xml:space="preserve">The </w:t>
      </w:r>
      <w:r w:rsidR="008826A7">
        <w:t xml:space="preserve">site </w:t>
      </w:r>
      <w:r>
        <w:t>coordinator</w:t>
      </w:r>
      <w:r w:rsidRPr="00EF4B40">
        <w:t xml:space="preserve"> </w:t>
      </w:r>
      <w:r w:rsidR="00EF4B40">
        <w:t>will consult with each school principal</w:t>
      </w:r>
      <w:r w:rsidR="00513E3F">
        <w:t xml:space="preserve">, </w:t>
      </w:r>
      <w:r w:rsidR="00272EDA">
        <w:t>site liaison</w:t>
      </w:r>
      <w:r w:rsidR="00513E3F">
        <w:t xml:space="preserve">, or other </w:t>
      </w:r>
      <w:r w:rsidR="005539BF">
        <w:t xml:space="preserve">school </w:t>
      </w:r>
      <w:r w:rsidR="00513E3F">
        <w:t xml:space="preserve">staff </w:t>
      </w:r>
      <w:r w:rsidR="00EF4B40">
        <w:t xml:space="preserve">on the best way to obtain the needed lists of </w:t>
      </w:r>
      <w:r w:rsidR="006826D4">
        <w:t>youth</w:t>
      </w:r>
      <w:r w:rsidR="00EF4B40">
        <w:t xml:space="preserve"> and associated demographic data. </w:t>
      </w:r>
      <w:r w:rsidR="00287034">
        <w:t>We</w:t>
      </w:r>
      <w:r w:rsidR="006241C5">
        <w:t xml:space="preserve"> </w:t>
      </w:r>
      <w:r w:rsidR="00EF4B40">
        <w:t xml:space="preserve">will request </w:t>
      </w:r>
      <w:r w:rsidR="00287034">
        <w:t xml:space="preserve">these data </w:t>
      </w:r>
      <w:r w:rsidR="00EF4B40">
        <w:t xml:space="preserve">from </w:t>
      </w:r>
      <w:r w:rsidR="005539BF">
        <w:t xml:space="preserve">schools </w:t>
      </w:r>
      <w:r w:rsidR="0026777D">
        <w:t xml:space="preserve">prior to </w:t>
      </w:r>
      <w:r w:rsidR="00EF4B40">
        <w:t>the beginning of the</w:t>
      </w:r>
      <w:r w:rsidR="00DB5393">
        <w:t xml:space="preserve"> </w:t>
      </w:r>
      <w:r w:rsidR="002D71B0">
        <w:t>fall</w:t>
      </w:r>
      <w:r w:rsidR="00EF4B40">
        <w:t xml:space="preserve"> </w:t>
      </w:r>
      <w:r w:rsidR="002D71B0">
        <w:t xml:space="preserve">2019 </w:t>
      </w:r>
      <w:r w:rsidR="00EF4B40">
        <w:t xml:space="preserve">semester </w:t>
      </w:r>
      <w:r w:rsidR="0026777D">
        <w:t>to prepare parental consent forms for distribution</w:t>
      </w:r>
      <w:r w:rsidR="00EF4B40">
        <w:t>. The</w:t>
      </w:r>
      <w:r w:rsidR="00513E3F">
        <w:t xml:space="preserve"> rosters will include </w:t>
      </w:r>
      <w:r w:rsidR="005539BF" w:rsidRPr="005539BF">
        <w:t xml:space="preserve">student names, ID numbers, date of birth, grade, </w:t>
      </w:r>
      <w:r w:rsidR="00170660" w:rsidRPr="005539BF">
        <w:t xml:space="preserve">sex, race, ethnicity, </w:t>
      </w:r>
      <w:r w:rsidR="005539BF" w:rsidRPr="005539BF">
        <w:t xml:space="preserve">free and reduced-price lunch (FRPL) status (if feasible), </w:t>
      </w:r>
      <w:r w:rsidR="00170660">
        <w:t xml:space="preserve">English language learner status (if feasible), </w:t>
      </w:r>
      <w:r w:rsidR="0074029C">
        <w:t>homeroom teacher (if feasible), Individualized Education Plan status (if feasible)</w:t>
      </w:r>
      <w:r w:rsidR="00CA6C3C">
        <w:t>,</w:t>
      </w:r>
      <w:r w:rsidR="0074029C">
        <w:t xml:space="preserve"> </w:t>
      </w:r>
      <w:r w:rsidR="005539BF" w:rsidRPr="005539BF">
        <w:t>and grade-point average (GPA) (if feasible)</w:t>
      </w:r>
      <w:r w:rsidR="0026777D">
        <w:t xml:space="preserve">. At the end of the school year, we will request </w:t>
      </w:r>
      <w:r w:rsidR="00CA6C3C">
        <w:t>updated rosters and administrative data on these same variables at the student level</w:t>
      </w:r>
      <w:r w:rsidR="00EF4B40">
        <w:t xml:space="preserve">. </w:t>
      </w:r>
      <w:r w:rsidR="00513E3F">
        <w:t xml:space="preserve">School administrators or </w:t>
      </w:r>
      <w:r w:rsidR="005539BF">
        <w:t xml:space="preserve">school </w:t>
      </w:r>
      <w:r w:rsidR="00513E3F">
        <w:t>staff will upload the r</w:t>
      </w:r>
      <w:r w:rsidR="00EF4B40">
        <w:t>osters and administrative data files</w:t>
      </w:r>
      <w:r w:rsidR="00513E3F">
        <w:t xml:space="preserve"> to a</w:t>
      </w:r>
      <w:r w:rsidR="00DB5393">
        <w:t xml:space="preserve"> secure</w:t>
      </w:r>
      <w:r w:rsidR="00EF4B40">
        <w:t xml:space="preserve"> </w:t>
      </w:r>
      <w:r w:rsidR="00062818">
        <w:t>file transfer protocol (SFTP)</w:t>
      </w:r>
      <w:r w:rsidR="00EF4B40">
        <w:t xml:space="preserve"> </w:t>
      </w:r>
      <w:r w:rsidR="00062818">
        <w:t>environment</w:t>
      </w:r>
      <w:r w:rsidR="00EF4B40">
        <w:t xml:space="preserve">. </w:t>
      </w:r>
      <w:r w:rsidR="0026777D">
        <w:t>Schools or districts may charge a small fee for the rosters/administrative data, especially if data files require additional filtering by classrooms, grades, or IDs.</w:t>
      </w:r>
      <w:r w:rsidR="00B67016" w:rsidRPr="00B67016">
        <w:t xml:space="preserve"> </w:t>
      </w:r>
      <w:r w:rsidR="00B67016">
        <w:t xml:space="preserve">Instructions and an example template for schools are provided as </w:t>
      </w:r>
      <w:r w:rsidR="00B67016" w:rsidRPr="0098380A">
        <w:rPr>
          <w:b/>
        </w:rPr>
        <w:t>A</w:t>
      </w:r>
      <w:r w:rsidR="00B67016">
        <w:rPr>
          <w:b/>
        </w:rPr>
        <w:t>ppendix C</w:t>
      </w:r>
      <w:r w:rsidR="00B67016" w:rsidRPr="00534F0F">
        <w:t>.</w:t>
      </w:r>
    </w:p>
    <w:p w14:paraId="06DEC4ED" w14:textId="77777777" w:rsidR="00854C5F" w:rsidRPr="0081411B" w:rsidRDefault="00854C5F" w:rsidP="0081411B">
      <w:pPr>
        <w:pStyle w:val="OMBHeading-20"/>
        <w:ind w:left="720" w:hanging="360"/>
        <w:outlineLvl w:val="1"/>
        <w:rPr>
          <w:u w:val="single"/>
        </w:rPr>
      </w:pPr>
      <w:bookmarkStart w:id="44" w:name="_Toc523339239"/>
      <w:bookmarkStart w:id="45" w:name="_Toc2955858"/>
      <w:bookmarkStart w:id="46" w:name="_Toc8284044"/>
      <w:bookmarkStart w:id="47" w:name="_Hlk523335655"/>
      <w:r w:rsidRPr="0081411B">
        <w:rPr>
          <w:u w:val="single"/>
        </w:rPr>
        <w:t>Participant Survey</w:t>
      </w:r>
      <w:bookmarkEnd w:id="44"/>
      <w:bookmarkEnd w:id="45"/>
      <w:bookmarkEnd w:id="46"/>
      <w:r w:rsidRPr="0081411B">
        <w:rPr>
          <w:u w:val="single"/>
        </w:rPr>
        <w:t xml:space="preserve"> </w:t>
      </w:r>
    </w:p>
    <w:p w14:paraId="2B35637C" w14:textId="596DCD21" w:rsidR="00854C5F" w:rsidRDefault="00854C5F" w:rsidP="00854C5F">
      <w:pPr>
        <w:pStyle w:val="OMBbodytext"/>
      </w:pPr>
      <w:r>
        <w:t xml:space="preserve">The process evaluation </w:t>
      </w:r>
      <w:r w:rsidRPr="003352CB">
        <w:t>participant survey</w:t>
      </w:r>
      <w:r>
        <w:t xml:space="preserve"> will be </w:t>
      </w:r>
      <w:r w:rsidR="002C29EE">
        <w:t>appended to the youth follow-up outcome survey for all youth in the intervention group</w:t>
      </w:r>
      <w:r>
        <w:t xml:space="preserve">. The questionnaire is provided as </w:t>
      </w:r>
      <w:r w:rsidRPr="0098380A">
        <w:rPr>
          <w:b/>
        </w:rPr>
        <w:t>A</w:t>
      </w:r>
      <w:r>
        <w:rPr>
          <w:b/>
        </w:rPr>
        <w:t>ppendix F</w:t>
      </w:r>
      <w:r w:rsidRPr="00534F0F">
        <w:t>. The</w:t>
      </w:r>
      <w:r>
        <w:t xml:space="preserve"> survey will</w:t>
      </w:r>
      <w:r w:rsidRPr="00D5168D">
        <w:t xml:space="preserve"> be </w:t>
      </w:r>
      <w:r>
        <w:t xml:space="preserve">administered with a </w:t>
      </w:r>
      <w:r w:rsidRPr="00D5168D">
        <w:t xml:space="preserve">paper-and-pencil </w:t>
      </w:r>
      <w:r>
        <w:t>questionnaire that is designed to take about 10 minutes to complete</w:t>
      </w:r>
      <w:r w:rsidRPr="00D5168D">
        <w:t>.</w:t>
      </w:r>
      <w:r>
        <w:t xml:space="preserve"> A study team field staff member </w:t>
      </w:r>
      <w:r w:rsidRPr="009C3671">
        <w:t>will coordinate with IO staff to schedule the times for survey administration.</w:t>
      </w:r>
      <w:r>
        <w:t xml:space="preserve"> </w:t>
      </w:r>
    </w:p>
    <w:bookmarkEnd w:id="47"/>
    <w:p w14:paraId="3A36460B" w14:textId="64635EAD" w:rsidR="00854C5F" w:rsidRDefault="00854C5F" w:rsidP="00854C5F">
      <w:pPr>
        <w:pStyle w:val="OMBbodytext"/>
      </w:pPr>
      <w:r w:rsidRPr="00EB14D4">
        <w:t xml:space="preserve">Study team field staff </w:t>
      </w:r>
      <w:r>
        <w:t>will follow</w:t>
      </w:r>
      <w:r w:rsidRPr="001C5C17">
        <w:t xml:space="preserve"> all security protocols for entering the </w:t>
      </w:r>
      <w:r w:rsidR="00785447">
        <w:t>school</w:t>
      </w:r>
      <w:r>
        <w:t xml:space="preserve"> and </w:t>
      </w:r>
      <w:r w:rsidRPr="005076CD">
        <w:t>will</w:t>
      </w:r>
      <w:r>
        <w:t xml:space="preserve"> coordinate with the facilitator to determine when during the session the questionnaires will be distributed. T</w:t>
      </w:r>
      <w:r w:rsidRPr="001C5C17">
        <w:t xml:space="preserve">he study team field staff </w:t>
      </w:r>
      <w:r>
        <w:t xml:space="preserve">will </w:t>
      </w:r>
      <w:r w:rsidRPr="001C5C17">
        <w:t xml:space="preserve">provide instructions </w:t>
      </w:r>
      <w:r>
        <w:t xml:space="preserve">to the youth </w:t>
      </w:r>
      <w:r w:rsidRPr="001C5C17">
        <w:t xml:space="preserve">for completing the survey, including </w:t>
      </w:r>
      <w:r>
        <w:t>steps to take</w:t>
      </w:r>
      <w:r w:rsidRPr="001C5C17">
        <w:t xml:space="preserve"> once they have completed the survey (e.g., placing the questionnaire</w:t>
      </w:r>
      <w:r>
        <w:t>s</w:t>
      </w:r>
      <w:r w:rsidRPr="001C5C17">
        <w:t xml:space="preserve"> in the envelope</w:t>
      </w:r>
      <w:r>
        <w:t>s</w:t>
      </w:r>
      <w:r w:rsidRPr="001C5C17">
        <w:t xml:space="preserve"> provided and leaving </w:t>
      </w:r>
      <w:r>
        <w:t>them</w:t>
      </w:r>
      <w:r w:rsidRPr="001C5C17">
        <w:t xml:space="preserve"> on their desk</w:t>
      </w:r>
      <w:r>
        <w:t>s</w:t>
      </w:r>
      <w:r>
        <w:rPr>
          <w:rStyle w:val="CommentReference"/>
        </w:rPr>
        <w:t>)</w:t>
      </w:r>
      <w:r w:rsidRPr="001C5C17">
        <w:t>.</w:t>
      </w:r>
    </w:p>
    <w:p w14:paraId="4F29DE19" w14:textId="77777777" w:rsidR="00854C5F" w:rsidRPr="0081411B" w:rsidRDefault="00854C5F" w:rsidP="0081411B">
      <w:pPr>
        <w:pStyle w:val="OMBHeading-20"/>
        <w:ind w:left="720" w:hanging="360"/>
        <w:outlineLvl w:val="1"/>
        <w:rPr>
          <w:u w:val="single"/>
        </w:rPr>
      </w:pPr>
      <w:bookmarkStart w:id="48" w:name="_Toc523339240"/>
      <w:bookmarkStart w:id="49" w:name="_Toc2955859"/>
      <w:bookmarkStart w:id="50" w:name="_Toc8284045"/>
      <w:r w:rsidRPr="0081411B">
        <w:rPr>
          <w:u w:val="single"/>
        </w:rPr>
        <w:t>Facilitator Survey</w:t>
      </w:r>
      <w:bookmarkEnd w:id="48"/>
      <w:bookmarkEnd w:id="49"/>
      <w:bookmarkEnd w:id="50"/>
      <w:r w:rsidRPr="0081411B">
        <w:rPr>
          <w:u w:val="single"/>
        </w:rPr>
        <w:t xml:space="preserve"> </w:t>
      </w:r>
    </w:p>
    <w:p w14:paraId="143A5793" w14:textId="0CA6CF9C" w:rsidR="00854C5F" w:rsidRDefault="00854C5F" w:rsidP="00854C5F">
      <w:pPr>
        <w:pStyle w:val="OMBbodytext"/>
        <w:rPr>
          <w:b/>
        </w:rPr>
      </w:pPr>
      <w:r>
        <w:t xml:space="preserve">The </w:t>
      </w:r>
      <w:r w:rsidRPr="003352CB">
        <w:t>facilitator survey</w:t>
      </w:r>
      <w:r>
        <w:t xml:space="preserve"> will be administered at the end of the intervention. The questionnaire, along with an introduction, is provided as </w:t>
      </w:r>
      <w:r w:rsidRPr="0098380A">
        <w:rPr>
          <w:b/>
        </w:rPr>
        <w:t>A</w:t>
      </w:r>
      <w:r>
        <w:rPr>
          <w:b/>
        </w:rPr>
        <w:t>ppendix E</w:t>
      </w:r>
      <w:r w:rsidRPr="00534F0F">
        <w:t>. It will</w:t>
      </w:r>
      <w:r w:rsidRPr="00D5168D">
        <w:t xml:space="preserve"> be </w:t>
      </w:r>
      <w:r>
        <w:t xml:space="preserve">administered as a </w:t>
      </w:r>
      <w:r w:rsidRPr="00D5168D">
        <w:t xml:space="preserve">paper-and-pencil </w:t>
      </w:r>
      <w:r>
        <w:t>questionnaire. The study team field staff will hand-deliver the questionnaire to the facilitator approximately 3 days before the last scheduled participant survey involving a class taught by the facilitator. The study team field staff will ask the facilitator to complete the survey before their last class takes the participant survey. The study team field staff will collect completed questionnaires from facilitators and place them in a sealed envelope for transmittal to the study team.</w:t>
      </w:r>
    </w:p>
    <w:p w14:paraId="1D3E6ADC" w14:textId="77777777" w:rsidR="00854C5F" w:rsidRPr="0081411B" w:rsidRDefault="00854C5F" w:rsidP="0081411B">
      <w:pPr>
        <w:pStyle w:val="OMBHeading-20"/>
        <w:ind w:left="720" w:hanging="360"/>
        <w:outlineLvl w:val="1"/>
        <w:rPr>
          <w:u w:val="single"/>
        </w:rPr>
      </w:pPr>
      <w:bookmarkStart w:id="51" w:name="_Toc523339241"/>
      <w:bookmarkStart w:id="52" w:name="_Toc2955860"/>
      <w:bookmarkStart w:id="53" w:name="_Toc8284046"/>
      <w:r w:rsidRPr="0081411B">
        <w:rPr>
          <w:u w:val="single"/>
        </w:rPr>
        <w:t>Facilitator Key Informant Interviews</w:t>
      </w:r>
      <w:bookmarkEnd w:id="51"/>
      <w:bookmarkEnd w:id="52"/>
      <w:bookmarkEnd w:id="53"/>
      <w:r w:rsidRPr="0081411B">
        <w:rPr>
          <w:u w:val="single"/>
        </w:rPr>
        <w:t xml:space="preserve"> </w:t>
      </w:r>
    </w:p>
    <w:p w14:paraId="7E964632" w14:textId="3E724944" w:rsidR="00854C5F" w:rsidRPr="009D5E98" w:rsidRDefault="00854C5F" w:rsidP="00854C5F">
      <w:pPr>
        <w:pStyle w:val="BodyText"/>
        <w:spacing w:line="240" w:lineRule="auto"/>
        <w:rPr>
          <w:sz w:val="24"/>
          <w:szCs w:val="24"/>
        </w:rPr>
      </w:pPr>
      <w:r w:rsidRPr="009D5E98">
        <w:rPr>
          <w:sz w:val="24"/>
          <w:szCs w:val="24"/>
        </w:rPr>
        <w:t xml:space="preserve">The key informant interviews will be administered at the end of the intervention, after the facilitator surveys. Facilitator interviews will take place at the site or IO offices, whichever is more convenient for the facilitator. The interviews are expected to take an average of 1 hour. Prior to beginning a key informant interview, the interviewer will read respondents a verbal consent form that informs them of their rights, including the right to not answer any question, and asks for their consent to participate in the discussion. </w:t>
      </w:r>
      <w:r w:rsidR="00276A61">
        <w:rPr>
          <w:sz w:val="24"/>
          <w:szCs w:val="24"/>
        </w:rPr>
        <w:t>Detailed notes will be taken on each interview and will be stored on a secure server to which only the study team has access.</w:t>
      </w:r>
      <w:r w:rsidRPr="009D5E98">
        <w:rPr>
          <w:sz w:val="24"/>
          <w:szCs w:val="24"/>
        </w:rPr>
        <w:t xml:space="preserve"> Information collected by interviews will be reported only in aggregate and individual respondents will not be identified.</w:t>
      </w:r>
    </w:p>
    <w:p w14:paraId="660FE8EB" w14:textId="77777777" w:rsidR="00854C5F" w:rsidRPr="009D5E98" w:rsidRDefault="00854C5F" w:rsidP="00854C5F">
      <w:pPr>
        <w:pStyle w:val="BodyText"/>
        <w:spacing w:line="240" w:lineRule="auto"/>
        <w:rPr>
          <w:sz w:val="24"/>
          <w:szCs w:val="24"/>
        </w:rPr>
      </w:pPr>
      <w:r w:rsidRPr="009D5E98">
        <w:rPr>
          <w:sz w:val="24"/>
          <w:szCs w:val="24"/>
        </w:rPr>
        <w:t>A procedures manual will be developed for the administration of the interviews and training will be provided to all interviewers and note takers regarding interview procedures and materials.</w:t>
      </w:r>
    </w:p>
    <w:p w14:paraId="0B6769D9" w14:textId="77777777" w:rsidR="00854C5F" w:rsidRDefault="00854C5F" w:rsidP="00854C5F">
      <w:pPr>
        <w:pStyle w:val="OMBbodytext"/>
        <w:rPr>
          <w:b/>
        </w:rPr>
      </w:pPr>
      <w:r>
        <w:t xml:space="preserve">The facilitator interview guide, along with an introduction and the consent form, is provided as </w:t>
      </w:r>
      <w:r w:rsidRPr="0098380A">
        <w:rPr>
          <w:b/>
        </w:rPr>
        <w:t>A</w:t>
      </w:r>
      <w:r>
        <w:rPr>
          <w:b/>
        </w:rPr>
        <w:t>ppendix G</w:t>
      </w:r>
      <w:r w:rsidRPr="00534F0F">
        <w:t xml:space="preserve">. </w:t>
      </w:r>
    </w:p>
    <w:p w14:paraId="19546195" w14:textId="41719E01" w:rsidR="00854C5F" w:rsidRPr="0081411B" w:rsidRDefault="00C7119C" w:rsidP="0081411B">
      <w:pPr>
        <w:pStyle w:val="OMBHeading-20"/>
        <w:ind w:left="720" w:hanging="360"/>
        <w:outlineLvl w:val="1"/>
        <w:rPr>
          <w:u w:val="single"/>
        </w:rPr>
      </w:pPr>
      <w:bookmarkStart w:id="54" w:name="_Toc523339242"/>
      <w:bookmarkStart w:id="55" w:name="_Toc2955861"/>
      <w:bookmarkStart w:id="56" w:name="_Toc8284047"/>
      <w:r w:rsidRPr="00ED7965">
        <w:rPr>
          <w:u w:val="single"/>
        </w:rPr>
        <w:t>School</w:t>
      </w:r>
      <w:r w:rsidR="00854C5F" w:rsidRPr="0081411B">
        <w:rPr>
          <w:u w:val="single"/>
        </w:rPr>
        <w:t xml:space="preserve"> Representative Key Informant Interview</w:t>
      </w:r>
      <w:bookmarkEnd w:id="54"/>
      <w:bookmarkEnd w:id="55"/>
      <w:bookmarkEnd w:id="56"/>
      <w:r w:rsidR="00854C5F" w:rsidRPr="0081411B">
        <w:rPr>
          <w:u w:val="single"/>
        </w:rPr>
        <w:t xml:space="preserve"> </w:t>
      </w:r>
    </w:p>
    <w:p w14:paraId="55304A00" w14:textId="7CEDCA65" w:rsidR="00854C5F" w:rsidRPr="009D5E98" w:rsidRDefault="00C7119C" w:rsidP="00854C5F">
      <w:pPr>
        <w:pStyle w:val="BodyText"/>
        <w:spacing w:line="240" w:lineRule="auto"/>
        <w:rPr>
          <w:sz w:val="24"/>
          <w:szCs w:val="24"/>
        </w:rPr>
      </w:pPr>
      <w:r>
        <w:rPr>
          <w:bCs/>
          <w:sz w:val="24"/>
          <w:szCs w:val="24"/>
        </w:rPr>
        <w:t>School</w:t>
      </w:r>
      <w:r w:rsidR="00854C5F" w:rsidRPr="009D5E98">
        <w:rPr>
          <w:bCs/>
          <w:sz w:val="24"/>
          <w:szCs w:val="24"/>
        </w:rPr>
        <w:t xml:space="preserve"> representative interviews will take place at the </w:t>
      </w:r>
      <w:r>
        <w:rPr>
          <w:bCs/>
          <w:sz w:val="24"/>
          <w:szCs w:val="24"/>
        </w:rPr>
        <w:t>school</w:t>
      </w:r>
      <w:r w:rsidR="00854C5F" w:rsidRPr="009D5E98">
        <w:rPr>
          <w:bCs/>
          <w:sz w:val="24"/>
          <w:szCs w:val="24"/>
        </w:rPr>
        <w:t xml:space="preserve">. The interviews are expected to take an average of 1 hour. </w:t>
      </w:r>
      <w:r w:rsidR="00854C5F" w:rsidRPr="009D5E98">
        <w:rPr>
          <w:sz w:val="24"/>
          <w:szCs w:val="24"/>
        </w:rPr>
        <w:t xml:space="preserve">The </w:t>
      </w:r>
      <w:r>
        <w:rPr>
          <w:bCs/>
          <w:sz w:val="24"/>
          <w:szCs w:val="24"/>
        </w:rPr>
        <w:t>school</w:t>
      </w:r>
      <w:r w:rsidRPr="009D5E98">
        <w:rPr>
          <w:sz w:val="24"/>
          <w:szCs w:val="24"/>
        </w:rPr>
        <w:t xml:space="preserve"> </w:t>
      </w:r>
      <w:r w:rsidR="00854C5F" w:rsidRPr="009D5E98">
        <w:rPr>
          <w:sz w:val="24"/>
          <w:szCs w:val="24"/>
        </w:rPr>
        <w:t xml:space="preserve">representative interviews will follow the same procedure as the facilitator key informant interviews. </w:t>
      </w:r>
      <w:r w:rsidR="00854C5F" w:rsidRPr="009D5E98">
        <w:rPr>
          <w:bCs/>
          <w:sz w:val="24"/>
          <w:szCs w:val="24"/>
        </w:rPr>
        <w:t xml:space="preserve">The </w:t>
      </w:r>
      <w:r w:rsidR="00D475E2">
        <w:rPr>
          <w:bCs/>
          <w:sz w:val="24"/>
          <w:szCs w:val="24"/>
        </w:rPr>
        <w:t>school</w:t>
      </w:r>
      <w:r w:rsidR="00D475E2" w:rsidRPr="009D5E98">
        <w:rPr>
          <w:bCs/>
          <w:sz w:val="24"/>
          <w:szCs w:val="24"/>
        </w:rPr>
        <w:t xml:space="preserve"> </w:t>
      </w:r>
      <w:r w:rsidR="00854C5F" w:rsidRPr="009D5E98">
        <w:rPr>
          <w:bCs/>
          <w:sz w:val="24"/>
          <w:szCs w:val="24"/>
        </w:rPr>
        <w:t xml:space="preserve">representative interview guide, along with an introduction and the consent form, is provided as </w:t>
      </w:r>
      <w:r w:rsidR="00854C5F" w:rsidRPr="009D5E98">
        <w:rPr>
          <w:b/>
          <w:bCs/>
          <w:sz w:val="24"/>
          <w:szCs w:val="24"/>
        </w:rPr>
        <w:t xml:space="preserve">Appendix </w:t>
      </w:r>
      <w:r w:rsidR="00854C5F">
        <w:rPr>
          <w:b/>
          <w:bCs/>
          <w:sz w:val="24"/>
          <w:szCs w:val="24"/>
        </w:rPr>
        <w:t>G</w:t>
      </w:r>
      <w:r w:rsidR="00854C5F" w:rsidRPr="009D5E98">
        <w:rPr>
          <w:bCs/>
          <w:sz w:val="24"/>
          <w:szCs w:val="24"/>
        </w:rPr>
        <w:t xml:space="preserve">. </w:t>
      </w:r>
    </w:p>
    <w:p w14:paraId="3893B6AB" w14:textId="77777777" w:rsidR="00854C5F" w:rsidRPr="0081411B" w:rsidRDefault="00854C5F" w:rsidP="0081411B">
      <w:pPr>
        <w:pStyle w:val="OMBHeading-20"/>
        <w:ind w:left="720" w:hanging="360"/>
        <w:outlineLvl w:val="1"/>
        <w:rPr>
          <w:u w:val="single"/>
        </w:rPr>
      </w:pPr>
      <w:bookmarkStart w:id="57" w:name="_Toc523339243"/>
      <w:bookmarkStart w:id="58" w:name="_Toc2955862"/>
      <w:bookmarkStart w:id="59" w:name="_Toc8284048"/>
      <w:r w:rsidRPr="0081411B">
        <w:rPr>
          <w:u w:val="single"/>
        </w:rPr>
        <w:t>Facilitator Session Log</w:t>
      </w:r>
      <w:bookmarkEnd w:id="57"/>
      <w:bookmarkEnd w:id="58"/>
      <w:bookmarkEnd w:id="59"/>
      <w:r w:rsidRPr="0081411B">
        <w:rPr>
          <w:u w:val="single"/>
        </w:rPr>
        <w:t xml:space="preserve"> </w:t>
      </w:r>
    </w:p>
    <w:p w14:paraId="15D3A1B4" w14:textId="77777777" w:rsidR="00854C5F" w:rsidRDefault="00854C5F" w:rsidP="00854C5F">
      <w:pPr>
        <w:pStyle w:val="OMBbodytext"/>
        <w:rPr>
          <w:b/>
          <w:bCs/>
        </w:rPr>
      </w:pPr>
      <w:r>
        <w:rPr>
          <w:bCs/>
        </w:rPr>
        <w:t>F</w:t>
      </w:r>
      <w:r w:rsidRPr="00096EB0">
        <w:rPr>
          <w:bCs/>
        </w:rPr>
        <w:t>acilitator session logs</w:t>
      </w:r>
      <w:r>
        <w:rPr>
          <w:bCs/>
        </w:rPr>
        <w:t xml:space="preserve"> will be completed by each facilitator. The session log template is provided as </w:t>
      </w:r>
      <w:r w:rsidRPr="0098380A">
        <w:rPr>
          <w:b/>
          <w:bCs/>
        </w:rPr>
        <w:t>A</w:t>
      </w:r>
      <w:r>
        <w:rPr>
          <w:b/>
          <w:bCs/>
        </w:rPr>
        <w:t>ppendix</w:t>
      </w:r>
      <w:r w:rsidRPr="009D318E">
        <w:rPr>
          <w:b/>
        </w:rPr>
        <w:t xml:space="preserve"> D</w:t>
      </w:r>
      <w:r w:rsidRPr="00066C5E">
        <w:t xml:space="preserve">. </w:t>
      </w:r>
      <w:r w:rsidRPr="00534F0F">
        <w:rPr>
          <w:bCs/>
        </w:rPr>
        <w:t>Facilitators</w:t>
      </w:r>
      <w:r>
        <w:rPr>
          <w:bCs/>
        </w:rPr>
        <w:t xml:space="preserve"> will be trained to on how to complete the session logs. They will complete one </w:t>
      </w:r>
      <w:r w:rsidRPr="00096EB0">
        <w:rPr>
          <w:bCs/>
        </w:rPr>
        <w:t>session lo</w:t>
      </w:r>
      <w:r>
        <w:rPr>
          <w:bCs/>
        </w:rPr>
        <w:t>g for each session and submit them to the IO. The IO will record and track receipt of the session logs and will forward them to the study team weekly.</w:t>
      </w:r>
    </w:p>
    <w:p w14:paraId="72EF3939" w14:textId="77777777" w:rsidR="00854C5F" w:rsidRPr="0081411B" w:rsidRDefault="00854C5F" w:rsidP="0081411B">
      <w:pPr>
        <w:pStyle w:val="OMBHeading-20"/>
        <w:ind w:left="720" w:hanging="360"/>
        <w:outlineLvl w:val="1"/>
        <w:rPr>
          <w:u w:val="single"/>
        </w:rPr>
      </w:pPr>
      <w:bookmarkStart w:id="60" w:name="_Toc523339244"/>
      <w:bookmarkStart w:id="61" w:name="_Toc2955863"/>
      <w:bookmarkStart w:id="62" w:name="_Toc8284049"/>
      <w:r w:rsidRPr="0081411B">
        <w:rPr>
          <w:u w:val="single"/>
        </w:rPr>
        <w:t>Attendance Forms</w:t>
      </w:r>
      <w:bookmarkEnd w:id="60"/>
      <w:bookmarkEnd w:id="61"/>
      <w:bookmarkEnd w:id="62"/>
      <w:r w:rsidRPr="0081411B">
        <w:rPr>
          <w:u w:val="single"/>
        </w:rPr>
        <w:t xml:space="preserve"> </w:t>
      </w:r>
    </w:p>
    <w:p w14:paraId="5E7340CF" w14:textId="497A74A2" w:rsidR="00854C5F" w:rsidRDefault="00854C5F" w:rsidP="00854C5F">
      <w:pPr>
        <w:pStyle w:val="OMBbodytext"/>
        <w:rPr>
          <w:bCs/>
        </w:rPr>
      </w:pPr>
      <w:r>
        <w:rPr>
          <w:bCs/>
        </w:rPr>
        <w:t>The a</w:t>
      </w:r>
      <w:r w:rsidRPr="00096EB0">
        <w:rPr>
          <w:bCs/>
        </w:rPr>
        <w:t xml:space="preserve">ttendance forms </w:t>
      </w:r>
      <w:r>
        <w:rPr>
          <w:bCs/>
        </w:rPr>
        <w:t xml:space="preserve">may be completed by either the regular classroom teacher, other </w:t>
      </w:r>
      <w:r w:rsidR="00B93406">
        <w:rPr>
          <w:bCs/>
        </w:rPr>
        <w:t>school</w:t>
      </w:r>
      <w:r>
        <w:rPr>
          <w:bCs/>
        </w:rPr>
        <w:t xml:space="preserve"> staff, or the facilitator for submission to the IO. The IO will track receipt of attendance forms and forward them to the study team weekly. The attendance form template is provided as </w:t>
      </w:r>
      <w:r w:rsidRPr="0098380A">
        <w:rPr>
          <w:b/>
          <w:bCs/>
        </w:rPr>
        <w:t>A</w:t>
      </w:r>
      <w:r>
        <w:rPr>
          <w:b/>
          <w:bCs/>
        </w:rPr>
        <w:t>ppendix H</w:t>
      </w:r>
      <w:r w:rsidRPr="00534F0F">
        <w:rPr>
          <w:bCs/>
        </w:rPr>
        <w:t>.</w:t>
      </w:r>
    </w:p>
    <w:p w14:paraId="61294B2A" w14:textId="50BF77CD" w:rsidR="00D4449D" w:rsidRPr="00933EF1" w:rsidRDefault="00D4449D" w:rsidP="0081411B">
      <w:pPr>
        <w:pStyle w:val="OMBheading-1"/>
        <w:ind w:left="360" w:hanging="360"/>
        <w:outlineLvl w:val="1"/>
      </w:pPr>
      <w:bookmarkStart w:id="63" w:name="_Toc186528700"/>
      <w:bookmarkStart w:id="64" w:name="_Toc216078528"/>
      <w:bookmarkStart w:id="65" w:name="_Toc216149337"/>
      <w:bookmarkStart w:id="66" w:name="_Toc523339247"/>
      <w:bookmarkStart w:id="67" w:name="_Toc8284050"/>
      <w:bookmarkStart w:id="68" w:name="_Hlk520212727"/>
      <w:bookmarkEnd w:id="43"/>
      <w:r w:rsidRPr="00933EF1">
        <w:t>B3.</w:t>
      </w:r>
      <w:r w:rsidRPr="00933EF1">
        <w:tab/>
        <w:t xml:space="preserve">Methods to Maximize Response Rates and </w:t>
      </w:r>
      <w:r w:rsidR="00F74330">
        <w:t>Address</w:t>
      </w:r>
      <w:r w:rsidR="007D091C" w:rsidRPr="00933EF1">
        <w:t xml:space="preserve"> </w:t>
      </w:r>
      <w:r w:rsidRPr="00933EF1">
        <w:t>Nonresponse</w:t>
      </w:r>
      <w:bookmarkEnd w:id="63"/>
      <w:bookmarkEnd w:id="64"/>
      <w:bookmarkEnd w:id="65"/>
      <w:bookmarkEnd w:id="66"/>
      <w:bookmarkEnd w:id="67"/>
      <w:r w:rsidRPr="00933EF1">
        <w:t xml:space="preserve"> </w:t>
      </w:r>
    </w:p>
    <w:bookmarkEnd w:id="68"/>
    <w:p w14:paraId="56D3BD69" w14:textId="55BCBD96" w:rsidR="00141E66" w:rsidRDefault="00101BB3" w:rsidP="0033623E">
      <w:pPr>
        <w:pStyle w:val="OMBbodytext"/>
        <w:rPr>
          <w:bCs/>
        </w:rPr>
      </w:pPr>
      <w:r>
        <w:t>T</w:t>
      </w:r>
      <w:r w:rsidR="00867A9A" w:rsidRPr="00867A9A">
        <w:t xml:space="preserve">o </w:t>
      </w:r>
      <w:r w:rsidR="00384305" w:rsidRPr="00867A9A">
        <w:t>maximize response rates</w:t>
      </w:r>
      <w:r w:rsidR="00867A9A" w:rsidRPr="00867A9A">
        <w:t xml:space="preserve">, </w:t>
      </w:r>
      <w:r w:rsidR="007A7B3F">
        <w:rPr>
          <w:bCs/>
        </w:rPr>
        <w:t>we intend to use strategies that have worked successfully in other major studies</w:t>
      </w:r>
      <w:r w:rsidR="00DD3AA6">
        <w:rPr>
          <w:bCs/>
        </w:rPr>
        <w:t xml:space="preserve"> we have conducted,</w:t>
      </w:r>
      <w:r w:rsidR="007A7B3F">
        <w:rPr>
          <w:bCs/>
        </w:rPr>
        <w:t xml:space="preserve"> </w:t>
      </w:r>
      <w:r w:rsidR="007A7B3F" w:rsidRPr="009B4003">
        <w:rPr>
          <w:bCs/>
        </w:rPr>
        <w:t>including</w:t>
      </w:r>
    </w:p>
    <w:p w14:paraId="78E56328" w14:textId="754BF615" w:rsidR="00FD0E78" w:rsidRDefault="00141E66" w:rsidP="0033623E">
      <w:pPr>
        <w:pStyle w:val="ListBullet"/>
        <w:spacing w:after="60"/>
        <w:contextualSpacing w:val="0"/>
      </w:pPr>
      <w:r w:rsidRPr="00141E66">
        <w:t>Middle Grades Longitudinal Study of 2017</w:t>
      </w:r>
      <w:r w:rsidR="00101BB3">
        <w:t>–</w:t>
      </w:r>
      <w:r w:rsidRPr="00141E66">
        <w:t>18 (MGLS:2017) OMB number 1850-0911 v.19</w:t>
      </w:r>
      <w:r w:rsidR="00101BB3">
        <w:t>;</w:t>
      </w:r>
    </w:p>
    <w:p w14:paraId="3E9C223D" w14:textId="0202F60E" w:rsidR="00FD0E78" w:rsidRDefault="00FD0E78" w:rsidP="0033623E">
      <w:pPr>
        <w:pStyle w:val="ListBullet"/>
        <w:spacing w:after="60"/>
        <w:contextualSpacing w:val="0"/>
      </w:pPr>
      <w:r w:rsidRPr="00FD0E78">
        <w:t>Impact Evaluation of a School-Based Violence Prevention Program</w:t>
      </w:r>
      <w:r w:rsidR="00101BB3">
        <w:t>,</w:t>
      </w:r>
      <w:r w:rsidRPr="00FD0E78" w:rsidDel="00141E66">
        <w:t xml:space="preserve"> </w:t>
      </w:r>
      <w:r w:rsidRPr="00141E66">
        <w:t>OMB number</w:t>
      </w:r>
      <w:r>
        <w:t xml:space="preserve"> 1850</w:t>
      </w:r>
      <w:r w:rsidR="00101BB3">
        <w:noBreakHyphen/>
      </w:r>
      <w:r>
        <w:t>0814</w:t>
      </w:r>
      <w:r w:rsidR="00101BB3">
        <w:t>;</w:t>
      </w:r>
    </w:p>
    <w:p w14:paraId="2BC599B3" w14:textId="0C85573C" w:rsidR="00FD0E78" w:rsidRDefault="00FD0E78" w:rsidP="0033623E">
      <w:pPr>
        <w:pStyle w:val="ListBullet"/>
        <w:spacing w:after="60"/>
        <w:contextualSpacing w:val="0"/>
      </w:pPr>
      <w:r w:rsidRPr="003E1A15">
        <w:t>The Comprehension of Emergency Operations Protocols Study</w:t>
      </w:r>
      <w:r>
        <w:t xml:space="preserve"> (CEOP)</w:t>
      </w:r>
      <w:r w:rsidR="00101BB3">
        <w:t>;</w:t>
      </w:r>
    </w:p>
    <w:p w14:paraId="56A635A7" w14:textId="727042AE" w:rsidR="00FD0E78" w:rsidRDefault="00FD0E78" w:rsidP="0033623E">
      <w:pPr>
        <w:pStyle w:val="ListBullet"/>
        <w:spacing w:after="60"/>
        <w:contextualSpacing w:val="0"/>
      </w:pPr>
      <w:r w:rsidRPr="003E1A15">
        <w:t>Shelby School Safety Study</w:t>
      </w:r>
      <w:r w:rsidR="00101BB3">
        <w:t>;</w:t>
      </w:r>
    </w:p>
    <w:p w14:paraId="41652867" w14:textId="57BAFBA7" w:rsidR="00FD0E78" w:rsidRDefault="00FD0E78" w:rsidP="0033623E">
      <w:pPr>
        <w:pStyle w:val="ListBullet"/>
        <w:spacing w:after="60"/>
        <w:contextualSpacing w:val="0"/>
      </w:pPr>
      <w:r w:rsidRPr="003E1A15">
        <w:t>School Safety and School-Based Mental Health Services in a Large Metropolitan School District (SBMH</w:t>
      </w:r>
      <w:r>
        <w:t>)</w:t>
      </w:r>
      <w:r w:rsidR="00101BB3">
        <w:t>;</w:t>
      </w:r>
    </w:p>
    <w:p w14:paraId="033F592D" w14:textId="3B552BFB" w:rsidR="00FD0E78" w:rsidRDefault="00FD0E78" w:rsidP="0033623E">
      <w:pPr>
        <w:pStyle w:val="ListBullet"/>
        <w:spacing w:after="60"/>
        <w:contextualSpacing w:val="0"/>
      </w:pPr>
      <w:r w:rsidRPr="003E1A15">
        <w:t>Redesigned High Schools for Transformed STEM Learning Study (</w:t>
      </w:r>
      <w:r>
        <w:t>TSL)</w:t>
      </w:r>
      <w:r w:rsidR="00101BB3">
        <w:t>;</w:t>
      </w:r>
    </w:p>
    <w:p w14:paraId="075F6409" w14:textId="44C20679" w:rsidR="003E1A15" w:rsidRPr="00FD0E78" w:rsidRDefault="00FD0E78" w:rsidP="0033623E">
      <w:pPr>
        <w:pStyle w:val="ListBullet"/>
        <w:spacing w:after="60"/>
        <w:contextualSpacing w:val="0"/>
      </w:pPr>
      <w:r w:rsidRPr="003E1A15">
        <w:t>Now Is the Time– Project AWARE (Advancing Wellness and Resilience Education)</w:t>
      </w:r>
      <w:r w:rsidR="00101BB3">
        <w:t>,</w:t>
      </w:r>
      <w:r w:rsidRPr="003E1A15">
        <w:t xml:space="preserve"> OMB number 0930-0364</w:t>
      </w:r>
      <w:r w:rsidR="00101BB3">
        <w:t>; and</w:t>
      </w:r>
    </w:p>
    <w:p w14:paraId="579C066D" w14:textId="0493E266" w:rsidR="003E1A15" w:rsidRDefault="003E1A15" w:rsidP="0033623E">
      <w:pPr>
        <w:pStyle w:val="ListBullet"/>
        <w:spacing w:after="60"/>
        <w:contextualSpacing w:val="0"/>
      </w:pPr>
      <w:r w:rsidRPr="003E1A15">
        <w:t>Evaluating the Prevention Effects of Men of Strength (MOST) Clubs on Sexual Violence and Teen Dating Violence Perpetration</w:t>
      </w:r>
      <w:r w:rsidR="00101BB3">
        <w:t>.</w:t>
      </w:r>
    </w:p>
    <w:p w14:paraId="7024933B" w14:textId="2A73F355" w:rsidR="003E1A15" w:rsidRDefault="003E1A15" w:rsidP="0033623E">
      <w:pPr>
        <w:pStyle w:val="OMBbodytext"/>
        <w:spacing w:after="0"/>
        <w:ind w:left="720"/>
        <w:rPr>
          <w:bCs/>
        </w:rPr>
      </w:pPr>
    </w:p>
    <w:p w14:paraId="428B15B4" w14:textId="29274283" w:rsidR="00EF05C4" w:rsidRDefault="006A1127" w:rsidP="0033623E">
      <w:pPr>
        <w:pStyle w:val="OMBbodytext"/>
        <w:spacing w:after="0"/>
      </w:pPr>
      <w:r w:rsidRPr="00EE5B8A">
        <w:t xml:space="preserve">The data collection plan approaches the school as a community. We aim to establish rapport with the whole community—principals, teachers, parents, and </w:t>
      </w:r>
      <w:r>
        <w:t>students</w:t>
      </w:r>
      <w:r w:rsidRPr="00EE5B8A">
        <w:t xml:space="preserve">. The school community must be approached with respect and sensitivity to achieve high </w:t>
      </w:r>
      <w:r>
        <w:t>levels of participation</w:t>
      </w:r>
      <w:r w:rsidRPr="00EE5B8A">
        <w:t xml:space="preserve">. </w:t>
      </w:r>
      <w:r w:rsidRPr="0099656B">
        <w:t xml:space="preserve">Study team field staff </w:t>
      </w:r>
      <w:r w:rsidRPr="006A1127">
        <w:t xml:space="preserve">will be trained in all tasks, from securing school and teacher cooperation to completing </w:t>
      </w:r>
      <w:r w:rsidR="002871FD">
        <w:t>youth surveys</w:t>
      </w:r>
      <w:r w:rsidRPr="006A1127">
        <w:t>. This approach provides continuity in contact with the school community and helps build rapport with all types of respondents.</w:t>
      </w:r>
      <w:r w:rsidR="002B3E73">
        <w:t xml:space="preserve"> We will also leverage the strong relationships between the IOs and their communities and schools to establish rapport and foster high levels of participation.</w:t>
      </w:r>
    </w:p>
    <w:p w14:paraId="171ECB56" w14:textId="77777777" w:rsidR="006A1127" w:rsidRDefault="006A1127" w:rsidP="0033623E">
      <w:pPr>
        <w:pStyle w:val="OMBbodytext"/>
        <w:spacing w:after="0"/>
        <w:rPr>
          <w:bCs/>
        </w:rPr>
      </w:pPr>
    </w:p>
    <w:p w14:paraId="3D4AD5A0" w14:textId="0247BE68" w:rsidR="00DD3AA6" w:rsidRDefault="00EF05C4" w:rsidP="0033623E">
      <w:pPr>
        <w:pStyle w:val="OMBbodytext"/>
        <w:spacing w:after="0"/>
        <w:rPr>
          <w:bCs/>
        </w:rPr>
      </w:pPr>
      <w:r>
        <w:rPr>
          <w:bCs/>
        </w:rPr>
        <w:t xml:space="preserve">Additional </w:t>
      </w:r>
      <w:r w:rsidR="00DD3AA6">
        <w:rPr>
          <w:bCs/>
        </w:rPr>
        <w:t>methods are described below.</w:t>
      </w:r>
    </w:p>
    <w:p w14:paraId="0335B786" w14:textId="77777777" w:rsidR="00DD3AA6" w:rsidRDefault="00DD3AA6" w:rsidP="0033623E">
      <w:pPr>
        <w:pStyle w:val="OMBbodytext"/>
        <w:spacing w:after="0"/>
        <w:rPr>
          <w:bCs/>
        </w:rPr>
      </w:pPr>
    </w:p>
    <w:p w14:paraId="3149EA14" w14:textId="4CE706AE" w:rsidR="00384305" w:rsidRPr="0081411B" w:rsidRDefault="007D091C" w:rsidP="0081411B">
      <w:pPr>
        <w:pStyle w:val="OMBHeading-20"/>
        <w:ind w:left="720" w:hanging="360"/>
        <w:outlineLvl w:val="1"/>
        <w:rPr>
          <w:u w:val="single"/>
        </w:rPr>
      </w:pPr>
      <w:bookmarkStart w:id="69" w:name="_Toc523339248"/>
      <w:bookmarkStart w:id="70" w:name="_Toc2955865"/>
      <w:bookmarkStart w:id="71" w:name="_Toc8284051"/>
      <w:r w:rsidRPr="0081411B">
        <w:rPr>
          <w:u w:val="single"/>
        </w:rPr>
        <w:t>Parental Consent and Youth Assent Process</w:t>
      </w:r>
      <w:bookmarkEnd w:id="69"/>
      <w:bookmarkEnd w:id="70"/>
      <w:bookmarkEnd w:id="71"/>
    </w:p>
    <w:p w14:paraId="7F320BC9" w14:textId="4060BFAA" w:rsidR="00384305" w:rsidRDefault="00384305" w:rsidP="0033623E">
      <w:pPr>
        <w:pStyle w:val="ListBullet"/>
        <w:numPr>
          <w:ilvl w:val="0"/>
          <w:numId w:val="0"/>
        </w:numPr>
      </w:pPr>
      <w:r>
        <w:t xml:space="preserve">The study team will use a variety of techniques to maximize the proportion of youth who receive parental permission to participate in the study. </w:t>
      </w:r>
    </w:p>
    <w:p w14:paraId="5AA5B5EC" w14:textId="77777777" w:rsidR="00350F1A" w:rsidRDefault="00350F1A" w:rsidP="0033623E">
      <w:pPr>
        <w:pStyle w:val="ListBullet"/>
        <w:numPr>
          <w:ilvl w:val="0"/>
          <w:numId w:val="0"/>
        </w:numPr>
      </w:pPr>
    </w:p>
    <w:p w14:paraId="08763370" w14:textId="09F8BC38" w:rsidR="006A1127" w:rsidRDefault="006A1127" w:rsidP="0033623E">
      <w:pPr>
        <w:pStyle w:val="ListBullet"/>
        <w:spacing w:after="120"/>
        <w:contextualSpacing w:val="0"/>
      </w:pPr>
      <w:r w:rsidRPr="006A1127">
        <w:rPr>
          <w:u w:val="single"/>
        </w:rPr>
        <w:t>Experienced study team field staff.</w:t>
      </w:r>
      <w:r w:rsidRPr="00A068EE">
        <w:t xml:space="preserve"> </w:t>
      </w:r>
      <w:r w:rsidRPr="006A1127">
        <w:t>Study team field staff will have established records of successfully conducting data collection in school districts and schools. Field staff will demonstrate flexibility in working with the school and assuming as much of the burden as possible while conducting the student surveys.</w:t>
      </w:r>
    </w:p>
    <w:p w14:paraId="6E960BCC" w14:textId="43A1B076" w:rsidR="00384305" w:rsidRPr="0099656B" w:rsidRDefault="00F0518D" w:rsidP="0033623E">
      <w:pPr>
        <w:pStyle w:val="ListBullet"/>
        <w:spacing w:after="120"/>
        <w:contextualSpacing w:val="0"/>
      </w:pPr>
      <w:r w:rsidRPr="0099656B">
        <w:rPr>
          <w:u w:val="single"/>
        </w:rPr>
        <w:t>Pr</w:t>
      </w:r>
      <w:r w:rsidR="009E1C8F" w:rsidRPr="0099656B">
        <w:rPr>
          <w:u w:val="single"/>
        </w:rPr>
        <w:t>eviews of</w:t>
      </w:r>
      <w:r w:rsidRPr="0099656B">
        <w:rPr>
          <w:u w:val="single"/>
        </w:rPr>
        <w:t xml:space="preserve"> the questionnaires</w:t>
      </w:r>
      <w:r w:rsidR="003D188E" w:rsidRPr="0099656B">
        <w:t xml:space="preserve">. </w:t>
      </w:r>
      <w:r w:rsidR="00217025" w:rsidRPr="0099656B">
        <w:t xml:space="preserve">Per the Protection of Pupil Rights Amendment, copies of the </w:t>
      </w:r>
      <w:r w:rsidR="0054253B" w:rsidRPr="0099656B">
        <w:t>baseline</w:t>
      </w:r>
      <w:r w:rsidR="008D16D9">
        <w:t xml:space="preserve"> and </w:t>
      </w:r>
      <w:r w:rsidR="00DD1AA5" w:rsidRPr="0099656B">
        <w:t>follow-up</w:t>
      </w:r>
      <w:r w:rsidR="008D39A7" w:rsidRPr="0099656B">
        <w:t xml:space="preserve"> </w:t>
      </w:r>
      <w:r w:rsidR="00350F1A">
        <w:t>surveys</w:t>
      </w:r>
      <w:r w:rsidR="00350F1A" w:rsidRPr="0099656B">
        <w:t xml:space="preserve"> </w:t>
      </w:r>
      <w:r w:rsidR="00217025" w:rsidRPr="0099656B">
        <w:t xml:space="preserve">will be made available in </w:t>
      </w:r>
      <w:r w:rsidR="00A3465E" w:rsidRPr="0099656B">
        <w:t>an</w:t>
      </w:r>
      <w:r w:rsidR="00217025" w:rsidRPr="0099656B">
        <w:t xml:space="preserve"> office </w:t>
      </w:r>
      <w:r w:rsidR="00A3465E" w:rsidRPr="0099656B">
        <w:t xml:space="preserve">at the </w:t>
      </w:r>
      <w:r w:rsidR="008D16D9">
        <w:t>school</w:t>
      </w:r>
      <w:r w:rsidR="008D16D9" w:rsidRPr="0099656B">
        <w:t xml:space="preserve"> </w:t>
      </w:r>
      <w:r w:rsidR="00217025" w:rsidRPr="0099656B">
        <w:t xml:space="preserve">for parents to review </w:t>
      </w:r>
      <w:r w:rsidR="00A3465E" w:rsidRPr="0099656B">
        <w:t>before</w:t>
      </w:r>
      <w:r w:rsidR="00217025" w:rsidRPr="0099656B">
        <w:t xml:space="preserve"> signing the consent form. </w:t>
      </w:r>
    </w:p>
    <w:p w14:paraId="4FCF2EB8" w14:textId="43530BF5" w:rsidR="00B01A73" w:rsidRPr="0099656B" w:rsidRDefault="0055133D" w:rsidP="0033623E">
      <w:pPr>
        <w:pStyle w:val="ListBullet"/>
        <w:spacing w:after="120"/>
        <w:contextualSpacing w:val="0"/>
      </w:pPr>
      <w:r w:rsidRPr="0099656B">
        <w:rPr>
          <w:u w:val="single"/>
        </w:rPr>
        <w:t>Follow-up</w:t>
      </w:r>
      <w:r w:rsidR="005E0F1B" w:rsidRPr="0099656B">
        <w:rPr>
          <w:u w:val="single"/>
        </w:rPr>
        <w:t>s</w:t>
      </w:r>
      <w:r w:rsidRPr="0099656B">
        <w:rPr>
          <w:u w:val="single"/>
        </w:rPr>
        <w:t xml:space="preserve"> and reminders</w:t>
      </w:r>
      <w:r w:rsidR="000850CA" w:rsidRPr="0099656B">
        <w:rPr>
          <w:u w:val="single"/>
        </w:rPr>
        <w:t xml:space="preserve"> for parental consent forms</w:t>
      </w:r>
      <w:r w:rsidRPr="0099656B">
        <w:t xml:space="preserve">. </w:t>
      </w:r>
      <w:r w:rsidR="00556EDB" w:rsidRPr="0099656B">
        <w:t xml:space="preserve">Study team field staff </w:t>
      </w:r>
      <w:r w:rsidR="00894086" w:rsidRPr="0099656B">
        <w:t xml:space="preserve">will </w:t>
      </w:r>
      <w:r w:rsidR="00556EDB" w:rsidRPr="0099656B">
        <w:t xml:space="preserve">track the return of parent consent forms </w:t>
      </w:r>
      <w:r w:rsidR="00EE78DC">
        <w:t xml:space="preserve">up to </w:t>
      </w:r>
      <w:r w:rsidR="00CB12A0">
        <w:t>4</w:t>
      </w:r>
      <w:r w:rsidR="00556EDB" w:rsidRPr="0099656B">
        <w:t xml:space="preserve"> weeks. Each week, they will provide copies of reminder notes and consent forms to classroom teachers or other </w:t>
      </w:r>
      <w:r w:rsidR="008D16D9">
        <w:t>school</w:t>
      </w:r>
      <w:r w:rsidR="008D16D9" w:rsidRPr="0099656B">
        <w:t xml:space="preserve"> </w:t>
      </w:r>
      <w:r w:rsidR="00556EDB" w:rsidRPr="0099656B">
        <w:t xml:space="preserve">staff to distribute to </w:t>
      </w:r>
      <w:r w:rsidR="00350F1A">
        <w:t>youth</w:t>
      </w:r>
      <w:r w:rsidR="00350F1A" w:rsidRPr="0099656B">
        <w:t xml:space="preserve"> </w:t>
      </w:r>
      <w:r w:rsidR="000850CA" w:rsidRPr="0099656B">
        <w:t>who</w:t>
      </w:r>
      <w:r w:rsidR="00576178" w:rsidRPr="0099656B">
        <w:t>se</w:t>
      </w:r>
      <w:r w:rsidR="000850CA" w:rsidRPr="0099656B">
        <w:t xml:space="preserve"> </w:t>
      </w:r>
      <w:r w:rsidR="00576178" w:rsidRPr="0099656B">
        <w:t>parents hav</w:t>
      </w:r>
      <w:r w:rsidR="000850CA" w:rsidRPr="0099656B">
        <w:t xml:space="preserve">e not yet returned </w:t>
      </w:r>
      <w:r w:rsidR="00576178" w:rsidRPr="0099656B">
        <w:t>their consent form</w:t>
      </w:r>
      <w:r w:rsidR="000D0451">
        <w:t>s</w:t>
      </w:r>
      <w:r w:rsidR="00BF4D0C" w:rsidRPr="0099656B">
        <w:t>.</w:t>
      </w:r>
      <w:r w:rsidR="001710A6" w:rsidRPr="0099656B">
        <w:t xml:space="preserve"> </w:t>
      </w:r>
    </w:p>
    <w:p w14:paraId="4C705438" w14:textId="63FE832E" w:rsidR="00BD327A" w:rsidRPr="0099656B" w:rsidRDefault="00B247EE" w:rsidP="0033623E">
      <w:pPr>
        <w:pStyle w:val="ListBullet"/>
        <w:spacing w:after="120"/>
        <w:contextualSpacing w:val="0"/>
      </w:pPr>
      <w:r w:rsidRPr="0099656B">
        <w:rPr>
          <w:u w:val="single"/>
        </w:rPr>
        <w:t>Youth</w:t>
      </w:r>
      <w:r w:rsidR="00A3465E" w:rsidRPr="0099656B">
        <w:rPr>
          <w:u w:val="single"/>
        </w:rPr>
        <w:t xml:space="preserve">, </w:t>
      </w:r>
      <w:r w:rsidR="007D091C" w:rsidRPr="0099656B">
        <w:rPr>
          <w:u w:val="single"/>
        </w:rPr>
        <w:t>class,</w:t>
      </w:r>
      <w:r w:rsidR="00A8355F" w:rsidRPr="0099656B">
        <w:rPr>
          <w:u w:val="single"/>
        </w:rPr>
        <w:t xml:space="preserve"> </w:t>
      </w:r>
      <w:r w:rsidR="00A3465E" w:rsidRPr="0099656B">
        <w:rPr>
          <w:u w:val="single"/>
        </w:rPr>
        <w:t xml:space="preserve">or teacher/staff </w:t>
      </w:r>
      <w:r w:rsidRPr="0099656B">
        <w:rPr>
          <w:u w:val="single"/>
        </w:rPr>
        <w:t>incentives</w:t>
      </w:r>
      <w:r w:rsidRPr="0099656B">
        <w:t xml:space="preserve">. </w:t>
      </w:r>
      <w:r w:rsidR="00BD327A" w:rsidRPr="0099656B">
        <w:t xml:space="preserve">Depending on the preferences of the </w:t>
      </w:r>
      <w:r w:rsidR="008D16D9">
        <w:t>schools</w:t>
      </w:r>
      <w:r w:rsidR="00BD327A" w:rsidRPr="0099656B">
        <w:t xml:space="preserve">, </w:t>
      </w:r>
      <w:r w:rsidR="00350F1A">
        <w:t>the study team</w:t>
      </w:r>
      <w:r w:rsidR="00350F1A" w:rsidRPr="0099656B">
        <w:t xml:space="preserve"> </w:t>
      </w:r>
      <w:r w:rsidR="00BD327A" w:rsidRPr="0099656B">
        <w:t>will provide youth, class, or teacher/staff incentives for the return of parental consent forms</w:t>
      </w:r>
      <w:r w:rsidR="00350F1A">
        <w:t xml:space="preserve"> </w:t>
      </w:r>
      <w:r w:rsidR="00350F1A" w:rsidRPr="009D1B91">
        <w:t>(regardless of whether the parents provide consent to participate)</w:t>
      </w:r>
      <w:r w:rsidR="00BD327A" w:rsidRPr="0099656B">
        <w:t>.</w:t>
      </w:r>
      <w:r w:rsidR="00C8426A" w:rsidRPr="0099656B">
        <w:t xml:space="preserve"> Options include</w:t>
      </w:r>
      <w:r w:rsidR="00101BB3">
        <w:t xml:space="preserve"> the following</w:t>
      </w:r>
      <w:r w:rsidR="00C8426A" w:rsidRPr="0099656B">
        <w:t>:</w:t>
      </w:r>
    </w:p>
    <w:p w14:paraId="5ABC41E8" w14:textId="1255F13C" w:rsidR="00B247EE" w:rsidRPr="00350F1A" w:rsidRDefault="00BD327A" w:rsidP="0081411B">
      <w:pPr>
        <w:pStyle w:val="OMBbodytext"/>
        <w:numPr>
          <w:ilvl w:val="0"/>
          <w:numId w:val="39"/>
        </w:numPr>
        <w:spacing w:after="120"/>
      </w:pPr>
      <w:r w:rsidRPr="008D16D9">
        <w:rPr>
          <w:szCs w:val="24"/>
          <w:u w:val="single"/>
        </w:rPr>
        <w:t>Youth incentives</w:t>
      </w:r>
      <w:r w:rsidRPr="008D16D9">
        <w:rPr>
          <w:szCs w:val="24"/>
        </w:rPr>
        <w:t xml:space="preserve">. </w:t>
      </w:r>
      <w:r w:rsidR="00350F1A" w:rsidRPr="008D16D9">
        <w:rPr>
          <w:szCs w:val="24"/>
        </w:rPr>
        <w:t xml:space="preserve">Eligibility to participate in two $25 gift card drawings for all youth who return a signed parental consent form. </w:t>
      </w:r>
      <w:r w:rsidR="00B247EE" w:rsidRPr="008D16D9">
        <w:rPr>
          <w:szCs w:val="24"/>
        </w:rPr>
        <w:t xml:space="preserve">In addition, youth who return a signed form will be given a </w:t>
      </w:r>
      <w:r w:rsidR="008D16D9" w:rsidRPr="008D16D9">
        <w:rPr>
          <w:szCs w:val="24"/>
        </w:rPr>
        <w:t xml:space="preserve">small incentive, equivalent to $1 in value (e.g., </w:t>
      </w:r>
      <w:r w:rsidR="008671FD">
        <w:rPr>
          <w:szCs w:val="24"/>
        </w:rPr>
        <w:t>pen</w:t>
      </w:r>
      <w:r w:rsidR="008D16D9" w:rsidRPr="008D16D9">
        <w:rPr>
          <w:szCs w:val="24"/>
        </w:rPr>
        <w:t xml:space="preserve">, notepad), for each youth who returns a signed form. </w:t>
      </w:r>
      <w:r w:rsidR="004129D1" w:rsidRPr="00350F1A">
        <w:t>These incentives are comparable to what we have used successfully in other, similar studies (e.g., MOST, CEOP)</w:t>
      </w:r>
      <w:r w:rsidR="00C8426A" w:rsidRPr="00350F1A">
        <w:t>.</w:t>
      </w:r>
    </w:p>
    <w:p w14:paraId="52C7A8B5" w14:textId="48A77ADA" w:rsidR="006C759E" w:rsidRPr="00350F1A" w:rsidRDefault="00B247EE" w:rsidP="0033623E">
      <w:pPr>
        <w:pStyle w:val="OMBbodytext"/>
        <w:numPr>
          <w:ilvl w:val="0"/>
          <w:numId w:val="39"/>
        </w:numPr>
        <w:spacing w:after="120"/>
      </w:pPr>
      <w:r w:rsidRPr="00350F1A">
        <w:rPr>
          <w:u w:val="single"/>
        </w:rPr>
        <w:t>C</w:t>
      </w:r>
      <w:r w:rsidR="00A8355F" w:rsidRPr="00350F1A">
        <w:rPr>
          <w:u w:val="single"/>
        </w:rPr>
        <w:t>lass i</w:t>
      </w:r>
      <w:r w:rsidR="0055133D" w:rsidRPr="00350F1A">
        <w:rPr>
          <w:u w:val="single"/>
        </w:rPr>
        <w:t>ncentives</w:t>
      </w:r>
      <w:r w:rsidR="0055133D" w:rsidRPr="00350F1A">
        <w:t xml:space="preserve">. </w:t>
      </w:r>
      <w:r w:rsidR="00350F1A" w:rsidRPr="00AC433D">
        <w:t>$50 for a</w:t>
      </w:r>
      <w:r w:rsidR="007F3E48">
        <w:t xml:space="preserve"> party</w:t>
      </w:r>
      <w:r w:rsidR="00350F1A" w:rsidRPr="009D1B91">
        <w:t xml:space="preserve"> for the class from each grade at the school with the highest return rate</w:t>
      </w:r>
      <w:r w:rsidR="00350F1A">
        <w:t xml:space="preserve">. </w:t>
      </w:r>
      <w:r w:rsidR="004129D1" w:rsidRPr="00350F1A">
        <w:t xml:space="preserve">These incentives are comparable to what we have used successfully in other, similar studies (e.g., </w:t>
      </w:r>
      <w:r w:rsidR="00B56EE8" w:rsidRPr="00350F1A">
        <w:t>MOST, CEOP)</w:t>
      </w:r>
      <w:r w:rsidR="00C8426A" w:rsidRPr="00350F1A">
        <w:t>.</w:t>
      </w:r>
    </w:p>
    <w:p w14:paraId="072E6711" w14:textId="7B189335" w:rsidR="001710A6" w:rsidRPr="00350F1A" w:rsidRDefault="006C759E" w:rsidP="0033623E">
      <w:pPr>
        <w:pStyle w:val="OMBbodytext"/>
        <w:numPr>
          <w:ilvl w:val="0"/>
          <w:numId w:val="39"/>
        </w:numPr>
        <w:spacing w:after="120"/>
        <w:ind w:left="1138"/>
      </w:pPr>
      <w:r w:rsidRPr="00350F1A">
        <w:rPr>
          <w:u w:val="single"/>
        </w:rPr>
        <w:t>Teacher incentives</w:t>
      </w:r>
      <w:r w:rsidRPr="00350F1A">
        <w:t xml:space="preserve">. </w:t>
      </w:r>
      <w:r w:rsidR="00350F1A" w:rsidRPr="00350F1A">
        <w:t>A $25 gift card to each teacher for each classroom in which at least 90% of the parental consent forms are returned. Gift cards may be used to purchase classroom supplies or to pay for a class party.</w:t>
      </w:r>
      <w:r w:rsidR="00350F1A" w:rsidRPr="00AC433D">
        <w:t xml:space="preserve"> </w:t>
      </w:r>
      <w:r w:rsidR="003C5F40" w:rsidRPr="00350F1A">
        <w:t>These incentives are comparable to what we have used successfully in other, similar studies (e.g., TSL, CEOP)</w:t>
      </w:r>
      <w:r w:rsidR="00C8426A" w:rsidRPr="00350F1A">
        <w:t>.</w:t>
      </w:r>
    </w:p>
    <w:p w14:paraId="1625F2D0" w14:textId="5010FF26" w:rsidR="008319BB" w:rsidRPr="00033384" w:rsidRDefault="00D81FDF" w:rsidP="0033623E">
      <w:pPr>
        <w:pStyle w:val="ListBullet"/>
        <w:spacing w:after="120"/>
        <w:contextualSpacing w:val="0"/>
        <w:rPr>
          <w:b/>
        </w:rPr>
      </w:pPr>
      <w:r w:rsidRPr="002637D5">
        <w:rPr>
          <w:u w:val="single"/>
        </w:rPr>
        <w:t xml:space="preserve">IO and </w:t>
      </w:r>
      <w:r w:rsidR="000D0C26">
        <w:rPr>
          <w:u w:val="single"/>
        </w:rPr>
        <w:t>school</w:t>
      </w:r>
      <w:r w:rsidR="000D0C26" w:rsidRPr="002637D5">
        <w:rPr>
          <w:u w:val="single"/>
        </w:rPr>
        <w:t xml:space="preserve"> </w:t>
      </w:r>
      <w:r w:rsidRPr="002637D5">
        <w:rPr>
          <w:u w:val="single"/>
        </w:rPr>
        <w:t>encouragement</w:t>
      </w:r>
      <w:r w:rsidRPr="00033384">
        <w:t>.</w:t>
      </w:r>
      <w:r w:rsidR="009265C5">
        <w:t xml:space="preserve"> </w:t>
      </w:r>
      <w:r w:rsidR="008319BB" w:rsidRPr="00033384">
        <w:t xml:space="preserve">As a condition of participating in the project, IOs and </w:t>
      </w:r>
      <w:r w:rsidR="000D0C26">
        <w:t>schools</w:t>
      </w:r>
      <w:r w:rsidR="000D0C26" w:rsidRPr="00033384">
        <w:t xml:space="preserve"> </w:t>
      </w:r>
      <w:r w:rsidR="008319BB" w:rsidRPr="00033384">
        <w:t xml:space="preserve">must agree to encourage their </w:t>
      </w:r>
      <w:r w:rsidR="006826D4">
        <w:t>youth</w:t>
      </w:r>
      <w:r w:rsidR="008319BB" w:rsidRPr="00033384">
        <w:t xml:space="preserve"> to complete the surveys</w:t>
      </w:r>
      <w:r w:rsidR="0082247C" w:rsidRPr="00033384">
        <w:t xml:space="preserve"> and to allocate time and space for </w:t>
      </w:r>
      <w:r w:rsidR="006826D4">
        <w:t>youth</w:t>
      </w:r>
      <w:r w:rsidR="0082247C" w:rsidRPr="00033384">
        <w:t xml:space="preserve"> to do so</w:t>
      </w:r>
      <w:r w:rsidR="008319BB" w:rsidRPr="00033384">
        <w:t>.</w:t>
      </w:r>
    </w:p>
    <w:p w14:paraId="41E93767" w14:textId="39B3EEDE" w:rsidR="004F21C2" w:rsidRPr="0099656B" w:rsidRDefault="004F21C2" w:rsidP="0033623E">
      <w:pPr>
        <w:pStyle w:val="ListBullet2"/>
        <w:rPr>
          <w:u w:val="none"/>
        </w:rPr>
      </w:pPr>
      <w:r w:rsidRPr="0099656B">
        <w:t xml:space="preserve">Assurances of </w:t>
      </w:r>
      <w:r w:rsidR="00D77F08" w:rsidRPr="0099656B">
        <w:t>privacy</w:t>
      </w:r>
      <w:r w:rsidR="006C1483" w:rsidRPr="0099656B">
        <w:rPr>
          <w:u w:val="none"/>
        </w:rPr>
        <w:t>.</w:t>
      </w:r>
      <w:r w:rsidR="009265C5" w:rsidRPr="0099656B">
        <w:rPr>
          <w:u w:val="none"/>
        </w:rPr>
        <w:t xml:space="preserve"> </w:t>
      </w:r>
      <w:r w:rsidR="006C1483" w:rsidRPr="0099656B">
        <w:rPr>
          <w:u w:val="none"/>
        </w:rPr>
        <w:t xml:space="preserve">Respondents will receive assurances of </w:t>
      </w:r>
      <w:r w:rsidR="0059264E">
        <w:rPr>
          <w:u w:val="none"/>
        </w:rPr>
        <w:t>privacy</w:t>
      </w:r>
      <w:r w:rsidR="0059264E" w:rsidRPr="0099656B">
        <w:rPr>
          <w:u w:val="none"/>
        </w:rPr>
        <w:t xml:space="preserve"> </w:t>
      </w:r>
      <w:r w:rsidR="001E5A84" w:rsidRPr="0099656B">
        <w:rPr>
          <w:u w:val="none"/>
        </w:rPr>
        <w:t>to encourage participation</w:t>
      </w:r>
      <w:r w:rsidR="00216D94" w:rsidRPr="0099656B">
        <w:rPr>
          <w:u w:val="none"/>
        </w:rPr>
        <w:t xml:space="preserve"> and minimize item nonresponse</w:t>
      </w:r>
      <w:r w:rsidR="003B50E3" w:rsidRPr="0099656B">
        <w:rPr>
          <w:u w:val="none"/>
        </w:rPr>
        <w:t>.</w:t>
      </w:r>
    </w:p>
    <w:p w14:paraId="069EBE46" w14:textId="5CA93B67" w:rsidR="0055133D" w:rsidRPr="0099656B" w:rsidRDefault="007A0862" w:rsidP="0033623E">
      <w:pPr>
        <w:pStyle w:val="ListBullet2"/>
        <w:rPr>
          <w:u w:val="none"/>
        </w:rPr>
      </w:pPr>
      <w:r w:rsidRPr="0099656B">
        <w:t>Scheduling</w:t>
      </w:r>
      <w:r w:rsidRPr="0099656B">
        <w:rPr>
          <w:u w:val="none"/>
        </w:rPr>
        <w:t>.</w:t>
      </w:r>
      <w:r w:rsidR="009265C5" w:rsidRPr="0099656B">
        <w:rPr>
          <w:u w:val="none"/>
        </w:rPr>
        <w:t xml:space="preserve"> </w:t>
      </w:r>
      <w:r w:rsidR="0055133D" w:rsidRPr="0099656B">
        <w:rPr>
          <w:u w:val="none"/>
        </w:rPr>
        <w:t xml:space="preserve">For most of the sites, the </w:t>
      </w:r>
      <w:r w:rsidR="00C27AC6">
        <w:rPr>
          <w:u w:val="none"/>
        </w:rPr>
        <w:t>youth</w:t>
      </w:r>
      <w:r w:rsidR="0059264E">
        <w:rPr>
          <w:u w:val="none"/>
        </w:rPr>
        <w:t xml:space="preserve"> </w:t>
      </w:r>
      <w:r w:rsidRPr="0099656B">
        <w:rPr>
          <w:u w:val="none"/>
        </w:rPr>
        <w:t xml:space="preserve">baseline and follow-up </w:t>
      </w:r>
      <w:r w:rsidR="0055133D" w:rsidRPr="0099656B">
        <w:rPr>
          <w:u w:val="none"/>
        </w:rPr>
        <w:t xml:space="preserve">surveys will be implemented during the school day. For any youth who may be absent on the days that the surveys are administered, the </w:t>
      </w:r>
      <w:r w:rsidR="008F78BC" w:rsidRPr="0099656B">
        <w:rPr>
          <w:u w:val="none"/>
        </w:rPr>
        <w:t>study team field staff</w:t>
      </w:r>
      <w:r w:rsidR="0055133D" w:rsidRPr="0099656B">
        <w:rPr>
          <w:u w:val="none"/>
        </w:rPr>
        <w:t xml:space="preserve"> will work with the </w:t>
      </w:r>
      <w:r w:rsidR="00272EDA" w:rsidRPr="0099656B">
        <w:rPr>
          <w:u w:val="none"/>
        </w:rPr>
        <w:t>site liaison</w:t>
      </w:r>
      <w:r w:rsidR="0055133D" w:rsidRPr="0099656B">
        <w:rPr>
          <w:u w:val="none"/>
        </w:rPr>
        <w:t xml:space="preserve"> to schedule make-up times to administer the surveys. </w:t>
      </w:r>
      <w:r w:rsidR="00B6200A" w:rsidRPr="0099656B">
        <w:rPr>
          <w:u w:val="none"/>
        </w:rPr>
        <w:t xml:space="preserve">For the facilitator survey, facilitators will be given the questionnaire </w:t>
      </w:r>
      <w:r w:rsidR="00CB12A0">
        <w:rPr>
          <w:u w:val="none"/>
        </w:rPr>
        <w:t>3</w:t>
      </w:r>
      <w:r w:rsidR="00B6200A" w:rsidRPr="0099656B">
        <w:rPr>
          <w:u w:val="none"/>
        </w:rPr>
        <w:t xml:space="preserve"> days</w:t>
      </w:r>
      <w:r w:rsidR="008A5A5A" w:rsidRPr="0099656B">
        <w:rPr>
          <w:u w:val="none"/>
        </w:rPr>
        <w:t xml:space="preserve"> before their last class takes the participant survey </w:t>
      </w:r>
      <w:r w:rsidR="00B6200A" w:rsidRPr="0099656B">
        <w:rPr>
          <w:u w:val="none"/>
        </w:rPr>
        <w:t xml:space="preserve">to provide </w:t>
      </w:r>
      <w:r w:rsidR="008A5A5A" w:rsidRPr="0099656B">
        <w:rPr>
          <w:u w:val="none"/>
        </w:rPr>
        <w:t xml:space="preserve">them with </w:t>
      </w:r>
      <w:r w:rsidR="00B6200A" w:rsidRPr="0099656B">
        <w:rPr>
          <w:u w:val="none"/>
        </w:rPr>
        <w:t>flexibility in completing the form. A study team member will personally collect the completed facilitator questionnaires.</w:t>
      </w:r>
    </w:p>
    <w:p w14:paraId="73B15AC8" w14:textId="3DE25A30" w:rsidR="009756AF" w:rsidRDefault="006C1483" w:rsidP="0033623E">
      <w:pPr>
        <w:pStyle w:val="ListBullet2"/>
        <w:rPr>
          <w:u w:val="none"/>
        </w:rPr>
      </w:pPr>
      <w:r w:rsidRPr="0099656B">
        <w:t>Questionnaire design</w:t>
      </w:r>
      <w:r w:rsidRPr="0099656B">
        <w:rPr>
          <w:u w:val="none"/>
        </w:rPr>
        <w:t xml:space="preserve">. To minimize </w:t>
      </w:r>
      <w:r w:rsidR="00A86A66" w:rsidRPr="0099656B">
        <w:rPr>
          <w:u w:val="none"/>
        </w:rPr>
        <w:t xml:space="preserve">item </w:t>
      </w:r>
      <w:r w:rsidR="001D74E6" w:rsidRPr="0099656B">
        <w:rPr>
          <w:u w:val="none"/>
        </w:rPr>
        <w:t>nonresponse</w:t>
      </w:r>
      <w:r w:rsidRPr="0099656B">
        <w:rPr>
          <w:u w:val="none"/>
        </w:rPr>
        <w:t>, the questionnaires have been designed to minimize the time required to complete them: 30 minutes for the baseline and follow-up surveys</w:t>
      </w:r>
      <w:r w:rsidR="007C4364" w:rsidRPr="0099656B">
        <w:rPr>
          <w:u w:val="none"/>
        </w:rPr>
        <w:t>;</w:t>
      </w:r>
      <w:r w:rsidRPr="0099656B">
        <w:rPr>
          <w:u w:val="none"/>
        </w:rPr>
        <w:t xml:space="preserve"> </w:t>
      </w:r>
      <w:r w:rsidR="007E016A" w:rsidRPr="0099656B">
        <w:rPr>
          <w:u w:val="none"/>
        </w:rPr>
        <w:t>10</w:t>
      </w:r>
      <w:r w:rsidRPr="0099656B">
        <w:rPr>
          <w:u w:val="none"/>
        </w:rPr>
        <w:t xml:space="preserve"> minutes for the process evaluation participant survey</w:t>
      </w:r>
      <w:r w:rsidR="007C4364" w:rsidRPr="0099656B">
        <w:rPr>
          <w:u w:val="none"/>
        </w:rPr>
        <w:t>; and</w:t>
      </w:r>
      <w:r w:rsidR="00BF2FDE" w:rsidRPr="0099656B">
        <w:rPr>
          <w:u w:val="none"/>
        </w:rPr>
        <w:t xml:space="preserve"> 25</w:t>
      </w:r>
      <w:r w:rsidR="007C4364" w:rsidRPr="0099656B">
        <w:rPr>
          <w:u w:val="none"/>
        </w:rPr>
        <w:t xml:space="preserve"> minutes for the facilitator survey</w:t>
      </w:r>
      <w:r w:rsidRPr="0099656B">
        <w:rPr>
          <w:u w:val="none"/>
        </w:rPr>
        <w:t xml:space="preserve">. </w:t>
      </w:r>
      <w:r w:rsidR="007C4364" w:rsidRPr="0099656B">
        <w:rPr>
          <w:u w:val="none"/>
        </w:rPr>
        <w:t>Each questionnaire</w:t>
      </w:r>
      <w:bookmarkStart w:id="72" w:name="_Toc66688731"/>
      <w:bookmarkStart w:id="73" w:name="_Toc152464669"/>
      <w:bookmarkStart w:id="74" w:name="_Toc186528701"/>
      <w:bookmarkStart w:id="75" w:name="_Toc195508850"/>
      <w:bookmarkStart w:id="76" w:name="_Toc216078529"/>
      <w:bookmarkStart w:id="77" w:name="_Toc216149338"/>
      <w:r w:rsidR="007C4364" w:rsidRPr="0099656B">
        <w:rPr>
          <w:u w:val="none"/>
        </w:rPr>
        <w:t xml:space="preserve"> is</w:t>
      </w:r>
      <w:r w:rsidR="00604695" w:rsidRPr="0099656B">
        <w:rPr>
          <w:u w:val="none"/>
        </w:rPr>
        <w:t xml:space="preserve"> also d</w:t>
      </w:r>
      <w:r w:rsidR="006E05D1" w:rsidRPr="0099656B">
        <w:rPr>
          <w:u w:val="none"/>
        </w:rPr>
        <w:t xml:space="preserve">esigned </w:t>
      </w:r>
      <w:r w:rsidR="00604695" w:rsidRPr="0099656B">
        <w:rPr>
          <w:u w:val="none"/>
        </w:rPr>
        <w:t>using</w:t>
      </w:r>
      <w:r w:rsidR="00282E25" w:rsidRPr="0099656B">
        <w:rPr>
          <w:u w:val="none"/>
        </w:rPr>
        <w:t xml:space="preserve"> </w:t>
      </w:r>
      <w:r w:rsidR="00BA3443" w:rsidRPr="0099656B">
        <w:rPr>
          <w:u w:val="none"/>
        </w:rPr>
        <w:t>clear</w:t>
      </w:r>
      <w:r w:rsidR="006E05D1" w:rsidRPr="0099656B">
        <w:rPr>
          <w:u w:val="none"/>
        </w:rPr>
        <w:t>, age-appropriate language</w:t>
      </w:r>
      <w:r w:rsidRPr="0099656B">
        <w:rPr>
          <w:u w:val="none"/>
        </w:rPr>
        <w:t>.</w:t>
      </w:r>
    </w:p>
    <w:p w14:paraId="2FAAB4D0" w14:textId="77777777" w:rsidR="004042B1" w:rsidRPr="0099656B" w:rsidRDefault="004042B1" w:rsidP="004042B1">
      <w:pPr>
        <w:pStyle w:val="ListBullet2"/>
        <w:numPr>
          <w:ilvl w:val="0"/>
          <w:numId w:val="0"/>
        </w:numPr>
        <w:ind w:left="1080"/>
        <w:rPr>
          <w:u w:val="none"/>
        </w:rPr>
      </w:pPr>
    </w:p>
    <w:p w14:paraId="421986CB" w14:textId="77174AC3" w:rsidR="00ED092B" w:rsidRPr="0081411B" w:rsidRDefault="007D091C" w:rsidP="0081411B">
      <w:pPr>
        <w:pStyle w:val="OMBHeading-20"/>
        <w:ind w:left="720" w:hanging="360"/>
        <w:outlineLvl w:val="1"/>
        <w:rPr>
          <w:u w:val="single"/>
        </w:rPr>
      </w:pPr>
      <w:bookmarkStart w:id="78" w:name="_Toc523339250"/>
      <w:bookmarkStart w:id="79" w:name="_Toc2955866"/>
      <w:bookmarkStart w:id="80" w:name="_Toc8284052"/>
      <w:r w:rsidRPr="0081411B">
        <w:rPr>
          <w:u w:val="single"/>
        </w:rPr>
        <w:t>Methods to Deal With Nonresponse</w:t>
      </w:r>
      <w:bookmarkEnd w:id="78"/>
      <w:bookmarkEnd w:id="79"/>
      <w:bookmarkEnd w:id="80"/>
    </w:p>
    <w:p w14:paraId="2D0D0CF3" w14:textId="6358D82D" w:rsidR="00ED092B" w:rsidRDefault="00ED092B" w:rsidP="0033623E">
      <w:pPr>
        <w:pStyle w:val="OMBbodytext"/>
      </w:pPr>
      <w:r w:rsidRPr="002C4975">
        <w:t xml:space="preserve">Nonresponse falls into two primary categories. Survey nonresponse occurs when a sampled person does not complete any of the measurement instrument and </w:t>
      </w:r>
      <w:r w:rsidR="00101BB3">
        <w:t>is</w:t>
      </w:r>
      <w:r w:rsidR="00101BB3" w:rsidRPr="002C4975">
        <w:t xml:space="preserve"> </w:t>
      </w:r>
      <w:r w:rsidRPr="002C4975">
        <w:t>essentially not part of the study. Reasons for survey nonresponse include refusal, changing schools, or lack of comprehension/ability to complete the instrument. Item nonresponse, typically referred to as missing data, occurs when indiv</w:t>
      </w:r>
      <w:r w:rsidR="007E016A">
        <w:t xml:space="preserve">idual items </w:t>
      </w:r>
      <w:r w:rsidR="0059264E">
        <w:t xml:space="preserve">on a questionnaire </w:t>
      </w:r>
      <w:r w:rsidR="007E016A">
        <w:t>are not completed. Analytical m</w:t>
      </w:r>
      <w:r w:rsidRPr="002C4975">
        <w:t>ethods for addressing each type are briefly discussed below</w:t>
      </w:r>
      <w:r w:rsidR="003B2BF6">
        <w:t>.</w:t>
      </w:r>
    </w:p>
    <w:p w14:paraId="234D3582" w14:textId="080FFD41" w:rsidR="00620F80" w:rsidRPr="00620F80" w:rsidRDefault="00620F80" w:rsidP="00620F80">
      <w:pPr>
        <w:pStyle w:val="NormalSS"/>
        <w:ind w:firstLine="0"/>
        <w:rPr>
          <w:rFonts w:ascii="Times New Roman" w:eastAsia="Times New Roman" w:hAnsi="Times New Roman" w:cs="Times New Roman"/>
          <w:szCs w:val="20"/>
        </w:rPr>
      </w:pPr>
      <w:r w:rsidRPr="00620F80">
        <w:rPr>
          <w:rFonts w:ascii="Times New Roman" w:eastAsia="Times New Roman" w:hAnsi="Times New Roman" w:cs="Times New Roman"/>
          <w:szCs w:val="20"/>
        </w:rPr>
        <w:t xml:space="preserve">The evaluation team will take steps to understand the nature of any non-response and to account for the threat that it may pose for the validity of the study’s impact estimates. Using data from the baseline survey, evaluation team members will first test for statistically significant differences across demographic and baseline outcome variables between respondents and nonrespondents. Any such differences will be documented in the </w:t>
      </w:r>
      <w:r w:rsidR="00651DED">
        <w:rPr>
          <w:rFonts w:ascii="Times New Roman" w:eastAsia="Times New Roman" w:hAnsi="Times New Roman" w:cs="Times New Roman"/>
          <w:szCs w:val="20"/>
        </w:rPr>
        <w:t xml:space="preserve">evaluation </w:t>
      </w:r>
      <w:r w:rsidRPr="00620F80">
        <w:rPr>
          <w:rFonts w:ascii="Times New Roman" w:eastAsia="Times New Roman" w:hAnsi="Times New Roman" w:cs="Times New Roman"/>
          <w:szCs w:val="20"/>
        </w:rPr>
        <w:t xml:space="preserve">impact reports. The team will also test for differences between the research groups in their baseline characteristics and control for these differences using covariates when estimating program impacts. </w:t>
      </w:r>
    </w:p>
    <w:p w14:paraId="3EE6F90F" w14:textId="161FBE55" w:rsidR="00D65699" w:rsidRDefault="00301D5E" w:rsidP="0033623E">
      <w:pPr>
        <w:pStyle w:val="OMBbodytext"/>
      </w:pPr>
      <w:r>
        <w:t>For survey nonresponse and overall attrition, t</w:t>
      </w:r>
      <w:r w:rsidR="00E30E70">
        <w:t>he evaluation team will also c</w:t>
      </w:r>
      <w:r>
        <w:t xml:space="preserve">onduct analyses of participant attrition at various steps in the study process, from eligibility to parental consent to youth assent to </w:t>
      </w:r>
      <w:r w:rsidR="00637C04">
        <w:t xml:space="preserve">youth </w:t>
      </w:r>
      <w:r>
        <w:t xml:space="preserve">baseline and follow-up survey completion. Analyses of attrition and survey nonresponse </w:t>
      </w:r>
      <w:r w:rsidR="006F7C68">
        <w:t xml:space="preserve">both </w:t>
      </w:r>
      <w:r>
        <w:t>overall and by intervention versus comparison group</w:t>
      </w:r>
      <w:r w:rsidR="005478BF">
        <w:t xml:space="preserve"> (i.e., differential attrition)</w:t>
      </w:r>
      <w:r>
        <w:t xml:space="preserve"> will inform the evaluation team on </w:t>
      </w:r>
      <w:r w:rsidR="005478BF">
        <w:t>how the study fared</w:t>
      </w:r>
      <w:r>
        <w:t xml:space="preserve"> relative to preferred </w:t>
      </w:r>
      <w:r w:rsidR="00863E31">
        <w:t xml:space="preserve">attrition and nonresponse </w:t>
      </w:r>
      <w:r>
        <w:t>standards in the field of teen pregnancy prevention.</w:t>
      </w:r>
      <w:r w:rsidR="005478BF">
        <w:t xml:space="preserve"> </w:t>
      </w:r>
    </w:p>
    <w:p w14:paraId="0E06DDB2" w14:textId="3873AA0A" w:rsidR="00E44AD2" w:rsidRDefault="00E44AD2" w:rsidP="0033623E">
      <w:pPr>
        <w:pStyle w:val="OMBbodytext"/>
      </w:pPr>
      <w:r>
        <w:t>The team will also examine casewise nonresponse to identify participants who did not complete a large percentage (e.g., 70% or more) of the survey items.</w:t>
      </w:r>
    </w:p>
    <w:p w14:paraId="5B32BEC9" w14:textId="6E96C5D9" w:rsidR="00E31D1E" w:rsidRDefault="005478BF" w:rsidP="0033623E">
      <w:pPr>
        <w:pStyle w:val="OMBbodytext"/>
      </w:pPr>
      <w:r>
        <w:t xml:space="preserve">For item-level nonresponse, the team will examine and report statistics on missing data by item. </w:t>
      </w:r>
      <w:r w:rsidR="00C4033E">
        <w:t xml:space="preserve"> To address missing item-level responses for each of the TPP-relevant study variables, t</w:t>
      </w:r>
      <w:r w:rsidR="00662EB9" w:rsidRPr="009B562D">
        <w:t xml:space="preserve">he FFRDC team will use a cost effective and validated </w:t>
      </w:r>
      <w:r w:rsidR="00C4033E">
        <w:t xml:space="preserve">‘mean value imputation’ </w:t>
      </w:r>
      <w:r w:rsidR="00662EB9" w:rsidRPr="009B562D">
        <w:t>approach</w:t>
      </w:r>
      <w:r w:rsidR="00C4033E">
        <w:t xml:space="preserve"> (c.f., Puma, Olsen, Bell, et al., 2009)</w:t>
      </w:r>
      <w:r w:rsidR="005C4EAE" w:rsidRPr="009B562D">
        <w:t>.</w:t>
      </w:r>
      <w:r w:rsidR="00662EB9" w:rsidRPr="009B562D">
        <w:t xml:space="preserve"> </w:t>
      </w:r>
      <w:r w:rsidR="00E31D1E">
        <w:t xml:space="preserve">For each TPP-relevant </w:t>
      </w:r>
      <w:r w:rsidR="00C4033E">
        <w:t xml:space="preserve">item </w:t>
      </w:r>
      <w:r w:rsidR="00E31D1E">
        <w:t>variable, w</w:t>
      </w:r>
      <w:r w:rsidR="00662EB9" w:rsidRPr="009B562D">
        <w:t>e will create a flag (dummy variable)</w:t>
      </w:r>
      <w:r w:rsidR="009B562D" w:rsidRPr="009B562D">
        <w:t xml:space="preserve"> that identifies cases with missing values. In a newly created TPP-relevant </w:t>
      </w:r>
      <w:r w:rsidR="00C4033E">
        <w:t xml:space="preserve">item </w:t>
      </w:r>
      <w:r w:rsidR="009B562D" w:rsidRPr="009B562D">
        <w:t xml:space="preserve">variable, each missing data point will be replaced with the mean </w:t>
      </w:r>
      <w:r w:rsidR="00C4033E">
        <w:t xml:space="preserve">that has been </w:t>
      </w:r>
      <w:r w:rsidR="009B562D" w:rsidRPr="009B562D">
        <w:t xml:space="preserve">calculated across all non-missing cases for that TPP-relevant </w:t>
      </w:r>
      <w:r w:rsidR="00C4033E">
        <w:t xml:space="preserve">item </w:t>
      </w:r>
      <w:r w:rsidR="009B562D" w:rsidRPr="009B562D">
        <w:t xml:space="preserve">variable </w:t>
      </w:r>
      <w:r w:rsidR="00662EB9" w:rsidRPr="009B562D">
        <w:t>(</w:t>
      </w:r>
      <w:r w:rsidR="009B562D" w:rsidRPr="009B562D">
        <w:t>Puma et al., 2009</w:t>
      </w:r>
      <w:r w:rsidR="00662EB9" w:rsidRPr="009B562D">
        <w:t>)</w:t>
      </w:r>
      <w:r w:rsidR="009B562D" w:rsidRPr="009B562D">
        <w:t>.</w:t>
      </w:r>
    </w:p>
    <w:p w14:paraId="7EA1A32D" w14:textId="5B5E3F39" w:rsidR="00ED092B" w:rsidRDefault="00045542" w:rsidP="0033623E">
      <w:pPr>
        <w:pStyle w:val="OMBbodytext"/>
      </w:pPr>
      <w:r>
        <w:t xml:space="preserve">The evaluation team will also examine overall and differential attrition for the study and will provide descriptive information on sources of attrition (e.g., parental consent, </w:t>
      </w:r>
      <w:r w:rsidR="003A7788">
        <w:t>youth absences</w:t>
      </w:r>
      <w:r w:rsidR="00DC6E47">
        <w:t xml:space="preserve"> from attendance data</w:t>
      </w:r>
      <w:r w:rsidR="003A7788">
        <w:t xml:space="preserve">, </w:t>
      </w:r>
      <w:r w:rsidR="00DD265B">
        <w:t>survey</w:t>
      </w:r>
      <w:r w:rsidR="0084324C">
        <w:t xml:space="preserve"> or </w:t>
      </w:r>
      <w:r w:rsidR="003B6A42">
        <w:t xml:space="preserve">item </w:t>
      </w:r>
      <w:r>
        <w:t>nonresponse).</w:t>
      </w:r>
      <w:r w:rsidR="00811BDD">
        <w:t xml:space="preserve"> These analyses will help to contextualize the study findings, and a discussion of study limitations due to patterns in attrition will be included in the final report.</w:t>
      </w:r>
    </w:p>
    <w:p w14:paraId="75DAF8E8" w14:textId="55D2F663" w:rsidR="00D4449D" w:rsidRPr="00933EF1" w:rsidRDefault="00D4449D" w:rsidP="0081411B">
      <w:pPr>
        <w:pStyle w:val="OMBheading-1"/>
        <w:ind w:left="360" w:hanging="360"/>
        <w:outlineLvl w:val="1"/>
      </w:pPr>
      <w:bookmarkStart w:id="81" w:name="_Toc523339251"/>
      <w:bookmarkStart w:id="82" w:name="_Toc8284053"/>
      <w:r w:rsidRPr="00933EF1">
        <w:t>B4.</w:t>
      </w:r>
      <w:r w:rsidRPr="00933EF1">
        <w:tab/>
        <w:t>Tests of Procedures</w:t>
      </w:r>
      <w:bookmarkEnd w:id="72"/>
      <w:r w:rsidRPr="00933EF1">
        <w:t xml:space="preserve"> or Methods to </w:t>
      </w:r>
      <w:r w:rsidR="00632F91" w:rsidRPr="00933EF1">
        <w:t xml:space="preserve">Be </w:t>
      </w:r>
      <w:r w:rsidRPr="00933EF1">
        <w:t>Undertaken</w:t>
      </w:r>
      <w:bookmarkEnd w:id="73"/>
      <w:bookmarkEnd w:id="74"/>
      <w:bookmarkEnd w:id="75"/>
      <w:bookmarkEnd w:id="76"/>
      <w:bookmarkEnd w:id="77"/>
      <w:bookmarkEnd w:id="81"/>
      <w:bookmarkEnd w:id="82"/>
      <w:r w:rsidRPr="00933EF1">
        <w:t xml:space="preserve"> </w:t>
      </w:r>
    </w:p>
    <w:p w14:paraId="08F03E38" w14:textId="522DED21" w:rsidR="00185499" w:rsidRPr="00EC0654" w:rsidRDefault="00313752" w:rsidP="0033623E">
      <w:pPr>
        <w:pStyle w:val="OMBbodytext"/>
        <w:rPr>
          <w:szCs w:val="24"/>
        </w:rPr>
      </w:pPr>
      <w:bookmarkStart w:id="83" w:name="_Toc66688732"/>
      <w:bookmarkStart w:id="84" w:name="_Toc152464670"/>
      <w:bookmarkStart w:id="85" w:name="_Toc186528702"/>
      <w:r w:rsidRPr="00313752">
        <w:t>As much as possible, the data collection instruments for the study draw on surveys, forms, and protocols that have been used successfully in previous federal studies. For</w:t>
      </w:r>
      <w:r>
        <w:t xml:space="preserve"> example, t</w:t>
      </w:r>
      <w:r w:rsidR="00451E5C" w:rsidRPr="00E7656A">
        <w:t xml:space="preserve">he </w:t>
      </w:r>
      <w:r w:rsidR="00101845">
        <w:t>youth</w:t>
      </w:r>
      <w:r w:rsidR="00451E5C" w:rsidRPr="00E7656A">
        <w:t xml:space="preserve"> </w:t>
      </w:r>
      <w:r w:rsidR="00101845">
        <w:t xml:space="preserve">proximal outcome </w:t>
      </w:r>
      <w:r w:rsidR="00451E5C" w:rsidRPr="00E7656A">
        <w:t>questionnaire</w:t>
      </w:r>
      <w:r w:rsidR="00101845">
        <w:t>s</w:t>
      </w:r>
      <w:r w:rsidR="001E5A9B">
        <w:t xml:space="preserve"> and participant survey were</w:t>
      </w:r>
      <w:r w:rsidR="00451E5C" w:rsidRPr="00E7656A">
        <w:t xml:space="preserve"> </w:t>
      </w:r>
      <w:r w:rsidR="00C26EFC" w:rsidRPr="00C26EFC">
        <w:t>modeled on instruments used in</w:t>
      </w:r>
      <w:r w:rsidR="00C26EFC">
        <w:t xml:space="preserve"> </w:t>
      </w:r>
      <w:r w:rsidR="00451E5C" w:rsidRPr="00E7656A">
        <w:t xml:space="preserve">previous studies addressing similar </w:t>
      </w:r>
      <w:r w:rsidR="00451E5C" w:rsidRPr="00EC0654">
        <w:rPr>
          <w:szCs w:val="24"/>
        </w:rPr>
        <w:t>topics</w:t>
      </w:r>
      <w:r w:rsidR="003B50E3" w:rsidRPr="00EC0654">
        <w:rPr>
          <w:szCs w:val="24"/>
        </w:rPr>
        <w:t xml:space="preserve"> with similar populations</w:t>
      </w:r>
      <w:r w:rsidR="00451E5C" w:rsidRPr="00EC0654">
        <w:rPr>
          <w:szCs w:val="24"/>
        </w:rPr>
        <w:t>, including</w:t>
      </w:r>
      <w:r w:rsidR="00A15F08">
        <w:rPr>
          <w:szCs w:val="24"/>
        </w:rPr>
        <w:t xml:space="preserve"> the following</w:t>
      </w:r>
      <w:r w:rsidR="00185499" w:rsidRPr="00EC0654">
        <w:rPr>
          <w:szCs w:val="24"/>
        </w:rPr>
        <w:t>:</w:t>
      </w:r>
    </w:p>
    <w:p w14:paraId="5FA34CC3" w14:textId="0B478E2E" w:rsidR="00185499" w:rsidRPr="00EC0654" w:rsidRDefault="00185499" w:rsidP="0033623E">
      <w:pPr>
        <w:pStyle w:val="ListBullet"/>
        <w:spacing w:after="60"/>
        <w:contextualSpacing w:val="0"/>
      </w:pPr>
      <w:r w:rsidRPr="00EC0654">
        <w:t>Adolescent Family Life Prevention Programs, Core Baseline Questionnaire.</w:t>
      </w:r>
      <w:r w:rsidR="009265C5">
        <w:t xml:space="preserve"> </w:t>
      </w:r>
      <w:r w:rsidRPr="00EC0654">
        <w:t xml:space="preserve">OMB </w:t>
      </w:r>
      <w:r w:rsidR="00632F91" w:rsidRPr="00EC0654">
        <w:t xml:space="preserve">number </w:t>
      </w:r>
      <w:r w:rsidRPr="00EC0654">
        <w:t xml:space="preserve">0990-0291 </w:t>
      </w:r>
      <w:r w:rsidR="00F61379" w:rsidRPr="00EC0654">
        <w:t>(</w:t>
      </w:r>
      <w:r w:rsidR="00632F91" w:rsidRPr="00EC0654">
        <w:t>expiration date</w:t>
      </w:r>
      <w:r w:rsidRPr="00EC0654">
        <w:t>:</w:t>
      </w:r>
      <w:r w:rsidR="009265C5">
        <w:t xml:space="preserve"> </w:t>
      </w:r>
      <w:r w:rsidRPr="00EC0654">
        <w:t>02/29/</w:t>
      </w:r>
      <w:r w:rsidR="001D74E6">
        <w:t>2012)</w:t>
      </w:r>
      <w:r w:rsidR="00A15F08">
        <w:t>.</w:t>
      </w:r>
    </w:p>
    <w:p w14:paraId="16C4B0EE" w14:textId="2CA1852B" w:rsidR="00185499" w:rsidRPr="00EC0654" w:rsidRDefault="00185499" w:rsidP="0033623E">
      <w:pPr>
        <w:pStyle w:val="ListBullet"/>
        <w:spacing w:after="60"/>
        <w:contextualSpacing w:val="0"/>
      </w:pPr>
      <w:r w:rsidRPr="00EC0654">
        <w:t>2017 National High School Youth Risk Behavior Survey.</w:t>
      </w:r>
      <w:r w:rsidR="009265C5">
        <w:t xml:space="preserve"> </w:t>
      </w:r>
      <w:r w:rsidR="00A15F08" w:rsidRPr="00EC0654">
        <w:t xml:space="preserve">Form </w:t>
      </w:r>
      <w:r w:rsidR="00632F91" w:rsidRPr="00EC0654">
        <w:t xml:space="preserve">approved </w:t>
      </w:r>
      <w:r w:rsidRPr="00EC0654">
        <w:t xml:space="preserve">OMB </w:t>
      </w:r>
      <w:r w:rsidR="00632F91" w:rsidRPr="00EC0654">
        <w:t>number</w:t>
      </w:r>
      <w:r w:rsidRPr="00EC0654">
        <w:t xml:space="preserve"> 0920-0493 </w:t>
      </w:r>
      <w:r w:rsidR="00632F91">
        <w:t>(</w:t>
      </w:r>
      <w:r w:rsidR="00632F91" w:rsidRPr="00EC0654">
        <w:t>expiration date</w:t>
      </w:r>
      <w:r w:rsidRPr="00EC0654">
        <w:t>: 11/30/</w:t>
      </w:r>
      <w:r w:rsidR="001D74E6">
        <w:t>2019</w:t>
      </w:r>
      <w:r w:rsidR="00632F91">
        <w:t>)</w:t>
      </w:r>
      <w:r w:rsidR="00A15F08">
        <w:t>.</w:t>
      </w:r>
    </w:p>
    <w:p w14:paraId="12C45702" w14:textId="051CFE38" w:rsidR="00185499" w:rsidRPr="00EC0654" w:rsidRDefault="00185499" w:rsidP="0033623E">
      <w:pPr>
        <w:pStyle w:val="ListBullet"/>
        <w:spacing w:after="60"/>
        <w:contextualSpacing w:val="0"/>
      </w:pPr>
      <w:r w:rsidRPr="00EC0654">
        <w:t>Drug-Free Schools and Communities Act Outcomes Study</w:t>
      </w:r>
      <w:r w:rsidR="00632F91">
        <w:t>—</w:t>
      </w:r>
      <w:r w:rsidRPr="00EC0654">
        <w:t>Student Survey, U</w:t>
      </w:r>
      <w:r w:rsidR="00632F91">
        <w:t>.</w:t>
      </w:r>
      <w:r w:rsidRPr="00EC0654">
        <w:t>S</w:t>
      </w:r>
      <w:r w:rsidR="00632F91">
        <w:t>.</w:t>
      </w:r>
      <w:r w:rsidRPr="00EC0654">
        <w:t xml:space="preserve"> Department of Education</w:t>
      </w:r>
      <w:r w:rsidR="00A15F08">
        <w:t>.</w:t>
      </w:r>
      <w:r w:rsidRPr="00EC0654">
        <w:t xml:space="preserve"> OMB </w:t>
      </w:r>
      <w:r w:rsidR="00632F91" w:rsidRPr="00EC0654">
        <w:t xml:space="preserve">number </w:t>
      </w:r>
      <w:r w:rsidRPr="00EC0654">
        <w:t>1875-0070 (</w:t>
      </w:r>
      <w:r w:rsidR="00632F91" w:rsidRPr="00EC0654">
        <w:t>expiration date</w:t>
      </w:r>
      <w:r w:rsidR="008D27D8" w:rsidRPr="00EC0654">
        <w:t>:</w:t>
      </w:r>
      <w:r w:rsidR="008D27D8" w:rsidRPr="00EC0654" w:rsidDel="008D27D8">
        <w:t xml:space="preserve"> </w:t>
      </w:r>
      <w:r w:rsidRPr="00EC0654">
        <w:t>5/31/</w:t>
      </w:r>
      <w:r w:rsidR="00A15F08">
        <w:t>19</w:t>
      </w:r>
      <w:r w:rsidR="001D74E6">
        <w:t>95)</w:t>
      </w:r>
      <w:r w:rsidR="00A15F08">
        <w:t>.</w:t>
      </w:r>
    </w:p>
    <w:p w14:paraId="114A9237" w14:textId="60C8C8C6" w:rsidR="00185499" w:rsidRPr="00EC0654" w:rsidRDefault="00185499" w:rsidP="0033623E">
      <w:pPr>
        <w:pStyle w:val="ListBullet"/>
        <w:spacing w:after="60"/>
        <w:contextualSpacing w:val="0"/>
      </w:pPr>
      <w:r w:rsidRPr="00EC0654">
        <w:t>BFY Building Futures for Youth:</w:t>
      </w:r>
      <w:r w:rsidR="009265C5">
        <w:t xml:space="preserve"> </w:t>
      </w:r>
      <w:r w:rsidRPr="00EC0654">
        <w:t xml:space="preserve">My Life, My Choices, My Future! </w:t>
      </w:r>
      <w:r w:rsidR="00632F91" w:rsidRPr="00EC0654">
        <w:t xml:space="preserve">female and male student </w:t>
      </w:r>
      <w:r w:rsidRPr="00EC0654">
        <w:t>surveys, 2006</w:t>
      </w:r>
      <w:r w:rsidR="00632F91">
        <w:t>–</w:t>
      </w:r>
      <w:r w:rsidRPr="00EC0654">
        <w:t xml:space="preserve">2007. No </w:t>
      </w:r>
      <w:r w:rsidR="007F4087" w:rsidRPr="00EC0654">
        <w:t xml:space="preserve">known </w:t>
      </w:r>
      <w:r w:rsidRPr="00EC0654">
        <w:t>OMB number</w:t>
      </w:r>
      <w:r w:rsidR="00A15F08">
        <w:t>.</w:t>
      </w:r>
    </w:p>
    <w:p w14:paraId="74D7FB14" w14:textId="573CE736" w:rsidR="00185499" w:rsidRPr="00EC0654" w:rsidRDefault="00185499" w:rsidP="0033623E">
      <w:pPr>
        <w:pStyle w:val="ListBullet"/>
        <w:spacing w:after="60"/>
        <w:contextualSpacing w:val="0"/>
      </w:pPr>
      <w:r w:rsidRPr="00EC0654">
        <w:t>Evaluation of Adolescent Pregnancy Prevention Approaches and Impact Evaluation of the Teen Pregnancy Prevention Program Grantees, by Mathematica Policy Research.</w:t>
      </w:r>
      <w:r w:rsidR="009265C5">
        <w:t xml:space="preserve"> </w:t>
      </w:r>
      <w:r w:rsidRPr="00EC0654">
        <w:rPr>
          <w:snapToGrid w:val="0"/>
        </w:rPr>
        <w:t xml:space="preserve">OMB </w:t>
      </w:r>
      <w:r w:rsidR="00632F91" w:rsidRPr="00EC0654">
        <w:t>number</w:t>
      </w:r>
      <w:r w:rsidRPr="00EC0654">
        <w:rPr>
          <w:snapToGrid w:val="0"/>
        </w:rPr>
        <w:t xml:space="preserve"> 0970-0360 </w:t>
      </w:r>
      <w:r w:rsidR="00F61379" w:rsidRPr="00EC0654">
        <w:rPr>
          <w:snapToGrid w:val="0"/>
        </w:rPr>
        <w:t>(</w:t>
      </w:r>
      <w:r w:rsidR="00632F91" w:rsidRPr="00EC0654">
        <w:t>expiration date</w:t>
      </w:r>
      <w:r w:rsidRPr="00EC0654">
        <w:t>: 07/31/</w:t>
      </w:r>
      <w:r w:rsidR="001D74E6">
        <w:t>2013)</w:t>
      </w:r>
      <w:r w:rsidR="00A15F08">
        <w:t>.</w:t>
      </w:r>
    </w:p>
    <w:p w14:paraId="1CC829D3" w14:textId="03393A51" w:rsidR="00185499" w:rsidRPr="00EC0654" w:rsidRDefault="00185499" w:rsidP="0033623E">
      <w:pPr>
        <w:pStyle w:val="ListBullet"/>
        <w:spacing w:after="60"/>
        <w:contextualSpacing w:val="0"/>
      </w:pPr>
      <w:r w:rsidRPr="00EC0654">
        <w:t>Profiles of Romantic and Sexual Relationships in Emerging Adulthood:</w:t>
      </w:r>
      <w:r w:rsidR="009265C5">
        <w:t xml:space="preserve"> </w:t>
      </w:r>
      <w:r w:rsidRPr="00EC0654">
        <w:t>A National Study.</w:t>
      </w:r>
      <w:r w:rsidR="009265C5">
        <w:t xml:space="preserve"> </w:t>
      </w:r>
      <w:r w:rsidRPr="00EC0654">
        <w:t>No known OMB number</w:t>
      </w:r>
      <w:r w:rsidR="006F2A85">
        <w:t xml:space="preserve"> (McGroder &amp; Rue, 2010)</w:t>
      </w:r>
      <w:r w:rsidR="00A15F08">
        <w:t>.</w:t>
      </w:r>
    </w:p>
    <w:p w14:paraId="45F94B5C" w14:textId="38304B1D" w:rsidR="00185499" w:rsidRPr="00EC0654" w:rsidRDefault="00185499" w:rsidP="0033623E">
      <w:pPr>
        <w:pStyle w:val="ListBullet"/>
        <w:spacing w:after="60"/>
        <w:contextualSpacing w:val="0"/>
      </w:pPr>
      <w:r w:rsidRPr="00EC0654">
        <w:t xml:space="preserve">Mindy Scott of Child Trends helped the </w:t>
      </w:r>
      <w:r w:rsidR="006503D6" w:rsidRPr="009D1B91">
        <w:t>Federally Funded Research and Development Center (FFRDC</w:t>
      </w:r>
      <w:r w:rsidR="006503D6">
        <w:t>)</w:t>
      </w:r>
      <w:r w:rsidRPr="00EC0654">
        <w:t xml:space="preserve"> team to develop the five items specifically for the purpose of measuring teenagers’ understanding of key components of healthy relationships</w:t>
      </w:r>
      <w:r w:rsidR="00A15F08">
        <w:t>.</w:t>
      </w:r>
      <w:r w:rsidRPr="00EC0654">
        <w:t xml:space="preserve"> No known OMB number</w:t>
      </w:r>
      <w:r w:rsidR="006F2A85">
        <w:t xml:space="preserve"> (Scott, </w:t>
      </w:r>
      <w:r w:rsidR="006F2A85" w:rsidRPr="00EC0654">
        <w:t>Moore</w:t>
      </w:r>
      <w:r w:rsidR="006F2A85">
        <w:t xml:space="preserve">, </w:t>
      </w:r>
      <w:r w:rsidR="006F2A85" w:rsidRPr="00EC0654">
        <w:t>Fish</w:t>
      </w:r>
      <w:r w:rsidR="006F2A85">
        <w:t xml:space="preserve">, </w:t>
      </w:r>
      <w:r w:rsidR="006F2A85" w:rsidRPr="00EC0654">
        <w:t>Benedetti</w:t>
      </w:r>
      <w:r w:rsidR="006F2A85">
        <w:t xml:space="preserve">, &amp; </w:t>
      </w:r>
      <w:r w:rsidR="006F2A85" w:rsidRPr="00EC0654">
        <w:t>Erikson</w:t>
      </w:r>
      <w:r w:rsidR="006F2A85">
        <w:t>, 2015)</w:t>
      </w:r>
      <w:r w:rsidR="00A15F08">
        <w:t>.</w:t>
      </w:r>
    </w:p>
    <w:p w14:paraId="07CCDBBF" w14:textId="29A8A281" w:rsidR="00185499" w:rsidRPr="00EC0654" w:rsidRDefault="00185499" w:rsidP="0033623E">
      <w:pPr>
        <w:pStyle w:val="ListBullet"/>
        <w:spacing w:after="60"/>
        <w:contextualSpacing w:val="0"/>
      </w:pPr>
      <w:r w:rsidRPr="00EC0654">
        <w:t xml:space="preserve">Engender Health for a </w:t>
      </w:r>
      <w:r w:rsidR="00A15F08" w:rsidRPr="00EC0654">
        <w:t>Better Life</w:t>
      </w:r>
      <w:r w:rsidRPr="00EC0654">
        <w:t>. Re:MIX Program Evaluation Survey.</w:t>
      </w:r>
      <w:r w:rsidR="009265C5">
        <w:t xml:space="preserve"> </w:t>
      </w:r>
      <w:r w:rsidRPr="00EC0654">
        <w:t>Child Trends. No OMB number</w:t>
      </w:r>
      <w:r w:rsidR="00A15F08">
        <w:t>.</w:t>
      </w:r>
    </w:p>
    <w:p w14:paraId="0883BDDC" w14:textId="183F0CCB" w:rsidR="006F2A85" w:rsidRDefault="00185499" w:rsidP="0033623E">
      <w:pPr>
        <w:pStyle w:val="ListBullet"/>
        <w:spacing w:after="60"/>
        <w:contextualSpacing w:val="0"/>
      </w:pPr>
      <w:r w:rsidRPr="006F2A85">
        <w:rPr>
          <w:color w:val="000000"/>
          <w:shd w:val="clear" w:color="auto" w:fill="FFFFFF"/>
        </w:rPr>
        <w:t>The National Longitudinal Study of Adolescent to Adult Health (Add Health) Wave I.</w:t>
      </w:r>
      <w:r w:rsidR="009265C5" w:rsidRPr="006F2A85">
        <w:rPr>
          <w:color w:val="000000"/>
          <w:shd w:val="clear" w:color="auto" w:fill="FFFFFF"/>
        </w:rPr>
        <w:t xml:space="preserve"> </w:t>
      </w:r>
      <w:r w:rsidRPr="006F2A85">
        <w:rPr>
          <w:color w:val="000000"/>
          <w:shd w:val="clear" w:color="auto" w:fill="FFFFFF"/>
        </w:rPr>
        <w:t>University of North Carolina, Carolina Population Center.</w:t>
      </w:r>
      <w:r w:rsidR="009265C5" w:rsidRPr="006F2A85">
        <w:rPr>
          <w:color w:val="000000"/>
          <w:shd w:val="clear" w:color="auto" w:fill="FFFFFF"/>
        </w:rPr>
        <w:t xml:space="preserve"> </w:t>
      </w:r>
      <w:r w:rsidRPr="006F2A85">
        <w:rPr>
          <w:color w:val="000000"/>
          <w:shd w:val="clear" w:color="auto" w:fill="FFFFFF"/>
        </w:rPr>
        <w:t xml:space="preserve">No OMB </w:t>
      </w:r>
      <w:r w:rsidR="00CB12A0" w:rsidRPr="006F2A85">
        <w:rPr>
          <w:color w:val="000000"/>
          <w:shd w:val="clear" w:color="auto" w:fill="FFFFFF"/>
        </w:rPr>
        <w:t>n</w:t>
      </w:r>
      <w:r w:rsidRPr="006F2A85">
        <w:rPr>
          <w:color w:val="000000"/>
          <w:shd w:val="clear" w:color="auto" w:fill="FFFFFF"/>
        </w:rPr>
        <w:t>umber</w:t>
      </w:r>
      <w:r w:rsidR="006F2A85" w:rsidRPr="006F2A85">
        <w:rPr>
          <w:color w:val="000000"/>
          <w:shd w:val="clear" w:color="auto" w:fill="FFFFFF"/>
        </w:rPr>
        <w:t xml:space="preserve"> (</w:t>
      </w:r>
      <w:r w:rsidR="006F2A85">
        <w:t>McGroder &amp; Rue, 2010)</w:t>
      </w:r>
      <w:r w:rsidRPr="006F2A85">
        <w:rPr>
          <w:color w:val="000000"/>
          <w:shd w:val="clear" w:color="auto" w:fill="FFFFFF"/>
        </w:rPr>
        <w:t>.</w:t>
      </w:r>
    </w:p>
    <w:p w14:paraId="5DCCADFD" w14:textId="4E78B9FB" w:rsidR="00185499" w:rsidRPr="00EC0654" w:rsidRDefault="00185499" w:rsidP="0033623E">
      <w:pPr>
        <w:pStyle w:val="ListBullet"/>
        <w:spacing w:after="60"/>
        <w:contextualSpacing w:val="0"/>
      </w:pPr>
      <w:r w:rsidRPr="00EC0654">
        <w:t>Healthy Respect Youth Development High School Survey Follow-Up; Pre-course H</w:t>
      </w:r>
      <w:r w:rsidRPr="006F2A85">
        <w:rPr>
          <w:color w:val="000000"/>
        </w:rPr>
        <w:t>ealthy Respect Youth Development Program Survey.</w:t>
      </w:r>
      <w:r w:rsidR="009265C5" w:rsidRPr="006F2A85">
        <w:rPr>
          <w:color w:val="000000"/>
        </w:rPr>
        <w:t xml:space="preserve"> </w:t>
      </w:r>
      <w:r w:rsidRPr="00EC0654">
        <w:t>No known OMB number</w:t>
      </w:r>
      <w:r w:rsidR="00A15F08">
        <w:t>.</w:t>
      </w:r>
    </w:p>
    <w:p w14:paraId="103BBD45" w14:textId="24146E10" w:rsidR="00185499" w:rsidRPr="00EC0654" w:rsidRDefault="00185499" w:rsidP="0033623E">
      <w:pPr>
        <w:pStyle w:val="ListBullet"/>
        <w:spacing w:after="60"/>
        <w:contextualSpacing w:val="0"/>
      </w:pPr>
      <w:r w:rsidRPr="00EC0654">
        <w:t>Operation Keepsake Program Pretest 2008</w:t>
      </w:r>
      <w:r w:rsidR="00A15F08">
        <w:t>–</w:t>
      </w:r>
      <w:r w:rsidRPr="00EC0654">
        <w:t>2009.</w:t>
      </w:r>
      <w:r w:rsidR="009265C5">
        <w:t xml:space="preserve"> </w:t>
      </w:r>
      <w:r w:rsidRPr="00EC0654">
        <w:t>No known OMB number</w:t>
      </w:r>
      <w:r w:rsidR="00A15F08">
        <w:t>.</w:t>
      </w:r>
    </w:p>
    <w:p w14:paraId="5ED8CB4B" w14:textId="2FA00444" w:rsidR="00185499" w:rsidRPr="00EC0654" w:rsidRDefault="00185499" w:rsidP="0033623E">
      <w:pPr>
        <w:pStyle w:val="ListBullet"/>
        <w:spacing w:after="60"/>
        <w:contextualSpacing w:val="0"/>
      </w:pPr>
      <w:r w:rsidRPr="00EC0654">
        <w:t>2009 National Youth Risk Behavior Survey.</w:t>
      </w:r>
      <w:r w:rsidR="009265C5">
        <w:t xml:space="preserve"> </w:t>
      </w:r>
      <w:r w:rsidRPr="00EC0654">
        <w:t xml:space="preserve">OMB </w:t>
      </w:r>
      <w:r w:rsidR="00632F91" w:rsidRPr="00EC0654">
        <w:t>number</w:t>
      </w:r>
      <w:r w:rsidRPr="00EC0654">
        <w:t xml:space="preserve"> 0920-</w:t>
      </w:r>
      <w:r w:rsidR="001D74E6">
        <w:t>0493</w:t>
      </w:r>
      <w:r w:rsidR="00A15F08">
        <w:t>.</w:t>
      </w:r>
    </w:p>
    <w:p w14:paraId="3DFBE42C" w14:textId="2B536A9E" w:rsidR="00185499" w:rsidRPr="00EC0654" w:rsidRDefault="00185499" w:rsidP="0033623E">
      <w:pPr>
        <w:pStyle w:val="ListBullet"/>
        <w:spacing w:after="60"/>
        <w:contextualSpacing w:val="0"/>
      </w:pPr>
      <w:r w:rsidRPr="00EC0654">
        <w:rPr>
          <w:color w:val="000000"/>
        </w:rPr>
        <w:t>Pew Research Center’s Internet &amp; American Life Project</w:t>
      </w:r>
      <w:r w:rsidR="00A15F08">
        <w:rPr>
          <w:color w:val="000000"/>
        </w:rPr>
        <w:t>.</w:t>
      </w:r>
    </w:p>
    <w:p w14:paraId="39EDD8B5" w14:textId="0E1B8339" w:rsidR="00185499" w:rsidRDefault="00185499" w:rsidP="0033623E">
      <w:pPr>
        <w:pStyle w:val="ListBullet"/>
        <w:spacing w:after="120"/>
        <w:contextualSpacing w:val="0"/>
      </w:pPr>
      <w:r w:rsidRPr="00EC0654">
        <w:t>2013</w:t>
      </w:r>
      <w:r w:rsidR="00A15F08">
        <w:t>–</w:t>
      </w:r>
      <w:r w:rsidRPr="00EC0654">
        <w:t>2015 National Survey of Family Growth.</w:t>
      </w:r>
      <w:r w:rsidR="009265C5">
        <w:t xml:space="preserve"> </w:t>
      </w:r>
      <w:r w:rsidRPr="00EC0654">
        <w:t>Female Questionnaire.</w:t>
      </w:r>
      <w:r w:rsidR="009265C5">
        <w:t xml:space="preserve"> </w:t>
      </w:r>
      <w:r w:rsidRPr="00EC0654">
        <w:t xml:space="preserve">OMB </w:t>
      </w:r>
      <w:r w:rsidR="00632F91" w:rsidRPr="00EC0654">
        <w:t>number</w:t>
      </w:r>
      <w:r w:rsidRPr="00EC0654">
        <w:t xml:space="preserve"> 0920</w:t>
      </w:r>
      <w:r w:rsidR="00A15F08">
        <w:noBreakHyphen/>
      </w:r>
      <w:r w:rsidRPr="00EC0654">
        <w:t>0314</w:t>
      </w:r>
      <w:r w:rsidR="00A15F08">
        <w:t>.</w:t>
      </w:r>
    </w:p>
    <w:p w14:paraId="3D52F5B9" w14:textId="77777777" w:rsidR="00026F02" w:rsidRDefault="00026F02" w:rsidP="00026F02">
      <w:pPr>
        <w:pStyle w:val="ListBullet"/>
        <w:spacing w:after="60"/>
        <w:contextualSpacing w:val="0"/>
      </w:pPr>
      <w:r w:rsidRPr="00A10B3D">
        <w:t>Dating Matters: Strategies to Promote Healthy Teen Relationships™ Initiative</w:t>
      </w:r>
      <w:r>
        <w:t xml:space="preserve">. OMB </w:t>
      </w:r>
      <w:r w:rsidRPr="00EC0654">
        <w:t>number</w:t>
      </w:r>
      <w:r>
        <w:t xml:space="preserve"> 0920-0941</w:t>
      </w:r>
      <w:r w:rsidRPr="00185499">
        <w:t>.</w:t>
      </w:r>
    </w:p>
    <w:p w14:paraId="32A97F4B" w14:textId="77777777" w:rsidR="00026F02" w:rsidRPr="007C1311" w:rsidRDefault="00026F02" w:rsidP="00026F02">
      <w:pPr>
        <w:pStyle w:val="ListBullet"/>
        <w:spacing w:after="60"/>
        <w:contextualSpacing w:val="0"/>
      </w:pPr>
      <w:r w:rsidRPr="00A10B3D">
        <w:t>“It’s Your Game…</w:t>
      </w:r>
      <w:r>
        <w:t xml:space="preserve"> </w:t>
      </w:r>
      <w:r w:rsidRPr="00A10B3D">
        <w:t xml:space="preserve">Keep It Real” Student </w:t>
      </w:r>
      <w:r w:rsidRPr="007C1311">
        <w:t>Reaction Survey (sponsored by HHS Office of Adolescent Health). No known OMB number (Potter</w:t>
      </w:r>
      <w:r>
        <w:t xml:space="preserve">, </w:t>
      </w:r>
      <w:r w:rsidRPr="00F54E25">
        <w:t>Coyle, Glassman, Kershner, &amp; Prince</w:t>
      </w:r>
      <w:r>
        <w:t>,</w:t>
      </w:r>
      <w:r w:rsidRPr="007C1311">
        <w:t xml:space="preserve"> </w:t>
      </w:r>
      <w:r>
        <w:t>2016).</w:t>
      </w:r>
    </w:p>
    <w:p w14:paraId="5085D52F" w14:textId="2000419E" w:rsidR="00026F02" w:rsidRDefault="00026F02" w:rsidP="00026F02">
      <w:pPr>
        <w:pStyle w:val="ListBullet"/>
        <w:spacing w:after="120"/>
        <w:contextualSpacing w:val="0"/>
      </w:pPr>
      <w:r w:rsidRPr="007C1311">
        <w:t xml:space="preserve">Promoting Health Among Teens (PHAT) Participant Debriefing Questionnaire. No known OMB number (Walker, </w:t>
      </w:r>
      <w:r>
        <w:t>Inoa, &amp; Coppola, 2016).</w:t>
      </w:r>
    </w:p>
    <w:p w14:paraId="44E20478" w14:textId="3C7990DE" w:rsidR="00F753D3" w:rsidRPr="00EC0654" w:rsidRDefault="00F753D3" w:rsidP="00026F02">
      <w:pPr>
        <w:pStyle w:val="ListBullet"/>
        <w:spacing w:after="120"/>
        <w:contextualSpacing w:val="0"/>
      </w:pPr>
      <w:r>
        <w:t>Youth Empowerment IDEAS Youth Survey (DRAFT). (Mathematica Policy Research, October 8, 2018).</w:t>
      </w:r>
    </w:p>
    <w:p w14:paraId="4D346BC1" w14:textId="3322F424" w:rsidR="00B16F57" w:rsidRPr="00E7656A" w:rsidRDefault="00451E5C" w:rsidP="0033623E">
      <w:pPr>
        <w:pStyle w:val="OMBbodytext"/>
      </w:pPr>
      <w:r w:rsidRPr="00EC0654">
        <w:rPr>
          <w:szCs w:val="24"/>
        </w:rPr>
        <w:t>Most of the</w:t>
      </w:r>
      <w:r w:rsidRPr="00E7656A">
        <w:t xml:space="preserve"> questions in the </w:t>
      </w:r>
      <w:r w:rsidR="008231EF">
        <w:t>baseline</w:t>
      </w:r>
      <w:r w:rsidR="00967050">
        <w:t xml:space="preserve"> </w:t>
      </w:r>
      <w:r w:rsidRPr="00E7656A">
        <w:t xml:space="preserve">questionnaire are </w:t>
      </w:r>
      <w:r w:rsidR="00C9395C">
        <w:t xml:space="preserve">based on </w:t>
      </w:r>
      <w:r w:rsidRPr="00E7656A">
        <w:t xml:space="preserve">questions </w:t>
      </w:r>
      <w:r w:rsidR="005B6A2C" w:rsidRPr="00E7656A">
        <w:t>used in previous questionnaires</w:t>
      </w:r>
      <w:r w:rsidRPr="00E7656A">
        <w:t xml:space="preserve"> or mod</w:t>
      </w:r>
      <w:r w:rsidR="005B6A2C" w:rsidRPr="00E7656A">
        <w:t xml:space="preserve">ified </w:t>
      </w:r>
      <w:r w:rsidR="00C9395C">
        <w:t>to align with SMARTool targets</w:t>
      </w:r>
      <w:r w:rsidR="005B6A2C" w:rsidRPr="00E7656A">
        <w:t xml:space="preserve">. </w:t>
      </w:r>
      <w:r w:rsidR="00C9395C">
        <w:t>Several q</w:t>
      </w:r>
      <w:r w:rsidR="005B6A2C" w:rsidRPr="00E7656A">
        <w:t xml:space="preserve">uestions were created for this study to address specific topics of interest not covered in the other questionnaires reviewed. </w:t>
      </w:r>
      <w:r w:rsidR="00123291">
        <w:t>We conducted c</w:t>
      </w:r>
      <w:r w:rsidR="0055133D" w:rsidRPr="00E7656A">
        <w:t xml:space="preserve">ognitive testing of the </w:t>
      </w:r>
      <w:r w:rsidR="00101845">
        <w:t>youth</w:t>
      </w:r>
      <w:r w:rsidR="00400F9F" w:rsidRPr="00E7656A">
        <w:t xml:space="preserve"> </w:t>
      </w:r>
      <w:r w:rsidR="0055133D" w:rsidRPr="00E7656A">
        <w:t xml:space="preserve">baseline </w:t>
      </w:r>
      <w:r w:rsidRPr="00E7656A">
        <w:t xml:space="preserve">questionnaire </w:t>
      </w:r>
      <w:r w:rsidR="0055133D" w:rsidRPr="00E7656A">
        <w:t xml:space="preserve">with </w:t>
      </w:r>
      <w:r w:rsidR="00CB12A0">
        <w:t>nine</w:t>
      </w:r>
      <w:r w:rsidR="0055133D" w:rsidRPr="00E7656A">
        <w:t xml:space="preserve"> youth in the 9th or 10th grade. The cognitive testing identified a few questions that were not clear</w:t>
      </w:r>
      <w:r w:rsidR="00B66606" w:rsidRPr="00E7656A">
        <w:t>ly</w:t>
      </w:r>
      <w:r w:rsidR="0055133D" w:rsidRPr="00E7656A">
        <w:t xml:space="preserve"> worded, so the study team revised the questionnaire accordingly.</w:t>
      </w:r>
    </w:p>
    <w:p w14:paraId="4C486924" w14:textId="5EFCE204" w:rsidR="0055133D" w:rsidRPr="00E7656A" w:rsidRDefault="00123291" w:rsidP="0033623E">
      <w:pPr>
        <w:pStyle w:val="OMBbodytext"/>
      </w:pPr>
      <w:r>
        <w:t>We</w:t>
      </w:r>
      <w:r w:rsidR="0055133D" w:rsidRPr="00E7656A">
        <w:t xml:space="preserve"> pretest</w:t>
      </w:r>
      <w:r>
        <w:t>ed the baseline questionnaire</w:t>
      </w:r>
      <w:r w:rsidR="0055133D" w:rsidRPr="00E7656A">
        <w:t xml:space="preserve"> with </w:t>
      </w:r>
      <w:r w:rsidR="00CB12A0">
        <w:t>nine</w:t>
      </w:r>
      <w:r w:rsidR="0055133D" w:rsidRPr="00E7656A">
        <w:t xml:space="preserve"> more youth in</w:t>
      </w:r>
      <w:r w:rsidR="00BB31C8" w:rsidRPr="00E7656A">
        <w:t xml:space="preserve"> the</w:t>
      </w:r>
      <w:r w:rsidR="0055133D" w:rsidRPr="00E7656A">
        <w:t xml:space="preserve"> 9th or 10th grade. </w:t>
      </w:r>
      <w:r w:rsidRPr="00123291">
        <w:t>The purpose of the pretests was to identify problems that study respondents might have providing the requested information and to confirm the level of burden.</w:t>
      </w:r>
      <w:r>
        <w:t xml:space="preserve"> </w:t>
      </w:r>
      <w:r w:rsidR="0055133D" w:rsidRPr="00E7656A">
        <w:t xml:space="preserve">Six of the </w:t>
      </w:r>
      <w:r w:rsidR="00CB12A0">
        <w:t>nine</w:t>
      </w:r>
      <w:r w:rsidR="0055133D" w:rsidRPr="00E7656A">
        <w:t xml:space="preserve"> youth were able to complete the questionnaire in 30 minutes or less, but three required more time. As a result, the study team shortened the questionnaire to ensure that it could be completed in 30 minutes or </w:t>
      </w:r>
      <w:r w:rsidR="00C9395C">
        <w:t>fewer</w:t>
      </w:r>
      <w:r w:rsidR="0055133D" w:rsidRPr="00E7656A">
        <w:t>.</w:t>
      </w:r>
    </w:p>
    <w:p w14:paraId="2C4418B7" w14:textId="64278839" w:rsidR="001E5A9B" w:rsidRDefault="001E5A9B" w:rsidP="001E5A9B">
      <w:pPr>
        <w:pStyle w:val="OMBbodytext"/>
      </w:pPr>
      <w:r>
        <w:t>Similarly, many items in</w:t>
      </w:r>
      <w:r w:rsidRPr="00613988">
        <w:t xml:space="preserve"> the facilitator questionnaire were derived from one of the following sources:</w:t>
      </w:r>
    </w:p>
    <w:p w14:paraId="4B74FF4B" w14:textId="77777777" w:rsidR="001E5A9B" w:rsidRPr="007C1311" w:rsidRDefault="001E5A9B" w:rsidP="001E5A9B">
      <w:pPr>
        <w:pStyle w:val="ListBullet"/>
        <w:spacing w:after="60"/>
        <w:contextualSpacing w:val="0"/>
      </w:pPr>
      <w:r w:rsidRPr="007C1311">
        <w:t>Attitudes of Alabama Parents of Public School Children. No known OMB number (Millner</w:t>
      </w:r>
      <w:r>
        <w:t xml:space="preserve">, </w:t>
      </w:r>
      <w:r w:rsidRPr="007C1311">
        <w:t>Turrens</w:t>
      </w:r>
      <w:r>
        <w:t xml:space="preserve">, &amp; </w:t>
      </w:r>
      <w:r w:rsidRPr="007C1311">
        <w:t>Shaw, 2017)</w:t>
      </w:r>
      <w:r>
        <w:t>.</w:t>
      </w:r>
      <w:r w:rsidRPr="007C1311">
        <w:t xml:space="preserve"> </w:t>
      </w:r>
    </w:p>
    <w:p w14:paraId="6272BFC7" w14:textId="77777777" w:rsidR="001E5A9B" w:rsidRPr="007C1311" w:rsidRDefault="001E5A9B" w:rsidP="001E5A9B">
      <w:pPr>
        <w:pStyle w:val="ListBullet"/>
        <w:spacing w:after="60"/>
        <w:contextualSpacing w:val="0"/>
      </w:pPr>
      <w:r w:rsidRPr="007C1311">
        <w:t>Working to Institutionalize Sex Education (WISE) Teacher Survey. No known OMB number (Butler</w:t>
      </w:r>
      <w:r>
        <w:t>, Sorace, &amp; Beach</w:t>
      </w:r>
      <w:r w:rsidRPr="007C1311">
        <w:t>, 2018)</w:t>
      </w:r>
      <w:r>
        <w:t>.</w:t>
      </w:r>
    </w:p>
    <w:p w14:paraId="673425D5" w14:textId="77777777" w:rsidR="001E5A9B" w:rsidRPr="007C1311" w:rsidRDefault="001E5A9B" w:rsidP="001E5A9B">
      <w:pPr>
        <w:pStyle w:val="ListBullet"/>
        <w:spacing w:after="60"/>
        <w:contextualSpacing w:val="0"/>
      </w:pPr>
      <w:r w:rsidRPr="007C1311">
        <w:t>“It’s Your Game…</w:t>
      </w:r>
      <w:r>
        <w:t xml:space="preserve"> </w:t>
      </w:r>
      <w:r w:rsidRPr="007C1311">
        <w:t>Keep It Real” Teacher Survey (sponsored by HHS Office of Adolescent Health). No known OMB number (Potter et al</w:t>
      </w:r>
      <w:r>
        <w:t>.</w:t>
      </w:r>
      <w:r w:rsidRPr="007C1311">
        <w:t>, 2016)</w:t>
      </w:r>
      <w:r>
        <w:t>.</w:t>
      </w:r>
    </w:p>
    <w:p w14:paraId="569C55D6" w14:textId="77777777" w:rsidR="001E5A9B" w:rsidRPr="007C1311" w:rsidRDefault="001E5A9B" w:rsidP="001E5A9B">
      <w:pPr>
        <w:pStyle w:val="ListBullet"/>
        <w:spacing w:after="60"/>
        <w:contextualSpacing w:val="0"/>
      </w:pPr>
      <w:r w:rsidRPr="007C1311">
        <w:t>Teachers’ Attitude and Comfort Scale. No known OMB number (Perez</w:t>
      </w:r>
      <w:r>
        <w:t>, Luquis, &amp; Allison</w:t>
      </w:r>
      <w:r w:rsidRPr="007C1311">
        <w:t>, 2004)</w:t>
      </w:r>
      <w:r>
        <w:t>.</w:t>
      </w:r>
    </w:p>
    <w:p w14:paraId="4695DD71" w14:textId="77777777" w:rsidR="001E5A9B" w:rsidRPr="007C1311" w:rsidRDefault="001E5A9B" w:rsidP="001E5A9B">
      <w:pPr>
        <w:pStyle w:val="ListBullet"/>
        <w:spacing w:after="120"/>
        <w:contextualSpacing w:val="0"/>
      </w:pPr>
      <w:r w:rsidRPr="007C1311">
        <w:t>All4You!</w:t>
      </w:r>
      <w:r>
        <w:t xml:space="preserve"> </w:t>
      </w:r>
      <w:r w:rsidRPr="007C1311">
        <w:t>Implementation Fidelity Log. No known OMB number (Coyle et al</w:t>
      </w:r>
      <w:r>
        <w:t>.</w:t>
      </w:r>
      <w:r w:rsidRPr="007C1311">
        <w:t>, 2006)</w:t>
      </w:r>
      <w:r>
        <w:t>.</w:t>
      </w:r>
    </w:p>
    <w:p w14:paraId="53755FBD" w14:textId="6148652D" w:rsidR="00123291" w:rsidRPr="00363AA5" w:rsidRDefault="008F78BC" w:rsidP="0033623E">
      <w:pPr>
        <w:pStyle w:val="OMBbodytext"/>
      </w:pPr>
      <w:r>
        <w:t>Study team f</w:t>
      </w:r>
      <w:r w:rsidR="00123291">
        <w:t xml:space="preserve">ield staff will be </w:t>
      </w:r>
      <w:r w:rsidR="00123291" w:rsidRPr="00123291">
        <w:t>available to answer questions throughout the data collection period.</w:t>
      </w:r>
      <w:r w:rsidR="00123291">
        <w:t xml:space="preserve"> </w:t>
      </w:r>
      <w:r w:rsidR="00123291" w:rsidRPr="00123291">
        <w:t>Staff will be trained to respond to questions about the study and individual forms, so they can provide technical assistance and report any issues that come up in the field.</w:t>
      </w:r>
    </w:p>
    <w:p w14:paraId="555258D3" w14:textId="25FDF1B4" w:rsidR="00D4449D" w:rsidRPr="00636EB6" w:rsidRDefault="00D4449D" w:rsidP="0081411B">
      <w:pPr>
        <w:pStyle w:val="OMBheading-1"/>
        <w:ind w:left="360" w:hanging="360"/>
        <w:outlineLvl w:val="1"/>
      </w:pPr>
      <w:bookmarkStart w:id="86" w:name="_Toc216078530"/>
      <w:bookmarkStart w:id="87" w:name="_Toc216149339"/>
      <w:bookmarkStart w:id="88" w:name="_Toc523339252"/>
      <w:bookmarkStart w:id="89" w:name="_Toc8284054"/>
      <w:r w:rsidRPr="00933EF1">
        <w:t>B5.</w:t>
      </w:r>
      <w:r w:rsidRPr="00933EF1">
        <w:tab/>
        <w:t xml:space="preserve">Individuals Consulted on Statistical Aspects and Individuals Collecting </w:t>
      </w:r>
      <w:r w:rsidRPr="00636EB6">
        <w:t>and/or Analyzing Data</w:t>
      </w:r>
      <w:bookmarkEnd w:id="83"/>
      <w:bookmarkEnd w:id="84"/>
      <w:bookmarkEnd w:id="85"/>
      <w:bookmarkEnd w:id="86"/>
      <w:bookmarkEnd w:id="87"/>
      <w:bookmarkEnd w:id="88"/>
      <w:bookmarkEnd w:id="89"/>
      <w:r w:rsidRPr="00636EB6">
        <w:t xml:space="preserve"> </w:t>
      </w:r>
    </w:p>
    <w:p w14:paraId="532683AC" w14:textId="0DB271DE" w:rsidR="00D4449D" w:rsidRPr="00636EB6" w:rsidRDefault="00D4449D" w:rsidP="0033623E">
      <w:pPr>
        <w:pStyle w:val="OMBbodytext"/>
      </w:pPr>
      <w:r w:rsidRPr="00636EB6">
        <w:t>The agency official responsible for receiving and approving contract deliverables is</w:t>
      </w:r>
    </w:p>
    <w:p w14:paraId="07964257" w14:textId="486D811A" w:rsidR="00D4449D" w:rsidRPr="00636EB6" w:rsidRDefault="00B16F57" w:rsidP="0033623E">
      <w:pPr>
        <w:pStyle w:val="OMBbodytext"/>
        <w:spacing w:after="0"/>
        <w:ind w:left="720"/>
      </w:pPr>
      <w:r w:rsidRPr="00636EB6">
        <w:t xml:space="preserve">OASH Contract </w:t>
      </w:r>
      <w:r w:rsidR="007A322E" w:rsidRPr="00636EB6">
        <w:t>Officer</w:t>
      </w:r>
    </w:p>
    <w:p w14:paraId="0211A455" w14:textId="77777777" w:rsidR="00DF6F74" w:rsidRPr="00636EB6" w:rsidRDefault="00DF6F74" w:rsidP="0033623E">
      <w:pPr>
        <w:pStyle w:val="OMBbodytext"/>
        <w:ind w:left="720"/>
        <w:contextualSpacing/>
      </w:pPr>
      <w:r w:rsidRPr="00636EB6">
        <w:t>Office of the Assistant Secretary of Health</w:t>
      </w:r>
    </w:p>
    <w:p w14:paraId="25B4D3C5" w14:textId="2E719BCF" w:rsidR="00DF6F74" w:rsidRDefault="00DF6F74" w:rsidP="0033623E">
      <w:pPr>
        <w:pStyle w:val="OMBbodytext"/>
        <w:ind w:left="720"/>
      </w:pPr>
      <w:r w:rsidRPr="00636EB6">
        <w:t>Department of Health and Human Services</w:t>
      </w:r>
    </w:p>
    <w:p w14:paraId="2A7BC9D1" w14:textId="6297F20B" w:rsidR="00D4449D" w:rsidRPr="009F79D8" w:rsidRDefault="009F79D8" w:rsidP="0033623E">
      <w:pPr>
        <w:pStyle w:val="OMBbodytext"/>
        <w:rPr>
          <w:b/>
          <w:i/>
        </w:rPr>
      </w:pPr>
      <w:r>
        <w:t xml:space="preserve">Individuals consulted on the statistical aspects of the study are listed in </w:t>
      </w:r>
      <w:r>
        <w:rPr>
          <w:b/>
          <w:i/>
        </w:rPr>
        <w:t xml:space="preserve">Exhibit </w:t>
      </w:r>
      <w:r w:rsidR="00E03FAA">
        <w:rPr>
          <w:b/>
          <w:i/>
        </w:rPr>
        <w:t>4</w:t>
      </w:r>
      <w:r>
        <w:rPr>
          <w:b/>
          <w:i/>
        </w:rPr>
        <w:t xml:space="preserve">. </w:t>
      </w:r>
    </w:p>
    <w:p w14:paraId="5FDD1B1F" w14:textId="7A2D6D6E" w:rsidR="009F79D8" w:rsidRPr="009F79D8" w:rsidRDefault="009F79D8" w:rsidP="0081411B">
      <w:pPr>
        <w:pStyle w:val="OMBExhibitTitle"/>
        <w:ind w:left="1152" w:hanging="1152"/>
      </w:pPr>
      <w:bookmarkStart w:id="90" w:name="_Toc523339253"/>
      <w:bookmarkStart w:id="91" w:name="_Toc2955869"/>
      <w:bookmarkStart w:id="92" w:name="_Toc8284059"/>
      <w:r>
        <w:t xml:space="preserve">Exhibit </w:t>
      </w:r>
      <w:r w:rsidR="00E03FAA">
        <w:t>4</w:t>
      </w:r>
      <w:r>
        <w:t>.</w:t>
      </w:r>
      <w:r w:rsidR="009265C5">
        <w:t xml:space="preserve"> </w:t>
      </w:r>
      <w:r>
        <w:t xml:space="preserve">Individuals </w:t>
      </w:r>
      <w:r w:rsidR="007A322E">
        <w:t>Consulted on Statistical Design</w:t>
      </w:r>
      <w:bookmarkEnd w:id="90"/>
      <w:bookmarkEnd w:id="91"/>
      <w:bookmarkEnd w:id="92"/>
    </w:p>
    <w:tbl>
      <w:tblPr>
        <w:tblStyle w:val="TableGrid"/>
        <w:tblW w:w="0" w:type="auto"/>
        <w:tblLook w:val="04A0" w:firstRow="1" w:lastRow="0" w:firstColumn="1" w:lastColumn="0" w:noHBand="0" w:noVBand="1"/>
      </w:tblPr>
      <w:tblGrid>
        <w:gridCol w:w="3116"/>
        <w:gridCol w:w="3117"/>
        <w:gridCol w:w="3117"/>
      </w:tblGrid>
      <w:tr w:rsidR="009F79D8" w14:paraId="67AB5634" w14:textId="77777777" w:rsidTr="0081411B">
        <w:tc>
          <w:tcPr>
            <w:tcW w:w="3116" w:type="dxa"/>
          </w:tcPr>
          <w:p w14:paraId="1751EDAB" w14:textId="77777777" w:rsidR="009F79D8" w:rsidRPr="003619AC" w:rsidRDefault="009F79D8" w:rsidP="00576921">
            <w:pPr>
              <w:pStyle w:val="OMBbodytext"/>
              <w:keepLines/>
              <w:rPr>
                <w:b/>
              </w:rPr>
            </w:pPr>
            <w:r w:rsidRPr="003619AC">
              <w:rPr>
                <w:b/>
              </w:rPr>
              <w:t>Name</w:t>
            </w:r>
          </w:p>
        </w:tc>
        <w:tc>
          <w:tcPr>
            <w:tcW w:w="3117" w:type="dxa"/>
          </w:tcPr>
          <w:p w14:paraId="3D1787DF" w14:textId="77777777" w:rsidR="009F79D8" w:rsidRPr="003619AC" w:rsidRDefault="009F79D8" w:rsidP="00576921">
            <w:pPr>
              <w:pStyle w:val="OMBbodytext"/>
              <w:keepLines/>
              <w:rPr>
                <w:b/>
              </w:rPr>
            </w:pPr>
            <w:r w:rsidRPr="003619AC">
              <w:rPr>
                <w:b/>
              </w:rPr>
              <w:t>Title</w:t>
            </w:r>
          </w:p>
        </w:tc>
        <w:tc>
          <w:tcPr>
            <w:tcW w:w="3117" w:type="dxa"/>
          </w:tcPr>
          <w:p w14:paraId="4AC44C2E" w14:textId="18CAA576" w:rsidR="009F79D8" w:rsidRPr="003619AC" w:rsidRDefault="009F79D8" w:rsidP="00576921">
            <w:pPr>
              <w:pStyle w:val="OMBbodytext"/>
              <w:keepLines/>
              <w:rPr>
                <w:b/>
              </w:rPr>
            </w:pPr>
            <w:r w:rsidRPr="003619AC">
              <w:rPr>
                <w:b/>
              </w:rPr>
              <w:t xml:space="preserve">Telephone </w:t>
            </w:r>
            <w:r w:rsidR="007A322E" w:rsidRPr="003619AC">
              <w:rPr>
                <w:b/>
              </w:rPr>
              <w:t>Number</w:t>
            </w:r>
          </w:p>
        </w:tc>
      </w:tr>
      <w:tr w:rsidR="009F79D8" w14:paraId="04572B6A" w14:textId="77777777" w:rsidTr="0081411B">
        <w:tc>
          <w:tcPr>
            <w:tcW w:w="3116" w:type="dxa"/>
          </w:tcPr>
          <w:p w14:paraId="3316EC66" w14:textId="6BD87EA3" w:rsidR="009F79D8" w:rsidRDefault="00830C75" w:rsidP="00576921">
            <w:pPr>
              <w:pStyle w:val="OMBbodytext"/>
              <w:keepLines/>
            </w:pPr>
            <w:r>
              <w:t>Jason Williams</w:t>
            </w:r>
          </w:p>
        </w:tc>
        <w:tc>
          <w:tcPr>
            <w:tcW w:w="3117" w:type="dxa"/>
          </w:tcPr>
          <w:p w14:paraId="1177C0ED" w14:textId="33CB44DA" w:rsidR="009F79D8" w:rsidRDefault="003C72D1" w:rsidP="00576921">
            <w:pPr>
              <w:pStyle w:val="OMBbodytext"/>
              <w:keepLines/>
            </w:pPr>
            <w:r>
              <w:t>Lead Statistician, RTI</w:t>
            </w:r>
          </w:p>
        </w:tc>
        <w:tc>
          <w:tcPr>
            <w:tcW w:w="3117" w:type="dxa"/>
          </w:tcPr>
          <w:p w14:paraId="3A30FC98" w14:textId="37EC5556" w:rsidR="009F79D8" w:rsidRDefault="007A322E" w:rsidP="00576921">
            <w:pPr>
              <w:pStyle w:val="OMBbodytext"/>
              <w:keepLines/>
            </w:pPr>
            <w:r>
              <w:t>(</w:t>
            </w:r>
            <w:r w:rsidR="00D60050" w:rsidRPr="00D60050">
              <w:t>919</w:t>
            </w:r>
            <w:r>
              <w:t xml:space="preserve">) </w:t>
            </w:r>
            <w:r w:rsidR="00D60050" w:rsidRPr="00D60050">
              <w:t>541-6734</w:t>
            </w:r>
          </w:p>
        </w:tc>
      </w:tr>
      <w:tr w:rsidR="003F503F" w14:paraId="03C3D65C" w14:textId="77777777" w:rsidTr="00576921">
        <w:tc>
          <w:tcPr>
            <w:tcW w:w="3116" w:type="dxa"/>
          </w:tcPr>
          <w:p w14:paraId="3E380CEC" w14:textId="307A9DE5" w:rsidR="003F503F" w:rsidRDefault="003F503F" w:rsidP="00576921">
            <w:pPr>
              <w:pStyle w:val="OMBbodytext"/>
              <w:keepLines/>
            </w:pPr>
            <w:r>
              <w:t>Antonio Morgan-Lopez</w:t>
            </w:r>
          </w:p>
        </w:tc>
        <w:tc>
          <w:tcPr>
            <w:tcW w:w="3117" w:type="dxa"/>
          </w:tcPr>
          <w:p w14:paraId="07549646" w14:textId="6179A3B1" w:rsidR="003F503F" w:rsidRDefault="003F503F" w:rsidP="00576921">
            <w:pPr>
              <w:pStyle w:val="OMBbodytext"/>
              <w:keepLines/>
            </w:pPr>
            <w:r>
              <w:t>Senior Statistical Advisor, RTI</w:t>
            </w:r>
          </w:p>
        </w:tc>
        <w:tc>
          <w:tcPr>
            <w:tcW w:w="3117" w:type="dxa"/>
          </w:tcPr>
          <w:p w14:paraId="5315BB6B" w14:textId="6A89C666" w:rsidR="003F503F" w:rsidRDefault="003F503F" w:rsidP="00576921">
            <w:pPr>
              <w:pStyle w:val="OMBbodytext"/>
              <w:keepLines/>
            </w:pPr>
            <w:r>
              <w:t>(919) 316-3436</w:t>
            </w:r>
          </w:p>
        </w:tc>
      </w:tr>
      <w:tr w:rsidR="003F503F" w14:paraId="66626074" w14:textId="77777777" w:rsidTr="00576921">
        <w:tc>
          <w:tcPr>
            <w:tcW w:w="3116" w:type="dxa"/>
          </w:tcPr>
          <w:p w14:paraId="095C56F0" w14:textId="65A199C4" w:rsidR="003F503F" w:rsidRDefault="003F503F" w:rsidP="00576921">
            <w:pPr>
              <w:pStyle w:val="OMBbodytext"/>
              <w:keepLines/>
            </w:pPr>
            <w:r>
              <w:t>Karol Krotki</w:t>
            </w:r>
          </w:p>
        </w:tc>
        <w:tc>
          <w:tcPr>
            <w:tcW w:w="3117" w:type="dxa"/>
          </w:tcPr>
          <w:p w14:paraId="367FDF00" w14:textId="44300979" w:rsidR="003F503F" w:rsidRDefault="003F503F" w:rsidP="00576921">
            <w:pPr>
              <w:pStyle w:val="OMBbodytext"/>
              <w:keepLines/>
            </w:pPr>
            <w:r>
              <w:t>Senior Statistical Advisor, RTI</w:t>
            </w:r>
          </w:p>
        </w:tc>
        <w:tc>
          <w:tcPr>
            <w:tcW w:w="3117" w:type="dxa"/>
          </w:tcPr>
          <w:p w14:paraId="629AC41C" w14:textId="23C7ABB8" w:rsidR="003F503F" w:rsidRDefault="003F503F" w:rsidP="00576921">
            <w:pPr>
              <w:pStyle w:val="OMBbodytext"/>
              <w:keepLines/>
            </w:pPr>
            <w:r>
              <w:t>(202) 728-2485</w:t>
            </w:r>
          </w:p>
        </w:tc>
      </w:tr>
      <w:tr w:rsidR="00D55639" w14:paraId="76BAEC0C" w14:textId="77777777" w:rsidTr="00576921">
        <w:tc>
          <w:tcPr>
            <w:tcW w:w="3116" w:type="dxa"/>
          </w:tcPr>
          <w:p w14:paraId="0EB5455C" w14:textId="5B2C744D" w:rsidR="00D55639" w:rsidRDefault="00D55639" w:rsidP="00576921">
            <w:pPr>
              <w:pStyle w:val="OMBbodytext"/>
              <w:keepLines/>
            </w:pPr>
            <w:r>
              <w:t>Stefanie Schmidt</w:t>
            </w:r>
          </w:p>
        </w:tc>
        <w:tc>
          <w:tcPr>
            <w:tcW w:w="3117" w:type="dxa"/>
          </w:tcPr>
          <w:p w14:paraId="5B3285F4" w14:textId="1B653C2B" w:rsidR="00D55639" w:rsidRDefault="00D55639" w:rsidP="00576921">
            <w:pPr>
              <w:pStyle w:val="OMBbodytext"/>
              <w:keepLines/>
            </w:pPr>
            <w:r>
              <w:t>Senior Project Lead, MITRE</w:t>
            </w:r>
          </w:p>
        </w:tc>
        <w:tc>
          <w:tcPr>
            <w:tcW w:w="3117" w:type="dxa"/>
          </w:tcPr>
          <w:p w14:paraId="3C49CFF0" w14:textId="1992B1E6" w:rsidR="00D55639" w:rsidRDefault="00D55639" w:rsidP="00576921">
            <w:pPr>
              <w:pStyle w:val="OMBbodytext"/>
              <w:keepLines/>
            </w:pPr>
            <w:r>
              <w:t>(703) 983-4074</w:t>
            </w:r>
          </w:p>
        </w:tc>
      </w:tr>
    </w:tbl>
    <w:p w14:paraId="1731AE44" w14:textId="198BCB4F" w:rsidR="009F79D8" w:rsidRDefault="009F79D8" w:rsidP="00BC50FB">
      <w:pPr>
        <w:pStyle w:val="OMBbodytext"/>
      </w:pPr>
    </w:p>
    <w:p w14:paraId="230362BA" w14:textId="6726A69F" w:rsidR="004042B1" w:rsidRDefault="004042B1" w:rsidP="00BC50FB">
      <w:pPr>
        <w:pStyle w:val="OMBbodytext"/>
      </w:pPr>
    </w:p>
    <w:p w14:paraId="50D30843" w14:textId="4AF0DEC3" w:rsidR="004042B1" w:rsidRDefault="004042B1" w:rsidP="00BC50FB">
      <w:pPr>
        <w:pStyle w:val="OMBbodytext"/>
      </w:pPr>
    </w:p>
    <w:p w14:paraId="159EB250" w14:textId="042B67E1" w:rsidR="004042B1" w:rsidRDefault="004042B1" w:rsidP="00BC50FB">
      <w:pPr>
        <w:pStyle w:val="OMBbodytext"/>
      </w:pPr>
    </w:p>
    <w:p w14:paraId="103CDACA" w14:textId="77777777" w:rsidR="004042B1" w:rsidRDefault="004042B1" w:rsidP="00BC50FB">
      <w:pPr>
        <w:pStyle w:val="OMBbodytext"/>
      </w:pPr>
    </w:p>
    <w:p w14:paraId="69FA11F8" w14:textId="3BCC0235" w:rsidR="00D4449D" w:rsidRPr="009F79D8" w:rsidRDefault="009F79D8" w:rsidP="00BC50FB">
      <w:pPr>
        <w:pStyle w:val="OMBbodytext"/>
      </w:pPr>
      <w:r>
        <w:t>Individuals responsible for data collection and analysis are listed in</w:t>
      </w:r>
      <w:r>
        <w:rPr>
          <w:b/>
          <w:i/>
        </w:rPr>
        <w:t xml:space="preserve"> Exhibit </w:t>
      </w:r>
      <w:r w:rsidR="00E03FAA">
        <w:rPr>
          <w:b/>
          <w:i/>
        </w:rPr>
        <w:t>5</w:t>
      </w:r>
      <w:r>
        <w:t>.</w:t>
      </w:r>
    </w:p>
    <w:p w14:paraId="06CE576A" w14:textId="1C7D7ECD" w:rsidR="00D4449D" w:rsidRPr="00AE540B" w:rsidRDefault="00AE540B" w:rsidP="0081411B">
      <w:pPr>
        <w:pStyle w:val="OMBExhibitTitle"/>
        <w:ind w:left="1152" w:hanging="1152"/>
      </w:pPr>
      <w:bookmarkStart w:id="93" w:name="_Toc523339254"/>
      <w:bookmarkStart w:id="94" w:name="_Toc2955870"/>
      <w:bookmarkStart w:id="95" w:name="_Toc8284060"/>
      <w:r>
        <w:t xml:space="preserve">Exhibit </w:t>
      </w:r>
      <w:r w:rsidR="00E03FAA">
        <w:t>5</w:t>
      </w:r>
      <w:r>
        <w:t>.</w:t>
      </w:r>
      <w:r w:rsidR="009265C5">
        <w:t xml:space="preserve"> </w:t>
      </w:r>
      <w:r w:rsidRPr="00AE540B">
        <w:t xml:space="preserve">Individuals </w:t>
      </w:r>
      <w:r w:rsidR="007A322E" w:rsidRPr="00AE540B">
        <w:t xml:space="preserve">Responsible for </w:t>
      </w:r>
      <w:r w:rsidR="004C3C96">
        <w:t xml:space="preserve">Design, </w:t>
      </w:r>
      <w:r w:rsidR="007A322E" w:rsidRPr="00AE540B">
        <w:t>Data Collection</w:t>
      </w:r>
      <w:r w:rsidR="004C3C96">
        <w:t>,</w:t>
      </w:r>
      <w:r w:rsidR="007A322E" w:rsidRPr="00AE540B">
        <w:t xml:space="preserve"> and Analysis</w:t>
      </w:r>
      <w:bookmarkEnd w:id="93"/>
      <w:bookmarkEnd w:id="94"/>
      <w:bookmarkEnd w:id="95"/>
    </w:p>
    <w:tbl>
      <w:tblPr>
        <w:tblStyle w:val="TableGrid"/>
        <w:tblW w:w="5000" w:type="pct"/>
        <w:tblLook w:val="04A0" w:firstRow="1" w:lastRow="0" w:firstColumn="1" w:lastColumn="0" w:noHBand="0" w:noVBand="1"/>
      </w:tblPr>
      <w:tblGrid>
        <w:gridCol w:w="2248"/>
        <w:gridCol w:w="4742"/>
        <w:gridCol w:w="2586"/>
      </w:tblGrid>
      <w:tr w:rsidR="003619AC" w14:paraId="6E92F7E5" w14:textId="77777777" w:rsidTr="0081411B">
        <w:tc>
          <w:tcPr>
            <w:tcW w:w="1174" w:type="pct"/>
          </w:tcPr>
          <w:p w14:paraId="78E35409" w14:textId="769E4657" w:rsidR="003619AC" w:rsidRPr="003619AC" w:rsidRDefault="003619AC" w:rsidP="00D4449D">
            <w:pPr>
              <w:pStyle w:val="OMBbodytext"/>
              <w:keepLines/>
              <w:rPr>
                <w:b/>
              </w:rPr>
            </w:pPr>
            <w:r w:rsidRPr="003619AC">
              <w:rPr>
                <w:b/>
              </w:rPr>
              <w:t>Name</w:t>
            </w:r>
          </w:p>
        </w:tc>
        <w:tc>
          <w:tcPr>
            <w:tcW w:w="2476" w:type="pct"/>
          </w:tcPr>
          <w:p w14:paraId="441BE2F1" w14:textId="5B029751" w:rsidR="003619AC" w:rsidRPr="003619AC" w:rsidRDefault="003619AC" w:rsidP="00D4449D">
            <w:pPr>
              <w:pStyle w:val="OMBbodytext"/>
              <w:keepLines/>
              <w:rPr>
                <w:b/>
              </w:rPr>
            </w:pPr>
            <w:r w:rsidRPr="003619AC">
              <w:rPr>
                <w:b/>
              </w:rPr>
              <w:t>Title</w:t>
            </w:r>
          </w:p>
        </w:tc>
        <w:tc>
          <w:tcPr>
            <w:tcW w:w="1350" w:type="pct"/>
          </w:tcPr>
          <w:p w14:paraId="7CDE132F" w14:textId="669D86B9" w:rsidR="003619AC" w:rsidRPr="003619AC" w:rsidRDefault="003619AC" w:rsidP="00D4449D">
            <w:pPr>
              <w:pStyle w:val="OMBbodytext"/>
              <w:keepLines/>
              <w:rPr>
                <w:b/>
              </w:rPr>
            </w:pPr>
            <w:r w:rsidRPr="003619AC">
              <w:rPr>
                <w:b/>
              </w:rPr>
              <w:t xml:space="preserve">Telephone </w:t>
            </w:r>
            <w:r w:rsidR="007A322E" w:rsidRPr="003619AC">
              <w:rPr>
                <w:b/>
              </w:rPr>
              <w:t>Number</w:t>
            </w:r>
          </w:p>
        </w:tc>
      </w:tr>
      <w:tr w:rsidR="007422B2" w:rsidRPr="007422B2" w14:paraId="09AC8A76" w14:textId="77777777" w:rsidTr="0081411B">
        <w:tc>
          <w:tcPr>
            <w:tcW w:w="1174" w:type="pct"/>
          </w:tcPr>
          <w:p w14:paraId="2D72A81D" w14:textId="15764642" w:rsidR="007422B2" w:rsidRPr="007422B2" w:rsidRDefault="007422B2" w:rsidP="00D4449D">
            <w:pPr>
              <w:pStyle w:val="OMBbodytext"/>
              <w:keepLines/>
            </w:pPr>
            <w:r w:rsidRPr="007422B2">
              <w:t>Barri Burrus</w:t>
            </w:r>
          </w:p>
        </w:tc>
        <w:tc>
          <w:tcPr>
            <w:tcW w:w="2476" w:type="pct"/>
          </w:tcPr>
          <w:p w14:paraId="22A8270B" w14:textId="757205E6" w:rsidR="007422B2" w:rsidRPr="007422B2" w:rsidRDefault="007422B2" w:rsidP="00D4449D">
            <w:pPr>
              <w:pStyle w:val="OMBbodytext"/>
              <w:keepLines/>
            </w:pPr>
            <w:r w:rsidRPr="007422B2">
              <w:t>Senior Advisor</w:t>
            </w:r>
            <w:r>
              <w:t>, RTI</w:t>
            </w:r>
          </w:p>
        </w:tc>
        <w:tc>
          <w:tcPr>
            <w:tcW w:w="1350" w:type="pct"/>
          </w:tcPr>
          <w:p w14:paraId="27EEA7EA" w14:textId="3259440A" w:rsidR="007422B2" w:rsidRPr="0081411B" w:rsidRDefault="007422B2" w:rsidP="0081411B">
            <w:pPr>
              <w:pStyle w:val="OMBbodytext"/>
              <w:keepLines/>
            </w:pPr>
            <w:r w:rsidRPr="0081411B">
              <w:t xml:space="preserve">(919) </w:t>
            </w:r>
            <w:r>
              <w:t>597-5109</w:t>
            </w:r>
          </w:p>
        </w:tc>
      </w:tr>
      <w:tr w:rsidR="003F503F" w14:paraId="249B7653" w14:textId="77777777" w:rsidTr="0081411B">
        <w:tc>
          <w:tcPr>
            <w:tcW w:w="1174" w:type="pct"/>
          </w:tcPr>
          <w:p w14:paraId="0DDA4E92" w14:textId="4ABF52A8" w:rsidR="003F503F" w:rsidRDefault="003F503F" w:rsidP="00D3011A">
            <w:pPr>
              <w:pStyle w:val="OMBbodytext"/>
              <w:keepLines/>
            </w:pPr>
            <w:r>
              <w:t>Heather Kane</w:t>
            </w:r>
          </w:p>
        </w:tc>
        <w:tc>
          <w:tcPr>
            <w:tcW w:w="2476" w:type="pct"/>
          </w:tcPr>
          <w:p w14:paraId="0B04E26D" w14:textId="3B1F6720" w:rsidR="003F503F" w:rsidRDefault="003F503F" w:rsidP="00D3011A">
            <w:pPr>
              <w:pStyle w:val="OMBbodytext"/>
              <w:keepLines/>
            </w:pPr>
            <w:r>
              <w:t>Project Director, RTI</w:t>
            </w:r>
          </w:p>
        </w:tc>
        <w:tc>
          <w:tcPr>
            <w:tcW w:w="1350" w:type="pct"/>
          </w:tcPr>
          <w:p w14:paraId="556F2997" w14:textId="3EC3F843" w:rsidR="003F503F" w:rsidRPr="0081411B" w:rsidRDefault="003F503F" w:rsidP="0081411B">
            <w:pPr>
              <w:pStyle w:val="OMBbodytext"/>
              <w:keepLines/>
              <w:spacing w:after="0"/>
              <w:rPr>
                <w:lang w:val="fr-FR"/>
              </w:rPr>
            </w:pPr>
            <w:r w:rsidRPr="0081411B">
              <w:rPr>
                <w:lang w:val="fr-FR"/>
              </w:rPr>
              <w:t>(919) 541-</w:t>
            </w:r>
            <w:r>
              <w:t xml:space="preserve"> </w:t>
            </w:r>
            <w:r w:rsidRPr="00B12584">
              <w:rPr>
                <w:szCs w:val="24"/>
                <w:lang w:val="fr-FR"/>
              </w:rPr>
              <w:t>6738</w:t>
            </w:r>
          </w:p>
        </w:tc>
      </w:tr>
      <w:tr w:rsidR="003F503F" w14:paraId="57AEFE53" w14:textId="77777777" w:rsidTr="0081411B">
        <w:tc>
          <w:tcPr>
            <w:tcW w:w="1174" w:type="pct"/>
          </w:tcPr>
          <w:p w14:paraId="7B171A47" w14:textId="7F1800AC" w:rsidR="003F503F" w:rsidRDefault="003F503F" w:rsidP="00D3011A">
            <w:pPr>
              <w:pStyle w:val="OMBbodytext"/>
              <w:keepLines/>
            </w:pPr>
            <w:r>
              <w:t>Elvira Elek</w:t>
            </w:r>
          </w:p>
        </w:tc>
        <w:tc>
          <w:tcPr>
            <w:tcW w:w="2476" w:type="pct"/>
          </w:tcPr>
          <w:p w14:paraId="4058049D" w14:textId="56DEBA9F" w:rsidR="003F503F" w:rsidRDefault="003F503F" w:rsidP="00D3011A">
            <w:pPr>
              <w:pStyle w:val="OMBbodytext"/>
              <w:keepLines/>
            </w:pPr>
            <w:r>
              <w:t>Task Leader, Design</w:t>
            </w:r>
            <w:r w:rsidR="00674A45">
              <w:t xml:space="preserve"> </w:t>
            </w:r>
            <w:r>
              <w:t>Lead, RTI</w:t>
            </w:r>
          </w:p>
        </w:tc>
        <w:tc>
          <w:tcPr>
            <w:tcW w:w="1350" w:type="pct"/>
          </w:tcPr>
          <w:p w14:paraId="0BB5C764" w14:textId="567BA468" w:rsidR="003F503F" w:rsidRDefault="003F503F" w:rsidP="00D3011A">
            <w:pPr>
              <w:pStyle w:val="OMBbodytext"/>
              <w:keepLines/>
            </w:pPr>
            <w:r>
              <w:t>(</w:t>
            </w:r>
            <w:r w:rsidRPr="00B12584">
              <w:t>202</w:t>
            </w:r>
            <w:r>
              <w:t xml:space="preserve">) </w:t>
            </w:r>
            <w:r w:rsidRPr="00B12584">
              <w:t>728-2048</w:t>
            </w:r>
          </w:p>
        </w:tc>
      </w:tr>
      <w:tr w:rsidR="003F503F" w14:paraId="655F7D38" w14:textId="77777777" w:rsidTr="0081411B">
        <w:tc>
          <w:tcPr>
            <w:tcW w:w="1174" w:type="pct"/>
          </w:tcPr>
          <w:p w14:paraId="6F5F9C6D" w14:textId="605F002C" w:rsidR="003F503F" w:rsidRDefault="003F503F" w:rsidP="00D3011A">
            <w:pPr>
              <w:pStyle w:val="OMBbodytext"/>
              <w:keepLines/>
            </w:pPr>
            <w:r>
              <w:t>Suyapa Silvia</w:t>
            </w:r>
          </w:p>
        </w:tc>
        <w:tc>
          <w:tcPr>
            <w:tcW w:w="2476" w:type="pct"/>
          </w:tcPr>
          <w:p w14:paraId="4200FF7A" w14:textId="37968262" w:rsidR="003F503F" w:rsidRDefault="003F503F" w:rsidP="00D3011A">
            <w:pPr>
              <w:pStyle w:val="OMBbodytext"/>
              <w:keepLines/>
            </w:pPr>
            <w:r>
              <w:t>Data Collection Task Leader, RTI</w:t>
            </w:r>
          </w:p>
        </w:tc>
        <w:tc>
          <w:tcPr>
            <w:tcW w:w="1350" w:type="pct"/>
          </w:tcPr>
          <w:p w14:paraId="3B55CB27" w14:textId="2414C0BF" w:rsidR="003F503F" w:rsidRDefault="003F503F" w:rsidP="00D3011A">
            <w:pPr>
              <w:pStyle w:val="OMBbodytext"/>
              <w:keepLines/>
            </w:pPr>
            <w:r>
              <w:t xml:space="preserve">(919) 541- </w:t>
            </w:r>
            <w:r w:rsidRPr="00B12584">
              <w:t>5851</w:t>
            </w:r>
          </w:p>
        </w:tc>
      </w:tr>
      <w:tr w:rsidR="003F503F" w14:paraId="5360808D" w14:textId="77777777" w:rsidTr="0081411B">
        <w:tc>
          <w:tcPr>
            <w:tcW w:w="1174" w:type="pct"/>
          </w:tcPr>
          <w:p w14:paraId="1B53B652" w14:textId="7429D2FE" w:rsidR="003F503F" w:rsidRDefault="003F503F" w:rsidP="00D3011A">
            <w:pPr>
              <w:pStyle w:val="OMBbodytext"/>
              <w:keepLines/>
            </w:pPr>
            <w:r>
              <w:t>Terri Dempsey</w:t>
            </w:r>
          </w:p>
        </w:tc>
        <w:tc>
          <w:tcPr>
            <w:tcW w:w="2476" w:type="pct"/>
          </w:tcPr>
          <w:p w14:paraId="75862D9F" w14:textId="03904580" w:rsidR="003F503F" w:rsidRDefault="003F503F" w:rsidP="00D3011A">
            <w:pPr>
              <w:pStyle w:val="OMBbodytext"/>
              <w:keepLines/>
            </w:pPr>
            <w:r>
              <w:t>Lead Site Coordinator, RTI</w:t>
            </w:r>
          </w:p>
        </w:tc>
        <w:tc>
          <w:tcPr>
            <w:tcW w:w="1350" w:type="pct"/>
          </w:tcPr>
          <w:p w14:paraId="379111B1" w14:textId="50C6F047" w:rsidR="003F503F" w:rsidRDefault="003F503F" w:rsidP="00D3011A">
            <w:pPr>
              <w:pStyle w:val="OMBbodytext"/>
              <w:keepLines/>
            </w:pPr>
            <w:r>
              <w:t>(919) 541-6886</w:t>
            </w:r>
          </w:p>
        </w:tc>
      </w:tr>
      <w:tr w:rsidR="007422B2" w14:paraId="01961A09" w14:textId="77777777" w:rsidTr="0081411B">
        <w:tc>
          <w:tcPr>
            <w:tcW w:w="1174" w:type="pct"/>
          </w:tcPr>
          <w:p w14:paraId="5B5F408A" w14:textId="7AFCB725" w:rsidR="007422B2" w:rsidRDefault="007422B2" w:rsidP="00D3011A">
            <w:pPr>
              <w:pStyle w:val="OMBbodytext"/>
              <w:keepLines/>
            </w:pPr>
            <w:r>
              <w:t>Kristen Klein</w:t>
            </w:r>
          </w:p>
        </w:tc>
        <w:tc>
          <w:tcPr>
            <w:tcW w:w="2476" w:type="pct"/>
          </w:tcPr>
          <w:p w14:paraId="703BCF2A" w14:textId="4C0B0119" w:rsidR="007422B2" w:rsidRDefault="00E31044" w:rsidP="00D3011A">
            <w:pPr>
              <w:pStyle w:val="OMBbodytext"/>
              <w:keepLines/>
            </w:pPr>
            <w:r>
              <w:t xml:space="preserve">Project </w:t>
            </w:r>
            <w:r w:rsidR="007422B2">
              <w:t>Lead, MITRE</w:t>
            </w:r>
          </w:p>
        </w:tc>
        <w:tc>
          <w:tcPr>
            <w:tcW w:w="1350" w:type="pct"/>
          </w:tcPr>
          <w:p w14:paraId="418760B7" w14:textId="5CEF2D60" w:rsidR="007422B2" w:rsidRDefault="007422B2" w:rsidP="00D3011A">
            <w:pPr>
              <w:pStyle w:val="OMBbodytext"/>
              <w:keepLines/>
            </w:pPr>
            <w:r>
              <w:t>(</w:t>
            </w:r>
            <w:r w:rsidRPr="007422B2">
              <w:t>703</w:t>
            </w:r>
            <w:r>
              <w:t xml:space="preserve">) </w:t>
            </w:r>
            <w:r w:rsidRPr="007422B2">
              <w:t>983-4047</w:t>
            </w:r>
          </w:p>
        </w:tc>
      </w:tr>
      <w:tr w:rsidR="00161FBC" w14:paraId="4B397022" w14:textId="77777777" w:rsidTr="0081411B">
        <w:tc>
          <w:tcPr>
            <w:tcW w:w="1174" w:type="pct"/>
          </w:tcPr>
          <w:p w14:paraId="55F16B99" w14:textId="20B2DFBA" w:rsidR="00161FBC" w:rsidRDefault="00161FBC" w:rsidP="00D3011A">
            <w:pPr>
              <w:pStyle w:val="OMBbodytext"/>
              <w:keepLines/>
            </w:pPr>
            <w:r>
              <w:t>Jodie Royan Beltz</w:t>
            </w:r>
          </w:p>
        </w:tc>
        <w:tc>
          <w:tcPr>
            <w:tcW w:w="2476" w:type="pct"/>
          </w:tcPr>
          <w:p w14:paraId="29B9B52F" w14:textId="093DB7FE" w:rsidR="00161FBC" w:rsidRDefault="00161FBC" w:rsidP="00D3011A">
            <w:pPr>
              <w:pStyle w:val="OMBbodytext"/>
              <w:keepLines/>
            </w:pPr>
            <w:r>
              <w:t>Technical Lead, MITRE</w:t>
            </w:r>
          </w:p>
        </w:tc>
        <w:tc>
          <w:tcPr>
            <w:tcW w:w="1350" w:type="pct"/>
          </w:tcPr>
          <w:p w14:paraId="5468956E" w14:textId="608398C4" w:rsidR="00161FBC" w:rsidRDefault="00161FBC" w:rsidP="00D3011A">
            <w:pPr>
              <w:pStyle w:val="OMBbodytext"/>
              <w:keepLines/>
            </w:pPr>
            <w:r>
              <w:t xml:space="preserve">(703) </w:t>
            </w:r>
            <w:r w:rsidRPr="00161FBC">
              <w:t>983-7198</w:t>
            </w:r>
          </w:p>
        </w:tc>
      </w:tr>
    </w:tbl>
    <w:p w14:paraId="66A0A72B" w14:textId="5568ED4F" w:rsidR="000E67BD" w:rsidRDefault="000E67BD" w:rsidP="00D4449D">
      <w:pPr>
        <w:pStyle w:val="OMBbodytext"/>
        <w:keepLines/>
      </w:pPr>
    </w:p>
    <w:p w14:paraId="2386F80E" w14:textId="77777777" w:rsidR="000037DD" w:rsidRDefault="000037DD">
      <w:pPr>
        <w:widowControl/>
        <w:autoSpaceDE/>
        <w:autoSpaceDN/>
        <w:adjustRightInd/>
        <w:spacing w:after="160" w:line="259" w:lineRule="auto"/>
        <w:rPr>
          <w:b/>
        </w:rPr>
      </w:pPr>
      <w:r>
        <w:rPr>
          <w:b/>
        </w:rPr>
        <w:br w:type="page"/>
      </w:r>
    </w:p>
    <w:p w14:paraId="79E47EA6" w14:textId="62CE685F" w:rsidR="000E67BD" w:rsidRDefault="000E67BD" w:rsidP="007D091C">
      <w:pPr>
        <w:pStyle w:val="OMBheading-1"/>
      </w:pPr>
      <w:bookmarkStart w:id="96" w:name="_Toc523339255"/>
      <w:bookmarkStart w:id="97" w:name="_Toc8284055"/>
      <w:r w:rsidRPr="00461BEE">
        <w:t>References</w:t>
      </w:r>
      <w:bookmarkEnd w:id="96"/>
      <w:bookmarkEnd w:id="97"/>
    </w:p>
    <w:p w14:paraId="42579AF2" w14:textId="77777777" w:rsidR="003F503F" w:rsidRPr="00066C5E" w:rsidRDefault="003F503F" w:rsidP="003F503F">
      <w:pPr>
        <w:spacing w:after="120"/>
        <w:ind w:left="720" w:hanging="720"/>
      </w:pPr>
      <w:r w:rsidRPr="00066C5E">
        <w:t xml:space="preserve">Allison, P. D. (1990). Change Scores as Dependent Variables in Regression Analysis. Sociological Methodology, 20, 93-114. </w:t>
      </w:r>
    </w:p>
    <w:p w14:paraId="35E008A3" w14:textId="77777777" w:rsidR="003F503F" w:rsidRDefault="003F503F" w:rsidP="003F503F">
      <w:pPr>
        <w:spacing w:after="120"/>
        <w:ind w:left="720" w:hanging="720"/>
      </w:pPr>
      <w:r w:rsidRPr="00066C5E">
        <w:t>Bloom, HS, 1995. Minimum detectable effects: A simple way to report the statistical power of</w:t>
      </w:r>
      <w:r>
        <w:t xml:space="preserve"> </w:t>
      </w:r>
      <w:r w:rsidRPr="00066C5E">
        <w:t xml:space="preserve">experimental designs. </w:t>
      </w:r>
      <w:r w:rsidRPr="00066C5E">
        <w:rPr>
          <w:i/>
          <w:iCs/>
        </w:rPr>
        <w:t>Evaluation Review</w:t>
      </w:r>
      <w:r w:rsidRPr="00066C5E">
        <w:t>, 19, pp.547–556.</w:t>
      </w:r>
    </w:p>
    <w:p w14:paraId="490FCEAF" w14:textId="29C1FD7C" w:rsidR="00461BEE" w:rsidRPr="006F2A85" w:rsidRDefault="00461BEE" w:rsidP="00AD76D0">
      <w:pPr>
        <w:pStyle w:val="Bibliography"/>
      </w:pPr>
      <w:r w:rsidRPr="006F2A85">
        <w:t>Butler, R</w:t>
      </w:r>
      <w:r w:rsidR="00E02559" w:rsidRPr="006F2A85">
        <w:t xml:space="preserve">. </w:t>
      </w:r>
      <w:r w:rsidRPr="006F2A85">
        <w:t>S</w:t>
      </w:r>
      <w:r w:rsidR="00E02559" w:rsidRPr="006F2A85">
        <w:t>.</w:t>
      </w:r>
      <w:r w:rsidRPr="006F2A85">
        <w:t>, Sorace, D</w:t>
      </w:r>
      <w:r w:rsidR="00E02559" w:rsidRPr="006F2A85">
        <w:t>.</w:t>
      </w:r>
      <w:r w:rsidRPr="006F2A85">
        <w:t xml:space="preserve">, </w:t>
      </w:r>
      <w:r w:rsidR="00E02559" w:rsidRPr="006F2A85">
        <w:t xml:space="preserve">&amp; </w:t>
      </w:r>
      <w:r w:rsidRPr="006F2A85">
        <w:t>Beach, K</w:t>
      </w:r>
      <w:r w:rsidR="00E02559" w:rsidRPr="006F2A85">
        <w:t xml:space="preserve">. </w:t>
      </w:r>
      <w:r w:rsidRPr="006F2A85">
        <w:t>H</w:t>
      </w:r>
      <w:r w:rsidR="00E02559" w:rsidRPr="006F2A85">
        <w:t>.</w:t>
      </w:r>
      <w:r w:rsidRPr="006F2A85">
        <w:t xml:space="preserve"> (2018)</w:t>
      </w:r>
      <w:r w:rsidR="00DE77AA" w:rsidRPr="006F2A85">
        <w:t>.</w:t>
      </w:r>
      <w:r w:rsidRPr="006F2A85">
        <w:t xml:space="preserve"> Institutionalizing </w:t>
      </w:r>
      <w:r w:rsidR="00DE77AA" w:rsidRPr="006F2A85">
        <w:t>sex</w:t>
      </w:r>
      <w:r w:rsidRPr="006F2A85">
        <w:t xml:space="preserve"> </w:t>
      </w:r>
      <w:r w:rsidR="00DE77AA" w:rsidRPr="006F2A85">
        <w:t>education</w:t>
      </w:r>
      <w:r w:rsidRPr="006F2A85">
        <w:t xml:space="preserve"> in </w:t>
      </w:r>
      <w:r w:rsidR="00DE77AA" w:rsidRPr="006F2A85">
        <w:t>diverse</w:t>
      </w:r>
      <w:r w:rsidRPr="006F2A85">
        <w:t xml:space="preserve"> </w:t>
      </w:r>
      <w:r w:rsidR="00DE77AA" w:rsidRPr="006F2A85">
        <w:t>U.S</w:t>
      </w:r>
      <w:r w:rsidRPr="006F2A85">
        <w:t xml:space="preserve">. </w:t>
      </w:r>
      <w:r w:rsidR="00DE77AA" w:rsidRPr="006F2A85">
        <w:t>school</w:t>
      </w:r>
      <w:r w:rsidRPr="006F2A85">
        <w:t xml:space="preserve"> </w:t>
      </w:r>
      <w:r w:rsidR="00DE77AA" w:rsidRPr="006F2A85">
        <w:t>districts</w:t>
      </w:r>
      <w:r w:rsidRPr="006F2A85">
        <w:t xml:space="preserve">. </w:t>
      </w:r>
      <w:r w:rsidRPr="006F2A85">
        <w:rPr>
          <w:i/>
        </w:rPr>
        <w:t>Journal of Adolescent Health</w:t>
      </w:r>
      <w:r w:rsidR="00DE77AA" w:rsidRPr="006F2A85">
        <w:rPr>
          <w:i/>
        </w:rPr>
        <w:t>,</w:t>
      </w:r>
      <w:r w:rsidRPr="006F2A85">
        <w:rPr>
          <w:i/>
        </w:rPr>
        <w:t xml:space="preserve"> 62</w:t>
      </w:r>
      <w:r w:rsidR="00DE77AA" w:rsidRPr="006F2A85">
        <w:rPr>
          <w:i/>
        </w:rPr>
        <w:t>,</w:t>
      </w:r>
      <w:r w:rsidRPr="006F2A85">
        <w:t xml:space="preserve"> 149–156. </w:t>
      </w:r>
      <w:hyperlink r:id="rId17" w:history="1">
        <w:r w:rsidRPr="006F2A85">
          <w:rPr>
            <w:rStyle w:val="Hyperlink"/>
          </w:rPr>
          <w:t>https://reader.elsevier.com/reader/sd/EA045155AA60B30458AC4F46868567DC38B7D3ED0868EAB5B4051A4B129C087669C914EDD084CB0CED4C5E1C6F254A16</w:t>
        </w:r>
      </w:hyperlink>
      <w:r w:rsidRPr="006F2A85">
        <w:t xml:space="preserve"> </w:t>
      </w:r>
    </w:p>
    <w:p w14:paraId="5CDB9957" w14:textId="161B4146" w:rsidR="009A3106" w:rsidRDefault="009A3106" w:rsidP="009A3106">
      <w:pPr>
        <w:spacing w:after="120"/>
        <w:ind w:left="720" w:hanging="720"/>
      </w:pPr>
      <w:r>
        <w:t xml:space="preserve">Calise, T. V., Chow, W., Doré, K. F., &amp; JSI Research &amp; Training Institute, Inc. (2015, December 30). </w:t>
      </w:r>
      <w:r>
        <w:rPr>
          <w:i/>
          <w:iCs/>
        </w:rPr>
        <w:t>Evaluation of healthy futures in three northeastern Massachusetts cities: Findings from an innovative teen pregnancy prevention program. Final impact report for The Black Ministerial Alliance of Greater Boston, Inc</w:t>
      </w:r>
      <w:r>
        <w:t xml:space="preserve">. Prepared for the Office of Adolescent Health, U.S. Department of Health and Human Services. </w:t>
      </w:r>
    </w:p>
    <w:p w14:paraId="0A88F929" w14:textId="77777777" w:rsidR="009A3106" w:rsidRDefault="009A3106" w:rsidP="009A3106">
      <w:pPr>
        <w:spacing w:after="120"/>
        <w:ind w:left="720" w:hanging="720"/>
        <w:rPr>
          <w:sz w:val="22"/>
          <w:szCs w:val="22"/>
        </w:rPr>
      </w:pPr>
      <w:r>
        <w:t xml:space="preserve">Coyle, K., Anderson, P., Laris, B. A., Unti, T., Franks, H., &amp; Glassman, J. (2016, July 14). </w:t>
      </w:r>
      <w:r>
        <w:rPr>
          <w:i/>
          <w:iCs/>
        </w:rPr>
        <w:t>Evaluation of it’s your game…keep it real in Houston, TX: Final impact report for University of Texas Health Science Center - Houston</w:t>
      </w:r>
      <w:r>
        <w:t xml:space="preserve">. Scotts Valley, CA: ETR Associates. Retrieved from </w:t>
      </w:r>
      <w:hyperlink r:id="rId18" w:history="1">
        <w:r>
          <w:rPr>
            <w:rStyle w:val="Hyperlink"/>
          </w:rPr>
          <w:t>https://www.hhs.gov/ash/oah/sites/default/files/ash/oah/oah-initiatives/evaluation/grantee-led-evaluation/reports/uthsc-final-report.pdf</w:t>
        </w:r>
      </w:hyperlink>
      <w:r>
        <w:t xml:space="preserve"> </w:t>
      </w:r>
    </w:p>
    <w:p w14:paraId="3C8C8D3A" w14:textId="77777777" w:rsidR="009A3106" w:rsidRDefault="000E67BD" w:rsidP="009A3106">
      <w:pPr>
        <w:pStyle w:val="Bibliography"/>
      </w:pPr>
      <w:r w:rsidRPr="006F2A85">
        <w:t>Coyle, K</w:t>
      </w:r>
      <w:r w:rsidR="00E02559" w:rsidRPr="006F2A85">
        <w:t xml:space="preserve">. </w:t>
      </w:r>
      <w:r w:rsidRPr="006F2A85">
        <w:t>K</w:t>
      </w:r>
      <w:r w:rsidR="00E02559" w:rsidRPr="006F2A85">
        <w:t>.</w:t>
      </w:r>
      <w:r w:rsidRPr="006F2A85">
        <w:t>, Kirby, D</w:t>
      </w:r>
      <w:r w:rsidR="00E02559" w:rsidRPr="006F2A85">
        <w:t>.</w:t>
      </w:r>
      <w:r w:rsidR="00DE77AA" w:rsidRPr="006F2A85">
        <w:t xml:space="preserve"> B.</w:t>
      </w:r>
      <w:r w:rsidRPr="006F2A85">
        <w:t>, Robin, L</w:t>
      </w:r>
      <w:r w:rsidR="00E02559" w:rsidRPr="006F2A85">
        <w:t>.</w:t>
      </w:r>
      <w:r w:rsidR="00DE77AA" w:rsidRPr="006F2A85">
        <w:t xml:space="preserve"> E.</w:t>
      </w:r>
      <w:r w:rsidRPr="006F2A85">
        <w:t>,</w:t>
      </w:r>
      <w:r w:rsidR="00E02559" w:rsidRPr="006F2A85">
        <w:t xml:space="preserve"> </w:t>
      </w:r>
      <w:r w:rsidR="00DE77AA" w:rsidRPr="006F2A85">
        <w:t xml:space="preserve">Banspach, S. W., Baumler, E., </w:t>
      </w:r>
      <w:r w:rsidR="00E02559" w:rsidRPr="006F2A85">
        <w:t>&amp;</w:t>
      </w:r>
      <w:r w:rsidRPr="006F2A85">
        <w:t xml:space="preserve"> Glassman, J</w:t>
      </w:r>
      <w:r w:rsidR="00E02559" w:rsidRPr="006F2A85">
        <w:t>.</w:t>
      </w:r>
      <w:r w:rsidRPr="006F2A85">
        <w:t xml:space="preserve"> (2006)</w:t>
      </w:r>
      <w:r w:rsidR="00DE77AA" w:rsidRPr="006F2A85">
        <w:t>.</w:t>
      </w:r>
      <w:r w:rsidRPr="006F2A85">
        <w:t xml:space="preserve"> </w:t>
      </w:r>
      <w:r w:rsidR="00DE77AA" w:rsidRPr="006F2A85">
        <w:t>All4You</w:t>
      </w:r>
      <w:r w:rsidRPr="006F2A85">
        <w:t xml:space="preserve">! A </w:t>
      </w:r>
      <w:r w:rsidR="00DE77AA" w:rsidRPr="006F2A85">
        <w:t>randomized</w:t>
      </w:r>
      <w:r w:rsidRPr="006F2A85">
        <w:t xml:space="preserve"> </w:t>
      </w:r>
      <w:r w:rsidR="00DE77AA" w:rsidRPr="006F2A85">
        <w:t>trial</w:t>
      </w:r>
      <w:r w:rsidRPr="006F2A85">
        <w:t xml:space="preserve"> of an HIV, </w:t>
      </w:r>
      <w:r w:rsidR="00DE77AA" w:rsidRPr="006F2A85">
        <w:t>other</w:t>
      </w:r>
      <w:r w:rsidRPr="006F2A85">
        <w:t xml:space="preserve"> </w:t>
      </w:r>
      <w:r w:rsidR="00DE77AA" w:rsidRPr="006F2A85">
        <w:t>STDs</w:t>
      </w:r>
      <w:r w:rsidRPr="006F2A85">
        <w:t xml:space="preserve">, and </w:t>
      </w:r>
      <w:r w:rsidR="00DE77AA" w:rsidRPr="006F2A85">
        <w:t>pregnancy</w:t>
      </w:r>
      <w:r w:rsidRPr="006F2A85">
        <w:t xml:space="preserve"> </w:t>
      </w:r>
      <w:r w:rsidR="00DE77AA" w:rsidRPr="006F2A85">
        <w:t>prevention</w:t>
      </w:r>
      <w:r w:rsidRPr="006F2A85">
        <w:t xml:space="preserve"> </w:t>
      </w:r>
      <w:r w:rsidR="00DE77AA" w:rsidRPr="006F2A85">
        <w:t>intervention</w:t>
      </w:r>
      <w:r w:rsidRPr="006F2A85">
        <w:t xml:space="preserve"> for </w:t>
      </w:r>
      <w:r w:rsidR="00DE77AA" w:rsidRPr="006F2A85">
        <w:t>alternative</w:t>
      </w:r>
      <w:r w:rsidRPr="006F2A85">
        <w:t xml:space="preserve"> </w:t>
      </w:r>
      <w:r w:rsidR="00DE77AA" w:rsidRPr="006F2A85">
        <w:t>school</w:t>
      </w:r>
      <w:r w:rsidRPr="006F2A85">
        <w:t xml:space="preserve"> </w:t>
      </w:r>
      <w:r w:rsidR="00DE77AA" w:rsidRPr="006F2A85">
        <w:t>students</w:t>
      </w:r>
      <w:r w:rsidRPr="006F2A85">
        <w:t>.</w:t>
      </w:r>
      <w:r w:rsidR="00DE77AA" w:rsidRPr="006F2A85">
        <w:t xml:space="preserve"> </w:t>
      </w:r>
      <w:r w:rsidRPr="006F2A85">
        <w:rPr>
          <w:i/>
        </w:rPr>
        <w:t>AIDS Education and Prevention</w:t>
      </w:r>
      <w:r w:rsidR="00DE77AA" w:rsidRPr="006F2A85">
        <w:rPr>
          <w:i/>
        </w:rPr>
        <w:t>,</w:t>
      </w:r>
      <w:r w:rsidRPr="006F2A85">
        <w:rPr>
          <w:i/>
        </w:rPr>
        <w:t xml:space="preserve"> 18</w:t>
      </w:r>
      <w:r w:rsidR="00DE77AA" w:rsidRPr="006F2A85">
        <w:rPr>
          <w:i/>
        </w:rPr>
        <w:t xml:space="preserve">, </w:t>
      </w:r>
      <w:r w:rsidRPr="006F2A85">
        <w:t>187</w:t>
      </w:r>
      <w:r w:rsidR="00DE77AA" w:rsidRPr="006F2A85">
        <w:t>–</w:t>
      </w:r>
      <w:r w:rsidRPr="006F2A85">
        <w:t xml:space="preserve">203. </w:t>
      </w:r>
      <w:r w:rsidR="00DE77AA" w:rsidRPr="006F2A85">
        <w:t>doi</w:t>
      </w:r>
      <w:r w:rsidRPr="006F2A85">
        <w:t>:10.1521/aeap.2006.18.3.187</w:t>
      </w:r>
    </w:p>
    <w:p w14:paraId="7ABED52D" w14:textId="6E6E3CB1" w:rsidR="000E67BD" w:rsidRPr="006F2A85" w:rsidRDefault="009A3106" w:rsidP="009A3106">
      <w:pPr>
        <w:spacing w:after="120"/>
        <w:ind w:left="720" w:hanging="720"/>
      </w:pPr>
      <w:r>
        <w:t xml:space="preserve">Coyle, K. K., Potter, S. C., Glassman, J. R., McDade-Montez, L., &amp; Unti, T. (2015, December 7). </w:t>
      </w:r>
      <w:r>
        <w:rPr>
          <w:i/>
          <w:iCs/>
        </w:rPr>
        <w:t>Evaluation of it’s your game…keep it real in South Carolina: Final impact report for South Carolina Campaign to Prevent Teen Pregnancy</w:t>
      </w:r>
      <w:r>
        <w:t>. Scotts Valley, CA: ETR Associates.</w:t>
      </w:r>
    </w:p>
    <w:p w14:paraId="7E244659" w14:textId="77777777" w:rsidR="003F503F" w:rsidRPr="00066C5E" w:rsidRDefault="003F503F" w:rsidP="003F503F">
      <w:pPr>
        <w:spacing w:after="120"/>
        <w:ind w:left="720" w:hanging="720"/>
      </w:pPr>
      <w:r w:rsidRPr="00066C5E">
        <w:t>Djimeu, E.W. and Houndolo, D-G, 2016. Power calculation for causal</w:t>
      </w:r>
      <w:r>
        <w:t xml:space="preserve"> </w:t>
      </w:r>
      <w:r w:rsidRPr="00066C5E">
        <w:t>inference in social science: sample size and minimum detectable effect determination, 3ie</w:t>
      </w:r>
      <w:r>
        <w:t xml:space="preserve"> </w:t>
      </w:r>
      <w:r w:rsidRPr="00066C5E">
        <w:t>impact evaluation manual, 3ie Working Paper 26. New Delhi: International Initiative for Impact</w:t>
      </w:r>
      <w:r>
        <w:t xml:space="preserve"> </w:t>
      </w:r>
      <w:r w:rsidRPr="00066C5E">
        <w:t>Evaluation (3ie).</w:t>
      </w:r>
    </w:p>
    <w:p w14:paraId="50ABB3D3" w14:textId="77777777" w:rsidR="003F503F" w:rsidRPr="00066C5E" w:rsidRDefault="003F503F" w:rsidP="00040E0C">
      <w:pPr>
        <w:spacing w:after="120"/>
        <w:ind w:left="720" w:hanging="720"/>
      </w:pPr>
      <w:r w:rsidRPr="00066C5E">
        <w:t>Hayes, RJ and Bennett, S, 1999. Simple sample size calculation for cluster-randomized trials.</w:t>
      </w:r>
      <w:r>
        <w:t xml:space="preserve"> </w:t>
      </w:r>
      <w:r w:rsidRPr="00066C5E">
        <w:rPr>
          <w:i/>
          <w:iCs/>
        </w:rPr>
        <w:t>International Journal of Epidemiology</w:t>
      </w:r>
      <w:r w:rsidRPr="00066C5E">
        <w:t>, 28, pp.319–326.</w:t>
      </w:r>
    </w:p>
    <w:p w14:paraId="07054D7E" w14:textId="056D9EC5" w:rsidR="006F2A85" w:rsidRDefault="00185499" w:rsidP="00DE77AA">
      <w:pPr>
        <w:pStyle w:val="Bibliography"/>
      </w:pPr>
      <w:r w:rsidRPr="006F2A85">
        <w:t>McGroder</w:t>
      </w:r>
      <w:r w:rsidR="006F2A85" w:rsidRPr="006F2A85">
        <w:t>,</w:t>
      </w:r>
      <w:r w:rsidRPr="006F2A85">
        <w:t xml:space="preserve"> S</w:t>
      </w:r>
      <w:r w:rsidR="006F2A85" w:rsidRPr="006F2A85">
        <w:t xml:space="preserve">. </w:t>
      </w:r>
      <w:r w:rsidRPr="006F2A85">
        <w:t>M</w:t>
      </w:r>
      <w:r w:rsidR="006F2A85" w:rsidRPr="006F2A85">
        <w:t>.,</w:t>
      </w:r>
      <w:r w:rsidRPr="006F2A85">
        <w:t xml:space="preserve"> </w:t>
      </w:r>
      <w:r w:rsidR="006F2A85" w:rsidRPr="006F2A85">
        <w:t xml:space="preserve">&amp; </w:t>
      </w:r>
      <w:r w:rsidRPr="006F2A85">
        <w:t>Rue,</w:t>
      </w:r>
      <w:r w:rsidR="006F2A85" w:rsidRPr="006F2A85">
        <w:t xml:space="preserve"> L.</w:t>
      </w:r>
      <w:r w:rsidRPr="006F2A85">
        <w:t xml:space="preserve"> </w:t>
      </w:r>
      <w:r w:rsidR="006F2A85" w:rsidRPr="006F2A85">
        <w:t>(</w:t>
      </w:r>
      <w:r w:rsidRPr="006F2A85">
        <w:t>2010</w:t>
      </w:r>
      <w:r w:rsidR="006F2A85" w:rsidRPr="006F2A85">
        <w:t>)</w:t>
      </w:r>
      <w:r w:rsidRPr="006F2A85">
        <w:t>.</w:t>
      </w:r>
      <w:r w:rsidR="009265C5" w:rsidRPr="006F2A85">
        <w:rPr>
          <w:i/>
        </w:rPr>
        <w:t xml:space="preserve"> </w:t>
      </w:r>
      <w:r w:rsidR="006F2A85" w:rsidRPr="006F2A85">
        <w:rPr>
          <w:i/>
        </w:rPr>
        <w:t>A guide to measures targeting the delay of sexual initiation and/or the prevention of risky sexual behaviors</w:t>
      </w:r>
      <w:r w:rsidRPr="006F2A85">
        <w:t>.</w:t>
      </w:r>
      <w:r w:rsidR="009265C5" w:rsidRPr="006F2A85">
        <w:t xml:space="preserve"> </w:t>
      </w:r>
      <w:r w:rsidRPr="006F2A85">
        <w:t xml:space="preserve">Prepared for </w:t>
      </w:r>
      <w:r w:rsidR="006F2A85" w:rsidRPr="006F2A85">
        <w:t xml:space="preserve">the </w:t>
      </w:r>
      <w:r w:rsidRPr="006F2A85">
        <w:t xml:space="preserve">Family and Youth Services Bureau, </w:t>
      </w:r>
      <w:r w:rsidR="006F2A85" w:rsidRPr="006F2A85">
        <w:t>U.S. Department of Health and Human Services.</w:t>
      </w:r>
    </w:p>
    <w:p w14:paraId="4DDBB1F8" w14:textId="60BB2848" w:rsidR="000E67BD" w:rsidRPr="006F2A85" w:rsidRDefault="000E67BD" w:rsidP="00DE77AA">
      <w:pPr>
        <w:pStyle w:val="Bibliography"/>
      </w:pPr>
      <w:r w:rsidRPr="006F2A85">
        <w:t>Millner</w:t>
      </w:r>
      <w:r w:rsidR="00616D1F" w:rsidRPr="006F2A85">
        <w:t>, V</w:t>
      </w:r>
      <w:r w:rsidR="00DE77AA" w:rsidRPr="006F2A85">
        <w:t>.</w:t>
      </w:r>
      <w:r w:rsidR="00616D1F" w:rsidRPr="006F2A85">
        <w:t>, Turrens, J</w:t>
      </w:r>
      <w:r w:rsidR="00DE77AA" w:rsidRPr="006F2A85">
        <w:t>.</w:t>
      </w:r>
      <w:r w:rsidR="00616D1F" w:rsidRPr="006F2A85">
        <w:t xml:space="preserve">, </w:t>
      </w:r>
      <w:r w:rsidR="00DE77AA" w:rsidRPr="006F2A85">
        <w:t>&amp;</w:t>
      </w:r>
      <w:r w:rsidR="00616D1F" w:rsidRPr="006F2A85">
        <w:t xml:space="preserve"> Shaw, T</w:t>
      </w:r>
      <w:r w:rsidR="00DE77AA" w:rsidRPr="006F2A85">
        <w:t>.</w:t>
      </w:r>
      <w:r w:rsidR="00616D1F" w:rsidRPr="006F2A85">
        <w:t xml:space="preserve"> (</w:t>
      </w:r>
      <w:r w:rsidRPr="006F2A85">
        <w:t>2017</w:t>
      </w:r>
      <w:r w:rsidR="00616D1F" w:rsidRPr="006F2A85">
        <w:t>)</w:t>
      </w:r>
      <w:r w:rsidR="00DE77AA" w:rsidRPr="006F2A85">
        <w:t>.</w:t>
      </w:r>
      <w:r w:rsidR="00616D1F" w:rsidRPr="006F2A85">
        <w:t xml:space="preserve"> </w:t>
      </w:r>
      <w:r w:rsidR="00616D1F" w:rsidRPr="006F2A85">
        <w:rPr>
          <w:i/>
        </w:rPr>
        <w:t xml:space="preserve">Attitudes of Alabama </w:t>
      </w:r>
      <w:r w:rsidR="00DE77AA" w:rsidRPr="006F2A85">
        <w:rPr>
          <w:i/>
        </w:rPr>
        <w:t>parents of public school children regarding sex education for their children in public schools</w:t>
      </w:r>
      <w:r w:rsidR="00616D1F" w:rsidRPr="006F2A85">
        <w:t>.</w:t>
      </w:r>
      <w:r w:rsidR="00DE77AA" w:rsidRPr="006F2A85">
        <w:t xml:space="preserve"> N.p.: University of South Alabama Research. Retrieved from</w:t>
      </w:r>
      <w:r w:rsidR="00616D1F" w:rsidRPr="006F2A85">
        <w:t xml:space="preserve"> </w:t>
      </w:r>
      <w:hyperlink r:id="rId19" w:history="1">
        <w:r w:rsidR="00616D1F" w:rsidRPr="006F2A85">
          <w:rPr>
            <w:rStyle w:val="Hyperlink"/>
          </w:rPr>
          <w:t>http://acptp.org/wp-content/uploads/2017/08/Alabama-Parental-Attitudes-Study.pdf</w:t>
        </w:r>
      </w:hyperlink>
      <w:r w:rsidR="00616D1F" w:rsidRPr="006F2A85">
        <w:t xml:space="preserve"> </w:t>
      </w:r>
    </w:p>
    <w:p w14:paraId="0047671E" w14:textId="2FBFD2D0" w:rsidR="000E67BD" w:rsidRPr="006F2A85" w:rsidRDefault="001D1476" w:rsidP="00AD76D0">
      <w:pPr>
        <w:pStyle w:val="Bibliography"/>
      </w:pPr>
      <w:r w:rsidRPr="0026777D">
        <w:rPr>
          <w:lang w:val="es-HN"/>
        </w:rPr>
        <w:t>Perez, M</w:t>
      </w:r>
      <w:r w:rsidR="00DE77AA" w:rsidRPr="0026777D">
        <w:rPr>
          <w:lang w:val="es-HN"/>
        </w:rPr>
        <w:t xml:space="preserve">. </w:t>
      </w:r>
      <w:r w:rsidRPr="0026777D">
        <w:rPr>
          <w:lang w:val="es-HN"/>
        </w:rPr>
        <w:t>A</w:t>
      </w:r>
      <w:r w:rsidR="00DE77AA" w:rsidRPr="0026777D">
        <w:rPr>
          <w:lang w:val="es-HN"/>
        </w:rPr>
        <w:t>.,</w:t>
      </w:r>
      <w:r w:rsidRPr="0026777D">
        <w:rPr>
          <w:lang w:val="es-HN"/>
        </w:rPr>
        <w:t xml:space="preserve"> Luquis</w:t>
      </w:r>
      <w:r w:rsidR="00DE77AA" w:rsidRPr="0026777D">
        <w:rPr>
          <w:lang w:val="es-HN"/>
        </w:rPr>
        <w:t>,</w:t>
      </w:r>
      <w:r w:rsidRPr="0026777D">
        <w:rPr>
          <w:lang w:val="es-HN"/>
        </w:rPr>
        <w:t xml:space="preserve"> R</w:t>
      </w:r>
      <w:r w:rsidR="00DE77AA" w:rsidRPr="0026777D">
        <w:rPr>
          <w:lang w:val="es-HN"/>
        </w:rPr>
        <w:t>.</w:t>
      </w:r>
      <w:r w:rsidRPr="0026777D">
        <w:rPr>
          <w:lang w:val="es-HN"/>
        </w:rPr>
        <w:t xml:space="preserve">, </w:t>
      </w:r>
      <w:r w:rsidR="00DE77AA" w:rsidRPr="0026777D">
        <w:rPr>
          <w:lang w:val="es-HN"/>
        </w:rPr>
        <w:t xml:space="preserve">&amp; </w:t>
      </w:r>
      <w:r w:rsidRPr="0026777D">
        <w:rPr>
          <w:lang w:val="es-HN"/>
        </w:rPr>
        <w:t>Allison</w:t>
      </w:r>
      <w:r w:rsidR="00DE77AA" w:rsidRPr="0026777D">
        <w:rPr>
          <w:lang w:val="es-HN"/>
        </w:rPr>
        <w:t>,</w:t>
      </w:r>
      <w:r w:rsidRPr="0026777D">
        <w:rPr>
          <w:lang w:val="es-HN"/>
        </w:rPr>
        <w:t xml:space="preserve"> L</w:t>
      </w:r>
      <w:r w:rsidR="00DE77AA" w:rsidRPr="0026777D">
        <w:rPr>
          <w:lang w:val="es-HN"/>
        </w:rPr>
        <w:t>.</w:t>
      </w:r>
      <w:r w:rsidR="000E67BD" w:rsidRPr="0026777D">
        <w:rPr>
          <w:lang w:val="es-HN"/>
        </w:rPr>
        <w:t xml:space="preserve"> </w:t>
      </w:r>
      <w:r w:rsidRPr="0026777D">
        <w:rPr>
          <w:lang w:val="es-HN"/>
        </w:rPr>
        <w:t>(</w:t>
      </w:r>
      <w:r w:rsidR="000E67BD" w:rsidRPr="0026777D">
        <w:rPr>
          <w:lang w:val="es-HN"/>
        </w:rPr>
        <w:t>2004)</w:t>
      </w:r>
      <w:r w:rsidR="00DE77AA" w:rsidRPr="0026777D">
        <w:rPr>
          <w:lang w:val="es-HN"/>
        </w:rPr>
        <w:t>.</w:t>
      </w:r>
      <w:r w:rsidRPr="0026777D">
        <w:rPr>
          <w:lang w:val="es-HN"/>
        </w:rPr>
        <w:t xml:space="preserve"> </w:t>
      </w:r>
      <w:r w:rsidRPr="006F2A85">
        <w:t xml:space="preserve">Instrument </w:t>
      </w:r>
      <w:r w:rsidR="00DE77AA" w:rsidRPr="006F2A85">
        <w:t>development</w:t>
      </w:r>
      <w:r w:rsidRPr="006F2A85">
        <w:t xml:space="preserve"> for </w:t>
      </w:r>
      <w:r w:rsidR="00DE77AA" w:rsidRPr="006F2A85">
        <w:t>measuring</w:t>
      </w:r>
      <w:r w:rsidRPr="006F2A85">
        <w:t xml:space="preserve"> </w:t>
      </w:r>
      <w:r w:rsidR="00DE77AA" w:rsidRPr="006F2A85">
        <w:t>teachers</w:t>
      </w:r>
      <w:r w:rsidRPr="006F2A85">
        <w:t xml:space="preserve">’ </w:t>
      </w:r>
      <w:r w:rsidR="00DE77AA" w:rsidRPr="006F2A85">
        <w:t>attitudes</w:t>
      </w:r>
      <w:r w:rsidRPr="006F2A85">
        <w:t xml:space="preserve"> and </w:t>
      </w:r>
      <w:r w:rsidR="00DE77AA" w:rsidRPr="006F2A85">
        <w:t>comfort</w:t>
      </w:r>
      <w:r w:rsidRPr="006F2A85">
        <w:t xml:space="preserve"> in </w:t>
      </w:r>
      <w:r w:rsidR="00DE77AA" w:rsidRPr="006F2A85">
        <w:t>teaching</w:t>
      </w:r>
      <w:r w:rsidRPr="006F2A85">
        <w:t xml:space="preserve"> </w:t>
      </w:r>
      <w:r w:rsidR="00DE77AA" w:rsidRPr="006F2A85">
        <w:t>human</w:t>
      </w:r>
      <w:r w:rsidRPr="006F2A85">
        <w:t xml:space="preserve"> </w:t>
      </w:r>
      <w:r w:rsidR="00DE77AA" w:rsidRPr="006F2A85">
        <w:t>sexuality</w:t>
      </w:r>
      <w:r w:rsidRPr="006F2A85">
        <w:t xml:space="preserve">. </w:t>
      </w:r>
      <w:r w:rsidRPr="006F2A85">
        <w:rPr>
          <w:i/>
        </w:rPr>
        <w:t>American Journal of Health Education</w:t>
      </w:r>
      <w:r w:rsidR="00DE77AA" w:rsidRPr="006F2A85">
        <w:rPr>
          <w:i/>
        </w:rPr>
        <w:t>,</w:t>
      </w:r>
      <w:r w:rsidRPr="006F2A85">
        <w:rPr>
          <w:i/>
        </w:rPr>
        <w:t xml:space="preserve"> 35,</w:t>
      </w:r>
      <w:r w:rsidRPr="006F2A85">
        <w:t xml:space="preserve"> </w:t>
      </w:r>
      <w:r w:rsidR="00BE3E76" w:rsidRPr="006F2A85">
        <w:t>24–29</w:t>
      </w:r>
      <w:r w:rsidRPr="006F2A85">
        <w:t xml:space="preserve">. </w:t>
      </w:r>
      <w:hyperlink r:id="rId20" w:history="1">
        <w:r w:rsidR="00DE77AA" w:rsidRPr="006F2A85">
          <w:rPr>
            <w:rStyle w:val="Hyperlink"/>
          </w:rPr>
          <w:t>https://doi.org/10.1080/19325037.2004.10603601</w:t>
        </w:r>
      </w:hyperlink>
      <w:r w:rsidR="00DE77AA" w:rsidRPr="006F2A85">
        <w:t xml:space="preserve"> </w:t>
      </w:r>
    </w:p>
    <w:p w14:paraId="3564DFA5" w14:textId="135B44CD" w:rsidR="000E67BD" w:rsidRPr="006F2A85" w:rsidRDefault="00632BB3" w:rsidP="00AD76D0">
      <w:pPr>
        <w:pStyle w:val="Bibliography"/>
      </w:pPr>
      <w:r w:rsidRPr="006F2A85">
        <w:t>Potter</w:t>
      </w:r>
      <w:r w:rsidR="00DE77AA" w:rsidRPr="006F2A85">
        <w:t>,</w:t>
      </w:r>
      <w:r w:rsidRPr="006F2A85">
        <w:t xml:space="preserve"> S</w:t>
      </w:r>
      <w:r w:rsidR="00DE77AA" w:rsidRPr="006F2A85">
        <w:t xml:space="preserve">. </w:t>
      </w:r>
      <w:r w:rsidRPr="006F2A85">
        <w:t>C</w:t>
      </w:r>
      <w:r w:rsidR="00DE77AA" w:rsidRPr="006F2A85">
        <w:t>.</w:t>
      </w:r>
      <w:r w:rsidRPr="006F2A85">
        <w:t>, Coyle</w:t>
      </w:r>
      <w:r w:rsidR="00DE77AA" w:rsidRPr="006F2A85">
        <w:t>,</w:t>
      </w:r>
      <w:r w:rsidRPr="006F2A85">
        <w:t xml:space="preserve"> K</w:t>
      </w:r>
      <w:r w:rsidR="00DE77AA" w:rsidRPr="006F2A85">
        <w:t xml:space="preserve">. </w:t>
      </w:r>
      <w:r w:rsidRPr="006F2A85">
        <w:t>K</w:t>
      </w:r>
      <w:r w:rsidR="00DE77AA" w:rsidRPr="006F2A85">
        <w:t>.</w:t>
      </w:r>
      <w:r w:rsidRPr="006F2A85">
        <w:t>, Glassman</w:t>
      </w:r>
      <w:r w:rsidR="00DE77AA" w:rsidRPr="006F2A85">
        <w:t>,</w:t>
      </w:r>
      <w:r w:rsidRPr="006F2A85">
        <w:t xml:space="preserve"> J</w:t>
      </w:r>
      <w:r w:rsidR="00DE77AA" w:rsidRPr="006F2A85">
        <w:t xml:space="preserve">. </w:t>
      </w:r>
      <w:r w:rsidRPr="006F2A85">
        <w:t>R</w:t>
      </w:r>
      <w:r w:rsidR="00DE77AA" w:rsidRPr="006F2A85">
        <w:t>.</w:t>
      </w:r>
      <w:r w:rsidRPr="006F2A85">
        <w:t>, Kershner</w:t>
      </w:r>
      <w:r w:rsidR="00DE77AA" w:rsidRPr="006F2A85">
        <w:t>,</w:t>
      </w:r>
      <w:r w:rsidRPr="006F2A85">
        <w:t xml:space="preserve"> S</w:t>
      </w:r>
      <w:r w:rsidR="00DE77AA" w:rsidRPr="006F2A85">
        <w:t>.</w:t>
      </w:r>
      <w:r w:rsidRPr="006F2A85">
        <w:t xml:space="preserve">, </w:t>
      </w:r>
      <w:r w:rsidR="00DE77AA" w:rsidRPr="006F2A85">
        <w:t xml:space="preserve">&amp; </w:t>
      </w:r>
      <w:r w:rsidRPr="006F2A85">
        <w:t>Prince</w:t>
      </w:r>
      <w:r w:rsidR="00DE77AA" w:rsidRPr="006F2A85">
        <w:t>,</w:t>
      </w:r>
      <w:r w:rsidRPr="006F2A85">
        <w:t xml:space="preserve"> M</w:t>
      </w:r>
      <w:r w:rsidR="00DE77AA" w:rsidRPr="006F2A85">
        <w:t xml:space="preserve">. </w:t>
      </w:r>
      <w:r w:rsidRPr="006F2A85">
        <w:t>S.</w:t>
      </w:r>
      <w:r w:rsidR="00DE77AA" w:rsidRPr="006F2A85">
        <w:t xml:space="preserve"> (2016).</w:t>
      </w:r>
      <w:r w:rsidRPr="006F2A85">
        <w:t xml:space="preserve"> It’s Your Game…</w:t>
      </w:r>
      <w:r w:rsidR="00DE77AA" w:rsidRPr="006F2A85">
        <w:t xml:space="preserve"> </w:t>
      </w:r>
      <w:r w:rsidRPr="006F2A85">
        <w:t xml:space="preserve">Keep It Real in South Carolina: A </w:t>
      </w:r>
      <w:r w:rsidR="00DE77AA" w:rsidRPr="006F2A85">
        <w:t>group</w:t>
      </w:r>
      <w:r w:rsidRPr="006F2A85">
        <w:t xml:space="preserve"> </w:t>
      </w:r>
      <w:r w:rsidR="00DE77AA" w:rsidRPr="006F2A85">
        <w:t>randomized</w:t>
      </w:r>
      <w:r w:rsidRPr="006F2A85">
        <w:t xml:space="preserve"> </w:t>
      </w:r>
      <w:r w:rsidR="00DE77AA" w:rsidRPr="006F2A85">
        <w:t>trial</w:t>
      </w:r>
      <w:r w:rsidRPr="006F2A85">
        <w:t xml:space="preserve"> </w:t>
      </w:r>
      <w:r w:rsidR="00DE77AA" w:rsidRPr="006F2A85">
        <w:t>evaluating</w:t>
      </w:r>
      <w:r w:rsidRPr="006F2A85">
        <w:t xml:space="preserve"> the </w:t>
      </w:r>
      <w:r w:rsidR="00DE77AA" w:rsidRPr="006F2A85">
        <w:t>replication</w:t>
      </w:r>
      <w:r w:rsidRPr="006F2A85">
        <w:t xml:space="preserve"> of an </w:t>
      </w:r>
      <w:r w:rsidR="00DE77AA" w:rsidRPr="006F2A85">
        <w:t>evidence</w:t>
      </w:r>
      <w:r w:rsidRPr="006F2A85">
        <w:t>-</w:t>
      </w:r>
      <w:r w:rsidR="00DE77AA" w:rsidRPr="006F2A85">
        <w:t>based</w:t>
      </w:r>
      <w:r w:rsidRPr="006F2A85">
        <w:t xml:space="preserve"> </w:t>
      </w:r>
      <w:r w:rsidR="00DE77AA" w:rsidRPr="006F2A85">
        <w:t>adolescent</w:t>
      </w:r>
      <w:r w:rsidRPr="006F2A85">
        <w:t xml:space="preserve"> </w:t>
      </w:r>
      <w:r w:rsidR="00DE77AA" w:rsidRPr="006F2A85">
        <w:t>pregnancy</w:t>
      </w:r>
      <w:r w:rsidRPr="006F2A85">
        <w:t xml:space="preserve"> and </w:t>
      </w:r>
      <w:r w:rsidR="00DE77AA" w:rsidRPr="006F2A85">
        <w:t>sexually</w:t>
      </w:r>
      <w:r w:rsidRPr="006F2A85">
        <w:t xml:space="preserve"> </w:t>
      </w:r>
      <w:r w:rsidR="00DE77AA" w:rsidRPr="006F2A85">
        <w:t>transmitted</w:t>
      </w:r>
      <w:r w:rsidRPr="006F2A85">
        <w:t xml:space="preserve"> </w:t>
      </w:r>
      <w:r w:rsidR="00DE77AA" w:rsidRPr="006F2A85">
        <w:t>infection</w:t>
      </w:r>
      <w:r w:rsidRPr="006F2A85">
        <w:t xml:space="preserve"> </w:t>
      </w:r>
      <w:r w:rsidR="00DE77AA" w:rsidRPr="006F2A85">
        <w:t>prevention</w:t>
      </w:r>
      <w:r w:rsidRPr="006F2A85">
        <w:t xml:space="preserve"> </w:t>
      </w:r>
      <w:r w:rsidR="00DE77AA" w:rsidRPr="006F2A85">
        <w:t>program</w:t>
      </w:r>
      <w:r w:rsidRPr="006F2A85">
        <w:t xml:space="preserve">. </w:t>
      </w:r>
      <w:r w:rsidRPr="006F2A85">
        <w:rPr>
          <w:i/>
        </w:rPr>
        <w:t>American Journal of Public Health</w:t>
      </w:r>
      <w:r w:rsidR="00DE77AA" w:rsidRPr="006F2A85">
        <w:rPr>
          <w:i/>
        </w:rPr>
        <w:t xml:space="preserve">, </w:t>
      </w:r>
      <w:r w:rsidRPr="006F2A85">
        <w:rPr>
          <w:i/>
        </w:rPr>
        <w:t>106</w:t>
      </w:r>
      <w:r w:rsidRPr="006F2A85">
        <w:t>(Suppl</w:t>
      </w:r>
      <w:r w:rsidR="00DE77AA" w:rsidRPr="006F2A85">
        <w:t>.</w:t>
      </w:r>
      <w:r w:rsidRPr="006F2A85">
        <w:t xml:space="preserve"> 1): S60</w:t>
      </w:r>
      <w:r w:rsidR="00DE77AA" w:rsidRPr="006F2A85">
        <w:t>–</w:t>
      </w:r>
      <w:r w:rsidRPr="006F2A85">
        <w:t>S69. doi:10.2105/AJPH.2016.303419</w:t>
      </w:r>
    </w:p>
    <w:p w14:paraId="00274643" w14:textId="77777777" w:rsidR="003F503F" w:rsidRPr="00066C5E" w:rsidRDefault="003F503F" w:rsidP="003F503F">
      <w:pPr>
        <w:spacing w:after="120"/>
        <w:ind w:left="720" w:hanging="720"/>
        <w:rPr>
          <w:i/>
          <w:iCs/>
        </w:rPr>
      </w:pPr>
      <w:r w:rsidRPr="00066C5E">
        <w:t xml:space="preserve">Raudenbush, SW, Liu, X-F, Congdon, R and Martinez, A, 2011. </w:t>
      </w:r>
      <w:r w:rsidRPr="00066C5E">
        <w:rPr>
          <w:i/>
          <w:iCs/>
        </w:rPr>
        <w:t>Optimal Design for Longitudinal</w:t>
      </w:r>
      <w:r>
        <w:rPr>
          <w:i/>
          <w:iCs/>
        </w:rPr>
        <w:t xml:space="preserve"> </w:t>
      </w:r>
      <w:r w:rsidRPr="00066C5E">
        <w:rPr>
          <w:i/>
          <w:iCs/>
        </w:rPr>
        <w:t>and Multilevel Research: Documentation for the Optimal Design Software Version 3.0.</w:t>
      </w:r>
    </w:p>
    <w:p w14:paraId="491597AC" w14:textId="77777777" w:rsidR="006F2A85" w:rsidRDefault="006F2A85" w:rsidP="00AD76D0">
      <w:pPr>
        <w:pStyle w:val="Bibliography"/>
      </w:pPr>
      <w:r w:rsidRPr="00EC0654">
        <w:t>Scott</w:t>
      </w:r>
      <w:r>
        <w:t>,</w:t>
      </w:r>
      <w:r w:rsidRPr="00EC0654">
        <w:t xml:space="preserve"> M</w:t>
      </w:r>
      <w:r>
        <w:t xml:space="preserve">. </w:t>
      </w:r>
      <w:r w:rsidRPr="00EC0654">
        <w:t>E</w:t>
      </w:r>
      <w:r>
        <w:t>.</w:t>
      </w:r>
      <w:r w:rsidRPr="00EC0654">
        <w:t>, Moore</w:t>
      </w:r>
      <w:r>
        <w:t>, K. A.</w:t>
      </w:r>
      <w:r w:rsidRPr="00EC0654">
        <w:t>, Fish</w:t>
      </w:r>
      <w:r>
        <w:t>, H.</w:t>
      </w:r>
      <w:r w:rsidRPr="00EC0654">
        <w:t>, Benedetti</w:t>
      </w:r>
      <w:r>
        <w:t>, A.</w:t>
      </w:r>
      <w:r w:rsidRPr="00EC0654">
        <w:t xml:space="preserve">, </w:t>
      </w:r>
      <w:r>
        <w:t xml:space="preserve">&amp; </w:t>
      </w:r>
      <w:r w:rsidRPr="00EC0654">
        <w:t>Erikson</w:t>
      </w:r>
      <w:r>
        <w:t>, S.</w:t>
      </w:r>
      <w:r w:rsidRPr="00EC0654">
        <w:t xml:space="preserve"> </w:t>
      </w:r>
      <w:r>
        <w:t>(</w:t>
      </w:r>
      <w:r w:rsidRPr="00EC0654">
        <w:t>2015</w:t>
      </w:r>
      <w:r>
        <w:t>)</w:t>
      </w:r>
      <w:r w:rsidRPr="00EC0654">
        <w:t xml:space="preserve">. </w:t>
      </w:r>
      <w:r w:rsidRPr="00A15F08">
        <w:rPr>
          <w:i/>
        </w:rPr>
        <w:t>Healthy marriage and relationship education: Recommended outcome measures for adolescents</w:t>
      </w:r>
      <w:r>
        <w:t xml:space="preserve"> (</w:t>
      </w:r>
      <w:r w:rsidRPr="00EC0654">
        <w:t xml:space="preserve">OPRE Report </w:t>
      </w:r>
      <w:r>
        <w:t xml:space="preserve">No. </w:t>
      </w:r>
      <w:r w:rsidRPr="00EC0654">
        <w:t>2015-65a</w:t>
      </w:r>
      <w:r>
        <w:t>)</w:t>
      </w:r>
      <w:r w:rsidRPr="00EC0654">
        <w:t>.</w:t>
      </w:r>
      <w:r>
        <w:t xml:space="preserve"> </w:t>
      </w:r>
      <w:r w:rsidRPr="00EC0654">
        <w:t>Washington, DC:</w:t>
      </w:r>
      <w:r>
        <w:t xml:space="preserve"> </w:t>
      </w:r>
      <w:r w:rsidRPr="00EC0654">
        <w:t>U.S. Department of Health and Human Services</w:t>
      </w:r>
      <w:r>
        <w:t>,</w:t>
      </w:r>
      <w:r w:rsidRPr="00EC0654">
        <w:t xml:space="preserve"> Administration for Children and Families</w:t>
      </w:r>
      <w:r>
        <w:t>,</w:t>
      </w:r>
      <w:r w:rsidRPr="00EC0654">
        <w:t xml:space="preserve"> Office of Planning, Research and Evaluation.</w:t>
      </w:r>
    </w:p>
    <w:p w14:paraId="4BC1B0D6" w14:textId="77777777" w:rsidR="003F503F" w:rsidRPr="001C5603" w:rsidRDefault="003F503F" w:rsidP="003F503F">
      <w:pPr>
        <w:spacing w:after="120"/>
        <w:ind w:left="720" w:hanging="720"/>
        <w:rPr>
          <w:iCs/>
          <w:color w:val="000000"/>
        </w:rPr>
      </w:pPr>
      <w:r w:rsidRPr="00A46754">
        <w:rPr>
          <w:iCs/>
          <w:color w:val="000000"/>
        </w:rPr>
        <w:t>Scull, T.M., Kupersmidt, J.B., Malik, C.V., &amp; Morgan-Lopez, A.A. (in press)</w:t>
      </w:r>
      <w:r>
        <w:rPr>
          <w:iCs/>
          <w:color w:val="000000"/>
        </w:rPr>
        <w:t>.</w:t>
      </w:r>
      <w:r w:rsidRPr="00A46754">
        <w:rPr>
          <w:iCs/>
          <w:color w:val="000000"/>
        </w:rPr>
        <w:t xml:space="preserve"> Media Literacy Education to Promote Adolescent Sexual Health: A Short-Term Randomized Control Trial of Media Aware, a Comprehensive Sexual Health Program for Middle School Students. Accepted for publication on 10 November 2018 at </w:t>
      </w:r>
      <w:r w:rsidRPr="00066C5E">
        <w:rPr>
          <w:i/>
          <w:iCs/>
          <w:color w:val="000000"/>
        </w:rPr>
        <w:t>Journal of Health Communication</w:t>
      </w:r>
      <w:r w:rsidRPr="00A46754">
        <w:rPr>
          <w:iCs/>
          <w:color w:val="000000"/>
        </w:rPr>
        <w:t>.</w:t>
      </w:r>
    </w:p>
    <w:p w14:paraId="483EA8EA" w14:textId="7D1C7DDE" w:rsidR="00F256CD" w:rsidRDefault="00F256CD" w:rsidP="00AD76D0">
      <w:pPr>
        <w:pStyle w:val="Bibliography"/>
      </w:pPr>
      <w:r w:rsidRPr="006F2A85">
        <w:t>Walker, E</w:t>
      </w:r>
      <w:r w:rsidR="00DE77AA" w:rsidRPr="006F2A85">
        <w:t xml:space="preserve">. </w:t>
      </w:r>
      <w:r w:rsidRPr="006F2A85">
        <w:t>M</w:t>
      </w:r>
      <w:r w:rsidR="00DE77AA" w:rsidRPr="006F2A85">
        <w:t>.</w:t>
      </w:r>
      <w:r w:rsidR="00BE3E76" w:rsidRPr="006F2A85">
        <w:t>, Inoa, R., &amp; Coppola, N.</w:t>
      </w:r>
      <w:r w:rsidRPr="006F2A85">
        <w:t xml:space="preserve"> (2016)</w:t>
      </w:r>
      <w:r w:rsidR="00DE77AA" w:rsidRPr="006F2A85">
        <w:t>.</w:t>
      </w:r>
      <w:r w:rsidRPr="006F2A85">
        <w:t xml:space="preserve"> </w:t>
      </w:r>
      <w:r w:rsidRPr="006F2A85">
        <w:rPr>
          <w:i/>
        </w:rPr>
        <w:t xml:space="preserve">Evaluation of Promoting Health Among Teens! </w:t>
      </w:r>
      <w:r w:rsidR="00DE77AA" w:rsidRPr="006F2A85">
        <w:rPr>
          <w:i/>
        </w:rPr>
        <w:t xml:space="preserve">abstinence-only intervention </w:t>
      </w:r>
      <w:r w:rsidRPr="006F2A85">
        <w:rPr>
          <w:i/>
        </w:rPr>
        <w:t>in Yonkers, NY</w:t>
      </w:r>
      <w:r w:rsidR="00CE6443" w:rsidRPr="006F2A85">
        <w:t xml:space="preserve">. </w:t>
      </w:r>
      <w:r w:rsidR="00BE3E76" w:rsidRPr="006F2A85">
        <w:t xml:space="preserve">Princeton, NJ: Sametric Research. Retrieved from </w:t>
      </w:r>
      <w:hyperlink r:id="rId21" w:history="1">
        <w:r w:rsidR="00F54E25" w:rsidRPr="006F2A85">
          <w:rPr>
            <w:rStyle w:val="Hyperlink"/>
          </w:rPr>
          <w:t>https://www.hhs.gov/ash/oah/sites/default/files/ash/oah/oah-initiatives/evaluation/grantee-led-evaluation/reports/program-reach-final-report.pdf</w:t>
        </w:r>
      </w:hyperlink>
      <w:r w:rsidR="00CE6443">
        <w:t xml:space="preserve"> </w:t>
      </w:r>
    </w:p>
    <w:p w14:paraId="4A771F24" w14:textId="4CE87DC4" w:rsidR="00563244" w:rsidRDefault="00563244" w:rsidP="00D4449D"/>
    <w:sectPr w:rsidR="00563244" w:rsidSect="00CC624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AD820A" w14:textId="77777777" w:rsidR="004E4598" w:rsidRDefault="004E4598" w:rsidP="00C74604">
      <w:r>
        <w:separator/>
      </w:r>
    </w:p>
  </w:endnote>
  <w:endnote w:type="continuationSeparator" w:id="0">
    <w:p w14:paraId="3760D0DC" w14:textId="77777777" w:rsidR="004E4598" w:rsidRDefault="004E4598" w:rsidP="00C74604">
      <w:r>
        <w:continuationSeparator/>
      </w:r>
    </w:p>
  </w:endnote>
  <w:endnote w:type="continuationNotice" w:id="1">
    <w:p w14:paraId="6857B653" w14:textId="77777777" w:rsidR="004E4598" w:rsidRDefault="004E45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20208030705050203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869364"/>
      <w:docPartObj>
        <w:docPartGallery w:val="Page Numbers (Bottom of Page)"/>
        <w:docPartUnique/>
      </w:docPartObj>
    </w:sdtPr>
    <w:sdtEndPr>
      <w:rPr>
        <w:noProof/>
      </w:rPr>
    </w:sdtEndPr>
    <w:sdtContent>
      <w:p w14:paraId="4F3329CE" w14:textId="04893359" w:rsidR="000B57DD" w:rsidRDefault="000B57DD">
        <w:pPr>
          <w:pStyle w:val="Footer"/>
          <w:jc w:val="center"/>
        </w:pPr>
        <w:r>
          <w:fldChar w:fldCharType="begin"/>
        </w:r>
        <w:r>
          <w:instrText xml:space="preserve"> PAGE   \* MERGEFORMAT </w:instrText>
        </w:r>
        <w:r>
          <w:fldChar w:fldCharType="separate"/>
        </w:r>
        <w:r w:rsidR="007E28EC">
          <w:rPr>
            <w:noProof/>
          </w:rPr>
          <w:t>2</w:t>
        </w:r>
        <w:r>
          <w:rPr>
            <w:noProof/>
          </w:rPr>
          <w:fldChar w:fldCharType="end"/>
        </w:r>
      </w:p>
    </w:sdtContent>
  </w:sdt>
  <w:p w14:paraId="38B3B92D" w14:textId="3F3429C4" w:rsidR="000B57DD" w:rsidRDefault="000B57DD" w:rsidP="00236D44">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945214"/>
      <w:docPartObj>
        <w:docPartGallery w:val="Page Numbers (Bottom of Page)"/>
        <w:docPartUnique/>
      </w:docPartObj>
    </w:sdtPr>
    <w:sdtEndPr>
      <w:rPr>
        <w:noProof/>
      </w:rPr>
    </w:sdtEndPr>
    <w:sdtContent>
      <w:p w14:paraId="60E33D6B" w14:textId="1B9FA903" w:rsidR="000B57DD" w:rsidRDefault="000B57DD">
        <w:pPr>
          <w:pStyle w:val="Footer"/>
          <w:jc w:val="center"/>
        </w:pPr>
        <w:r>
          <w:fldChar w:fldCharType="begin"/>
        </w:r>
        <w:r>
          <w:instrText xml:space="preserve"> PAGE   \* MERGEFORMAT </w:instrText>
        </w:r>
        <w:r>
          <w:fldChar w:fldCharType="separate"/>
        </w:r>
        <w:r w:rsidR="007E28EC">
          <w:rPr>
            <w:noProof/>
          </w:rPr>
          <w:t>i</w:t>
        </w:r>
        <w:r>
          <w:rPr>
            <w:noProof/>
          </w:rPr>
          <w:fldChar w:fldCharType="end"/>
        </w:r>
      </w:p>
    </w:sdtContent>
  </w:sdt>
  <w:p w14:paraId="30E66B4D" w14:textId="77777777" w:rsidR="000B57DD" w:rsidRDefault="000B57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CE55F" w14:textId="77777777" w:rsidR="004E4598" w:rsidRDefault="004E4598" w:rsidP="00C74604">
      <w:r>
        <w:separator/>
      </w:r>
    </w:p>
  </w:footnote>
  <w:footnote w:type="continuationSeparator" w:id="0">
    <w:p w14:paraId="0E57A536" w14:textId="77777777" w:rsidR="004E4598" w:rsidRDefault="004E4598" w:rsidP="00C74604">
      <w:r>
        <w:continuationSeparator/>
      </w:r>
    </w:p>
  </w:footnote>
  <w:footnote w:type="continuationNotice" w:id="1">
    <w:p w14:paraId="1CB4BB9F" w14:textId="77777777" w:rsidR="004E4598" w:rsidRDefault="004E4598"/>
  </w:footnote>
  <w:footnote w:id="2">
    <w:p w14:paraId="4208FCC7" w14:textId="10E73188" w:rsidR="000B57DD" w:rsidRDefault="000B57DD">
      <w:pPr>
        <w:pStyle w:val="FootnoteText"/>
      </w:pPr>
      <w:r>
        <w:rPr>
          <w:rStyle w:val="FootnoteReference"/>
        </w:rPr>
        <w:footnoteRef/>
      </w:r>
      <w:r>
        <w:t xml:space="preserve">  </w:t>
      </w:r>
      <w:hyperlink r:id="rId1" w:tgtFrame="_blank" w:history="1">
        <w:r>
          <w:rPr>
            <w:rStyle w:val="Hyperlink"/>
          </w:rPr>
          <w:t>https://nces.ed.gov/ccd/schoolsearch/</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56CB3A"/>
    <w:lvl w:ilvl="0">
      <w:start w:val="1"/>
      <w:numFmt w:val="decimal"/>
      <w:lvlText w:val="%1."/>
      <w:lvlJc w:val="left"/>
      <w:pPr>
        <w:tabs>
          <w:tab w:val="num" w:pos="1800"/>
        </w:tabs>
        <w:ind w:left="1800" w:hanging="360"/>
      </w:pPr>
    </w:lvl>
  </w:abstractNum>
  <w:abstractNum w:abstractNumId="1">
    <w:nsid w:val="FFFFFF7D"/>
    <w:multiLevelType w:val="singleLevel"/>
    <w:tmpl w:val="3F18DBEE"/>
    <w:lvl w:ilvl="0">
      <w:start w:val="1"/>
      <w:numFmt w:val="decimal"/>
      <w:lvlText w:val="%1."/>
      <w:lvlJc w:val="left"/>
      <w:pPr>
        <w:tabs>
          <w:tab w:val="num" w:pos="1440"/>
        </w:tabs>
        <w:ind w:left="1440" w:hanging="360"/>
      </w:pPr>
    </w:lvl>
  </w:abstractNum>
  <w:abstractNum w:abstractNumId="2">
    <w:nsid w:val="FFFFFF7E"/>
    <w:multiLevelType w:val="singleLevel"/>
    <w:tmpl w:val="28C42DA4"/>
    <w:lvl w:ilvl="0">
      <w:start w:val="1"/>
      <w:numFmt w:val="decimal"/>
      <w:lvlText w:val="%1."/>
      <w:lvlJc w:val="left"/>
      <w:pPr>
        <w:tabs>
          <w:tab w:val="num" w:pos="1080"/>
        </w:tabs>
        <w:ind w:left="1080" w:hanging="360"/>
      </w:pPr>
    </w:lvl>
  </w:abstractNum>
  <w:abstractNum w:abstractNumId="3">
    <w:nsid w:val="FFFFFF7F"/>
    <w:multiLevelType w:val="singleLevel"/>
    <w:tmpl w:val="CB40F550"/>
    <w:lvl w:ilvl="0">
      <w:start w:val="1"/>
      <w:numFmt w:val="decimal"/>
      <w:pStyle w:val="ListNumber2"/>
      <w:lvlText w:val="%1."/>
      <w:lvlJc w:val="left"/>
      <w:pPr>
        <w:tabs>
          <w:tab w:val="num" w:pos="720"/>
        </w:tabs>
        <w:ind w:left="720" w:hanging="360"/>
      </w:pPr>
    </w:lvl>
  </w:abstractNum>
  <w:abstractNum w:abstractNumId="4">
    <w:nsid w:val="FFFFFF80"/>
    <w:multiLevelType w:val="singleLevel"/>
    <w:tmpl w:val="801C10E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894266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938E97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2889B6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FA6FB8C"/>
    <w:lvl w:ilvl="0">
      <w:start w:val="1"/>
      <w:numFmt w:val="decimal"/>
      <w:lvlText w:val="%1."/>
      <w:lvlJc w:val="left"/>
      <w:pPr>
        <w:tabs>
          <w:tab w:val="num" w:pos="360"/>
        </w:tabs>
        <w:ind w:left="360" w:hanging="360"/>
      </w:pPr>
    </w:lvl>
  </w:abstractNum>
  <w:abstractNum w:abstractNumId="9">
    <w:nsid w:val="FFFFFF89"/>
    <w:multiLevelType w:val="singleLevel"/>
    <w:tmpl w:val="4CF6FF1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2"/>
    <w:multiLevelType w:val="multilevel"/>
    <w:tmpl w:val="00000000"/>
    <w:name w:val="2"/>
    <w:lvl w:ilvl="0">
      <w:start w:val="1"/>
      <w:numFmt w:val="upperLetter"/>
      <w:pStyle w:val="Outline0021"/>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1">
    <w:nsid w:val="0B39453B"/>
    <w:multiLevelType w:val="hybridMultilevel"/>
    <w:tmpl w:val="1C565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B2434"/>
    <w:multiLevelType w:val="hybridMultilevel"/>
    <w:tmpl w:val="39DE8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DE117D"/>
    <w:multiLevelType w:val="hybridMultilevel"/>
    <w:tmpl w:val="F5C2DC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73F06CC"/>
    <w:multiLevelType w:val="hybridMultilevel"/>
    <w:tmpl w:val="C6AA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7F676E"/>
    <w:multiLevelType w:val="hybridMultilevel"/>
    <w:tmpl w:val="88CCA3A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nsid w:val="247149BE"/>
    <w:multiLevelType w:val="hybridMultilevel"/>
    <w:tmpl w:val="2E828638"/>
    <w:lvl w:ilvl="0" w:tplc="841A6A7A">
      <w:start w:val="1"/>
      <w:numFmt w:val="bullet"/>
      <w:pStyle w:val="ListBullet2"/>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5A01304"/>
    <w:multiLevelType w:val="hybridMultilevel"/>
    <w:tmpl w:val="770ED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476C09"/>
    <w:multiLevelType w:val="hybridMultilevel"/>
    <w:tmpl w:val="4A540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2F941AC"/>
    <w:multiLevelType w:val="hybridMultilevel"/>
    <w:tmpl w:val="E822DC06"/>
    <w:lvl w:ilvl="0" w:tplc="676AD5DE">
      <w:start w:val="1"/>
      <w:numFmt w:val="bullet"/>
      <w:pStyle w:val="bullets2nd-level"/>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B8510DC"/>
    <w:multiLevelType w:val="multilevel"/>
    <w:tmpl w:val="D45ECA8A"/>
    <w:lvl w:ilvl="0">
      <w:start w:val="1"/>
      <w:numFmt w:val="bullet"/>
      <w:pStyle w:val="TableBullet"/>
      <w:lvlText w:val=""/>
      <w:lvlJc w:val="left"/>
      <w:pPr>
        <w:tabs>
          <w:tab w:val="num" w:pos="216"/>
        </w:tabs>
        <w:ind w:left="216" w:hanging="216"/>
      </w:pPr>
      <w:rPr>
        <w:rFonts w:ascii="Symbol" w:hAnsi="Symbol" w:hint="default"/>
        <w:b/>
        <w:i w:val="0"/>
        <w:color w:val="auto"/>
        <w:sz w:val="20"/>
      </w:rPr>
    </w:lvl>
    <w:lvl w:ilvl="1">
      <w:start w:val="1"/>
      <w:numFmt w:val="bullet"/>
      <w:lvlText w:val="–"/>
      <w:lvlJc w:val="left"/>
      <w:pPr>
        <w:tabs>
          <w:tab w:val="num" w:pos="720"/>
        </w:tabs>
        <w:ind w:left="720" w:hanging="360"/>
      </w:pPr>
      <w:rPr>
        <w:rFonts w:ascii="Times New Roman" w:hAnsi="Times New Roman" w:hint="default"/>
        <w:b/>
        <w:i w:val="0"/>
        <w:sz w:val="22"/>
      </w:rPr>
    </w:lvl>
    <w:lvl w:ilvl="2">
      <w:start w:val="1"/>
      <w:numFmt w:val="bullet"/>
      <w:lvlText w:val=""/>
      <w:lvlJc w:val="left"/>
      <w:pPr>
        <w:tabs>
          <w:tab w:val="num" w:pos="1080"/>
        </w:tabs>
        <w:ind w:left="1080" w:hanging="360"/>
      </w:pPr>
      <w:rPr>
        <w:rFonts w:ascii="Symbol" w:hAnsi="Symbol" w:hint="default"/>
        <w:b w:val="0"/>
        <w:i w:val="0"/>
        <w:sz w:val="16"/>
      </w:rPr>
    </w:lvl>
    <w:lvl w:ilvl="3">
      <w:start w:val="1"/>
      <w:numFmt w:val="decimal"/>
      <w:lvlText w:val="%1.%2.%3.%4."/>
      <w:lvlJc w:val="left"/>
      <w:pPr>
        <w:tabs>
          <w:tab w:val="num" w:pos="2088"/>
        </w:tabs>
        <w:ind w:left="2088" w:hanging="1008"/>
      </w:pPr>
      <w:rPr>
        <w:rFonts w:ascii="Arial Narrow" w:hAnsi="Arial Narrow" w:hint="default"/>
        <w:b w:val="0"/>
        <w:i w:val="0"/>
        <w:sz w:val="22"/>
      </w:rPr>
    </w:lvl>
    <w:lvl w:ilvl="4">
      <w:start w:val="1"/>
      <w:numFmt w:val="decimal"/>
      <w:lvlText w:val="%1.%2.%3.%4.%5."/>
      <w:lvlJc w:val="left"/>
      <w:pPr>
        <w:tabs>
          <w:tab w:val="num" w:pos="1872"/>
        </w:tabs>
        <w:ind w:left="1872" w:hanging="792"/>
      </w:pPr>
      <w:rPr>
        <w:rFonts w:ascii="Arial Narrow" w:hAnsi="Arial Narrow" w:hint="default"/>
        <w:b w:val="0"/>
        <w:i w:val="0"/>
        <w:sz w:val="20"/>
      </w:rPr>
    </w:lvl>
    <w:lvl w:ilvl="5">
      <w:start w:val="1"/>
      <w:numFmt w:val="decimal"/>
      <w:lvlText w:val="%1.%2.%3.%4.%5.%6."/>
      <w:lvlJc w:val="left"/>
      <w:pPr>
        <w:tabs>
          <w:tab w:val="num" w:pos="2376"/>
        </w:tabs>
        <w:ind w:left="2376" w:hanging="936"/>
      </w:pPr>
      <w:rPr>
        <w:rFonts w:ascii="Arial Narrow" w:hAnsi="Arial Narrow" w:hint="default"/>
        <w:b w:val="0"/>
        <w:i/>
        <w:sz w:val="20"/>
      </w:rPr>
    </w:lvl>
    <w:lvl w:ilvl="6">
      <w:start w:val="1"/>
      <w:numFmt w:val="decimal"/>
      <w:lvlText w:val="%1.%2.%3.%4.%5.%6.%7."/>
      <w:lvlJc w:val="left"/>
      <w:pPr>
        <w:tabs>
          <w:tab w:val="num" w:pos="2880"/>
        </w:tabs>
        <w:ind w:left="2880" w:hanging="1080"/>
      </w:pPr>
      <w:rPr>
        <w:rFonts w:ascii="Arial Narrow" w:hAnsi="Arial Narrow" w:hint="default"/>
        <w:b w:val="0"/>
        <w:i/>
        <w:sz w:val="20"/>
      </w:rPr>
    </w:lvl>
    <w:lvl w:ilvl="7">
      <w:start w:val="1"/>
      <w:numFmt w:val="decimal"/>
      <w:lvlText w:val="%1.%2.%3.%4.%5.%6.%7.%8."/>
      <w:lvlJc w:val="left"/>
      <w:pPr>
        <w:tabs>
          <w:tab w:val="num" w:pos="3384"/>
        </w:tabs>
        <w:ind w:left="3384" w:hanging="1224"/>
      </w:pPr>
      <w:rPr>
        <w:rFonts w:ascii="Arial Narrow" w:hAnsi="Arial Narrow" w:hint="default"/>
        <w:b w:val="0"/>
        <w:i w:val="0"/>
        <w:sz w:val="18"/>
      </w:rPr>
    </w:lvl>
    <w:lvl w:ilvl="8">
      <w:start w:val="1"/>
      <w:numFmt w:val="decimal"/>
      <w:lvlText w:val="%1.%2.%3.%4.%5.%6.%7.%8.%9."/>
      <w:lvlJc w:val="left"/>
      <w:pPr>
        <w:tabs>
          <w:tab w:val="num" w:pos="3960"/>
        </w:tabs>
        <w:ind w:left="3960" w:hanging="1440"/>
      </w:pPr>
      <w:rPr>
        <w:rFonts w:ascii="Arial Narrow" w:hAnsi="Arial Narrow" w:hint="default"/>
        <w:b w:val="0"/>
        <w:i w:val="0"/>
        <w:sz w:val="18"/>
      </w:rPr>
    </w:lvl>
  </w:abstractNum>
  <w:abstractNum w:abstractNumId="21">
    <w:nsid w:val="3E492639"/>
    <w:multiLevelType w:val="hybridMultilevel"/>
    <w:tmpl w:val="1EE8F5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32183B"/>
    <w:multiLevelType w:val="hybridMultilevel"/>
    <w:tmpl w:val="7D2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EE7F52"/>
    <w:multiLevelType w:val="hybridMultilevel"/>
    <w:tmpl w:val="78DC3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5B6B1D"/>
    <w:multiLevelType w:val="hybridMultilevel"/>
    <w:tmpl w:val="B52E1B1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2F915D7"/>
    <w:multiLevelType w:val="hybridMultilevel"/>
    <w:tmpl w:val="257EC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EE74C5"/>
    <w:multiLevelType w:val="hybridMultilevel"/>
    <w:tmpl w:val="F80CA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342CE8"/>
    <w:multiLevelType w:val="hybridMultilevel"/>
    <w:tmpl w:val="0EE0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9D4EF4"/>
    <w:multiLevelType w:val="hybridMultilevel"/>
    <w:tmpl w:val="C41C0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1E46095"/>
    <w:multiLevelType w:val="hybridMultilevel"/>
    <w:tmpl w:val="4278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751500"/>
    <w:multiLevelType w:val="hybridMultilevel"/>
    <w:tmpl w:val="937A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196D35"/>
    <w:multiLevelType w:val="hybridMultilevel"/>
    <w:tmpl w:val="A7CAA1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B710D4"/>
    <w:multiLevelType w:val="hybridMultilevel"/>
    <w:tmpl w:val="75BC26A6"/>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33">
    <w:nsid w:val="5A6B0414"/>
    <w:multiLevelType w:val="hybridMultilevel"/>
    <w:tmpl w:val="6B620C00"/>
    <w:lvl w:ilvl="0" w:tplc="29AE8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390BEB"/>
    <w:multiLevelType w:val="hybridMultilevel"/>
    <w:tmpl w:val="E520B480"/>
    <w:lvl w:ilvl="0" w:tplc="29AE8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5D11F3"/>
    <w:multiLevelType w:val="hybridMultilevel"/>
    <w:tmpl w:val="8624B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D23063"/>
    <w:multiLevelType w:val="hybridMultilevel"/>
    <w:tmpl w:val="713455C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383639F"/>
    <w:multiLevelType w:val="hybridMultilevel"/>
    <w:tmpl w:val="D818950C"/>
    <w:lvl w:ilvl="0" w:tplc="0409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8">
    <w:nsid w:val="65566C05"/>
    <w:multiLevelType w:val="hybridMultilevel"/>
    <w:tmpl w:val="A454D4C6"/>
    <w:lvl w:ilvl="0" w:tplc="29AE8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34771D"/>
    <w:multiLevelType w:val="hybridMultilevel"/>
    <w:tmpl w:val="C5AE2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7C4452"/>
    <w:multiLevelType w:val="hybridMultilevel"/>
    <w:tmpl w:val="D1E49128"/>
    <w:lvl w:ilvl="0" w:tplc="42B6B8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7FC0CF8"/>
    <w:multiLevelType w:val="hybridMultilevel"/>
    <w:tmpl w:val="A482834E"/>
    <w:lvl w:ilvl="0" w:tplc="B406DB7E">
      <w:start w:val="1"/>
      <w:numFmt w:val="decimal"/>
      <w:pStyle w:val="NumberedList"/>
      <w:lvlText w:val="%1."/>
      <w:lvlJc w:val="left"/>
      <w:pPr>
        <w:ind w:left="810" w:hanging="360"/>
      </w:pPr>
      <w:rPr>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nsid w:val="70E4360D"/>
    <w:multiLevelType w:val="hybridMultilevel"/>
    <w:tmpl w:val="770ED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C65633"/>
    <w:multiLevelType w:val="hybridMultilevel"/>
    <w:tmpl w:val="37AC137C"/>
    <w:lvl w:ilvl="0" w:tplc="BC30152A">
      <w:numFmt w:val="bullet"/>
      <w:lvlText w:val="•"/>
      <w:lvlJc w:val="left"/>
      <w:pPr>
        <w:ind w:left="410" w:hanging="720"/>
      </w:pPr>
      <w:rPr>
        <w:rFonts w:ascii="Cambria" w:eastAsiaTheme="minorHAnsi" w:hAnsi="Cambria" w:cs="Times New Roman" w:hint="default"/>
      </w:rPr>
    </w:lvl>
    <w:lvl w:ilvl="1" w:tplc="04090003" w:tentative="1">
      <w:start w:val="1"/>
      <w:numFmt w:val="bullet"/>
      <w:lvlText w:val="o"/>
      <w:lvlJc w:val="left"/>
      <w:pPr>
        <w:ind w:left="770" w:hanging="360"/>
      </w:pPr>
      <w:rPr>
        <w:rFonts w:ascii="Courier New" w:hAnsi="Courier New" w:cs="Courier New" w:hint="default"/>
      </w:rPr>
    </w:lvl>
    <w:lvl w:ilvl="2" w:tplc="04090005" w:tentative="1">
      <w:start w:val="1"/>
      <w:numFmt w:val="bullet"/>
      <w:lvlText w:val=""/>
      <w:lvlJc w:val="left"/>
      <w:pPr>
        <w:ind w:left="1490" w:hanging="360"/>
      </w:pPr>
      <w:rPr>
        <w:rFonts w:ascii="Wingdings" w:hAnsi="Wingdings" w:hint="default"/>
      </w:rPr>
    </w:lvl>
    <w:lvl w:ilvl="3" w:tplc="04090001" w:tentative="1">
      <w:start w:val="1"/>
      <w:numFmt w:val="bullet"/>
      <w:lvlText w:val=""/>
      <w:lvlJc w:val="left"/>
      <w:pPr>
        <w:ind w:left="2210" w:hanging="360"/>
      </w:pPr>
      <w:rPr>
        <w:rFonts w:ascii="Symbol" w:hAnsi="Symbol" w:hint="default"/>
      </w:rPr>
    </w:lvl>
    <w:lvl w:ilvl="4" w:tplc="04090003" w:tentative="1">
      <w:start w:val="1"/>
      <w:numFmt w:val="bullet"/>
      <w:lvlText w:val="o"/>
      <w:lvlJc w:val="left"/>
      <w:pPr>
        <w:ind w:left="2930" w:hanging="360"/>
      </w:pPr>
      <w:rPr>
        <w:rFonts w:ascii="Courier New" w:hAnsi="Courier New" w:cs="Courier New" w:hint="default"/>
      </w:rPr>
    </w:lvl>
    <w:lvl w:ilvl="5" w:tplc="04090005" w:tentative="1">
      <w:start w:val="1"/>
      <w:numFmt w:val="bullet"/>
      <w:lvlText w:val=""/>
      <w:lvlJc w:val="left"/>
      <w:pPr>
        <w:ind w:left="3650" w:hanging="360"/>
      </w:pPr>
      <w:rPr>
        <w:rFonts w:ascii="Wingdings" w:hAnsi="Wingdings" w:hint="default"/>
      </w:rPr>
    </w:lvl>
    <w:lvl w:ilvl="6" w:tplc="04090001" w:tentative="1">
      <w:start w:val="1"/>
      <w:numFmt w:val="bullet"/>
      <w:lvlText w:val=""/>
      <w:lvlJc w:val="left"/>
      <w:pPr>
        <w:ind w:left="4370" w:hanging="360"/>
      </w:pPr>
      <w:rPr>
        <w:rFonts w:ascii="Symbol" w:hAnsi="Symbol" w:hint="default"/>
      </w:rPr>
    </w:lvl>
    <w:lvl w:ilvl="7" w:tplc="04090003" w:tentative="1">
      <w:start w:val="1"/>
      <w:numFmt w:val="bullet"/>
      <w:lvlText w:val="o"/>
      <w:lvlJc w:val="left"/>
      <w:pPr>
        <w:ind w:left="5090" w:hanging="360"/>
      </w:pPr>
      <w:rPr>
        <w:rFonts w:ascii="Courier New" w:hAnsi="Courier New" w:cs="Courier New" w:hint="default"/>
      </w:rPr>
    </w:lvl>
    <w:lvl w:ilvl="8" w:tplc="04090005" w:tentative="1">
      <w:start w:val="1"/>
      <w:numFmt w:val="bullet"/>
      <w:lvlText w:val=""/>
      <w:lvlJc w:val="left"/>
      <w:pPr>
        <w:ind w:left="5810" w:hanging="360"/>
      </w:pPr>
      <w:rPr>
        <w:rFonts w:ascii="Wingdings" w:hAnsi="Wingdings" w:hint="default"/>
      </w:rPr>
    </w:lvl>
  </w:abstractNum>
  <w:abstractNum w:abstractNumId="44">
    <w:nsid w:val="7DF97C95"/>
    <w:multiLevelType w:val="hybridMultilevel"/>
    <w:tmpl w:val="82D0E4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5"/>
  </w:num>
  <w:num w:numId="3">
    <w:abstractNumId w:val="43"/>
  </w:num>
  <w:num w:numId="4">
    <w:abstractNumId w:val="24"/>
  </w:num>
  <w:num w:numId="5">
    <w:abstractNumId w:val="11"/>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3"/>
  </w:num>
  <w:num w:numId="16">
    <w:abstractNumId w:val="29"/>
  </w:num>
  <w:num w:numId="17">
    <w:abstractNumId w:val="27"/>
  </w:num>
  <w:num w:numId="18">
    <w:abstractNumId w:val="1"/>
  </w:num>
  <w:num w:numId="19">
    <w:abstractNumId w:val="0"/>
  </w:num>
  <w:num w:numId="20">
    <w:abstractNumId w:val="38"/>
  </w:num>
  <w:num w:numId="21">
    <w:abstractNumId w:val="34"/>
  </w:num>
  <w:num w:numId="22">
    <w:abstractNumId w:val="33"/>
  </w:num>
  <w:num w:numId="23">
    <w:abstractNumId w:val="3"/>
    <w:lvlOverride w:ilvl="0">
      <w:startOverride w:val="1"/>
    </w:lvlOverride>
  </w:num>
  <w:num w:numId="24">
    <w:abstractNumId w:val="35"/>
  </w:num>
  <w:num w:numId="25">
    <w:abstractNumId w:val="36"/>
  </w:num>
  <w:num w:numId="26">
    <w:abstractNumId w:val="32"/>
  </w:num>
  <w:num w:numId="27">
    <w:abstractNumId w:val="44"/>
  </w:num>
  <w:num w:numId="28">
    <w:abstractNumId w:val="31"/>
  </w:num>
  <w:num w:numId="29">
    <w:abstractNumId w:val="15"/>
  </w:num>
  <w:num w:numId="30">
    <w:abstractNumId w:val="18"/>
  </w:num>
  <w:num w:numId="31">
    <w:abstractNumId w:val="39"/>
  </w:num>
  <w:num w:numId="32">
    <w:abstractNumId w:val="17"/>
  </w:num>
  <w:num w:numId="33">
    <w:abstractNumId w:val="16"/>
  </w:num>
  <w:num w:numId="34">
    <w:abstractNumId w:val="26"/>
  </w:num>
  <w:num w:numId="35">
    <w:abstractNumId w:val="40"/>
  </w:num>
  <w:num w:numId="36">
    <w:abstractNumId w:val="42"/>
  </w:num>
  <w:num w:numId="37">
    <w:abstractNumId w:val="28"/>
  </w:num>
  <w:num w:numId="38">
    <w:abstractNumId w:val="21"/>
  </w:num>
  <w:num w:numId="39">
    <w:abstractNumId w:val="37"/>
  </w:num>
  <w:num w:numId="40">
    <w:abstractNumId w:val="9"/>
  </w:num>
  <w:num w:numId="41">
    <w:abstractNumId w:val="9"/>
  </w:num>
  <w:num w:numId="42">
    <w:abstractNumId w:val="9"/>
  </w:num>
  <w:num w:numId="43">
    <w:abstractNumId w:val="22"/>
  </w:num>
  <w:num w:numId="44">
    <w:abstractNumId w:val="20"/>
  </w:num>
  <w:num w:numId="45">
    <w:abstractNumId w:val="19"/>
  </w:num>
  <w:num w:numId="46">
    <w:abstractNumId w:val="23"/>
  </w:num>
  <w:num w:numId="47">
    <w:abstractNumId w:val="12"/>
  </w:num>
  <w:num w:numId="48">
    <w:abstractNumId w:val="10"/>
    <w:lvlOverride w:ilvl="0">
      <w:startOverride w:val="1"/>
      <w:lvl w:ilvl="0">
        <w:start w:val="1"/>
        <w:numFmt w:val="upperLetter"/>
        <w:pStyle w:val="Outline0021"/>
        <w:lvlText w:val="%1."/>
        <w:lvlJc w:val="left"/>
      </w:lvl>
    </w:lvlOverride>
    <w:lvlOverride w:ilvl="1">
      <w:startOverride w:val="1"/>
      <w:lvl w:ilvl="1">
        <w:start w:val="1"/>
        <w:numFmt w:val="decimal"/>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activeWritingStyle w:appName="MSWord" w:lang="en-US" w:vendorID="64" w:dllVersion="0" w:nlCheck="1" w:checkStyle="1"/>
  <w:activeWritingStyle w:appName="MSWord" w:lang="fr-FR" w:vendorID="64" w:dllVersion="0" w:nlCheck="1" w:checkStyle="0"/>
  <w:activeWritingStyle w:appName="MSWord" w:lang="es-HN"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49D"/>
    <w:rsid w:val="00003429"/>
    <w:rsid w:val="000035F0"/>
    <w:rsid w:val="000037DD"/>
    <w:rsid w:val="00004350"/>
    <w:rsid w:val="00010CEA"/>
    <w:rsid w:val="00011CBE"/>
    <w:rsid w:val="00012BF2"/>
    <w:rsid w:val="00013EB3"/>
    <w:rsid w:val="00014F41"/>
    <w:rsid w:val="00017B14"/>
    <w:rsid w:val="00020434"/>
    <w:rsid w:val="00021F03"/>
    <w:rsid w:val="000240E0"/>
    <w:rsid w:val="0002421A"/>
    <w:rsid w:val="0002681F"/>
    <w:rsid w:val="00026F02"/>
    <w:rsid w:val="00032F3E"/>
    <w:rsid w:val="00033123"/>
    <w:rsid w:val="00033384"/>
    <w:rsid w:val="000334E1"/>
    <w:rsid w:val="000341AC"/>
    <w:rsid w:val="0003463A"/>
    <w:rsid w:val="0004003C"/>
    <w:rsid w:val="00040E0C"/>
    <w:rsid w:val="00042972"/>
    <w:rsid w:val="00043373"/>
    <w:rsid w:val="000449F6"/>
    <w:rsid w:val="00045542"/>
    <w:rsid w:val="000460ED"/>
    <w:rsid w:val="00047A91"/>
    <w:rsid w:val="00052CD3"/>
    <w:rsid w:val="000530F7"/>
    <w:rsid w:val="00054F60"/>
    <w:rsid w:val="00057296"/>
    <w:rsid w:val="0006116B"/>
    <w:rsid w:val="0006147C"/>
    <w:rsid w:val="00062040"/>
    <w:rsid w:val="00062818"/>
    <w:rsid w:val="000635F7"/>
    <w:rsid w:val="0006560C"/>
    <w:rsid w:val="0006657A"/>
    <w:rsid w:val="0007239F"/>
    <w:rsid w:val="00074276"/>
    <w:rsid w:val="000763A7"/>
    <w:rsid w:val="00077D4C"/>
    <w:rsid w:val="00083BD3"/>
    <w:rsid w:val="000844BF"/>
    <w:rsid w:val="000850CA"/>
    <w:rsid w:val="0008545E"/>
    <w:rsid w:val="00086CCA"/>
    <w:rsid w:val="000875C4"/>
    <w:rsid w:val="00090D61"/>
    <w:rsid w:val="00092DD7"/>
    <w:rsid w:val="0009368A"/>
    <w:rsid w:val="000945CA"/>
    <w:rsid w:val="00094DD4"/>
    <w:rsid w:val="0009621D"/>
    <w:rsid w:val="000967BC"/>
    <w:rsid w:val="00096EB0"/>
    <w:rsid w:val="0009705A"/>
    <w:rsid w:val="0009769A"/>
    <w:rsid w:val="00097ACF"/>
    <w:rsid w:val="000A1D7E"/>
    <w:rsid w:val="000A323D"/>
    <w:rsid w:val="000A640E"/>
    <w:rsid w:val="000B2E42"/>
    <w:rsid w:val="000B493D"/>
    <w:rsid w:val="000B535C"/>
    <w:rsid w:val="000B57DD"/>
    <w:rsid w:val="000B6516"/>
    <w:rsid w:val="000B7275"/>
    <w:rsid w:val="000C2D9B"/>
    <w:rsid w:val="000C790F"/>
    <w:rsid w:val="000D0451"/>
    <w:rsid w:val="000D0C17"/>
    <w:rsid w:val="000D0C26"/>
    <w:rsid w:val="000D10B5"/>
    <w:rsid w:val="000D4B59"/>
    <w:rsid w:val="000D5867"/>
    <w:rsid w:val="000D5AA5"/>
    <w:rsid w:val="000D5AF9"/>
    <w:rsid w:val="000D6233"/>
    <w:rsid w:val="000D6515"/>
    <w:rsid w:val="000E0377"/>
    <w:rsid w:val="000E3C40"/>
    <w:rsid w:val="000E4F0F"/>
    <w:rsid w:val="000E661C"/>
    <w:rsid w:val="000E67BD"/>
    <w:rsid w:val="000E6A8D"/>
    <w:rsid w:val="000F0029"/>
    <w:rsid w:val="000F14B1"/>
    <w:rsid w:val="000F1A68"/>
    <w:rsid w:val="000F42AB"/>
    <w:rsid w:val="000F4C71"/>
    <w:rsid w:val="0010003D"/>
    <w:rsid w:val="001003DC"/>
    <w:rsid w:val="0010092D"/>
    <w:rsid w:val="00101845"/>
    <w:rsid w:val="0010188B"/>
    <w:rsid w:val="00101BB3"/>
    <w:rsid w:val="00102205"/>
    <w:rsid w:val="00102619"/>
    <w:rsid w:val="0010269C"/>
    <w:rsid w:val="0010274F"/>
    <w:rsid w:val="00102D39"/>
    <w:rsid w:val="00102D85"/>
    <w:rsid w:val="001045E9"/>
    <w:rsid w:val="00110D5D"/>
    <w:rsid w:val="00111B9F"/>
    <w:rsid w:val="001127C2"/>
    <w:rsid w:val="00113196"/>
    <w:rsid w:val="00113AE4"/>
    <w:rsid w:val="0011585D"/>
    <w:rsid w:val="0011714D"/>
    <w:rsid w:val="00117427"/>
    <w:rsid w:val="0011791F"/>
    <w:rsid w:val="001208C2"/>
    <w:rsid w:val="00123291"/>
    <w:rsid w:val="001265B5"/>
    <w:rsid w:val="00126DAF"/>
    <w:rsid w:val="00134AFC"/>
    <w:rsid w:val="0013710B"/>
    <w:rsid w:val="00137D3A"/>
    <w:rsid w:val="00137EA9"/>
    <w:rsid w:val="001409FB"/>
    <w:rsid w:val="00141E04"/>
    <w:rsid w:val="00141E66"/>
    <w:rsid w:val="0014393D"/>
    <w:rsid w:val="00146340"/>
    <w:rsid w:val="00147D13"/>
    <w:rsid w:val="00150274"/>
    <w:rsid w:val="001513CC"/>
    <w:rsid w:val="0015308B"/>
    <w:rsid w:val="00155F9C"/>
    <w:rsid w:val="00156BD0"/>
    <w:rsid w:val="00156FFF"/>
    <w:rsid w:val="001579D3"/>
    <w:rsid w:val="00157CF8"/>
    <w:rsid w:val="00157D71"/>
    <w:rsid w:val="00160649"/>
    <w:rsid w:val="00161FBC"/>
    <w:rsid w:val="0016240C"/>
    <w:rsid w:val="00167500"/>
    <w:rsid w:val="00167600"/>
    <w:rsid w:val="00170660"/>
    <w:rsid w:val="001710A6"/>
    <w:rsid w:val="001715CF"/>
    <w:rsid w:val="00171739"/>
    <w:rsid w:val="00171C8F"/>
    <w:rsid w:val="00175299"/>
    <w:rsid w:val="00175FD6"/>
    <w:rsid w:val="0017669E"/>
    <w:rsid w:val="00181D4C"/>
    <w:rsid w:val="0018254B"/>
    <w:rsid w:val="00185499"/>
    <w:rsid w:val="00191403"/>
    <w:rsid w:val="00191E0D"/>
    <w:rsid w:val="001926A5"/>
    <w:rsid w:val="0019383F"/>
    <w:rsid w:val="001963DA"/>
    <w:rsid w:val="00197D69"/>
    <w:rsid w:val="001A130C"/>
    <w:rsid w:val="001A1B56"/>
    <w:rsid w:val="001A2AF9"/>
    <w:rsid w:val="001A6003"/>
    <w:rsid w:val="001A69B9"/>
    <w:rsid w:val="001B0422"/>
    <w:rsid w:val="001B3C1E"/>
    <w:rsid w:val="001C0789"/>
    <w:rsid w:val="001C2220"/>
    <w:rsid w:val="001C37A4"/>
    <w:rsid w:val="001C4207"/>
    <w:rsid w:val="001C5C17"/>
    <w:rsid w:val="001C7C7F"/>
    <w:rsid w:val="001D0075"/>
    <w:rsid w:val="001D0173"/>
    <w:rsid w:val="001D1476"/>
    <w:rsid w:val="001D1EC9"/>
    <w:rsid w:val="001D225D"/>
    <w:rsid w:val="001D2F1C"/>
    <w:rsid w:val="001D630C"/>
    <w:rsid w:val="001D74E6"/>
    <w:rsid w:val="001E02BF"/>
    <w:rsid w:val="001E13E2"/>
    <w:rsid w:val="001E1ED3"/>
    <w:rsid w:val="001E5A84"/>
    <w:rsid w:val="001E5A9B"/>
    <w:rsid w:val="001E704B"/>
    <w:rsid w:val="001F0FA5"/>
    <w:rsid w:val="001F2E36"/>
    <w:rsid w:val="001F41DE"/>
    <w:rsid w:val="001F4604"/>
    <w:rsid w:val="001F4D84"/>
    <w:rsid w:val="001F5131"/>
    <w:rsid w:val="001F69AE"/>
    <w:rsid w:val="001F7A6E"/>
    <w:rsid w:val="0020310F"/>
    <w:rsid w:val="00203ECB"/>
    <w:rsid w:val="002040E1"/>
    <w:rsid w:val="002056C6"/>
    <w:rsid w:val="0020630C"/>
    <w:rsid w:val="00206610"/>
    <w:rsid w:val="0020736B"/>
    <w:rsid w:val="0021204F"/>
    <w:rsid w:val="00214195"/>
    <w:rsid w:val="0021430E"/>
    <w:rsid w:val="00214B5F"/>
    <w:rsid w:val="00215271"/>
    <w:rsid w:val="00216D82"/>
    <w:rsid w:val="00216D94"/>
    <w:rsid w:val="00217025"/>
    <w:rsid w:val="00217412"/>
    <w:rsid w:val="00221066"/>
    <w:rsid w:val="002218A6"/>
    <w:rsid w:val="0022205A"/>
    <w:rsid w:val="00222101"/>
    <w:rsid w:val="00223407"/>
    <w:rsid w:val="00224E36"/>
    <w:rsid w:val="002256F7"/>
    <w:rsid w:val="002262A7"/>
    <w:rsid w:val="0023284B"/>
    <w:rsid w:val="0023495C"/>
    <w:rsid w:val="00236D44"/>
    <w:rsid w:val="00244083"/>
    <w:rsid w:val="00250D10"/>
    <w:rsid w:val="00251AA7"/>
    <w:rsid w:val="00251D1B"/>
    <w:rsid w:val="00254159"/>
    <w:rsid w:val="00254B4F"/>
    <w:rsid w:val="002575B7"/>
    <w:rsid w:val="00262619"/>
    <w:rsid w:val="00262EF6"/>
    <w:rsid w:val="00263554"/>
    <w:rsid w:val="002637D5"/>
    <w:rsid w:val="00264440"/>
    <w:rsid w:val="00265DF7"/>
    <w:rsid w:val="0026777D"/>
    <w:rsid w:val="00270498"/>
    <w:rsid w:val="00272EDA"/>
    <w:rsid w:val="002736B6"/>
    <w:rsid w:val="00273E30"/>
    <w:rsid w:val="00276A61"/>
    <w:rsid w:val="0027728A"/>
    <w:rsid w:val="00277B10"/>
    <w:rsid w:val="002806F0"/>
    <w:rsid w:val="00282E25"/>
    <w:rsid w:val="002839F1"/>
    <w:rsid w:val="00287034"/>
    <w:rsid w:val="002871FD"/>
    <w:rsid w:val="00287CF0"/>
    <w:rsid w:val="00291564"/>
    <w:rsid w:val="002919BB"/>
    <w:rsid w:val="002924E2"/>
    <w:rsid w:val="0029371F"/>
    <w:rsid w:val="00293A27"/>
    <w:rsid w:val="00295274"/>
    <w:rsid w:val="00296430"/>
    <w:rsid w:val="0029750C"/>
    <w:rsid w:val="002A0042"/>
    <w:rsid w:val="002A15E3"/>
    <w:rsid w:val="002A1BB6"/>
    <w:rsid w:val="002A3743"/>
    <w:rsid w:val="002A53CD"/>
    <w:rsid w:val="002A6D51"/>
    <w:rsid w:val="002B10A6"/>
    <w:rsid w:val="002B269E"/>
    <w:rsid w:val="002B30F1"/>
    <w:rsid w:val="002B3E73"/>
    <w:rsid w:val="002B51F9"/>
    <w:rsid w:val="002B7C6C"/>
    <w:rsid w:val="002C1739"/>
    <w:rsid w:val="002C1F05"/>
    <w:rsid w:val="002C29EE"/>
    <w:rsid w:val="002C4975"/>
    <w:rsid w:val="002C64FA"/>
    <w:rsid w:val="002C6592"/>
    <w:rsid w:val="002C7829"/>
    <w:rsid w:val="002D0909"/>
    <w:rsid w:val="002D11E7"/>
    <w:rsid w:val="002D6790"/>
    <w:rsid w:val="002D71B0"/>
    <w:rsid w:val="002D7B88"/>
    <w:rsid w:val="002E1603"/>
    <w:rsid w:val="002E3D7D"/>
    <w:rsid w:val="002F0F0D"/>
    <w:rsid w:val="002F134E"/>
    <w:rsid w:val="002F39B0"/>
    <w:rsid w:val="002F403D"/>
    <w:rsid w:val="00301D56"/>
    <w:rsid w:val="00301D5E"/>
    <w:rsid w:val="00304073"/>
    <w:rsid w:val="0030426F"/>
    <w:rsid w:val="00304744"/>
    <w:rsid w:val="00311C0D"/>
    <w:rsid w:val="0031311B"/>
    <w:rsid w:val="00313752"/>
    <w:rsid w:val="00314CB2"/>
    <w:rsid w:val="00315F68"/>
    <w:rsid w:val="00316C97"/>
    <w:rsid w:val="00317491"/>
    <w:rsid w:val="00321EBA"/>
    <w:rsid w:val="00324CB2"/>
    <w:rsid w:val="00324CC6"/>
    <w:rsid w:val="00330209"/>
    <w:rsid w:val="00330808"/>
    <w:rsid w:val="00333964"/>
    <w:rsid w:val="00333DAB"/>
    <w:rsid w:val="003352CB"/>
    <w:rsid w:val="0033623E"/>
    <w:rsid w:val="00337AB7"/>
    <w:rsid w:val="003422DC"/>
    <w:rsid w:val="00345B8B"/>
    <w:rsid w:val="00346CB9"/>
    <w:rsid w:val="00347B66"/>
    <w:rsid w:val="00350ED8"/>
    <w:rsid w:val="00350F1A"/>
    <w:rsid w:val="003515A0"/>
    <w:rsid w:val="003566A4"/>
    <w:rsid w:val="00360454"/>
    <w:rsid w:val="003614FB"/>
    <w:rsid w:val="003619AC"/>
    <w:rsid w:val="0036210A"/>
    <w:rsid w:val="00363AA5"/>
    <w:rsid w:val="00364193"/>
    <w:rsid w:val="003642B6"/>
    <w:rsid w:val="00365062"/>
    <w:rsid w:val="00365378"/>
    <w:rsid w:val="0036580F"/>
    <w:rsid w:val="003664A7"/>
    <w:rsid w:val="003670D7"/>
    <w:rsid w:val="00371A27"/>
    <w:rsid w:val="00371DD7"/>
    <w:rsid w:val="00375317"/>
    <w:rsid w:val="00376420"/>
    <w:rsid w:val="003800EB"/>
    <w:rsid w:val="003829D5"/>
    <w:rsid w:val="00384305"/>
    <w:rsid w:val="00393AF5"/>
    <w:rsid w:val="00394ACC"/>
    <w:rsid w:val="003979E4"/>
    <w:rsid w:val="00397E6F"/>
    <w:rsid w:val="003A315D"/>
    <w:rsid w:val="003A45D2"/>
    <w:rsid w:val="003A5DED"/>
    <w:rsid w:val="003A7705"/>
    <w:rsid w:val="003A7788"/>
    <w:rsid w:val="003B2BF6"/>
    <w:rsid w:val="003B2E00"/>
    <w:rsid w:val="003B3D64"/>
    <w:rsid w:val="003B3FED"/>
    <w:rsid w:val="003B4CEC"/>
    <w:rsid w:val="003B4FAC"/>
    <w:rsid w:val="003B50E3"/>
    <w:rsid w:val="003B67A8"/>
    <w:rsid w:val="003B6A42"/>
    <w:rsid w:val="003C405F"/>
    <w:rsid w:val="003C5F40"/>
    <w:rsid w:val="003C624E"/>
    <w:rsid w:val="003C72D1"/>
    <w:rsid w:val="003D188E"/>
    <w:rsid w:val="003D1C08"/>
    <w:rsid w:val="003D1CAB"/>
    <w:rsid w:val="003D23DA"/>
    <w:rsid w:val="003D2DDD"/>
    <w:rsid w:val="003D3FFC"/>
    <w:rsid w:val="003D4476"/>
    <w:rsid w:val="003E0403"/>
    <w:rsid w:val="003E1A15"/>
    <w:rsid w:val="003E791E"/>
    <w:rsid w:val="003F503F"/>
    <w:rsid w:val="00400F9F"/>
    <w:rsid w:val="0040177D"/>
    <w:rsid w:val="00401C91"/>
    <w:rsid w:val="00401D55"/>
    <w:rsid w:val="00402EBF"/>
    <w:rsid w:val="00402F91"/>
    <w:rsid w:val="004042B1"/>
    <w:rsid w:val="00406213"/>
    <w:rsid w:val="004070E7"/>
    <w:rsid w:val="004129D1"/>
    <w:rsid w:val="00412FC7"/>
    <w:rsid w:val="0041344E"/>
    <w:rsid w:val="004138D0"/>
    <w:rsid w:val="00417D7F"/>
    <w:rsid w:val="00420635"/>
    <w:rsid w:val="004217EB"/>
    <w:rsid w:val="00422365"/>
    <w:rsid w:val="00422D00"/>
    <w:rsid w:val="00424439"/>
    <w:rsid w:val="0042603A"/>
    <w:rsid w:val="00426A0E"/>
    <w:rsid w:val="004304FC"/>
    <w:rsid w:val="004323C6"/>
    <w:rsid w:val="0043293A"/>
    <w:rsid w:val="00432A1F"/>
    <w:rsid w:val="0044045E"/>
    <w:rsid w:val="00441A9D"/>
    <w:rsid w:val="00442E02"/>
    <w:rsid w:val="00442EDE"/>
    <w:rsid w:val="00442F36"/>
    <w:rsid w:val="00447C4D"/>
    <w:rsid w:val="00450AA4"/>
    <w:rsid w:val="00451969"/>
    <w:rsid w:val="00451E5C"/>
    <w:rsid w:val="004534F4"/>
    <w:rsid w:val="004539A5"/>
    <w:rsid w:val="00453E14"/>
    <w:rsid w:val="00454AD0"/>
    <w:rsid w:val="00457B48"/>
    <w:rsid w:val="00457E66"/>
    <w:rsid w:val="00461BEE"/>
    <w:rsid w:val="00462C21"/>
    <w:rsid w:val="00462FCF"/>
    <w:rsid w:val="004630C8"/>
    <w:rsid w:val="00464DD8"/>
    <w:rsid w:val="00466365"/>
    <w:rsid w:val="00473258"/>
    <w:rsid w:val="004732F4"/>
    <w:rsid w:val="0047502F"/>
    <w:rsid w:val="004767BB"/>
    <w:rsid w:val="004824FE"/>
    <w:rsid w:val="00486FA1"/>
    <w:rsid w:val="0048701D"/>
    <w:rsid w:val="0048794C"/>
    <w:rsid w:val="004911C6"/>
    <w:rsid w:val="00492801"/>
    <w:rsid w:val="00497423"/>
    <w:rsid w:val="00497A9F"/>
    <w:rsid w:val="004A02FE"/>
    <w:rsid w:val="004A13C7"/>
    <w:rsid w:val="004A1E2A"/>
    <w:rsid w:val="004A2041"/>
    <w:rsid w:val="004A258C"/>
    <w:rsid w:val="004A3EC6"/>
    <w:rsid w:val="004A4728"/>
    <w:rsid w:val="004A4A08"/>
    <w:rsid w:val="004A4B90"/>
    <w:rsid w:val="004A4E1B"/>
    <w:rsid w:val="004A7B00"/>
    <w:rsid w:val="004B0EAA"/>
    <w:rsid w:val="004B10BE"/>
    <w:rsid w:val="004B2402"/>
    <w:rsid w:val="004B3A21"/>
    <w:rsid w:val="004B469A"/>
    <w:rsid w:val="004B4FE3"/>
    <w:rsid w:val="004C016C"/>
    <w:rsid w:val="004C0B8B"/>
    <w:rsid w:val="004C1E86"/>
    <w:rsid w:val="004C2AFA"/>
    <w:rsid w:val="004C3C96"/>
    <w:rsid w:val="004C4886"/>
    <w:rsid w:val="004C4DA8"/>
    <w:rsid w:val="004C7329"/>
    <w:rsid w:val="004C793A"/>
    <w:rsid w:val="004D008E"/>
    <w:rsid w:val="004D136B"/>
    <w:rsid w:val="004D1976"/>
    <w:rsid w:val="004D350D"/>
    <w:rsid w:val="004D3BFA"/>
    <w:rsid w:val="004D472E"/>
    <w:rsid w:val="004D7D31"/>
    <w:rsid w:val="004E0D74"/>
    <w:rsid w:val="004E2666"/>
    <w:rsid w:val="004E2F11"/>
    <w:rsid w:val="004E4598"/>
    <w:rsid w:val="004E49E5"/>
    <w:rsid w:val="004F14AA"/>
    <w:rsid w:val="004F17DF"/>
    <w:rsid w:val="004F189B"/>
    <w:rsid w:val="004F21C2"/>
    <w:rsid w:val="00501017"/>
    <w:rsid w:val="0050203D"/>
    <w:rsid w:val="0050322A"/>
    <w:rsid w:val="00504C0D"/>
    <w:rsid w:val="00504C99"/>
    <w:rsid w:val="005064C7"/>
    <w:rsid w:val="005076CD"/>
    <w:rsid w:val="00510541"/>
    <w:rsid w:val="00511B9D"/>
    <w:rsid w:val="0051299D"/>
    <w:rsid w:val="00513E3F"/>
    <w:rsid w:val="005226F3"/>
    <w:rsid w:val="005229D8"/>
    <w:rsid w:val="00524547"/>
    <w:rsid w:val="00525B83"/>
    <w:rsid w:val="00527A0C"/>
    <w:rsid w:val="005307DF"/>
    <w:rsid w:val="0053242A"/>
    <w:rsid w:val="00534B36"/>
    <w:rsid w:val="00534F0F"/>
    <w:rsid w:val="005366D0"/>
    <w:rsid w:val="00541F49"/>
    <w:rsid w:val="0054253B"/>
    <w:rsid w:val="005476FB"/>
    <w:rsid w:val="005478BF"/>
    <w:rsid w:val="005508BF"/>
    <w:rsid w:val="0055133D"/>
    <w:rsid w:val="00552343"/>
    <w:rsid w:val="005539BF"/>
    <w:rsid w:val="0055648C"/>
    <w:rsid w:val="00556EDB"/>
    <w:rsid w:val="00560FCE"/>
    <w:rsid w:val="00561C55"/>
    <w:rsid w:val="00563244"/>
    <w:rsid w:val="00564AFB"/>
    <w:rsid w:val="005657C8"/>
    <w:rsid w:val="00565BC0"/>
    <w:rsid w:val="00565E8B"/>
    <w:rsid w:val="0056668D"/>
    <w:rsid w:val="00566918"/>
    <w:rsid w:val="0057095E"/>
    <w:rsid w:val="00571283"/>
    <w:rsid w:val="00572652"/>
    <w:rsid w:val="00573694"/>
    <w:rsid w:val="005759C2"/>
    <w:rsid w:val="00576178"/>
    <w:rsid w:val="00576921"/>
    <w:rsid w:val="0057793D"/>
    <w:rsid w:val="00580235"/>
    <w:rsid w:val="005845E3"/>
    <w:rsid w:val="0058465C"/>
    <w:rsid w:val="00584BA9"/>
    <w:rsid w:val="005854E1"/>
    <w:rsid w:val="005857C0"/>
    <w:rsid w:val="00585B76"/>
    <w:rsid w:val="005872C2"/>
    <w:rsid w:val="005908F1"/>
    <w:rsid w:val="0059264E"/>
    <w:rsid w:val="00593C3B"/>
    <w:rsid w:val="00593D94"/>
    <w:rsid w:val="005962AF"/>
    <w:rsid w:val="00596679"/>
    <w:rsid w:val="00597E65"/>
    <w:rsid w:val="005A03C3"/>
    <w:rsid w:val="005A109C"/>
    <w:rsid w:val="005A3110"/>
    <w:rsid w:val="005A4DC6"/>
    <w:rsid w:val="005A5853"/>
    <w:rsid w:val="005A642F"/>
    <w:rsid w:val="005A7651"/>
    <w:rsid w:val="005B091F"/>
    <w:rsid w:val="005B1EBE"/>
    <w:rsid w:val="005B21FE"/>
    <w:rsid w:val="005B2551"/>
    <w:rsid w:val="005B2EFB"/>
    <w:rsid w:val="005B5DE1"/>
    <w:rsid w:val="005B651B"/>
    <w:rsid w:val="005B6A2C"/>
    <w:rsid w:val="005C09C6"/>
    <w:rsid w:val="005C1FC7"/>
    <w:rsid w:val="005C3AE7"/>
    <w:rsid w:val="005C4EAE"/>
    <w:rsid w:val="005C5A90"/>
    <w:rsid w:val="005C70DA"/>
    <w:rsid w:val="005D18E3"/>
    <w:rsid w:val="005D29B5"/>
    <w:rsid w:val="005D2E6A"/>
    <w:rsid w:val="005D436B"/>
    <w:rsid w:val="005D47B1"/>
    <w:rsid w:val="005E0F1B"/>
    <w:rsid w:val="005E223B"/>
    <w:rsid w:val="005E7C78"/>
    <w:rsid w:val="005E7CBF"/>
    <w:rsid w:val="005F5835"/>
    <w:rsid w:val="005F590A"/>
    <w:rsid w:val="005F660B"/>
    <w:rsid w:val="005F7DED"/>
    <w:rsid w:val="00602E93"/>
    <w:rsid w:val="00603C70"/>
    <w:rsid w:val="00603EC2"/>
    <w:rsid w:val="0060444A"/>
    <w:rsid w:val="00604695"/>
    <w:rsid w:val="00613988"/>
    <w:rsid w:val="00616D1F"/>
    <w:rsid w:val="00620F80"/>
    <w:rsid w:val="006221EB"/>
    <w:rsid w:val="006224E9"/>
    <w:rsid w:val="00623248"/>
    <w:rsid w:val="006241C5"/>
    <w:rsid w:val="0062522A"/>
    <w:rsid w:val="006274F8"/>
    <w:rsid w:val="00630ACD"/>
    <w:rsid w:val="00632BB3"/>
    <w:rsid w:val="00632F91"/>
    <w:rsid w:val="0063314D"/>
    <w:rsid w:val="0063372D"/>
    <w:rsid w:val="006340A0"/>
    <w:rsid w:val="00636EB6"/>
    <w:rsid w:val="00637C04"/>
    <w:rsid w:val="00640100"/>
    <w:rsid w:val="006418E2"/>
    <w:rsid w:val="00645132"/>
    <w:rsid w:val="006456EA"/>
    <w:rsid w:val="006503D6"/>
    <w:rsid w:val="006511AD"/>
    <w:rsid w:val="00651DED"/>
    <w:rsid w:val="00654EEB"/>
    <w:rsid w:val="006569F1"/>
    <w:rsid w:val="00657291"/>
    <w:rsid w:val="0065750F"/>
    <w:rsid w:val="00657623"/>
    <w:rsid w:val="00657949"/>
    <w:rsid w:val="0066121C"/>
    <w:rsid w:val="00661BFB"/>
    <w:rsid w:val="00661DC6"/>
    <w:rsid w:val="00662EB9"/>
    <w:rsid w:val="006642C3"/>
    <w:rsid w:val="00664407"/>
    <w:rsid w:val="00664C57"/>
    <w:rsid w:val="006651F5"/>
    <w:rsid w:val="00666170"/>
    <w:rsid w:val="006704C2"/>
    <w:rsid w:val="00670BA7"/>
    <w:rsid w:val="00672369"/>
    <w:rsid w:val="00673119"/>
    <w:rsid w:val="0067478E"/>
    <w:rsid w:val="00674A45"/>
    <w:rsid w:val="006762C8"/>
    <w:rsid w:val="006764BB"/>
    <w:rsid w:val="00677814"/>
    <w:rsid w:val="00677F6C"/>
    <w:rsid w:val="00677FDC"/>
    <w:rsid w:val="00680604"/>
    <w:rsid w:val="0068179E"/>
    <w:rsid w:val="00681ED8"/>
    <w:rsid w:val="006826D4"/>
    <w:rsid w:val="0068325A"/>
    <w:rsid w:val="00683976"/>
    <w:rsid w:val="006855EF"/>
    <w:rsid w:val="006956EC"/>
    <w:rsid w:val="00695D8E"/>
    <w:rsid w:val="006A1127"/>
    <w:rsid w:val="006A1764"/>
    <w:rsid w:val="006A4B41"/>
    <w:rsid w:val="006A6761"/>
    <w:rsid w:val="006B078B"/>
    <w:rsid w:val="006B09B3"/>
    <w:rsid w:val="006B0A9D"/>
    <w:rsid w:val="006B2EA4"/>
    <w:rsid w:val="006B59DB"/>
    <w:rsid w:val="006B6B62"/>
    <w:rsid w:val="006C08D8"/>
    <w:rsid w:val="006C0A98"/>
    <w:rsid w:val="006C1483"/>
    <w:rsid w:val="006C307E"/>
    <w:rsid w:val="006C3618"/>
    <w:rsid w:val="006C3BD6"/>
    <w:rsid w:val="006C4314"/>
    <w:rsid w:val="006C4C14"/>
    <w:rsid w:val="006C4D5D"/>
    <w:rsid w:val="006C6273"/>
    <w:rsid w:val="006C759E"/>
    <w:rsid w:val="006D1C54"/>
    <w:rsid w:val="006D484C"/>
    <w:rsid w:val="006D695D"/>
    <w:rsid w:val="006D738E"/>
    <w:rsid w:val="006E05D1"/>
    <w:rsid w:val="006E2093"/>
    <w:rsid w:val="006E5F5E"/>
    <w:rsid w:val="006E610D"/>
    <w:rsid w:val="006E6615"/>
    <w:rsid w:val="006F0DF3"/>
    <w:rsid w:val="006F1C3E"/>
    <w:rsid w:val="006F2A85"/>
    <w:rsid w:val="006F66F8"/>
    <w:rsid w:val="006F7C68"/>
    <w:rsid w:val="00702D63"/>
    <w:rsid w:val="00703ABA"/>
    <w:rsid w:val="00704EFD"/>
    <w:rsid w:val="007069A4"/>
    <w:rsid w:val="00712704"/>
    <w:rsid w:val="00720413"/>
    <w:rsid w:val="007211C1"/>
    <w:rsid w:val="007216C0"/>
    <w:rsid w:val="00724C4A"/>
    <w:rsid w:val="00724EB2"/>
    <w:rsid w:val="0072584D"/>
    <w:rsid w:val="0072643A"/>
    <w:rsid w:val="00726570"/>
    <w:rsid w:val="00726D66"/>
    <w:rsid w:val="00726EAE"/>
    <w:rsid w:val="00730008"/>
    <w:rsid w:val="00737B42"/>
    <w:rsid w:val="0074029C"/>
    <w:rsid w:val="007422B2"/>
    <w:rsid w:val="007439B4"/>
    <w:rsid w:val="007441F4"/>
    <w:rsid w:val="007444B3"/>
    <w:rsid w:val="00751424"/>
    <w:rsid w:val="00753B55"/>
    <w:rsid w:val="00753DB6"/>
    <w:rsid w:val="007540E6"/>
    <w:rsid w:val="00754A3E"/>
    <w:rsid w:val="00754BB2"/>
    <w:rsid w:val="00755279"/>
    <w:rsid w:val="0075647F"/>
    <w:rsid w:val="00761457"/>
    <w:rsid w:val="007625C5"/>
    <w:rsid w:val="0076308D"/>
    <w:rsid w:val="007646F2"/>
    <w:rsid w:val="007659DD"/>
    <w:rsid w:val="00765DA1"/>
    <w:rsid w:val="00765EF8"/>
    <w:rsid w:val="007662D4"/>
    <w:rsid w:val="00766B16"/>
    <w:rsid w:val="00766EE8"/>
    <w:rsid w:val="00767569"/>
    <w:rsid w:val="00776B7E"/>
    <w:rsid w:val="007804A7"/>
    <w:rsid w:val="00780685"/>
    <w:rsid w:val="00781A55"/>
    <w:rsid w:val="00782B27"/>
    <w:rsid w:val="00784D0C"/>
    <w:rsid w:val="00785447"/>
    <w:rsid w:val="00786648"/>
    <w:rsid w:val="00790A1C"/>
    <w:rsid w:val="00791142"/>
    <w:rsid w:val="00792DDE"/>
    <w:rsid w:val="007942E7"/>
    <w:rsid w:val="007A0862"/>
    <w:rsid w:val="007A1E62"/>
    <w:rsid w:val="007A322E"/>
    <w:rsid w:val="007A3A19"/>
    <w:rsid w:val="007A55D3"/>
    <w:rsid w:val="007A6074"/>
    <w:rsid w:val="007A7B3F"/>
    <w:rsid w:val="007B0957"/>
    <w:rsid w:val="007B1283"/>
    <w:rsid w:val="007B1A3D"/>
    <w:rsid w:val="007B3231"/>
    <w:rsid w:val="007B6C46"/>
    <w:rsid w:val="007B786E"/>
    <w:rsid w:val="007B78C6"/>
    <w:rsid w:val="007C1311"/>
    <w:rsid w:val="007C27BA"/>
    <w:rsid w:val="007C4316"/>
    <w:rsid w:val="007C4364"/>
    <w:rsid w:val="007C530D"/>
    <w:rsid w:val="007C741B"/>
    <w:rsid w:val="007D0755"/>
    <w:rsid w:val="007D07D4"/>
    <w:rsid w:val="007D091C"/>
    <w:rsid w:val="007D0A0E"/>
    <w:rsid w:val="007D29EB"/>
    <w:rsid w:val="007D42BC"/>
    <w:rsid w:val="007D46C5"/>
    <w:rsid w:val="007D5AF7"/>
    <w:rsid w:val="007D748C"/>
    <w:rsid w:val="007E016A"/>
    <w:rsid w:val="007E0BA0"/>
    <w:rsid w:val="007E2850"/>
    <w:rsid w:val="007E28EC"/>
    <w:rsid w:val="007E3406"/>
    <w:rsid w:val="007E7BC4"/>
    <w:rsid w:val="007F1E4F"/>
    <w:rsid w:val="007F2189"/>
    <w:rsid w:val="007F27FA"/>
    <w:rsid w:val="007F3E48"/>
    <w:rsid w:val="007F4008"/>
    <w:rsid w:val="007F4087"/>
    <w:rsid w:val="007F539F"/>
    <w:rsid w:val="007F6C1A"/>
    <w:rsid w:val="008002C9"/>
    <w:rsid w:val="008030CB"/>
    <w:rsid w:val="008051C4"/>
    <w:rsid w:val="00805506"/>
    <w:rsid w:val="00807588"/>
    <w:rsid w:val="00807AE8"/>
    <w:rsid w:val="008100A0"/>
    <w:rsid w:val="008105D4"/>
    <w:rsid w:val="008115D3"/>
    <w:rsid w:val="00811BDD"/>
    <w:rsid w:val="008134D2"/>
    <w:rsid w:val="00813BEF"/>
    <w:rsid w:val="0081411B"/>
    <w:rsid w:val="00816D59"/>
    <w:rsid w:val="0081708B"/>
    <w:rsid w:val="0081761B"/>
    <w:rsid w:val="008201DF"/>
    <w:rsid w:val="0082247C"/>
    <w:rsid w:val="008231EF"/>
    <w:rsid w:val="008242F7"/>
    <w:rsid w:val="0082587C"/>
    <w:rsid w:val="00826048"/>
    <w:rsid w:val="008274D5"/>
    <w:rsid w:val="00830C75"/>
    <w:rsid w:val="008319BB"/>
    <w:rsid w:val="00834B01"/>
    <w:rsid w:val="00840392"/>
    <w:rsid w:val="0084324C"/>
    <w:rsid w:val="00843B1B"/>
    <w:rsid w:val="00845B00"/>
    <w:rsid w:val="00846017"/>
    <w:rsid w:val="0084756C"/>
    <w:rsid w:val="0085057B"/>
    <w:rsid w:val="0085370F"/>
    <w:rsid w:val="008543BE"/>
    <w:rsid w:val="00854C5F"/>
    <w:rsid w:val="008556EF"/>
    <w:rsid w:val="0085578F"/>
    <w:rsid w:val="00855A93"/>
    <w:rsid w:val="00857214"/>
    <w:rsid w:val="008617AA"/>
    <w:rsid w:val="00863E31"/>
    <w:rsid w:val="00864369"/>
    <w:rsid w:val="0086568A"/>
    <w:rsid w:val="00865B74"/>
    <w:rsid w:val="0086716F"/>
    <w:rsid w:val="008671FD"/>
    <w:rsid w:val="00867A9A"/>
    <w:rsid w:val="00874D27"/>
    <w:rsid w:val="00875195"/>
    <w:rsid w:val="0087739D"/>
    <w:rsid w:val="008776B2"/>
    <w:rsid w:val="00880FE4"/>
    <w:rsid w:val="00881706"/>
    <w:rsid w:val="008826A7"/>
    <w:rsid w:val="00883F89"/>
    <w:rsid w:val="008853F1"/>
    <w:rsid w:val="00887AB2"/>
    <w:rsid w:val="00894086"/>
    <w:rsid w:val="00895ED2"/>
    <w:rsid w:val="008A08E4"/>
    <w:rsid w:val="008A0AD0"/>
    <w:rsid w:val="008A36DD"/>
    <w:rsid w:val="008A598A"/>
    <w:rsid w:val="008A5A5A"/>
    <w:rsid w:val="008B2753"/>
    <w:rsid w:val="008B2F68"/>
    <w:rsid w:val="008B354B"/>
    <w:rsid w:val="008B4B36"/>
    <w:rsid w:val="008B4E5F"/>
    <w:rsid w:val="008B4FD8"/>
    <w:rsid w:val="008B6C4A"/>
    <w:rsid w:val="008C07F1"/>
    <w:rsid w:val="008C0B19"/>
    <w:rsid w:val="008C34EE"/>
    <w:rsid w:val="008C3D99"/>
    <w:rsid w:val="008C614B"/>
    <w:rsid w:val="008C71F6"/>
    <w:rsid w:val="008D11C4"/>
    <w:rsid w:val="008D16D9"/>
    <w:rsid w:val="008D27D8"/>
    <w:rsid w:val="008D29AE"/>
    <w:rsid w:val="008D305F"/>
    <w:rsid w:val="008D39A7"/>
    <w:rsid w:val="008D77C1"/>
    <w:rsid w:val="008D7E09"/>
    <w:rsid w:val="008E0A30"/>
    <w:rsid w:val="008E17EB"/>
    <w:rsid w:val="008E2C34"/>
    <w:rsid w:val="008E5698"/>
    <w:rsid w:val="008E63ED"/>
    <w:rsid w:val="008F2953"/>
    <w:rsid w:val="008F2D82"/>
    <w:rsid w:val="008F78BC"/>
    <w:rsid w:val="008F7DDE"/>
    <w:rsid w:val="00901059"/>
    <w:rsid w:val="009039E3"/>
    <w:rsid w:val="00910295"/>
    <w:rsid w:val="009141DD"/>
    <w:rsid w:val="00915041"/>
    <w:rsid w:val="0091611D"/>
    <w:rsid w:val="00916996"/>
    <w:rsid w:val="00917B2C"/>
    <w:rsid w:val="00920FE2"/>
    <w:rsid w:val="00921A3B"/>
    <w:rsid w:val="00925262"/>
    <w:rsid w:val="009265C5"/>
    <w:rsid w:val="00926742"/>
    <w:rsid w:val="0093063F"/>
    <w:rsid w:val="00931AA8"/>
    <w:rsid w:val="00932158"/>
    <w:rsid w:val="009329F1"/>
    <w:rsid w:val="00932E8B"/>
    <w:rsid w:val="00935C29"/>
    <w:rsid w:val="00937DD9"/>
    <w:rsid w:val="00940160"/>
    <w:rsid w:val="00946735"/>
    <w:rsid w:val="00947A8B"/>
    <w:rsid w:val="00954199"/>
    <w:rsid w:val="00954F2D"/>
    <w:rsid w:val="00956500"/>
    <w:rsid w:val="00957DD2"/>
    <w:rsid w:val="0096431B"/>
    <w:rsid w:val="00964ED2"/>
    <w:rsid w:val="00967050"/>
    <w:rsid w:val="009670A4"/>
    <w:rsid w:val="00967107"/>
    <w:rsid w:val="009714FC"/>
    <w:rsid w:val="009729B2"/>
    <w:rsid w:val="0097301A"/>
    <w:rsid w:val="009756AF"/>
    <w:rsid w:val="00977B2E"/>
    <w:rsid w:val="0098380A"/>
    <w:rsid w:val="00983C57"/>
    <w:rsid w:val="00987287"/>
    <w:rsid w:val="0099030E"/>
    <w:rsid w:val="0099201D"/>
    <w:rsid w:val="0099202C"/>
    <w:rsid w:val="009937A6"/>
    <w:rsid w:val="009951A9"/>
    <w:rsid w:val="00995FBF"/>
    <w:rsid w:val="0099656B"/>
    <w:rsid w:val="00996620"/>
    <w:rsid w:val="009A032F"/>
    <w:rsid w:val="009A1ECE"/>
    <w:rsid w:val="009A2486"/>
    <w:rsid w:val="009A3106"/>
    <w:rsid w:val="009A660F"/>
    <w:rsid w:val="009A6640"/>
    <w:rsid w:val="009A7065"/>
    <w:rsid w:val="009B0BD4"/>
    <w:rsid w:val="009B1781"/>
    <w:rsid w:val="009B24AF"/>
    <w:rsid w:val="009B3EC9"/>
    <w:rsid w:val="009B43D6"/>
    <w:rsid w:val="009B466F"/>
    <w:rsid w:val="009B5032"/>
    <w:rsid w:val="009B562D"/>
    <w:rsid w:val="009B5D59"/>
    <w:rsid w:val="009C02F6"/>
    <w:rsid w:val="009C11FD"/>
    <w:rsid w:val="009C23A2"/>
    <w:rsid w:val="009C2AB1"/>
    <w:rsid w:val="009C3671"/>
    <w:rsid w:val="009C4263"/>
    <w:rsid w:val="009C686B"/>
    <w:rsid w:val="009C6DB2"/>
    <w:rsid w:val="009C76AD"/>
    <w:rsid w:val="009D2DD5"/>
    <w:rsid w:val="009D4135"/>
    <w:rsid w:val="009D4905"/>
    <w:rsid w:val="009D5E98"/>
    <w:rsid w:val="009E1C8F"/>
    <w:rsid w:val="009E2A3C"/>
    <w:rsid w:val="009E6017"/>
    <w:rsid w:val="009E7624"/>
    <w:rsid w:val="009F29BB"/>
    <w:rsid w:val="009F3E31"/>
    <w:rsid w:val="009F5E45"/>
    <w:rsid w:val="009F64C1"/>
    <w:rsid w:val="009F79D8"/>
    <w:rsid w:val="009F79EE"/>
    <w:rsid w:val="00A02CB5"/>
    <w:rsid w:val="00A0321A"/>
    <w:rsid w:val="00A041ED"/>
    <w:rsid w:val="00A06684"/>
    <w:rsid w:val="00A070AE"/>
    <w:rsid w:val="00A10B3D"/>
    <w:rsid w:val="00A10DA3"/>
    <w:rsid w:val="00A13550"/>
    <w:rsid w:val="00A156FA"/>
    <w:rsid w:val="00A15F08"/>
    <w:rsid w:val="00A16643"/>
    <w:rsid w:val="00A2401F"/>
    <w:rsid w:val="00A258E7"/>
    <w:rsid w:val="00A26574"/>
    <w:rsid w:val="00A305B0"/>
    <w:rsid w:val="00A312AD"/>
    <w:rsid w:val="00A32350"/>
    <w:rsid w:val="00A32499"/>
    <w:rsid w:val="00A3465E"/>
    <w:rsid w:val="00A353DE"/>
    <w:rsid w:val="00A378D0"/>
    <w:rsid w:val="00A40398"/>
    <w:rsid w:val="00A44286"/>
    <w:rsid w:val="00A504BA"/>
    <w:rsid w:val="00A5417E"/>
    <w:rsid w:val="00A576FC"/>
    <w:rsid w:val="00A61ACB"/>
    <w:rsid w:val="00A62789"/>
    <w:rsid w:val="00A643A6"/>
    <w:rsid w:val="00A6519D"/>
    <w:rsid w:val="00A70290"/>
    <w:rsid w:val="00A75E17"/>
    <w:rsid w:val="00A7760D"/>
    <w:rsid w:val="00A7765E"/>
    <w:rsid w:val="00A80683"/>
    <w:rsid w:val="00A8089E"/>
    <w:rsid w:val="00A824E9"/>
    <w:rsid w:val="00A8355F"/>
    <w:rsid w:val="00A84570"/>
    <w:rsid w:val="00A84EE1"/>
    <w:rsid w:val="00A86A66"/>
    <w:rsid w:val="00A913E4"/>
    <w:rsid w:val="00A914AC"/>
    <w:rsid w:val="00A91615"/>
    <w:rsid w:val="00A92456"/>
    <w:rsid w:val="00A932B9"/>
    <w:rsid w:val="00A9594B"/>
    <w:rsid w:val="00AA17BB"/>
    <w:rsid w:val="00AA2276"/>
    <w:rsid w:val="00AA3C07"/>
    <w:rsid w:val="00AA4726"/>
    <w:rsid w:val="00AA4C9A"/>
    <w:rsid w:val="00AA59DC"/>
    <w:rsid w:val="00AB0EEC"/>
    <w:rsid w:val="00AB10FC"/>
    <w:rsid w:val="00AB15CF"/>
    <w:rsid w:val="00AB1852"/>
    <w:rsid w:val="00AB287C"/>
    <w:rsid w:val="00AB3518"/>
    <w:rsid w:val="00AB3586"/>
    <w:rsid w:val="00AB53D4"/>
    <w:rsid w:val="00AB60EB"/>
    <w:rsid w:val="00AB7DE5"/>
    <w:rsid w:val="00AC0FBB"/>
    <w:rsid w:val="00AC2144"/>
    <w:rsid w:val="00AC63C7"/>
    <w:rsid w:val="00AC6527"/>
    <w:rsid w:val="00AC70A7"/>
    <w:rsid w:val="00AC7274"/>
    <w:rsid w:val="00AD02DC"/>
    <w:rsid w:val="00AD192B"/>
    <w:rsid w:val="00AD286B"/>
    <w:rsid w:val="00AD6AE6"/>
    <w:rsid w:val="00AD76D0"/>
    <w:rsid w:val="00AE0571"/>
    <w:rsid w:val="00AE1FA1"/>
    <w:rsid w:val="00AE540B"/>
    <w:rsid w:val="00AE57CD"/>
    <w:rsid w:val="00AE6AFC"/>
    <w:rsid w:val="00AE793E"/>
    <w:rsid w:val="00AE7D17"/>
    <w:rsid w:val="00AF2333"/>
    <w:rsid w:val="00AF2B43"/>
    <w:rsid w:val="00AF3554"/>
    <w:rsid w:val="00B00195"/>
    <w:rsid w:val="00B006BE"/>
    <w:rsid w:val="00B0151C"/>
    <w:rsid w:val="00B01A73"/>
    <w:rsid w:val="00B047CB"/>
    <w:rsid w:val="00B05683"/>
    <w:rsid w:val="00B05790"/>
    <w:rsid w:val="00B06BA5"/>
    <w:rsid w:val="00B12282"/>
    <w:rsid w:val="00B13E99"/>
    <w:rsid w:val="00B14F42"/>
    <w:rsid w:val="00B15C73"/>
    <w:rsid w:val="00B165B6"/>
    <w:rsid w:val="00B16F57"/>
    <w:rsid w:val="00B1736A"/>
    <w:rsid w:val="00B20981"/>
    <w:rsid w:val="00B209A4"/>
    <w:rsid w:val="00B22CCC"/>
    <w:rsid w:val="00B22F4A"/>
    <w:rsid w:val="00B2439C"/>
    <w:rsid w:val="00B247EE"/>
    <w:rsid w:val="00B24F1D"/>
    <w:rsid w:val="00B263EA"/>
    <w:rsid w:val="00B2734B"/>
    <w:rsid w:val="00B30B53"/>
    <w:rsid w:val="00B312BE"/>
    <w:rsid w:val="00B33187"/>
    <w:rsid w:val="00B334BB"/>
    <w:rsid w:val="00B35464"/>
    <w:rsid w:val="00B37FA6"/>
    <w:rsid w:val="00B41DF8"/>
    <w:rsid w:val="00B426C7"/>
    <w:rsid w:val="00B452D8"/>
    <w:rsid w:val="00B46086"/>
    <w:rsid w:val="00B46ABD"/>
    <w:rsid w:val="00B46B8D"/>
    <w:rsid w:val="00B567D4"/>
    <w:rsid w:val="00B56EE8"/>
    <w:rsid w:val="00B56EFE"/>
    <w:rsid w:val="00B6200A"/>
    <w:rsid w:val="00B62455"/>
    <w:rsid w:val="00B635F1"/>
    <w:rsid w:val="00B6585E"/>
    <w:rsid w:val="00B66606"/>
    <w:rsid w:val="00B66778"/>
    <w:rsid w:val="00B67016"/>
    <w:rsid w:val="00B67765"/>
    <w:rsid w:val="00B708F5"/>
    <w:rsid w:val="00B70FD7"/>
    <w:rsid w:val="00B7177B"/>
    <w:rsid w:val="00B75537"/>
    <w:rsid w:val="00B7556D"/>
    <w:rsid w:val="00B75C77"/>
    <w:rsid w:val="00B85047"/>
    <w:rsid w:val="00B85110"/>
    <w:rsid w:val="00B860D9"/>
    <w:rsid w:val="00B863AF"/>
    <w:rsid w:val="00B86BAB"/>
    <w:rsid w:val="00B90969"/>
    <w:rsid w:val="00B92378"/>
    <w:rsid w:val="00B92BEC"/>
    <w:rsid w:val="00B933B9"/>
    <w:rsid w:val="00B93406"/>
    <w:rsid w:val="00B95531"/>
    <w:rsid w:val="00B96085"/>
    <w:rsid w:val="00B96D3E"/>
    <w:rsid w:val="00B972D6"/>
    <w:rsid w:val="00B976BA"/>
    <w:rsid w:val="00BA0CA5"/>
    <w:rsid w:val="00BA27FD"/>
    <w:rsid w:val="00BA3443"/>
    <w:rsid w:val="00BB2C5B"/>
    <w:rsid w:val="00BB31C8"/>
    <w:rsid w:val="00BB3371"/>
    <w:rsid w:val="00BB5BB3"/>
    <w:rsid w:val="00BB5DCC"/>
    <w:rsid w:val="00BB64CB"/>
    <w:rsid w:val="00BC1211"/>
    <w:rsid w:val="00BC1CF8"/>
    <w:rsid w:val="00BC3F1A"/>
    <w:rsid w:val="00BC41B2"/>
    <w:rsid w:val="00BC4B18"/>
    <w:rsid w:val="00BC4E10"/>
    <w:rsid w:val="00BC50FB"/>
    <w:rsid w:val="00BC5EA6"/>
    <w:rsid w:val="00BC7D8A"/>
    <w:rsid w:val="00BC7DD8"/>
    <w:rsid w:val="00BD005C"/>
    <w:rsid w:val="00BD327A"/>
    <w:rsid w:val="00BD3D4A"/>
    <w:rsid w:val="00BE3E76"/>
    <w:rsid w:val="00BE5F2F"/>
    <w:rsid w:val="00BF151F"/>
    <w:rsid w:val="00BF270E"/>
    <w:rsid w:val="00BF2FDE"/>
    <w:rsid w:val="00BF3712"/>
    <w:rsid w:val="00BF4D0C"/>
    <w:rsid w:val="00BF560E"/>
    <w:rsid w:val="00BF7559"/>
    <w:rsid w:val="00BF7A41"/>
    <w:rsid w:val="00C01C08"/>
    <w:rsid w:val="00C12B29"/>
    <w:rsid w:val="00C15B6C"/>
    <w:rsid w:val="00C17C17"/>
    <w:rsid w:val="00C24E7C"/>
    <w:rsid w:val="00C25AED"/>
    <w:rsid w:val="00C26EFC"/>
    <w:rsid w:val="00C27AC6"/>
    <w:rsid w:val="00C27F45"/>
    <w:rsid w:val="00C313BF"/>
    <w:rsid w:val="00C31972"/>
    <w:rsid w:val="00C322B2"/>
    <w:rsid w:val="00C33941"/>
    <w:rsid w:val="00C33AEB"/>
    <w:rsid w:val="00C34145"/>
    <w:rsid w:val="00C3502A"/>
    <w:rsid w:val="00C37238"/>
    <w:rsid w:val="00C37901"/>
    <w:rsid w:val="00C4033E"/>
    <w:rsid w:val="00C43C21"/>
    <w:rsid w:val="00C46921"/>
    <w:rsid w:val="00C506B8"/>
    <w:rsid w:val="00C50D16"/>
    <w:rsid w:val="00C570B4"/>
    <w:rsid w:val="00C57A57"/>
    <w:rsid w:val="00C60D46"/>
    <w:rsid w:val="00C62A4B"/>
    <w:rsid w:val="00C6329E"/>
    <w:rsid w:val="00C669A0"/>
    <w:rsid w:val="00C66BF9"/>
    <w:rsid w:val="00C67AF8"/>
    <w:rsid w:val="00C70CCF"/>
    <w:rsid w:val="00C7119C"/>
    <w:rsid w:val="00C73E15"/>
    <w:rsid w:val="00C743BC"/>
    <w:rsid w:val="00C74604"/>
    <w:rsid w:val="00C74D65"/>
    <w:rsid w:val="00C75930"/>
    <w:rsid w:val="00C75CD7"/>
    <w:rsid w:val="00C76BE9"/>
    <w:rsid w:val="00C77BF8"/>
    <w:rsid w:val="00C815B2"/>
    <w:rsid w:val="00C82BFF"/>
    <w:rsid w:val="00C834AA"/>
    <w:rsid w:val="00C8426A"/>
    <w:rsid w:val="00C84986"/>
    <w:rsid w:val="00C8696E"/>
    <w:rsid w:val="00C925B5"/>
    <w:rsid w:val="00C9389F"/>
    <w:rsid w:val="00C9395C"/>
    <w:rsid w:val="00C972E2"/>
    <w:rsid w:val="00C97343"/>
    <w:rsid w:val="00CA09C0"/>
    <w:rsid w:val="00CA2729"/>
    <w:rsid w:val="00CA2A1E"/>
    <w:rsid w:val="00CA3D54"/>
    <w:rsid w:val="00CA420B"/>
    <w:rsid w:val="00CA436C"/>
    <w:rsid w:val="00CA6C3C"/>
    <w:rsid w:val="00CA77A6"/>
    <w:rsid w:val="00CB06B8"/>
    <w:rsid w:val="00CB11FA"/>
    <w:rsid w:val="00CB12A0"/>
    <w:rsid w:val="00CB1F85"/>
    <w:rsid w:val="00CB711B"/>
    <w:rsid w:val="00CC0DCA"/>
    <w:rsid w:val="00CC1EB2"/>
    <w:rsid w:val="00CC4398"/>
    <w:rsid w:val="00CC6245"/>
    <w:rsid w:val="00CD05DB"/>
    <w:rsid w:val="00CD0B61"/>
    <w:rsid w:val="00CD1478"/>
    <w:rsid w:val="00CD36D5"/>
    <w:rsid w:val="00CD603D"/>
    <w:rsid w:val="00CD6318"/>
    <w:rsid w:val="00CD72ED"/>
    <w:rsid w:val="00CE1534"/>
    <w:rsid w:val="00CE3BD9"/>
    <w:rsid w:val="00CE4606"/>
    <w:rsid w:val="00CE57BE"/>
    <w:rsid w:val="00CE6443"/>
    <w:rsid w:val="00CE7B31"/>
    <w:rsid w:val="00CF0453"/>
    <w:rsid w:val="00CF7CBE"/>
    <w:rsid w:val="00D0083C"/>
    <w:rsid w:val="00D025F0"/>
    <w:rsid w:val="00D0423C"/>
    <w:rsid w:val="00D04482"/>
    <w:rsid w:val="00D04ED2"/>
    <w:rsid w:val="00D06482"/>
    <w:rsid w:val="00D06A86"/>
    <w:rsid w:val="00D07186"/>
    <w:rsid w:val="00D13531"/>
    <w:rsid w:val="00D137E1"/>
    <w:rsid w:val="00D147E6"/>
    <w:rsid w:val="00D20907"/>
    <w:rsid w:val="00D21C68"/>
    <w:rsid w:val="00D24A2A"/>
    <w:rsid w:val="00D3011A"/>
    <w:rsid w:val="00D339B6"/>
    <w:rsid w:val="00D37138"/>
    <w:rsid w:val="00D43762"/>
    <w:rsid w:val="00D43F36"/>
    <w:rsid w:val="00D4441D"/>
    <w:rsid w:val="00D4449D"/>
    <w:rsid w:val="00D467A5"/>
    <w:rsid w:val="00D47305"/>
    <w:rsid w:val="00D475E2"/>
    <w:rsid w:val="00D5168D"/>
    <w:rsid w:val="00D52459"/>
    <w:rsid w:val="00D5343B"/>
    <w:rsid w:val="00D55584"/>
    <w:rsid w:val="00D55639"/>
    <w:rsid w:val="00D556AB"/>
    <w:rsid w:val="00D60050"/>
    <w:rsid w:val="00D6538B"/>
    <w:rsid w:val="00D65699"/>
    <w:rsid w:val="00D67C2D"/>
    <w:rsid w:val="00D70333"/>
    <w:rsid w:val="00D70CB9"/>
    <w:rsid w:val="00D710B0"/>
    <w:rsid w:val="00D7436C"/>
    <w:rsid w:val="00D745B0"/>
    <w:rsid w:val="00D77F08"/>
    <w:rsid w:val="00D80F54"/>
    <w:rsid w:val="00D81F72"/>
    <w:rsid w:val="00D81FDF"/>
    <w:rsid w:val="00D8211C"/>
    <w:rsid w:val="00D82D75"/>
    <w:rsid w:val="00D83649"/>
    <w:rsid w:val="00D85950"/>
    <w:rsid w:val="00D86093"/>
    <w:rsid w:val="00D87741"/>
    <w:rsid w:val="00D90333"/>
    <w:rsid w:val="00D91482"/>
    <w:rsid w:val="00D93AE5"/>
    <w:rsid w:val="00D93BC1"/>
    <w:rsid w:val="00D94E57"/>
    <w:rsid w:val="00D9587A"/>
    <w:rsid w:val="00DA017B"/>
    <w:rsid w:val="00DA1A15"/>
    <w:rsid w:val="00DA360A"/>
    <w:rsid w:val="00DA36E0"/>
    <w:rsid w:val="00DA7ACF"/>
    <w:rsid w:val="00DB07E7"/>
    <w:rsid w:val="00DB0935"/>
    <w:rsid w:val="00DB125D"/>
    <w:rsid w:val="00DB5393"/>
    <w:rsid w:val="00DC0BB5"/>
    <w:rsid w:val="00DC2EDC"/>
    <w:rsid w:val="00DC6E47"/>
    <w:rsid w:val="00DD1AA5"/>
    <w:rsid w:val="00DD1F80"/>
    <w:rsid w:val="00DD265B"/>
    <w:rsid w:val="00DD26D4"/>
    <w:rsid w:val="00DD3AA6"/>
    <w:rsid w:val="00DD5430"/>
    <w:rsid w:val="00DE14BB"/>
    <w:rsid w:val="00DE175D"/>
    <w:rsid w:val="00DE3E70"/>
    <w:rsid w:val="00DE77AA"/>
    <w:rsid w:val="00DF2630"/>
    <w:rsid w:val="00DF299F"/>
    <w:rsid w:val="00DF2CC3"/>
    <w:rsid w:val="00DF67DF"/>
    <w:rsid w:val="00DF69B0"/>
    <w:rsid w:val="00DF6F74"/>
    <w:rsid w:val="00E0196A"/>
    <w:rsid w:val="00E02276"/>
    <w:rsid w:val="00E02559"/>
    <w:rsid w:val="00E02BEE"/>
    <w:rsid w:val="00E039C4"/>
    <w:rsid w:val="00E03FAA"/>
    <w:rsid w:val="00E04739"/>
    <w:rsid w:val="00E0589B"/>
    <w:rsid w:val="00E06E82"/>
    <w:rsid w:val="00E07CFF"/>
    <w:rsid w:val="00E118DA"/>
    <w:rsid w:val="00E12273"/>
    <w:rsid w:val="00E142C3"/>
    <w:rsid w:val="00E14575"/>
    <w:rsid w:val="00E1464B"/>
    <w:rsid w:val="00E15D40"/>
    <w:rsid w:val="00E17994"/>
    <w:rsid w:val="00E2308C"/>
    <w:rsid w:val="00E24B86"/>
    <w:rsid w:val="00E26E43"/>
    <w:rsid w:val="00E27101"/>
    <w:rsid w:val="00E2788B"/>
    <w:rsid w:val="00E27CB6"/>
    <w:rsid w:val="00E30E70"/>
    <w:rsid w:val="00E31044"/>
    <w:rsid w:val="00E3180C"/>
    <w:rsid w:val="00E31D1E"/>
    <w:rsid w:val="00E328F4"/>
    <w:rsid w:val="00E334B0"/>
    <w:rsid w:val="00E34B43"/>
    <w:rsid w:val="00E3548A"/>
    <w:rsid w:val="00E358D7"/>
    <w:rsid w:val="00E36465"/>
    <w:rsid w:val="00E401F5"/>
    <w:rsid w:val="00E44379"/>
    <w:rsid w:val="00E44743"/>
    <w:rsid w:val="00E447D3"/>
    <w:rsid w:val="00E44AD2"/>
    <w:rsid w:val="00E44BD5"/>
    <w:rsid w:val="00E4506C"/>
    <w:rsid w:val="00E456C2"/>
    <w:rsid w:val="00E47885"/>
    <w:rsid w:val="00E47C6C"/>
    <w:rsid w:val="00E5397A"/>
    <w:rsid w:val="00E54700"/>
    <w:rsid w:val="00E555AE"/>
    <w:rsid w:val="00E55E74"/>
    <w:rsid w:val="00E60018"/>
    <w:rsid w:val="00E61C3E"/>
    <w:rsid w:val="00E622F3"/>
    <w:rsid w:val="00E63645"/>
    <w:rsid w:val="00E6483E"/>
    <w:rsid w:val="00E67E31"/>
    <w:rsid w:val="00E70F6B"/>
    <w:rsid w:val="00E7100C"/>
    <w:rsid w:val="00E71FD0"/>
    <w:rsid w:val="00E73BA3"/>
    <w:rsid w:val="00E7656A"/>
    <w:rsid w:val="00E76C0D"/>
    <w:rsid w:val="00E77A55"/>
    <w:rsid w:val="00E80CE9"/>
    <w:rsid w:val="00E8193D"/>
    <w:rsid w:val="00E829FC"/>
    <w:rsid w:val="00E82DEC"/>
    <w:rsid w:val="00E83FFC"/>
    <w:rsid w:val="00E84694"/>
    <w:rsid w:val="00E85528"/>
    <w:rsid w:val="00E863BF"/>
    <w:rsid w:val="00E924E5"/>
    <w:rsid w:val="00E93109"/>
    <w:rsid w:val="00E94B2F"/>
    <w:rsid w:val="00EA0998"/>
    <w:rsid w:val="00EA1068"/>
    <w:rsid w:val="00EA177D"/>
    <w:rsid w:val="00EA1EDE"/>
    <w:rsid w:val="00EA6105"/>
    <w:rsid w:val="00EB0E78"/>
    <w:rsid w:val="00EB14D4"/>
    <w:rsid w:val="00EB2788"/>
    <w:rsid w:val="00EB3381"/>
    <w:rsid w:val="00EB4F2A"/>
    <w:rsid w:val="00EB62E6"/>
    <w:rsid w:val="00EB73F3"/>
    <w:rsid w:val="00EB7E9E"/>
    <w:rsid w:val="00EC0654"/>
    <w:rsid w:val="00EC2265"/>
    <w:rsid w:val="00EC52E3"/>
    <w:rsid w:val="00EC55C1"/>
    <w:rsid w:val="00EC5848"/>
    <w:rsid w:val="00EC6E5C"/>
    <w:rsid w:val="00ED092B"/>
    <w:rsid w:val="00ED0E1C"/>
    <w:rsid w:val="00ED26E6"/>
    <w:rsid w:val="00ED33CD"/>
    <w:rsid w:val="00ED4C1B"/>
    <w:rsid w:val="00ED74C8"/>
    <w:rsid w:val="00ED7965"/>
    <w:rsid w:val="00EE1B7B"/>
    <w:rsid w:val="00EE1C25"/>
    <w:rsid w:val="00EE24A4"/>
    <w:rsid w:val="00EE2B47"/>
    <w:rsid w:val="00EE54ED"/>
    <w:rsid w:val="00EE6339"/>
    <w:rsid w:val="00EE71F4"/>
    <w:rsid w:val="00EE7560"/>
    <w:rsid w:val="00EE78DC"/>
    <w:rsid w:val="00EF038F"/>
    <w:rsid w:val="00EF05C4"/>
    <w:rsid w:val="00EF376E"/>
    <w:rsid w:val="00EF4B40"/>
    <w:rsid w:val="00F00231"/>
    <w:rsid w:val="00F008E3"/>
    <w:rsid w:val="00F0518D"/>
    <w:rsid w:val="00F067EF"/>
    <w:rsid w:val="00F0695F"/>
    <w:rsid w:val="00F06D40"/>
    <w:rsid w:val="00F071D5"/>
    <w:rsid w:val="00F20600"/>
    <w:rsid w:val="00F21F2E"/>
    <w:rsid w:val="00F22017"/>
    <w:rsid w:val="00F220B8"/>
    <w:rsid w:val="00F22C03"/>
    <w:rsid w:val="00F22C5E"/>
    <w:rsid w:val="00F22EA6"/>
    <w:rsid w:val="00F247BB"/>
    <w:rsid w:val="00F256CD"/>
    <w:rsid w:val="00F25786"/>
    <w:rsid w:val="00F25CF4"/>
    <w:rsid w:val="00F26213"/>
    <w:rsid w:val="00F27364"/>
    <w:rsid w:val="00F27BEA"/>
    <w:rsid w:val="00F32D84"/>
    <w:rsid w:val="00F37195"/>
    <w:rsid w:val="00F3736E"/>
    <w:rsid w:val="00F416EA"/>
    <w:rsid w:val="00F4298F"/>
    <w:rsid w:val="00F43144"/>
    <w:rsid w:val="00F433AB"/>
    <w:rsid w:val="00F4444A"/>
    <w:rsid w:val="00F47FCD"/>
    <w:rsid w:val="00F504A0"/>
    <w:rsid w:val="00F52DDF"/>
    <w:rsid w:val="00F54E25"/>
    <w:rsid w:val="00F5632A"/>
    <w:rsid w:val="00F57DA7"/>
    <w:rsid w:val="00F607E0"/>
    <w:rsid w:val="00F61379"/>
    <w:rsid w:val="00F63F70"/>
    <w:rsid w:val="00F64442"/>
    <w:rsid w:val="00F70577"/>
    <w:rsid w:val="00F718C2"/>
    <w:rsid w:val="00F74330"/>
    <w:rsid w:val="00F745E0"/>
    <w:rsid w:val="00F74F6E"/>
    <w:rsid w:val="00F750E7"/>
    <w:rsid w:val="00F75195"/>
    <w:rsid w:val="00F753D3"/>
    <w:rsid w:val="00F755B0"/>
    <w:rsid w:val="00F777DB"/>
    <w:rsid w:val="00F77D9F"/>
    <w:rsid w:val="00F80181"/>
    <w:rsid w:val="00F810CB"/>
    <w:rsid w:val="00F81289"/>
    <w:rsid w:val="00F83F2E"/>
    <w:rsid w:val="00F84203"/>
    <w:rsid w:val="00F84F7A"/>
    <w:rsid w:val="00F8793C"/>
    <w:rsid w:val="00F879CA"/>
    <w:rsid w:val="00F93E97"/>
    <w:rsid w:val="00F9418B"/>
    <w:rsid w:val="00FA13E0"/>
    <w:rsid w:val="00FA34A0"/>
    <w:rsid w:val="00FA42D1"/>
    <w:rsid w:val="00FA520A"/>
    <w:rsid w:val="00FA53B3"/>
    <w:rsid w:val="00FA5849"/>
    <w:rsid w:val="00FA6148"/>
    <w:rsid w:val="00FB09C9"/>
    <w:rsid w:val="00FB0EBE"/>
    <w:rsid w:val="00FB1F9F"/>
    <w:rsid w:val="00FB482C"/>
    <w:rsid w:val="00FB5053"/>
    <w:rsid w:val="00FC00AF"/>
    <w:rsid w:val="00FC226D"/>
    <w:rsid w:val="00FC2C06"/>
    <w:rsid w:val="00FC3EE4"/>
    <w:rsid w:val="00FC46A6"/>
    <w:rsid w:val="00FC537C"/>
    <w:rsid w:val="00FC5988"/>
    <w:rsid w:val="00FC6B7B"/>
    <w:rsid w:val="00FC75C2"/>
    <w:rsid w:val="00FC77D2"/>
    <w:rsid w:val="00FD01AE"/>
    <w:rsid w:val="00FD0888"/>
    <w:rsid w:val="00FD0E78"/>
    <w:rsid w:val="00FD2162"/>
    <w:rsid w:val="00FD396A"/>
    <w:rsid w:val="00FD44F7"/>
    <w:rsid w:val="00FD4B78"/>
    <w:rsid w:val="00FD5078"/>
    <w:rsid w:val="00FD64DB"/>
    <w:rsid w:val="00FE0BB3"/>
    <w:rsid w:val="00FE0D7D"/>
    <w:rsid w:val="00FE2503"/>
    <w:rsid w:val="00FE2E29"/>
    <w:rsid w:val="00FE70F8"/>
    <w:rsid w:val="00FF147D"/>
    <w:rsid w:val="00FF1FB8"/>
    <w:rsid w:val="00FF4136"/>
    <w:rsid w:val="00FF528F"/>
    <w:rsid w:val="00FF6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A6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14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C70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444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4449D"/>
    <w:rPr>
      <w:color w:val="0000FF"/>
      <w:u w:val="single"/>
    </w:rPr>
  </w:style>
  <w:style w:type="paragraph" w:styleId="TOC2">
    <w:name w:val="toc 2"/>
    <w:basedOn w:val="Normal"/>
    <w:next w:val="Normal"/>
    <w:autoRedefine/>
    <w:uiPriority w:val="39"/>
    <w:rsid w:val="00D4449D"/>
    <w:pPr>
      <w:tabs>
        <w:tab w:val="left" w:pos="360"/>
        <w:tab w:val="right" w:leader="dot" w:pos="9440"/>
      </w:tabs>
      <w:spacing w:after="100"/>
      <w:ind w:left="900" w:hanging="900"/>
    </w:pPr>
  </w:style>
  <w:style w:type="paragraph" w:styleId="TOC3">
    <w:name w:val="toc 3"/>
    <w:basedOn w:val="Normal"/>
    <w:next w:val="Normal"/>
    <w:autoRedefine/>
    <w:uiPriority w:val="39"/>
    <w:rsid w:val="00560FCE"/>
    <w:pPr>
      <w:tabs>
        <w:tab w:val="left" w:pos="1620"/>
        <w:tab w:val="right" w:leader="dot" w:pos="9450"/>
      </w:tabs>
      <w:spacing w:after="100"/>
      <w:ind w:left="900"/>
    </w:pPr>
  </w:style>
  <w:style w:type="paragraph" w:customStyle="1" w:styleId="Outline0011">
    <w:name w:val="Outline001_1"/>
    <w:basedOn w:val="Normal"/>
    <w:rsid w:val="007D091C"/>
    <w:pPr>
      <w:widowControl/>
      <w:spacing w:after="120"/>
      <w:jc w:val="center"/>
      <w:outlineLvl w:val="0"/>
    </w:pPr>
    <w:rPr>
      <w:b/>
      <w:bCs/>
    </w:rPr>
  </w:style>
  <w:style w:type="paragraph" w:customStyle="1" w:styleId="OMBbodytext">
    <w:name w:val="OMB body text"/>
    <w:basedOn w:val="Normal"/>
    <w:link w:val="OMBbodytextChar"/>
    <w:rsid w:val="00D4449D"/>
    <w:pPr>
      <w:widowControl/>
      <w:autoSpaceDE/>
      <w:autoSpaceDN/>
      <w:adjustRightInd/>
      <w:spacing w:after="240"/>
    </w:pPr>
    <w:rPr>
      <w:szCs w:val="20"/>
    </w:rPr>
  </w:style>
  <w:style w:type="character" w:customStyle="1" w:styleId="OMBbodytextChar">
    <w:name w:val="OMB body text Char"/>
    <w:basedOn w:val="DefaultParagraphFont"/>
    <w:link w:val="OMBbodytext"/>
    <w:rsid w:val="00D4449D"/>
    <w:rPr>
      <w:rFonts w:ascii="Times New Roman" w:eastAsia="Times New Roman" w:hAnsi="Times New Roman" w:cs="Times New Roman"/>
      <w:sz w:val="24"/>
      <w:szCs w:val="20"/>
    </w:rPr>
  </w:style>
  <w:style w:type="paragraph" w:customStyle="1" w:styleId="OMBheading-1">
    <w:name w:val="OMB heading-1"/>
    <w:basedOn w:val="Heading2"/>
    <w:link w:val="OMBheading-1Char"/>
    <w:rsid w:val="009265C5"/>
    <w:pPr>
      <w:keepLines w:val="0"/>
      <w:widowControl/>
      <w:autoSpaceDE/>
      <w:autoSpaceDN/>
      <w:adjustRightInd/>
      <w:spacing w:before="0" w:after="240"/>
      <w:ind w:left="720" w:hanging="720"/>
      <w:outlineLvl w:val="0"/>
    </w:pPr>
    <w:rPr>
      <w:rFonts w:ascii="Times New Roman" w:eastAsia="Times New Roman" w:hAnsi="Times New Roman" w:cs="Times New Roman"/>
      <w:b/>
      <w:color w:val="auto"/>
      <w:sz w:val="28"/>
      <w:szCs w:val="28"/>
    </w:rPr>
  </w:style>
  <w:style w:type="paragraph" w:customStyle="1" w:styleId="OMBheading-2">
    <w:name w:val="OMB heading-2"/>
    <w:basedOn w:val="Normal"/>
    <w:rsid w:val="009265C5"/>
    <w:pPr>
      <w:keepNext/>
      <w:widowControl/>
      <w:autoSpaceDE/>
      <w:autoSpaceDN/>
      <w:adjustRightInd/>
      <w:spacing w:after="200"/>
      <w:ind w:left="720" w:hanging="720"/>
      <w:outlineLvl w:val="1"/>
    </w:pPr>
    <w:rPr>
      <w:b/>
      <w:szCs w:val="20"/>
    </w:rPr>
  </w:style>
  <w:style w:type="character" w:customStyle="1" w:styleId="Heading2Char">
    <w:name w:val="Heading 2 Char"/>
    <w:basedOn w:val="DefaultParagraphFont"/>
    <w:link w:val="Heading2"/>
    <w:uiPriority w:val="9"/>
    <w:semiHidden/>
    <w:rsid w:val="00D4449D"/>
    <w:rPr>
      <w:rFonts w:asciiTheme="majorHAnsi" w:eastAsiaTheme="majorEastAsia" w:hAnsiTheme="majorHAnsi" w:cstheme="majorBidi"/>
      <w:color w:val="2F5496" w:themeColor="accent1" w:themeShade="BF"/>
      <w:sz w:val="26"/>
      <w:szCs w:val="26"/>
    </w:rPr>
  </w:style>
  <w:style w:type="character" w:styleId="FootnoteReference">
    <w:name w:val="footnote reference"/>
    <w:uiPriority w:val="99"/>
    <w:rsid w:val="00C74604"/>
  </w:style>
  <w:style w:type="paragraph" w:styleId="FootnoteText">
    <w:name w:val="footnote text"/>
    <w:basedOn w:val="Normal"/>
    <w:link w:val="FootnoteTextChar"/>
    <w:uiPriority w:val="99"/>
    <w:rsid w:val="00C74604"/>
    <w:rPr>
      <w:sz w:val="20"/>
      <w:szCs w:val="20"/>
    </w:rPr>
  </w:style>
  <w:style w:type="character" w:customStyle="1" w:styleId="FootnoteTextChar">
    <w:name w:val="Footnote Text Char"/>
    <w:basedOn w:val="DefaultParagraphFont"/>
    <w:link w:val="FootnoteText"/>
    <w:uiPriority w:val="99"/>
    <w:rsid w:val="00C74604"/>
    <w:rPr>
      <w:rFonts w:ascii="Times New Roman" w:eastAsia="Times New Roman" w:hAnsi="Times New Roman" w:cs="Times New Roman"/>
      <w:sz w:val="20"/>
      <w:szCs w:val="20"/>
    </w:rPr>
  </w:style>
  <w:style w:type="paragraph" w:styleId="BalloonText">
    <w:name w:val="Balloon Text"/>
    <w:basedOn w:val="Normal"/>
    <w:link w:val="BalloonTextChar"/>
    <w:semiHidden/>
    <w:rsid w:val="00C74604"/>
    <w:pPr>
      <w:widowControl/>
      <w:autoSpaceDE/>
      <w:autoSpaceDN/>
      <w:adjustRightInd/>
    </w:pPr>
    <w:rPr>
      <w:rFonts w:ascii="Tahoma" w:hAnsi="Tahoma" w:cs="Tahoma"/>
      <w:sz w:val="16"/>
      <w:szCs w:val="16"/>
    </w:rPr>
  </w:style>
  <w:style w:type="character" w:customStyle="1" w:styleId="BalloonTextChar">
    <w:name w:val="Balloon Text Char"/>
    <w:basedOn w:val="DefaultParagraphFont"/>
    <w:link w:val="BalloonText"/>
    <w:semiHidden/>
    <w:rsid w:val="00C74604"/>
    <w:rPr>
      <w:rFonts w:ascii="Tahoma" w:eastAsia="Times New Roman" w:hAnsi="Tahoma" w:cs="Tahoma"/>
      <w:sz w:val="16"/>
      <w:szCs w:val="16"/>
    </w:rPr>
  </w:style>
  <w:style w:type="character" w:styleId="CommentReference">
    <w:name w:val="annotation reference"/>
    <w:basedOn w:val="DefaultParagraphFont"/>
    <w:uiPriority w:val="99"/>
    <w:unhideWhenUsed/>
    <w:rsid w:val="004C4DA8"/>
    <w:rPr>
      <w:sz w:val="16"/>
      <w:szCs w:val="16"/>
    </w:rPr>
  </w:style>
  <w:style w:type="paragraph" w:styleId="CommentText">
    <w:name w:val="annotation text"/>
    <w:basedOn w:val="Normal"/>
    <w:link w:val="CommentTextChar"/>
    <w:uiPriority w:val="99"/>
    <w:unhideWhenUsed/>
    <w:rsid w:val="004C4DA8"/>
    <w:rPr>
      <w:sz w:val="20"/>
      <w:szCs w:val="20"/>
    </w:rPr>
  </w:style>
  <w:style w:type="character" w:customStyle="1" w:styleId="CommentTextChar">
    <w:name w:val="Comment Text Char"/>
    <w:basedOn w:val="DefaultParagraphFont"/>
    <w:link w:val="CommentText"/>
    <w:uiPriority w:val="99"/>
    <w:rsid w:val="001265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65B5"/>
    <w:rPr>
      <w:b/>
      <w:bCs/>
    </w:rPr>
  </w:style>
  <w:style w:type="character" w:customStyle="1" w:styleId="CommentSubjectChar">
    <w:name w:val="Comment Subject Char"/>
    <w:basedOn w:val="CommentTextChar"/>
    <w:link w:val="CommentSubject"/>
    <w:uiPriority w:val="99"/>
    <w:semiHidden/>
    <w:rsid w:val="001265B5"/>
    <w:rPr>
      <w:rFonts w:ascii="Times New Roman" w:eastAsia="Times New Roman" w:hAnsi="Times New Roman" w:cs="Times New Roman"/>
      <w:b/>
      <w:bCs/>
      <w:sz w:val="20"/>
      <w:szCs w:val="20"/>
    </w:rPr>
  </w:style>
  <w:style w:type="paragraph" w:customStyle="1" w:styleId="Default">
    <w:name w:val="Default"/>
    <w:rsid w:val="00A312A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5A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4A08"/>
    <w:pPr>
      <w:widowControl/>
      <w:autoSpaceDE/>
      <w:autoSpaceDN/>
      <w:adjustRightInd/>
      <w:spacing w:after="200" w:line="276" w:lineRule="auto"/>
      <w:ind w:left="720"/>
      <w:contextualSpacing/>
    </w:pPr>
    <w:rPr>
      <w:rFonts w:asciiTheme="majorHAnsi" w:eastAsiaTheme="minorHAnsi" w:hAnsiTheme="majorHAnsi"/>
      <w:sz w:val="22"/>
      <w:szCs w:val="22"/>
    </w:rPr>
  </w:style>
  <w:style w:type="paragraph" w:styleId="ListBullet2">
    <w:name w:val="List Bullet 2"/>
    <w:basedOn w:val="Normal"/>
    <w:uiPriority w:val="99"/>
    <w:unhideWhenUsed/>
    <w:rsid w:val="0099656B"/>
    <w:pPr>
      <w:numPr>
        <w:numId w:val="33"/>
      </w:numPr>
      <w:spacing w:after="120"/>
      <w:ind w:left="1080"/>
    </w:pPr>
    <w:rPr>
      <w:u w:val="single"/>
    </w:rPr>
  </w:style>
  <w:style w:type="paragraph" w:styleId="ListBullet3">
    <w:name w:val="List Bullet 3"/>
    <w:basedOn w:val="Normal"/>
    <w:uiPriority w:val="99"/>
    <w:unhideWhenUsed/>
    <w:rsid w:val="003A5DED"/>
    <w:pPr>
      <w:numPr>
        <w:numId w:val="9"/>
      </w:numPr>
      <w:contextualSpacing/>
    </w:pPr>
  </w:style>
  <w:style w:type="paragraph" w:styleId="ListBullet4">
    <w:name w:val="List Bullet 4"/>
    <w:basedOn w:val="Normal"/>
    <w:uiPriority w:val="99"/>
    <w:unhideWhenUsed/>
    <w:rsid w:val="003A5DED"/>
    <w:pPr>
      <w:numPr>
        <w:numId w:val="10"/>
      </w:numPr>
      <w:contextualSpacing/>
    </w:pPr>
  </w:style>
  <w:style w:type="paragraph" w:styleId="ListBullet">
    <w:name w:val="List Bullet"/>
    <w:basedOn w:val="Normal"/>
    <w:uiPriority w:val="99"/>
    <w:unhideWhenUsed/>
    <w:rsid w:val="00D82D75"/>
    <w:pPr>
      <w:numPr>
        <w:numId w:val="7"/>
      </w:numPr>
      <w:contextualSpacing/>
    </w:pPr>
  </w:style>
  <w:style w:type="paragraph" w:styleId="ListNumber2">
    <w:name w:val="List Number 2"/>
    <w:basedOn w:val="Normal"/>
    <w:uiPriority w:val="99"/>
    <w:unhideWhenUsed/>
    <w:rsid w:val="0086568A"/>
    <w:pPr>
      <w:numPr>
        <w:numId w:val="13"/>
      </w:numPr>
      <w:contextualSpacing/>
    </w:pPr>
  </w:style>
  <w:style w:type="character" w:customStyle="1" w:styleId="UnresolvedMention">
    <w:name w:val="Unresolved Mention"/>
    <w:basedOn w:val="DefaultParagraphFont"/>
    <w:uiPriority w:val="99"/>
    <w:semiHidden/>
    <w:unhideWhenUsed/>
    <w:rsid w:val="009039E3"/>
    <w:rPr>
      <w:color w:val="808080"/>
      <w:shd w:val="clear" w:color="auto" w:fill="E6E6E6"/>
    </w:rPr>
  </w:style>
  <w:style w:type="paragraph" w:styleId="Header">
    <w:name w:val="header"/>
    <w:basedOn w:val="Normal"/>
    <w:link w:val="HeaderChar"/>
    <w:uiPriority w:val="99"/>
    <w:unhideWhenUsed/>
    <w:rsid w:val="00C60D46"/>
    <w:pPr>
      <w:tabs>
        <w:tab w:val="center" w:pos="4680"/>
        <w:tab w:val="right" w:pos="9360"/>
      </w:tabs>
    </w:pPr>
  </w:style>
  <w:style w:type="character" w:customStyle="1" w:styleId="HeaderChar">
    <w:name w:val="Header Char"/>
    <w:basedOn w:val="DefaultParagraphFont"/>
    <w:link w:val="Header"/>
    <w:uiPriority w:val="99"/>
    <w:rsid w:val="00C60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0D46"/>
    <w:pPr>
      <w:tabs>
        <w:tab w:val="center" w:pos="4680"/>
        <w:tab w:val="right" w:pos="9360"/>
      </w:tabs>
    </w:pPr>
  </w:style>
  <w:style w:type="character" w:customStyle="1" w:styleId="FooterChar">
    <w:name w:val="Footer Char"/>
    <w:basedOn w:val="DefaultParagraphFont"/>
    <w:link w:val="Footer"/>
    <w:uiPriority w:val="99"/>
    <w:rsid w:val="00C60D4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C70A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C70A7"/>
    <w:pPr>
      <w:widowControl/>
      <w:autoSpaceDE/>
      <w:autoSpaceDN/>
      <w:adjustRightInd/>
      <w:spacing w:line="259" w:lineRule="auto"/>
      <w:outlineLvl w:val="9"/>
    </w:pPr>
  </w:style>
  <w:style w:type="paragraph" w:styleId="TOC1">
    <w:name w:val="toc 1"/>
    <w:basedOn w:val="Normal"/>
    <w:next w:val="Normal"/>
    <w:autoRedefine/>
    <w:uiPriority w:val="39"/>
    <w:unhideWhenUsed/>
    <w:rsid w:val="004C4DA8"/>
    <w:pPr>
      <w:widowControl/>
      <w:autoSpaceDE/>
      <w:autoSpaceDN/>
      <w:adjustRightInd/>
      <w:spacing w:after="100" w:line="259" w:lineRule="auto"/>
    </w:pPr>
    <w:rPr>
      <w:rFonts w:eastAsiaTheme="minorEastAsia"/>
      <w:szCs w:val="22"/>
    </w:rPr>
  </w:style>
  <w:style w:type="paragraph" w:styleId="Bibliography">
    <w:name w:val="Bibliography"/>
    <w:basedOn w:val="Normal"/>
    <w:next w:val="Normal"/>
    <w:uiPriority w:val="37"/>
    <w:unhideWhenUsed/>
    <w:rsid w:val="007D091C"/>
    <w:pPr>
      <w:spacing w:after="120"/>
      <w:ind w:left="720" w:hanging="720"/>
    </w:pPr>
    <w:rPr>
      <w:noProof/>
    </w:rPr>
  </w:style>
  <w:style w:type="paragraph" w:customStyle="1" w:styleId="OMBExhibitTitle">
    <w:name w:val="OMB Exhibit Title"/>
    <w:rsid w:val="006D484C"/>
    <w:pPr>
      <w:keepNext/>
      <w:keepLines/>
      <w:spacing w:before="120" w:after="120" w:line="240" w:lineRule="auto"/>
      <w:ind w:left="1440" w:hanging="1440"/>
    </w:pPr>
    <w:rPr>
      <w:rFonts w:ascii="Arial" w:eastAsia="Times New Roman" w:hAnsi="Arial" w:cs="Times New Roman"/>
      <w:b/>
      <w:snapToGrid w:val="0"/>
      <w:sz w:val="20"/>
      <w:szCs w:val="20"/>
    </w:rPr>
  </w:style>
  <w:style w:type="paragraph" w:customStyle="1" w:styleId="TableHeaders">
    <w:name w:val="Table Headers"/>
    <w:basedOn w:val="Normal"/>
    <w:qFormat/>
    <w:rsid w:val="006D484C"/>
    <w:pPr>
      <w:spacing w:before="40" w:after="40"/>
      <w:jc w:val="center"/>
    </w:pPr>
    <w:rPr>
      <w:rFonts w:ascii="Arial" w:hAnsi="Arial" w:cs="Arial"/>
      <w:b/>
      <w:bCs/>
      <w:sz w:val="20"/>
      <w:szCs w:val="20"/>
    </w:rPr>
  </w:style>
  <w:style w:type="paragraph" w:customStyle="1" w:styleId="TableText">
    <w:name w:val="Table Text"/>
    <w:basedOn w:val="Normal"/>
    <w:qFormat/>
    <w:rsid w:val="006D484C"/>
    <w:pPr>
      <w:spacing w:before="40"/>
    </w:pPr>
    <w:rPr>
      <w:rFonts w:ascii="Arial" w:hAnsi="Arial" w:cs="Arial"/>
      <w:sz w:val="20"/>
      <w:szCs w:val="20"/>
    </w:rPr>
  </w:style>
  <w:style w:type="paragraph" w:styleId="Revision">
    <w:name w:val="Revision"/>
    <w:hidden/>
    <w:uiPriority w:val="99"/>
    <w:semiHidden/>
    <w:rsid w:val="008C614B"/>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34AFC"/>
    <w:pPr>
      <w:widowControl/>
      <w:autoSpaceDE/>
      <w:autoSpaceDN/>
      <w:adjustRightInd/>
      <w:spacing w:before="100" w:beforeAutospacing="1" w:after="100" w:afterAutospacing="1"/>
    </w:pPr>
  </w:style>
  <w:style w:type="paragraph" w:customStyle="1" w:styleId="ExhibitTitle">
    <w:name w:val="Exhibit Title"/>
    <w:basedOn w:val="OMBbodytext"/>
    <w:qFormat/>
    <w:rsid w:val="007D091C"/>
    <w:pPr>
      <w:keepNext/>
      <w:spacing w:before="240" w:after="120"/>
    </w:pPr>
    <w:rPr>
      <w:b/>
    </w:rPr>
  </w:style>
  <w:style w:type="character" w:styleId="FollowedHyperlink">
    <w:name w:val="FollowedHyperlink"/>
    <w:basedOn w:val="DefaultParagraphFont"/>
    <w:uiPriority w:val="99"/>
    <w:semiHidden/>
    <w:unhideWhenUsed/>
    <w:rsid w:val="00DE77AA"/>
    <w:rPr>
      <w:color w:val="954F72" w:themeColor="followedHyperlink"/>
      <w:u w:val="single"/>
    </w:rPr>
  </w:style>
  <w:style w:type="paragraph" w:styleId="BodyText">
    <w:name w:val="Body Text"/>
    <w:basedOn w:val="Normal"/>
    <w:link w:val="BodyTextChar"/>
    <w:unhideWhenUsed/>
    <w:rsid w:val="00C66BF9"/>
    <w:pPr>
      <w:widowControl/>
      <w:autoSpaceDE/>
      <w:autoSpaceDN/>
      <w:adjustRightInd/>
      <w:spacing w:after="240" w:line="264" w:lineRule="auto"/>
    </w:pPr>
    <w:rPr>
      <w:rFonts w:eastAsiaTheme="minorHAnsi" w:cstheme="minorBidi"/>
      <w:sz w:val="22"/>
      <w:szCs w:val="22"/>
    </w:rPr>
  </w:style>
  <w:style w:type="character" w:customStyle="1" w:styleId="BodyTextChar">
    <w:name w:val="Body Text Char"/>
    <w:basedOn w:val="DefaultParagraphFont"/>
    <w:link w:val="BodyText"/>
    <w:rsid w:val="00C66BF9"/>
    <w:rPr>
      <w:rFonts w:ascii="Times New Roman" w:hAnsi="Times New Roman"/>
    </w:rPr>
  </w:style>
  <w:style w:type="paragraph" w:customStyle="1" w:styleId="ombbodytext0">
    <w:name w:val="ombbodytext"/>
    <w:basedOn w:val="Normal"/>
    <w:rsid w:val="006E6615"/>
    <w:pPr>
      <w:widowControl/>
      <w:autoSpaceDE/>
      <w:autoSpaceDN/>
      <w:adjustRightInd/>
      <w:spacing w:after="240"/>
    </w:pPr>
    <w:rPr>
      <w:rFonts w:eastAsiaTheme="minorHAnsi"/>
    </w:rPr>
  </w:style>
  <w:style w:type="paragraph" w:customStyle="1" w:styleId="TableBullet">
    <w:name w:val="TableBullet"/>
    <w:qFormat/>
    <w:rsid w:val="008F2D82"/>
    <w:pPr>
      <w:numPr>
        <w:numId w:val="44"/>
      </w:numPr>
      <w:spacing w:before="40" w:after="40" w:line="240" w:lineRule="auto"/>
    </w:pPr>
    <w:rPr>
      <w:rFonts w:ascii="Arial" w:eastAsia="Times New Roman" w:hAnsi="Arial" w:cs="Times New Roman"/>
      <w:sz w:val="20"/>
      <w:szCs w:val="20"/>
    </w:rPr>
  </w:style>
  <w:style w:type="paragraph" w:styleId="NoSpacing">
    <w:name w:val="No Spacing"/>
    <w:uiPriority w:val="1"/>
    <w:qFormat/>
    <w:rsid w:val="008D16D9"/>
    <w:pPr>
      <w:spacing w:after="0" w:line="240" w:lineRule="auto"/>
    </w:pPr>
    <w:rPr>
      <w:rFonts w:ascii="Calibri" w:hAnsi="Calibri" w:cs="Calibri"/>
    </w:rPr>
  </w:style>
  <w:style w:type="paragraph" w:customStyle="1" w:styleId="bullets2nd-level">
    <w:name w:val="bullets_2nd-level"/>
    <w:basedOn w:val="Normal"/>
    <w:rsid w:val="008D16D9"/>
    <w:pPr>
      <w:widowControl/>
      <w:numPr>
        <w:numId w:val="45"/>
      </w:numPr>
      <w:autoSpaceDE/>
      <w:autoSpaceDN/>
      <w:adjustRightInd/>
      <w:spacing w:after="120"/>
    </w:pPr>
    <w:rPr>
      <w:rFonts w:ascii="Verdana" w:eastAsia="SimSun" w:hAnsi="Verdana"/>
      <w:sz w:val="20"/>
      <w:szCs w:val="22"/>
      <w:lang w:eastAsia="zh-CN"/>
    </w:rPr>
  </w:style>
  <w:style w:type="character" w:customStyle="1" w:styleId="NormalSSChar">
    <w:name w:val="NormalSS Char"/>
    <w:link w:val="NormalSS"/>
    <w:locked/>
    <w:rsid w:val="00620F80"/>
    <w:rPr>
      <w:rFonts w:ascii="Garamond" w:hAnsi="Garamond"/>
      <w:sz w:val="24"/>
      <w:szCs w:val="24"/>
    </w:rPr>
  </w:style>
  <w:style w:type="paragraph" w:customStyle="1" w:styleId="NormalSS">
    <w:name w:val="NormalSS"/>
    <w:basedOn w:val="Normal"/>
    <w:link w:val="NormalSSChar"/>
    <w:qFormat/>
    <w:rsid w:val="00620F80"/>
    <w:pPr>
      <w:widowControl/>
      <w:tabs>
        <w:tab w:val="left" w:pos="432"/>
      </w:tabs>
      <w:autoSpaceDE/>
      <w:autoSpaceDN/>
      <w:adjustRightInd/>
      <w:spacing w:after="240"/>
      <w:ind w:firstLine="432"/>
      <w:jc w:val="both"/>
    </w:pPr>
    <w:rPr>
      <w:rFonts w:ascii="Garamond" w:eastAsiaTheme="minorHAnsi" w:hAnsi="Garamond" w:cstheme="minorBidi"/>
    </w:rPr>
  </w:style>
  <w:style w:type="paragraph" w:customStyle="1" w:styleId="OMBHeading-20">
    <w:name w:val="OMB Heading-2"/>
    <w:basedOn w:val="Normal"/>
    <w:link w:val="OMBHeading-2Char"/>
    <w:rsid w:val="00ED7965"/>
    <w:pPr>
      <w:keepNext/>
      <w:widowControl/>
      <w:autoSpaceDE/>
      <w:spacing w:after="200"/>
    </w:pPr>
    <w:rPr>
      <w:b/>
      <w:szCs w:val="20"/>
    </w:rPr>
  </w:style>
  <w:style w:type="paragraph" w:customStyle="1" w:styleId="Outline0021">
    <w:name w:val="Outline002_1"/>
    <w:basedOn w:val="Normal"/>
    <w:rsid w:val="00560FCE"/>
    <w:pPr>
      <w:numPr>
        <w:numId w:val="48"/>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outlineLvl w:val="0"/>
    </w:pPr>
  </w:style>
  <w:style w:type="paragraph" w:styleId="TableofFigures">
    <w:name w:val="table of figures"/>
    <w:basedOn w:val="Normal"/>
    <w:next w:val="Normal"/>
    <w:uiPriority w:val="99"/>
    <w:rsid w:val="00560FCE"/>
    <w:pPr>
      <w:spacing w:after="120"/>
      <w:ind w:left="1296" w:right="720" w:hanging="1296"/>
    </w:pPr>
  </w:style>
  <w:style w:type="paragraph" w:customStyle="1" w:styleId="NumberedList">
    <w:name w:val="Numbered List"/>
    <w:basedOn w:val="Normal"/>
    <w:qFormat/>
    <w:rsid w:val="00560FCE"/>
    <w:pPr>
      <w:widowControl/>
      <w:numPr>
        <w:numId w:val="49"/>
      </w:numPr>
      <w:autoSpaceDE/>
      <w:autoSpaceDN/>
      <w:adjustRightInd/>
      <w:spacing w:before="120" w:after="120"/>
    </w:pPr>
    <w:rPr>
      <w:szCs w:val="20"/>
    </w:rPr>
  </w:style>
  <w:style w:type="paragraph" w:customStyle="1" w:styleId="Header2">
    <w:name w:val="Header 2"/>
    <w:basedOn w:val="OMBHeading-20"/>
    <w:link w:val="Header2Char"/>
    <w:qFormat/>
    <w:rsid w:val="008F2953"/>
    <w:pPr>
      <w:ind w:left="720" w:hanging="360"/>
      <w:outlineLvl w:val="1"/>
    </w:pPr>
    <w:rPr>
      <w:u w:val="single"/>
    </w:rPr>
  </w:style>
  <w:style w:type="paragraph" w:customStyle="1" w:styleId="Header1">
    <w:name w:val="Header 1"/>
    <w:basedOn w:val="OMBheading-1"/>
    <w:link w:val="Header1Char"/>
    <w:qFormat/>
    <w:rsid w:val="006C08D8"/>
    <w:pPr>
      <w:ind w:left="360" w:hanging="360"/>
      <w:outlineLvl w:val="1"/>
    </w:pPr>
  </w:style>
  <w:style w:type="character" w:customStyle="1" w:styleId="OMBHeading-2Char">
    <w:name w:val="OMB Heading-2 Char"/>
    <w:basedOn w:val="DefaultParagraphFont"/>
    <w:link w:val="OMBHeading-20"/>
    <w:rsid w:val="006C08D8"/>
    <w:rPr>
      <w:rFonts w:ascii="Times New Roman" w:eastAsia="Times New Roman" w:hAnsi="Times New Roman" w:cs="Times New Roman"/>
      <w:b/>
      <w:sz w:val="24"/>
      <w:szCs w:val="20"/>
    </w:rPr>
  </w:style>
  <w:style w:type="character" w:customStyle="1" w:styleId="Header2Char">
    <w:name w:val="Header 2 Char"/>
    <w:basedOn w:val="OMBHeading-2Char"/>
    <w:link w:val="Header2"/>
    <w:rsid w:val="008F2953"/>
    <w:rPr>
      <w:rFonts w:ascii="Times New Roman" w:eastAsia="Times New Roman" w:hAnsi="Times New Roman" w:cs="Times New Roman"/>
      <w:b/>
      <w:sz w:val="24"/>
      <w:szCs w:val="20"/>
      <w:u w:val="single"/>
    </w:rPr>
  </w:style>
  <w:style w:type="character" w:customStyle="1" w:styleId="OMBheading-1Char">
    <w:name w:val="OMB heading-1 Char"/>
    <w:basedOn w:val="Heading2Char"/>
    <w:link w:val="OMBheading-1"/>
    <w:rsid w:val="006C08D8"/>
    <w:rPr>
      <w:rFonts w:ascii="Times New Roman" w:eastAsia="Times New Roman" w:hAnsi="Times New Roman" w:cs="Times New Roman"/>
      <w:b/>
      <w:color w:val="2F5496" w:themeColor="accent1" w:themeShade="BF"/>
      <w:sz w:val="28"/>
      <w:szCs w:val="28"/>
    </w:rPr>
  </w:style>
  <w:style w:type="character" w:customStyle="1" w:styleId="Header1Char">
    <w:name w:val="Header 1 Char"/>
    <w:basedOn w:val="OMBheading-1Char"/>
    <w:link w:val="Header1"/>
    <w:rsid w:val="006C08D8"/>
    <w:rPr>
      <w:rFonts w:ascii="Times New Roman" w:eastAsia="Times New Roman" w:hAnsi="Times New Roman" w:cs="Times New Roman"/>
      <w:b/>
      <w:color w:val="2F5496" w:themeColor="accent1" w:themeShade="BF"/>
      <w:sz w:val="28"/>
      <w:szCs w:val="28"/>
    </w:rPr>
  </w:style>
  <w:style w:type="character" w:customStyle="1" w:styleId="UnresolvedMention1">
    <w:name w:val="Unresolved Mention1"/>
    <w:basedOn w:val="DefaultParagraphFont"/>
    <w:uiPriority w:val="99"/>
    <w:semiHidden/>
    <w:unhideWhenUsed/>
    <w:rsid w:val="004C4DA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14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C70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444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4449D"/>
    <w:rPr>
      <w:color w:val="0000FF"/>
      <w:u w:val="single"/>
    </w:rPr>
  </w:style>
  <w:style w:type="paragraph" w:styleId="TOC2">
    <w:name w:val="toc 2"/>
    <w:basedOn w:val="Normal"/>
    <w:next w:val="Normal"/>
    <w:autoRedefine/>
    <w:uiPriority w:val="39"/>
    <w:rsid w:val="00D4449D"/>
    <w:pPr>
      <w:tabs>
        <w:tab w:val="left" w:pos="360"/>
        <w:tab w:val="right" w:leader="dot" w:pos="9440"/>
      </w:tabs>
      <w:spacing w:after="100"/>
      <w:ind w:left="900" w:hanging="900"/>
    </w:pPr>
  </w:style>
  <w:style w:type="paragraph" w:styleId="TOC3">
    <w:name w:val="toc 3"/>
    <w:basedOn w:val="Normal"/>
    <w:next w:val="Normal"/>
    <w:autoRedefine/>
    <w:uiPriority w:val="39"/>
    <w:rsid w:val="00560FCE"/>
    <w:pPr>
      <w:tabs>
        <w:tab w:val="left" w:pos="1620"/>
        <w:tab w:val="right" w:leader="dot" w:pos="9450"/>
      </w:tabs>
      <w:spacing w:after="100"/>
      <w:ind w:left="900"/>
    </w:pPr>
  </w:style>
  <w:style w:type="paragraph" w:customStyle="1" w:styleId="Outline0011">
    <w:name w:val="Outline001_1"/>
    <w:basedOn w:val="Normal"/>
    <w:rsid w:val="007D091C"/>
    <w:pPr>
      <w:widowControl/>
      <w:spacing w:after="120"/>
      <w:jc w:val="center"/>
      <w:outlineLvl w:val="0"/>
    </w:pPr>
    <w:rPr>
      <w:b/>
      <w:bCs/>
    </w:rPr>
  </w:style>
  <w:style w:type="paragraph" w:customStyle="1" w:styleId="OMBbodytext">
    <w:name w:val="OMB body text"/>
    <w:basedOn w:val="Normal"/>
    <w:link w:val="OMBbodytextChar"/>
    <w:rsid w:val="00D4449D"/>
    <w:pPr>
      <w:widowControl/>
      <w:autoSpaceDE/>
      <w:autoSpaceDN/>
      <w:adjustRightInd/>
      <w:spacing w:after="240"/>
    </w:pPr>
    <w:rPr>
      <w:szCs w:val="20"/>
    </w:rPr>
  </w:style>
  <w:style w:type="character" w:customStyle="1" w:styleId="OMBbodytextChar">
    <w:name w:val="OMB body text Char"/>
    <w:basedOn w:val="DefaultParagraphFont"/>
    <w:link w:val="OMBbodytext"/>
    <w:rsid w:val="00D4449D"/>
    <w:rPr>
      <w:rFonts w:ascii="Times New Roman" w:eastAsia="Times New Roman" w:hAnsi="Times New Roman" w:cs="Times New Roman"/>
      <w:sz w:val="24"/>
      <w:szCs w:val="20"/>
    </w:rPr>
  </w:style>
  <w:style w:type="paragraph" w:customStyle="1" w:styleId="OMBheading-1">
    <w:name w:val="OMB heading-1"/>
    <w:basedOn w:val="Heading2"/>
    <w:link w:val="OMBheading-1Char"/>
    <w:rsid w:val="009265C5"/>
    <w:pPr>
      <w:keepLines w:val="0"/>
      <w:widowControl/>
      <w:autoSpaceDE/>
      <w:autoSpaceDN/>
      <w:adjustRightInd/>
      <w:spacing w:before="0" w:after="240"/>
      <w:ind w:left="720" w:hanging="720"/>
      <w:outlineLvl w:val="0"/>
    </w:pPr>
    <w:rPr>
      <w:rFonts w:ascii="Times New Roman" w:eastAsia="Times New Roman" w:hAnsi="Times New Roman" w:cs="Times New Roman"/>
      <w:b/>
      <w:color w:val="auto"/>
      <w:sz w:val="28"/>
      <w:szCs w:val="28"/>
    </w:rPr>
  </w:style>
  <w:style w:type="paragraph" w:customStyle="1" w:styleId="OMBheading-2">
    <w:name w:val="OMB heading-2"/>
    <w:basedOn w:val="Normal"/>
    <w:rsid w:val="009265C5"/>
    <w:pPr>
      <w:keepNext/>
      <w:widowControl/>
      <w:autoSpaceDE/>
      <w:autoSpaceDN/>
      <w:adjustRightInd/>
      <w:spacing w:after="200"/>
      <w:ind w:left="720" w:hanging="720"/>
      <w:outlineLvl w:val="1"/>
    </w:pPr>
    <w:rPr>
      <w:b/>
      <w:szCs w:val="20"/>
    </w:rPr>
  </w:style>
  <w:style w:type="character" w:customStyle="1" w:styleId="Heading2Char">
    <w:name w:val="Heading 2 Char"/>
    <w:basedOn w:val="DefaultParagraphFont"/>
    <w:link w:val="Heading2"/>
    <w:uiPriority w:val="9"/>
    <w:semiHidden/>
    <w:rsid w:val="00D4449D"/>
    <w:rPr>
      <w:rFonts w:asciiTheme="majorHAnsi" w:eastAsiaTheme="majorEastAsia" w:hAnsiTheme="majorHAnsi" w:cstheme="majorBidi"/>
      <w:color w:val="2F5496" w:themeColor="accent1" w:themeShade="BF"/>
      <w:sz w:val="26"/>
      <w:szCs w:val="26"/>
    </w:rPr>
  </w:style>
  <w:style w:type="character" w:styleId="FootnoteReference">
    <w:name w:val="footnote reference"/>
    <w:uiPriority w:val="99"/>
    <w:rsid w:val="00C74604"/>
  </w:style>
  <w:style w:type="paragraph" w:styleId="FootnoteText">
    <w:name w:val="footnote text"/>
    <w:basedOn w:val="Normal"/>
    <w:link w:val="FootnoteTextChar"/>
    <w:uiPriority w:val="99"/>
    <w:rsid w:val="00C74604"/>
    <w:rPr>
      <w:sz w:val="20"/>
      <w:szCs w:val="20"/>
    </w:rPr>
  </w:style>
  <w:style w:type="character" w:customStyle="1" w:styleId="FootnoteTextChar">
    <w:name w:val="Footnote Text Char"/>
    <w:basedOn w:val="DefaultParagraphFont"/>
    <w:link w:val="FootnoteText"/>
    <w:uiPriority w:val="99"/>
    <w:rsid w:val="00C74604"/>
    <w:rPr>
      <w:rFonts w:ascii="Times New Roman" w:eastAsia="Times New Roman" w:hAnsi="Times New Roman" w:cs="Times New Roman"/>
      <w:sz w:val="20"/>
      <w:szCs w:val="20"/>
    </w:rPr>
  </w:style>
  <w:style w:type="paragraph" w:styleId="BalloonText">
    <w:name w:val="Balloon Text"/>
    <w:basedOn w:val="Normal"/>
    <w:link w:val="BalloonTextChar"/>
    <w:semiHidden/>
    <w:rsid w:val="00C74604"/>
    <w:pPr>
      <w:widowControl/>
      <w:autoSpaceDE/>
      <w:autoSpaceDN/>
      <w:adjustRightInd/>
    </w:pPr>
    <w:rPr>
      <w:rFonts w:ascii="Tahoma" w:hAnsi="Tahoma" w:cs="Tahoma"/>
      <w:sz w:val="16"/>
      <w:szCs w:val="16"/>
    </w:rPr>
  </w:style>
  <w:style w:type="character" w:customStyle="1" w:styleId="BalloonTextChar">
    <w:name w:val="Balloon Text Char"/>
    <w:basedOn w:val="DefaultParagraphFont"/>
    <w:link w:val="BalloonText"/>
    <w:semiHidden/>
    <w:rsid w:val="00C74604"/>
    <w:rPr>
      <w:rFonts w:ascii="Tahoma" w:eastAsia="Times New Roman" w:hAnsi="Tahoma" w:cs="Tahoma"/>
      <w:sz w:val="16"/>
      <w:szCs w:val="16"/>
    </w:rPr>
  </w:style>
  <w:style w:type="character" w:styleId="CommentReference">
    <w:name w:val="annotation reference"/>
    <w:basedOn w:val="DefaultParagraphFont"/>
    <w:uiPriority w:val="99"/>
    <w:unhideWhenUsed/>
    <w:rsid w:val="004C4DA8"/>
    <w:rPr>
      <w:sz w:val="16"/>
      <w:szCs w:val="16"/>
    </w:rPr>
  </w:style>
  <w:style w:type="paragraph" w:styleId="CommentText">
    <w:name w:val="annotation text"/>
    <w:basedOn w:val="Normal"/>
    <w:link w:val="CommentTextChar"/>
    <w:uiPriority w:val="99"/>
    <w:unhideWhenUsed/>
    <w:rsid w:val="004C4DA8"/>
    <w:rPr>
      <w:sz w:val="20"/>
      <w:szCs w:val="20"/>
    </w:rPr>
  </w:style>
  <w:style w:type="character" w:customStyle="1" w:styleId="CommentTextChar">
    <w:name w:val="Comment Text Char"/>
    <w:basedOn w:val="DefaultParagraphFont"/>
    <w:link w:val="CommentText"/>
    <w:uiPriority w:val="99"/>
    <w:rsid w:val="001265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65B5"/>
    <w:rPr>
      <w:b/>
      <w:bCs/>
    </w:rPr>
  </w:style>
  <w:style w:type="character" w:customStyle="1" w:styleId="CommentSubjectChar">
    <w:name w:val="Comment Subject Char"/>
    <w:basedOn w:val="CommentTextChar"/>
    <w:link w:val="CommentSubject"/>
    <w:uiPriority w:val="99"/>
    <w:semiHidden/>
    <w:rsid w:val="001265B5"/>
    <w:rPr>
      <w:rFonts w:ascii="Times New Roman" w:eastAsia="Times New Roman" w:hAnsi="Times New Roman" w:cs="Times New Roman"/>
      <w:b/>
      <w:bCs/>
      <w:sz w:val="20"/>
      <w:szCs w:val="20"/>
    </w:rPr>
  </w:style>
  <w:style w:type="paragraph" w:customStyle="1" w:styleId="Default">
    <w:name w:val="Default"/>
    <w:rsid w:val="00A312A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5A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4A08"/>
    <w:pPr>
      <w:widowControl/>
      <w:autoSpaceDE/>
      <w:autoSpaceDN/>
      <w:adjustRightInd/>
      <w:spacing w:after="200" w:line="276" w:lineRule="auto"/>
      <w:ind w:left="720"/>
      <w:contextualSpacing/>
    </w:pPr>
    <w:rPr>
      <w:rFonts w:asciiTheme="majorHAnsi" w:eastAsiaTheme="minorHAnsi" w:hAnsiTheme="majorHAnsi"/>
      <w:sz w:val="22"/>
      <w:szCs w:val="22"/>
    </w:rPr>
  </w:style>
  <w:style w:type="paragraph" w:styleId="ListBullet2">
    <w:name w:val="List Bullet 2"/>
    <w:basedOn w:val="Normal"/>
    <w:uiPriority w:val="99"/>
    <w:unhideWhenUsed/>
    <w:rsid w:val="0099656B"/>
    <w:pPr>
      <w:numPr>
        <w:numId w:val="33"/>
      </w:numPr>
      <w:spacing w:after="120"/>
      <w:ind w:left="1080"/>
    </w:pPr>
    <w:rPr>
      <w:u w:val="single"/>
    </w:rPr>
  </w:style>
  <w:style w:type="paragraph" w:styleId="ListBullet3">
    <w:name w:val="List Bullet 3"/>
    <w:basedOn w:val="Normal"/>
    <w:uiPriority w:val="99"/>
    <w:unhideWhenUsed/>
    <w:rsid w:val="003A5DED"/>
    <w:pPr>
      <w:numPr>
        <w:numId w:val="9"/>
      </w:numPr>
      <w:contextualSpacing/>
    </w:pPr>
  </w:style>
  <w:style w:type="paragraph" w:styleId="ListBullet4">
    <w:name w:val="List Bullet 4"/>
    <w:basedOn w:val="Normal"/>
    <w:uiPriority w:val="99"/>
    <w:unhideWhenUsed/>
    <w:rsid w:val="003A5DED"/>
    <w:pPr>
      <w:numPr>
        <w:numId w:val="10"/>
      </w:numPr>
      <w:contextualSpacing/>
    </w:pPr>
  </w:style>
  <w:style w:type="paragraph" w:styleId="ListBullet">
    <w:name w:val="List Bullet"/>
    <w:basedOn w:val="Normal"/>
    <w:uiPriority w:val="99"/>
    <w:unhideWhenUsed/>
    <w:rsid w:val="00D82D75"/>
    <w:pPr>
      <w:numPr>
        <w:numId w:val="7"/>
      </w:numPr>
      <w:contextualSpacing/>
    </w:pPr>
  </w:style>
  <w:style w:type="paragraph" w:styleId="ListNumber2">
    <w:name w:val="List Number 2"/>
    <w:basedOn w:val="Normal"/>
    <w:uiPriority w:val="99"/>
    <w:unhideWhenUsed/>
    <w:rsid w:val="0086568A"/>
    <w:pPr>
      <w:numPr>
        <w:numId w:val="13"/>
      </w:numPr>
      <w:contextualSpacing/>
    </w:pPr>
  </w:style>
  <w:style w:type="character" w:customStyle="1" w:styleId="UnresolvedMention">
    <w:name w:val="Unresolved Mention"/>
    <w:basedOn w:val="DefaultParagraphFont"/>
    <w:uiPriority w:val="99"/>
    <w:semiHidden/>
    <w:unhideWhenUsed/>
    <w:rsid w:val="009039E3"/>
    <w:rPr>
      <w:color w:val="808080"/>
      <w:shd w:val="clear" w:color="auto" w:fill="E6E6E6"/>
    </w:rPr>
  </w:style>
  <w:style w:type="paragraph" w:styleId="Header">
    <w:name w:val="header"/>
    <w:basedOn w:val="Normal"/>
    <w:link w:val="HeaderChar"/>
    <w:uiPriority w:val="99"/>
    <w:unhideWhenUsed/>
    <w:rsid w:val="00C60D46"/>
    <w:pPr>
      <w:tabs>
        <w:tab w:val="center" w:pos="4680"/>
        <w:tab w:val="right" w:pos="9360"/>
      </w:tabs>
    </w:pPr>
  </w:style>
  <w:style w:type="character" w:customStyle="1" w:styleId="HeaderChar">
    <w:name w:val="Header Char"/>
    <w:basedOn w:val="DefaultParagraphFont"/>
    <w:link w:val="Header"/>
    <w:uiPriority w:val="99"/>
    <w:rsid w:val="00C60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0D46"/>
    <w:pPr>
      <w:tabs>
        <w:tab w:val="center" w:pos="4680"/>
        <w:tab w:val="right" w:pos="9360"/>
      </w:tabs>
    </w:pPr>
  </w:style>
  <w:style w:type="character" w:customStyle="1" w:styleId="FooterChar">
    <w:name w:val="Footer Char"/>
    <w:basedOn w:val="DefaultParagraphFont"/>
    <w:link w:val="Footer"/>
    <w:uiPriority w:val="99"/>
    <w:rsid w:val="00C60D4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C70A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C70A7"/>
    <w:pPr>
      <w:widowControl/>
      <w:autoSpaceDE/>
      <w:autoSpaceDN/>
      <w:adjustRightInd/>
      <w:spacing w:line="259" w:lineRule="auto"/>
      <w:outlineLvl w:val="9"/>
    </w:pPr>
  </w:style>
  <w:style w:type="paragraph" w:styleId="TOC1">
    <w:name w:val="toc 1"/>
    <w:basedOn w:val="Normal"/>
    <w:next w:val="Normal"/>
    <w:autoRedefine/>
    <w:uiPriority w:val="39"/>
    <w:unhideWhenUsed/>
    <w:rsid w:val="004C4DA8"/>
    <w:pPr>
      <w:widowControl/>
      <w:autoSpaceDE/>
      <w:autoSpaceDN/>
      <w:adjustRightInd/>
      <w:spacing w:after="100" w:line="259" w:lineRule="auto"/>
    </w:pPr>
    <w:rPr>
      <w:rFonts w:eastAsiaTheme="minorEastAsia"/>
      <w:szCs w:val="22"/>
    </w:rPr>
  </w:style>
  <w:style w:type="paragraph" w:styleId="Bibliography">
    <w:name w:val="Bibliography"/>
    <w:basedOn w:val="Normal"/>
    <w:next w:val="Normal"/>
    <w:uiPriority w:val="37"/>
    <w:unhideWhenUsed/>
    <w:rsid w:val="007D091C"/>
    <w:pPr>
      <w:spacing w:after="120"/>
      <w:ind w:left="720" w:hanging="720"/>
    </w:pPr>
    <w:rPr>
      <w:noProof/>
    </w:rPr>
  </w:style>
  <w:style w:type="paragraph" w:customStyle="1" w:styleId="OMBExhibitTitle">
    <w:name w:val="OMB Exhibit Title"/>
    <w:rsid w:val="006D484C"/>
    <w:pPr>
      <w:keepNext/>
      <w:keepLines/>
      <w:spacing w:before="120" w:after="120" w:line="240" w:lineRule="auto"/>
      <w:ind w:left="1440" w:hanging="1440"/>
    </w:pPr>
    <w:rPr>
      <w:rFonts w:ascii="Arial" w:eastAsia="Times New Roman" w:hAnsi="Arial" w:cs="Times New Roman"/>
      <w:b/>
      <w:snapToGrid w:val="0"/>
      <w:sz w:val="20"/>
      <w:szCs w:val="20"/>
    </w:rPr>
  </w:style>
  <w:style w:type="paragraph" w:customStyle="1" w:styleId="TableHeaders">
    <w:name w:val="Table Headers"/>
    <w:basedOn w:val="Normal"/>
    <w:qFormat/>
    <w:rsid w:val="006D484C"/>
    <w:pPr>
      <w:spacing w:before="40" w:after="40"/>
      <w:jc w:val="center"/>
    </w:pPr>
    <w:rPr>
      <w:rFonts w:ascii="Arial" w:hAnsi="Arial" w:cs="Arial"/>
      <w:b/>
      <w:bCs/>
      <w:sz w:val="20"/>
      <w:szCs w:val="20"/>
    </w:rPr>
  </w:style>
  <w:style w:type="paragraph" w:customStyle="1" w:styleId="TableText">
    <w:name w:val="Table Text"/>
    <w:basedOn w:val="Normal"/>
    <w:qFormat/>
    <w:rsid w:val="006D484C"/>
    <w:pPr>
      <w:spacing w:before="40"/>
    </w:pPr>
    <w:rPr>
      <w:rFonts w:ascii="Arial" w:hAnsi="Arial" w:cs="Arial"/>
      <w:sz w:val="20"/>
      <w:szCs w:val="20"/>
    </w:rPr>
  </w:style>
  <w:style w:type="paragraph" w:styleId="Revision">
    <w:name w:val="Revision"/>
    <w:hidden/>
    <w:uiPriority w:val="99"/>
    <w:semiHidden/>
    <w:rsid w:val="008C614B"/>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34AFC"/>
    <w:pPr>
      <w:widowControl/>
      <w:autoSpaceDE/>
      <w:autoSpaceDN/>
      <w:adjustRightInd/>
      <w:spacing w:before="100" w:beforeAutospacing="1" w:after="100" w:afterAutospacing="1"/>
    </w:pPr>
  </w:style>
  <w:style w:type="paragraph" w:customStyle="1" w:styleId="ExhibitTitle">
    <w:name w:val="Exhibit Title"/>
    <w:basedOn w:val="OMBbodytext"/>
    <w:qFormat/>
    <w:rsid w:val="007D091C"/>
    <w:pPr>
      <w:keepNext/>
      <w:spacing w:before="240" w:after="120"/>
    </w:pPr>
    <w:rPr>
      <w:b/>
    </w:rPr>
  </w:style>
  <w:style w:type="character" w:styleId="FollowedHyperlink">
    <w:name w:val="FollowedHyperlink"/>
    <w:basedOn w:val="DefaultParagraphFont"/>
    <w:uiPriority w:val="99"/>
    <w:semiHidden/>
    <w:unhideWhenUsed/>
    <w:rsid w:val="00DE77AA"/>
    <w:rPr>
      <w:color w:val="954F72" w:themeColor="followedHyperlink"/>
      <w:u w:val="single"/>
    </w:rPr>
  </w:style>
  <w:style w:type="paragraph" w:styleId="BodyText">
    <w:name w:val="Body Text"/>
    <w:basedOn w:val="Normal"/>
    <w:link w:val="BodyTextChar"/>
    <w:unhideWhenUsed/>
    <w:rsid w:val="00C66BF9"/>
    <w:pPr>
      <w:widowControl/>
      <w:autoSpaceDE/>
      <w:autoSpaceDN/>
      <w:adjustRightInd/>
      <w:spacing w:after="240" w:line="264" w:lineRule="auto"/>
    </w:pPr>
    <w:rPr>
      <w:rFonts w:eastAsiaTheme="minorHAnsi" w:cstheme="minorBidi"/>
      <w:sz w:val="22"/>
      <w:szCs w:val="22"/>
    </w:rPr>
  </w:style>
  <w:style w:type="character" w:customStyle="1" w:styleId="BodyTextChar">
    <w:name w:val="Body Text Char"/>
    <w:basedOn w:val="DefaultParagraphFont"/>
    <w:link w:val="BodyText"/>
    <w:rsid w:val="00C66BF9"/>
    <w:rPr>
      <w:rFonts w:ascii="Times New Roman" w:hAnsi="Times New Roman"/>
    </w:rPr>
  </w:style>
  <w:style w:type="paragraph" w:customStyle="1" w:styleId="ombbodytext0">
    <w:name w:val="ombbodytext"/>
    <w:basedOn w:val="Normal"/>
    <w:rsid w:val="006E6615"/>
    <w:pPr>
      <w:widowControl/>
      <w:autoSpaceDE/>
      <w:autoSpaceDN/>
      <w:adjustRightInd/>
      <w:spacing w:after="240"/>
    </w:pPr>
    <w:rPr>
      <w:rFonts w:eastAsiaTheme="minorHAnsi"/>
    </w:rPr>
  </w:style>
  <w:style w:type="paragraph" w:customStyle="1" w:styleId="TableBullet">
    <w:name w:val="TableBullet"/>
    <w:qFormat/>
    <w:rsid w:val="008F2D82"/>
    <w:pPr>
      <w:numPr>
        <w:numId w:val="44"/>
      </w:numPr>
      <w:spacing w:before="40" w:after="40" w:line="240" w:lineRule="auto"/>
    </w:pPr>
    <w:rPr>
      <w:rFonts w:ascii="Arial" w:eastAsia="Times New Roman" w:hAnsi="Arial" w:cs="Times New Roman"/>
      <w:sz w:val="20"/>
      <w:szCs w:val="20"/>
    </w:rPr>
  </w:style>
  <w:style w:type="paragraph" w:styleId="NoSpacing">
    <w:name w:val="No Spacing"/>
    <w:uiPriority w:val="1"/>
    <w:qFormat/>
    <w:rsid w:val="008D16D9"/>
    <w:pPr>
      <w:spacing w:after="0" w:line="240" w:lineRule="auto"/>
    </w:pPr>
    <w:rPr>
      <w:rFonts w:ascii="Calibri" w:hAnsi="Calibri" w:cs="Calibri"/>
    </w:rPr>
  </w:style>
  <w:style w:type="paragraph" w:customStyle="1" w:styleId="bullets2nd-level">
    <w:name w:val="bullets_2nd-level"/>
    <w:basedOn w:val="Normal"/>
    <w:rsid w:val="008D16D9"/>
    <w:pPr>
      <w:widowControl/>
      <w:numPr>
        <w:numId w:val="45"/>
      </w:numPr>
      <w:autoSpaceDE/>
      <w:autoSpaceDN/>
      <w:adjustRightInd/>
      <w:spacing w:after="120"/>
    </w:pPr>
    <w:rPr>
      <w:rFonts w:ascii="Verdana" w:eastAsia="SimSun" w:hAnsi="Verdana"/>
      <w:sz w:val="20"/>
      <w:szCs w:val="22"/>
      <w:lang w:eastAsia="zh-CN"/>
    </w:rPr>
  </w:style>
  <w:style w:type="character" w:customStyle="1" w:styleId="NormalSSChar">
    <w:name w:val="NormalSS Char"/>
    <w:link w:val="NormalSS"/>
    <w:locked/>
    <w:rsid w:val="00620F80"/>
    <w:rPr>
      <w:rFonts w:ascii="Garamond" w:hAnsi="Garamond"/>
      <w:sz w:val="24"/>
      <w:szCs w:val="24"/>
    </w:rPr>
  </w:style>
  <w:style w:type="paragraph" w:customStyle="1" w:styleId="NormalSS">
    <w:name w:val="NormalSS"/>
    <w:basedOn w:val="Normal"/>
    <w:link w:val="NormalSSChar"/>
    <w:qFormat/>
    <w:rsid w:val="00620F80"/>
    <w:pPr>
      <w:widowControl/>
      <w:tabs>
        <w:tab w:val="left" w:pos="432"/>
      </w:tabs>
      <w:autoSpaceDE/>
      <w:autoSpaceDN/>
      <w:adjustRightInd/>
      <w:spacing w:after="240"/>
      <w:ind w:firstLine="432"/>
      <w:jc w:val="both"/>
    </w:pPr>
    <w:rPr>
      <w:rFonts w:ascii="Garamond" w:eastAsiaTheme="minorHAnsi" w:hAnsi="Garamond" w:cstheme="minorBidi"/>
    </w:rPr>
  </w:style>
  <w:style w:type="paragraph" w:customStyle="1" w:styleId="OMBHeading-20">
    <w:name w:val="OMB Heading-2"/>
    <w:basedOn w:val="Normal"/>
    <w:link w:val="OMBHeading-2Char"/>
    <w:rsid w:val="00ED7965"/>
    <w:pPr>
      <w:keepNext/>
      <w:widowControl/>
      <w:autoSpaceDE/>
      <w:spacing w:after="200"/>
    </w:pPr>
    <w:rPr>
      <w:b/>
      <w:szCs w:val="20"/>
    </w:rPr>
  </w:style>
  <w:style w:type="paragraph" w:customStyle="1" w:styleId="Outline0021">
    <w:name w:val="Outline002_1"/>
    <w:basedOn w:val="Normal"/>
    <w:rsid w:val="00560FCE"/>
    <w:pPr>
      <w:numPr>
        <w:numId w:val="48"/>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outlineLvl w:val="0"/>
    </w:pPr>
  </w:style>
  <w:style w:type="paragraph" w:styleId="TableofFigures">
    <w:name w:val="table of figures"/>
    <w:basedOn w:val="Normal"/>
    <w:next w:val="Normal"/>
    <w:uiPriority w:val="99"/>
    <w:rsid w:val="00560FCE"/>
    <w:pPr>
      <w:spacing w:after="120"/>
      <w:ind w:left="1296" w:right="720" w:hanging="1296"/>
    </w:pPr>
  </w:style>
  <w:style w:type="paragraph" w:customStyle="1" w:styleId="NumberedList">
    <w:name w:val="Numbered List"/>
    <w:basedOn w:val="Normal"/>
    <w:qFormat/>
    <w:rsid w:val="00560FCE"/>
    <w:pPr>
      <w:widowControl/>
      <w:numPr>
        <w:numId w:val="49"/>
      </w:numPr>
      <w:autoSpaceDE/>
      <w:autoSpaceDN/>
      <w:adjustRightInd/>
      <w:spacing w:before="120" w:after="120"/>
    </w:pPr>
    <w:rPr>
      <w:szCs w:val="20"/>
    </w:rPr>
  </w:style>
  <w:style w:type="paragraph" w:customStyle="1" w:styleId="Header2">
    <w:name w:val="Header 2"/>
    <w:basedOn w:val="OMBHeading-20"/>
    <w:link w:val="Header2Char"/>
    <w:qFormat/>
    <w:rsid w:val="008F2953"/>
    <w:pPr>
      <w:ind w:left="720" w:hanging="360"/>
      <w:outlineLvl w:val="1"/>
    </w:pPr>
    <w:rPr>
      <w:u w:val="single"/>
    </w:rPr>
  </w:style>
  <w:style w:type="paragraph" w:customStyle="1" w:styleId="Header1">
    <w:name w:val="Header 1"/>
    <w:basedOn w:val="OMBheading-1"/>
    <w:link w:val="Header1Char"/>
    <w:qFormat/>
    <w:rsid w:val="006C08D8"/>
    <w:pPr>
      <w:ind w:left="360" w:hanging="360"/>
      <w:outlineLvl w:val="1"/>
    </w:pPr>
  </w:style>
  <w:style w:type="character" w:customStyle="1" w:styleId="OMBHeading-2Char">
    <w:name w:val="OMB Heading-2 Char"/>
    <w:basedOn w:val="DefaultParagraphFont"/>
    <w:link w:val="OMBHeading-20"/>
    <w:rsid w:val="006C08D8"/>
    <w:rPr>
      <w:rFonts w:ascii="Times New Roman" w:eastAsia="Times New Roman" w:hAnsi="Times New Roman" w:cs="Times New Roman"/>
      <w:b/>
      <w:sz w:val="24"/>
      <w:szCs w:val="20"/>
    </w:rPr>
  </w:style>
  <w:style w:type="character" w:customStyle="1" w:styleId="Header2Char">
    <w:name w:val="Header 2 Char"/>
    <w:basedOn w:val="OMBHeading-2Char"/>
    <w:link w:val="Header2"/>
    <w:rsid w:val="008F2953"/>
    <w:rPr>
      <w:rFonts w:ascii="Times New Roman" w:eastAsia="Times New Roman" w:hAnsi="Times New Roman" w:cs="Times New Roman"/>
      <w:b/>
      <w:sz w:val="24"/>
      <w:szCs w:val="20"/>
      <w:u w:val="single"/>
    </w:rPr>
  </w:style>
  <w:style w:type="character" w:customStyle="1" w:styleId="OMBheading-1Char">
    <w:name w:val="OMB heading-1 Char"/>
    <w:basedOn w:val="Heading2Char"/>
    <w:link w:val="OMBheading-1"/>
    <w:rsid w:val="006C08D8"/>
    <w:rPr>
      <w:rFonts w:ascii="Times New Roman" w:eastAsia="Times New Roman" w:hAnsi="Times New Roman" w:cs="Times New Roman"/>
      <w:b/>
      <w:color w:val="2F5496" w:themeColor="accent1" w:themeShade="BF"/>
      <w:sz w:val="28"/>
      <w:szCs w:val="28"/>
    </w:rPr>
  </w:style>
  <w:style w:type="character" w:customStyle="1" w:styleId="Header1Char">
    <w:name w:val="Header 1 Char"/>
    <w:basedOn w:val="OMBheading-1Char"/>
    <w:link w:val="Header1"/>
    <w:rsid w:val="006C08D8"/>
    <w:rPr>
      <w:rFonts w:ascii="Times New Roman" w:eastAsia="Times New Roman" w:hAnsi="Times New Roman" w:cs="Times New Roman"/>
      <w:b/>
      <w:color w:val="2F5496" w:themeColor="accent1" w:themeShade="BF"/>
      <w:sz w:val="28"/>
      <w:szCs w:val="28"/>
    </w:rPr>
  </w:style>
  <w:style w:type="character" w:customStyle="1" w:styleId="UnresolvedMention1">
    <w:name w:val="Unresolved Mention1"/>
    <w:basedOn w:val="DefaultParagraphFont"/>
    <w:uiPriority w:val="99"/>
    <w:semiHidden/>
    <w:unhideWhenUsed/>
    <w:rsid w:val="004C4DA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4465">
      <w:bodyDiv w:val="1"/>
      <w:marLeft w:val="0"/>
      <w:marRight w:val="0"/>
      <w:marTop w:val="0"/>
      <w:marBottom w:val="0"/>
      <w:divBdr>
        <w:top w:val="none" w:sz="0" w:space="0" w:color="auto"/>
        <w:left w:val="none" w:sz="0" w:space="0" w:color="auto"/>
        <w:bottom w:val="none" w:sz="0" w:space="0" w:color="auto"/>
        <w:right w:val="none" w:sz="0" w:space="0" w:color="auto"/>
      </w:divBdr>
    </w:div>
    <w:div w:id="101531767">
      <w:bodyDiv w:val="1"/>
      <w:marLeft w:val="0"/>
      <w:marRight w:val="0"/>
      <w:marTop w:val="0"/>
      <w:marBottom w:val="0"/>
      <w:divBdr>
        <w:top w:val="none" w:sz="0" w:space="0" w:color="auto"/>
        <w:left w:val="none" w:sz="0" w:space="0" w:color="auto"/>
        <w:bottom w:val="none" w:sz="0" w:space="0" w:color="auto"/>
        <w:right w:val="none" w:sz="0" w:space="0" w:color="auto"/>
      </w:divBdr>
    </w:div>
    <w:div w:id="764348587">
      <w:bodyDiv w:val="1"/>
      <w:marLeft w:val="0"/>
      <w:marRight w:val="0"/>
      <w:marTop w:val="0"/>
      <w:marBottom w:val="0"/>
      <w:divBdr>
        <w:top w:val="none" w:sz="0" w:space="0" w:color="auto"/>
        <w:left w:val="none" w:sz="0" w:space="0" w:color="auto"/>
        <w:bottom w:val="none" w:sz="0" w:space="0" w:color="auto"/>
        <w:right w:val="none" w:sz="0" w:space="0" w:color="auto"/>
      </w:divBdr>
    </w:div>
    <w:div w:id="781143804">
      <w:bodyDiv w:val="1"/>
      <w:marLeft w:val="0"/>
      <w:marRight w:val="0"/>
      <w:marTop w:val="0"/>
      <w:marBottom w:val="0"/>
      <w:divBdr>
        <w:top w:val="none" w:sz="0" w:space="0" w:color="auto"/>
        <w:left w:val="none" w:sz="0" w:space="0" w:color="auto"/>
        <w:bottom w:val="none" w:sz="0" w:space="0" w:color="auto"/>
        <w:right w:val="none" w:sz="0" w:space="0" w:color="auto"/>
      </w:divBdr>
    </w:div>
    <w:div w:id="809008901">
      <w:bodyDiv w:val="1"/>
      <w:marLeft w:val="0"/>
      <w:marRight w:val="0"/>
      <w:marTop w:val="0"/>
      <w:marBottom w:val="0"/>
      <w:divBdr>
        <w:top w:val="none" w:sz="0" w:space="0" w:color="auto"/>
        <w:left w:val="none" w:sz="0" w:space="0" w:color="auto"/>
        <w:bottom w:val="none" w:sz="0" w:space="0" w:color="auto"/>
        <w:right w:val="none" w:sz="0" w:space="0" w:color="auto"/>
      </w:divBdr>
    </w:div>
    <w:div w:id="839084388">
      <w:bodyDiv w:val="1"/>
      <w:marLeft w:val="0"/>
      <w:marRight w:val="0"/>
      <w:marTop w:val="0"/>
      <w:marBottom w:val="0"/>
      <w:divBdr>
        <w:top w:val="none" w:sz="0" w:space="0" w:color="auto"/>
        <w:left w:val="none" w:sz="0" w:space="0" w:color="auto"/>
        <w:bottom w:val="none" w:sz="0" w:space="0" w:color="auto"/>
        <w:right w:val="none" w:sz="0" w:space="0" w:color="auto"/>
      </w:divBdr>
    </w:div>
    <w:div w:id="1572156024">
      <w:bodyDiv w:val="1"/>
      <w:marLeft w:val="0"/>
      <w:marRight w:val="0"/>
      <w:marTop w:val="0"/>
      <w:marBottom w:val="0"/>
      <w:divBdr>
        <w:top w:val="none" w:sz="0" w:space="0" w:color="auto"/>
        <w:left w:val="none" w:sz="0" w:space="0" w:color="auto"/>
        <w:bottom w:val="none" w:sz="0" w:space="0" w:color="auto"/>
        <w:right w:val="none" w:sz="0" w:space="0" w:color="auto"/>
      </w:divBdr>
    </w:div>
    <w:div w:id="1678462859">
      <w:bodyDiv w:val="1"/>
      <w:marLeft w:val="0"/>
      <w:marRight w:val="0"/>
      <w:marTop w:val="0"/>
      <w:marBottom w:val="0"/>
      <w:divBdr>
        <w:top w:val="none" w:sz="0" w:space="0" w:color="auto"/>
        <w:left w:val="none" w:sz="0" w:space="0" w:color="auto"/>
        <w:bottom w:val="none" w:sz="0" w:space="0" w:color="auto"/>
        <w:right w:val="none" w:sz="0" w:space="0" w:color="auto"/>
      </w:divBdr>
    </w:div>
    <w:div w:id="1678534216">
      <w:bodyDiv w:val="1"/>
      <w:marLeft w:val="0"/>
      <w:marRight w:val="0"/>
      <w:marTop w:val="0"/>
      <w:marBottom w:val="0"/>
      <w:divBdr>
        <w:top w:val="none" w:sz="0" w:space="0" w:color="auto"/>
        <w:left w:val="none" w:sz="0" w:space="0" w:color="auto"/>
        <w:bottom w:val="none" w:sz="0" w:space="0" w:color="auto"/>
        <w:right w:val="none" w:sz="0" w:space="0" w:color="auto"/>
      </w:divBdr>
    </w:div>
    <w:div w:id="1708990733">
      <w:bodyDiv w:val="1"/>
      <w:marLeft w:val="0"/>
      <w:marRight w:val="0"/>
      <w:marTop w:val="0"/>
      <w:marBottom w:val="0"/>
      <w:divBdr>
        <w:top w:val="none" w:sz="0" w:space="0" w:color="auto"/>
        <w:left w:val="none" w:sz="0" w:space="0" w:color="auto"/>
        <w:bottom w:val="none" w:sz="0" w:space="0" w:color="auto"/>
        <w:right w:val="none" w:sz="0" w:space="0" w:color="auto"/>
      </w:divBdr>
    </w:div>
    <w:div w:id="1814133516">
      <w:bodyDiv w:val="1"/>
      <w:marLeft w:val="0"/>
      <w:marRight w:val="0"/>
      <w:marTop w:val="0"/>
      <w:marBottom w:val="0"/>
      <w:divBdr>
        <w:top w:val="none" w:sz="0" w:space="0" w:color="auto"/>
        <w:left w:val="none" w:sz="0" w:space="0" w:color="auto"/>
        <w:bottom w:val="none" w:sz="0" w:space="0" w:color="auto"/>
        <w:right w:val="none" w:sz="0" w:space="0" w:color="auto"/>
      </w:divBdr>
    </w:div>
    <w:div w:id="197768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hhs.gov/ash/oah/sites/default/files/ash/oah/oah-initiatives/evaluation/grantee-led-evaluation/reports/uthsc-final-report.pdf" TargetMode="External"/><Relationship Id="rId3" Type="http://schemas.openxmlformats.org/officeDocument/2006/relationships/customXml" Target="../customXml/item3.xml"/><Relationship Id="rId21" Type="http://schemas.openxmlformats.org/officeDocument/2006/relationships/hyperlink" Target="https://www.hhs.gov/ash/oah/sites/default/files/ash/oah/oah-initiatives/evaluation/grantee-led-evaluation/reports/program-reach-final-report.pdf"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reader.elsevier.com/reader/sd/EA045155AA60B30458AC4F46868567DC38B7D3ED0868EAB5B4051A4B129C087669C914EDD084CB0CED4C5E1C6F254A16" TargetMode="External"/><Relationship Id="rId2" Type="http://schemas.openxmlformats.org/officeDocument/2006/relationships/customXml" Target="../customXml/item2.xml"/><Relationship Id="rId16" Type="http://schemas.openxmlformats.org/officeDocument/2006/relationships/hyperlink" Target="https://doi.org/10.1177/2158244012442938" TargetMode="External"/><Relationship Id="rId20" Type="http://schemas.openxmlformats.org/officeDocument/2006/relationships/hyperlink" Target="https://doi.org/10.1080/19325037.2004.10603601"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acptp.org/wp-content/uploads/2017/08/Alabama-Parental-Attitudes-Study.pdf"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nces.ed.gov/ccd/school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Contributor xmlns="http://schemas.microsoft.com/sharepoint/v3/fields" xsi:nil="true"/>
    <MITRE_x0020_Sensitivity xmlns="http://schemas.microsoft.com/sharepoint/v3">Internal MITRE Information</MITRE_x0020_Sensitivity>
    <IconOverlay xmlns="http://schemas.microsoft.com/sharepoint/v4" xsi:nil="true"/>
    <Release_x0020_Statement xmlns="http://schemas.microsoft.com/sharepoint/v3">For Internal MITRE Use</Release_x0020_Statement>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MITRE Work" ma:contentTypeID="0x010100823A99C636F7423283FB0D200866C613006ED3B74A13063A4B98690C998E03D10D" ma:contentTypeVersion="3" ma:contentTypeDescription="Materials and documents that contain MITRE authored content and other content directly attributable to MITRE and its work" ma:contentTypeScope="" ma:versionID="af2a94c35247a31be376d80ec2141c2d">
  <xsd:schema xmlns:xsd="http://www.w3.org/2001/XMLSchema" xmlns:xs="http://www.w3.org/2001/XMLSchema" xmlns:p="http://schemas.microsoft.com/office/2006/metadata/properties" xmlns:ns1="http://schemas.microsoft.com/sharepoint/v3" xmlns:ns2="http://schemas.microsoft.com/sharepoint/v3/fields" xmlns:ns3="b6497300-a5de-4661-8d1e-9f21fbdf68e3" xmlns:ns4="http://schemas.microsoft.com/sharepoint/v4" targetNamespace="http://schemas.microsoft.com/office/2006/metadata/properties" ma:root="true" ma:fieldsID="81d681f7109cd60cd5e7839a6449d8af" ns1:_="" ns2:_="" ns3:_="" ns4:_="">
    <xsd:import namespace="http://schemas.microsoft.com/sharepoint/v3"/>
    <xsd:import namespace="http://schemas.microsoft.com/sharepoint/v3/fields"/>
    <xsd:import namespace="b6497300-a5de-4661-8d1e-9f21fbdf68e3"/>
    <xsd:import namespace="http://schemas.microsoft.com/sharepoint/v4"/>
    <xsd:element name="properties">
      <xsd:complexType>
        <xsd:sequence>
          <xsd:element name="documentManagement">
            <xsd:complexType>
              <xsd:all>
                <xsd:element ref="ns2:_Contributor" minOccurs="0"/>
                <xsd:element ref="ns1:MITRE_x0020_Sensitivity"/>
                <xsd:element ref="ns1:Release_x0020_Statement"/>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497300-a5de-4661-8d1e-9f21fbdf68e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MITRE Work" ma:contentTypeID="0x010100823A99C636F7423283FB0D200866C613006ED3B74A13063A4B98690C998E03D10D" ma:contentTypeVersion="3" ma:contentTypeDescription="Materials and documents that contain MITRE authored content and other content directly attributable to MITRE and its work" ma:contentTypeScope="" ma:versionID="af2a94c35247a31be376d80ec2141c2d">
  <xsd:schema xmlns:xsd="http://www.w3.org/2001/XMLSchema" xmlns:xs="http://www.w3.org/2001/XMLSchema" xmlns:p="http://schemas.microsoft.com/office/2006/metadata/properties" xmlns:ns1="http://schemas.microsoft.com/sharepoint/v3" xmlns:ns2="http://schemas.microsoft.com/sharepoint/v3/fields" xmlns:ns3="b6497300-a5de-4661-8d1e-9f21fbdf68e3" xmlns:ns4="http://schemas.microsoft.com/sharepoint/v4" targetNamespace="http://schemas.microsoft.com/office/2006/metadata/properties" ma:root="true" ma:fieldsID="81d681f7109cd60cd5e7839a6449d8af" ns1:_="" ns2:_="" ns3:_="" ns4:_="">
    <xsd:import namespace="http://schemas.microsoft.com/sharepoint/v3"/>
    <xsd:import namespace="http://schemas.microsoft.com/sharepoint/v3/fields"/>
    <xsd:import namespace="b6497300-a5de-4661-8d1e-9f21fbdf68e3"/>
    <xsd:import namespace="http://schemas.microsoft.com/sharepoint/v4"/>
    <xsd:element name="properties">
      <xsd:complexType>
        <xsd:sequence>
          <xsd:element name="documentManagement">
            <xsd:complexType>
              <xsd:all>
                <xsd:element ref="ns2:_Contributor" minOccurs="0"/>
                <xsd:element ref="ns1:MITRE_x0020_Sensitivity"/>
                <xsd:element ref="ns1:Release_x0020_Statement"/>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497300-a5de-4661-8d1e-9f21fbdf68e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F52FD-7B99-4F0D-BFE4-16270E4FB14B}">
  <ds:schemaRefs>
    <ds:schemaRef ds:uri="http://schemas.microsoft.com/office/2006/metadata/properties"/>
    <ds:schemaRef ds:uri="http://purl.org/dc/terms/"/>
    <ds:schemaRef ds:uri="http://schemas.microsoft.com/sharepoint/v3"/>
    <ds:schemaRef ds:uri="http://schemas.microsoft.com/sharepoint/v4"/>
    <ds:schemaRef ds:uri="http://schemas.microsoft.com/office/2006/documentManagement/types"/>
    <ds:schemaRef ds:uri="http://schemas.openxmlformats.org/package/2006/metadata/core-properties"/>
    <ds:schemaRef ds:uri="http://schemas.microsoft.com/office/infopath/2007/PartnerControls"/>
    <ds:schemaRef ds:uri="b6497300-a5de-4661-8d1e-9f21fbdf68e3"/>
    <ds:schemaRef ds:uri="http://purl.org/dc/elements/1.1/"/>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EC51A621-6CDC-4FB3-AAB7-D568C48848C2}">
  <ds:schemaRefs>
    <ds:schemaRef ds:uri="http://schemas.microsoft.com/office/2006/metadata/customXsn"/>
  </ds:schemaRefs>
</ds:datastoreItem>
</file>

<file path=customXml/itemProps3.xml><?xml version="1.0" encoding="utf-8"?>
<ds:datastoreItem xmlns:ds="http://schemas.openxmlformats.org/officeDocument/2006/customXml" ds:itemID="{96AF9959-69B2-4BDB-886D-1A2F2FC79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b6497300-a5de-4661-8d1e-9f21fbdf68e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208E0B-B1FF-4299-B475-FD22FA08F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b6497300-a5de-4661-8d1e-9f21fbdf68e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755ADD-A5CE-4253-93A3-0656B3B018D5}">
  <ds:schemaRefs>
    <ds:schemaRef ds:uri="http://schemas.microsoft.com/sharepoint/v3/contenttype/forms"/>
  </ds:schemaRefs>
</ds:datastoreItem>
</file>

<file path=customXml/itemProps6.xml><?xml version="1.0" encoding="utf-8"?>
<ds:datastoreItem xmlns:ds="http://schemas.openxmlformats.org/officeDocument/2006/customXml" ds:itemID="{ACF505BC-9B48-40A2-B49E-111EE5908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6825</Words>
  <Characters>38906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Cullen, Katie</dc:creator>
  <cp:keywords/>
  <dc:description/>
  <cp:lastModifiedBy>SYSTEM</cp:lastModifiedBy>
  <cp:revision>2</cp:revision>
  <cp:lastPrinted>2018-08-20T18:36:00Z</cp:lastPrinted>
  <dcterms:created xsi:type="dcterms:W3CDTF">2019-06-17T16:24:00Z</dcterms:created>
  <dcterms:modified xsi:type="dcterms:W3CDTF">2019-06-17T16:24:00Z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0x010100823A99C636F7423283FB0D200866C613006ED3B74A13063A4B98690C998E03D10D</vt:lpwstr>
  </property>
  <property fmtid="{D5CDD505-2E9C-101B-9397-08002B2CF9AE}" pid="3" name="TaxKeyword">
    <vt:lpwstr/>
  </property>
</Properties>
</file>